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68B65" w14:textId="77777777" w:rsidR="00612B1A" w:rsidRDefault="00612B1A" w:rsidP="00612B1A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7AEE656C" w14:textId="77777777" w:rsidR="00612B1A" w:rsidRDefault="00612B1A" w:rsidP="00612B1A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26B5E83B" w14:textId="77777777" w:rsidR="00837B87" w:rsidRPr="00612B1A" w:rsidRDefault="00612B1A" w:rsidP="00612B1A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B60D6D">
        <w:rPr>
          <w:lang w:val="pl-PL"/>
        </w:rPr>
        <w:t xml:space="preserve"> </w:t>
      </w:r>
      <w:r w:rsidR="00366BC6" w:rsidRPr="00612B1A">
        <w:rPr>
          <w:lang w:val="pl-PL"/>
        </w:rPr>
        <w:t>241</w:t>
      </w:r>
    </w:p>
    <w:p w14:paraId="2B9AECFC" w14:textId="77777777" w:rsidR="00837B87" w:rsidRPr="009A60F1" w:rsidRDefault="009A60F1">
      <w:pPr>
        <w:pStyle w:val="ClinEditionMonth"/>
        <w:rPr>
          <w:lang w:val="pl-PL"/>
        </w:rPr>
      </w:pPr>
      <w:r w:rsidRPr="009A60F1">
        <w:rPr>
          <w:lang w:val="pl-PL"/>
        </w:rPr>
        <w:t>Czerwiec</w:t>
      </w:r>
      <w:r w:rsidR="00366BC6" w:rsidRPr="009A60F1">
        <w:rPr>
          <w:lang w:val="pl-PL"/>
        </w:rPr>
        <w:t xml:space="preserve"> 2020</w:t>
      </w:r>
      <w:r w:rsidRPr="009A60F1">
        <w:rPr>
          <w:lang w:val="pl-PL"/>
        </w:rPr>
        <w:t xml:space="preserve"> r.</w:t>
      </w:r>
    </w:p>
    <w:p w14:paraId="7182594F" w14:textId="77777777" w:rsidR="00837B87" w:rsidRPr="009A60F1" w:rsidRDefault="00366BC6">
      <w:pPr>
        <w:rPr>
          <w:lang w:val="pl-PL"/>
        </w:rPr>
      </w:pPr>
      <w:r w:rsidRPr="009A60F1">
        <w:rPr>
          <w:rStyle w:val="ClinCaseTitle"/>
          <w:lang w:val="pl-PL"/>
        </w:rPr>
        <w:t xml:space="preserve">Ghoumid </w:t>
      </w:r>
      <w:r w:rsidR="009A60F1" w:rsidRPr="009A60F1">
        <w:rPr>
          <w:rStyle w:val="ClinCaseTitle"/>
          <w:lang w:val="pl-PL"/>
        </w:rPr>
        <w:t>i Inni</w:t>
      </w:r>
      <w:r w:rsidRPr="009A60F1">
        <w:rPr>
          <w:rStyle w:val="ClinCaseTitle"/>
          <w:lang w:val="pl-PL"/>
        </w:rPr>
        <w:t xml:space="preserve"> </w:t>
      </w:r>
      <w:r w:rsidR="009A60F1" w:rsidRPr="009A60F1">
        <w:rPr>
          <w:rStyle w:val="ClinCaseTitle"/>
          <w:lang w:val="pl-PL"/>
        </w:rPr>
        <w:t>p</w:t>
      </w:r>
      <w:r w:rsidRPr="009A60F1">
        <w:rPr>
          <w:rStyle w:val="ClinCaseTitle"/>
          <w:lang w:val="pl-PL"/>
        </w:rPr>
        <w:t>. Franc</w:t>
      </w:r>
      <w:r w:rsidR="009A60F1" w:rsidRPr="009A60F1">
        <w:rPr>
          <w:rStyle w:val="ClinCaseTitle"/>
          <w:lang w:val="pl-PL"/>
        </w:rPr>
        <w:t>ji</w:t>
      </w:r>
      <w:r w:rsidRPr="009A60F1">
        <w:rPr>
          <w:rStyle w:val="ClinApplicationNumber"/>
          <w:lang w:val="pl-PL"/>
        </w:rPr>
        <w:t xml:space="preserve"> </w:t>
      </w:r>
      <w:r w:rsidR="009A60F1" w:rsidRPr="009A60F1">
        <w:rPr>
          <w:rStyle w:val="ClinApplicationNumber"/>
          <w:lang w:val="pl-PL"/>
        </w:rPr>
        <w:t>–</w:t>
      </w:r>
      <w:r w:rsidRPr="009A60F1">
        <w:rPr>
          <w:rStyle w:val="ClinApplicationNumber"/>
          <w:lang w:val="pl-PL"/>
        </w:rPr>
        <w:t xml:space="preserve"> </w:t>
      </w:r>
      <w:r w:rsidR="009A60F1" w:rsidRPr="009A60F1">
        <w:rPr>
          <w:rStyle w:val="ClinApplicationNumber"/>
          <w:lang w:val="pl-PL"/>
        </w:rPr>
        <w:t xml:space="preserve">skargi nr </w:t>
      </w:r>
      <w:r w:rsidRPr="009A60F1">
        <w:rPr>
          <w:rStyle w:val="ClinApplicationNumber"/>
          <w:lang w:val="pl-PL"/>
        </w:rPr>
        <w:t>52273/16, 52285/16, 52290/16 et al.</w:t>
      </w:r>
    </w:p>
    <w:p w14:paraId="30A91CC4" w14:textId="77777777" w:rsidR="00837B87" w:rsidRPr="009A60F1" w:rsidRDefault="009A60F1">
      <w:pPr>
        <w:rPr>
          <w:lang w:val="pl-PL"/>
        </w:rPr>
      </w:pPr>
      <w:r w:rsidRPr="009A60F1">
        <w:rPr>
          <w:rStyle w:val="ClinHudocDocumentTitle"/>
          <w:lang w:val="pl-PL"/>
        </w:rPr>
        <w:t xml:space="preserve">Wyrok z </w:t>
      </w:r>
      <w:r w:rsidR="00366BC6" w:rsidRPr="009A60F1">
        <w:rPr>
          <w:rStyle w:val="ClinHudocDocumentTitle"/>
          <w:lang w:val="pl-PL"/>
        </w:rPr>
        <w:t>25.</w:t>
      </w:r>
      <w:r w:rsidRPr="009A60F1">
        <w:rPr>
          <w:rStyle w:val="ClinHudocDocumentTitle"/>
          <w:lang w:val="pl-PL"/>
        </w:rPr>
        <w:t>0</w:t>
      </w:r>
      <w:r w:rsidR="00366BC6" w:rsidRPr="009A60F1">
        <w:rPr>
          <w:rStyle w:val="ClinHudocDocumentTitle"/>
          <w:lang w:val="pl-PL"/>
        </w:rPr>
        <w:t>6.2020</w:t>
      </w:r>
      <w:r w:rsidR="00366BC6" w:rsidRPr="009A60F1">
        <w:rPr>
          <w:rStyle w:val="ClinSectionName"/>
          <w:lang w:val="pl-PL"/>
        </w:rPr>
        <w:t xml:space="preserve"> </w:t>
      </w:r>
      <w:r w:rsidRPr="009A60F1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366BC6" w:rsidRPr="009A60F1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</w:t>
      </w:r>
      <w:r w:rsidR="00202054" w:rsidRPr="00202054">
        <w:rPr>
          <w:rStyle w:val="ClinSectionName"/>
          <w:lang w:val="pl-PL"/>
        </w:rPr>
        <w:t xml:space="preserve"> </w:t>
      </w:r>
      <w:r w:rsidR="00202054">
        <w:rPr>
          <w:rStyle w:val="ClinSectionName"/>
          <w:lang w:val="pl-PL"/>
        </w:rPr>
        <w:t>Sekcja</w:t>
      </w:r>
      <w:r w:rsidR="00366BC6" w:rsidRPr="009A60F1">
        <w:rPr>
          <w:rStyle w:val="ClinSectionName"/>
          <w:lang w:val="pl-PL"/>
        </w:rPr>
        <w:t>]</w:t>
      </w:r>
    </w:p>
    <w:p w14:paraId="62C168C9" w14:textId="77777777" w:rsidR="00837B87" w:rsidRPr="00202054" w:rsidRDefault="00366BC6">
      <w:pPr>
        <w:pStyle w:val="ClinMainKeywordCode"/>
        <w:rPr>
          <w:lang w:val="pl-PL"/>
        </w:rPr>
      </w:pPr>
      <w:r w:rsidRPr="00202054">
        <w:rPr>
          <w:lang w:val="pl-PL"/>
        </w:rPr>
        <w:t>Art</w:t>
      </w:r>
      <w:r w:rsidR="009A60F1" w:rsidRPr="00202054">
        <w:rPr>
          <w:lang w:val="pl-PL"/>
        </w:rPr>
        <w:t>.</w:t>
      </w:r>
      <w:r w:rsidRPr="00202054">
        <w:rPr>
          <w:lang w:val="pl-PL"/>
        </w:rPr>
        <w:t xml:space="preserve"> 8</w:t>
      </w:r>
    </w:p>
    <w:p w14:paraId="30DDE234" w14:textId="77777777" w:rsidR="00837B87" w:rsidRPr="00202054" w:rsidRDefault="00366BC6">
      <w:pPr>
        <w:pStyle w:val="ClinChildKeywordCode"/>
        <w:rPr>
          <w:lang w:val="pl-PL"/>
        </w:rPr>
      </w:pPr>
      <w:r w:rsidRPr="00202054">
        <w:rPr>
          <w:lang w:val="pl-PL"/>
        </w:rPr>
        <w:t>Art</w:t>
      </w:r>
      <w:r w:rsidR="009A60F1" w:rsidRPr="00202054">
        <w:rPr>
          <w:lang w:val="pl-PL"/>
        </w:rPr>
        <w:t>.</w:t>
      </w:r>
      <w:r w:rsidRPr="00202054">
        <w:rPr>
          <w:lang w:val="pl-PL"/>
        </w:rPr>
        <w:t xml:space="preserve"> 8</w:t>
      </w:r>
      <w:r w:rsidR="009A60F1" w:rsidRPr="00202054">
        <w:rPr>
          <w:lang w:val="pl-PL"/>
        </w:rPr>
        <w:t xml:space="preserve"> ust. </w:t>
      </w:r>
      <w:r w:rsidRPr="00202054">
        <w:rPr>
          <w:lang w:val="pl-PL"/>
        </w:rPr>
        <w:t>1</w:t>
      </w:r>
    </w:p>
    <w:p w14:paraId="4B3BB00B" w14:textId="77777777" w:rsidR="00837B87" w:rsidRPr="009A60F1" w:rsidRDefault="009A60F1">
      <w:pPr>
        <w:pStyle w:val="ClinKeyword"/>
        <w:rPr>
          <w:lang w:val="pl-PL"/>
        </w:rPr>
      </w:pPr>
      <w:r w:rsidRPr="009A60F1">
        <w:rPr>
          <w:lang w:val="pl-PL"/>
        </w:rPr>
        <w:t xml:space="preserve">Poszanowanie życia rodzinnego </w:t>
      </w:r>
    </w:p>
    <w:p w14:paraId="4BDD76F4" w14:textId="77777777" w:rsidR="00837B87" w:rsidRPr="00EC5762" w:rsidRDefault="009A60F1">
      <w:pPr>
        <w:pStyle w:val="ClinKeyword"/>
        <w:rPr>
          <w:lang w:val="pl-PL"/>
        </w:rPr>
      </w:pPr>
      <w:r w:rsidRPr="00EC5762">
        <w:rPr>
          <w:lang w:val="pl-PL"/>
        </w:rPr>
        <w:t xml:space="preserve">Poszanowanie życia prywatnego </w:t>
      </w:r>
    </w:p>
    <w:p w14:paraId="0A294A22" w14:textId="77777777" w:rsidR="009A60F1" w:rsidRPr="009A60F1" w:rsidRDefault="009A60F1" w:rsidP="00D072A6">
      <w:pPr>
        <w:jc w:val="both"/>
        <w:rPr>
          <w:lang w:val="pl-PL"/>
        </w:rPr>
      </w:pPr>
      <w:r w:rsidRPr="009A60F1">
        <w:rPr>
          <w:rStyle w:val="ClinConclusions"/>
          <w:i w:val="0"/>
          <w:lang w:val="pl-PL"/>
        </w:rPr>
        <w:t xml:space="preserve">Pozbawienie obywatelstwa </w:t>
      </w:r>
      <w:r w:rsidR="00EC5762">
        <w:rPr>
          <w:rStyle w:val="ClinConclusions"/>
          <w:i w:val="0"/>
          <w:lang w:val="pl-PL"/>
        </w:rPr>
        <w:t>pozwanego p</w:t>
      </w:r>
      <w:r w:rsidRPr="009A60F1">
        <w:rPr>
          <w:rStyle w:val="ClinConclusions"/>
          <w:i w:val="0"/>
          <w:lang w:val="pl-PL"/>
        </w:rPr>
        <w:t>aństwa w oparciu o skazanie za przestępstwo terrorystyczne popełnione ponad 10 lat wcześniej:</w:t>
      </w:r>
      <w:r w:rsidRPr="009A60F1">
        <w:rPr>
          <w:rStyle w:val="ClinConclusions"/>
          <w:lang w:val="pl-PL"/>
        </w:rPr>
        <w:t xml:space="preserve"> brak naruszenia</w:t>
      </w:r>
    </w:p>
    <w:p w14:paraId="6D0DA582" w14:textId="77777777" w:rsidR="00837B87" w:rsidRPr="00072F5E" w:rsidRDefault="00366BC6">
      <w:pPr>
        <w:pStyle w:val="ClinMainKeywordCode"/>
        <w:rPr>
          <w:lang w:val="pl-PL"/>
        </w:rPr>
      </w:pPr>
      <w:r w:rsidRPr="00072F5E">
        <w:rPr>
          <w:lang w:val="pl-PL"/>
        </w:rPr>
        <w:t>Art</w:t>
      </w:r>
      <w:r w:rsidR="00072F5E" w:rsidRPr="00072F5E">
        <w:rPr>
          <w:lang w:val="pl-PL"/>
        </w:rPr>
        <w:t>.</w:t>
      </w:r>
      <w:r w:rsidRPr="00072F5E">
        <w:rPr>
          <w:lang w:val="pl-PL"/>
        </w:rPr>
        <w:t xml:space="preserve"> 4 Proto</w:t>
      </w:r>
      <w:r w:rsidR="00072F5E" w:rsidRPr="00072F5E">
        <w:rPr>
          <w:lang w:val="pl-PL"/>
        </w:rPr>
        <w:t>kołu nr</w:t>
      </w:r>
      <w:r w:rsidRPr="00072F5E">
        <w:rPr>
          <w:lang w:val="pl-PL"/>
        </w:rPr>
        <w:t xml:space="preserve"> 7</w:t>
      </w:r>
    </w:p>
    <w:p w14:paraId="3F935E0B" w14:textId="77777777" w:rsidR="00072F5E" w:rsidRPr="00072F5E" w:rsidRDefault="00072F5E">
      <w:pPr>
        <w:pStyle w:val="ClinKeyword"/>
        <w:rPr>
          <w:lang w:val="pl-PL"/>
        </w:rPr>
      </w:pPr>
      <w:r w:rsidRPr="00072F5E">
        <w:rPr>
          <w:lang w:val="pl-PL"/>
        </w:rPr>
        <w:t>Prawo do niepodlegania ponownemu sądzeniu lub karaniu</w:t>
      </w:r>
    </w:p>
    <w:p w14:paraId="138BA28B" w14:textId="77777777" w:rsidR="00072F5E" w:rsidRPr="00072F5E" w:rsidRDefault="00072F5E" w:rsidP="00D072A6">
      <w:pPr>
        <w:jc w:val="both"/>
        <w:rPr>
          <w:lang w:val="pl-PL"/>
        </w:rPr>
      </w:pPr>
      <w:r w:rsidRPr="00072F5E">
        <w:rPr>
          <w:rStyle w:val="ClinConclusions"/>
          <w:i w:val="0"/>
          <w:lang w:val="pl-PL"/>
        </w:rPr>
        <w:t xml:space="preserve">Pozbawienie obywatelstwa pozwanego </w:t>
      </w:r>
      <w:r w:rsidR="00EC5762" w:rsidRPr="009D5A81">
        <w:rPr>
          <w:rStyle w:val="ClinConclusions"/>
          <w:i w:val="0"/>
          <w:lang w:val="pl-PL"/>
        </w:rPr>
        <w:t>p</w:t>
      </w:r>
      <w:r w:rsidRPr="00072F5E">
        <w:rPr>
          <w:rStyle w:val="ClinConclusions"/>
          <w:i w:val="0"/>
          <w:lang w:val="pl-PL"/>
        </w:rPr>
        <w:t xml:space="preserve">aństwa w oparciu o skazanie za </w:t>
      </w:r>
      <w:r w:rsidR="00202054">
        <w:rPr>
          <w:rStyle w:val="ClinConclusions"/>
          <w:i w:val="0"/>
          <w:lang w:val="pl-PL"/>
        </w:rPr>
        <w:t xml:space="preserve">dawne </w:t>
      </w:r>
      <w:r w:rsidRPr="00072F5E">
        <w:rPr>
          <w:rStyle w:val="ClinConclusions"/>
          <w:i w:val="0"/>
          <w:lang w:val="pl-PL"/>
        </w:rPr>
        <w:t xml:space="preserve">przestępstwo terrorystyczne: </w:t>
      </w:r>
      <w:r>
        <w:rPr>
          <w:rStyle w:val="ClinConclusions"/>
          <w:lang w:val="pl-PL"/>
        </w:rPr>
        <w:t>niedopuszczalność skargi</w:t>
      </w:r>
    </w:p>
    <w:p w14:paraId="6EE75A1A" w14:textId="4834A05D" w:rsidR="00387E49" w:rsidRPr="00387E49" w:rsidRDefault="00387E49">
      <w:pPr>
        <w:pStyle w:val="ClinContent"/>
        <w:rPr>
          <w:lang w:val="pl-PL"/>
        </w:rPr>
      </w:pPr>
      <w:r w:rsidRPr="00387E49">
        <w:rPr>
          <w:i/>
          <w:lang w:val="pl-PL"/>
        </w:rPr>
        <w:t>Fakty</w:t>
      </w:r>
      <w:r w:rsidRPr="00387E49">
        <w:rPr>
          <w:lang w:val="pl-PL"/>
        </w:rPr>
        <w:t xml:space="preserve"> – Skarżący mieli poprzednio podwójne obywatelstwo. </w:t>
      </w:r>
      <w:r>
        <w:rPr>
          <w:lang w:val="pl-PL"/>
        </w:rPr>
        <w:t>W 2007 r. (w 2008 r. ci, którzy złożyli apelacj</w:t>
      </w:r>
      <w:r w:rsidR="00045C4F">
        <w:rPr>
          <w:lang w:val="pl-PL"/>
        </w:rPr>
        <w:t>e</w:t>
      </w:r>
      <w:r>
        <w:rPr>
          <w:lang w:val="pl-PL"/>
        </w:rPr>
        <w:t>) zostali skazan</w:t>
      </w:r>
      <w:r w:rsidR="00886706">
        <w:rPr>
          <w:lang w:val="pl-PL"/>
        </w:rPr>
        <w:t>i</w:t>
      </w:r>
      <w:r>
        <w:rPr>
          <w:lang w:val="pl-PL"/>
        </w:rPr>
        <w:t xml:space="preserve"> za </w:t>
      </w:r>
      <w:r w:rsidR="00C04D88">
        <w:rPr>
          <w:lang w:val="pl-PL"/>
        </w:rPr>
        <w:t>zmowę przestępczą</w:t>
      </w:r>
      <w:r>
        <w:rPr>
          <w:lang w:val="pl-PL"/>
        </w:rPr>
        <w:t xml:space="preserve"> </w:t>
      </w:r>
      <w:r w:rsidR="00A24DC8">
        <w:rPr>
          <w:lang w:val="pl-PL"/>
        </w:rPr>
        <w:t>mającą na</w:t>
      </w:r>
      <w:r>
        <w:rPr>
          <w:lang w:val="pl-PL"/>
        </w:rPr>
        <w:t xml:space="preserve"> celu popeł</w:t>
      </w:r>
      <w:r w:rsidR="00A24DC8">
        <w:rPr>
          <w:lang w:val="pl-PL"/>
        </w:rPr>
        <w:t>nienie</w:t>
      </w:r>
      <w:r>
        <w:rPr>
          <w:lang w:val="pl-PL"/>
        </w:rPr>
        <w:t xml:space="preserve"> aktu terrorystycznego, a wyroki skazujące uprawomocniły się. Po odbyciu kar zostali zwolnieni w</w:t>
      </w:r>
      <w:r w:rsidR="00886706">
        <w:rPr>
          <w:lang w:val="pl-PL"/>
        </w:rPr>
        <w:t xml:space="preserve"> </w:t>
      </w:r>
      <w:r w:rsidR="00886706">
        <w:rPr>
          <w:lang w:val="pl-PL"/>
        </w:rPr>
        <w:t>latach</w:t>
      </w:r>
      <w:r>
        <w:rPr>
          <w:lang w:val="pl-PL"/>
        </w:rPr>
        <w:t xml:space="preserve"> </w:t>
      </w:r>
      <w:r>
        <w:rPr>
          <w:lang w:val="pl-PL"/>
        </w:rPr>
        <w:t>2009</w:t>
      </w:r>
      <w:r w:rsidR="00886706">
        <w:rPr>
          <w:lang w:val="pl-PL"/>
        </w:rPr>
        <w:t xml:space="preserve"> i </w:t>
      </w:r>
      <w:r>
        <w:rPr>
          <w:lang w:val="pl-PL"/>
        </w:rPr>
        <w:t>2010. Po poważnych zamachach terrorystycznych, jakie miały miejsce we</w:t>
      </w:r>
      <w:r w:rsidR="00CF5189">
        <w:rPr>
          <w:lang w:val="pl-PL"/>
        </w:rPr>
        <w:t> </w:t>
      </w:r>
      <w:r>
        <w:rPr>
          <w:lang w:val="pl-PL"/>
        </w:rPr>
        <w:t xml:space="preserve">Francji w 2015 r., władze postanowiły wzmocnić środki przeciwko osobom skazanym za przestępstwa terrorystyczne. </w:t>
      </w:r>
      <w:r w:rsidR="00FC66A0">
        <w:rPr>
          <w:lang w:val="pl-PL"/>
        </w:rPr>
        <w:t>W tym kontekście w październiku 2015 r. skarżący zostali pozbawieni obywatelstwa francuskiego na mocy decyzji premiera zatwierdzon</w:t>
      </w:r>
      <w:r w:rsidR="00DC407A">
        <w:rPr>
          <w:lang w:val="pl-PL"/>
        </w:rPr>
        <w:t>ych</w:t>
      </w:r>
      <w:r w:rsidR="00FC66A0">
        <w:rPr>
          <w:lang w:val="pl-PL"/>
        </w:rPr>
        <w:t xml:space="preserve"> przez Radę Stanu (</w:t>
      </w:r>
      <w:r w:rsidR="00FC66A0" w:rsidRPr="00FC66A0">
        <w:rPr>
          <w:i/>
          <w:lang w:val="pl-PL"/>
        </w:rPr>
        <w:t>Conseil d’État</w:t>
      </w:r>
      <w:r w:rsidR="00FC66A0">
        <w:rPr>
          <w:lang w:val="pl-PL"/>
        </w:rPr>
        <w:t xml:space="preserve">). Ich wniesione w trybie pilnym </w:t>
      </w:r>
      <w:r w:rsidR="00FC66A0" w:rsidRPr="00BE63B6">
        <w:rPr>
          <w:lang w:val="pl-PL"/>
        </w:rPr>
        <w:t>wnioski o zawieszenie tych środków i ich unieważnienie z powodu nadużycia władzy zostały oddalone.</w:t>
      </w:r>
      <w:r w:rsidR="00FC66A0">
        <w:rPr>
          <w:lang w:val="pl-PL"/>
        </w:rPr>
        <w:t xml:space="preserve"> </w:t>
      </w:r>
    </w:p>
    <w:p w14:paraId="3C788CB5" w14:textId="77777777" w:rsidR="00563F87" w:rsidRPr="00202054" w:rsidRDefault="00563F87">
      <w:pPr>
        <w:pStyle w:val="ClinContent"/>
        <w:rPr>
          <w:lang w:val="pl-PL"/>
        </w:rPr>
      </w:pPr>
      <w:r w:rsidRPr="00202054">
        <w:rPr>
          <w:i/>
          <w:lang w:val="pl-PL"/>
        </w:rPr>
        <w:t xml:space="preserve">Prawo – </w:t>
      </w:r>
      <w:r w:rsidRPr="00202054">
        <w:rPr>
          <w:lang w:val="pl-PL"/>
        </w:rPr>
        <w:t>Art. 8</w:t>
      </w:r>
    </w:p>
    <w:p w14:paraId="77BADFEE" w14:textId="23E29EF5" w:rsidR="00563F87" w:rsidRPr="00563F87" w:rsidRDefault="00563F87">
      <w:pPr>
        <w:pStyle w:val="ClinContent"/>
        <w:rPr>
          <w:i/>
          <w:lang w:val="pl-PL"/>
        </w:rPr>
      </w:pPr>
      <w:r w:rsidRPr="00563F87">
        <w:rPr>
          <w:lang w:val="pl-PL"/>
        </w:rPr>
        <w:t xml:space="preserve">1. </w:t>
      </w:r>
      <w:r w:rsidRPr="00563F87">
        <w:rPr>
          <w:i/>
          <w:lang w:val="pl-PL"/>
        </w:rPr>
        <w:t>Życie rodzinne</w:t>
      </w:r>
      <w:r w:rsidRPr="00563F87">
        <w:rPr>
          <w:lang w:val="pl-PL"/>
        </w:rPr>
        <w:t xml:space="preserve"> – Zarzut skarżących </w:t>
      </w:r>
      <w:r>
        <w:rPr>
          <w:lang w:val="pl-PL"/>
        </w:rPr>
        <w:t xml:space="preserve">w tym zakresie został już uznany za nieodpuszczalny decyzją jednego sędziego, gdyż nie stwierdzono ingerencji. </w:t>
      </w:r>
      <w:r w:rsidR="006A4881">
        <w:rPr>
          <w:lang w:val="pl-PL"/>
        </w:rPr>
        <w:t>Decyzja o pozbawieniu osoby obywatelstwa francuskiego nie wywołuje skutku w odniesieniu do pobytu tej osoby we</w:t>
      </w:r>
      <w:r w:rsidR="00CF5189">
        <w:rPr>
          <w:lang w:val="pl-PL"/>
        </w:rPr>
        <w:t> </w:t>
      </w:r>
      <w:r w:rsidR="006A4881">
        <w:rPr>
          <w:lang w:val="pl-PL"/>
        </w:rPr>
        <w:t xml:space="preserve">Francji. Ponadto </w:t>
      </w:r>
      <w:r w:rsidR="00045C4F">
        <w:rPr>
          <w:lang w:val="pl-PL"/>
        </w:rPr>
        <w:t xml:space="preserve">wszyscy </w:t>
      </w:r>
      <w:r w:rsidR="006A4881">
        <w:rPr>
          <w:lang w:val="pl-PL"/>
        </w:rPr>
        <w:t xml:space="preserve">skarżący wystąpili o pozwolenia na pobyt </w:t>
      </w:r>
      <w:r w:rsidR="00043035">
        <w:rPr>
          <w:lang w:val="pl-PL"/>
        </w:rPr>
        <w:t xml:space="preserve">w oparciu o </w:t>
      </w:r>
      <w:r w:rsidR="006A4881">
        <w:rPr>
          <w:lang w:val="pl-PL"/>
        </w:rPr>
        <w:t>„</w:t>
      </w:r>
      <w:r w:rsidR="00043035">
        <w:rPr>
          <w:lang w:val="pl-PL"/>
        </w:rPr>
        <w:t>życie prywatne i rodzinne</w:t>
      </w:r>
      <w:r w:rsidR="00045C4F">
        <w:rPr>
          <w:lang w:val="pl-PL"/>
        </w:rPr>
        <w:t>” i</w:t>
      </w:r>
      <w:r w:rsidR="006A4881">
        <w:rPr>
          <w:lang w:val="pl-PL"/>
        </w:rPr>
        <w:t xml:space="preserve"> uzyskali potwierdzenia </w:t>
      </w:r>
      <w:r w:rsidR="006A4881" w:rsidRPr="00BE63B6">
        <w:rPr>
          <w:lang w:val="pl-PL"/>
        </w:rPr>
        <w:t>złożenia wniosków</w:t>
      </w:r>
      <w:r w:rsidR="00DC407A">
        <w:rPr>
          <w:lang w:val="pl-PL"/>
        </w:rPr>
        <w:t>, które</w:t>
      </w:r>
      <w:r w:rsidR="006A4881">
        <w:rPr>
          <w:lang w:val="pl-PL"/>
        </w:rPr>
        <w:t xml:space="preserve"> zezwala im</w:t>
      </w:r>
      <w:r w:rsidR="00CF5189">
        <w:rPr>
          <w:lang w:val="pl-PL"/>
        </w:rPr>
        <w:t> </w:t>
      </w:r>
      <w:r w:rsidR="006A4881">
        <w:rPr>
          <w:lang w:val="pl-PL"/>
        </w:rPr>
        <w:t>na</w:t>
      </w:r>
      <w:r w:rsidR="00CF5189">
        <w:rPr>
          <w:lang w:val="pl-PL"/>
        </w:rPr>
        <w:t> </w:t>
      </w:r>
      <w:r w:rsidR="006A4881">
        <w:rPr>
          <w:lang w:val="pl-PL"/>
        </w:rPr>
        <w:t xml:space="preserve">pozostanie we Francji. </w:t>
      </w:r>
      <w:r w:rsidR="009F5011">
        <w:rPr>
          <w:lang w:val="pl-PL"/>
        </w:rPr>
        <w:t xml:space="preserve">Jeśli ostatecznie zostanie podjęta decyzja o odmowie prawa pobytu i deportacji, będą mogli odwoływać się od tych </w:t>
      </w:r>
      <w:r w:rsidR="00045C4F">
        <w:rPr>
          <w:lang w:val="pl-PL"/>
        </w:rPr>
        <w:t>konkretnie</w:t>
      </w:r>
      <w:r w:rsidR="00043035">
        <w:rPr>
          <w:lang w:val="pl-PL"/>
        </w:rPr>
        <w:t xml:space="preserve"> </w:t>
      </w:r>
      <w:r w:rsidR="009F5011">
        <w:rPr>
          <w:lang w:val="pl-PL"/>
        </w:rPr>
        <w:t>środków do sądu administracyjnego.</w:t>
      </w:r>
    </w:p>
    <w:p w14:paraId="572DA80B" w14:textId="511F82F6" w:rsidR="009F5011" w:rsidRPr="009F5011" w:rsidRDefault="009F5011">
      <w:pPr>
        <w:pStyle w:val="ClinContent"/>
        <w:rPr>
          <w:lang w:val="pl-PL"/>
        </w:rPr>
      </w:pPr>
      <w:r w:rsidRPr="009F5011">
        <w:rPr>
          <w:lang w:val="pl-PL"/>
        </w:rPr>
        <w:lastRenderedPageBreak/>
        <w:t xml:space="preserve">2. </w:t>
      </w:r>
      <w:r w:rsidRPr="009F5011">
        <w:rPr>
          <w:i/>
          <w:lang w:val="pl-PL"/>
        </w:rPr>
        <w:t xml:space="preserve">Życie prywatne </w:t>
      </w:r>
      <w:r w:rsidRPr="009F5011">
        <w:rPr>
          <w:lang w:val="pl-PL"/>
        </w:rPr>
        <w:t>– Pozbawienie obywatelstwa nie wydawało się ani arbitralne, ani</w:t>
      </w:r>
      <w:r w:rsidR="00CF5189">
        <w:rPr>
          <w:lang w:val="pl-PL"/>
        </w:rPr>
        <w:t> </w:t>
      </w:r>
      <w:r w:rsidRPr="009F5011">
        <w:rPr>
          <w:lang w:val="pl-PL"/>
        </w:rPr>
        <w:t xml:space="preserve">nieproporcjonalne pod względem skutków. </w:t>
      </w:r>
    </w:p>
    <w:p w14:paraId="0D948E22" w14:textId="77777777" w:rsidR="009F5011" w:rsidRPr="009F5011" w:rsidRDefault="009F5011">
      <w:pPr>
        <w:pStyle w:val="ClinContent"/>
        <w:rPr>
          <w:i/>
          <w:lang w:val="pl-PL"/>
        </w:rPr>
      </w:pPr>
      <w:r w:rsidRPr="009F5011">
        <w:rPr>
          <w:lang w:val="pl-PL"/>
        </w:rPr>
        <w:t xml:space="preserve">a) </w:t>
      </w:r>
      <w:r w:rsidRPr="009F5011">
        <w:rPr>
          <w:i/>
          <w:lang w:val="pl-PL"/>
        </w:rPr>
        <w:t>Brak arbitralności: ramy czasowe, zgodność z prawem i gwarancje proceduralne</w:t>
      </w:r>
    </w:p>
    <w:p w14:paraId="171D638E" w14:textId="77777777" w:rsidR="009F5011" w:rsidRPr="00895EAD" w:rsidRDefault="009F5011">
      <w:pPr>
        <w:pStyle w:val="ClinContent"/>
        <w:rPr>
          <w:lang w:val="pl-PL"/>
        </w:rPr>
      </w:pPr>
      <w:r w:rsidRPr="00895EAD">
        <w:rPr>
          <w:lang w:val="pl-PL"/>
        </w:rPr>
        <w:t xml:space="preserve">i) </w:t>
      </w:r>
      <w:r w:rsidRPr="00895EAD">
        <w:rPr>
          <w:i/>
          <w:lang w:val="pl-PL"/>
        </w:rPr>
        <w:t xml:space="preserve">Staranność i szybkość </w:t>
      </w:r>
      <w:r w:rsidR="00895EAD" w:rsidRPr="00895EAD">
        <w:rPr>
          <w:i/>
          <w:lang w:val="pl-PL"/>
        </w:rPr>
        <w:t>–</w:t>
      </w:r>
      <w:r w:rsidR="00C1657F">
        <w:rPr>
          <w:i/>
          <w:lang w:val="pl-PL"/>
        </w:rPr>
        <w:t xml:space="preserve"> </w:t>
      </w:r>
      <w:r w:rsidR="00C1657F">
        <w:rPr>
          <w:lang w:val="pl-PL"/>
        </w:rPr>
        <w:t>O</w:t>
      </w:r>
      <w:r w:rsidR="00895EAD" w:rsidRPr="00895EAD">
        <w:rPr>
          <w:lang w:val="pl-PL"/>
        </w:rPr>
        <w:t xml:space="preserve">rgany administracyjne poinformowały skarżących o zamiarze pozbawienia ich obywatelstwa francuskiego dopiero po 10 latach od </w:t>
      </w:r>
      <w:r w:rsidR="00895EAD">
        <w:rPr>
          <w:lang w:val="pl-PL"/>
        </w:rPr>
        <w:t xml:space="preserve">przestępstw, za które zostali skazani, po 8 latach od wyroku pierwszej instancji i po prawie 7 latach </w:t>
      </w:r>
      <w:r w:rsidR="006C4F07">
        <w:rPr>
          <w:lang w:val="pl-PL"/>
        </w:rPr>
        <w:t xml:space="preserve">od wyroku apelacyjnego (w przypadku skarżących, którzy złożyli apelację). </w:t>
      </w:r>
    </w:p>
    <w:p w14:paraId="5D80F0B6" w14:textId="78A985DA" w:rsidR="00F85499" w:rsidRPr="00F85499" w:rsidRDefault="00F85499">
      <w:pPr>
        <w:pStyle w:val="ClinContent"/>
        <w:rPr>
          <w:lang w:val="pl-PL"/>
        </w:rPr>
      </w:pPr>
      <w:r w:rsidRPr="00F85499">
        <w:rPr>
          <w:lang w:val="pl-PL"/>
        </w:rPr>
        <w:t xml:space="preserve">Trybunał odnotował wyjaśnienie </w:t>
      </w:r>
      <w:r w:rsidRPr="00BB477E">
        <w:rPr>
          <w:lang w:val="pl-PL"/>
        </w:rPr>
        <w:t>r</w:t>
      </w:r>
      <w:r w:rsidRPr="00F85499">
        <w:rPr>
          <w:lang w:val="pl-PL"/>
        </w:rPr>
        <w:t>ządu, że decyzja została podjęta po tak długim czasie z</w:t>
      </w:r>
      <w:r w:rsidR="00CF5189">
        <w:rPr>
          <w:lang w:val="pl-PL"/>
        </w:rPr>
        <w:t> </w:t>
      </w:r>
      <w:r w:rsidRPr="00F85499">
        <w:rPr>
          <w:lang w:val="pl-PL"/>
        </w:rPr>
        <w:t>powodu sytuacji w 2015 r.,</w:t>
      </w:r>
      <w:r>
        <w:rPr>
          <w:lang w:val="pl-PL"/>
        </w:rPr>
        <w:t xml:space="preserve"> kiedy to Francja </w:t>
      </w:r>
      <w:r w:rsidR="006B4909">
        <w:rPr>
          <w:lang w:val="pl-PL"/>
        </w:rPr>
        <w:t xml:space="preserve">stała się celem szeregu </w:t>
      </w:r>
      <w:r>
        <w:rPr>
          <w:lang w:val="pl-PL"/>
        </w:rPr>
        <w:t xml:space="preserve">poważnych zamachów terrorystycznych. </w:t>
      </w:r>
    </w:p>
    <w:p w14:paraId="369F63D0" w14:textId="37B724C3" w:rsidR="006B4909" w:rsidRPr="006B4909" w:rsidRDefault="006B4909">
      <w:pPr>
        <w:pStyle w:val="ClinContent"/>
        <w:rPr>
          <w:lang w:val="pl-PL"/>
        </w:rPr>
      </w:pPr>
      <w:r w:rsidRPr="006B4909">
        <w:rPr>
          <w:lang w:val="pl-PL"/>
        </w:rPr>
        <w:t xml:space="preserve">Choć skarżący twierdzili, że zwłoka ta sprawiła, że środki przeciwko nim nabrały konotacji politycznych, Trybunał mógł zaakceptować, że </w:t>
      </w:r>
      <w:r>
        <w:rPr>
          <w:lang w:val="pl-PL"/>
        </w:rPr>
        <w:t xml:space="preserve">w obliczu wydarzeń o takim charakterze państwo może ponownie ocenić </w:t>
      </w:r>
      <w:r w:rsidR="00E01F4F">
        <w:rPr>
          <w:lang w:val="pl-PL"/>
        </w:rPr>
        <w:t>–</w:t>
      </w:r>
      <w:r>
        <w:rPr>
          <w:lang w:val="pl-PL"/>
        </w:rPr>
        <w:t xml:space="preserve"> </w:t>
      </w:r>
      <w:r w:rsidR="005E017A">
        <w:rPr>
          <w:lang w:val="pl-PL"/>
        </w:rPr>
        <w:t>bardziej rygorystycznie</w:t>
      </w:r>
      <w:r w:rsidR="00E01F4F">
        <w:rPr>
          <w:lang w:val="pl-PL"/>
        </w:rPr>
        <w:t xml:space="preserve"> – czy osoby skazane za</w:t>
      </w:r>
      <w:r w:rsidR="00CF5189">
        <w:rPr>
          <w:lang w:val="pl-PL"/>
        </w:rPr>
        <w:t> </w:t>
      </w:r>
      <w:r w:rsidR="00E01F4F">
        <w:rPr>
          <w:lang w:val="pl-PL"/>
        </w:rPr>
        <w:t>przestęp</w:t>
      </w:r>
      <w:r w:rsidR="00045C4F">
        <w:rPr>
          <w:lang w:val="pl-PL"/>
        </w:rPr>
        <w:t>stwo stanowiące akt terroryzmu</w:t>
      </w:r>
      <w:r w:rsidR="00E01F4F">
        <w:rPr>
          <w:lang w:val="pl-PL"/>
        </w:rPr>
        <w:t xml:space="preserve"> w dalszym ciągu zachowują więź lojalności i</w:t>
      </w:r>
      <w:r w:rsidR="00CF5189">
        <w:rPr>
          <w:lang w:val="pl-PL"/>
        </w:rPr>
        <w:t> </w:t>
      </w:r>
      <w:r w:rsidR="00E01F4F">
        <w:rPr>
          <w:lang w:val="pl-PL"/>
        </w:rPr>
        <w:t xml:space="preserve">solidarności z </w:t>
      </w:r>
      <w:r w:rsidR="0078683A">
        <w:rPr>
          <w:lang w:val="pl-PL"/>
        </w:rPr>
        <w:t xml:space="preserve">tym </w:t>
      </w:r>
      <w:r w:rsidR="00E01F4F">
        <w:rPr>
          <w:lang w:val="pl-PL"/>
        </w:rPr>
        <w:t xml:space="preserve">państwem, i może zatem </w:t>
      </w:r>
      <w:r w:rsidR="000E193E">
        <w:rPr>
          <w:lang w:val="pl-PL"/>
        </w:rPr>
        <w:t xml:space="preserve">postanowić </w:t>
      </w:r>
      <w:r w:rsidR="00E01F4F">
        <w:rPr>
          <w:lang w:val="pl-PL"/>
        </w:rPr>
        <w:t xml:space="preserve">– pod warunkiem przeprowadzenia </w:t>
      </w:r>
      <w:r w:rsidR="005E017A">
        <w:rPr>
          <w:lang w:val="pl-PL"/>
        </w:rPr>
        <w:t>rygorystycznego</w:t>
      </w:r>
      <w:r w:rsidR="005E017A">
        <w:rPr>
          <w:lang w:val="pl-PL"/>
        </w:rPr>
        <w:t xml:space="preserve"> </w:t>
      </w:r>
      <w:r w:rsidR="0078683A">
        <w:rPr>
          <w:lang w:val="pl-PL"/>
        </w:rPr>
        <w:t>badania proporcjonalności –</w:t>
      </w:r>
      <w:r w:rsidR="000E193E">
        <w:rPr>
          <w:lang w:val="pl-PL"/>
        </w:rPr>
        <w:t xml:space="preserve"> </w:t>
      </w:r>
      <w:r w:rsidR="0078683A">
        <w:rPr>
          <w:lang w:val="pl-PL"/>
        </w:rPr>
        <w:t xml:space="preserve">o podjęciu wobec nich środków, których początkowo nie podjęło. </w:t>
      </w:r>
    </w:p>
    <w:p w14:paraId="1BC4F968" w14:textId="77777777" w:rsidR="000E193E" w:rsidRPr="000E193E" w:rsidRDefault="000E193E">
      <w:pPr>
        <w:pStyle w:val="ClinContent"/>
        <w:rPr>
          <w:lang w:val="pl-PL"/>
        </w:rPr>
      </w:pPr>
      <w:r w:rsidRPr="000E193E">
        <w:rPr>
          <w:lang w:val="pl-PL"/>
        </w:rPr>
        <w:t xml:space="preserve">W związku z powyższym czas, </w:t>
      </w:r>
      <w:r>
        <w:rPr>
          <w:lang w:val="pl-PL"/>
        </w:rPr>
        <w:t xml:space="preserve">który upłynął między skazaniem skarżących a pozbawieniem ich obywatelstwa, nie był sam w sobie wystarczający do uznania tego środka za arbitralny. </w:t>
      </w:r>
    </w:p>
    <w:p w14:paraId="6EA0D243" w14:textId="2DA819A3" w:rsidR="00C50DFA" w:rsidRPr="00C50DFA" w:rsidRDefault="00C50DFA">
      <w:pPr>
        <w:pStyle w:val="ClinContent"/>
        <w:rPr>
          <w:lang w:val="pl-PL"/>
        </w:rPr>
      </w:pPr>
      <w:r w:rsidRPr="00C50DFA">
        <w:rPr>
          <w:lang w:val="pl-PL"/>
        </w:rPr>
        <w:t xml:space="preserve">ii) </w:t>
      </w:r>
      <w:r w:rsidRPr="00C50DFA">
        <w:rPr>
          <w:i/>
          <w:lang w:val="pl-PL"/>
        </w:rPr>
        <w:t xml:space="preserve">Zgodność z prawem – </w:t>
      </w:r>
      <w:r w:rsidRPr="00C50DFA">
        <w:rPr>
          <w:lang w:val="pl-PL"/>
        </w:rPr>
        <w:t xml:space="preserve">W czasie popełnienia przedmiotowych przestępstw prawo krajowe przewidywało, że </w:t>
      </w:r>
      <w:r>
        <w:rPr>
          <w:lang w:val="pl-PL"/>
        </w:rPr>
        <w:t>można było postanowić o pozbawieniu</w:t>
      </w:r>
      <w:r w:rsidRPr="00C50DFA">
        <w:rPr>
          <w:lang w:val="pl-PL"/>
        </w:rPr>
        <w:t xml:space="preserve"> obywatelstwa </w:t>
      </w:r>
      <w:r>
        <w:rPr>
          <w:lang w:val="pl-PL"/>
        </w:rPr>
        <w:t>w ciągu 10 lat od</w:t>
      </w:r>
      <w:r w:rsidR="00CF5189">
        <w:rPr>
          <w:lang w:val="pl-PL"/>
        </w:rPr>
        <w:t> </w:t>
      </w:r>
      <w:r>
        <w:rPr>
          <w:lang w:val="pl-PL"/>
        </w:rPr>
        <w:t xml:space="preserve">popełnienia czynów, których dotyczyło skazanie. </w:t>
      </w:r>
      <w:r w:rsidR="00344381">
        <w:rPr>
          <w:lang w:val="pl-PL"/>
        </w:rPr>
        <w:t>Decyzje o pozbawieniu skarżących obywatelstwa francuskiego zostały podjęte w 2015 r., nato</w:t>
      </w:r>
      <w:r w:rsidR="00CF578A">
        <w:rPr>
          <w:lang w:val="pl-PL"/>
        </w:rPr>
        <w:t xml:space="preserve">miast </w:t>
      </w:r>
      <w:r w:rsidR="00AA0E4A">
        <w:rPr>
          <w:lang w:val="pl-PL"/>
        </w:rPr>
        <w:t>ostatnie</w:t>
      </w:r>
      <w:r w:rsidR="00AA0E4A">
        <w:rPr>
          <w:lang w:val="pl-PL"/>
        </w:rPr>
        <w:t xml:space="preserve"> </w:t>
      </w:r>
      <w:r w:rsidR="00CF578A">
        <w:rPr>
          <w:lang w:val="pl-PL"/>
        </w:rPr>
        <w:t>przestępstwa miały</w:t>
      </w:r>
      <w:r w:rsidR="00344381">
        <w:rPr>
          <w:lang w:val="pl-PL"/>
        </w:rPr>
        <w:t xml:space="preserve"> miejsce w 2004 r. Jednakże w styczniu 2006 r. ustawodawca wydłużył ten termin do 1</w:t>
      </w:r>
      <w:r w:rsidR="00390F50">
        <w:rPr>
          <w:lang w:val="pl-PL"/>
        </w:rPr>
        <w:t>5</w:t>
      </w:r>
      <w:r w:rsidR="00344381">
        <w:rPr>
          <w:lang w:val="pl-PL"/>
        </w:rPr>
        <w:t xml:space="preserve"> lat, a zgodnie z orzecznictwem Rady Stanu wydłużenie to </w:t>
      </w:r>
      <w:r w:rsidR="008F045A">
        <w:rPr>
          <w:lang w:val="pl-PL"/>
        </w:rPr>
        <w:t>miało zastosowanie ze</w:t>
      </w:r>
      <w:r w:rsidR="00CF5189">
        <w:rPr>
          <w:lang w:val="pl-PL"/>
        </w:rPr>
        <w:t> </w:t>
      </w:r>
      <w:r w:rsidR="008F045A">
        <w:rPr>
          <w:lang w:val="pl-PL"/>
        </w:rPr>
        <w:t xml:space="preserve">skutkiem natychmiastowym. Trybunał stwierdził zatem, że środki podjęte przeciwko skarżącym były zgodne z prawem (zauważając także, że podejście przyjęte przez Radę Stanu było zgodne z orzecznictwem Trybunału na podstawie art. 7 Konwencji). </w:t>
      </w:r>
    </w:p>
    <w:p w14:paraId="2AAF391F" w14:textId="0E8F8C20" w:rsidR="004670F3" w:rsidRPr="004670F3" w:rsidRDefault="004670F3">
      <w:pPr>
        <w:pStyle w:val="ClinContent"/>
        <w:rPr>
          <w:lang w:val="pl-PL"/>
        </w:rPr>
      </w:pPr>
      <w:r w:rsidRPr="004670F3">
        <w:rPr>
          <w:lang w:val="pl-PL"/>
        </w:rPr>
        <w:t xml:space="preserve">iii) </w:t>
      </w:r>
      <w:r w:rsidRPr="004670F3">
        <w:rPr>
          <w:i/>
          <w:lang w:val="pl-PL"/>
        </w:rPr>
        <w:t xml:space="preserve">Gwarancje proceduralne </w:t>
      </w:r>
      <w:r w:rsidRPr="004670F3">
        <w:rPr>
          <w:lang w:val="pl-PL"/>
        </w:rPr>
        <w:t xml:space="preserve">– Zgodnie z prawem krajowym władze powiadomiły skarżących z wyprzedzeniem o zamiarze pozbawienia ich obywatelstwa francuskiego, wyjaśniając im podstawy prawne i faktyczne, </w:t>
      </w:r>
      <w:r>
        <w:rPr>
          <w:lang w:val="pl-PL"/>
        </w:rPr>
        <w:t xml:space="preserve">na których środek ten </w:t>
      </w:r>
      <w:r w:rsidR="00390F50">
        <w:rPr>
          <w:lang w:val="pl-PL"/>
        </w:rPr>
        <w:t xml:space="preserve">miał </w:t>
      </w:r>
      <w:r>
        <w:rPr>
          <w:lang w:val="pl-PL"/>
        </w:rPr>
        <w:t>się</w:t>
      </w:r>
      <w:r w:rsidRPr="004670F3">
        <w:rPr>
          <w:lang w:val="pl-PL"/>
        </w:rPr>
        <w:t xml:space="preserve"> opierać. </w:t>
      </w:r>
      <w:r>
        <w:rPr>
          <w:lang w:val="pl-PL"/>
        </w:rPr>
        <w:t xml:space="preserve">Skarżącym wyznaczono termin jednego miesiąca na przedstawienie uwag w swej obronie. </w:t>
      </w:r>
      <w:r w:rsidR="00F11D05">
        <w:rPr>
          <w:lang w:val="pl-PL"/>
        </w:rPr>
        <w:t xml:space="preserve">Sprawa została następnie przekazana do zaopiniowania przez Radę Stanu, która musiała </w:t>
      </w:r>
      <w:r w:rsidR="00D072A6">
        <w:rPr>
          <w:lang w:val="pl-PL"/>
        </w:rPr>
        <w:t xml:space="preserve">każdorazowo </w:t>
      </w:r>
      <w:r w:rsidR="00F11D05">
        <w:rPr>
          <w:lang w:val="pl-PL"/>
        </w:rPr>
        <w:t>wyrazić zgodę na pozbawienie</w:t>
      </w:r>
      <w:r w:rsidR="006E2565">
        <w:rPr>
          <w:lang w:val="pl-PL"/>
        </w:rPr>
        <w:t xml:space="preserve"> obywatelstwa</w:t>
      </w:r>
      <w:r w:rsidR="00F11D05">
        <w:rPr>
          <w:lang w:val="pl-PL"/>
        </w:rPr>
        <w:t xml:space="preserve">. Decyzje pozbawiające skarżących obywatelstwa zawierały uzasadnienie pod względem prawnym i faktycznym. Skarżący mieli możliwość </w:t>
      </w:r>
      <w:r w:rsidR="006E2565">
        <w:rPr>
          <w:lang w:val="pl-PL"/>
        </w:rPr>
        <w:t xml:space="preserve">zwrócenia się </w:t>
      </w:r>
      <w:r w:rsidR="00F11D05">
        <w:rPr>
          <w:lang w:val="pl-PL"/>
        </w:rPr>
        <w:t>do sędziego rozp</w:t>
      </w:r>
      <w:r w:rsidR="00CF578A">
        <w:rPr>
          <w:lang w:val="pl-PL"/>
        </w:rPr>
        <w:t>oznającego</w:t>
      </w:r>
      <w:r w:rsidR="00F11D05">
        <w:rPr>
          <w:lang w:val="pl-PL"/>
        </w:rPr>
        <w:t xml:space="preserve"> wnioski w trybie pilnym o zawieszenie </w:t>
      </w:r>
      <w:r w:rsidR="00CF578A">
        <w:rPr>
          <w:lang w:val="pl-PL"/>
        </w:rPr>
        <w:t xml:space="preserve">tego </w:t>
      </w:r>
      <w:r w:rsidR="00F11D05">
        <w:rPr>
          <w:lang w:val="pl-PL"/>
        </w:rPr>
        <w:t xml:space="preserve">środka i </w:t>
      </w:r>
      <w:r w:rsidR="00CF578A">
        <w:rPr>
          <w:lang w:val="pl-PL"/>
        </w:rPr>
        <w:t>ubiegania</w:t>
      </w:r>
      <w:r w:rsidR="00960F2A">
        <w:rPr>
          <w:lang w:val="pl-PL"/>
        </w:rPr>
        <w:t xml:space="preserve"> się o jego unieważnienie ze względu na</w:t>
      </w:r>
      <w:r w:rsidR="00CF5189">
        <w:rPr>
          <w:lang w:val="pl-PL"/>
        </w:rPr>
        <w:t> </w:t>
      </w:r>
      <w:r w:rsidR="00960F2A">
        <w:rPr>
          <w:lang w:val="pl-PL"/>
        </w:rPr>
        <w:t xml:space="preserve">nadużycie władzy. Korzystając z pomocy prawnej, byli w stanie powoływać się na prawa wynikające z Konwencji i </w:t>
      </w:r>
      <w:r w:rsidR="007F6DF2">
        <w:rPr>
          <w:lang w:val="pl-PL"/>
        </w:rPr>
        <w:t xml:space="preserve">uzyskali możliwość kontroli proporcjonalności </w:t>
      </w:r>
      <w:r w:rsidR="00EC5762">
        <w:rPr>
          <w:lang w:val="pl-PL"/>
        </w:rPr>
        <w:t xml:space="preserve">decyzji </w:t>
      </w:r>
      <w:r w:rsidR="007F6DF2">
        <w:rPr>
          <w:lang w:val="pl-PL"/>
        </w:rPr>
        <w:t xml:space="preserve">w </w:t>
      </w:r>
      <w:r w:rsidR="007972C5">
        <w:rPr>
          <w:lang w:val="pl-PL"/>
        </w:rPr>
        <w:t>drodze orzeczenia</w:t>
      </w:r>
      <w:r w:rsidR="007F6DF2">
        <w:rPr>
          <w:lang w:val="pl-PL"/>
        </w:rPr>
        <w:t xml:space="preserve"> z uzasadnieniem prz</w:t>
      </w:r>
      <w:r w:rsidR="007972C5">
        <w:rPr>
          <w:lang w:val="pl-PL"/>
        </w:rPr>
        <w:t>yjętego</w:t>
      </w:r>
      <w:r w:rsidR="007F6DF2">
        <w:rPr>
          <w:lang w:val="pl-PL"/>
        </w:rPr>
        <w:t xml:space="preserve"> </w:t>
      </w:r>
      <w:r w:rsidR="00EC5762">
        <w:rPr>
          <w:lang w:val="pl-PL"/>
        </w:rPr>
        <w:t>w wyniku postępowania</w:t>
      </w:r>
      <w:r w:rsidR="007F6DF2">
        <w:rPr>
          <w:lang w:val="pl-PL"/>
        </w:rPr>
        <w:t xml:space="preserve">, którego kontradyktoryjnego charakteru nie kwestionowali. </w:t>
      </w:r>
    </w:p>
    <w:p w14:paraId="1F2F1994" w14:textId="732A7FAA" w:rsidR="00012FEC" w:rsidRPr="00012FEC" w:rsidRDefault="00012FEC">
      <w:pPr>
        <w:pStyle w:val="ClinContent"/>
        <w:rPr>
          <w:lang w:val="pl-PL"/>
        </w:rPr>
      </w:pPr>
      <w:r w:rsidRPr="00012FEC">
        <w:rPr>
          <w:lang w:val="pl-PL"/>
        </w:rPr>
        <w:t xml:space="preserve">b) </w:t>
      </w:r>
      <w:r w:rsidRPr="00012FEC">
        <w:rPr>
          <w:i/>
          <w:lang w:val="pl-PL"/>
        </w:rPr>
        <w:t xml:space="preserve">Brak nieproporcjonalnych skutków – </w:t>
      </w:r>
      <w:r w:rsidR="00B5022A">
        <w:rPr>
          <w:lang w:val="pl-PL"/>
        </w:rPr>
        <w:t>Należy się zgodzić</w:t>
      </w:r>
      <w:r w:rsidRPr="00012FEC">
        <w:rPr>
          <w:lang w:val="pl-PL"/>
        </w:rPr>
        <w:t xml:space="preserve">, że perspektywy pozostania przez skarżących we Francji stały się bardziej niepewne. </w:t>
      </w:r>
      <w:r w:rsidR="009424B0">
        <w:rPr>
          <w:lang w:val="pl-PL"/>
        </w:rPr>
        <w:t xml:space="preserve">W istocie wobec dwóch z nich wszczęte zostało kontradyktoryjne postępowanie poprzedzające deportację, a </w:t>
      </w:r>
      <w:r w:rsidR="00D34233">
        <w:rPr>
          <w:lang w:val="pl-PL"/>
        </w:rPr>
        <w:t>lokalna r</w:t>
      </w:r>
      <w:r w:rsidR="009424B0">
        <w:rPr>
          <w:lang w:val="pl-PL"/>
        </w:rPr>
        <w:t xml:space="preserve">ada ds. </w:t>
      </w:r>
      <w:r w:rsidR="00D34233">
        <w:rPr>
          <w:lang w:val="pl-PL"/>
        </w:rPr>
        <w:t>d</w:t>
      </w:r>
      <w:r w:rsidR="009424B0">
        <w:rPr>
          <w:lang w:val="pl-PL"/>
        </w:rPr>
        <w:t xml:space="preserve">eportacji wydała opinię </w:t>
      </w:r>
      <w:r w:rsidR="009B0454">
        <w:rPr>
          <w:lang w:val="pl-PL"/>
        </w:rPr>
        <w:t xml:space="preserve">popierającą taki środek. Choć ostatecznie nie została podjęta żadna decyzja, wskazywało to, że </w:t>
      </w:r>
      <w:r w:rsidR="007972C5">
        <w:rPr>
          <w:lang w:val="pl-PL"/>
        </w:rPr>
        <w:t xml:space="preserve">ich </w:t>
      </w:r>
      <w:r w:rsidR="009B0454">
        <w:rPr>
          <w:lang w:val="pl-PL"/>
        </w:rPr>
        <w:t xml:space="preserve">deportacja pozostaje możliwa. </w:t>
      </w:r>
      <w:r w:rsidR="002D2694">
        <w:rPr>
          <w:lang w:val="pl-PL"/>
        </w:rPr>
        <w:t xml:space="preserve">Środek tego typu może mieć wpływ na ich życie prywatne. Ponieważ jednak nie wydano nakazu deportacji, skutki pozbawienia obywatelstwa </w:t>
      </w:r>
      <w:r w:rsidR="00D34233">
        <w:rPr>
          <w:lang w:val="pl-PL"/>
        </w:rPr>
        <w:t>dla ich życia</w:t>
      </w:r>
      <w:r w:rsidR="002D2694">
        <w:rPr>
          <w:lang w:val="pl-PL"/>
        </w:rPr>
        <w:t xml:space="preserve"> prywatne</w:t>
      </w:r>
      <w:r w:rsidR="00D34233">
        <w:rPr>
          <w:lang w:val="pl-PL"/>
        </w:rPr>
        <w:t>go</w:t>
      </w:r>
      <w:r w:rsidR="002D2694">
        <w:rPr>
          <w:lang w:val="pl-PL"/>
        </w:rPr>
        <w:t xml:space="preserve"> ograniczyły się jedynie do</w:t>
      </w:r>
      <w:r w:rsidR="00CF5189">
        <w:rPr>
          <w:lang w:val="pl-PL"/>
        </w:rPr>
        <w:t> </w:t>
      </w:r>
      <w:r w:rsidR="002D2694">
        <w:rPr>
          <w:lang w:val="pl-PL"/>
        </w:rPr>
        <w:t xml:space="preserve">utraty elementu ich tożsamości. </w:t>
      </w:r>
    </w:p>
    <w:p w14:paraId="6CF508E5" w14:textId="54004126" w:rsidR="004E39C1" w:rsidRPr="004E39C1" w:rsidRDefault="004E39C1">
      <w:pPr>
        <w:pStyle w:val="ClinContent"/>
        <w:rPr>
          <w:lang w:val="pl-PL"/>
        </w:rPr>
      </w:pPr>
      <w:r w:rsidRPr="004E39C1">
        <w:rPr>
          <w:lang w:val="pl-PL"/>
        </w:rPr>
        <w:lastRenderedPageBreak/>
        <w:t xml:space="preserve">Niemniej jednak przemoc terrorystyczna stanowi poważne zagrożenie dla praw człowieka. </w:t>
      </w:r>
      <w:r>
        <w:rPr>
          <w:lang w:val="pl-PL"/>
        </w:rPr>
        <w:t>Trybunał mógł zatem zrozumieć decyzję władz francuskich, by po zamachach, które miały miejsce we Francji w 2015 r., wykazać większą stanowczość wobec osób skazanych za</w:t>
      </w:r>
      <w:r w:rsidR="00CF5189">
        <w:rPr>
          <w:lang w:val="pl-PL"/>
        </w:rPr>
        <w:t> </w:t>
      </w:r>
      <w:r>
        <w:rPr>
          <w:lang w:val="pl-PL"/>
        </w:rPr>
        <w:t xml:space="preserve">przestępstwo terrorystyczne. </w:t>
      </w:r>
    </w:p>
    <w:p w14:paraId="0F6339FF" w14:textId="77777777" w:rsidR="004E39C1" w:rsidRPr="001247A0" w:rsidRDefault="001247A0">
      <w:pPr>
        <w:pStyle w:val="ClinContent"/>
        <w:rPr>
          <w:lang w:val="pl-PL"/>
        </w:rPr>
      </w:pPr>
      <w:r w:rsidRPr="001247A0">
        <w:rPr>
          <w:lang w:val="pl-PL"/>
        </w:rPr>
        <w:t xml:space="preserve">Trybunał odnotował również stanowisko </w:t>
      </w:r>
      <w:r w:rsidR="00F5465A">
        <w:rPr>
          <w:lang w:val="pl-PL"/>
        </w:rPr>
        <w:t>r</w:t>
      </w:r>
      <w:r w:rsidRPr="001247A0">
        <w:rPr>
          <w:lang w:val="pl-PL"/>
        </w:rPr>
        <w:t>ządu, że przestępstwo tego rodzaju może oznaczać, że osoby</w:t>
      </w:r>
      <w:r>
        <w:rPr>
          <w:lang w:val="pl-PL"/>
        </w:rPr>
        <w:t xml:space="preserve"> skazane nie powinny dłużej korzystać ze szczególnej więzi ustanowionej przez obywatelstwo </w:t>
      </w:r>
      <w:r w:rsidR="0015330E">
        <w:rPr>
          <w:lang w:val="pl-PL"/>
        </w:rPr>
        <w:t>ich państwa pobytu</w:t>
      </w:r>
      <w:r w:rsidR="00217F68">
        <w:rPr>
          <w:lang w:val="pl-PL"/>
        </w:rPr>
        <w:t>. Odnotował</w:t>
      </w:r>
      <w:r w:rsidR="0015330E">
        <w:rPr>
          <w:lang w:val="pl-PL"/>
        </w:rPr>
        <w:t xml:space="preserve"> także uwagę podniesioną przez publicznego sprawozdawcę Rady Stanu, iż przestępstwa, za które zostali skazani skarżący, ujawniały istnienie </w:t>
      </w:r>
      <w:r w:rsidR="008A2BF1">
        <w:rPr>
          <w:lang w:val="pl-PL"/>
        </w:rPr>
        <w:t xml:space="preserve">więzi </w:t>
      </w:r>
      <w:r w:rsidR="0015330E" w:rsidRPr="008A2BF1">
        <w:rPr>
          <w:lang w:val="pl-PL"/>
        </w:rPr>
        <w:t>lojalności</w:t>
      </w:r>
      <w:r w:rsidR="0015330E" w:rsidRPr="0015330E">
        <w:rPr>
          <w:lang w:val="pl-PL"/>
        </w:rPr>
        <w:t xml:space="preserve"> </w:t>
      </w:r>
      <w:r w:rsidR="00EC5762">
        <w:rPr>
          <w:lang w:val="pl-PL"/>
        </w:rPr>
        <w:t>świadczących</w:t>
      </w:r>
      <w:r w:rsidR="0015330E" w:rsidRPr="0015330E">
        <w:rPr>
          <w:lang w:val="pl-PL"/>
        </w:rPr>
        <w:t xml:space="preserve"> o tym, jak niewielkie znaczenie </w:t>
      </w:r>
      <w:r w:rsidR="008A2BF1" w:rsidRPr="0015330E">
        <w:rPr>
          <w:lang w:val="pl-PL"/>
        </w:rPr>
        <w:t xml:space="preserve">w kształtowaniu ich osobistej tożsamości </w:t>
      </w:r>
      <w:r w:rsidR="0015330E" w:rsidRPr="0015330E">
        <w:rPr>
          <w:lang w:val="pl-PL"/>
        </w:rPr>
        <w:t>miało dla nich przywiązanie do Francji i jej wartości.</w:t>
      </w:r>
      <w:r w:rsidRPr="001247A0">
        <w:rPr>
          <w:lang w:val="pl-PL"/>
        </w:rPr>
        <w:t xml:space="preserve"> </w:t>
      </w:r>
    </w:p>
    <w:p w14:paraId="6CB4A867" w14:textId="77777777" w:rsidR="0053145E" w:rsidRDefault="00D34233">
      <w:pPr>
        <w:pStyle w:val="ClinContent"/>
        <w:rPr>
          <w:lang w:val="pl-PL"/>
        </w:rPr>
      </w:pPr>
      <w:r>
        <w:rPr>
          <w:lang w:val="pl-PL"/>
        </w:rPr>
        <w:t xml:space="preserve">Uwzględniono </w:t>
      </w:r>
      <w:r w:rsidR="0053145E" w:rsidRPr="0053145E">
        <w:rPr>
          <w:lang w:val="pl-PL"/>
        </w:rPr>
        <w:t xml:space="preserve">również następujące </w:t>
      </w:r>
      <w:r w:rsidR="0053145E">
        <w:rPr>
          <w:lang w:val="pl-PL"/>
        </w:rPr>
        <w:t>okoliczności:</w:t>
      </w:r>
    </w:p>
    <w:p w14:paraId="69AD5D2B" w14:textId="77777777" w:rsidR="0053145E" w:rsidRDefault="0053145E">
      <w:pPr>
        <w:pStyle w:val="ClinContent"/>
        <w:rPr>
          <w:lang w:val="pl-PL"/>
        </w:rPr>
      </w:pPr>
      <w:r>
        <w:rPr>
          <w:lang w:val="pl-PL"/>
        </w:rPr>
        <w:t>- u</w:t>
      </w:r>
      <w:r w:rsidR="00BA2455">
        <w:rPr>
          <w:lang w:val="pl-PL"/>
        </w:rPr>
        <w:t>czestnictwo</w:t>
      </w:r>
      <w:r>
        <w:rPr>
          <w:lang w:val="pl-PL"/>
        </w:rPr>
        <w:t xml:space="preserve"> skarżących w </w:t>
      </w:r>
      <w:r w:rsidR="00BA2455">
        <w:rPr>
          <w:lang w:val="pl-PL"/>
        </w:rPr>
        <w:t xml:space="preserve">zmowie </w:t>
      </w:r>
      <w:r>
        <w:rPr>
          <w:lang w:val="pl-PL"/>
        </w:rPr>
        <w:t xml:space="preserve">w celu popełnienia </w:t>
      </w:r>
      <w:r w:rsidR="00BA2455">
        <w:rPr>
          <w:lang w:val="pl-PL"/>
        </w:rPr>
        <w:t xml:space="preserve">aktu </w:t>
      </w:r>
      <w:r>
        <w:rPr>
          <w:lang w:val="pl-PL"/>
        </w:rPr>
        <w:t>terrorystycznego, za któr</w:t>
      </w:r>
      <w:r w:rsidR="00BA2455">
        <w:rPr>
          <w:lang w:val="pl-PL"/>
        </w:rPr>
        <w:t>e</w:t>
      </w:r>
      <w:r>
        <w:rPr>
          <w:lang w:val="pl-PL"/>
        </w:rPr>
        <w:t xml:space="preserve"> wszyscy zostali skazani, trwał</w:t>
      </w:r>
      <w:r w:rsidR="00BA2455">
        <w:rPr>
          <w:lang w:val="pl-PL"/>
        </w:rPr>
        <w:t>o ponad 10 lat;</w:t>
      </w:r>
    </w:p>
    <w:p w14:paraId="3ADC2E3C" w14:textId="77777777" w:rsidR="00BA2455" w:rsidRDefault="00BA2455">
      <w:pPr>
        <w:pStyle w:val="ClinContent"/>
        <w:rPr>
          <w:lang w:val="pl-PL"/>
        </w:rPr>
      </w:pPr>
      <w:r>
        <w:rPr>
          <w:lang w:val="pl-PL"/>
        </w:rPr>
        <w:t xml:space="preserve">- niektórzy skarżący nabyli obywatelstwo </w:t>
      </w:r>
      <w:r w:rsidR="008A1B2C">
        <w:rPr>
          <w:lang w:val="pl-PL"/>
        </w:rPr>
        <w:t xml:space="preserve">francuskie </w:t>
      </w:r>
      <w:r>
        <w:rPr>
          <w:lang w:val="pl-PL"/>
        </w:rPr>
        <w:t>zaraz po popełnieniu przedmiotowego przestępstwa, a inny nabyli je w czasie popełniania przestępstwa;</w:t>
      </w:r>
    </w:p>
    <w:p w14:paraId="2BE6980D" w14:textId="066BDA46" w:rsidR="00BA2455" w:rsidRDefault="00BA2455">
      <w:pPr>
        <w:pStyle w:val="ClinContent"/>
        <w:rPr>
          <w:lang w:val="pl-PL"/>
        </w:rPr>
      </w:pPr>
      <w:r>
        <w:rPr>
          <w:lang w:val="pl-PL"/>
        </w:rPr>
        <w:t>- wszyscy skarżący mieli już inne obywatelstwo, tak więc decyzja o pozbawieniu ich</w:t>
      </w:r>
      <w:r w:rsidR="00CF5189">
        <w:rPr>
          <w:lang w:val="pl-PL"/>
        </w:rPr>
        <w:t> </w:t>
      </w:r>
      <w:r>
        <w:rPr>
          <w:lang w:val="pl-PL"/>
        </w:rPr>
        <w:t xml:space="preserve">obywatelstwa francuskiego nie </w:t>
      </w:r>
      <w:r w:rsidR="008362FD">
        <w:rPr>
          <w:lang w:val="pl-PL"/>
        </w:rPr>
        <w:t xml:space="preserve">sprawiła, że stali się </w:t>
      </w:r>
      <w:r>
        <w:rPr>
          <w:lang w:val="pl-PL"/>
        </w:rPr>
        <w:t>bezpaństwow</w:t>
      </w:r>
      <w:r w:rsidR="008362FD">
        <w:rPr>
          <w:lang w:val="pl-PL"/>
        </w:rPr>
        <w:t>cami</w:t>
      </w:r>
      <w:r>
        <w:rPr>
          <w:lang w:val="pl-PL"/>
        </w:rPr>
        <w:t xml:space="preserve"> (co jest przesłanką zastosowania tego środka w prawie krajowym); </w:t>
      </w:r>
    </w:p>
    <w:p w14:paraId="486405E9" w14:textId="37A64023" w:rsidR="00BA2455" w:rsidRDefault="00BA2455">
      <w:pPr>
        <w:pStyle w:val="ClinContent"/>
        <w:rPr>
          <w:lang w:val="pl-PL"/>
        </w:rPr>
      </w:pPr>
      <w:r>
        <w:rPr>
          <w:lang w:val="pl-PL"/>
        </w:rPr>
        <w:t xml:space="preserve">- </w:t>
      </w:r>
      <w:r w:rsidR="00960491">
        <w:rPr>
          <w:lang w:val="pl-PL"/>
        </w:rPr>
        <w:t>utrata obywatelstwa francuskiego nie pociągała za sobą automatycznie deportacji z</w:t>
      </w:r>
      <w:r w:rsidR="00CF5189">
        <w:rPr>
          <w:lang w:val="pl-PL"/>
        </w:rPr>
        <w:t> </w:t>
      </w:r>
      <w:r w:rsidR="00960491">
        <w:rPr>
          <w:lang w:val="pl-PL"/>
        </w:rPr>
        <w:t>Francji, ale jeśli podjęta zostanie decyzja o zastosowaniu takiego środka, będą mieli do</w:t>
      </w:r>
      <w:r w:rsidR="00CF5189">
        <w:rPr>
          <w:lang w:val="pl-PL"/>
        </w:rPr>
        <w:t> </w:t>
      </w:r>
      <w:r w:rsidR="00960491">
        <w:rPr>
          <w:lang w:val="pl-PL"/>
        </w:rPr>
        <w:t xml:space="preserve">dyspozycji odpowiednie środki </w:t>
      </w:r>
      <w:r w:rsidR="00920C31">
        <w:rPr>
          <w:lang w:val="pl-PL"/>
        </w:rPr>
        <w:t xml:space="preserve">zaskarżenia </w:t>
      </w:r>
      <w:r w:rsidR="00960491">
        <w:rPr>
          <w:lang w:val="pl-PL"/>
        </w:rPr>
        <w:t xml:space="preserve">w celu dochodzenia </w:t>
      </w:r>
      <w:r w:rsidR="002B7D90">
        <w:rPr>
          <w:lang w:val="pl-PL"/>
        </w:rPr>
        <w:t>swych praw.</w:t>
      </w:r>
    </w:p>
    <w:p w14:paraId="404397A8" w14:textId="77777777" w:rsidR="002B7D90" w:rsidRPr="002B7D90" w:rsidRDefault="002B7D90">
      <w:pPr>
        <w:pStyle w:val="ClinContent"/>
        <w:rPr>
          <w:lang w:val="pl-PL"/>
        </w:rPr>
      </w:pPr>
      <w:r w:rsidRPr="002B7D90">
        <w:rPr>
          <w:i/>
          <w:lang w:val="pl-PL"/>
        </w:rPr>
        <w:t>Rozstrzygnięcie</w:t>
      </w:r>
      <w:r>
        <w:rPr>
          <w:i/>
          <w:lang w:val="pl-PL"/>
        </w:rPr>
        <w:t xml:space="preserve">: </w:t>
      </w:r>
      <w:r>
        <w:rPr>
          <w:lang w:val="pl-PL"/>
        </w:rPr>
        <w:t>brak naruszenia (jednogłośnie)</w:t>
      </w:r>
    </w:p>
    <w:p w14:paraId="7C1DE3F7" w14:textId="77777777" w:rsidR="00603505" w:rsidRPr="00603505" w:rsidRDefault="00603505">
      <w:pPr>
        <w:pStyle w:val="ClinContent"/>
        <w:rPr>
          <w:i/>
          <w:lang w:val="pl-PL"/>
        </w:rPr>
      </w:pPr>
      <w:r w:rsidRPr="00603505">
        <w:rPr>
          <w:lang w:val="pl-PL"/>
        </w:rPr>
        <w:t xml:space="preserve">Art. 4 Protokołu nr 7: Stosując </w:t>
      </w:r>
      <w:r>
        <w:rPr>
          <w:lang w:val="pl-PL"/>
        </w:rPr>
        <w:t>„</w:t>
      </w:r>
      <w:r w:rsidRPr="00603505">
        <w:rPr>
          <w:lang w:val="pl-PL"/>
        </w:rPr>
        <w:t xml:space="preserve">kryteria ze sprawy </w:t>
      </w:r>
      <w:r>
        <w:rPr>
          <w:i/>
          <w:lang w:val="pl-PL"/>
        </w:rPr>
        <w:t xml:space="preserve">Engel”, </w:t>
      </w:r>
      <w:r w:rsidRPr="00603505">
        <w:rPr>
          <w:lang w:val="pl-PL"/>
        </w:rPr>
        <w:t>Trybunał</w:t>
      </w:r>
      <w:r>
        <w:rPr>
          <w:lang w:val="pl-PL"/>
        </w:rPr>
        <w:t xml:space="preserve"> uznał, że pozbawienie obywatelstwa nie było „</w:t>
      </w:r>
      <w:r w:rsidR="00DA36DD">
        <w:rPr>
          <w:lang w:val="pl-PL"/>
        </w:rPr>
        <w:t xml:space="preserve">karaniem” w rozumienia tego artykułu, </w:t>
      </w:r>
      <w:r w:rsidR="00920C31">
        <w:rPr>
          <w:lang w:val="pl-PL"/>
        </w:rPr>
        <w:t>nie miał</w:t>
      </w:r>
      <w:r w:rsidR="00DA36DD">
        <w:rPr>
          <w:lang w:val="pl-PL"/>
        </w:rPr>
        <w:t xml:space="preserve"> więc </w:t>
      </w:r>
      <w:r w:rsidR="00920C31">
        <w:rPr>
          <w:lang w:val="pl-PL"/>
        </w:rPr>
        <w:t xml:space="preserve">on </w:t>
      </w:r>
      <w:r w:rsidR="00DA36DD">
        <w:rPr>
          <w:lang w:val="pl-PL"/>
        </w:rPr>
        <w:t>zastosowania w niniejszej sprawie.</w:t>
      </w:r>
    </w:p>
    <w:p w14:paraId="21BF7611" w14:textId="77777777" w:rsidR="00DA36DD" w:rsidRPr="00EC5762" w:rsidRDefault="00DA36DD">
      <w:pPr>
        <w:pStyle w:val="ClinContent"/>
        <w:rPr>
          <w:lang w:val="pl-PL"/>
        </w:rPr>
      </w:pPr>
      <w:r w:rsidRPr="00DA36DD">
        <w:rPr>
          <w:lang w:val="pl-PL"/>
        </w:rPr>
        <w:t xml:space="preserve">i) </w:t>
      </w:r>
      <w:r w:rsidRPr="00DA36DD">
        <w:rPr>
          <w:i/>
          <w:lang w:val="pl-PL"/>
        </w:rPr>
        <w:t>K</w:t>
      </w:r>
      <w:r w:rsidR="00E74915">
        <w:rPr>
          <w:i/>
          <w:lang w:val="pl-PL"/>
        </w:rPr>
        <w:t>lasyfikacja</w:t>
      </w:r>
      <w:r w:rsidRPr="00DA36DD">
        <w:rPr>
          <w:i/>
          <w:lang w:val="pl-PL"/>
        </w:rPr>
        <w:t xml:space="preserve"> w prawie krajowym </w:t>
      </w:r>
      <w:r w:rsidR="00F92A41">
        <w:rPr>
          <w:i/>
          <w:lang w:val="pl-PL"/>
        </w:rPr>
        <w:t>–</w:t>
      </w:r>
      <w:r w:rsidRPr="00DA36DD">
        <w:rPr>
          <w:i/>
          <w:lang w:val="pl-PL"/>
        </w:rPr>
        <w:t xml:space="preserve"> </w:t>
      </w:r>
      <w:r w:rsidR="00F92A41">
        <w:rPr>
          <w:lang w:val="pl-PL"/>
        </w:rPr>
        <w:t xml:space="preserve">Środek </w:t>
      </w:r>
      <w:r w:rsidR="00337798">
        <w:rPr>
          <w:lang w:val="pl-PL"/>
        </w:rPr>
        <w:t xml:space="preserve">w postaci </w:t>
      </w:r>
      <w:r w:rsidR="00F92A41">
        <w:rPr>
          <w:lang w:val="pl-PL"/>
        </w:rPr>
        <w:t xml:space="preserve">pozbawienia obywatelstwa przewidziany był w Kodeksie cywilnym, a nie w Kodeksie karnym i podlegał właściwości sądów administracyjnych, a nie karnych. </w:t>
      </w:r>
      <w:r w:rsidR="00F92A41" w:rsidRPr="00EC5762">
        <w:rPr>
          <w:lang w:val="pl-PL"/>
        </w:rPr>
        <w:t xml:space="preserve">Rada Stanu określiła go jako „sankcję administracyjną”. </w:t>
      </w:r>
    </w:p>
    <w:p w14:paraId="49211D0D" w14:textId="77777777" w:rsidR="00F92A41" w:rsidRPr="00F92A41" w:rsidRDefault="00F92A41">
      <w:pPr>
        <w:pStyle w:val="ClinContent"/>
        <w:rPr>
          <w:lang w:val="pl-PL"/>
        </w:rPr>
      </w:pPr>
      <w:r w:rsidRPr="00F92A41">
        <w:rPr>
          <w:lang w:val="pl-PL"/>
        </w:rPr>
        <w:t xml:space="preserve">ii) </w:t>
      </w:r>
      <w:r w:rsidRPr="00F92A41">
        <w:rPr>
          <w:i/>
          <w:lang w:val="pl-PL"/>
        </w:rPr>
        <w:t xml:space="preserve">Charakter środka – </w:t>
      </w:r>
      <w:r w:rsidRPr="00F92A41">
        <w:rPr>
          <w:lang w:val="pl-PL"/>
        </w:rPr>
        <w:t xml:space="preserve">Pozbawienie obywatelstwa </w:t>
      </w:r>
      <w:r w:rsidR="00B62D3A">
        <w:rPr>
          <w:lang w:val="pl-PL"/>
        </w:rPr>
        <w:t xml:space="preserve">realizowało szczególny cel, </w:t>
      </w:r>
      <w:r w:rsidR="008A1B2C">
        <w:rPr>
          <w:lang w:val="pl-PL"/>
        </w:rPr>
        <w:t>gdyż</w:t>
      </w:r>
      <w:r w:rsidR="00B62D3A">
        <w:rPr>
          <w:lang w:val="pl-PL"/>
        </w:rPr>
        <w:t xml:space="preserve"> miało odzwierciedlić fakt, że osoba, której przyznano obywatelstwo francuskie, zerwała następnie więź lojalności wobec Francji poprzez popełnienie szczególnie poważnego przestępstwa, a w </w:t>
      </w:r>
      <w:r w:rsidR="00EA6063">
        <w:rPr>
          <w:lang w:val="pl-PL"/>
        </w:rPr>
        <w:t xml:space="preserve">przypadku </w:t>
      </w:r>
      <w:r w:rsidR="00B62D3A">
        <w:rPr>
          <w:lang w:val="pl-PL"/>
        </w:rPr>
        <w:t xml:space="preserve">terroryzmu – </w:t>
      </w:r>
      <w:r w:rsidR="00E74915">
        <w:rPr>
          <w:lang w:val="pl-PL"/>
        </w:rPr>
        <w:t>poprzez podważenie</w:t>
      </w:r>
      <w:r w:rsidR="00B62D3A">
        <w:rPr>
          <w:lang w:val="pl-PL"/>
        </w:rPr>
        <w:t xml:space="preserve"> sam</w:t>
      </w:r>
      <w:r w:rsidR="00E74915">
        <w:rPr>
          <w:lang w:val="pl-PL"/>
        </w:rPr>
        <w:t>ych</w:t>
      </w:r>
      <w:r w:rsidR="00B62D3A">
        <w:rPr>
          <w:lang w:val="pl-PL"/>
        </w:rPr>
        <w:t xml:space="preserve"> </w:t>
      </w:r>
      <w:r w:rsidR="00E74915">
        <w:rPr>
          <w:lang w:val="pl-PL"/>
        </w:rPr>
        <w:t>fundamentów</w:t>
      </w:r>
      <w:r w:rsidR="00EA5D45">
        <w:rPr>
          <w:lang w:val="pl-PL"/>
        </w:rPr>
        <w:t xml:space="preserve"> demokracji. Środek ten był więc uroczystym potwierdzeniem zerwania </w:t>
      </w:r>
      <w:r w:rsidR="00E74915">
        <w:rPr>
          <w:lang w:val="pl-PL"/>
        </w:rPr>
        <w:t xml:space="preserve">tej </w:t>
      </w:r>
      <w:r w:rsidR="00EA5D45">
        <w:rPr>
          <w:lang w:val="pl-PL"/>
        </w:rPr>
        <w:t xml:space="preserve">więzi między jednostką a Francją. </w:t>
      </w:r>
    </w:p>
    <w:p w14:paraId="16646261" w14:textId="263D72F8" w:rsidR="00EA5D45" w:rsidRPr="00EA5D45" w:rsidRDefault="00EA5D45">
      <w:pPr>
        <w:pStyle w:val="ClinContent"/>
        <w:rPr>
          <w:lang w:val="pl-PL"/>
        </w:rPr>
      </w:pPr>
      <w:r w:rsidRPr="00EA5D45">
        <w:rPr>
          <w:lang w:val="pl-PL"/>
        </w:rPr>
        <w:t xml:space="preserve">iii) </w:t>
      </w:r>
      <w:r w:rsidRPr="00EA5D45">
        <w:rPr>
          <w:i/>
          <w:lang w:val="pl-PL"/>
        </w:rPr>
        <w:t xml:space="preserve">Surowość środka – </w:t>
      </w:r>
      <w:r w:rsidRPr="00EA5D45">
        <w:rPr>
          <w:lang w:val="pl-PL"/>
        </w:rPr>
        <w:t xml:space="preserve">Niezależnie od surowości </w:t>
      </w:r>
      <w:r>
        <w:rPr>
          <w:lang w:val="pl-PL"/>
        </w:rPr>
        <w:t xml:space="preserve">przesłania (odzwierciedlonego słowem „pozbawienie”), </w:t>
      </w:r>
      <w:r w:rsidR="004B0A84">
        <w:rPr>
          <w:lang w:val="pl-PL"/>
        </w:rPr>
        <w:t xml:space="preserve">jakie </w:t>
      </w:r>
      <w:r>
        <w:rPr>
          <w:lang w:val="pl-PL"/>
        </w:rPr>
        <w:t>państwo kier</w:t>
      </w:r>
      <w:r w:rsidR="008A1B2C">
        <w:rPr>
          <w:lang w:val="pl-PL"/>
        </w:rPr>
        <w:t>owało</w:t>
      </w:r>
      <w:r>
        <w:rPr>
          <w:lang w:val="pl-PL"/>
        </w:rPr>
        <w:t xml:space="preserve"> </w:t>
      </w:r>
      <w:r w:rsidR="00E74915">
        <w:rPr>
          <w:lang w:val="pl-PL"/>
        </w:rPr>
        <w:t xml:space="preserve">w ten sposób </w:t>
      </w:r>
      <w:r>
        <w:rPr>
          <w:lang w:val="pl-PL"/>
        </w:rPr>
        <w:t>do osób</w:t>
      </w:r>
      <w:r w:rsidR="00BD4CC0">
        <w:rPr>
          <w:lang w:val="pl-PL"/>
        </w:rPr>
        <w:t>, których dotyczy</w:t>
      </w:r>
      <w:r w:rsidR="008A1B2C">
        <w:rPr>
          <w:lang w:val="pl-PL"/>
        </w:rPr>
        <w:t>ł</w:t>
      </w:r>
      <w:r w:rsidR="004B0A84">
        <w:rPr>
          <w:lang w:val="pl-PL"/>
        </w:rPr>
        <w:t xml:space="preserve"> ten</w:t>
      </w:r>
      <w:r w:rsidR="00CF5189">
        <w:rPr>
          <w:lang w:val="pl-PL"/>
        </w:rPr>
        <w:t> </w:t>
      </w:r>
      <w:bookmarkStart w:id="0" w:name="_GoBack"/>
      <w:bookmarkEnd w:id="0"/>
      <w:r w:rsidR="004B0A84">
        <w:rPr>
          <w:lang w:val="pl-PL"/>
        </w:rPr>
        <w:t>środek</w:t>
      </w:r>
      <w:r w:rsidR="00CF5189">
        <w:rPr>
          <w:lang w:val="pl-PL"/>
        </w:rPr>
        <w:t>,</w:t>
      </w:r>
      <w:r w:rsidR="008A1B2C">
        <w:rPr>
          <w:lang w:val="pl-PL"/>
        </w:rPr>
        <w:t xml:space="preserve"> i niezależnie od</w:t>
      </w:r>
      <w:r>
        <w:rPr>
          <w:lang w:val="pl-PL"/>
        </w:rPr>
        <w:t xml:space="preserve"> </w:t>
      </w:r>
      <w:r w:rsidR="004B0A84">
        <w:rPr>
          <w:lang w:val="pl-PL"/>
        </w:rPr>
        <w:t>jego</w:t>
      </w:r>
      <w:r>
        <w:rPr>
          <w:lang w:val="pl-PL"/>
        </w:rPr>
        <w:t xml:space="preserve"> możliwego wpływu na ich tożsamość, </w:t>
      </w:r>
      <w:r w:rsidR="00BD4CC0">
        <w:rPr>
          <w:lang w:val="pl-PL"/>
        </w:rPr>
        <w:t>stopień surowości</w:t>
      </w:r>
      <w:r w:rsidR="00A43021">
        <w:rPr>
          <w:lang w:val="pl-PL"/>
        </w:rPr>
        <w:t xml:space="preserve"> </w:t>
      </w:r>
      <w:r w:rsidR="008A1B2C">
        <w:rPr>
          <w:lang w:val="pl-PL"/>
        </w:rPr>
        <w:t xml:space="preserve">tego </w:t>
      </w:r>
      <w:r w:rsidR="004B0A84">
        <w:rPr>
          <w:lang w:val="pl-PL"/>
        </w:rPr>
        <w:t xml:space="preserve">środka </w:t>
      </w:r>
      <w:r w:rsidR="00A43021">
        <w:rPr>
          <w:lang w:val="pl-PL"/>
        </w:rPr>
        <w:t>należy postrzegać</w:t>
      </w:r>
      <w:r w:rsidR="004B0A84">
        <w:rPr>
          <w:lang w:val="pl-PL"/>
        </w:rPr>
        <w:t xml:space="preserve"> w relacji do faktu, że stanowił</w:t>
      </w:r>
      <w:r w:rsidR="00A43021">
        <w:rPr>
          <w:lang w:val="pl-PL"/>
        </w:rPr>
        <w:t xml:space="preserve"> on odpowiedź na zachowanie, które – w sprawach terroryzmu – stanowiło atak na samą demokrację. Ponadto środek ten </w:t>
      </w:r>
      <w:r w:rsidR="004B0A84">
        <w:rPr>
          <w:lang w:val="pl-PL"/>
        </w:rPr>
        <w:t>sam w sobie nie pociągał</w:t>
      </w:r>
      <w:r w:rsidR="00A43021">
        <w:rPr>
          <w:lang w:val="pl-PL"/>
        </w:rPr>
        <w:t xml:space="preserve"> za sobą deportacji z Francji osób </w:t>
      </w:r>
      <w:r w:rsidR="004B0A84">
        <w:rPr>
          <w:lang w:val="pl-PL"/>
        </w:rPr>
        <w:t>nim objętych</w:t>
      </w:r>
      <w:r w:rsidR="00F5465A">
        <w:rPr>
          <w:lang w:val="pl-PL"/>
        </w:rPr>
        <w:t xml:space="preserve"> </w:t>
      </w:r>
      <w:r w:rsidR="00A43021">
        <w:rPr>
          <w:lang w:val="pl-PL"/>
        </w:rPr>
        <w:t xml:space="preserve">(zobacz powyżej). Wreszcie nie była to sankcja, którą można </w:t>
      </w:r>
      <w:r w:rsidR="00E03A8D">
        <w:rPr>
          <w:lang w:val="pl-PL"/>
        </w:rPr>
        <w:t>by określa</w:t>
      </w:r>
      <w:r w:rsidR="00A43021">
        <w:rPr>
          <w:lang w:val="pl-PL"/>
        </w:rPr>
        <w:t xml:space="preserve">ć jako </w:t>
      </w:r>
      <w:r w:rsidR="00E03A8D">
        <w:rPr>
          <w:lang w:val="pl-PL"/>
        </w:rPr>
        <w:t xml:space="preserve">sankcję </w:t>
      </w:r>
      <w:r w:rsidR="00A43021">
        <w:rPr>
          <w:lang w:val="pl-PL"/>
        </w:rPr>
        <w:t>„</w:t>
      </w:r>
      <w:r w:rsidR="00E03A8D">
        <w:rPr>
          <w:lang w:val="pl-PL"/>
        </w:rPr>
        <w:t>o charakterze karnym</w:t>
      </w:r>
      <w:r w:rsidR="00A43021">
        <w:rPr>
          <w:lang w:val="pl-PL"/>
        </w:rPr>
        <w:t xml:space="preserve">”. </w:t>
      </w:r>
    </w:p>
    <w:p w14:paraId="241ED0DF" w14:textId="77777777" w:rsidR="009570A4" w:rsidRPr="009570A4" w:rsidRDefault="009570A4">
      <w:pPr>
        <w:pStyle w:val="ClinContent"/>
        <w:rPr>
          <w:i/>
          <w:lang w:val="pl-PL"/>
        </w:rPr>
      </w:pPr>
      <w:r w:rsidRPr="009570A4">
        <w:rPr>
          <w:i/>
          <w:lang w:val="pl-PL"/>
        </w:rPr>
        <w:t xml:space="preserve">Rozstrzygnięcie: </w:t>
      </w:r>
      <w:r w:rsidRPr="009570A4">
        <w:rPr>
          <w:lang w:val="pl-PL"/>
        </w:rPr>
        <w:t xml:space="preserve">skarga niedopuszczalna (niezgodna </w:t>
      </w:r>
      <w:r w:rsidRPr="009570A4">
        <w:rPr>
          <w:i/>
          <w:lang w:val="pl-PL"/>
        </w:rPr>
        <w:t>ratione materiae)</w:t>
      </w:r>
    </w:p>
    <w:p w14:paraId="4D3FC63D" w14:textId="77777777" w:rsidR="00837B87" w:rsidRPr="009570A4" w:rsidRDefault="00837B87">
      <w:pPr>
        <w:pBdr>
          <w:bottom w:val="single" w:sz="8" w:space="1" w:color="auto"/>
        </w:pBdr>
        <w:rPr>
          <w:lang w:val="pl-PL"/>
        </w:rPr>
      </w:pPr>
    </w:p>
    <w:p w14:paraId="22A4FA16" w14:textId="77777777" w:rsidR="00623497" w:rsidRPr="00202054" w:rsidRDefault="00623497" w:rsidP="00623497">
      <w:pPr>
        <w:pStyle w:val="ClinFooter"/>
        <w:rPr>
          <w:lang w:val="pl-PL"/>
        </w:rPr>
      </w:pPr>
      <w:r w:rsidRPr="00202054">
        <w:rPr>
          <w:lang w:val="pl-PL"/>
        </w:rPr>
        <w:t>© Council of Europe/European Court of Human Rights</w:t>
      </w:r>
      <w:r w:rsidRPr="00202054">
        <w:rPr>
          <w:lang w:val="pl-PL"/>
        </w:rPr>
        <w:br/>
        <w:t xml:space="preserve">Niniejsze streszczenie przygotowane przez Kancelarię nie wiąże Trybunału.  </w:t>
      </w:r>
    </w:p>
    <w:p w14:paraId="2E1AF55C" w14:textId="77777777" w:rsidR="00837B87" w:rsidRDefault="00623497" w:rsidP="00623497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7" w:history="1">
        <w:r>
          <w:rPr>
            <w:rStyle w:val="Hipercze"/>
            <w:lang w:val="pl-PL"/>
          </w:rPr>
          <w:t>Not informacyjnych nt. orzecznictwa</w:t>
        </w:r>
      </w:hyperlink>
    </w:p>
    <w:p w14:paraId="5B439C51" w14:textId="1F490236" w:rsidR="00F5465A" w:rsidRPr="009A60F1" w:rsidRDefault="00F5465A" w:rsidP="00F5465A">
      <w:pPr>
        <w:pStyle w:val="ClinFooter"/>
        <w:jc w:val="left"/>
        <w:rPr>
          <w:lang w:val="pl-PL"/>
        </w:rPr>
      </w:pPr>
    </w:p>
    <w:sectPr w:rsidR="00F5465A" w:rsidRPr="009A60F1" w:rsidSect="004A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073B9" w14:textId="77777777" w:rsidR="004B09FC" w:rsidRDefault="004B09FC" w:rsidP="00C63262">
      <w:r>
        <w:separator/>
      </w:r>
    </w:p>
  </w:endnote>
  <w:endnote w:type="continuationSeparator" w:id="0">
    <w:p w14:paraId="2F8768DD" w14:textId="77777777" w:rsidR="004B09FC" w:rsidRDefault="004B09FC" w:rsidP="00C63262">
      <w:r>
        <w:continuationSeparator/>
      </w:r>
    </w:p>
  </w:endnote>
  <w:endnote w:type="continuationNotice" w:id="1">
    <w:p w14:paraId="2C7436E8" w14:textId="77777777" w:rsidR="004B09FC" w:rsidRDefault="004B09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92416" w14:textId="77777777" w:rsidR="00BC6857" w:rsidRDefault="00BC68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F0034" w14:textId="77777777" w:rsidR="00BC6857" w:rsidRDefault="00BC68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3A473" w14:textId="77777777" w:rsidR="0071773F" w:rsidRPr="0071773F" w:rsidRDefault="0071773F" w:rsidP="0071773F"/>
  <w:p w14:paraId="4428BCA6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170F1DC2" wp14:editId="39F54CB5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5A46DE" w14:textId="77777777" w:rsidR="004B09FC" w:rsidRDefault="004B09FC" w:rsidP="00C63262">
      <w:r>
        <w:separator/>
      </w:r>
    </w:p>
  </w:footnote>
  <w:footnote w:type="continuationSeparator" w:id="0">
    <w:p w14:paraId="5D876D38" w14:textId="77777777" w:rsidR="004B09FC" w:rsidRDefault="004B09FC" w:rsidP="00C63262">
      <w:r>
        <w:continuationSeparator/>
      </w:r>
    </w:p>
  </w:footnote>
  <w:footnote w:type="continuationNotice" w:id="1">
    <w:p w14:paraId="593F9B8D" w14:textId="77777777" w:rsidR="004B09FC" w:rsidRDefault="004B09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B5DFF" w14:textId="77777777" w:rsidR="00BC6857" w:rsidRDefault="00BC68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3B2F3364" w14:textId="0821DF82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F5189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51CEB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8B3F914" wp14:editId="0B675AB2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12FEC"/>
    <w:rsid w:val="00037CCC"/>
    <w:rsid w:val="00043035"/>
    <w:rsid w:val="00045C4F"/>
    <w:rsid w:val="00072F5E"/>
    <w:rsid w:val="00075DB9"/>
    <w:rsid w:val="00097888"/>
    <w:rsid w:val="000A77A7"/>
    <w:rsid w:val="000E193E"/>
    <w:rsid w:val="000F13B5"/>
    <w:rsid w:val="00107377"/>
    <w:rsid w:val="001247A0"/>
    <w:rsid w:val="00143602"/>
    <w:rsid w:val="0015330E"/>
    <w:rsid w:val="001769E4"/>
    <w:rsid w:val="00186560"/>
    <w:rsid w:val="001C34C3"/>
    <w:rsid w:val="00202054"/>
    <w:rsid w:val="00212E83"/>
    <w:rsid w:val="00217F68"/>
    <w:rsid w:val="002966E7"/>
    <w:rsid w:val="002B7D90"/>
    <w:rsid w:val="002D2694"/>
    <w:rsid w:val="002E088D"/>
    <w:rsid w:val="0030264F"/>
    <w:rsid w:val="00333810"/>
    <w:rsid w:val="00337798"/>
    <w:rsid w:val="00344381"/>
    <w:rsid w:val="003450B3"/>
    <w:rsid w:val="00366BC6"/>
    <w:rsid w:val="00386958"/>
    <w:rsid w:val="00387E49"/>
    <w:rsid w:val="00390F50"/>
    <w:rsid w:val="003A64A6"/>
    <w:rsid w:val="003D7BB3"/>
    <w:rsid w:val="0046453F"/>
    <w:rsid w:val="004670F3"/>
    <w:rsid w:val="004A5B52"/>
    <w:rsid w:val="004B09FC"/>
    <w:rsid w:val="004B0A84"/>
    <w:rsid w:val="004B149F"/>
    <w:rsid w:val="004D568D"/>
    <w:rsid w:val="004E1037"/>
    <w:rsid w:val="004E39C1"/>
    <w:rsid w:val="00513BAD"/>
    <w:rsid w:val="0052092D"/>
    <w:rsid w:val="0053145E"/>
    <w:rsid w:val="00540D75"/>
    <w:rsid w:val="005514E5"/>
    <w:rsid w:val="00563F87"/>
    <w:rsid w:val="005C4F47"/>
    <w:rsid w:val="005E017A"/>
    <w:rsid w:val="006028A1"/>
    <w:rsid w:val="00603505"/>
    <w:rsid w:val="00612B1A"/>
    <w:rsid w:val="00623497"/>
    <w:rsid w:val="00631A28"/>
    <w:rsid w:val="006A36AD"/>
    <w:rsid w:val="006A4881"/>
    <w:rsid w:val="006B4909"/>
    <w:rsid w:val="006C1D96"/>
    <w:rsid w:val="006C4F07"/>
    <w:rsid w:val="006E2565"/>
    <w:rsid w:val="007163E2"/>
    <w:rsid w:val="0071773F"/>
    <w:rsid w:val="00774515"/>
    <w:rsid w:val="0078683A"/>
    <w:rsid w:val="007972C5"/>
    <w:rsid w:val="007F6DF2"/>
    <w:rsid w:val="0080310D"/>
    <w:rsid w:val="008362FD"/>
    <w:rsid w:val="00837B87"/>
    <w:rsid w:val="00854977"/>
    <w:rsid w:val="00886706"/>
    <w:rsid w:val="00895EAD"/>
    <w:rsid w:val="00895EF3"/>
    <w:rsid w:val="008A1B2C"/>
    <w:rsid w:val="008A2BF1"/>
    <w:rsid w:val="008A378A"/>
    <w:rsid w:val="008C64D5"/>
    <w:rsid w:val="008D3DF3"/>
    <w:rsid w:val="008F045A"/>
    <w:rsid w:val="00903D38"/>
    <w:rsid w:val="00920C31"/>
    <w:rsid w:val="00941E05"/>
    <w:rsid w:val="009424B0"/>
    <w:rsid w:val="00955EBF"/>
    <w:rsid w:val="009570A4"/>
    <w:rsid w:val="00960491"/>
    <w:rsid w:val="00960F2A"/>
    <w:rsid w:val="009A60F1"/>
    <w:rsid w:val="009B0454"/>
    <w:rsid w:val="009B3B2C"/>
    <w:rsid w:val="009D5A81"/>
    <w:rsid w:val="009E3EF0"/>
    <w:rsid w:val="009F5011"/>
    <w:rsid w:val="00A01052"/>
    <w:rsid w:val="00A04D9C"/>
    <w:rsid w:val="00A24DC8"/>
    <w:rsid w:val="00A258BB"/>
    <w:rsid w:val="00A33541"/>
    <w:rsid w:val="00A43021"/>
    <w:rsid w:val="00A45616"/>
    <w:rsid w:val="00A85276"/>
    <w:rsid w:val="00AA0E4A"/>
    <w:rsid w:val="00AC7726"/>
    <w:rsid w:val="00B5022A"/>
    <w:rsid w:val="00B62D3A"/>
    <w:rsid w:val="00B80CA0"/>
    <w:rsid w:val="00B85770"/>
    <w:rsid w:val="00BA2455"/>
    <w:rsid w:val="00BB477E"/>
    <w:rsid w:val="00BC6857"/>
    <w:rsid w:val="00BD4CC0"/>
    <w:rsid w:val="00BE63B6"/>
    <w:rsid w:val="00BF1CD9"/>
    <w:rsid w:val="00C04D88"/>
    <w:rsid w:val="00C1657F"/>
    <w:rsid w:val="00C37433"/>
    <w:rsid w:val="00C37D86"/>
    <w:rsid w:val="00C50DFA"/>
    <w:rsid w:val="00C63262"/>
    <w:rsid w:val="00C651EE"/>
    <w:rsid w:val="00C72355"/>
    <w:rsid w:val="00C93CFB"/>
    <w:rsid w:val="00CF5189"/>
    <w:rsid w:val="00CF578A"/>
    <w:rsid w:val="00CF7BA6"/>
    <w:rsid w:val="00D072A6"/>
    <w:rsid w:val="00D34233"/>
    <w:rsid w:val="00D42086"/>
    <w:rsid w:val="00D425B3"/>
    <w:rsid w:val="00DA36DD"/>
    <w:rsid w:val="00DC407A"/>
    <w:rsid w:val="00E01F4F"/>
    <w:rsid w:val="00E03A8D"/>
    <w:rsid w:val="00E042C6"/>
    <w:rsid w:val="00E55491"/>
    <w:rsid w:val="00E74915"/>
    <w:rsid w:val="00E83DB6"/>
    <w:rsid w:val="00EA53E7"/>
    <w:rsid w:val="00EA5D45"/>
    <w:rsid w:val="00EA6063"/>
    <w:rsid w:val="00EC5762"/>
    <w:rsid w:val="00ED7792"/>
    <w:rsid w:val="00F11D05"/>
    <w:rsid w:val="00F508C9"/>
    <w:rsid w:val="00F50CCD"/>
    <w:rsid w:val="00F5247C"/>
    <w:rsid w:val="00F5465A"/>
    <w:rsid w:val="00F6164C"/>
    <w:rsid w:val="00F85499"/>
    <w:rsid w:val="00F92A41"/>
    <w:rsid w:val="00FA29ED"/>
    <w:rsid w:val="00FC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8545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612B1A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12B1A"/>
  </w:style>
  <w:style w:type="character" w:styleId="Odwoaniedokomentarza">
    <w:name w:val="annotation reference"/>
    <w:basedOn w:val="Domylnaczcionkaakapitu"/>
    <w:semiHidden/>
    <w:unhideWhenUsed/>
    <w:rsid w:val="00513BA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513BAD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13BAD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3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13BAD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513BAD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echr.coe.int/NoteInformation/en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1348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2022-01-24T11:46:00Z</dcterms:created>
  <dcterms:modified xsi:type="dcterms:W3CDTF">2022-02-21T16:59:00Z</dcterms:modified>
</cp:coreProperties>
</file>