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D7DD9" w14:textId="77777777" w:rsidR="002D2C99" w:rsidRPr="00FD65C9" w:rsidRDefault="002D2C99" w:rsidP="00622760">
      <w:pPr>
        <w:jc w:val="center"/>
        <w:rPr>
          <w:lang w:val="pl-PL"/>
        </w:rPr>
      </w:pPr>
    </w:p>
    <w:p w14:paraId="47B1B829" w14:textId="77777777" w:rsidR="008D7992" w:rsidRPr="00FD65C9" w:rsidRDefault="008D7992" w:rsidP="00622760">
      <w:pPr>
        <w:jc w:val="center"/>
        <w:rPr>
          <w:lang w:val="pl-PL"/>
        </w:rPr>
      </w:pPr>
    </w:p>
    <w:p w14:paraId="07F2DDEE" w14:textId="77777777" w:rsidR="002D2C99" w:rsidRPr="00FD65C9" w:rsidRDefault="002D2C99" w:rsidP="00622760">
      <w:pPr>
        <w:jc w:val="center"/>
        <w:rPr>
          <w:lang w:val="pl-PL"/>
        </w:rPr>
      </w:pPr>
    </w:p>
    <w:p w14:paraId="0B38AF8F" w14:textId="77777777" w:rsidR="002D2C99" w:rsidRPr="00FD65C9" w:rsidRDefault="001005D7" w:rsidP="00622760">
      <w:pPr>
        <w:tabs>
          <w:tab w:val="left" w:pos="5529"/>
        </w:tabs>
        <w:jc w:val="center"/>
        <w:rPr>
          <w:lang w:val="pl-PL"/>
        </w:rPr>
      </w:pPr>
      <w:r w:rsidRPr="00FD65C9">
        <w:rPr>
          <w:lang w:val="pl-PL"/>
        </w:rPr>
        <w:t>DRUGA SEKCJA</w:t>
      </w:r>
    </w:p>
    <w:p w14:paraId="18B3A7FD" w14:textId="77777777" w:rsidR="002D2C99" w:rsidRPr="00FD65C9" w:rsidRDefault="002D2C99" w:rsidP="00622760">
      <w:pPr>
        <w:jc w:val="center"/>
        <w:rPr>
          <w:lang w:val="pl-PL"/>
        </w:rPr>
      </w:pPr>
    </w:p>
    <w:p w14:paraId="3F4060BD" w14:textId="77777777" w:rsidR="002D2C99" w:rsidRPr="00FD65C9" w:rsidRDefault="002D2C99" w:rsidP="00622760">
      <w:pPr>
        <w:jc w:val="center"/>
        <w:rPr>
          <w:lang w:val="pl-PL"/>
        </w:rPr>
      </w:pPr>
    </w:p>
    <w:p w14:paraId="23CC059C" w14:textId="77777777" w:rsidR="002D2C99" w:rsidRPr="00FD65C9" w:rsidRDefault="002D2C99" w:rsidP="00622760">
      <w:pPr>
        <w:jc w:val="center"/>
        <w:rPr>
          <w:lang w:val="pl-PL"/>
        </w:rPr>
      </w:pPr>
    </w:p>
    <w:p w14:paraId="64FFE811" w14:textId="77777777" w:rsidR="002D2C99" w:rsidRPr="00FD65C9" w:rsidRDefault="002D2C99" w:rsidP="00622760">
      <w:pPr>
        <w:jc w:val="center"/>
        <w:rPr>
          <w:lang w:val="pl-PL"/>
        </w:rPr>
      </w:pPr>
    </w:p>
    <w:p w14:paraId="4876CF6F" w14:textId="77777777" w:rsidR="002D2C99" w:rsidRPr="00FD65C9" w:rsidRDefault="002D2C99" w:rsidP="00622760">
      <w:pPr>
        <w:jc w:val="center"/>
        <w:rPr>
          <w:lang w:val="pl-PL"/>
        </w:rPr>
      </w:pPr>
    </w:p>
    <w:p w14:paraId="1100A773" w14:textId="77777777" w:rsidR="002D2C99" w:rsidRPr="00FD65C9" w:rsidRDefault="002D2C99" w:rsidP="00622760">
      <w:pPr>
        <w:jc w:val="center"/>
        <w:rPr>
          <w:lang w:val="pl-PL"/>
        </w:rPr>
      </w:pPr>
    </w:p>
    <w:p w14:paraId="61249D40" w14:textId="77777777" w:rsidR="002D2C99" w:rsidRPr="00FD65C9" w:rsidRDefault="002D2C99" w:rsidP="00622760">
      <w:pPr>
        <w:jc w:val="center"/>
        <w:outlineLvl w:val="0"/>
        <w:rPr>
          <w:b/>
          <w:lang w:val="pl-PL"/>
        </w:rPr>
      </w:pPr>
      <w:r w:rsidRPr="00FD65C9">
        <w:rPr>
          <w:b/>
          <w:bCs/>
          <w:lang w:val="pl-PL"/>
        </w:rPr>
        <w:t>SPRAWA ALPARSLAN ALTAN przeciwko TURCJI</w:t>
      </w:r>
    </w:p>
    <w:p w14:paraId="54B17C1C" w14:textId="77777777" w:rsidR="002D2C99" w:rsidRPr="00FD65C9" w:rsidRDefault="002D2C99" w:rsidP="00622760">
      <w:pPr>
        <w:jc w:val="center"/>
        <w:rPr>
          <w:lang w:val="pl-PL"/>
        </w:rPr>
      </w:pPr>
    </w:p>
    <w:p w14:paraId="37F33289" w14:textId="77777777" w:rsidR="002D2C99" w:rsidRPr="00FD65C9" w:rsidRDefault="002D2C99" w:rsidP="00622760">
      <w:pPr>
        <w:jc w:val="center"/>
        <w:rPr>
          <w:i/>
          <w:lang w:val="pl-PL"/>
        </w:rPr>
      </w:pPr>
      <w:r w:rsidRPr="00FD65C9">
        <w:rPr>
          <w:i/>
          <w:iCs/>
          <w:lang w:val="pl-PL"/>
        </w:rPr>
        <w:t>(Skarga nr 12778/17)</w:t>
      </w:r>
    </w:p>
    <w:p w14:paraId="07E68EFC" w14:textId="77777777" w:rsidR="002D2C99" w:rsidRPr="00FD65C9" w:rsidRDefault="002D2C99" w:rsidP="00622760">
      <w:pPr>
        <w:jc w:val="center"/>
        <w:rPr>
          <w:lang w:val="pl-PL"/>
        </w:rPr>
      </w:pPr>
    </w:p>
    <w:p w14:paraId="33080B86" w14:textId="77777777" w:rsidR="002D2C99" w:rsidRPr="00FD65C9" w:rsidRDefault="002D2C99" w:rsidP="00622760">
      <w:pPr>
        <w:jc w:val="center"/>
        <w:rPr>
          <w:lang w:val="pl-PL"/>
        </w:rPr>
      </w:pPr>
    </w:p>
    <w:p w14:paraId="56AEF370" w14:textId="77777777" w:rsidR="002D2C99" w:rsidRPr="00FD65C9" w:rsidRDefault="002D2C99" w:rsidP="00622760">
      <w:pPr>
        <w:jc w:val="center"/>
        <w:rPr>
          <w:lang w:val="pl-PL"/>
        </w:rPr>
      </w:pPr>
    </w:p>
    <w:p w14:paraId="10BDEEC6" w14:textId="77777777" w:rsidR="002D2C99" w:rsidRPr="00FD65C9" w:rsidRDefault="002D2C99" w:rsidP="00622760">
      <w:pPr>
        <w:jc w:val="center"/>
        <w:rPr>
          <w:lang w:val="pl-PL"/>
        </w:rPr>
      </w:pPr>
    </w:p>
    <w:p w14:paraId="617DE8A9" w14:textId="77777777" w:rsidR="002D2C99" w:rsidRPr="00FD65C9" w:rsidRDefault="002D2C99" w:rsidP="00622760">
      <w:pPr>
        <w:jc w:val="center"/>
        <w:rPr>
          <w:lang w:val="pl-PL"/>
        </w:rPr>
      </w:pPr>
    </w:p>
    <w:p w14:paraId="36538738" w14:textId="77777777" w:rsidR="008D7992" w:rsidRPr="00FD65C9" w:rsidRDefault="008D7992" w:rsidP="00622760">
      <w:pPr>
        <w:jc w:val="center"/>
        <w:rPr>
          <w:lang w:val="pl-PL"/>
        </w:rPr>
      </w:pPr>
    </w:p>
    <w:p w14:paraId="3D77316E" w14:textId="77777777" w:rsidR="008D7992" w:rsidRPr="00FD65C9" w:rsidRDefault="008D7992" w:rsidP="00622760">
      <w:pPr>
        <w:jc w:val="center"/>
        <w:rPr>
          <w:lang w:val="pl-PL"/>
        </w:rPr>
      </w:pPr>
    </w:p>
    <w:p w14:paraId="20B02ABF" w14:textId="77777777" w:rsidR="002D2C99" w:rsidRPr="00FD65C9" w:rsidRDefault="002D2C99" w:rsidP="00622760">
      <w:pPr>
        <w:jc w:val="center"/>
        <w:rPr>
          <w:lang w:val="pl-PL"/>
        </w:rPr>
      </w:pPr>
    </w:p>
    <w:p w14:paraId="21649670" w14:textId="77777777" w:rsidR="002D2C99" w:rsidRPr="00FD65C9" w:rsidRDefault="002D2C99" w:rsidP="00622760">
      <w:pPr>
        <w:jc w:val="center"/>
        <w:rPr>
          <w:lang w:val="pl-PL"/>
        </w:rPr>
      </w:pPr>
    </w:p>
    <w:p w14:paraId="2AEC113E" w14:textId="77777777" w:rsidR="002D2C99" w:rsidRPr="00FD65C9" w:rsidRDefault="002D2C99" w:rsidP="00622760">
      <w:pPr>
        <w:jc w:val="center"/>
        <w:outlineLvl w:val="0"/>
        <w:rPr>
          <w:lang w:val="pl-PL"/>
        </w:rPr>
      </w:pPr>
      <w:r w:rsidRPr="00FD65C9">
        <w:rPr>
          <w:lang w:val="pl-PL"/>
        </w:rPr>
        <w:t>WYROK</w:t>
      </w:r>
    </w:p>
    <w:p w14:paraId="3D5E4719" w14:textId="77777777" w:rsidR="002D2C99" w:rsidRPr="00FD65C9" w:rsidRDefault="002D2C99" w:rsidP="00622760">
      <w:pPr>
        <w:jc w:val="center"/>
        <w:rPr>
          <w:lang w:val="pl-PL"/>
        </w:rPr>
      </w:pPr>
    </w:p>
    <w:p w14:paraId="64DA602C" w14:textId="77777777" w:rsidR="001005D7" w:rsidRPr="00FD65C9" w:rsidRDefault="001005D7" w:rsidP="00622760">
      <w:pPr>
        <w:jc w:val="center"/>
        <w:rPr>
          <w:i/>
          <w:lang w:val="pl-PL"/>
        </w:rPr>
      </w:pPr>
    </w:p>
    <w:p w14:paraId="28A86CE0" w14:textId="77777777" w:rsidR="001005D7" w:rsidRPr="00FD65C9" w:rsidRDefault="001005D7" w:rsidP="00622760">
      <w:pPr>
        <w:jc w:val="center"/>
        <w:rPr>
          <w:i/>
          <w:lang w:val="pl-PL"/>
        </w:rPr>
      </w:pPr>
    </w:p>
    <w:p w14:paraId="60658EA3" w14:textId="77777777" w:rsidR="002D2C99" w:rsidRPr="00FD65C9" w:rsidRDefault="002D2C99" w:rsidP="00622760">
      <w:pPr>
        <w:jc w:val="center"/>
        <w:rPr>
          <w:lang w:val="pl-PL"/>
        </w:rPr>
      </w:pPr>
    </w:p>
    <w:p w14:paraId="331DE513" w14:textId="77777777" w:rsidR="002D2C99" w:rsidRPr="00FD65C9" w:rsidRDefault="002D2C99" w:rsidP="00622760">
      <w:pPr>
        <w:jc w:val="center"/>
        <w:outlineLvl w:val="0"/>
        <w:rPr>
          <w:lang w:val="pl-PL"/>
        </w:rPr>
      </w:pPr>
      <w:r w:rsidRPr="00FD65C9">
        <w:rPr>
          <w:lang w:val="pl-PL"/>
        </w:rPr>
        <w:t>STRASBURG</w:t>
      </w:r>
    </w:p>
    <w:p w14:paraId="1CE9C5EC" w14:textId="77777777" w:rsidR="002D2C99" w:rsidRPr="00FD65C9" w:rsidRDefault="002D2C99" w:rsidP="00622760">
      <w:pPr>
        <w:jc w:val="center"/>
        <w:rPr>
          <w:lang w:val="pl-PL"/>
        </w:rPr>
      </w:pPr>
    </w:p>
    <w:p w14:paraId="4F5AB52B" w14:textId="77777777" w:rsidR="002D2C99" w:rsidRPr="00FD65C9" w:rsidRDefault="001005D7" w:rsidP="00622760">
      <w:pPr>
        <w:jc w:val="center"/>
        <w:rPr>
          <w:lang w:val="pl-PL"/>
        </w:rPr>
      </w:pPr>
      <w:r w:rsidRPr="00FD65C9">
        <w:rPr>
          <w:lang w:val="pl-PL"/>
        </w:rPr>
        <w:t>16 kwietnia 2019 r.</w:t>
      </w:r>
    </w:p>
    <w:p w14:paraId="65E50291" w14:textId="77777777" w:rsidR="002D2C99" w:rsidRPr="00FD65C9" w:rsidRDefault="002D2C99" w:rsidP="00622760">
      <w:pPr>
        <w:jc w:val="center"/>
        <w:rPr>
          <w:lang w:val="pl-PL"/>
        </w:rPr>
      </w:pPr>
    </w:p>
    <w:p w14:paraId="1DA06D9D" w14:textId="77777777" w:rsidR="005570B2" w:rsidRPr="00FD65C9" w:rsidRDefault="005570B2" w:rsidP="00622760">
      <w:pPr>
        <w:jc w:val="center"/>
        <w:rPr>
          <w:lang w:val="pl-PL"/>
        </w:rPr>
      </w:pPr>
    </w:p>
    <w:p w14:paraId="2E99D9F5" w14:textId="6C612F7B" w:rsidR="0084744D" w:rsidRPr="00FD65C9" w:rsidRDefault="00BF539C" w:rsidP="0084744D">
      <w:pPr>
        <w:pStyle w:val="jucase0"/>
        <w:ind w:firstLine="0"/>
        <w:jc w:val="center"/>
        <w:rPr>
          <w:color w:val="FF0000"/>
          <w:sz w:val="28"/>
          <w:szCs w:val="28"/>
          <w:u w:val="single"/>
          <w:lang w:val="pl-PL"/>
        </w:rPr>
      </w:pPr>
      <w:r>
        <w:rPr>
          <w:color w:val="FF0000"/>
          <w:sz w:val="28"/>
          <w:szCs w:val="28"/>
          <w:u w:val="single"/>
          <w:lang w:val="pl-PL"/>
        </w:rPr>
        <w:t xml:space="preserve">WYROK </w:t>
      </w:r>
      <w:r w:rsidR="0084744D" w:rsidRPr="00FD65C9">
        <w:rPr>
          <w:color w:val="FF0000"/>
          <w:sz w:val="28"/>
          <w:szCs w:val="28"/>
          <w:u w:val="single"/>
          <w:lang w:val="pl-PL"/>
        </w:rPr>
        <w:t>OSTATECZNY</w:t>
      </w:r>
    </w:p>
    <w:p w14:paraId="5F4B4F23" w14:textId="77777777" w:rsidR="0084744D" w:rsidRPr="00FD65C9" w:rsidRDefault="0084744D" w:rsidP="0084744D">
      <w:pPr>
        <w:pStyle w:val="jupara"/>
        <w:tabs>
          <w:tab w:val="left" w:pos="3450"/>
        </w:tabs>
        <w:ind w:firstLine="0"/>
        <w:jc w:val="center"/>
        <w:rPr>
          <w:color w:val="FF0000"/>
          <w:sz w:val="28"/>
          <w:szCs w:val="28"/>
          <w:lang w:val="pl-PL"/>
        </w:rPr>
      </w:pPr>
    </w:p>
    <w:p w14:paraId="6727E853" w14:textId="77777777" w:rsidR="0084744D" w:rsidRPr="00FD65C9" w:rsidRDefault="0084744D" w:rsidP="0084744D">
      <w:pPr>
        <w:pStyle w:val="jupara"/>
        <w:ind w:firstLine="0"/>
        <w:jc w:val="center"/>
        <w:rPr>
          <w:color w:val="FF0000"/>
          <w:sz w:val="28"/>
          <w:szCs w:val="28"/>
          <w:lang w:val="pl-PL"/>
        </w:rPr>
      </w:pPr>
      <w:r w:rsidRPr="00FD65C9">
        <w:rPr>
          <w:color w:val="FF0000"/>
          <w:sz w:val="28"/>
          <w:szCs w:val="28"/>
          <w:lang w:val="pl-PL"/>
        </w:rPr>
        <w:t>09/09/2019</w:t>
      </w:r>
    </w:p>
    <w:p w14:paraId="0108A69A" w14:textId="77777777" w:rsidR="0084744D" w:rsidRPr="00FD65C9" w:rsidRDefault="0084744D" w:rsidP="0084744D">
      <w:pPr>
        <w:pStyle w:val="jupara"/>
        <w:ind w:firstLine="0"/>
        <w:jc w:val="center"/>
        <w:rPr>
          <w:u w:val="single"/>
          <w:lang w:val="pl-PL"/>
        </w:rPr>
      </w:pPr>
    </w:p>
    <w:p w14:paraId="43EC0B61" w14:textId="77777777" w:rsidR="002D2C99" w:rsidRPr="00FD65C9" w:rsidRDefault="0084744D" w:rsidP="0084744D">
      <w:pPr>
        <w:jc w:val="center"/>
        <w:rPr>
          <w:i/>
          <w:lang w:val="pl-PL"/>
        </w:rPr>
      </w:pPr>
      <w:r w:rsidRPr="00FD65C9">
        <w:rPr>
          <w:i/>
          <w:iCs/>
          <w:sz w:val="22"/>
          <w:lang w:val="pl-PL"/>
        </w:rPr>
        <w:t>Wyrok ten stał się ostateczny na mocy art. 44 ust. 2 Konwencji. Może podlegać korekcie wydawniczej.</w:t>
      </w:r>
    </w:p>
    <w:p w14:paraId="517D733C" w14:textId="77777777" w:rsidR="002D2C99" w:rsidRPr="00FD65C9" w:rsidRDefault="002D2C99" w:rsidP="00622760">
      <w:pPr>
        <w:rPr>
          <w:lang w:val="pl-PL"/>
        </w:rPr>
        <w:sectPr w:rsidR="002D2C99" w:rsidRPr="00FD65C9" w:rsidSect="00F5432B">
          <w:headerReference w:type="default" r:id="rId11"/>
          <w:footerReference w:type="default" r:id="rId12"/>
          <w:footnotePr>
            <w:numRestart w:val="eachSect"/>
          </w:footnotePr>
          <w:pgSz w:w="11906" w:h="16838" w:code="9"/>
          <w:pgMar w:top="2274" w:right="2274" w:bottom="2274" w:left="2274" w:header="1701" w:footer="720" w:gutter="0"/>
          <w:pgNumType w:start="1"/>
          <w:cols w:space="720"/>
          <w:noEndnote/>
        </w:sectPr>
      </w:pPr>
    </w:p>
    <w:p w14:paraId="54BAB8C9" w14:textId="77777777" w:rsidR="002D2C99" w:rsidRPr="00FD65C9" w:rsidRDefault="002D2C99" w:rsidP="00622760">
      <w:pPr>
        <w:pStyle w:val="JuCase"/>
        <w:rPr>
          <w:lang w:val="pl-PL"/>
        </w:rPr>
      </w:pPr>
      <w:r w:rsidRPr="00FD65C9">
        <w:rPr>
          <w:bCs/>
          <w:lang w:val="pl-PL"/>
        </w:rPr>
        <w:t xml:space="preserve">W sprawie </w:t>
      </w:r>
      <w:proofErr w:type="spellStart"/>
      <w:r w:rsidRPr="00FD65C9">
        <w:rPr>
          <w:bCs/>
          <w:lang w:val="pl-PL"/>
        </w:rPr>
        <w:t>Alparslan</w:t>
      </w:r>
      <w:proofErr w:type="spellEnd"/>
      <w:r w:rsidRPr="00FD65C9">
        <w:rPr>
          <w:bCs/>
          <w:lang w:val="pl-PL"/>
        </w:rPr>
        <w:t xml:space="preserve"> Altan przeciwko Turcji,</w:t>
      </w:r>
    </w:p>
    <w:p w14:paraId="1A4FD7C1" w14:textId="77777777" w:rsidR="00E95B67" w:rsidRPr="00FD65C9" w:rsidRDefault="00E95B67" w:rsidP="00622760">
      <w:pPr>
        <w:pStyle w:val="ECHRPara"/>
        <w:rPr>
          <w:lang w:val="pl-PL"/>
        </w:rPr>
      </w:pPr>
      <w:r w:rsidRPr="00FD65C9">
        <w:rPr>
          <w:lang w:val="pl-PL"/>
        </w:rPr>
        <w:t>Europejski Trybunał Praw Człowieka (druga sekcja), zasiadając jako izba w składzie:</w:t>
      </w:r>
    </w:p>
    <w:p w14:paraId="0414CDB3" w14:textId="77777777" w:rsidR="00E95B67" w:rsidRPr="00FD65C9" w:rsidRDefault="00675E41" w:rsidP="00622760">
      <w:pPr>
        <w:pStyle w:val="ECHRDecisionBody"/>
        <w:rPr>
          <w:lang w:val="pl-PL"/>
        </w:rPr>
      </w:pPr>
      <w:r w:rsidRPr="00FD65C9">
        <w:rPr>
          <w:lang w:val="pl-PL"/>
        </w:rPr>
        <w:tab/>
        <w:t xml:space="preserve">Robert Spano, </w:t>
      </w:r>
      <w:r w:rsidRPr="00FD65C9">
        <w:rPr>
          <w:i/>
          <w:iCs/>
          <w:lang w:val="pl-PL"/>
        </w:rPr>
        <w:t>przewodniczący</w:t>
      </w:r>
      <w:r w:rsidRPr="00FD65C9">
        <w:rPr>
          <w:lang w:val="pl-PL"/>
        </w:rPr>
        <w:t>,</w:t>
      </w:r>
      <w:r w:rsidRPr="00FD65C9">
        <w:rPr>
          <w:lang w:val="pl-PL"/>
        </w:rPr>
        <w:br/>
      </w:r>
      <w:r w:rsidRPr="00FD65C9">
        <w:rPr>
          <w:lang w:val="pl-PL"/>
        </w:rPr>
        <w:tab/>
        <w:t xml:space="preserve">Paul </w:t>
      </w:r>
      <w:proofErr w:type="spellStart"/>
      <w:r w:rsidRPr="00FD65C9">
        <w:rPr>
          <w:lang w:val="pl-PL"/>
        </w:rPr>
        <w:t>Lemmens</w:t>
      </w:r>
      <w:proofErr w:type="spellEnd"/>
      <w:r w:rsidRPr="00FD65C9">
        <w:rPr>
          <w:lang w:val="pl-PL"/>
        </w:rPr>
        <w:t>,</w:t>
      </w:r>
      <w:r w:rsidRPr="00FD65C9">
        <w:rPr>
          <w:lang w:val="pl-PL"/>
        </w:rPr>
        <w:br/>
      </w:r>
      <w:r w:rsidRPr="00FD65C9">
        <w:rPr>
          <w:lang w:val="pl-PL"/>
        </w:rPr>
        <w:tab/>
        <w:t xml:space="preserve">Julia </w:t>
      </w:r>
      <w:proofErr w:type="spellStart"/>
      <w:r w:rsidRPr="00FD65C9">
        <w:rPr>
          <w:lang w:val="pl-PL"/>
        </w:rPr>
        <w:t>Laffranque</w:t>
      </w:r>
      <w:proofErr w:type="spellEnd"/>
      <w:r w:rsidRPr="00FD65C9">
        <w:rPr>
          <w:lang w:val="pl-PL"/>
        </w:rPr>
        <w:t>,</w:t>
      </w:r>
      <w:r w:rsidRPr="00FD65C9">
        <w:rPr>
          <w:lang w:val="pl-PL"/>
        </w:rPr>
        <w:br/>
      </w:r>
      <w:r w:rsidRPr="00FD65C9">
        <w:rPr>
          <w:lang w:val="pl-PL"/>
        </w:rPr>
        <w:tab/>
        <w:t xml:space="preserve">Ivana </w:t>
      </w:r>
      <w:proofErr w:type="spellStart"/>
      <w:r w:rsidRPr="00FD65C9">
        <w:rPr>
          <w:lang w:val="pl-PL"/>
        </w:rPr>
        <w:t>Jelić</w:t>
      </w:r>
      <w:proofErr w:type="spellEnd"/>
      <w:r w:rsidRPr="00FD65C9">
        <w:rPr>
          <w:lang w:val="pl-PL"/>
        </w:rPr>
        <w:t>,</w:t>
      </w:r>
      <w:r w:rsidRPr="00FD65C9">
        <w:rPr>
          <w:lang w:val="pl-PL"/>
        </w:rPr>
        <w:br/>
      </w:r>
      <w:r w:rsidRPr="00FD65C9">
        <w:rPr>
          <w:lang w:val="pl-PL"/>
        </w:rPr>
        <w:tab/>
      </w:r>
      <w:proofErr w:type="spellStart"/>
      <w:r w:rsidRPr="00FD65C9">
        <w:rPr>
          <w:lang w:val="pl-PL"/>
        </w:rPr>
        <w:t>Arnfinn</w:t>
      </w:r>
      <w:proofErr w:type="spellEnd"/>
      <w:r w:rsidRPr="00FD65C9">
        <w:rPr>
          <w:lang w:val="pl-PL"/>
        </w:rPr>
        <w:t xml:space="preserve"> </w:t>
      </w:r>
      <w:proofErr w:type="spellStart"/>
      <w:r w:rsidRPr="00FD65C9">
        <w:rPr>
          <w:lang w:val="pl-PL"/>
        </w:rPr>
        <w:t>Bårdsen</w:t>
      </w:r>
      <w:proofErr w:type="spellEnd"/>
      <w:r w:rsidRPr="00FD65C9">
        <w:rPr>
          <w:lang w:val="pl-PL"/>
        </w:rPr>
        <w:t>,</w:t>
      </w:r>
      <w:r w:rsidRPr="00FD65C9">
        <w:rPr>
          <w:lang w:val="pl-PL"/>
        </w:rPr>
        <w:br/>
      </w:r>
      <w:r w:rsidRPr="00FD65C9">
        <w:rPr>
          <w:lang w:val="pl-PL"/>
        </w:rPr>
        <w:tab/>
      </w:r>
      <w:proofErr w:type="spellStart"/>
      <w:r w:rsidRPr="00FD65C9">
        <w:rPr>
          <w:lang w:val="pl-PL"/>
        </w:rPr>
        <w:t>Darian</w:t>
      </w:r>
      <w:proofErr w:type="spellEnd"/>
      <w:r w:rsidRPr="00FD65C9">
        <w:rPr>
          <w:lang w:val="pl-PL"/>
        </w:rPr>
        <w:t xml:space="preserve"> Pavli, sędziowie,</w:t>
      </w:r>
      <w:r w:rsidRPr="00FD65C9">
        <w:rPr>
          <w:lang w:val="pl-PL"/>
        </w:rPr>
        <w:br/>
      </w:r>
      <w:r w:rsidRPr="00FD65C9">
        <w:rPr>
          <w:lang w:val="pl-PL"/>
        </w:rPr>
        <w:tab/>
      </w:r>
      <w:proofErr w:type="spellStart"/>
      <w:r w:rsidRPr="00FD65C9">
        <w:rPr>
          <w:lang w:val="pl-PL"/>
        </w:rPr>
        <w:t>Harun</w:t>
      </w:r>
      <w:proofErr w:type="spellEnd"/>
      <w:r w:rsidRPr="00FD65C9">
        <w:rPr>
          <w:lang w:val="pl-PL"/>
        </w:rPr>
        <w:t xml:space="preserve"> </w:t>
      </w:r>
      <w:proofErr w:type="spellStart"/>
      <w:r w:rsidRPr="00FD65C9">
        <w:rPr>
          <w:lang w:val="pl-PL"/>
        </w:rPr>
        <w:t>Mert</w:t>
      </w:r>
      <w:proofErr w:type="spellEnd"/>
      <w:r w:rsidRPr="00FD65C9">
        <w:rPr>
          <w:lang w:val="pl-PL"/>
        </w:rPr>
        <w:t xml:space="preserve">, </w:t>
      </w:r>
      <w:r w:rsidRPr="00FD65C9">
        <w:rPr>
          <w:i/>
          <w:iCs/>
          <w:lang w:val="pl-PL"/>
        </w:rPr>
        <w:t>sędzia ad hoc,</w:t>
      </w:r>
      <w:r w:rsidRPr="00FD65C9">
        <w:rPr>
          <w:lang w:val="pl-PL"/>
        </w:rPr>
        <w:br/>
        <w:t xml:space="preserve">i Stanley </w:t>
      </w:r>
      <w:proofErr w:type="spellStart"/>
      <w:r w:rsidRPr="00FD65C9">
        <w:rPr>
          <w:lang w:val="pl-PL"/>
        </w:rPr>
        <w:t>Naismith</w:t>
      </w:r>
      <w:proofErr w:type="spellEnd"/>
      <w:r w:rsidRPr="00FD65C9">
        <w:rPr>
          <w:lang w:val="pl-PL"/>
        </w:rPr>
        <w:t xml:space="preserve">, </w:t>
      </w:r>
      <w:r w:rsidRPr="00FD65C9">
        <w:rPr>
          <w:i/>
          <w:iCs/>
          <w:lang w:val="pl-PL"/>
        </w:rPr>
        <w:t>kanclerz sekcji,</w:t>
      </w:r>
    </w:p>
    <w:p w14:paraId="2D24038D" w14:textId="5F227684" w:rsidR="00E95B67" w:rsidRPr="00FD65C9" w:rsidRDefault="00E95B67" w:rsidP="00622760">
      <w:pPr>
        <w:pStyle w:val="ECHRPara"/>
        <w:rPr>
          <w:lang w:val="pl-PL"/>
        </w:rPr>
      </w:pPr>
      <w:r w:rsidRPr="00FD65C9">
        <w:rPr>
          <w:lang w:val="pl-PL"/>
        </w:rPr>
        <w:t xml:space="preserve">Obradując na posiedzeniu </w:t>
      </w:r>
      <w:r w:rsidR="00D7248A">
        <w:rPr>
          <w:lang w:val="pl-PL"/>
        </w:rPr>
        <w:t>niejawnym</w:t>
      </w:r>
      <w:r w:rsidRPr="00FD65C9">
        <w:rPr>
          <w:lang w:val="pl-PL"/>
        </w:rPr>
        <w:t xml:space="preserve"> w dniu 19 marca 2019 r.,</w:t>
      </w:r>
    </w:p>
    <w:p w14:paraId="59A9028D" w14:textId="77777777" w:rsidR="00E95B67" w:rsidRPr="00FD65C9" w:rsidRDefault="00E95B67" w:rsidP="00622760">
      <w:pPr>
        <w:pStyle w:val="ECHRPara"/>
        <w:rPr>
          <w:lang w:val="pl-PL"/>
        </w:rPr>
      </w:pPr>
      <w:r w:rsidRPr="00FD65C9">
        <w:rPr>
          <w:lang w:val="pl-PL"/>
        </w:rPr>
        <w:t>Wydaje następujący wyrok, który został przyjęty w tym dniu:</w:t>
      </w:r>
    </w:p>
    <w:p w14:paraId="43D3BC41" w14:textId="77777777" w:rsidR="00E95B67" w:rsidRPr="00FD65C9" w:rsidRDefault="00E95B67" w:rsidP="00622760">
      <w:pPr>
        <w:pStyle w:val="ECHRTitle1"/>
        <w:rPr>
          <w:lang w:val="pl-PL"/>
        </w:rPr>
      </w:pPr>
      <w:r w:rsidRPr="00FD65C9">
        <w:rPr>
          <w:lang w:val="pl-PL"/>
        </w:rPr>
        <w:t>POSTĘPOWANIE</w:t>
      </w:r>
    </w:p>
    <w:p w14:paraId="2CE9EC12" w14:textId="77777777"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w:t>
      </w:r>
      <w:r w:rsidRPr="00FD65C9">
        <w:rPr>
          <w:lang w:val="pl-PL"/>
        </w:rPr>
        <w:fldChar w:fldCharType="end"/>
      </w:r>
      <w:r w:rsidR="00E95B67" w:rsidRPr="00FD65C9">
        <w:rPr>
          <w:lang w:val="pl-PL"/>
        </w:rPr>
        <w:t xml:space="preserve">.  Sprawa wywodzi się ze skargi (nr 12778/17) przeciwko Republice Turcji wniesionej do Trybunału na podstawie art. 34 Konwencji o ochronie praw człowieka i podstawowych wolności („Konwencja”) przez </w:t>
      </w:r>
      <w:proofErr w:type="spellStart"/>
      <w:r w:rsidR="00E95B67" w:rsidRPr="00FD65C9">
        <w:rPr>
          <w:lang w:val="pl-PL"/>
        </w:rPr>
        <w:t>Alparslana</w:t>
      </w:r>
      <w:proofErr w:type="spellEnd"/>
      <w:r w:rsidR="00E95B67" w:rsidRPr="00FD65C9">
        <w:rPr>
          <w:lang w:val="pl-PL"/>
        </w:rPr>
        <w:t xml:space="preserve"> Altana („skarżącego”) w dniu 16 stycznia 2017 r.,</w:t>
      </w:r>
    </w:p>
    <w:p w14:paraId="25123BF1" w14:textId="4F23DE7C"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2</w:t>
      </w:r>
      <w:r w:rsidRPr="00FD65C9">
        <w:rPr>
          <w:lang w:val="pl-PL"/>
        </w:rPr>
        <w:fldChar w:fldCharType="end"/>
      </w:r>
      <w:r w:rsidR="00E95B67" w:rsidRPr="00FD65C9">
        <w:rPr>
          <w:lang w:val="pl-PL"/>
        </w:rPr>
        <w:t>.  Skarżący był reprezentowany przez E.Y. </w:t>
      </w:r>
      <w:proofErr w:type="spellStart"/>
      <w:r w:rsidR="00E95B67" w:rsidRPr="00FD65C9">
        <w:rPr>
          <w:lang w:val="pl-PL"/>
        </w:rPr>
        <w:t>Aras</w:t>
      </w:r>
      <w:r w:rsidR="00D7248A">
        <w:rPr>
          <w:lang w:val="pl-PL"/>
        </w:rPr>
        <w:t>a</w:t>
      </w:r>
      <w:proofErr w:type="spellEnd"/>
      <w:r w:rsidR="00E95B67" w:rsidRPr="00FD65C9">
        <w:rPr>
          <w:lang w:val="pl-PL"/>
        </w:rPr>
        <w:t xml:space="preserve">, </w:t>
      </w:r>
      <w:r w:rsidR="00355CD5">
        <w:rPr>
          <w:lang w:val="pl-PL"/>
        </w:rPr>
        <w:t>adwokata</w:t>
      </w:r>
      <w:r w:rsidR="00D7248A" w:rsidRPr="00FD65C9">
        <w:rPr>
          <w:lang w:val="pl-PL"/>
        </w:rPr>
        <w:t xml:space="preserve"> </w:t>
      </w:r>
      <w:r w:rsidR="00E95B67" w:rsidRPr="00FD65C9">
        <w:rPr>
          <w:lang w:val="pl-PL"/>
        </w:rPr>
        <w:t>praktykując</w:t>
      </w:r>
      <w:r w:rsidR="00D7248A">
        <w:rPr>
          <w:lang w:val="pl-PL"/>
        </w:rPr>
        <w:t>ego</w:t>
      </w:r>
      <w:r w:rsidR="00E95B67" w:rsidRPr="00FD65C9">
        <w:rPr>
          <w:lang w:val="pl-PL"/>
        </w:rPr>
        <w:t xml:space="preserve"> w Ankarze. Rząd turecki („Rząd”) był reprezentowany przez swojego pełnomocnika.</w:t>
      </w:r>
    </w:p>
    <w:p w14:paraId="47925861" w14:textId="77777777"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3</w:t>
      </w:r>
      <w:r w:rsidRPr="00FD65C9">
        <w:rPr>
          <w:lang w:val="pl-PL"/>
        </w:rPr>
        <w:fldChar w:fldCharType="end"/>
      </w:r>
      <w:r w:rsidR="00E95B67" w:rsidRPr="00FD65C9">
        <w:rPr>
          <w:lang w:val="pl-PL"/>
        </w:rPr>
        <w:t>.  Skarżący w szczególności zarzucił, że został poz</w:t>
      </w:r>
      <w:r w:rsidR="003A4190" w:rsidRPr="00FD65C9">
        <w:rPr>
          <w:lang w:val="pl-PL"/>
        </w:rPr>
        <w:t>bawiony wolności z </w:t>
      </w:r>
      <w:r w:rsidR="00E95B67" w:rsidRPr="00FD65C9">
        <w:rPr>
          <w:lang w:val="pl-PL"/>
        </w:rPr>
        <w:t>naruszeniem art. 5 Konwencji.</w:t>
      </w:r>
    </w:p>
    <w:p w14:paraId="5455542F" w14:textId="182EA3AD"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4</w:t>
      </w:r>
      <w:r w:rsidRPr="00FD65C9">
        <w:rPr>
          <w:lang w:val="pl-PL"/>
        </w:rPr>
        <w:fldChar w:fldCharType="end"/>
      </w:r>
      <w:r w:rsidR="00E95B67" w:rsidRPr="00FD65C9">
        <w:rPr>
          <w:lang w:val="pl-PL"/>
        </w:rPr>
        <w:t xml:space="preserve">.  W dniu </w:t>
      </w:r>
      <w:r w:rsidR="00E95B67" w:rsidRPr="00FD65C9">
        <w:rPr>
          <w:szCs w:val="24"/>
          <w:lang w:val="pl-PL"/>
        </w:rPr>
        <w:t>29 września 2017 r.</w:t>
      </w:r>
      <w:r w:rsidR="00E95B67" w:rsidRPr="00FD65C9">
        <w:rPr>
          <w:lang w:val="pl-PL"/>
        </w:rPr>
        <w:t xml:space="preserve"> zarzuty dotyczące art. 5 ust. 1 i 3 zostały zakomunikowane Rządowi, a skarga została uznana za niedopuszczalną</w:t>
      </w:r>
      <w:r w:rsidR="00E95B67" w:rsidRPr="00FD65C9">
        <w:rPr>
          <w:szCs w:val="24"/>
          <w:lang w:val="pl-PL"/>
        </w:rPr>
        <w:t xml:space="preserve"> co do pozostałej części </w:t>
      </w:r>
      <w:r w:rsidR="00E95B67" w:rsidRPr="00FD65C9">
        <w:rPr>
          <w:lang w:val="pl-PL"/>
        </w:rPr>
        <w:t xml:space="preserve">zgodnie z Regułą 54 § 3 Regulaminu Trybunału. Zarówno skarżący, jak i Rząd przedstawili pisemne uwagi </w:t>
      </w:r>
      <w:r w:rsidR="002025FA">
        <w:rPr>
          <w:lang w:val="pl-PL"/>
        </w:rPr>
        <w:t>w sprawie</w:t>
      </w:r>
      <w:r w:rsidR="00E95B67" w:rsidRPr="00FD65C9">
        <w:rPr>
          <w:lang w:val="pl-PL"/>
        </w:rPr>
        <w:t xml:space="preserve"> dopuszczalności i </w:t>
      </w:r>
      <w:r w:rsidR="002025FA">
        <w:rPr>
          <w:lang w:val="pl-PL"/>
        </w:rPr>
        <w:t>przedmiotu</w:t>
      </w:r>
      <w:r w:rsidR="002025FA" w:rsidRPr="00FD65C9">
        <w:rPr>
          <w:lang w:val="pl-PL"/>
        </w:rPr>
        <w:t xml:space="preserve"> </w:t>
      </w:r>
      <w:r w:rsidR="00E95B67" w:rsidRPr="00FD65C9">
        <w:rPr>
          <w:lang w:val="pl-PL"/>
        </w:rPr>
        <w:t>sprawy.</w:t>
      </w:r>
    </w:p>
    <w:p w14:paraId="688B6BD5" w14:textId="5671FAC1" w:rsidR="00E95B67" w:rsidRPr="00FD65C9" w:rsidRDefault="00DA7597" w:rsidP="00622760">
      <w:pPr>
        <w:pStyle w:val="ECHRPara"/>
        <w:rPr>
          <w:szCs w:val="24"/>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5</w:t>
      </w:r>
      <w:r w:rsidRPr="00FD65C9">
        <w:rPr>
          <w:lang w:val="pl-PL"/>
        </w:rPr>
        <w:fldChar w:fldCharType="end"/>
      </w:r>
      <w:r w:rsidR="00E95B67" w:rsidRPr="00FD65C9">
        <w:rPr>
          <w:lang w:val="pl-PL"/>
        </w:rPr>
        <w:t xml:space="preserve">.  Po </w:t>
      </w:r>
      <w:r w:rsidR="002025FA">
        <w:rPr>
          <w:lang w:val="pl-PL"/>
        </w:rPr>
        <w:t xml:space="preserve">wyłączeniu </w:t>
      </w:r>
      <w:proofErr w:type="spellStart"/>
      <w:r w:rsidR="00E95B67" w:rsidRPr="00FD65C9">
        <w:rPr>
          <w:lang w:val="pl-PL"/>
        </w:rPr>
        <w:t>Ayşe</w:t>
      </w:r>
      <w:proofErr w:type="spellEnd"/>
      <w:r w:rsidR="00E95B67" w:rsidRPr="00FD65C9">
        <w:rPr>
          <w:lang w:val="pl-PL"/>
        </w:rPr>
        <w:t xml:space="preserve"> </w:t>
      </w:r>
      <w:proofErr w:type="spellStart"/>
      <w:r w:rsidR="00E95B67" w:rsidRPr="00FD65C9">
        <w:rPr>
          <w:lang w:val="pl-PL"/>
        </w:rPr>
        <w:t>Işıl</w:t>
      </w:r>
      <w:proofErr w:type="spellEnd"/>
      <w:r w:rsidR="00E95B67" w:rsidRPr="00FD65C9">
        <w:rPr>
          <w:lang w:val="pl-PL"/>
        </w:rPr>
        <w:t xml:space="preserve"> </w:t>
      </w:r>
      <w:proofErr w:type="spellStart"/>
      <w:r w:rsidR="00E95B67" w:rsidRPr="00FD65C9">
        <w:rPr>
          <w:lang w:val="pl-PL"/>
        </w:rPr>
        <w:t>Karakaşa</w:t>
      </w:r>
      <w:proofErr w:type="spellEnd"/>
      <w:r w:rsidR="00E95B67" w:rsidRPr="00FD65C9">
        <w:rPr>
          <w:lang w:val="pl-PL"/>
        </w:rPr>
        <w:t xml:space="preserve">, sędziego wybranego </w:t>
      </w:r>
      <w:r w:rsidR="002025FA">
        <w:rPr>
          <w:lang w:val="pl-PL"/>
        </w:rPr>
        <w:t>z ramienia</w:t>
      </w:r>
      <w:r w:rsidR="00E95B67" w:rsidRPr="00FD65C9">
        <w:rPr>
          <w:lang w:val="pl-PL"/>
        </w:rPr>
        <w:t xml:space="preserve"> Turcji (Reguła 28 Regulaminu), </w:t>
      </w:r>
      <w:proofErr w:type="spellStart"/>
      <w:r w:rsidR="00E95B67" w:rsidRPr="00FD65C9">
        <w:rPr>
          <w:lang w:val="pl-PL"/>
        </w:rPr>
        <w:t>Harun</w:t>
      </w:r>
      <w:proofErr w:type="spellEnd"/>
      <w:r w:rsidR="00E95B67" w:rsidRPr="00FD65C9">
        <w:rPr>
          <w:lang w:val="pl-PL"/>
        </w:rPr>
        <w:t xml:space="preserve"> </w:t>
      </w:r>
      <w:proofErr w:type="spellStart"/>
      <w:r w:rsidR="00E95B67" w:rsidRPr="00FD65C9">
        <w:rPr>
          <w:lang w:val="pl-PL"/>
        </w:rPr>
        <w:t>Mert</w:t>
      </w:r>
      <w:proofErr w:type="spellEnd"/>
      <w:r w:rsidR="00E95B67" w:rsidRPr="00FD65C9">
        <w:rPr>
          <w:lang w:val="pl-PL"/>
        </w:rPr>
        <w:t xml:space="preserve"> został wyznaczony przez przewodniczącego </w:t>
      </w:r>
      <w:r w:rsidR="002025FA">
        <w:rPr>
          <w:lang w:val="pl-PL"/>
        </w:rPr>
        <w:t>na</w:t>
      </w:r>
      <w:r w:rsidR="00E95B67" w:rsidRPr="00FD65C9">
        <w:rPr>
          <w:lang w:val="pl-PL"/>
        </w:rPr>
        <w:t xml:space="preserve"> sędziego </w:t>
      </w:r>
      <w:r w:rsidR="00E95B67" w:rsidRPr="00FD65C9">
        <w:rPr>
          <w:i/>
          <w:iCs/>
          <w:lang w:val="pl-PL"/>
        </w:rPr>
        <w:t xml:space="preserve">ad hoc </w:t>
      </w:r>
      <w:r w:rsidR="003A4190" w:rsidRPr="00FD65C9">
        <w:rPr>
          <w:lang w:val="pl-PL"/>
        </w:rPr>
        <w:t>(art. 26 ust. </w:t>
      </w:r>
      <w:r w:rsidR="00E95B67" w:rsidRPr="00FD65C9">
        <w:rPr>
          <w:lang w:val="pl-PL"/>
        </w:rPr>
        <w:t>4 Konwencji i Reguła 29 § 1 Regulaminu).</w:t>
      </w:r>
    </w:p>
    <w:p w14:paraId="47B4C5A3" w14:textId="77777777" w:rsidR="00E95B67" w:rsidRPr="00FD65C9" w:rsidRDefault="00E95B67" w:rsidP="00622760">
      <w:pPr>
        <w:pStyle w:val="ECHRTitle1"/>
        <w:rPr>
          <w:lang w:val="pl-PL"/>
        </w:rPr>
      </w:pPr>
      <w:r w:rsidRPr="00FD65C9">
        <w:rPr>
          <w:lang w:val="pl-PL"/>
        </w:rPr>
        <w:t>STAN FAKTYCZNY</w:t>
      </w:r>
    </w:p>
    <w:p w14:paraId="7D0ED055" w14:textId="77777777" w:rsidR="00E95B67" w:rsidRPr="00FD65C9" w:rsidRDefault="00E95B67" w:rsidP="00622760">
      <w:pPr>
        <w:pStyle w:val="ECHRHeading1"/>
        <w:rPr>
          <w:lang w:val="pl-PL"/>
        </w:rPr>
      </w:pPr>
      <w:r w:rsidRPr="00FD65C9">
        <w:rPr>
          <w:bCs w:val="0"/>
          <w:lang w:val="pl-PL"/>
        </w:rPr>
        <w:t>I.  OKOLICZNOŚCI SPRAWY</w:t>
      </w:r>
    </w:p>
    <w:p w14:paraId="3C5B5014" w14:textId="7D5A61F3"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6</w:t>
      </w:r>
      <w:r w:rsidRPr="00FD65C9">
        <w:rPr>
          <w:lang w:val="pl-PL"/>
        </w:rPr>
        <w:fldChar w:fldCharType="end"/>
      </w:r>
      <w:r w:rsidR="00E95B67" w:rsidRPr="00FD65C9">
        <w:rPr>
          <w:lang w:val="pl-PL"/>
        </w:rPr>
        <w:t>.  Skarżący, były członek Trybunału Konstytucyjnego Turcji</w:t>
      </w:r>
      <w:r w:rsidR="00E91570">
        <w:rPr>
          <w:lang w:val="pl-PL"/>
        </w:rPr>
        <w:t xml:space="preserve"> („TK”)</w:t>
      </w:r>
      <w:r w:rsidR="00E95B67" w:rsidRPr="00FD65C9">
        <w:rPr>
          <w:lang w:val="pl-PL"/>
        </w:rPr>
        <w:t xml:space="preserve">, jest obywatelem tureckim urodzonym w 1968 r. i zamieszkałym w Ankarze. </w:t>
      </w:r>
      <w:r w:rsidR="002025FA">
        <w:rPr>
          <w:lang w:val="pl-PL"/>
        </w:rPr>
        <w:t>O</w:t>
      </w:r>
      <w:r w:rsidR="00E95B67" w:rsidRPr="00FD65C9">
        <w:rPr>
          <w:lang w:val="pl-PL"/>
        </w:rPr>
        <w:t xml:space="preserve">becnie </w:t>
      </w:r>
      <w:r w:rsidR="002025FA" w:rsidRPr="00FD65C9">
        <w:rPr>
          <w:lang w:val="pl-PL"/>
        </w:rPr>
        <w:t>prze</w:t>
      </w:r>
      <w:r w:rsidR="002025FA">
        <w:rPr>
          <w:lang w:val="pl-PL"/>
        </w:rPr>
        <w:t>bywa</w:t>
      </w:r>
      <w:r w:rsidR="002025FA" w:rsidRPr="00FD65C9">
        <w:rPr>
          <w:lang w:val="pl-PL"/>
        </w:rPr>
        <w:t xml:space="preserve"> </w:t>
      </w:r>
      <w:r w:rsidR="00E95B67" w:rsidRPr="00FD65C9">
        <w:rPr>
          <w:lang w:val="pl-PL"/>
        </w:rPr>
        <w:t>w areszcie</w:t>
      </w:r>
      <w:r w:rsidR="002025FA">
        <w:rPr>
          <w:lang w:val="pl-PL"/>
        </w:rPr>
        <w:t xml:space="preserve"> śledczym</w:t>
      </w:r>
      <w:r w:rsidR="00E95B67" w:rsidRPr="00FD65C9">
        <w:rPr>
          <w:lang w:val="pl-PL"/>
        </w:rPr>
        <w:t>.</w:t>
      </w:r>
    </w:p>
    <w:p w14:paraId="161BEB35" w14:textId="77777777" w:rsidR="00E95B67" w:rsidRPr="00FD65C9" w:rsidRDefault="00E95B67" w:rsidP="00622760">
      <w:pPr>
        <w:pStyle w:val="ECHRHeading2"/>
        <w:rPr>
          <w:lang w:val="pl-PL"/>
        </w:rPr>
      </w:pPr>
      <w:r w:rsidRPr="00FD65C9">
        <w:rPr>
          <w:lang w:val="pl-PL"/>
        </w:rPr>
        <w:t>A. Doświadczenie zawodowe skarżącego</w:t>
      </w:r>
    </w:p>
    <w:p w14:paraId="481AFEDC" w14:textId="0947297F"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7</w:t>
      </w:r>
      <w:r w:rsidRPr="00FD65C9">
        <w:rPr>
          <w:lang w:val="pl-PL"/>
        </w:rPr>
        <w:fldChar w:fldCharType="end"/>
      </w:r>
      <w:r w:rsidR="00E95B67" w:rsidRPr="00FD65C9">
        <w:rPr>
          <w:lang w:val="pl-PL"/>
        </w:rPr>
        <w:t>.  W 1993 r. skarżący rozpoczął swoją karierę jako pro</w:t>
      </w:r>
      <w:r w:rsidR="003A4190" w:rsidRPr="00FD65C9">
        <w:rPr>
          <w:lang w:val="pl-PL"/>
        </w:rPr>
        <w:t>kurator. W 2001 </w:t>
      </w:r>
      <w:r w:rsidR="00E95B67" w:rsidRPr="00FD65C9">
        <w:rPr>
          <w:lang w:val="pl-PL"/>
        </w:rPr>
        <w:t xml:space="preserve">r. został mianowany sprawozdawcą </w:t>
      </w:r>
      <w:r w:rsidR="00355CD5">
        <w:rPr>
          <w:lang w:val="pl-PL"/>
        </w:rPr>
        <w:t xml:space="preserve">w </w:t>
      </w:r>
      <w:r w:rsidR="00E91570">
        <w:rPr>
          <w:lang w:val="pl-PL"/>
        </w:rPr>
        <w:t>TK</w:t>
      </w:r>
      <w:r w:rsidR="002025FA">
        <w:rPr>
          <w:lang w:val="pl-PL"/>
        </w:rPr>
        <w:t>.</w:t>
      </w:r>
      <w:r w:rsidR="00E95B67" w:rsidRPr="00FD65C9">
        <w:rPr>
          <w:lang w:val="pl-PL"/>
        </w:rPr>
        <w:t xml:space="preserve"> W dniu 27 marca 2010 r. został </w:t>
      </w:r>
      <w:r w:rsidR="002025FA">
        <w:rPr>
          <w:lang w:val="pl-PL"/>
        </w:rPr>
        <w:t>mianowany</w:t>
      </w:r>
      <w:r w:rsidR="002025FA" w:rsidRPr="00FD65C9">
        <w:rPr>
          <w:lang w:val="pl-PL"/>
        </w:rPr>
        <w:t xml:space="preserve"> </w:t>
      </w:r>
      <w:r w:rsidR="00E95B67" w:rsidRPr="00FD65C9">
        <w:rPr>
          <w:lang w:val="pl-PL"/>
        </w:rPr>
        <w:t xml:space="preserve">przez prezydenta Republiki na stanowisko sędziego tego sądu, </w:t>
      </w:r>
      <w:r w:rsidR="002025FA">
        <w:rPr>
          <w:lang w:val="pl-PL"/>
        </w:rPr>
        <w:t xml:space="preserve">a urząd ten miał sprawować do czasu ukończenia </w:t>
      </w:r>
      <w:r w:rsidR="00E95B67" w:rsidRPr="00FD65C9">
        <w:rPr>
          <w:lang w:val="pl-PL"/>
        </w:rPr>
        <w:t xml:space="preserve">sześćdziesięciu pięciu lat. W dniu 26 października 2011 r. został wybrany przez sędziów tego sądu na wiceprezesa </w:t>
      </w:r>
      <w:r w:rsidR="00E91570">
        <w:rPr>
          <w:lang w:val="pl-PL"/>
        </w:rPr>
        <w:t>TK</w:t>
      </w:r>
      <w:r w:rsidR="00E95B67" w:rsidRPr="00FD65C9">
        <w:rPr>
          <w:lang w:val="pl-PL"/>
        </w:rPr>
        <w:t xml:space="preserve"> (</w:t>
      </w:r>
      <w:proofErr w:type="spellStart"/>
      <w:r w:rsidR="00E95B67" w:rsidRPr="00FD65C9">
        <w:rPr>
          <w:i/>
          <w:iCs/>
          <w:lang w:val="pl-PL"/>
        </w:rPr>
        <w:t>Anayasa</w:t>
      </w:r>
      <w:proofErr w:type="spellEnd"/>
      <w:r w:rsidR="00E95B67" w:rsidRPr="00FD65C9">
        <w:rPr>
          <w:i/>
          <w:iCs/>
          <w:lang w:val="pl-PL"/>
        </w:rPr>
        <w:t xml:space="preserve"> </w:t>
      </w:r>
      <w:proofErr w:type="spellStart"/>
      <w:r w:rsidR="00E95B67" w:rsidRPr="00FD65C9">
        <w:rPr>
          <w:i/>
          <w:iCs/>
          <w:lang w:val="pl-PL"/>
        </w:rPr>
        <w:t>Mahkemesi</w:t>
      </w:r>
      <w:proofErr w:type="spellEnd"/>
      <w:r w:rsidR="00E95B67" w:rsidRPr="00FD65C9">
        <w:rPr>
          <w:i/>
          <w:iCs/>
          <w:lang w:val="pl-PL"/>
        </w:rPr>
        <w:t xml:space="preserve"> </w:t>
      </w:r>
      <w:proofErr w:type="spellStart"/>
      <w:r w:rsidR="00E95B67" w:rsidRPr="00FD65C9">
        <w:rPr>
          <w:i/>
          <w:iCs/>
          <w:lang w:val="pl-PL"/>
        </w:rPr>
        <w:t>Başkanvekili</w:t>
      </w:r>
      <w:proofErr w:type="spellEnd"/>
      <w:r w:rsidR="00E95B67" w:rsidRPr="00FD65C9">
        <w:rPr>
          <w:lang w:val="pl-PL"/>
        </w:rPr>
        <w:t>) na czteroletnią kadencję,</w:t>
      </w:r>
      <w:r w:rsidR="003A4190" w:rsidRPr="00FD65C9">
        <w:rPr>
          <w:lang w:val="pl-PL"/>
        </w:rPr>
        <w:t xml:space="preserve"> która zakończyła się w dniu 26 </w:t>
      </w:r>
      <w:r w:rsidR="00E95B67" w:rsidRPr="00FD65C9">
        <w:rPr>
          <w:lang w:val="pl-PL"/>
        </w:rPr>
        <w:t xml:space="preserve">października 2015 r. W czasie </w:t>
      </w:r>
      <w:r w:rsidR="002025FA">
        <w:rPr>
          <w:lang w:val="pl-PL"/>
        </w:rPr>
        <w:t>objętym przedmiotem skargi</w:t>
      </w:r>
      <w:r w:rsidR="00E95B67" w:rsidRPr="00FD65C9">
        <w:rPr>
          <w:lang w:val="pl-PL"/>
        </w:rPr>
        <w:t xml:space="preserve"> </w:t>
      </w:r>
      <w:r w:rsidR="002025FA">
        <w:rPr>
          <w:lang w:val="pl-PL"/>
        </w:rPr>
        <w:t>sprawował on urząd</w:t>
      </w:r>
      <w:r w:rsidR="00E95B67" w:rsidRPr="00FD65C9">
        <w:rPr>
          <w:lang w:val="pl-PL"/>
        </w:rPr>
        <w:t xml:space="preserve"> sędzi</w:t>
      </w:r>
      <w:r w:rsidR="002025FA">
        <w:rPr>
          <w:lang w:val="pl-PL"/>
        </w:rPr>
        <w:t>ego</w:t>
      </w:r>
      <w:r w:rsidR="00E95B67" w:rsidRPr="00FD65C9">
        <w:rPr>
          <w:lang w:val="pl-PL"/>
        </w:rPr>
        <w:t xml:space="preserve"> </w:t>
      </w:r>
      <w:r w:rsidR="002025FA">
        <w:rPr>
          <w:lang w:val="pl-PL"/>
        </w:rPr>
        <w:t>tego</w:t>
      </w:r>
      <w:r w:rsidR="00E95B67" w:rsidRPr="00FD65C9">
        <w:rPr>
          <w:lang w:val="pl-PL"/>
        </w:rPr>
        <w:t xml:space="preserve"> </w:t>
      </w:r>
      <w:r w:rsidR="002025FA" w:rsidRPr="00FD65C9">
        <w:rPr>
          <w:lang w:val="pl-PL"/>
        </w:rPr>
        <w:t>sąd</w:t>
      </w:r>
      <w:r w:rsidR="002025FA">
        <w:rPr>
          <w:lang w:val="pl-PL"/>
        </w:rPr>
        <w:t>u</w:t>
      </w:r>
      <w:r w:rsidR="00E95B67" w:rsidRPr="00FD65C9">
        <w:rPr>
          <w:lang w:val="pl-PL"/>
        </w:rPr>
        <w:t>.</w:t>
      </w:r>
    </w:p>
    <w:p w14:paraId="4EB01703" w14:textId="77777777" w:rsidR="00E95B67" w:rsidRPr="00FD65C9" w:rsidRDefault="00E95B67" w:rsidP="00622760">
      <w:pPr>
        <w:pStyle w:val="ECHRHeading2"/>
        <w:rPr>
          <w:lang w:val="pl-PL"/>
        </w:rPr>
      </w:pPr>
      <w:r w:rsidRPr="00FD65C9">
        <w:rPr>
          <w:lang w:val="pl-PL"/>
        </w:rPr>
        <w:t>B. Próba zamachu stanu w dniu 15 lipca 2016 r. i ogłoszenie stanu wyjątkowego</w:t>
      </w:r>
    </w:p>
    <w:p w14:paraId="546FA6CE" w14:textId="77777777"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8</w:t>
      </w:r>
      <w:r w:rsidRPr="00FD65C9">
        <w:rPr>
          <w:lang w:val="pl-PL"/>
        </w:rPr>
        <w:fldChar w:fldCharType="end"/>
      </w:r>
      <w:r w:rsidR="00E95B67" w:rsidRPr="00FD65C9">
        <w:rPr>
          <w:lang w:val="pl-PL"/>
        </w:rPr>
        <w:t>.  W nocy z 15 na 16 lipca 2016 r. grupa osób należących do tureckich sił zbrojnych, znana jako „Rada Pokoju Kraju”, podjęła próbę wojskowego zamachu stanu w celu obalenia demokratycznie wybranego parlamentu, rządu i prezydenta Republiki.</w:t>
      </w:r>
    </w:p>
    <w:p w14:paraId="5A5F0912" w14:textId="1C923168"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9</w:t>
      </w:r>
      <w:r w:rsidRPr="00FD65C9">
        <w:rPr>
          <w:lang w:val="pl-PL"/>
        </w:rPr>
        <w:fldChar w:fldCharType="end"/>
      </w:r>
      <w:r w:rsidR="00E95B67" w:rsidRPr="00FD65C9">
        <w:rPr>
          <w:lang w:val="pl-PL"/>
        </w:rPr>
        <w:t>.  Podczas próby zamachu stanu żołnierze kontrolowani przez puczystów zbombardowali kilka strateg</w:t>
      </w:r>
      <w:r w:rsidR="003A4190" w:rsidRPr="00FD65C9">
        <w:rPr>
          <w:lang w:val="pl-PL"/>
        </w:rPr>
        <w:t>icznych budynków państwowych, w </w:t>
      </w:r>
      <w:r w:rsidR="00E95B67" w:rsidRPr="00FD65C9">
        <w:rPr>
          <w:lang w:val="pl-PL"/>
        </w:rPr>
        <w:t>tym parlament i kompleks prezydencki, zaatakowali hotel, w którym przebywał prezydent Republiki, wzięli szefa sztabu jako zakładnika, zaatakowali stacje telewizyjne i strzelali do demonstrantów. Podczas tej nocy</w:t>
      </w:r>
      <w:r w:rsidR="002025FA">
        <w:rPr>
          <w:lang w:val="pl-PL"/>
        </w:rPr>
        <w:t>, w której doszło do</w:t>
      </w:r>
      <w:r w:rsidR="00E95B67" w:rsidRPr="00FD65C9">
        <w:rPr>
          <w:lang w:val="pl-PL"/>
        </w:rPr>
        <w:t xml:space="preserve"> przemocy</w:t>
      </w:r>
      <w:r w:rsidR="002025FA">
        <w:rPr>
          <w:lang w:val="pl-PL"/>
        </w:rPr>
        <w:t>,</w:t>
      </w:r>
      <w:r w:rsidR="00E95B67" w:rsidRPr="00FD65C9">
        <w:rPr>
          <w:lang w:val="pl-PL"/>
        </w:rPr>
        <w:t xml:space="preserve"> zginęło ponad 250 osób, a ponad 2500 zostało rannych.</w:t>
      </w:r>
    </w:p>
    <w:p w14:paraId="0AEBE862" w14:textId="0E233F0A"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10</w:t>
      </w:r>
      <w:r w:rsidRPr="00FD65C9">
        <w:rPr>
          <w:lang w:val="pl-PL"/>
        </w:rPr>
        <w:fldChar w:fldCharType="end"/>
      </w:r>
      <w:r w:rsidR="00E95B67" w:rsidRPr="00FD65C9">
        <w:rPr>
          <w:lang w:val="pl-PL"/>
        </w:rPr>
        <w:t xml:space="preserve">.  W następstwie próby wojskowego zamachu stanu władze krajowe obarczyły winą sieć </w:t>
      </w:r>
      <w:proofErr w:type="spellStart"/>
      <w:r w:rsidR="00E95B67" w:rsidRPr="00FD65C9">
        <w:rPr>
          <w:lang w:val="pl-PL"/>
        </w:rPr>
        <w:t>Fetullaha</w:t>
      </w:r>
      <w:proofErr w:type="spellEnd"/>
      <w:r w:rsidR="00E95B67" w:rsidRPr="00FD65C9">
        <w:rPr>
          <w:lang w:val="pl-PL"/>
        </w:rPr>
        <w:t xml:space="preserve"> </w:t>
      </w:r>
      <w:proofErr w:type="spellStart"/>
      <w:r w:rsidR="00E95B67" w:rsidRPr="00FD65C9">
        <w:rPr>
          <w:lang w:val="pl-PL"/>
        </w:rPr>
        <w:t>Gülena</w:t>
      </w:r>
      <w:proofErr w:type="spellEnd"/>
      <w:r w:rsidR="00E95B67" w:rsidRPr="00FD65C9">
        <w:rPr>
          <w:lang w:val="pl-PL"/>
        </w:rPr>
        <w:t>, o</w:t>
      </w:r>
      <w:r w:rsidR="003A4190" w:rsidRPr="00FD65C9">
        <w:rPr>
          <w:lang w:val="pl-PL"/>
        </w:rPr>
        <w:t>bywatela Turcji zamieszkałego w </w:t>
      </w:r>
      <w:r w:rsidR="00E95B67" w:rsidRPr="00FD65C9">
        <w:rPr>
          <w:lang w:val="pl-PL"/>
        </w:rPr>
        <w:t>Pensylwanii (Stany Zjednoczone), któr</w:t>
      </w:r>
      <w:r w:rsidR="00614666">
        <w:rPr>
          <w:lang w:val="pl-PL"/>
        </w:rPr>
        <w:t xml:space="preserve">y uchodzi za </w:t>
      </w:r>
      <w:r w:rsidR="00E95B67" w:rsidRPr="00FD65C9">
        <w:rPr>
          <w:lang w:val="pl-PL"/>
        </w:rPr>
        <w:t>przywódcę organizacji o nazwie „FETÖ/PDY” („</w:t>
      </w:r>
      <w:proofErr w:type="spellStart"/>
      <w:r w:rsidR="00E95B67" w:rsidRPr="00FD65C9">
        <w:rPr>
          <w:lang w:val="pl-PL"/>
        </w:rPr>
        <w:t>Gülenistyczna</w:t>
      </w:r>
      <w:proofErr w:type="spellEnd"/>
      <w:r w:rsidR="00E95B67" w:rsidRPr="00FD65C9">
        <w:rPr>
          <w:lang w:val="pl-PL"/>
        </w:rPr>
        <w:t xml:space="preserve"> Organizacja Terrorystyczna / Równoległa Struktura Państwowa”). Następnie właściwe </w:t>
      </w:r>
      <w:r w:rsidR="00614666">
        <w:rPr>
          <w:lang w:val="pl-PL"/>
        </w:rPr>
        <w:t>organy ścigania</w:t>
      </w:r>
      <w:r w:rsidR="00614666" w:rsidRPr="00FD65C9">
        <w:rPr>
          <w:lang w:val="pl-PL"/>
        </w:rPr>
        <w:t xml:space="preserve"> </w:t>
      </w:r>
      <w:r w:rsidR="00E95B67" w:rsidRPr="00FD65C9">
        <w:rPr>
          <w:lang w:val="pl-PL"/>
        </w:rPr>
        <w:t xml:space="preserve">wszczęły kilka </w:t>
      </w:r>
      <w:r w:rsidR="00614666">
        <w:rPr>
          <w:lang w:val="pl-PL"/>
        </w:rPr>
        <w:t>postępowań</w:t>
      </w:r>
      <w:r w:rsidR="00614666" w:rsidRPr="00FD65C9">
        <w:rPr>
          <w:lang w:val="pl-PL"/>
        </w:rPr>
        <w:t xml:space="preserve"> </w:t>
      </w:r>
      <w:r w:rsidR="00614666">
        <w:rPr>
          <w:lang w:val="pl-PL"/>
        </w:rPr>
        <w:t>przygotowawczych</w:t>
      </w:r>
      <w:r w:rsidR="00614666" w:rsidRPr="00FD65C9">
        <w:rPr>
          <w:lang w:val="pl-PL"/>
        </w:rPr>
        <w:t xml:space="preserve"> </w:t>
      </w:r>
      <w:r w:rsidR="00E95B67" w:rsidRPr="00FD65C9">
        <w:rPr>
          <w:lang w:val="pl-PL"/>
        </w:rPr>
        <w:t>przeciwko domniemanym członkom tej organizacji.</w:t>
      </w:r>
    </w:p>
    <w:p w14:paraId="173EC036" w14:textId="07226BF2"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11</w:t>
      </w:r>
      <w:r w:rsidRPr="00FD65C9">
        <w:rPr>
          <w:lang w:val="pl-PL"/>
        </w:rPr>
        <w:fldChar w:fldCharType="end"/>
      </w:r>
      <w:r w:rsidR="00E95B67" w:rsidRPr="00FD65C9">
        <w:rPr>
          <w:lang w:val="pl-PL"/>
        </w:rPr>
        <w:t xml:space="preserve">.  W dniu 20 lipca 2016 r. rząd ogłosił stan wyjątkowy na okres trzech miesięcy </w:t>
      </w:r>
      <w:r w:rsidR="00614666">
        <w:rPr>
          <w:lang w:val="pl-PL"/>
        </w:rPr>
        <w:t xml:space="preserve">począwszy </w:t>
      </w:r>
      <w:r w:rsidR="00E95B67" w:rsidRPr="00FD65C9">
        <w:rPr>
          <w:lang w:val="pl-PL"/>
        </w:rPr>
        <w:t>od 21 lipca 2016 r., który następnie został jednorazowo przedłużony o trzy miesiące przez Radę Ministrów, obradującą pod przewodnictwem prezydenta Republiki.</w:t>
      </w:r>
    </w:p>
    <w:p w14:paraId="5D608B77" w14:textId="77777777"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12</w:t>
      </w:r>
      <w:r w:rsidRPr="00FD65C9">
        <w:rPr>
          <w:lang w:val="pl-PL"/>
        </w:rPr>
        <w:fldChar w:fldCharType="end"/>
      </w:r>
      <w:r w:rsidR="00E95B67" w:rsidRPr="00FD65C9">
        <w:rPr>
          <w:lang w:val="pl-PL"/>
        </w:rPr>
        <w:t>.  W dniu 21 lipca 2016 r. władze tureckie powiadomiły Sekretarza Generalnego Rady Europy o odstępstwie od Konwencji na podstawie art. 15.</w:t>
      </w:r>
    </w:p>
    <w:p w14:paraId="5BD348BE" w14:textId="3B6508FA"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13</w:t>
      </w:r>
      <w:r w:rsidRPr="00FD65C9">
        <w:rPr>
          <w:lang w:val="pl-PL"/>
        </w:rPr>
        <w:fldChar w:fldCharType="end"/>
      </w:r>
      <w:r w:rsidR="00E95B67" w:rsidRPr="00FD65C9">
        <w:rPr>
          <w:lang w:val="pl-PL"/>
        </w:rPr>
        <w:t>.  W czasie trwania stanu wyjątkowego Rada Ministrów, obradująca pod przewodnictwem prezydenta Republiki, przyjęła trzydzieści siedem dekretów z mocą ustawy (nr 667–703) na podstawie art. 121 Konstytucji. Jeden z tych aktów, dekret z moc</w:t>
      </w:r>
      <w:r w:rsidR="003A4190" w:rsidRPr="00FD65C9">
        <w:rPr>
          <w:lang w:val="pl-PL"/>
        </w:rPr>
        <w:t>ą ustawy nr 667, opublikowany w </w:t>
      </w:r>
      <w:r w:rsidR="00E95B67" w:rsidRPr="00FD65C9">
        <w:rPr>
          <w:lang w:val="pl-PL"/>
        </w:rPr>
        <w:t xml:space="preserve">Dzienniku </w:t>
      </w:r>
      <w:r w:rsidR="003A4190" w:rsidRPr="00FD65C9">
        <w:rPr>
          <w:lang w:val="pl-PL"/>
        </w:rPr>
        <w:t>Urzędowym</w:t>
      </w:r>
      <w:r w:rsidR="00E95B67" w:rsidRPr="00FD65C9">
        <w:rPr>
          <w:lang w:val="pl-PL"/>
        </w:rPr>
        <w:t xml:space="preserve"> w dniu 23 lipca 2016 r., przewidywał, między innymi, w art. 3, że </w:t>
      </w:r>
      <w:r w:rsidR="00E91570">
        <w:rPr>
          <w:lang w:val="pl-PL"/>
        </w:rPr>
        <w:t>TK</w:t>
      </w:r>
      <w:r w:rsidR="00E95B67" w:rsidRPr="00FD65C9">
        <w:rPr>
          <w:lang w:val="pl-PL"/>
        </w:rPr>
        <w:t xml:space="preserve"> jest uprawniony do odwoływania swoich członków, których uznano za należących do organizacji terrorystycznych, </w:t>
      </w:r>
      <w:r w:rsidR="00614666">
        <w:rPr>
          <w:lang w:val="pl-PL"/>
        </w:rPr>
        <w:t>stowarzyszonych</w:t>
      </w:r>
      <w:r w:rsidR="00E95B67" w:rsidRPr="00FD65C9">
        <w:rPr>
          <w:lang w:val="pl-PL"/>
        </w:rPr>
        <w:t xml:space="preserve"> lub powiązanych z organizacjami terrorystycznymi albo organizacjami, strukturami lub grupami, w przypadku których Rada Bezpieczeństwa Narodowego stwierdziła, że prowadzą działalność  </w:t>
      </w:r>
      <w:r w:rsidR="00614666">
        <w:rPr>
          <w:lang w:val="pl-PL"/>
        </w:rPr>
        <w:t xml:space="preserve">stanowiącą zagrożenie dla </w:t>
      </w:r>
      <w:r w:rsidR="00E95B67" w:rsidRPr="00FD65C9">
        <w:rPr>
          <w:lang w:val="pl-PL"/>
        </w:rPr>
        <w:t xml:space="preserve">bezpieczeństwa narodowego państwa. Ponadto wspomniane dekrety z mocą ustawy wprowadziły istotne ograniczenia gwarancji proceduralnych przyznanych na mocy prawa krajowego osobom przebywającym w </w:t>
      </w:r>
      <w:r w:rsidR="00614666">
        <w:rPr>
          <w:lang w:val="pl-PL"/>
        </w:rPr>
        <w:t>policyjnej izbie zatrzymań</w:t>
      </w:r>
      <w:r w:rsidR="00E95B67" w:rsidRPr="00FD65C9">
        <w:rPr>
          <w:lang w:val="pl-PL"/>
        </w:rPr>
        <w:t xml:space="preserve"> lub w areszcie </w:t>
      </w:r>
      <w:r w:rsidR="00614666">
        <w:rPr>
          <w:lang w:val="pl-PL"/>
        </w:rPr>
        <w:t xml:space="preserve">śledczym </w:t>
      </w:r>
      <w:r w:rsidR="00E95B67" w:rsidRPr="00FD65C9">
        <w:rPr>
          <w:lang w:val="pl-PL"/>
        </w:rPr>
        <w:t xml:space="preserve">(przedłużenie </w:t>
      </w:r>
      <w:r w:rsidR="00614666">
        <w:rPr>
          <w:lang w:val="pl-PL"/>
        </w:rPr>
        <w:t>okresu zatrzymania</w:t>
      </w:r>
      <w:r w:rsidR="00E95B67" w:rsidRPr="00FD65C9">
        <w:rPr>
          <w:lang w:val="pl-PL"/>
        </w:rPr>
        <w:t xml:space="preserve">, ograniczenia w dostępie do akt </w:t>
      </w:r>
      <w:r w:rsidR="00614666">
        <w:rPr>
          <w:lang w:val="pl-PL"/>
        </w:rPr>
        <w:t>oraz</w:t>
      </w:r>
      <w:r w:rsidR="00E95B67" w:rsidRPr="00FD65C9">
        <w:rPr>
          <w:lang w:val="pl-PL"/>
        </w:rPr>
        <w:t xml:space="preserve"> w </w:t>
      </w:r>
      <w:r w:rsidR="00614666">
        <w:rPr>
          <w:lang w:val="pl-PL"/>
        </w:rPr>
        <w:t>rozpoznawaniu zażaleń w przedmiocie zastosowania</w:t>
      </w:r>
      <w:r w:rsidR="00E95B67" w:rsidRPr="00FD65C9">
        <w:rPr>
          <w:lang w:val="pl-PL"/>
        </w:rPr>
        <w:t xml:space="preserve"> środków </w:t>
      </w:r>
      <w:r w:rsidR="00614666">
        <w:rPr>
          <w:lang w:val="pl-PL"/>
        </w:rPr>
        <w:t>izolacyjnych</w:t>
      </w:r>
      <w:r w:rsidR="00614666" w:rsidRPr="00FD65C9">
        <w:rPr>
          <w:lang w:val="pl-PL"/>
        </w:rPr>
        <w:t xml:space="preserve"> </w:t>
      </w:r>
      <w:r w:rsidR="00E95B67" w:rsidRPr="00FD65C9">
        <w:rPr>
          <w:lang w:val="pl-PL"/>
        </w:rPr>
        <w:t>itp.)</w:t>
      </w:r>
    </w:p>
    <w:p w14:paraId="539A8C2C" w14:textId="7CA340A6"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14</w:t>
      </w:r>
      <w:r w:rsidRPr="00FD65C9">
        <w:rPr>
          <w:lang w:val="pl-PL"/>
        </w:rPr>
        <w:fldChar w:fldCharType="end"/>
      </w:r>
      <w:r w:rsidR="00E95B67" w:rsidRPr="00FD65C9">
        <w:rPr>
          <w:lang w:val="pl-PL"/>
        </w:rPr>
        <w:t xml:space="preserve">.  Rząd </w:t>
      </w:r>
      <w:r w:rsidR="00614666">
        <w:rPr>
          <w:lang w:val="pl-PL"/>
        </w:rPr>
        <w:t>wskazuje</w:t>
      </w:r>
      <w:r w:rsidR="00E95B67" w:rsidRPr="00FD65C9">
        <w:rPr>
          <w:lang w:val="pl-PL"/>
        </w:rPr>
        <w:t xml:space="preserve">, że podczas próby zamachu stanu lub po niej </w:t>
      </w:r>
      <w:r w:rsidR="00614666" w:rsidRPr="00614666">
        <w:rPr>
          <w:lang w:val="pl-PL"/>
        </w:rPr>
        <w:t>prokurator</w:t>
      </w:r>
      <w:r w:rsidR="00614666">
        <w:rPr>
          <w:lang w:val="pl-PL"/>
        </w:rPr>
        <w:t>zy</w:t>
      </w:r>
      <w:r w:rsidR="00E95B67" w:rsidRPr="00FD65C9">
        <w:rPr>
          <w:lang w:val="pl-PL"/>
        </w:rPr>
        <w:t xml:space="preserve"> </w:t>
      </w:r>
      <w:r w:rsidR="00614666" w:rsidRPr="00FD65C9">
        <w:rPr>
          <w:lang w:val="pl-PL"/>
        </w:rPr>
        <w:t>wszczę</w:t>
      </w:r>
      <w:r w:rsidR="00614666">
        <w:rPr>
          <w:lang w:val="pl-PL"/>
        </w:rPr>
        <w:t>li</w:t>
      </w:r>
      <w:r w:rsidR="00614666" w:rsidRPr="00FD65C9">
        <w:rPr>
          <w:lang w:val="pl-PL"/>
        </w:rPr>
        <w:t xml:space="preserve"> </w:t>
      </w:r>
      <w:r w:rsidR="00614666">
        <w:rPr>
          <w:lang w:val="pl-PL"/>
        </w:rPr>
        <w:t>postępowanie przygotowawcze</w:t>
      </w:r>
      <w:r w:rsidR="00614666" w:rsidRPr="00FD65C9">
        <w:rPr>
          <w:lang w:val="pl-PL"/>
        </w:rPr>
        <w:t xml:space="preserve"> </w:t>
      </w:r>
      <w:r w:rsidR="00E95B67" w:rsidRPr="00FD65C9">
        <w:rPr>
          <w:lang w:val="pl-PL"/>
        </w:rPr>
        <w:t>p</w:t>
      </w:r>
      <w:r w:rsidR="008152F6" w:rsidRPr="00FD65C9">
        <w:rPr>
          <w:lang w:val="pl-PL"/>
        </w:rPr>
        <w:t xml:space="preserve">rzeciwko osobom </w:t>
      </w:r>
      <w:r w:rsidR="00614666">
        <w:rPr>
          <w:lang w:val="pl-PL"/>
        </w:rPr>
        <w:t>biorącym udział</w:t>
      </w:r>
      <w:r w:rsidR="00614666" w:rsidRPr="00FD65C9">
        <w:rPr>
          <w:lang w:val="pl-PL"/>
        </w:rPr>
        <w:t xml:space="preserve"> </w:t>
      </w:r>
      <w:r w:rsidR="008152F6" w:rsidRPr="00FD65C9">
        <w:rPr>
          <w:lang w:val="pl-PL"/>
        </w:rPr>
        <w:t>w </w:t>
      </w:r>
      <w:r w:rsidR="00E95B67" w:rsidRPr="00FD65C9">
        <w:rPr>
          <w:lang w:val="pl-PL"/>
        </w:rPr>
        <w:t>zamach</w:t>
      </w:r>
      <w:r w:rsidR="00614666">
        <w:rPr>
          <w:lang w:val="pl-PL"/>
        </w:rPr>
        <w:t>u</w:t>
      </w:r>
      <w:r w:rsidR="00E95B67" w:rsidRPr="00FD65C9">
        <w:rPr>
          <w:lang w:val="pl-PL"/>
        </w:rPr>
        <w:t xml:space="preserve"> stanu oraz przeciwko osobom, które nie </w:t>
      </w:r>
      <w:r w:rsidR="00614666">
        <w:rPr>
          <w:lang w:val="pl-PL"/>
        </w:rPr>
        <w:t>brały w nim</w:t>
      </w:r>
      <w:r w:rsidR="00E95B67" w:rsidRPr="00FD65C9">
        <w:rPr>
          <w:lang w:val="pl-PL"/>
        </w:rPr>
        <w:t xml:space="preserve"> bezpośrednio </w:t>
      </w:r>
      <w:r w:rsidR="00614666">
        <w:rPr>
          <w:lang w:val="pl-PL"/>
        </w:rPr>
        <w:t>udziału</w:t>
      </w:r>
      <w:r w:rsidR="00E95B67" w:rsidRPr="00FD65C9">
        <w:rPr>
          <w:lang w:val="pl-PL"/>
        </w:rPr>
        <w:t xml:space="preserve">, ale miały powiązania z organizacją FETÖ/PDY, w tym przeciwko członkom wymiaru sprawiedliwości. Rząd uściśla w tym względzie, że w dniu 16 lipca 2016 r., w kontekście </w:t>
      </w:r>
      <w:r w:rsidR="00614666">
        <w:rPr>
          <w:lang w:val="pl-PL"/>
        </w:rPr>
        <w:t>postępowania</w:t>
      </w:r>
      <w:r w:rsidR="00614666" w:rsidRPr="00FD65C9">
        <w:rPr>
          <w:lang w:val="pl-PL"/>
        </w:rPr>
        <w:t xml:space="preserve"> </w:t>
      </w:r>
      <w:r w:rsidR="00E95B67" w:rsidRPr="00FD65C9">
        <w:rPr>
          <w:lang w:val="pl-PL"/>
        </w:rPr>
        <w:t xml:space="preserve">wszczętego przez prokuraturę w Ankarze, około 3000 sędziów, z czego dwóch sędziów zasiadających w </w:t>
      </w:r>
      <w:r w:rsidR="00E91570">
        <w:rPr>
          <w:lang w:val="pl-PL"/>
        </w:rPr>
        <w:t>TK</w:t>
      </w:r>
      <w:r w:rsidR="00E95B67" w:rsidRPr="00FD65C9">
        <w:rPr>
          <w:lang w:val="pl-PL"/>
        </w:rPr>
        <w:t xml:space="preserve"> – w tym skarżący – oraz ponad 160 sędziów zasiadających w sądzie kasacyjnym i Radzie Stanu, zostało zatrzymanych, a następnie osadzonych w areszcie. Dodał, że wydano </w:t>
      </w:r>
      <w:r w:rsidR="00614666">
        <w:rPr>
          <w:lang w:val="pl-PL"/>
        </w:rPr>
        <w:t xml:space="preserve">również </w:t>
      </w:r>
      <w:r w:rsidR="00E95B67" w:rsidRPr="00FD65C9">
        <w:rPr>
          <w:lang w:val="pl-PL"/>
        </w:rPr>
        <w:t xml:space="preserve">nakazy aresztowania </w:t>
      </w:r>
      <w:r w:rsidR="00614666">
        <w:rPr>
          <w:lang w:val="pl-PL"/>
        </w:rPr>
        <w:t xml:space="preserve">wobec </w:t>
      </w:r>
      <w:r w:rsidR="00E95B67" w:rsidRPr="00FD65C9">
        <w:rPr>
          <w:lang w:val="pl-PL"/>
        </w:rPr>
        <w:t xml:space="preserve">30 sędziów zasiadających w sądach najwyższej instancji, którzy zostali uznani za </w:t>
      </w:r>
      <w:r w:rsidR="00614666" w:rsidRPr="00FD65C9">
        <w:rPr>
          <w:lang w:val="pl-PL"/>
        </w:rPr>
        <w:t>u</w:t>
      </w:r>
      <w:r w:rsidR="00F17984">
        <w:rPr>
          <w:lang w:val="pl-PL"/>
        </w:rPr>
        <w:t>krywających się przed organami ścigania</w:t>
      </w:r>
    </w:p>
    <w:p w14:paraId="6B004415" w14:textId="77777777"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15</w:t>
      </w:r>
      <w:r w:rsidRPr="00FD65C9">
        <w:rPr>
          <w:lang w:val="pl-PL"/>
        </w:rPr>
        <w:fldChar w:fldCharType="end"/>
      </w:r>
      <w:r w:rsidR="00E95B67" w:rsidRPr="00FD65C9">
        <w:rPr>
          <w:lang w:val="pl-PL"/>
        </w:rPr>
        <w:t>.  W dniu 18 lipca 2018 r. zniesiono stan wyjątkowy.</w:t>
      </w:r>
    </w:p>
    <w:p w14:paraId="0440BA24" w14:textId="60CA3E1B" w:rsidR="00E95B67" w:rsidRPr="00FD65C9" w:rsidRDefault="00E95B67" w:rsidP="00622760">
      <w:pPr>
        <w:pStyle w:val="ECHRHeading2"/>
        <w:rPr>
          <w:lang w:val="pl-PL"/>
        </w:rPr>
      </w:pPr>
      <w:r w:rsidRPr="00FD65C9">
        <w:rPr>
          <w:lang w:val="pl-PL"/>
        </w:rPr>
        <w:t>C.  </w:t>
      </w:r>
      <w:r w:rsidR="00F17984">
        <w:rPr>
          <w:lang w:val="pl-PL"/>
        </w:rPr>
        <w:t xml:space="preserve">Zatrzymanie </w:t>
      </w:r>
      <w:r w:rsidRPr="00FD65C9">
        <w:rPr>
          <w:lang w:val="pl-PL"/>
        </w:rPr>
        <w:t xml:space="preserve">i tymczasowe </w:t>
      </w:r>
      <w:r w:rsidR="00F17984">
        <w:rPr>
          <w:lang w:val="pl-PL"/>
        </w:rPr>
        <w:t>aresztowanie</w:t>
      </w:r>
      <w:r w:rsidR="00F17984" w:rsidRPr="00FD65C9">
        <w:rPr>
          <w:lang w:val="pl-PL"/>
        </w:rPr>
        <w:t xml:space="preserve"> </w:t>
      </w:r>
      <w:r w:rsidRPr="00FD65C9">
        <w:rPr>
          <w:lang w:val="pl-PL"/>
        </w:rPr>
        <w:t>skarżącego</w:t>
      </w:r>
    </w:p>
    <w:p w14:paraId="4231A8C1" w14:textId="7D5B04BF"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16</w:t>
      </w:r>
      <w:r w:rsidRPr="00FD65C9">
        <w:rPr>
          <w:lang w:val="pl-PL"/>
        </w:rPr>
        <w:fldChar w:fldCharType="end"/>
      </w:r>
      <w:r w:rsidR="00E95B67" w:rsidRPr="00FD65C9">
        <w:rPr>
          <w:lang w:val="pl-PL"/>
        </w:rPr>
        <w:t xml:space="preserve">.  W dniu 16 lipca 2016 r., w ramach postępowania przygotowawczego wszczętego przez prokuraturę w Ankarze (paragraf 14 powyżej), skarżący został zatrzymany i osadzony w areszcie na podstawie </w:t>
      </w:r>
      <w:r w:rsidR="00F17984">
        <w:rPr>
          <w:lang w:val="pl-PL"/>
        </w:rPr>
        <w:t>postanowienia</w:t>
      </w:r>
      <w:r w:rsidR="00F17984" w:rsidRPr="00FD65C9">
        <w:rPr>
          <w:lang w:val="pl-PL"/>
        </w:rPr>
        <w:t xml:space="preserve"> </w:t>
      </w:r>
      <w:r w:rsidR="00E95B67" w:rsidRPr="00FD65C9">
        <w:rPr>
          <w:lang w:val="pl-PL"/>
        </w:rPr>
        <w:t xml:space="preserve">wydanego przez </w:t>
      </w:r>
      <w:r w:rsidR="00F17984">
        <w:rPr>
          <w:lang w:val="pl-PL"/>
        </w:rPr>
        <w:t>prokuratora</w:t>
      </w:r>
      <w:r w:rsidR="00E95B67" w:rsidRPr="00FD65C9">
        <w:rPr>
          <w:lang w:val="pl-PL"/>
        </w:rPr>
        <w:t xml:space="preserve">. </w:t>
      </w:r>
      <w:r w:rsidR="00F17984" w:rsidRPr="00FD65C9">
        <w:rPr>
          <w:lang w:val="pl-PL"/>
        </w:rPr>
        <w:t>Prokurat</w:t>
      </w:r>
      <w:r w:rsidR="00F17984">
        <w:rPr>
          <w:lang w:val="pl-PL"/>
        </w:rPr>
        <w:t>or</w:t>
      </w:r>
      <w:r w:rsidR="00F17984" w:rsidRPr="00FD65C9">
        <w:rPr>
          <w:lang w:val="pl-PL"/>
        </w:rPr>
        <w:t xml:space="preserve"> </w:t>
      </w:r>
      <w:r w:rsidR="00E95B67" w:rsidRPr="00FD65C9">
        <w:rPr>
          <w:lang w:val="pl-PL"/>
        </w:rPr>
        <w:t xml:space="preserve">uznał skarżącego za członka organizacji terrorystycznej FETÖ/PDY i </w:t>
      </w:r>
      <w:r w:rsidR="00F17984" w:rsidRPr="00FD65C9">
        <w:rPr>
          <w:lang w:val="pl-PL"/>
        </w:rPr>
        <w:t>wni</w:t>
      </w:r>
      <w:r w:rsidR="00F17984">
        <w:rPr>
          <w:lang w:val="pl-PL"/>
        </w:rPr>
        <w:t>ósł</w:t>
      </w:r>
      <w:r w:rsidR="00F17984" w:rsidRPr="00FD65C9">
        <w:rPr>
          <w:lang w:val="pl-PL"/>
        </w:rPr>
        <w:t xml:space="preserve"> </w:t>
      </w:r>
      <w:r w:rsidR="008152F6" w:rsidRPr="00FD65C9">
        <w:rPr>
          <w:lang w:val="pl-PL"/>
        </w:rPr>
        <w:t xml:space="preserve">o </w:t>
      </w:r>
      <w:r w:rsidR="00F17984">
        <w:rPr>
          <w:lang w:val="pl-PL"/>
        </w:rPr>
        <w:t>zastosowania wobec niego</w:t>
      </w:r>
      <w:r w:rsidR="00F17984" w:rsidRPr="00FD65C9">
        <w:rPr>
          <w:lang w:val="pl-PL"/>
        </w:rPr>
        <w:t xml:space="preserve"> </w:t>
      </w:r>
      <w:r w:rsidR="008152F6" w:rsidRPr="00FD65C9">
        <w:rPr>
          <w:lang w:val="pl-PL"/>
        </w:rPr>
        <w:t>tymczasowe</w:t>
      </w:r>
      <w:r w:rsidR="00F17984">
        <w:rPr>
          <w:lang w:val="pl-PL"/>
        </w:rPr>
        <w:t>go</w:t>
      </w:r>
      <w:r w:rsidR="008152F6" w:rsidRPr="00FD65C9">
        <w:rPr>
          <w:lang w:val="pl-PL"/>
        </w:rPr>
        <w:t xml:space="preserve"> </w:t>
      </w:r>
      <w:r w:rsidR="00F17984">
        <w:rPr>
          <w:lang w:val="pl-PL"/>
        </w:rPr>
        <w:t>aresztowania</w:t>
      </w:r>
      <w:r w:rsidR="00E95B67" w:rsidRPr="00FD65C9">
        <w:rPr>
          <w:lang w:val="pl-PL"/>
        </w:rPr>
        <w:t xml:space="preserve">. Istotne dla niniejszej sprawy fragmenty </w:t>
      </w:r>
      <w:r w:rsidR="00F17984">
        <w:rPr>
          <w:lang w:val="pl-PL"/>
        </w:rPr>
        <w:t>postanowienia</w:t>
      </w:r>
      <w:r w:rsidR="00F17984" w:rsidRPr="00FD65C9">
        <w:rPr>
          <w:lang w:val="pl-PL"/>
        </w:rPr>
        <w:t xml:space="preserve"> </w:t>
      </w:r>
      <w:r w:rsidR="00E95B67" w:rsidRPr="00FD65C9">
        <w:rPr>
          <w:lang w:val="pl-PL"/>
        </w:rPr>
        <w:t>brzmią następująco:</w:t>
      </w:r>
    </w:p>
    <w:p w14:paraId="0623DE5E" w14:textId="4E19CF9A" w:rsidR="00E95B67" w:rsidRPr="00FD65C9" w:rsidRDefault="00E95B67" w:rsidP="00622760">
      <w:pPr>
        <w:pStyle w:val="ECHRParaQuote"/>
        <w:rPr>
          <w:lang w:val="pl-PL"/>
        </w:rPr>
      </w:pPr>
      <w:r w:rsidRPr="00FD65C9">
        <w:rPr>
          <w:lang w:val="pl-PL"/>
        </w:rPr>
        <w:t xml:space="preserve">„Obecnie w kraju </w:t>
      </w:r>
      <w:r w:rsidR="007025C6">
        <w:rPr>
          <w:lang w:val="pl-PL"/>
        </w:rPr>
        <w:t xml:space="preserve">mamy do czynienia z </w:t>
      </w:r>
      <w:r w:rsidRPr="00FD65C9">
        <w:rPr>
          <w:lang w:val="pl-PL"/>
        </w:rPr>
        <w:t>przestępstw</w:t>
      </w:r>
      <w:r w:rsidR="007025C6">
        <w:rPr>
          <w:lang w:val="pl-PL"/>
        </w:rPr>
        <w:t>em</w:t>
      </w:r>
      <w:r w:rsidRPr="00FD65C9">
        <w:rPr>
          <w:lang w:val="pl-PL"/>
        </w:rPr>
        <w:t xml:space="preserve"> obalenia rządu i porządku konstytucyjnego przy użyciu siły i przemocy; </w:t>
      </w:r>
      <w:r w:rsidR="007025C6">
        <w:rPr>
          <w:lang w:val="pl-PL"/>
        </w:rPr>
        <w:t xml:space="preserve">istnieją obawy, że sprawcy, którymi są </w:t>
      </w:r>
      <w:r w:rsidRPr="00FD65C9">
        <w:rPr>
          <w:lang w:val="pl-PL"/>
        </w:rPr>
        <w:t xml:space="preserve">członkowie organizacji terrorystycznej [FETÖ/PDY] </w:t>
      </w:r>
      <w:r w:rsidR="007025C6">
        <w:rPr>
          <w:lang w:val="pl-PL"/>
        </w:rPr>
        <w:t>będą</w:t>
      </w:r>
      <w:r w:rsidR="007025C6" w:rsidRPr="00FD65C9">
        <w:rPr>
          <w:lang w:val="pl-PL"/>
        </w:rPr>
        <w:t xml:space="preserve"> </w:t>
      </w:r>
      <w:r w:rsidRPr="00FD65C9">
        <w:rPr>
          <w:lang w:val="pl-PL"/>
        </w:rPr>
        <w:t>uciekać z kraju [...]”</w:t>
      </w:r>
    </w:p>
    <w:p w14:paraId="29165EFE" w14:textId="57C4A4C5" w:rsidR="00E95B67" w:rsidRPr="00FD65C9" w:rsidRDefault="00E95B67" w:rsidP="00622760">
      <w:pPr>
        <w:pStyle w:val="ECHRPara"/>
        <w:rPr>
          <w:lang w:val="pl-PL"/>
        </w:rPr>
      </w:pPr>
      <w:r w:rsidRPr="00FD65C9">
        <w:rPr>
          <w:lang w:val="pl-PL"/>
        </w:rPr>
        <w:t xml:space="preserve">Tego samego dnia policja przeprowadziła przeszukanie w </w:t>
      </w:r>
      <w:r w:rsidR="007025C6">
        <w:rPr>
          <w:lang w:val="pl-PL"/>
        </w:rPr>
        <w:t xml:space="preserve">miejscu zamieszkania </w:t>
      </w:r>
      <w:r w:rsidRPr="00FD65C9">
        <w:rPr>
          <w:lang w:val="pl-PL"/>
        </w:rPr>
        <w:t xml:space="preserve">skarżącego i </w:t>
      </w:r>
      <w:r w:rsidR="007025C6">
        <w:rPr>
          <w:lang w:val="pl-PL"/>
        </w:rPr>
        <w:t>dokonała zatrzymania</w:t>
      </w:r>
      <w:r w:rsidR="007025C6" w:rsidRPr="00FD65C9">
        <w:rPr>
          <w:lang w:val="pl-PL"/>
        </w:rPr>
        <w:t xml:space="preserve"> </w:t>
      </w:r>
      <w:r w:rsidRPr="00FD65C9">
        <w:rPr>
          <w:lang w:val="pl-PL"/>
        </w:rPr>
        <w:t>jego komputer</w:t>
      </w:r>
      <w:r w:rsidR="007025C6">
        <w:rPr>
          <w:lang w:val="pl-PL"/>
        </w:rPr>
        <w:t>ów</w:t>
      </w:r>
      <w:r w:rsidRPr="00FD65C9">
        <w:rPr>
          <w:lang w:val="pl-PL"/>
        </w:rPr>
        <w:t xml:space="preserve"> oraz inn</w:t>
      </w:r>
      <w:r w:rsidR="007025C6">
        <w:rPr>
          <w:lang w:val="pl-PL"/>
        </w:rPr>
        <w:t>ego należącego do niego</w:t>
      </w:r>
      <w:r w:rsidRPr="00FD65C9">
        <w:rPr>
          <w:lang w:val="pl-PL"/>
        </w:rPr>
        <w:t xml:space="preserve"> sprzęt</w:t>
      </w:r>
      <w:r w:rsidR="007025C6">
        <w:rPr>
          <w:lang w:val="pl-PL"/>
        </w:rPr>
        <w:t>u</w:t>
      </w:r>
      <w:r w:rsidRPr="00FD65C9">
        <w:rPr>
          <w:lang w:val="pl-PL"/>
        </w:rPr>
        <w:t xml:space="preserve"> komputerow</w:t>
      </w:r>
      <w:r w:rsidR="007025C6">
        <w:rPr>
          <w:lang w:val="pl-PL"/>
        </w:rPr>
        <w:t>ego</w:t>
      </w:r>
      <w:r w:rsidRPr="00FD65C9">
        <w:rPr>
          <w:lang w:val="pl-PL"/>
        </w:rPr>
        <w:t>.</w:t>
      </w:r>
    </w:p>
    <w:p w14:paraId="5A46FB82" w14:textId="34BDF4F4"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17</w:t>
      </w:r>
      <w:r w:rsidRPr="00FD65C9">
        <w:rPr>
          <w:lang w:val="pl-PL"/>
        </w:rPr>
        <w:fldChar w:fldCharType="end"/>
      </w:r>
      <w:r w:rsidR="00E95B67" w:rsidRPr="00FD65C9">
        <w:rPr>
          <w:lang w:val="pl-PL"/>
        </w:rPr>
        <w:t xml:space="preserve">.  W dniu 19 lipca 2016 r. skarżący został przesłuchany przez prokuratora w Ankarze. Był podejrzany o próbę obalenia porządku konstytucyjnego (art. 309 kodeksu karnego) i o przynależność do organizacji terrorystycznej FETÖ/PDY (art. 314 </w:t>
      </w:r>
      <w:r w:rsidR="00307437">
        <w:rPr>
          <w:lang w:val="pl-PL"/>
        </w:rPr>
        <w:t>kodeksu karnego</w:t>
      </w:r>
      <w:r w:rsidR="00E95B67" w:rsidRPr="00FD65C9">
        <w:rPr>
          <w:lang w:val="pl-PL"/>
        </w:rPr>
        <w:t xml:space="preserve">). Podczas tego przesłuchania </w:t>
      </w:r>
      <w:r w:rsidR="007025C6">
        <w:rPr>
          <w:lang w:val="pl-PL"/>
        </w:rPr>
        <w:t>oskarżony</w:t>
      </w:r>
      <w:r w:rsidR="00E95B67" w:rsidRPr="00FD65C9">
        <w:rPr>
          <w:lang w:val="pl-PL"/>
        </w:rPr>
        <w:t xml:space="preserve">, korzystając z pomocy </w:t>
      </w:r>
      <w:r w:rsidR="007025C6">
        <w:rPr>
          <w:lang w:val="pl-PL"/>
        </w:rPr>
        <w:t>obrońcy</w:t>
      </w:r>
      <w:r w:rsidR="00E95B67" w:rsidRPr="00FD65C9">
        <w:rPr>
          <w:lang w:val="pl-PL"/>
        </w:rPr>
        <w:t xml:space="preserve">, zaprzeczył wszystkim zarzucanym mu czynom i </w:t>
      </w:r>
      <w:r w:rsidR="007025C6">
        <w:rPr>
          <w:lang w:val="pl-PL"/>
        </w:rPr>
        <w:t>twierdził</w:t>
      </w:r>
      <w:r w:rsidR="00E95B67" w:rsidRPr="00FD65C9">
        <w:rPr>
          <w:lang w:val="pl-PL"/>
        </w:rPr>
        <w:t>, że zarzuty wobec niego mogą opierać się jedynie na jego ro</w:t>
      </w:r>
      <w:r w:rsidR="008152F6" w:rsidRPr="00FD65C9">
        <w:rPr>
          <w:lang w:val="pl-PL"/>
        </w:rPr>
        <w:t>zbieżnych opiniach wyrażonych w </w:t>
      </w:r>
      <w:r w:rsidR="00E95B67" w:rsidRPr="00FD65C9">
        <w:rPr>
          <w:lang w:val="pl-PL"/>
        </w:rPr>
        <w:t xml:space="preserve">wyrokach </w:t>
      </w:r>
      <w:r w:rsidR="00E91570">
        <w:rPr>
          <w:lang w:val="pl-PL"/>
        </w:rPr>
        <w:t>TK</w:t>
      </w:r>
      <w:r w:rsidR="00E95B67" w:rsidRPr="00FD65C9">
        <w:rPr>
          <w:lang w:val="pl-PL"/>
        </w:rPr>
        <w:t xml:space="preserve">. Jego </w:t>
      </w:r>
      <w:r w:rsidR="007025C6">
        <w:rPr>
          <w:lang w:val="pl-PL"/>
        </w:rPr>
        <w:t>obrońca</w:t>
      </w:r>
      <w:r w:rsidR="007025C6" w:rsidRPr="00FD65C9">
        <w:rPr>
          <w:lang w:val="pl-PL"/>
        </w:rPr>
        <w:t xml:space="preserve"> </w:t>
      </w:r>
      <w:r w:rsidR="00E95B67" w:rsidRPr="00FD65C9">
        <w:rPr>
          <w:lang w:val="pl-PL"/>
        </w:rPr>
        <w:t xml:space="preserve">zakwestionował zatrzymanie skarżącego, argumentując, że nie </w:t>
      </w:r>
      <w:r w:rsidR="007025C6">
        <w:rPr>
          <w:lang w:val="pl-PL"/>
        </w:rPr>
        <w:t xml:space="preserve">zachodzą przesłanki zatrzymania </w:t>
      </w:r>
      <w:r w:rsidR="00AD4D3A">
        <w:rPr>
          <w:i/>
          <w:iCs/>
          <w:lang w:val="pl-PL"/>
        </w:rPr>
        <w:t xml:space="preserve">in </w:t>
      </w:r>
      <w:proofErr w:type="spellStart"/>
      <w:r w:rsidR="00AD4D3A">
        <w:rPr>
          <w:i/>
          <w:iCs/>
          <w:lang w:val="pl-PL"/>
        </w:rPr>
        <w:t>flagrante</w:t>
      </w:r>
      <w:proofErr w:type="spellEnd"/>
      <w:r w:rsidR="00E95B67" w:rsidRPr="00FD65C9">
        <w:rPr>
          <w:i/>
          <w:iCs/>
          <w:lang w:val="pl-PL"/>
        </w:rPr>
        <w:t xml:space="preserve"> </w:t>
      </w:r>
      <w:proofErr w:type="spellStart"/>
      <w:r w:rsidR="00E95B67" w:rsidRPr="00FD65C9">
        <w:rPr>
          <w:i/>
          <w:iCs/>
          <w:lang w:val="pl-PL"/>
        </w:rPr>
        <w:t>delicto</w:t>
      </w:r>
      <w:proofErr w:type="spellEnd"/>
      <w:r w:rsidR="00E95B67" w:rsidRPr="00FD65C9">
        <w:rPr>
          <w:i/>
          <w:iCs/>
          <w:lang w:val="pl-PL"/>
        </w:rPr>
        <w:t xml:space="preserve"> </w:t>
      </w:r>
      <w:r w:rsidR="00E95B67" w:rsidRPr="00FD65C9">
        <w:rPr>
          <w:lang w:val="pl-PL"/>
        </w:rPr>
        <w:t xml:space="preserve">i że </w:t>
      </w:r>
      <w:r w:rsidR="007025C6">
        <w:rPr>
          <w:lang w:val="pl-PL"/>
        </w:rPr>
        <w:t xml:space="preserve">prowadzenie wobec </w:t>
      </w:r>
      <w:r w:rsidR="00E95B67" w:rsidRPr="00FD65C9">
        <w:rPr>
          <w:lang w:val="pl-PL"/>
        </w:rPr>
        <w:t>jego klient</w:t>
      </w:r>
      <w:r w:rsidR="007025C6">
        <w:rPr>
          <w:lang w:val="pl-PL"/>
        </w:rPr>
        <w:t>a</w:t>
      </w:r>
      <w:r w:rsidR="00E95B67" w:rsidRPr="00FD65C9">
        <w:rPr>
          <w:lang w:val="pl-PL"/>
        </w:rPr>
        <w:t xml:space="preserve"> postępowania przygotowawczego </w:t>
      </w:r>
      <w:r w:rsidR="007025C6">
        <w:rPr>
          <w:lang w:val="pl-PL"/>
        </w:rPr>
        <w:t>wymaga zgody</w:t>
      </w:r>
      <w:r w:rsidR="00E95B67" w:rsidRPr="00FD65C9">
        <w:rPr>
          <w:lang w:val="pl-PL"/>
        </w:rPr>
        <w:t xml:space="preserve"> </w:t>
      </w:r>
      <w:r w:rsidR="00E91570">
        <w:rPr>
          <w:lang w:val="pl-PL"/>
        </w:rPr>
        <w:t>TK</w:t>
      </w:r>
      <w:r w:rsidR="00E95B67" w:rsidRPr="00FD65C9">
        <w:rPr>
          <w:lang w:val="pl-PL"/>
        </w:rPr>
        <w:t>. Zażądał on tymczasowego zwolnienia swojego klienta.</w:t>
      </w:r>
    </w:p>
    <w:p w14:paraId="702B7DC5" w14:textId="07DA064A"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18</w:t>
      </w:r>
      <w:r w:rsidRPr="00FD65C9">
        <w:rPr>
          <w:lang w:val="pl-PL"/>
        </w:rPr>
        <w:fldChar w:fldCharType="end"/>
      </w:r>
      <w:r w:rsidR="00E95B67" w:rsidRPr="00FD65C9">
        <w:rPr>
          <w:lang w:val="pl-PL"/>
        </w:rPr>
        <w:t xml:space="preserve">.  Tego samego dnia </w:t>
      </w:r>
      <w:r w:rsidR="007025C6" w:rsidRPr="00FD65C9">
        <w:rPr>
          <w:lang w:val="pl-PL"/>
        </w:rPr>
        <w:t>prokurat</w:t>
      </w:r>
      <w:r w:rsidR="007025C6">
        <w:rPr>
          <w:lang w:val="pl-PL"/>
        </w:rPr>
        <w:t>or</w:t>
      </w:r>
      <w:r w:rsidR="007025C6" w:rsidRPr="00FD65C9">
        <w:rPr>
          <w:lang w:val="pl-PL"/>
        </w:rPr>
        <w:t xml:space="preserve"> </w:t>
      </w:r>
      <w:r w:rsidR="00E95B67" w:rsidRPr="00FD65C9">
        <w:rPr>
          <w:lang w:val="pl-PL"/>
        </w:rPr>
        <w:t>w Ankarze postawiła skarżącego, wraz z trzynastoma innymi podejrzanymi, a mianowicie sześcioma sędziami zasiadającymi w Radzie Stanu, sześcioma sędziami zasiadającymi w sądzie kasacyjnym i jednym innym sędzią, przed drugim sędzią pokoju (</w:t>
      </w:r>
      <w:proofErr w:type="spellStart"/>
      <w:r w:rsidR="00E95B67" w:rsidRPr="00FD65C9">
        <w:rPr>
          <w:i/>
          <w:iCs/>
          <w:lang w:val="pl-PL"/>
        </w:rPr>
        <w:t>sulh</w:t>
      </w:r>
      <w:proofErr w:type="spellEnd"/>
      <w:r w:rsidR="00E95B67" w:rsidRPr="00FD65C9">
        <w:rPr>
          <w:i/>
          <w:iCs/>
          <w:lang w:val="pl-PL"/>
        </w:rPr>
        <w:t xml:space="preserve"> ceza </w:t>
      </w:r>
      <w:proofErr w:type="spellStart"/>
      <w:r w:rsidR="00E95B67" w:rsidRPr="00FD65C9">
        <w:rPr>
          <w:i/>
          <w:iCs/>
          <w:lang w:val="pl-PL"/>
        </w:rPr>
        <w:t>hakimliǧi</w:t>
      </w:r>
      <w:proofErr w:type="spellEnd"/>
      <w:r w:rsidR="00E95B67" w:rsidRPr="00FD65C9">
        <w:rPr>
          <w:lang w:val="pl-PL"/>
        </w:rPr>
        <w:t xml:space="preserve">). Wniósł </w:t>
      </w:r>
      <w:r w:rsidR="007025C6">
        <w:rPr>
          <w:lang w:val="pl-PL"/>
        </w:rPr>
        <w:t xml:space="preserve">on </w:t>
      </w:r>
      <w:r w:rsidR="00E95B67" w:rsidRPr="00FD65C9">
        <w:rPr>
          <w:lang w:val="pl-PL"/>
        </w:rPr>
        <w:t xml:space="preserve">o </w:t>
      </w:r>
      <w:r w:rsidR="007025C6">
        <w:rPr>
          <w:lang w:val="pl-PL"/>
        </w:rPr>
        <w:t>zastosowanie wobec</w:t>
      </w:r>
      <w:r w:rsidR="007025C6" w:rsidRPr="00FD65C9">
        <w:rPr>
          <w:lang w:val="pl-PL"/>
        </w:rPr>
        <w:t xml:space="preserve"> </w:t>
      </w:r>
      <w:r w:rsidR="00E95B67" w:rsidRPr="00FD65C9">
        <w:rPr>
          <w:lang w:val="pl-PL"/>
        </w:rPr>
        <w:t xml:space="preserve">skarżącego </w:t>
      </w:r>
      <w:r w:rsidR="007025C6">
        <w:rPr>
          <w:lang w:val="pl-PL"/>
        </w:rPr>
        <w:t>tymczasowego aresztowania</w:t>
      </w:r>
      <w:r w:rsidR="00E95B67" w:rsidRPr="00FD65C9">
        <w:rPr>
          <w:lang w:val="pl-PL"/>
        </w:rPr>
        <w:t>, biorąc pod uwagę fakt, że niektórzy członkowie organizacji FETÖ/PDY zbiegli po wydarzeniach, a dowody nie zostały jeszcze zebrane.</w:t>
      </w:r>
    </w:p>
    <w:p w14:paraId="4F84DCB6" w14:textId="3EE9945D"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19</w:t>
      </w:r>
      <w:r w:rsidRPr="00FD65C9">
        <w:rPr>
          <w:lang w:val="pl-PL"/>
        </w:rPr>
        <w:fldChar w:fldCharType="end"/>
      </w:r>
      <w:r w:rsidR="00E95B67" w:rsidRPr="00FD65C9">
        <w:rPr>
          <w:lang w:val="pl-PL"/>
        </w:rPr>
        <w:t>.  W dniu 20 lipca 2016 r. skarżący, wspierany przez sw</w:t>
      </w:r>
      <w:r w:rsidR="00157F0B">
        <w:rPr>
          <w:lang w:val="pl-PL"/>
        </w:rPr>
        <w:t xml:space="preserve">ojego </w:t>
      </w:r>
      <w:r w:rsidR="0089136E">
        <w:rPr>
          <w:lang w:val="pl-PL"/>
        </w:rPr>
        <w:t>obrońcę</w:t>
      </w:r>
      <w:r w:rsidR="00E95B67" w:rsidRPr="00FD65C9">
        <w:rPr>
          <w:lang w:val="pl-PL"/>
        </w:rPr>
        <w:t xml:space="preserve">, M. </w:t>
      </w:r>
      <w:proofErr w:type="spellStart"/>
      <w:r w:rsidR="00E95B67" w:rsidRPr="00FD65C9">
        <w:rPr>
          <w:lang w:val="pl-PL"/>
        </w:rPr>
        <w:t>Orak</w:t>
      </w:r>
      <w:r w:rsidR="00157F0B">
        <w:rPr>
          <w:lang w:val="pl-PL"/>
        </w:rPr>
        <w:t>a</w:t>
      </w:r>
      <w:proofErr w:type="spellEnd"/>
      <w:r w:rsidR="00E95B67" w:rsidRPr="00FD65C9">
        <w:rPr>
          <w:lang w:val="pl-PL"/>
        </w:rPr>
        <w:t xml:space="preserve">, stawił się przed drugim sędzią pokoju wraz z pozostałymi trzynastoma podejrzanymi. </w:t>
      </w:r>
      <w:r w:rsidR="00157F0B">
        <w:rPr>
          <w:lang w:val="pl-PL"/>
        </w:rPr>
        <w:t>Z</w:t>
      </w:r>
      <w:r w:rsidR="00157F0B" w:rsidRPr="00FD65C9">
        <w:rPr>
          <w:lang w:val="pl-PL"/>
        </w:rPr>
        <w:t xml:space="preserve"> </w:t>
      </w:r>
      <w:r w:rsidR="00E95B67" w:rsidRPr="00FD65C9">
        <w:rPr>
          <w:lang w:val="pl-PL"/>
        </w:rPr>
        <w:t xml:space="preserve">protokołu z przesłuchania </w:t>
      </w:r>
      <w:r w:rsidR="00157F0B">
        <w:rPr>
          <w:lang w:val="pl-PL"/>
        </w:rPr>
        <w:t xml:space="preserve">wynika, że </w:t>
      </w:r>
      <w:r w:rsidR="00E95B67" w:rsidRPr="00FD65C9">
        <w:rPr>
          <w:lang w:val="pl-PL"/>
        </w:rPr>
        <w:t xml:space="preserve">byli oni podejrzani o próbę obalenia porządku konstytucyjnego i przynależność do organizacji FETÖ/PDY – przestępstwa </w:t>
      </w:r>
      <w:r w:rsidR="00157F0B">
        <w:rPr>
          <w:lang w:val="pl-PL"/>
        </w:rPr>
        <w:t>zagrożone karą</w:t>
      </w:r>
      <w:r w:rsidR="00157F0B" w:rsidRPr="00FD65C9">
        <w:rPr>
          <w:lang w:val="pl-PL"/>
        </w:rPr>
        <w:t xml:space="preserve"> </w:t>
      </w:r>
      <w:r w:rsidR="00E95B67" w:rsidRPr="00FD65C9">
        <w:rPr>
          <w:lang w:val="pl-PL"/>
        </w:rPr>
        <w:t xml:space="preserve">na podstawie art. 309 i 314 kodeksu karnego. </w:t>
      </w:r>
      <w:r w:rsidR="00043BC2">
        <w:rPr>
          <w:lang w:val="pl-PL"/>
        </w:rPr>
        <w:t>Wyjaśnienia</w:t>
      </w:r>
      <w:r w:rsidR="00043BC2" w:rsidRPr="00FD65C9">
        <w:rPr>
          <w:lang w:val="pl-PL"/>
        </w:rPr>
        <w:t xml:space="preserve"> </w:t>
      </w:r>
      <w:r w:rsidR="00E95B67" w:rsidRPr="00FD65C9">
        <w:rPr>
          <w:lang w:val="pl-PL"/>
        </w:rPr>
        <w:t>podejrzanych, w tym skarżącego, zostały zarejestrowane za pomocą audiowizualnego systemu komputerowego „SEGBİS” (</w:t>
      </w:r>
      <w:proofErr w:type="spellStart"/>
      <w:r w:rsidR="00E95B67" w:rsidRPr="00FD65C9">
        <w:rPr>
          <w:i/>
          <w:iCs/>
          <w:lang w:val="pl-PL"/>
        </w:rPr>
        <w:t>Ses</w:t>
      </w:r>
      <w:proofErr w:type="spellEnd"/>
      <w:r w:rsidR="00E95B67" w:rsidRPr="00FD65C9">
        <w:rPr>
          <w:i/>
          <w:iCs/>
          <w:lang w:val="pl-PL"/>
        </w:rPr>
        <w:t xml:space="preserve"> </w:t>
      </w:r>
      <w:proofErr w:type="spellStart"/>
      <w:r w:rsidR="00E95B67" w:rsidRPr="00FD65C9">
        <w:rPr>
          <w:i/>
          <w:iCs/>
          <w:lang w:val="pl-PL"/>
        </w:rPr>
        <w:t>ve</w:t>
      </w:r>
      <w:proofErr w:type="spellEnd"/>
      <w:r w:rsidR="00E95B67" w:rsidRPr="00FD65C9">
        <w:rPr>
          <w:i/>
          <w:iCs/>
          <w:lang w:val="pl-PL"/>
        </w:rPr>
        <w:t xml:space="preserve"> </w:t>
      </w:r>
      <w:proofErr w:type="spellStart"/>
      <w:r w:rsidR="00E95B67" w:rsidRPr="00FD65C9">
        <w:rPr>
          <w:i/>
          <w:iCs/>
          <w:lang w:val="pl-PL"/>
        </w:rPr>
        <w:t>Görüntü</w:t>
      </w:r>
      <w:proofErr w:type="spellEnd"/>
      <w:r w:rsidR="00E95B67" w:rsidRPr="00FD65C9">
        <w:rPr>
          <w:i/>
          <w:iCs/>
          <w:lang w:val="pl-PL"/>
        </w:rPr>
        <w:t xml:space="preserve"> </w:t>
      </w:r>
      <w:proofErr w:type="spellStart"/>
      <w:r w:rsidR="00E95B67" w:rsidRPr="00FD65C9">
        <w:rPr>
          <w:i/>
          <w:iCs/>
          <w:lang w:val="pl-PL"/>
        </w:rPr>
        <w:t>Bilişim</w:t>
      </w:r>
      <w:proofErr w:type="spellEnd"/>
      <w:r w:rsidR="00E95B67" w:rsidRPr="00FD65C9">
        <w:rPr>
          <w:i/>
          <w:iCs/>
          <w:lang w:val="pl-PL"/>
        </w:rPr>
        <w:t xml:space="preserve"> </w:t>
      </w:r>
      <w:proofErr w:type="spellStart"/>
      <w:r w:rsidR="00E95B67" w:rsidRPr="00FD65C9">
        <w:rPr>
          <w:i/>
          <w:iCs/>
          <w:lang w:val="pl-PL"/>
        </w:rPr>
        <w:t>Sistemi</w:t>
      </w:r>
      <w:proofErr w:type="spellEnd"/>
      <w:r w:rsidR="00E95B67" w:rsidRPr="00FD65C9">
        <w:rPr>
          <w:lang w:val="pl-PL"/>
        </w:rPr>
        <w:t xml:space="preserve">). Ze stenogramów tych nagrań wynika, że skarżący, po opisaniu swojej kariery jako sędziego </w:t>
      </w:r>
      <w:r w:rsidR="00E91570">
        <w:rPr>
          <w:lang w:val="pl-PL"/>
        </w:rPr>
        <w:t>TK</w:t>
      </w:r>
      <w:r w:rsidR="00E95B67" w:rsidRPr="00FD65C9">
        <w:rPr>
          <w:lang w:val="pl-PL"/>
        </w:rPr>
        <w:t xml:space="preserve">, </w:t>
      </w:r>
      <w:r w:rsidR="0089136E">
        <w:rPr>
          <w:lang w:val="pl-PL"/>
        </w:rPr>
        <w:t>zaprzeczy</w:t>
      </w:r>
      <w:r w:rsidR="00E95B67" w:rsidRPr="00FD65C9">
        <w:rPr>
          <w:lang w:val="pl-PL"/>
        </w:rPr>
        <w:t>ł wszystki</w:t>
      </w:r>
      <w:r w:rsidR="0089136E">
        <w:rPr>
          <w:lang w:val="pl-PL"/>
        </w:rPr>
        <w:t>m</w:t>
      </w:r>
      <w:r w:rsidR="00E95B67" w:rsidRPr="00FD65C9">
        <w:rPr>
          <w:lang w:val="pl-PL"/>
        </w:rPr>
        <w:t xml:space="preserve"> </w:t>
      </w:r>
      <w:r w:rsidR="0089136E">
        <w:rPr>
          <w:lang w:val="pl-PL"/>
        </w:rPr>
        <w:t>postawionym</w:t>
      </w:r>
      <w:r w:rsidR="00043BC2" w:rsidRPr="00FD65C9">
        <w:rPr>
          <w:lang w:val="pl-PL"/>
        </w:rPr>
        <w:t xml:space="preserve"> </w:t>
      </w:r>
      <w:r w:rsidR="00E95B67" w:rsidRPr="00FD65C9">
        <w:rPr>
          <w:lang w:val="pl-PL"/>
        </w:rPr>
        <w:t>mu zarzut</w:t>
      </w:r>
      <w:r w:rsidR="0089136E">
        <w:rPr>
          <w:lang w:val="pl-PL"/>
        </w:rPr>
        <w:t>om</w:t>
      </w:r>
      <w:r w:rsidR="00E95B67" w:rsidRPr="00FD65C9">
        <w:rPr>
          <w:lang w:val="pl-PL"/>
        </w:rPr>
        <w:t xml:space="preserve">. Wynika z </w:t>
      </w:r>
      <w:r w:rsidR="00043BC2" w:rsidRPr="00FD65C9">
        <w:rPr>
          <w:lang w:val="pl-PL"/>
        </w:rPr>
        <w:t>ni</w:t>
      </w:r>
      <w:r w:rsidR="00043BC2">
        <w:rPr>
          <w:lang w:val="pl-PL"/>
        </w:rPr>
        <w:t>ch</w:t>
      </w:r>
      <w:r w:rsidR="00043BC2" w:rsidRPr="00FD65C9">
        <w:rPr>
          <w:lang w:val="pl-PL"/>
        </w:rPr>
        <w:t xml:space="preserve"> </w:t>
      </w:r>
      <w:r w:rsidR="00E95B67" w:rsidRPr="00FD65C9">
        <w:rPr>
          <w:lang w:val="pl-PL"/>
        </w:rPr>
        <w:t xml:space="preserve">również, że jego </w:t>
      </w:r>
      <w:r w:rsidR="00043BC2">
        <w:rPr>
          <w:lang w:val="pl-PL"/>
        </w:rPr>
        <w:t xml:space="preserve">obrońca </w:t>
      </w:r>
      <w:r w:rsidR="00E95B67" w:rsidRPr="00FD65C9">
        <w:rPr>
          <w:lang w:val="pl-PL"/>
        </w:rPr>
        <w:t xml:space="preserve">zakwestionował wszystkie podjęte wobec niego środki, opierając swoje stanowisko na </w:t>
      </w:r>
      <w:r w:rsidR="00043BC2" w:rsidRPr="00FD65C9">
        <w:rPr>
          <w:lang w:val="pl-PL"/>
        </w:rPr>
        <w:t>szczególn</w:t>
      </w:r>
      <w:r w:rsidR="00043BC2">
        <w:rPr>
          <w:lang w:val="pl-PL"/>
        </w:rPr>
        <w:t>ej</w:t>
      </w:r>
      <w:r w:rsidR="00043BC2" w:rsidRPr="00FD65C9">
        <w:rPr>
          <w:lang w:val="pl-PL"/>
        </w:rPr>
        <w:t xml:space="preserve"> s</w:t>
      </w:r>
      <w:r w:rsidR="00043BC2">
        <w:rPr>
          <w:lang w:val="pl-PL"/>
        </w:rPr>
        <w:t>ytuacji</w:t>
      </w:r>
      <w:r w:rsidR="00043BC2" w:rsidRPr="00FD65C9">
        <w:rPr>
          <w:lang w:val="pl-PL"/>
        </w:rPr>
        <w:t xml:space="preserve"> </w:t>
      </w:r>
      <w:r w:rsidR="00E95B67" w:rsidRPr="00FD65C9">
        <w:rPr>
          <w:lang w:val="pl-PL"/>
        </w:rPr>
        <w:t xml:space="preserve">swojego klienta, </w:t>
      </w:r>
      <w:r w:rsidR="00043BC2" w:rsidRPr="00FD65C9">
        <w:rPr>
          <w:lang w:val="pl-PL"/>
        </w:rPr>
        <w:t>związan</w:t>
      </w:r>
      <w:r w:rsidR="00043BC2">
        <w:rPr>
          <w:lang w:val="pl-PL"/>
        </w:rPr>
        <w:t>ej</w:t>
      </w:r>
      <w:r w:rsidR="00043BC2" w:rsidRPr="00FD65C9">
        <w:rPr>
          <w:lang w:val="pl-PL"/>
        </w:rPr>
        <w:t xml:space="preserve"> </w:t>
      </w:r>
      <w:r w:rsidR="00E95B67" w:rsidRPr="00FD65C9">
        <w:rPr>
          <w:lang w:val="pl-PL"/>
        </w:rPr>
        <w:t xml:space="preserve">z jego mandatem sędziego </w:t>
      </w:r>
      <w:r w:rsidR="00E91570">
        <w:rPr>
          <w:lang w:val="pl-PL"/>
        </w:rPr>
        <w:t>TK</w:t>
      </w:r>
      <w:r w:rsidR="00E95B67" w:rsidRPr="00FD65C9">
        <w:rPr>
          <w:lang w:val="pl-PL"/>
        </w:rPr>
        <w:t xml:space="preserve">. Odpowiednie fragmenty tych </w:t>
      </w:r>
      <w:r w:rsidR="00043BC2">
        <w:rPr>
          <w:lang w:val="pl-PL"/>
        </w:rPr>
        <w:t xml:space="preserve">stenogramów </w:t>
      </w:r>
      <w:r w:rsidR="00E95B67" w:rsidRPr="00FD65C9">
        <w:rPr>
          <w:lang w:val="pl-PL"/>
        </w:rPr>
        <w:t>brzmią następująco:</w:t>
      </w:r>
    </w:p>
    <w:p w14:paraId="37140C8E" w14:textId="742CD60D" w:rsidR="00E95B67" w:rsidRPr="00FD65C9" w:rsidRDefault="00E95B67" w:rsidP="00622760">
      <w:pPr>
        <w:pStyle w:val="ECHRParaQuote"/>
        <w:rPr>
          <w:lang w:val="pl-PL"/>
        </w:rPr>
      </w:pPr>
      <w:r w:rsidRPr="00FD65C9">
        <w:rPr>
          <w:lang w:val="pl-PL"/>
        </w:rPr>
        <w:t>„</w:t>
      </w:r>
      <w:r w:rsidR="00043BC2">
        <w:rPr>
          <w:lang w:val="pl-PL"/>
        </w:rPr>
        <w:t>Obrońca</w:t>
      </w:r>
      <w:r w:rsidR="00043BC2" w:rsidRPr="00FD65C9">
        <w:rPr>
          <w:lang w:val="pl-PL"/>
        </w:rPr>
        <w:t xml:space="preserve"> </w:t>
      </w:r>
      <w:r w:rsidRPr="00FD65C9">
        <w:rPr>
          <w:lang w:val="pl-PL"/>
        </w:rPr>
        <w:t xml:space="preserve">podejrzanego, p. M. </w:t>
      </w:r>
      <w:proofErr w:type="spellStart"/>
      <w:r w:rsidRPr="00FD65C9">
        <w:rPr>
          <w:lang w:val="pl-PL"/>
        </w:rPr>
        <w:t>Orak</w:t>
      </w:r>
      <w:proofErr w:type="spellEnd"/>
      <w:r w:rsidRPr="00FD65C9">
        <w:rPr>
          <w:lang w:val="pl-PL"/>
        </w:rPr>
        <w:t>: »[...] w</w:t>
      </w:r>
      <w:r w:rsidR="008152F6" w:rsidRPr="00FD65C9">
        <w:rPr>
          <w:lang w:val="pl-PL"/>
        </w:rPr>
        <w:t>ydaje się, że art. 109 i 114 [w </w:t>
      </w:r>
      <w:r w:rsidRPr="00FD65C9">
        <w:rPr>
          <w:lang w:val="pl-PL"/>
        </w:rPr>
        <w:t xml:space="preserve">rzeczywistości art. 309 i 314 kodeksu karnego] zostały wymienione w protokole rozprawy; czy o </w:t>
      </w:r>
      <w:r w:rsidR="00043BC2" w:rsidRPr="00FD65C9">
        <w:rPr>
          <w:lang w:val="pl-PL"/>
        </w:rPr>
        <w:t>za</w:t>
      </w:r>
      <w:r w:rsidR="00043BC2">
        <w:rPr>
          <w:lang w:val="pl-PL"/>
        </w:rPr>
        <w:t>stosowanie środka</w:t>
      </w:r>
      <w:r w:rsidRPr="00FD65C9">
        <w:rPr>
          <w:lang w:val="pl-PL"/>
        </w:rPr>
        <w:t>, o któr</w:t>
      </w:r>
      <w:r w:rsidR="00043BC2">
        <w:rPr>
          <w:lang w:val="pl-PL"/>
        </w:rPr>
        <w:t>y</w:t>
      </w:r>
      <w:r w:rsidRPr="00FD65C9">
        <w:rPr>
          <w:lang w:val="pl-PL"/>
        </w:rPr>
        <w:t xml:space="preserve"> wnioskowano na podstawie art. 114 [314], wnioskuje się również na podstawie art. 109 [309]?«</w:t>
      </w:r>
    </w:p>
    <w:p w14:paraId="173286A5" w14:textId="77777777" w:rsidR="00E95B67" w:rsidRPr="00FD65C9" w:rsidRDefault="00E95B67" w:rsidP="00622760">
      <w:pPr>
        <w:pStyle w:val="ECHRParaQuote"/>
        <w:rPr>
          <w:lang w:val="pl-PL"/>
        </w:rPr>
      </w:pPr>
      <w:r w:rsidRPr="00FD65C9">
        <w:rPr>
          <w:lang w:val="pl-PL"/>
        </w:rPr>
        <w:t>Sędzia, M. C.: »Nie jest to [na podstawie art.] 109 [309]«.</w:t>
      </w:r>
    </w:p>
    <w:p w14:paraId="0864205E" w14:textId="4AC5D23F" w:rsidR="00E95B67" w:rsidRPr="00FD65C9" w:rsidRDefault="00043BC2" w:rsidP="00622760">
      <w:pPr>
        <w:pStyle w:val="ECHRParaQuote"/>
        <w:rPr>
          <w:lang w:val="pl-PL"/>
        </w:rPr>
      </w:pPr>
      <w:r>
        <w:rPr>
          <w:lang w:val="pl-PL"/>
        </w:rPr>
        <w:t>Obrońca</w:t>
      </w:r>
      <w:r w:rsidRPr="00FD65C9">
        <w:rPr>
          <w:lang w:val="pl-PL"/>
        </w:rPr>
        <w:t xml:space="preserve"> </w:t>
      </w:r>
      <w:r w:rsidR="00E95B67" w:rsidRPr="00FD65C9">
        <w:rPr>
          <w:lang w:val="pl-PL"/>
        </w:rPr>
        <w:t xml:space="preserve">podejrzanego, M. </w:t>
      </w:r>
      <w:proofErr w:type="spellStart"/>
      <w:r w:rsidR="00E95B67" w:rsidRPr="00FD65C9">
        <w:rPr>
          <w:lang w:val="pl-PL"/>
        </w:rPr>
        <w:t>Orak</w:t>
      </w:r>
      <w:proofErr w:type="spellEnd"/>
      <w:r w:rsidR="00E95B67" w:rsidRPr="00FD65C9">
        <w:rPr>
          <w:lang w:val="pl-PL"/>
        </w:rPr>
        <w:t xml:space="preserve">: »Zgoda. [...] Ponieważ </w:t>
      </w:r>
      <w:r>
        <w:rPr>
          <w:lang w:val="pl-PL"/>
        </w:rPr>
        <w:t>podstawą sprawy mojego</w:t>
      </w:r>
      <w:r w:rsidRPr="00FD65C9">
        <w:rPr>
          <w:lang w:val="pl-PL"/>
        </w:rPr>
        <w:t xml:space="preserve"> </w:t>
      </w:r>
      <w:r w:rsidR="00E95B67" w:rsidRPr="00FD65C9">
        <w:rPr>
          <w:lang w:val="pl-PL"/>
        </w:rPr>
        <w:t>klient</w:t>
      </w:r>
      <w:r>
        <w:rPr>
          <w:lang w:val="pl-PL"/>
        </w:rPr>
        <w:t>a</w:t>
      </w:r>
      <w:r w:rsidR="00E95B67" w:rsidRPr="00FD65C9">
        <w:rPr>
          <w:lang w:val="pl-PL"/>
        </w:rPr>
        <w:t xml:space="preserve"> </w:t>
      </w:r>
      <w:r>
        <w:rPr>
          <w:lang w:val="pl-PL"/>
        </w:rPr>
        <w:t xml:space="preserve">jest </w:t>
      </w:r>
      <w:r w:rsidR="00E95B67" w:rsidRPr="00FD65C9">
        <w:rPr>
          <w:lang w:val="pl-PL"/>
        </w:rPr>
        <w:t xml:space="preserve">art. 114 [314], nie mamy tu do czynienia z sytuacją </w:t>
      </w:r>
      <w:r w:rsidR="00AD4D3A">
        <w:rPr>
          <w:i/>
          <w:iCs/>
          <w:lang w:val="pl-PL"/>
        </w:rPr>
        <w:t xml:space="preserve">in </w:t>
      </w:r>
      <w:proofErr w:type="spellStart"/>
      <w:r w:rsidR="00AD4D3A">
        <w:rPr>
          <w:i/>
          <w:iCs/>
          <w:lang w:val="pl-PL"/>
        </w:rPr>
        <w:t>flagrante</w:t>
      </w:r>
      <w:proofErr w:type="spellEnd"/>
      <w:r w:rsidR="00E95B67" w:rsidRPr="00FD65C9">
        <w:rPr>
          <w:i/>
          <w:iCs/>
          <w:lang w:val="pl-PL"/>
        </w:rPr>
        <w:t xml:space="preserve"> </w:t>
      </w:r>
      <w:proofErr w:type="spellStart"/>
      <w:r w:rsidR="00E95B67" w:rsidRPr="00FD65C9">
        <w:rPr>
          <w:i/>
          <w:iCs/>
          <w:lang w:val="pl-PL"/>
        </w:rPr>
        <w:t>delicto</w:t>
      </w:r>
      <w:proofErr w:type="spellEnd"/>
      <w:r w:rsidR="00E95B67" w:rsidRPr="00FD65C9">
        <w:rPr>
          <w:i/>
          <w:iCs/>
          <w:lang w:val="pl-PL"/>
        </w:rPr>
        <w:t>.</w:t>
      </w:r>
      <w:r w:rsidR="00E95B67" w:rsidRPr="00FD65C9">
        <w:rPr>
          <w:lang w:val="pl-PL"/>
        </w:rPr>
        <w:t xml:space="preserve"> W konsekwencji, wszystkie czynn</w:t>
      </w:r>
      <w:r w:rsidR="008152F6" w:rsidRPr="00FD65C9">
        <w:rPr>
          <w:lang w:val="pl-PL"/>
        </w:rPr>
        <w:t>ości przeprowadzone w związku z </w:t>
      </w:r>
      <w:r w:rsidR="00E95B67" w:rsidRPr="00FD65C9">
        <w:rPr>
          <w:lang w:val="pl-PL"/>
        </w:rPr>
        <w:t>tym przestępstwem stanowiły na</w:t>
      </w:r>
      <w:r w:rsidR="008152F6" w:rsidRPr="00FD65C9">
        <w:rPr>
          <w:lang w:val="pl-PL"/>
        </w:rPr>
        <w:t>dużycie władzy i były obarczone </w:t>
      </w:r>
      <w:r w:rsidR="00E95B67" w:rsidRPr="00FD65C9">
        <w:rPr>
          <w:lang w:val="pl-PL"/>
        </w:rPr>
        <w:t xml:space="preserve">nieprawidłowościami [...]. </w:t>
      </w:r>
      <w:r>
        <w:rPr>
          <w:lang w:val="pl-PL"/>
        </w:rPr>
        <w:t>W tym przypadku</w:t>
      </w:r>
      <w:r w:rsidRPr="00FD65C9">
        <w:rPr>
          <w:lang w:val="pl-PL"/>
        </w:rPr>
        <w:t xml:space="preserve"> </w:t>
      </w:r>
      <w:r>
        <w:rPr>
          <w:lang w:val="pl-PL"/>
        </w:rPr>
        <w:t>postępowanie przygotowawcze</w:t>
      </w:r>
      <w:r w:rsidRPr="00FD65C9">
        <w:rPr>
          <w:lang w:val="pl-PL"/>
        </w:rPr>
        <w:t xml:space="preserve"> </w:t>
      </w:r>
      <w:r w:rsidR="00E95B67" w:rsidRPr="00FD65C9">
        <w:rPr>
          <w:lang w:val="pl-PL"/>
        </w:rPr>
        <w:t>i postępowanie karne musi być od początku prowadzone przez pełny skład Trybunału Konstytucyjnego [...]. Brak jest konkretnych dowodów uzasadniających zastosowanie środka zapob</w:t>
      </w:r>
      <w:r w:rsidR="008152F6" w:rsidRPr="00FD65C9">
        <w:rPr>
          <w:lang w:val="pl-PL"/>
        </w:rPr>
        <w:t>iegawczego w </w:t>
      </w:r>
      <w:r w:rsidR="00E95B67" w:rsidRPr="00FD65C9">
        <w:rPr>
          <w:lang w:val="pl-PL"/>
        </w:rPr>
        <w:t>postaci tymczasowego aresztowania, a zarzuty zostały oparte na abstrakcyjnych twierdzeniach [...]. [Ponadto] w niniejszej sprawie nie zostały spełnione kumulatywne przesłanki tymczasowego aresztowania, a w każdym razie wnosimy o orzeczenie środków alternatywnych [...]”.</w:t>
      </w:r>
    </w:p>
    <w:p w14:paraId="043A6103" w14:textId="2B526C20"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20</w:t>
      </w:r>
      <w:r w:rsidRPr="00FD65C9">
        <w:rPr>
          <w:lang w:val="pl-PL"/>
        </w:rPr>
        <w:fldChar w:fldCharType="end"/>
      </w:r>
      <w:r w:rsidR="00E95B67" w:rsidRPr="00FD65C9">
        <w:rPr>
          <w:lang w:val="pl-PL"/>
        </w:rPr>
        <w:t xml:space="preserve">.  Tego samego dnia, sędzia pokoju </w:t>
      </w:r>
      <w:r w:rsidR="00043BC2">
        <w:rPr>
          <w:lang w:val="pl-PL"/>
        </w:rPr>
        <w:t>wydał postanowienie o zastosowaniu tymczasowego aresztowania wobec</w:t>
      </w:r>
      <w:r w:rsidR="00043BC2" w:rsidRPr="00FD65C9">
        <w:rPr>
          <w:lang w:val="pl-PL"/>
        </w:rPr>
        <w:t xml:space="preserve"> </w:t>
      </w:r>
      <w:r w:rsidR="008152F6" w:rsidRPr="00FD65C9">
        <w:rPr>
          <w:lang w:val="pl-PL"/>
        </w:rPr>
        <w:t>skarżącego i </w:t>
      </w:r>
      <w:r w:rsidR="00E95B67" w:rsidRPr="00FD65C9">
        <w:rPr>
          <w:lang w:val="pl-PL"/>
        </w:rPr>
        <w:t>pozostałych trzynastu podejrzanych. W tym celu rozważył następujące kwestie:</w:t>
      </w:r>
    </w:p>
    <w:p w14:paraId="4EA85FAB" w14:textId="2E3DD067" w:rsidR="00E95B67" w:rsidRPr="00FD65C9" w:rsidRDefault="00E95B67" w:rsidP="00622760">
      <w:pPr>
        <w:pStyle w:val="ECHRParaQuote"/>
        <w:rPr>
          <w:lang w:val="pl-PL"/>
        </w:rPr>
      </w:pPr>
      <w:r w:rsidRPr="00FD65C9">
        <w:rPr>
          <w:lang w:val="pl-PL"/>
        </w:rPr>
        <w:t xml:space="preserve">„[...] Wobec faktu, że niektórzy podejrzani i ich </w:t>
      </w:r>
      <w:r w:rsidR="00043BC2" w:rsidRPr="00FD65C9">
        <w:rPr>
          <w:lang w:val="pl-PL"/>
        </w:rPr>
        <w:t>p</w:t>
      </w:r>
      <w:r w:rsidR="00043BC2">
        <w:rPr>
          <w:lang w:val="pl-PL"/>
        </w:rPr>
        <w:t>ełnomocnicy</w:t>
      </w:r>
      <w:r w:rsidR="00043BC2" w:rsidRPr="00FD65C9">
        <w:rPr>
          <w:lang w:val="pl-PL"/>
        </w:rPr>
        <w:t xml:space="preserve"> </w:t>
      </w:r>
      <w:r w:rsidRPr="00FD65C9">
        <w:rPr>
          <w:lang w:val="pl-PL"/>
        </w:rPr>
        <w:t xml:space="preserve">twierdzili, że prokuratura w Ankarze i nasz Sąd nie były właściwe [do prowadzenia śledztwa w tej sprawie], należy zauważyć, że zgodnie z art. 16 ust. 1 ustawy nr 6216 [...], </w:t>
      </w:r>
      <w:r w:rsidR="00043BC2">
        <w:rPr>
          <w:lang w:val="pl-PL"/>
        </w:rPr>
        <w:t>postępowanie przygotowawcze</w:t>
      </w:r>
      <w:r w:rsidR="00043BC2" w:rsidRPr="00FD65C9">
        <w:rPr>
          <w:lang w:val="pl-PL"/>
        </w:rPr>
        <w:t xml:space="preserve"> </w:t>
      </w:r>
      <w:r w:rsidRPr="00FD65C9">
        <w:rPr>
          <w:lang w:val="pl-PL"/>
        </w:rPr>
        <w:t xml:space="preserve">podlegało przepisom prawa powszechnego, ponieważ </w:t>
      </w:r>
      <w:r w:rsidR="00043BC2">
        <w:rPr>
          <w:lang w:val="pl-PL"/>
        </w:rPr>
        <w:t xml:space="preserve">zarzucone oskarżonym </w:t>
      </w:r>
      <w:r w:rsidRPr="00FD65C9">
        <w:rPr>
          <w:lang w:val="pl-PL"/>
        </w:rPr>
        <w:t>p</w:t>
      </w:r>
      <w:r w:rsidR="008152F6" w:rsidRPr="00FD65C9">
        <w:rPr>
          <w:lang w:val="pl-PL"/>
        </w:rPr>
        <w:t>rzestępstwo</w:t>
      </w:r>
      <w:r w:rsidRPr="00FD65C9">
        <w:rPr>
          <w:lang w:val="pl-PL"/>
        </w:rPr>
        <w:t>, a mianowicie przynależność do zbrojnej organizacji terrorystycznej, stanowiło »naruszenie o charakterze ciągłym« (</w:t>
      </w:r>
      <w:proofErr w:type="spellStart"/>
      <w:r w:rsidRPr="00FD65C9">
        <w:rPr>
          <w:i/>
          <w:iCs/>
          <w:lang w:val="pl-PL"/>
        </w:rPr>
        <w:t>temadi</w:t>
      </w:r>
      <w:proofErr w:type="spellEnd"/>
      <w:r w:rsidRPr="00FD65C9">
        <w:rPr>
          <w:i/>
          <w:iCs/>
          <w:lang w:val="pl-PL"/>
        </w:rPr>
        <w:t xml:space="preserve"> </w:t>
      </w:r>
      <w:proofErr w:type="spellStart"/>
      <w:r w:rsidRPr="00FD65C9">
        <w:rPr>
          <w:i/>
          <w:iCs/>
          <w:lang w:val="pl-PL"/>
        </w:rPr>
        <w:t>olan</w:t>
      </w:r>
      <w:proofErr w:type="spellEnd"/>
      <w:r w:rsidRPr="00FD65C9">
        <w:rPr>
          <w:i/>
          <w:iCs/>
          <w:lang w:val="pl-PL"/>
        </w:rPr>
        <w:t xml:space="preserve"> </w:t>
      </w:r>
      <w:proofErr w:type="spellStart"/>
      <w:r w:rsidRPr="00FD65C9">
        <w:rPr>
          <w:i/>
          <w:iCs/>
          <w:lang w:val="pl-PL"/>
        </w:rPr>
        <w:t>suç</w:t>
      </w:r>
      <w:proofErr w:type="spellEnd"/>
      <w:r w:rsidR="008152F6" w:rsidRPr="00FD65C9">
        <w:rPr>
          <w:lang w:val="pl-PL"/>
        </w:rPr>
        <w:t>) i </w:t>
      </w:r>
      <w:r w:rsidRPr="00FD65C9">
        <w:rPr>
          <w:lang w:val="pl-PL"/>
        </w:rPr>
        <w:t xml:space="preserve">przypadek </w:t>
      </w:r>
      <w:r w:rsidR="00AD4D3A">
        <w:rPr>
          <w:i/>
          <w:iCs/>
          <w:lang w:val="pl-PL"/>
        </w:rPr>
        <w:t xml:space="preserve">in </w:t>
      </w:r>
      <w:proofErr w:type="spellStart"/>
      <w:r w:rsidR="00AD4D3A">
        <w:rPr>
          <w:i/>
          <w:iCs/>
          <w:lang w:val="pl-PL"/>
        </w:rPr>
        <w:t>flagrante</w:t>
      </w:r>
      <w:proofErr w:type="spellEnd"/>
      <w:r w:rsidRPr="00FD65C9">
        <w:rPr>
          <w:i/>
          <w:iCs/>
          <w:lang w:val="pl-PL"/>
        </w:rPr>
        <w:t xml:space="preserve"> </w:t>
      </w:r>
      <w:proofErr w:type="spellStart"/>
      <w:r w:rsidRPr="00FD65C9">
        <w:rPr>
          <w:i/>
          <w:iCs/>
          <w:lang w:val="pl-PL"/>
        </w:rPr>
        <w:t>delicto</w:t>
      </w:r>
      <w:proofErr w:type="spellEnd"/>
      <w:r w:rsidRPr="00FD65C9">
        <w:rPr>
          <w:lang w:val="pl-PL"/>
        </w:rPr>
        <w:t>.</w:t>
      </w:r>
    </w:p>
    <w:p w14:paraId="2C6B0A13" w14:textId="4CF60211" w:rsidR="00E95B67" w:rsidRPr="00FD65C9" w:rsidRDefault="00E95B67" w:rsidP="00622760">
      <w:pPr>
        <w:pStyle w:val="ECHRParaQuote"/>
        <w:rPr>
          <w:lang w:val="pl-PL"/>
        </w:rPr>
      </w:pPr>
      <w:r w:rsidRPr="00FD65C9">
        <w:rPr>
          <w:lang w:val="pl-PL"/>
        </w:rPr>
        <w:t xml:space="preserve">Po zapoznaniu się z aktami </w:t>
      </w:r>
      <w:r w:rsidR="00D11BB3">
        <w:rPr>
          <w:lang w:val="pl-PL"/>
        </w:rPr>
        <w:t>postępowania przygotowawczego</w:t>
      </w:r>
      <w:r w:rsidR="00D11BB3" w:rsidRPr="00FD65C9">
        <w:rPr>
          <w:lang w:val="pl-PL"/>
        </w:rPr>
        <w:t xml:space="preserve"> </w:t>
      </w:r>
      <w:r w:rsidRPr="00FD65C9">
        <w:rPr>
          <w:lang w:val="pl-PL"/>
        </w:rPr>
        <w:t xml:space="preserve">podejmuje się decyzję o zastosowaniu wobec podejrzanych tymczasowego aresztowania, mając na uwadze charakter zarzucanego im przestępstwa, </w:t>
      </w:r>
      <w:r w:rsidR="00D11BB3">
        <w:rPr>
          <w:lang w:val="pl-PL"/>
        </w:rPr>
        <w:t>materiał dowodowy</w:t>
      </w:r>
      <w:r w:rsidRPr="00FD65C9">
        <w:rPr>
          <w:lang w:val="pl-PL"/>
        </w:rPr>
        <w:t xml:space="preserve">, [wszystkie] protokoły znajdujące się w aktach, orzeczenia z dnia 17 lipca 2016 r. wydane przez </w:t>
      </w:r>
      <w:r w:rsidR="00D11BB3" w:rsidRPr="00FD65C9">
        <w:rPr>
          <w:lang w:val="pl-PL"/>
        </w:rPr>
        <w:t>prez</w:t>
      </w:r>
      <w:r w:rsidR="00D11BB3">
        <w:rPr>
          <w:lang w:val="pl-PL"/>
        </w:rPr>
        <w:t>esów</w:t>
      </w:r>
      <w:r w:rsidR="00D11BB3" w:rsidRPr="00FD65C9">
        <w:rPr>
          <w:lang w:val="pl-PL"/>
        </w:rPr>
        <w:t xml:space="preserve"> </w:t>
      </w:r>
      <w:r w:rsidRPr="00FD65C9">
        <w:rPr>
          <w:lang w:val="pl-PL"/>
        </w:rPr>
        <w:t xml:space="preserve">sądu kasacyjnego i Rady Stanu, </w:t>
      </w:r>
      <w:r w:rsidR="00D11BB3">
        <w:rPr>
          <w:lang w:val="pl-PL"/>
        </w:rPr>
        <w:t>protokoły</w:t>
      </w:r>
      <w:r w:rsidR="00D11BB3" w:rsidRPr="00FD65C9">
        <w:rPr>
          <w:lang w:val="pl-PL"/>
        </w:rPr>
        <w:t xml:space="preserve"> </w:t>
      </w:r>
      <w:r w:rsidRPr="00FD65C9">
        <w:rPr>
          <w:lang w:val="pl-PL"/>
        </w:rPr>
        <w:t xml:space="preserve">z przeszukania i </w:t>
      </w:r>
      <w:r w:rsidR="00D11BB3" w:rsidRPr="00FD65C9">
        <w:rPr>
          <w:lang w:val="pl-PL"/>
        </w:rPr>
        <w:t>za</w:t>
      </w:r>
      <w:r w:rsidR="00D11BB3">
        <w:rPr>
          <w:lang w:val="pl-PL"/>
        </w:rPr>
        <w:t>trzymania</w:t>
      </w:r>
      <w:r w:rsidR="00D11BB3" w:rsidRPr="00FD65C9">
        <w:rPr>
          <w:lang w:val="pl-PL"/>
        </w:rPr>
        <w:t xml:space="preserve"> </w:t>
      </w:r>
      <w:r w:rsidRPr="00FD65C9">
        <w:rPr>
          <w:lang w:val="pl-PL"/>
        </w:rPr>
        <w:t xml:space="preserve">oraz całą </w:t>
      </w:r>
      <w:r w:rsidR="00D11BB3">
        <w:rPr>
          <w:lang w:val="pl-PL"/>
        </w:rPr>
        <w:t>treś</w:t>
      </w:r>
      <w:r w:rsidR="00D11BB3" w:rsidRPr="00FD65C9">
        <w:rPr>
          <w:lang w:val="pl-PL"/>
        </w:rPr>
        <w:t xml:space="preserve">ć </w:t>
      </w:r>
      <w:r w:rsidRPr="00FD65C9">
        <w:rPr>
          <w:lang w:val="pl-PL"/>
        </w:rPr>
        <w:t>akt, a także mając na uwadze fakt, że istnieją konkretne dowody wskazujące na silne podejrzenie popełnienia zarzucanego przestępstwa. [Ponadto zauważa się również, że] zarzucane przestępstwo należało do tzw. przestępstw »</w:t>
      </w:r>
      <w:r w:rsidR="00D11BB3">
        <w:rPr>
          <w:lang w:val="pl-PL"/>
        </w:rPr>
        <w:t>stypizowanych</w:t>
      </w:r>
      <w:r w:rsidRPr="00FD65C9">
        <w:rPr>
          <w:lang w:val="pl-PL"/>
        </w:rPr>
        <w:t xml:space="preserve">« wymienionych w art. 100 kpk, że </w:t>
      </w:r>
      <w:r w:rsidR="00846052">
        <w:rPr>
          <w:lang w:val="pl-PL"/>
        </w:rPr>
        <w:t>tymczasowe aresztowanie</w:t>
      </w:r>
      <w:r w:rsidRPr="00FD65C9">
        <w:rPr>
          <w:lang w:val="pl-PL"/>
        </w:rPr>
        <w:t xml:space="preserve"> był</w:t>
      </w:r>
      <w:r w:rsidR="00846052">
        <w:rPr>
          <w:lang w:val="pl-PL"/>
        </w:rPr>
        <w:t>o</w:t>
      </w:r>
      <w:r w:rsidRPr="00FD65C9">
        <w:rPr>
          <w:lang w:val="pl-PL"/>
        </w:rPr>
        <w:t xml:space="preserve"> środkiem proporcjonalnym ze względu na wymiar kary przewidzianej przez ustawę, a środki alternatywne do aresztu są niewystarczające, zważywszy na </w:t>
      </w:r>
      <w:r w:rsidR="00846052">
        <w:rPr>
          <w:lang w:val="pl-PL"/>
        </w:rPr>
        <w:t>obawę</w:t>
      </w:r>
      <w:r w:rsidR="00846052" w:rsidRPr="00FD65C9">
        <w:rPr>
          <w:lang w:val="pl-PL"/>
        </w:rPr>
        <w:t xml:space="preserve"> </w:t>
      </w:r>
      <w:r w:rsidRPr="00FD65C9">
        <w:rPr>
          <w:lang w:val="pl-PL"/>
        </w:rPr>
        <w:t>ucieczki i pogorszenie jakości dowodów”.</w:t>
      </w:r>
    </w:p>
    <w:p w14:paraId="216E4469" w14:textId="77777777"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21</w:t>
      </w:r>
      <w:r w:rsidRPr="00FD65C9">
        <w:rPr>
          <w:lang w:val="pl-PL"/>
        </w:rPr>
        <w:fldChar w:fldCharType="end"/>
      </w:r>
      <w:r w:rsidR="00E95B67" w:rsidRPr="00FD65C9">
        <w:rPr>
          <w:lang w:val="pl-PL"/>
        </w:rPr>
        <w:t>.  Również w dniu 20 lipca 2016 r. rząd ogłosił stan wyjątkowy na okres trzech miesięcy od 21 lipca 2016 r., który następnie został jednorazowo przedłużony o trzy miesiące przez Radę Ministrów, obradującą pod przewodnictwem prezydenta Republiki.</w:t>
      </w:r>
    </w:p>
    <w:p w14:paraId="1E432AE4" w14:textId="3D042F43" w:rsidR="00E95B67" w:rsidRPr="00FD65C9" w:rsidRDefault="00E95B67" w:rsidP="00622760">
      <w:pPr>
        <w:pStyle w:val="ECHRPara"/>
        <w:rPr>
          <w:lang w:val="pl-PL"/>
        </w:rPr>
      </w:pPr>
      <w:r w:rsidRPr="00FD65C9">
        <w:rPr>
          <w:lang w:val="pl-PL"/>
        </w:rPr>
        <w:t>Ponadto w dniu 21 lipca 2016 r. władze tureckie powiadomiły Sekretarza Generalnego Rady Europy o odstępstwie od Konwencji na podstawie art. 15 (paragraf</w:t>
      </w:r>
      <w:r w:rsidR="00846052">
        <w:rPr>
          <w:lang w:val="pl-PL"/>
        </w:rPr>
        <w:t>y</w:t>
      </w:r>
      <w:r w:rsidRPr="00FD65C9">
        <w:rPr>
          <w:lang w:val="pl-PL"/>
        </w:rPr>
        <w:t xml:space="preserve"> 11–13 powyżej).</w:t>
      </w:r>
    </w:p>
    <w:p w14:paraId="11D12FE4" w14:textId="6ECE17C3"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22</w:t>
      </w:r>
      <w:r w:rsidRPr="00FD65C9">
        <w:rPr>
          <w:lang w:val="pl-PL"/>
        </w:rPr>
        <w:fldChar w:fldCharType="end"/>
      </w:r>
      <w:r w:rsidR="00E95B67" w:rsidRPr="00FD65C9">
        <w:rPr>
          <w:lang w:val="pl-PL"/>
        </w:rPr>
        <w:t>.  W tym samym dniu skarżący wni</w:t>
      </w:r>
      <w:r w:rsidR="008152F6" w:rsidRPr="00FD65C9">
        <w:rPr>
          <w:lang w:val="pl-PL"/>
        </w:rPr>
        <w:t xml:space="preserve">ósł </w:t>
      </w:r>
      <w:r w:rsidR="00846052">
        <w:rPr>
          <w:lang w:val="pl-PL"/>
        </w:rPr>
        <w:t>zażalenie na</w:t>
      </w:r>
      <w:r w:rsidR="008152F6" w:rsidRPr="00FD65C9">
        <w:rPr>
          <w:lang w:val="pl-PL"/>
        </w:rPr>
        <w:t xml:space="preserve"> postanowieni</w:t>
      </w:r>
      <w:r w:rsidR="00846052">
        <w:rPr>
          <w:lang w:val="pl-PL"/>
        </w:rPr>
        <w:t>e</w:t>
      </w:r>
      <w:r w:rsidR="008152F6" w:rsidRPr="00FD65C9">
        <w:rPr>
          <w:lang w:val="pl-PL"/>
        </w:rPr>
        <w:t xml:space="preserve"> o </w:t>
      </w:r>
      <w:r w:rsidR="00E95B67" w:rsidRPr="00FD65C9">
        <w:rPr>
          <w:lang w:val="pl-PL"/>
        </w:rPr>
        <w:t xml:space="preserve">zastosowaniu wobec niego środka zapobiegawczego w postaci tymczasowego aresztowania. </w:t>
      </w:r>
      <w:r w:rsidR="00846052">
        <w:rPr>
          <w:lang w:val="pl-PL"/>
        </w:rPr>
        <w:t>W uzasadnieniu</w:t>
      </w:r>
      <w:r w:rsidR="00E95B67" w:rsidRPr="00FD65C9">
        <w:rPr>
          <w:lang w:val="pl-PL"/>
        </w:rPr>
        <w:t xml:space="preserve"> podniósł, że nie istniały konkretne dowody uzasadniające zastosowanie tymczasowego aresztowania i zakwestionował zgodność tego środka z właściwymi przepisami prawa krajowego. Ponadto </w:t>
      </w:r>
      <w:r w:rsidR="00846052">
        <w:rPr>
          <w:lang w:val="pl-PL"/>
        </w:rPr>
        <w:t>wniósł</w:t>
      </w:r>
      <w:r w:rsidR="00846052" w:rsidRPr="00FD65C9">
        <w:rPr>
          <w:lang w:val="pl-PL"/>
        </w:rPr>
        <w:t xml:space="preserve"> </w:t>
      </w:r>
      <w:r w:rsidR="00846052">
        <w:rPr>
          <w:lang w:val="pl-PL"/>
        </w:rPr>
        <w:t xml:space="preserve">o </w:t>
      </w:r>
      <w:r w:rsidR="00E95B67" w:rsidRPr="00FD65C9">
        <w:rPr>
          <w:lang w:val="pl-PL"/>
        </w:rPr>
        <w:t>zastosowani</w:t>
      </w:r>
      <w:r w:rsidR="00846052">
        <w:rPr>
          <w:lang w:val="pl-PL"/>
        </w:rPr>
        <w:t>e</w:t>
      </w:r>
      <w:r w:rsidR="00E95B67" w:rsidRPr="00FD65C9">
        <w:rPr>
          <w:lang w:val="pl-PL"/>
        </w:rPr>
        <w:t xml:space="preserve"> środków alternatywnych z uwagi na fakt, że jego syn był dotknięty poważną niepełnosprawnością i zależny od jego osobistej pomocy.</w:t>
      </w:r>
    </w:p>
    <w:p w14:paraId="2127071C" w14:textId="0E0E8FE5"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23</w:t>
      </w:r>
      <w:r w:rsidRPr="00FD65C9">
        <w:rPr>
          <w:lang w:val="pl-PL"/>
        </w:rPr>
        <w:fldChar w:fldCharType="end"/>
      </w:r>
      <w:r w:rsidR="00E95B67" w:rsidRPr="00FD65C9">
        <w:rPr>
          <w:lang w:val="pl-PL"/>
        </w:rPr>
        <w:t xml:space="preserve">.  Orzeczeniem z dnia 4 sierpnia 2016 r., </w:t>
      </w:r>
      <w:r w:rsidR="001A07B1">
        <w:rPr>
          <w:lang w:val="pl-PL"/>
        </w:rPr>
        <w:t>TK</w:t>
      </w:r>
      <w:r w:rsidR="00E95B67" w:rsidRPr="00FD65C9">
        <w:rPr>
          <w:lang w:val="pl-PL"/>
        </w:rPr>
        <w:t xml:space="preserve"> – obradując w pełnym składzie – odwołał skarżącego z zajmowanego stanowiska. Uznał przy tym, na podstawie art. 3 dekretu z mocą us</w:t>
      </w:r>
      <w:r w:rsidR="008152F6" w:rsidRPr="00FD65C9">
        <w:rPr>
          <w:lang w:val="pl-PL"/>
        </w:rPr>
        <w:t>tawy nr 667, że między innymi z </w:t>
      </w:r>
      <w:r w:rsidR="00E95B67" w:rsidRPr="00FD65C9">
        <w:rPr>
          <w:lang w:val="pl-PL"/>
        </w:rPr>
        <w:t>„informacji pochodzących z otoczenia społecznego” (</w:t>
      </w:r>
      <w:proofErr w:type="spellStart"/>
      <w:r w:rsidR="00E95B67" w:rsidRPr="00FD65C9">
        <w:rPr>
          <w:i/>
          <w:iCs/>
          <w:lang w:val="pl-PL"/>
        </w:rPr>
        <w:t>sosyal</w:t>
      </w:r>
      <w:proofErr w:type="spellEnd"/>
      <w:r w:rsidR="00E95B67" w:rsidRPr="00FD65C9">
        <w:rPr>
          <w:i/>
          <w:iCs/>
          <w:lang w:val="pl-PL"/>
        </w:rPr>
        <w:t xml:space="preserve"> </w:t>
      </w:r>
      <w:proofErr w:type="spellStart"/>
      <w:r w:rsidR="00E95B67" w:rsidRPr="00FD65C9">
        <w:rPr>
          <w:i/>
          <w:iCs/>
          <w:lang w:val="pl-PL"/>
        </w:rPr>
        <w:t>çevre</w:t>
      </w:r>
      <w:proofErr w:type="spellEnd"/>
      <w:r w:rsidR="00E95B67" w:rsidRPr="00FD65C9">
        <w:rPr>
          <w:i/>
          <w:iCs/>
          <w:lang w:val="pl-PL"/>
        </w:rPr>
        <w:t xml:space="preserve"> </w:t>
      </w:r>
      <w:proofErr w:type="spellStart"/>
      <w:r w:rsidR="00E95B67" w:rsidRPr="00FD65C9">
        <w:rPr>
          <w:i/>
          <w:iCs/>
          <w:lang w:val="pl-PL"/>
        </w:rPr>
        <w:t>bilgisi</w:t>
      </w:r>
      <w:proofErr w:type="spellEnd"/>
      <w:r w:rsidR="00E95B67" w:rsidRPr="00FD65C9">
        <w:rPr>
          <w:lang w:val="pl-PL"/>
        </w:rPr>
        <w:t>) oraz z „powszechnego przekonania, które z czasem się urzeczywistniło” (</w:t>
      </w:r>
      <w:proofErr w:type="spellStart"/>
      <w:r w:rsidR="00E95B67" w:rsidRPr="00FD65C9">
        <w:rPr>
          <w:i/>
          <w:iCs/>
          <w:lang w:val="pl-PL"/>
        </w:rPr>
        <w:t>zaman</w:t>
      </w:r>
      <w:proofErr w:type="spellEnd"/>
      <w:r w:rsidR="00E95B67" w:rsidRPr="00FD65C9">
        <w:rPr>
          <w:i/>
          <w:iCs/>
          <w:lang w:val="pl-PL"/>
        </w:rPr>
        <w:t xml:space="preserve"> </w:t>
      </w:r>
      <w:proofErr w:type="spellStart"/>
      <w:r w:rsidR="00E95B67" w:rsidRPr="00FD65C9">
        <w:rPr>
          <w:i/>
          <w:iCs/>
          <w:lang w:val="pl-PL"/>
        </w:rPr>
        <w:t>içinde</w:t>
      </w:r>
      <w:proofErr w:type="spellEnd"/>
      <w:r w:rsidR="00E95B67" w:rsidRPr="00FD65C9">
        <w:rPr>
          <w:i/>
          <w:iCs/>
          <w:lang w:val="pl-PL"/>
        </w:rPr>
        <w:t xml:space="preserve"> </w:t>
      </w:r>
      <w:proofErr w:type="spellStart"/>
      <w:r w:rsidR="00E95B67" w:rsidRPr="00FD65C9">
        <w:rPr>
          <w:i/>
          <w:iCs/>
          <w:lang w:val="pl-PL"/>
        </w:rPr>
        <w:t>oluşan</w:t>
      </w:r>
      <w:proofErr w:type="spellEnd"/>
      <w:r w:rsidR="00E95B67" w:rsidRPr="00FD65C9">
        <w:rPr>
          <w:i/>
          <w:iCs/>
          <w:lang w:val="pl-PL"/>
        </w:rPr>
        <w:t xml:space="preserve"> </w:t>
      </w:r>
      <w:proofErr w:type="spellStart"/>
      <w:r w:rsidR="00E95B67" w:rsidRPr="00FD65C9">
        <w:rPr>
          <w:i/>
          <w:iCs/>
          <w:lang w:val="pl-PL"/>
        </w:rPr>
        <w:t>ortak</w:t>
      </w:r>
      <w:proofErr w:type="spellEnd"/>
      <w:r w:rsidR="00E95B67" w:rsidRPr="00FD65C9">
        <w:rPr>
          <w:i/>
          <w:iCs/>
          <w:lang w:val="pl-PL"/>
        </w:rPr>
        <w:t xml:space="preserve"> </w:t>
      </w:r>
      <w:proofErr w:type="spellStart"/>
      <w:r w:rsidR="00E95B67" w:rsidRPr="00FD65C9">
        <w:rPr>
          <w:i/>
          <w:iCs/>
          <w:lang w:val="pl-PL"/>
        </w:rPr>
        <w:t>kanaatleri</w:t>
      </w:r>
      <w:proofErr w:type="spellEnd"/>
      <w:r w:rsidR="008152F6" w:rsidRPr="00FD65C9">
        <w:rPr>
          <w:lang w:val="pl-PL"/>
        </w:rPr>
        <w:t xml:space="preserve">) wśród członków </w:t>
      </w:r>
      <w:r w:rsidR="001A07B1">
        <w:rPr>
          <w:lang w:val="pl-PL"/>
        </w:rPr>
        <w:t>TK</w:t>
      </w:r>
      <w:r w:rsidR="002964AD" w:rsidRPr="00FD65C9">
        <w:rPr>
          <w:lang w:val="pl-PL"/>
        </w:rPr>
        <w:t xml:space="preserve"> </w:t>
      </w:r>
      <w:r w:rsidR="008152F6" w:rsidRPr="00FD65C9">
        <w:rPr>
          <w:lang w:val="pl-PL"/>
        </w:rPr>
        <w:t>wynika, że </w:t>
      </w:r>
      <w:r w:rsidR="00E95B67" w:rsidRPr="00FD65C9">
        <w:rPr>
          <w:lang w:val="pl-PL"/>
        </w:rPr>
        <w:t>zainteresowany miał związek z rzeczoną organizacją, tak że nie był już zdolny do wykonywania swojego zawodu.</w:t>
      </w:r>
    </w:p>
    <w:p w14:paraId="7148895F" w14:textId="484E882F"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24</w:t>
      </w:r>
      <w:r w:rsidRPr="00FD65C9">
        <w:rPr>
          <w:lang w:val="pl-PL"/>
        </w:rPr>
        <w:fldChar w:fldCharType="end"/>
      </w:r>
      <w:r w:rsidR="00E95B67" w:rsidRPr="00FD65C9">
        <w:rPr>
          <w:lang w:val="pl-PL"/>
        </w:rPr>
        <w:t xml:space="preserve">.  W dniu 9 sierpnia 2016 r. trzeci sędzia pokoju </w:t>
      </w:r>
      <w:r w:rsidR="00846052">
        <w:rPr>
          <w:lang w:val="pl-PL"/>
        </w:rPr>
        <w:t>oddalił zażalenie</w:t>
      </w:r>
      <w:r w:rsidR="00E95B67" w:rsidRPr="00FD65C9">
        <w:rPr>
          <w:lang w:val="pl-PL"/>
        </w:rPr>
        <w:t xml:space="preserve"> skarżącego </w:t>
      </w:r>
      <w:r w:rsidR="00846052">
        <w:rPr>
          <w:lang w:val="pl-PL"/>
        </w:rPr>
        <w:t>na</w:t>
      </w:r>
      <w:r w:rsidR="00846052" w:rsidRPr="00FD65C9">
        <w:rPr>
          <w:lang w:val="pl-PL"/>
        </w:rPr>
        <w:t xml:space="preserve"> </w:t>
      </w:r>
      <w:r w:rsidR="00E95B67" w:rsidRPr="00FD65C9">
        <w:rPr>
          <w:lang w:val="pl-PL"/>
        </w:rPr>
        <w:t>postanowieni</w:t>
      </w:r>
      <w:r w:rsidR="00846052">
        <w:rPr>
          <w:lang w:val="pl-PL"/>
        </w:rPr>
        <w:t>e</w:t>
      </w:r>
      <w:r w:rsidR="00E95B67" w:rsidRPr="00FD65C9">
        <w:rPr>
          <w:lang w:val="pl-PL"/>
        </w:rPr>
        <w:t xml:space="preserve"> o </w:t>
      </w:r>
      <w:r w:rsidR="00846052" w:rsidRPr="00FD65C9">
        <w:rPr>
          <w:lang w:val="pl-PL"/>
        </w:rPr>
        <w:t>za</w:t>
      </w:r>
      <w:r w:rsidR="00846052">
        <w:rPr>
          <w:lang w:val="pl-PL"/>
        </w:rPr>
        <w:t>stosowaniu tymczasowego aresztowania</w:t>
      </w:r>
      <w:r w:rsidR="00E95B67" w:rsidRPr="00FD65C9">
        <w:rPr>
          <w:lang w:val="pl-PL"/>
        </w:rPr>
        <w:t>.</w:t>
      </w:r>
    </w:p>
    <w:p w14:paraId="06CAF74E" w14:textId="125A5ADA"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25</w:t>
      </w:r>
      <w:r w:rsidRPr="00FD65C9">
        <w:rPr>
          <w:lang w:val="pl-PL"/>
        </w:rPr>
        <w:fldChar w:fldCharType="end"/>
      </w:r>
      <w:r w:rsidR="00E95B67" w:rsidRPr="00FD65C9">
        <w:rPr>
          <w:lang w:val="pl-PL"/>
        </w:rPr>
        <w:t xml:space="preserve">.  W dniu 26 września 2016 r. skarżący złożył wniosek o tymczasowe zwolnienie. </w:t>
      </w:r>
      <w:r w:rsidR="00451BE6">
        <w:rPr>
          <w:lang w:val="pl-PL"/>
        </w:rPr>
        <w:t>W uzasadnieniu</w:t>
      </w:r>
      <w:r w:rsidR="00E95B67" w:rsidRPr="00FD65C9">
        <w:rPr>
          <w:lang w:val="pl-PL"/>
        </w:rPr>
        <w:t xml:space="preserve"> skarżący ponownie zakwestionował zgodność przedmiotowego środka z właściwym prawem krajowym. W tym względzie podniósł po pierwsze, że ponieważ nie został oskarżony o udział w próbie zamachu stanu, nie był to przypadek </w:t>
      </w:r>
      <w:r w:rsidR="00AD4D3A">
        <w:rPr>
          <w:i/>
          <w:iCs/>
          <w:lang w:val="pl-PL"/>
        </w:rPr>
        <w:t xml:space="preserve">in </w:t>
      </w:r>
      <w:proofErr w:type="spellStart"/>
      <w:r w:rsidR="00AD4D3A">
        <w:rPr>
          <w:i/>
          <w:iCs/>
          <w:lang w:val="pl-PL"/>
        </w:rPr>
        <w:t>flagrante</w:t>
      </w:r>
      <w:proofErr w:type="spellEnd"/>
      <w:r w:rsidR="00E95B67" w:rsidRPr="00FD65C9">
        <w:rPr>
          <w:i/>
          <w:iCs/>
          <w:lang w:val="pl-PL"/>
        </w:rPr>
        <w:t xml:space="preserve"> </w:t>
      </w:r>
      <w:proofErr w:type="spellStart"/>
      <w:r w:rsidR="00E95B67" w:rsidRPr="00FD65C9">
        <w:rPr>
          <w:i/>
          <w:iCs/>
          <w:lang w:val="pl-PL"/>
        </w:rPr>
        <w:t>delicto</w:t>
      </w:r>
      <w:proofErr w:type="spellEnd"/>
      <w:r w:rsidR="00E95B67" w:rsidRPr="00FD65C9">
        <w:rPr>
          <w:lang w:val="pl-PL"/>
        </w:rPr>
        <w:t xml:space="preserve">. Skarżący argumentował również, że przypadki </w:t>
      </w:r>
      <w:r w:rsidR="00AD4D3A">
        <w:rPr>
          <w:i/>
          <w:iCs/>
          <w:lang w:val="pl-PL"/>
        </w:rPr>
        <w:t xml:space="preserve">in </w:t>
      </w:r>
      <w:proofErr w:type="spellStart"/>
      <w:r w:rsidR="00AD4D3A">
        <w:rPr>
          <w:i/>
          <w:iCs/>
          <w:lang w:val="pl-PL"/>
        </w:rPr>
        <w:t>flagrante</w:t>
      </w:r>
      <w:proofErr w:type="spellEnd"/>
      <w:r w:rsidR="00E95B67" w:rsidRPr="00FD65C9">
        <w:rPr>
          <w:i/>
          <w:iCs/>
          <w:lang w:val="pl-PL"/>
        </w:rPr>
        <w:t xml:space="preserve"> </w:t>
      </w:r>
      <w:proofErr w:type="spellStart"/>
      <w:r w:rsidR="00E95B67" w:rsidRPr="00FD65C9">
        <w:rPr>
          <w:i/>
          <w:iCs/>
          <w:lang w:val="pl-PL"/>
        </w:rPr>
        <w:t>delicto</w:t>
      </w:r>
      <w:proofErr w:type="spellEnd"/>
      <w:r w:rsidR="00E95B67" w:rsidRPr="00FD65C9">
        <w:rPr>
          <w:lang w:val="pl-PL"/>
        </w:rPr>
        <w:t xml:space="preserve"> zostały wymienione w art. 2 kodeksu </w:t>
      </w:r>
      <w:r w:rsidR="008152F6" w:rsidRPr="00FD65C9">
        <w:rPr>
          <w:lang w:val="pl-PL"/>
        </w:rPr>
        <w:t>postępowania karnego (kpk) i że </w:t>
      </w:r>
      <w:r w:rsidR="00E95B67" w:rsidRPr="00FD65C9">
        <w:rPr>
          <w:lang w:val="pl-PL"/>
        </w:rPr>
        <w:t xml:space="preserve">przedmiotowa sytuacja nie mieści się w wymienionych kategoriach. Ponadto podniósł, że </w:t>
      </w:r>
      <w:r w:rsidR="00451BE6">
        <w:rPr>
          <w:lang w:val="pl-PL"/>
        </w:rPr>
        <w:t xml:space="preserve">w postanowieniu o </w:t>
      </w:r>
      <w:r w:rsidR="00451BE6" w:rsidRPr="00FD65C9">
        <w:rPr>
          <w:lang w:val="pl-PL"/>
        </w:rPr>
        <w:t>za</w:t>
      </w:r>
      <w:r w:rsidR="00451BE6">
        <w:rPr>
          <w:lang w:val="pl-PL"/>
        </w:rPr>
        <w:t>stosowaniu tymczasowego aresztowania</w:t>
      </w:r>
      <w:r w:rsidR="00451BE6" w:rsidRPr="00FD65C9">
        <w:rPr>
          <w:lang w:val="pl-PL"/>
        </w:rPr>
        <w:t xml:space="preserve"> </w:t>
      </w:r>
      <w:r w:rsidR="00E95B67" w:rsidRPr="00FD65C9">
        <w:rPr>
          <w:lang w:val="pl-PL"/>
        </w:rPr>
        <w:t xml:space="preserve">nie </w:t>
      </w:r>
      <w:r w:rsidR="00451BE6">
        <w:rPr>
          <w:lang w:val="pl-PL"/>
        </w:rPr>
        <w:t>przedstawiono</w:t>
      </w:r>
      <w:r w:rsidR="00451BE6" w:rsidRPr="00FD65C9">
        <w:rPr>
          <w:lang w:val="pl-PL"/>
        </w:rPr>
        <w:t xml:space="preserve"> </w:t>
      </w:r>
      <w:r w:rsidR="00E95B67" w:rsidRPr="00FD65C9">
        <w:rPr>
          <w:lang w:val="pl-PL"/>
        </w:rPr>
        <w:t xml:space="preserve">żadnych konkretnych podstaw </w:t>
      </w:r>
      <w:r w:rsidR="00451BE6">
        <w:rPr>
          <w:lang w:val="pl-PL"/>
        </w:rPr>
        <w:t>jego zastosowania</w:t>
      </w:r>
      <w:r w:rsidR="00451BE6" w:rsidRPr="00FD65C9">
        <w:rPr>
          <w:lang w:val="pl-PL"/>
        </w:rPr>
        <w:t xml:space="preserve"> </w:t>
      </w:r>
      <w:r w:rsidR="00E95B67" w:rsidRPr="00FD65C9">
        <w:rPr>
          <w:lang w:val="pl-PL"/>
        </w:rPr>
        <w:t>i nie był oparty na żadnych okolicznościach faktycznych uzasadniających zast</w:t>
      </w:r>
      <w:r w:rsidR="008152F6" w:rsidRPr="00FD65C9">
        <w:rPr>
          <w:lang w:val="pl-PL"/>
        </w:rPr>
        <w:t>osowanie tego środka. Wreszcie, </w:t>
      </w:r>
      <w:r w:rsidR="00E95B67" w:rsidRPr="00FD65C9">
        <w:rPr>
          <w:lang w:val="pl-PL"/>
        </w:rPr>
        <w:t>ponownie zwrócił się o zastosowanie środków alternatywnych, kierując się stanem zdrowia swojego syna, który według niego był poważnie niepełnosprawny i zależny od jego osobistej pomocy.</w:t>
      </w:r>
    </w:p>
    <w:p w14:paraId="337E0D21" w14:textId="24F5C91B"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26</w:t>
      </w:r>
      <w:r w:rsidRPr="00FD65C9">
        <w:rPr>
          <w:lang w:val="pl-PL"/>
        </w:rPr>
        <w:fldChar w:fldCharType="end"/>
      </w:r>
      <w:r w:rsidR="00E95B67" w:rsidRPr="00FD65C9">
        <w:rPr>
          <w:lang w:val="pl-PL"/>
        </w:rPr>
        <w:t xml:space="preserve">.   </w:t>
      </w:r>
      <w:r w:rsidR="00451BE6">
        <w:rPr>
          <w:lang w:val="pl-PL"/>
        </w:rPr>
        <w:t>S</w:t>
      </w:r>
      <w:r w:rsidR="00E95B67" w:rsidRPr="00FD65C9">
        <w:rPr>
          <w:lang w:val="pl-PL"/>
        </w:rPr>
        <w:t xml:space="preserve">karżący </w:t>
      </w:r>
      <w:r w:rsidR="00451BE6">
        <w:rPr>
          <w:lang w:val="pl-PL"/>
        </w:rPr>
        <w:t xml:space="preserve">wielokrotnie </w:t>
      </w:r>
      <w:r w:rsidR="00E95B67" w:rsidRPr="00FD65C9">
        <w:rPr>
          <w:lang w:val="pl-PL"/>
        </w:rPr>
        <w:t xml:space="preserve">wnosił o zwolnienie. </w:t>
      </w:r>
      <w:r w:rsidR="003E046F">
        <w:rPr>
          <w:lang w:val="pl-PL"/>
        </w:rPr>
        <w:t>Orzeczeniami</w:t>
      </w:r>
      <w:r w:rsidR="00E95B67" w:rsidRPr="00FD65C9">
        <w:rPr>
          <w:lang w:val="pl-PL"/>
        </w:rPr>
        <w:t xml:space="preserve"> wydanymi w dniach 7 listopada i 5 grudnia 2016 r., po wydaniu orzeczenia z dnia 21 września 2016 r., właściwi sędziowie pokoju oddalili jego</w:t>
      </w:r>
      <w:r w:rsidR="00451BE6">
        <w:rPr>
          <w:lang w:val="pl-PL"/>
        </w:rPr>
        <w:t xml:space="preserve"> wnioski</w:t>
      </w:r>
      <w:r w:rsidR="00E95B67" w:rsidRPr="00FD65C9">
        <w:rPr>
          <w:lang w:val="pl-PL"/>
        </w:rPr>
        <w:t>.</w:t>
      </w:r>
    </w:p>
    <w:p w14:paraId="05CA81C2" w14:textId="71776BEE"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27</w:t>
      </w:r>
      <w:r w:rsidRPr="00FD65C9">
        <w:rPr>
          <w:lang w:val="pl-PL"/>
        </w:rPr>
        <w:fldChar w:fldCharType="end"/>
      </w:r>
      <w:r w:rsidR="00E95B67" w:rsidRPr="00FD65C9">
        <w:rPr>
          <w:lang w:val="pl-PL"/>
        </w:rPr>
        <w:t>.  W piśmie z dnia 8 listopada 2017 r. prokurat</w:t>
      </w:r>
      <w:r w:rsidR="00451BE6">
        <w:rPr>
          <w:lang w:val="pl-PL"/>
        </w:rPr>
        <w:t>or</w:t>
      </w:r>
      <w:r w:rsidR="00E95B67" w:rsidRPr="00FD65C9">
        <w:rPr>
          <w:lang w:val="pl-PL"/>
        </w:rPr>
        <w:t xml:space="preserve"> przy sądzie kasacyjnym przekazał sprawę do 10. izby karnej tego sądu. </w:t>
      </w:r>
      <w:r w:rsidR="0030699F">
        <w:rPr>
          <w:lang w:val="pl-PL"/>
        </w:rPr>
        <w:t>Ten ostatni</w:t>
      </w:r>
      <w:r w:rsidR="00E95B67" w:rsidRPr="00FD65C9">
        <w:rPr>
          <w:lang w:val="pl-PL"/>
        </w:rPr>
        <w:t xml:space="preserve"> wielokrotnie rozważał potrzebę dalszego </w:t>
      </w:r>
      <w:r w:rsidR="00451BE6">
        <w:rPr>
          <w:lang w:val="pl-PL"/>
        </w:rPr>
        <w:t>stosowania wobec</w:t>
      </w:r>
      <w:r w:rsidR="00451BE6" w:rsidRPr="00FD65C9">
        <w:rPr>
          <w:lang w:val="pl-PL"/>
        </w:rPr>
        <w:t xml:space="preserve"> </w:t>
      </w:r>
      <w:r w:rsidR="00E95B67" w:rsidRPr="00FD65C9">
        <w:rPr>
          <w:lang w:val="pl-PL"/>
        </w:rPr>
        <w:t xml:space="preserve">skarżącego </w:t>
      </w:r>
      <w:r w:rsidR="00451BE6">
        <w:rPr>
          <w:lang w:val="pl-PL"/>
        </w:rPr>
        <w:t>tymczasowego aresztowania</w:t>
      </w:r>
      <w:r w:rsidR="00E95B67" w:rsidRPr="00FD65C9">
        <w:rPr>
          <w:lang w:val="pl-PL"/>
        </w:rPr>
        <w:t xml:space="preserve"> i zarządz</w:t>
      </w:r>
      <w:r w:rsidR="0030699F">
        <w:rPr>
          <w:lang w:val="pl-PL"/>
        </w:rPr>
        <w:t>a</w:t>
      </w:r>
      <w:r w:rsidR="00E95B67" w:rsidRPr="00FD65C9">
        <w:rPr>
          <w:lang w:val="pl-PL"/>
        </w:rPr>
        <w:t>ł przedłużenie stosowania przedmiotowego środka.</w:t>
      </w:r>
    </w:p>
    <w:p w14:paraId="44E0AFFD" w14:textId="59CC1E0B" w:rsidR="00E95B67" w:rsidRPr="00FD65C9" w:rsidRDefault="00E95B67" w:rsidP="00622760">
      <w:pPr>
        <w:pStyle w:val="ECHRHeading2"/>
        <w:rPr>
          <w:lang w:val="pl-PL"/>
        </w:rPr>
      </w:pPr>
      <w:r w:rsidRPr="00FD65C9">
        <w:rPr>
          <w:lang w:val="pl-PL"/>
        </w:rPr>
        <w:t xml:space="preserve">D.  Sprawozdanie podsumowujące </w:t>
      </w:r>
      <w:r w:rsidR="00451BE6">
        <w:rPr>
          <w:lang w:val="pl-PL"/>
        </w:rPr>
        <w:t>p</w:t>
      </w:r>
      <w:r w:rsidRPr="00FD65C9">
        <w:rPr>
          <w:lang w:val="pl-PL"/>
        </w:rPr>
        <w:t>rokurat</w:t>
      </w:r>
      <w:r w:rsidR="00451BE6">
        <w:rPr>
          <w:lang w:val="pl-PL"/>
        </w:rPr>
        <w:t>ora</w:t>
      </w:r>
      <w:r w:rsidRPr="00FD65C9">
        <w:rPr>
          <w:lang w:val="pl-PL"/>
        </w:rPr>
        <w:t xml:space="preserve"> w Ankarze</w:t>
      </w:r>
    </w:p>
    <w:p w14:paraId="7ACC65CE" w14:textId="7990ECCF"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28</w:t>
      </w:r>
      <w:r w:rsidRPr="00FD65C9">
        <w:rPr>
          <w:lang w:val="pl-PL"/>
        </w:rPr>
        <w:fldChar w:fldCharType="end"/>
      </w:r>
      <w:r w:rsidR="00E95B67" w:rsidRPr="00FD65C9">
        <w:rPr>
          <w:lang w:val="pl-PL"/>
        </w:rPr>
        <w:t xml:space="preserve">. W dniu 25 października 2017 r. </w:t>
      </w:r>
      <w:r w:rsidR="00451BE6" w:rsidRPr="00FD65C9">
        <w:rPr>
          <w:lang w:val="pl-PL"/>
        </w:rPr>
        <w:t>prokurat</w:t>
      </w:r>
      <w:r w:rsidR="00451BE6">
        <w:rPr>
          <w:lang w:val="pl-PL"/>
        </w:rPr>
        <w:t>or</w:t>
      </w:r>
      <w:r w:rsidR="00451BE6" w:rsidRPr="00FD65C9">
        <w:rPr>
          <w:lang w:val="pl-PL"/>
        </w:rPr>
        <w:t xml:space="preserve"> </w:t>
      </w:r>
      <w:r w:rsidR="00E95B67" w:rsidRPr="00FD65C9">
        <w:rPr>
          <w:lang w:val="pl-PL"/>
        </w:rPr>
        <w:t xml:space="preserve">w Ankarze przesłał </w:t>
      </w:r>
      <w:r w:rsidR="00451BE6" w:rsidRPr="00FD65C9">
        <w:rPr>
          <w:lang w:val="pl-PL"/>
        </w:rPr>
        <w:t>prokurat</w:t>
      </w:r>
      <w:r w:rsidR="00451BE6">
        <w:rPr>
          <w:lang w:val="pl-PL"/>
        </w:rPr>
        <w:t>orowi przy</w:t>
      </w:r>
      <w:r w:rsidR="00451BE6" w:rsidRPr="00FD65C9">
        <w:rPr>
          <w:lang w:val="pl-PL"/>
        </w:rPr>
        <w:t xml:space="preserve"> </w:t>
      </w:r>
      <w:r w:rsidR="00E95B67" w:rsidRPr="00FD65C9">
        <w:rPr>
          <w:lang w:val="pl-PL"/>
        </w:rPr>
        <w:t>sąd</w:t>
      </w:r>
      <w:r w:rsidR="00451BE6">
        <w:rPr>
          <w:lang w:val="pl-PL"/>
        </w:rPr>
        <w:t>zie</w:t>
      </w:r>
      <w:r w:rsidR="00E95B67" w:rsidRPr="00FD65C9">
        <w:rPr>
          <w:lang w:val="pl-PL"/>
        </w:rPr>
        <w:t xml:space="preserve"> </w:t>
      </w:r>
      <w:r w:rsidR="00451BE6" w:rsidRPr="00FD65C9">
        <w:rPr>
          <w:lang w:val="pl-PL"/>
        </w:rPr>
        <w:t>kasacyjn</w:t>
      </w:r>
      <w:r w:rsidR="00451BE6">
        <w:rPr>
          <w:lang w:val="pl-PL"/>
        </w:rPr>
        <w:t>ym</w:t>
      </w:r>
      <w:r w:rsidR="00451BE6" w:rsidRPr="00FD65C9">
        <w:rPr>
          <w:lang w:val="pl-PL"/>
        </w:rPr>
        <w:t xml:space="preserve"> </w:t>
      </w:r>
      <w:r w:rsidR="00E95B67" w:rsidRPr="00FD65C9">
        <w:rPr>
          <w:lang w:val="pl-PL"/>
        </w:rPr>
        <w:t>sprawozdanie podsumowujące (</w:t>
      </w:r>
      <w:proofErr w:type="spellStart"/>
      <w:r w:rsidR="00E95B67" w:rsidRPr="00FD65C9">
        <w:rPr>
          <w:i/>
          <w:iCs/>
          <w:lang w:val="pl-PL"/>
        </w:rPr>
        <w:t>fezleke</w:t>
      </w:r>
      <w:proofErr w:type="spellEnd"/>
      <w:r w:rsidR="008152F6" w:rsidRPr="00FD65C9">
        <w:rPr>
          <w:lang w:val="pl-PL"/>
        </w:rPr>
        <w:t>) w </w:t>
      </w:r>
      <w:r w:rsidR="00E95B67" w:rsidRPr="00FD65C9">
        <w:rPr>
          <w:lang w:val="pl-PL"/>
        </w:rPr>
        <w:t xml:space="preserve">celu wszczęcia postępowania </w:t>
      </w:r>
      <w:r w:rsidR="008152F6" w:rsidRPr="00FD65C9">
        <w:rPr>
          <w:lang w:val="pl-PL"/>
        </w:rPr>
        <w:t>karnego przeciwko skarżącemu. W </w:t>
      </w:r>
      <w:r w:rsidR="00E95B67" w:rsidRPr="00FD65C9">
        <w:rPr>
          <w:lang w:val="pl-PL"/>
        </w:rPr>
        <w:t xml:space="preserve">sprawozdaniu stwierdzono, że organizacja FETÖ/PDY była inicjatorem próby zamachu stanu z </w:t>
      </w:r>
      <w:r w:rsidR="00E9793E">
        <w:rPr>
          <w:lang w:val="pl-PL"/>
        </w:rPr>
        <w:t xml:space="preserve">dnia </w:t>
      </w:r>
      <w:r w:rsidR="00E95B67" w:rsidRPr="00FD65C9">
        <w:rPr>
          <w:lang w:val="pl-PL"/>
        </w:rPr>
        <w:t xml:space="preserve">15 lipca 2016 r. i że prowadzone jest </w:t>
      </w:r>
      <w:r w:rsidR="00E9793E">
        <w:rPr>
          <w:lang w:val="pl-PL"/>
        </w:rPr>
        <w:t>postępowanie przygotowawcze</w:t>
      </w:r>
      <w:r w:rsidR="00E95B67" w:rsidRPr="00FD65C9">
        <w:rPr>
          <w:lang w:val="pl-PL"/>
        </w:rPr>
        <w:t xml:space="preserve"> przeciwko sędziom, uznawanym za członków tej struktury, którzy działali z jej rozkazów i zgodnie z jej instrukcjami. </w:t>
      </w:r>
      <w:r w:rsidR="00E9793E" w:rsidRPr="00FD65C9">
        <w:rPr>
          <w:lang w:val="pl-PL"/>
        </w:rPr>
        <w:t>Prokurat</w:t>
      </w:r>
      <w:r w:rsidR="00E9793E">
        <w:rPr>
          <w:lang w:val="pl-PL"/>
        </w:rPr>
        <w:t>or</w:t>
      </w:r>
      <w:r w:rsidR="00E9793E" w:rsidRPr="00FD65C9">
        <w:rPr>
          <w:lang w:val="pl-PL"/>
        </w:rPr>
        <w:t xml:space="preserve"> </w:t>
      </w:r>
      <w:r w:rsidR="00E95B67" w:rsidRPr="00FD65C9">
        <w:rPr>
          <w:lang w:val="pl-PL"/>
        </w:rPr>
        <w:t xml:space="preserve">podkreślił, że ryzyko zamachu stanu nie zostało całkowicie wykluczone i że w grę wchodził przypadek </w:t>
      </w:r>
      <w:r w:rsidR="00AD4D3A">
        <w:rPr>
          <w:i/>
          <w:iCs/>
          <w:lang w:val="pl-PL"/>
        </w:rPr>
        <w:t xml:space="preserve">in </w:t>
      </w:r>
      <w:proofErr w:type="spellStart"/>
      <w:r w:rsidR="00AD4D3A">
        <w:rPr>
          <w:i/>
          <w:iCs/>
          <w:lang w:val="pl-PL"/>
        </w:rPr>
        <w:t>flagrante</w:t>
      </w:r>
      <w:proofErr w:type="spellEnd"/>
      <w:r w:rsidR="00E95B67" w:rsidRPr="00FD65C9">
        <w:rPr>
          <w:i/>
          <w:iCs/>
          <w:lang w:val="pl-PL"/>
        </w:rPr>
        <w:t xml:space="preserve"> </w:t>
      </w:r>
      <w:proofErr w:type="spellStart"/>
      <w:r w:rsidR="00E95B67" w:rsidRPr="00FD65C9">
        <w:rPr>
          <w:i/>
          <w:iCs/>
          <w:lang w:val="pl-PL"/>
        </w:rPr>
        <w:t>delicto</w:t>
      </w:r>
      <w:proofErr w:type="spellEnd"/>
      <w:r w:rsidR="00E95B67" w:rsidRPr="00FD65C9">
        <w:rPr>
          <w:lang w:val="pl-PL"/>
        </w:rPr>
        <w:t xml:space="preserve"> podlegający jurysdykcji sądu przysięgłych, w związku z czym w dniu 16 lipca 2016 r. wszczęto przeciwko skarżącemu </w:t>
      </w:r>
      <w:r w:rsidR="00E9793E">
        <w:rPr>
          <w:lang w:val="pl-PL"/>
        </w:rPr>
        <w:t>postępowanie przygotowawcze</w:t>
      </w:r>
      <w:r w:rsidR="00E9793E" w:rsidRPr="00FD65C9">
        <w:rPr>
          <w:lang w:val="pl-PL"/>
        </w:rPr>
        <w:t xml:space="preserve"> </w:t>
      </w:r>
      <w:r w:rsidR="00E95B67" w:rsidRPr="00FD65C9">
        <w:rPr>
          <w:lang w:val="pl-PL"/>
        </w:rPr>
        <w:t xml:space="preserve">na podstawie przepisów prawa powszechnego. Uznał, że oświadczenia złożone przez anonimowych świadków i </w:t>
      </w:r>
      <w:r w:rsidR="00E9793E">
        <w:rPr>
          <w:lang w:val="pl-PL"/>
        </w:rPr>
        <w:t xml:space="preserve">wyjaśnienia </w:t>
      </w:r>
      <w:r w:rsidR="00E95B67" w:rsidRPr="00FD65C9">
        <w:rPr>
          <w:lang w:val="pl-PL"/>
        </w:rPr>
        <w:t xml:space="preserve">podejrzanych, treść wiadomości przekazywanych między innymi za pośrednictwem systemu komunikacyjnego </w:t>
      </w:r>
      <w:proofErr w:type="spellStart"/>
      <w:r w:rsidR="00E95B67" w:rsidRPr="00FD65C9">
        <w:rPr>
          <w:lang w:val="pl-PL"/>
        </w:rPr>
        <w:t>ByLock</w:t>
      </w:r>
      <w:proofErr w:type="spellEnd"/>
      <w:r w:rsidR="00E95B67" w:rsidRPr="00FD65C9">
        <w:rPr>
          <w:lang w:val="pl-PL"/>
        </w:rPr>
        <w:t xml:space="preserve"> oraz informacje dotyczące sygnałów telefonów komórkowych (zob. paragrafy 32–40 poniżej) wykazały, że skarżący popełnił przestępstwo </w:t>
      </w:r>
      <w:r w:rsidR="00E9793E">
        <w:rPr>
          <w:lang w:val="pl-PL"/>
        </w:rPr>
        <w:t xml:space="preserve">polegające na </w:t>
      </w:r>
      <w:r w:rsidR="00E95B67" w:rsidRPr="00FD65C9">
        <w:rPr>
          <w:lang w:val="pl-PL"/>
        </w:rPr>
        <w:t>przynależności do zbrojnej organizacji terrorystycznej.</w:t>
      </w:r>
    </w:p>
    <w:p w14:paraId="0E6A9B6E" w14:textId="77777777" w:rsidR="00E95B67" w:rsidRPr="00FD65C9" w:rsidRDefault="00E95B67" w:rsidP="00622760">
      <w:pPr>
        <w:pStyle w:val="ECHRHeading2"/>
        <w:rPr>
          <w:lang w:val="pl-PL"/>
        </w:rPr>
      </w:pPr>
      <w:r w:rsidRPr="00FD65C9">
        <w:rPr>
          <w:lang w:val="pl-PL"/>
        </w:rPr>
        <w:t>E. Indywidualna skarga do Trybunału Konstytucyjnego</w:t>
      </w:r>
    </w:p>
    <w:p w14:paraId="2AD98DB9" w14:textId="40FDCF75"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29</w:t>
      </w:r>
      <w:r w:rsidRPr="00FD65C9">
        <w:rPr>
          <w:lang w:val="pl-PL"/>
        </w:rPr>
        <w:fldChar w:fldCharType="end"/>
      </w:r>
      <w:r w:rsidR="00E95B67" w:rsidRPr="00FD65C9">
        <w:rPr>
          <w:lang w:val="pl-PL"/>
        </w:rPr>
        <w:t xml:space="preserve">.  W dniu 7 września 2016 r. skarżący </w:t>
      </w:r>
      <w:r w:rsidR="00E9793E">
        <w:rPr>
          <w:lang w:val="pl-PL"/>
        </w:rPr>
        <w:t>wniósł</w:t>
      </w:r>
      <w:r w:rsidR="00E95B67" w:rsidRPr="00FD65C9">
        <w:rPr>
          <w:lang w:val="pl-PL"/>
        </w:rPr>
        <w:t xml:space="preserve"> do </w:t>
      </w:r>
      <w:r w:rsidR="002964AD" w:rsidRPr="00FD65C9">
        <w:rPr>
          <w:lang w:val="pl-PL"/>
        </w:rPr>
        <w:t>T</w:t>
      </w:r>
      <w:r w:rsidR="002964AD">
        <w:rPr>
          <w:lang w:val="pl-PL"/>
        </w:rPr>
        <w:t xml:space="preserve">rybunału Konstytucyjnego </w:t>
      </w:r>
      <w:r w:rsidR="00E9793E">
        <w:rPr>
          <w:lang w:val="pl-PL"/>
        </w:rPr>
        <w:t>skargę indywidualną</w:t>
      </w:r>
      <w:r w:rsidR="00E95B67" w:rsidRPr="00FD65C9">
        <w:rPr>
          <w:lang w:val="pl-PL"/>
        </w:rPr>
        <w:t>. Zarzucił, że został zatrzymany i tymczasowo aresztowany w sposób arbitralny, jego zdaniem z narusz</w:t>
      </w:r>
      <w:r w:rsidR="008152F6" w:rsidRPr="00FD65C9">
        <w:rPr>
          <w:lang w:val="pl-PL"/>
        </w:rPr>
        <w:t>eniem odpowiednich przepisów, a </w:t>
      </w:r>
      <w:r w:rsidR="00E95B67" w:rsidRPr="00FD65C9">
        <w:rPr>
          <w:lang w:val="pl-PL"/>
        </w:rPr>
        <w:t>mianowicie ustawy nr 6216 o Trybunale Konstytucyjnym i regulaminu postępowania przed nim. Zarzucił również, że nie było konkretnych dowodów na istnienie uzasadnionyc</w:t>
      </w:r>
      <w:r w:rsidR="008152F6" w:rsidRPr="00FD65C9">
        <w:rPr>
          <w:lang w:val="pl-PL"/>
        </w:rPr>
        <w:t>h podstaw do podejrzewania go o </w:t>
      </w:r>
      <w:r w:rsidR="00E95B67" w:rsidRPr="00FD65C9">
        <w:rPr>
          <w:lang w:val="pl-PL"/>
        </w:rPr>
        <w:t xml:space="preserve">popełnienie przestępstwa, które wymagałoby </w:t>
      </w:r>
      <w:r w:rsidR="00E9793E">
        <w:rPr>
          <w:lang w:val="pl-PL"/>
        </w:rPr>
        <w:t>zastosowanie wobec niego tymczasowego aresztowania</w:t>
      </w:r>
      <w:r w:rsidR="00E95B67" w:rsidRPr="00FD65C9">
        <w:rPr>
          <w:lang w:val="pl-PL"/>
        </w:rPr>
        <w:t xml:space="preserve">. Twierdził również, że sądy krajowe nie uzasadniły w wystarczający sposób </w:t>
      </w:r>
      <w:r w:rsidR="00E9793E">
        <w:rPr>
          <w:lang w:val="pl-PL"/>
        </w:rPr>
        <w:t>postanowień o</w:t>
      </w:r>
      <w:r w:rsidR="00E95B67" w:rsidRPr="00FD65C9">
        <w:rPr>
          <w:lang w:val="pl-PL"/>
        </w:rPr>
        <w:t xml:space="preserve"> pozbawieni</w:t>
      </w:r>
      <w:r w:rsidR="00E9793E">
        <w:rPr>
          <w:lang w:val="pl-PL"/>
        </w:rPr>
        <w:t>u</w:t>
      </w:r>
      <w:r w:rsidR="00E95B67" w:rsidRPr="00FD65C9">
        <w:rPr>
          <w:lang w:val="pl-PL"/>
        </w:rPr>
        <w:t xml:space="preserve"> go wolności. Podniósł ponadto, że został </w:t>
      </w:r>
      <w:r w:rsidR="00E9793E">
        <w:rPr>
          <w:lang w:val="pl-PL"/>
        </w:rPr>
        <w:t>zatrzymany i tymczasowo aresztowany</w:t>
      </w:r>
      <w:r w:rsidR="00E95B67" w:rsidRPr="00FD65C9">
        <w:rPr>
          <w:lang w:val="pl-PL"/>
        </w:rPr>
        <w:t xml:space="preserve"> z powod</w:t>
      </w:r>
      <w:r w:rsidR="008152F6" w:rsidRPr="00FD65C9">
        <w:rPr>
          <w:lang w:val="pl-PL"/>
        </w:rPr>
        <w:t>ów innych niż te przewidziane w </w:t>
      </w:r>
      <w:r w:rsidR="00E95B67" w:rsidRPr="00FD65C9">
        <w:rPr>
          <w:lang w:val="pl-PL"/>
        </w:rPr>
        <w:t xml:space="preserve">Konstytucji. Zarzucił również brak niezależności i bezstronności sędziów pokoju, którzy </w:t>
      </w:r>
      <w:r w:rsidR="00E9793E">
        <w:rPr>
          <w:lang w:val="pl-PL"/>
        </w:rPr>
        <w:t>postanowili o zastosowaniu wobec niego</w:t>
      </w:r>
      <w:r w:rsidR="00E9793E" w:rsidRPr="00FD65C9">
        <w:rPr>
          <w:lang w:val="pl-PL"/>
        </w:rPr>
        <w:t xml:space="preserve"> </w:t>
      </w:r>
      <w:r w:rsidR="00E95B67" w:rsidRPr="00FD65C9">
        <w:rPr>
          <w:lang w:val="pl-PL"/>
        </w:rPr>
        <w:t>tymczasowe</w:t>
      </w:r>
      <w:r w:rsidR="00E9793E">
        <w:rPr>
          <w:lang w:val="pl-PL"/>
        </w:rPr>
        <w:t>go</w:t>
      </w:r>
      <w:r w:rsidR="00E95B67" w:rsidRPr="00FD65C9">
        <w:rPr>
          <w:lang w:val="pl-PL"/>
        </w:rPr>
        <w:t xml:space="preserve"> aresztowani</w:t>
      </w:r>
      <w:r w:rsidR="00E9793E">
        <w:rPr>
          <w:lang w:val="pl-PL"/>
        </w:rPr>
        <w:t>a</w:t>
      </w:r>
      <w:r w:rsidR="00E95B67" w:rsidRPr="00FD65C9">
        <w:rPr>
          <w:lang w:val="pl-PL"/>
        </w:rPr>
        <w:t xml:space="preserve">, jak również niezgodność warunków jego </w:t>
      </w:r>
      <w:r w:rsidR="00E9793E">
        <w:rPr>
          <w:lang w:val="pl-PL"/>
        </w:rPr>
        <w:t>izolacji</w:t>
      </w:r>
      <w:r w:rsidR="00E9793E" w:rsidRPr="00FD65C9">
        <w:rPr>
          <w:lang w:val="pl-PL"/>
        </w:rPr>
        <w:t xml:space="preserve"> </w:t>
      </w:r>
      <w:r w:rsidR="008152F6" w:rsidRPr="00FD65C9">
        <w:rPr>
          <w:lang w:val="pl-PL"/>
        </w:rPr>
        <w:t>z zakazem nieludzkiego i </w:t>
      </w:r>
      <w:r w:rsidR="00E95B67" w:rsidRPr="00FD65C9">
        <w:rPr>
          <w:lang w:val="pl-PL"/>
        </w:rPr>
        <w:t>poniżającego traktowania. Ponadto uznał, że jego odwołanie ze stanowiska i wszystkie podjęte wobec niego środki naruszyły jego prawa do rzetelnego procesu, do poszanowania życia prywatnego i mieszkania oraz do wolności wyrażania opinii, a także że stanowiły dyskryminację.</w:t>
      </w:r>
    </w:p>
    <w:p w14:paraId="771EC5F9" w14:textId="51166654"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30</w:t>
      </w:r>
      <w:r w:rsidRPr="00FD65C9">
        <w:rPr>
          <w:lang w:val="pl-PL"/>
        </w:rPr>
        <w:fldChar w:fldCharType="end"/>
      </w:r>
      <w:r w:rsidR="00E95B67" w:rsidRPr="00FD65C9">
        <w:rPr>
          <w:lang w:val="pl-PL"/>
        </w:rPr>
        <w:t xml:space="preserve">.  W dniu 11 stycznia 2018 </w:t>
      </w:r>
      <w:r w:rsidR="00E9793E" w:rsidRPr="00FD65C9">
        <w:rPr>
          <w:lang w:val="pl-PL"/>
        </w:rPr>
        <w:t>r</w:t>
      </w:r>
      <w:r w:rsidR="00E9793E">
        <w:rPr>
          <w:lang w:val="pl-PL"/>
        </w:rPr>
        <w:t>.</w:t>
      </w:r>
      <w:r w:rsidR="00E9793E" w:rsidRPr="00FD65C9">
        <w:rPr>
          <w:lang w:val="pl-PL"/>
        </w:rPr>
        <w:t xml:space="preserve"> </w:t>
      </w:r>
      <w:r w:rsidR="001A07B1">
        <w:rPr>
          <w:lang w:val="pl-PL"/>
        </w:rPr>
        <w:t>TK</w:t>
      </w:r>
      <w:r w:rsidR="00E95B67" w:rsidRPr="00FD65C9">
        <w:rPr>
          <w:lang w:val="pl-PL"/>
        </w:rPr>
        <w:t xml:space="preserve"> wydał wyrok (nr 2016/1</w:t>
      </w:r>
      <w:r w:rsidR="008152F6" w:rsidRPr="00FD65C9">
        <w:rPr>
          <w:lang w:val="pl-PL"/>
        </w:rPr>
        <w:t>5586), w </w:t>
      </w:r>
      <w:r w:rsidR="00E95B67" w:rsidRPr="00FD65C9">
        <w:rPr>
          <w:lang w:val="pl-PL"/>
        </w:rPr>
        <w:t>którym jednogłośnie postanowił odrz</w:t>
      </w:r>
      <w:r w:rsidR="008152F6" w:rsidRPr="00FD65C9">
        <w:rPr>
          <w:lang w:val="pl-PL"/>
        </w:rPr>
        <w:t xml:space="preserve">ucić następujące zarzuty jako </w:t>
      </w:r>
      <w:r w:rsidR="00E9793E">
        <w:rPr>
          <w:lang w:val="pl-PL"/>
        </w:rPr>
        <w:t>oczywiście</w:t>
      </w:r>
      <w:r w:rsidR="00E95B67" w:rsidRPr="00FD65C9">
        <w:rPr>
          <w:lang w:val="pl-PL"/>
        </w:rPr>
        <w:t xml:space="preserve"> nieuzasadnione: zarzut dotyczący prawidłowości zastosowania środka </w:t>
      </w:r>
      <w:r w:rsidR="00A954CC" w:rsidRPr="00FD65C9">
        <w:rPr>
          <w:lang w:val="pl-PL"/>
        </w:rPr>
        <w:t>za</w:t>
      </w:r>
      <w:r w:rsidR="00A954CC">
        <w:rPr>
          <w:lang w:val="pl-PL"/>
        </w:rPr>
        <w:t>pobiegawczego</w:t>
      </w:r>
      <w:r w:rsidR="00A954CC" w:rsidRPr="00FD65C9">
        <w:rPr>
          <w:lang w:val="pl-PL"/>
        </w:rPr>
        <w:t xml:space="preserve"> </w:t>
      </w:r>
      <w:r w:rsidR="00E95B67" w:rsidRPr="00FD65C9">
        <w:rPr>
          <w:lang w:val="pl-PL"/>
        </w:rPr>
        <w:t xml:space="preserve">i braku wiarygodnych powodów uzasadniających jego zastosowanie; zarzut braku niezależności i bezstronności sędziów pokoju, którzy </w:t>
      </w:r>
      <w:r w:rsidR="00A954CC">
        <w:rPr>
          <w:lang w:val="pl-PL"/>
        </w:rPr>
        <w:t>postanowili o zastosowaniu</w:t>
      </w:r>
      <w:r w:rsidR="00A954CC" w:rsidRPr="00FD65C9">
        <w:rPr>
          <w:lang w:val="pl-PL"/>
        </w:rPr>
        <w:t xml:space="preserve"> </w:t>
      </w:r>
      <w:r w:rsidR="00E95B67" w:rsidRPr="00FD65C9">
        <w:rPr>
          <w:lang w:val="pl-PL"/>
        </w:rPr>
        <w:t>tymczasowe</w:t>
      </w:r>
      <w:r w:rsidR="00A954CC">
        <w:rPr>
          <w:lang w:val="pl-PL"/>
        </w:rPr>
        <w:t>go</w:t>
      </w:r>
      <w:r w:rsidR="00E95B67" w:rsidRPr="00FD65C9">
        <w:rPr>
          <w:lang w:val="pl-PL"/>
        </w:rPr>
        <w:t xml:space="preserve"> aresztowani</w:t>
      </w:r>
      <w:r w:rsidR="00A954CC">
        <w:rPr>
          <w:lang w:val="pl-PL"/>
        </w:rPr>
        <w:t>a wobec</w:t>
      </w:r>
      <w:r w:rsidR="00E95B67" w:rsidRPr="00FD65C9">
        <w:rPr>
          <w:lang w:val="pl-PL"/>
        </w:rPr>
        <w:t xml:space="preserve"> skarżącego; oraz zarzuty dotyczące prawa do rzetelnego procesu sądowego, jak również prawa do </w:t>
      </w:r>
      <w:r w:rsidR="008152F6" w:rsidRPr="00FD65C9">
        <w:rPr>
          <w:lang w:val="pl-PL"/>
        </w:rPr>
        <w:t>poszanowania życia prywatnego i </w:t>
      </w:r>
      <w:r w:rsidR="00E95B67" w:rsidRPr="00FD65C9">
        <w:rPr>
          <w:lang w:val="pl-PL"/>
        </w:rPr>
        <w:t>mieszkania oraz zakazu dyskryminacji.</w:t>
      </w:r>
    </w:p>
    <w:p w14:paraId="729DE481" w14:textId="20B0AE58" w:rsidR="00E95B67" w:rsidRPr="00FD65C9" w:rsidRDefault="00E95B67" w:rsidP="00622760">
      <w:pPr>
        <w:pStyle w:val="ECHRPara"/>
        <w:rPr>
          <w:lang w:val="pl-PL"/>
        </w:rPr>
      </w:pPr>
      <w:r w:rsidRPr="00FD65C9">
        <w:rPr>
          <w:lang w:val="pl-PL"/>
        </w:rPr>
        <w:t xml:space="preserve">W odniesieniu do skargi na legalność pozbawienia skarżącego wolności, </w:t>
      </w:r>
      <w:r w:rsidR="001A07B1">
        <w:rPr>
          <w:lang w:val="pl-PL"/>
        </w:rPr>
        <w:t>TK</w:t>
      </w:r>
      <w:r w:rsidRPr="00FD65C9">
        <w:rPr>
          <w:lang w:val="pl-PL"/>
        </w:rPr>
        <w:t xml:space="preserve"> zauważył, że skarżący </w:t>
      </w:r>
      <w:r w:rsidR="00A954CC">
        <w:rPr>
          <w:lang w:val="pl-PL"/>
        </w:rPr>
        <w:t>powinien był</w:t>
      </w:r>
      <w:r w:rsidRPr="00FD65C9">
        <w:rPr>
          <w:lang w:val="pl-PL"/>
        </w:rPr>
        <w:t xml:space="preserve"> </w:t>
      </w:r>
      <w:r w:rsidR="00A954CC" w:rsidRPr="00FD65C9">
        <w:rPr>
          <w:lang w:val="pl-PL"/>
        </w:rPr>
        <w:t>wnie</w:t>
      </w:r>
      <w:r w:rsidR="00A954CC">
        <w:rPr>
          <w:lang w:val="pl-PL"/>
        </w:rPr>
        <w:t>ść</w:t>
      </w:r>
      <w:r w:rsidR="00A954CC" w:rsidRPr="00FD65C9">
        <w:rPr>
          <w:lang w:val="pl-PL"/>
        </w:rPr>
        <w:t xml:space="preserve"> </w:t>
      </w:r>
      <w:r w:rsidRPr="00FD65C9">
        <w:rPr>
          <w:lang w:val="pl-PL"/>
        </w:rPr>
        <w:t xml:space="preserve">skargi na podstawie art. 141 § 1 lit. a kpk, ale tego nie uczynił. </w:t>
      </w:r>
      <w:r w:rsidR="001A07B1">
        <w:rPr>
          <w:lang w:val="pl-PL"/>
        </w:rPr>
        <w:t>U</w:t>
      </w:r>
      <w:r w:rsidRPr="00FD65C9">
        <w:rPr>
          <w:lang w:val="pl-PL"/>
        </w:rPr>
        <w:t>znał, że to samo odnosi się do zarzutów dotyczących odwołania skarżącego ze stanowiska. Ponadto zauważył, że przedłożone przez skarżącego akta i załączniki do nich nie zawierały informacji, czy z</w:t>
      </w:r>
      <w:r w:rsidR="00A954CC">
        <w:rPr>
          <w:lang w:val="pl-PL"/>
        </w:rPr>
        <w:t xml:space="preserve">askarżył on postanowienie o </w:t>
      </w:r>
      <w:r w:rsidR="008F5D4A">
        <w:rPr>
          <w:lang w:val="pl-PL"/>
        </w:rPr>
        <w:t>zastosowaniu</w:t>
      </w:r>
      <w:r w:rsidR="00A954CC">
        <w:rPr>
          <w:lang w:val="pl-PL"/>
        </w:rPr>
        <w:t xml:space="preserve"> tymczasowego aresztowania</w:t>
      </w:r>
      <w:r w:rsidRPr="00FD65C9">
        <w:rPr>
          <w:lang w:val="pl-PL"/>
        </w:rPr>
        <w:t xml:space="preserve"> na podstawie art. 91 § 5 kpk. W związku z tym </w:t>
      </w:r>
      <w:r w:rsidR="001A07B1">
        <w:rPr>
          <w:lang w:val="pl-PL"/>
        </w:rPr>
        <w:t>TK</w:t>
      </w:r>
      <w:r w:rsidRPr="00FD65C9">
        <w:rPr>
          <w:lang w:val="pl-PL"/>
        </w:rPr>
        <w:t xml:space="preserve"> uznał te skargi za niedopuszczalne z powodu niewyczerpania środków odwoławczych.</w:t>
      </w:r>
    </w:p>
    <w:p w14:paraId="2E541D3A" w14:textId="20FC0357"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31</w:t>
      </w:r>
      <w:r w:rsidRPr="00FD65C9">
        <w:rPr>
          <w:lang w:val="pl-PL"/>
        </w:rPr>
        <w:fldChar w:fldCharType="end"/>
      </w:r>
      <w:r w:rsidR="00E95B67" w:rsidRPr="00FD65C9">
        <w:rPr>
          <w:lang w:val="pl-PL"/>
        </w:rPr>
        <w:t xml:space="preserve">.  W swoim wyroku </w:t>
      </w:r>
      <w:r w:rsidR="001A07B1">
        <w:rPr>
          <w:lang w:val="pl-PL"/>
        </w:rPr>
        <w:t>TK</w:t>
      </w:r>
      <w:r w:rsidR="00E95B67" w:rsidRPr="00FD65C9">
        <w:rPr>
          <w:lang w:val="pl-PL"/>
        </w:rPr>
        <w:t xml:space="preserve">, </w:t>
      </w:r>
      <w:r w:rsidR="00E95B67" w:rsidRPr="00FD65C9">
        <w:rPr>
          <w:rFonts w:ascii="Times New Roman" w:hAnsi="Times New Roman"/>
          <w:lang w:val="pl-PL"/>
        </w:rPr>
        <w:t>po opisaniu cech organizacji FETÖ/PDY i jej struktur ukrytych w sądownictwie</w:t>
      </w:r>
      <w:r w:rsidR="00E95B67" w:rsidRPr="00FD65C9">
        <w:rPr>
          <w:lang w:val="pl-PL"/>
        </w:rPr>
        <w:t xml:space="preserve">, najpierw podsumował dowody zebrane przez prokuraturę w Ankarze (1), a następnie </w:t>
      </w:r>
      <w:r w:rsidR="00A954CC">
        <w:rPr>
          <w:lang w:val="pl-PL"/>
        </w:rPr>
        <w:t>rozstrzygnął o</w:t>
      </w:r>
      <w:r w:rsidR="00E95B67" w:rsidRPr="00FD65C9">
        <w:rPr>
          <w:lang w:val="pl-PL"/>
        </w:rPr>
        <w:t xml:space="preserve"> </w:t>
      </w:r>
      <w:r w:rsidR="00A954CC" w:rsidRPr="00FD65C9">
        <w:rPr>
          <w:lang w:val="pl-PL"/>
        </w:rPr>
        <w:t>zarzut</w:t>
      </w:r>
      <w:r w:rsidR="00A954CC">
        <w:rPr>
          <w:lang w:val="pl-PL"/>
        </w:rPr>
        <w:t>ach</w:t>
      </w:r>
      <w:r w:rsidR="00A954CC" w:rsidRPr="00FD65C9">
        <w:rPr>
          <w:lang w:val="pl-PL"/>
        </w:rPr>
        <w:t xml:space="preserve"> </w:t>
      </w:r>
      <w:r w:rsidR="00E95B67" w:rsidRPr="00FD65C9">
        <w:rPr>
          <w:lang w:val="pl-PL"/>
        </w:rPr>
        <w:t xml:space="preserve">dotyczących legalności </w:t>
      </w:r>
      <w:r w:rsidR="00A954CC">
        <w:rPr>
          <w:lang w:val="pl-PL"/>
        </w:rPr>
        <w:t>zastosowania tymczasowego aresztowania</w:t>
      </w:r>
      <w:r w:rsidR="00E95B67" w:rsidRPr="00FD65C9">
        <w:rPr>
          <w:lang w:val="pl-PL"/>
        </w:rPr>
        <w:t xml:space="preserve"> i </w:t>
      </w:r>
      <w:r w:rsidR="00A954CC">
        <w:rPr>
          <w:lang w:val="pl-PL"/>
        </w:rPr>
        <w:t>zarzucanego</w:t>
      </w:r>
      <w:r w:rsidR="00A954CC" w:rsidRPr="00FD65C9">
        <w:rPr>
          <w:lang w:val="pl-PL"/>
        </w:rPr>
        <w:t xml:space="preserve"> </w:t>
      </w:r>
      <w:r w:rsidR="00E95B67" w:rsidRPr="00FD65C9">
        <w:rPr>
          <w:lang w:val="pl-PL"/>
        </w:rPr>
        <w:t>braku uzasadnionych powodów jego zastosowania (2).</w:t>
      </w:r>
    </w:p>
    <w:p w14:paraId="6BF2175B" w14:textId="77777777" w:rsidR="00E95B67" w:rsidRPr="00FD65C9" w:rsidRDefault="00E95B67" w:rsidP="00622760">
      <w:pPr>
        <w:pStyle w:val="ECHRHeading3"/>
        <w:rPr>
          <w:lang w:val="pl-PL"/>
        </w:rPr>
      </w:pPr>
      <w:r w:rsidRPr="00FD65C9">
        <w:rPr>
          <w:bCs w:val="0"/>
          <w:iCs/>
          <w:lang w:val="pl-PL"/>
        </w:rPr>
        <w:t>1.  Dowody</w:t>
      </w:r>
    </w:p>
    <w:p w14:paraId="4176DD5E" w14:textId="749E58F1"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32</w:t>
      </w:r>
      <w:r w:rsidRPr="00FD65C9">
        <w:rPr>
          <w:lang w:val="pl-PL"/>
        </w:rPr>
        <w:fldChar w:fldCharType="end"/>
      </w:r>
      <w:r w:rsidR="00E95B67" w:rsidRPr="00FD65C9">
        <w:rPr>
          <w:lang w:val="pl-PL"/>
        </w:rPr>
        <w:t xml:space="preserve">.  Z wyroku </w:t>
      </w:r>
      <w:r w:rsidR="001A07B1">
        <w:rPr>
          <w:lang w:val="pl-PL"/>
        </w:rPr>
        <w:t>TK</w:t>
      </w:r>
      <w:r w:rsidR="00E95B67" w:rsidRPr="00FD65C9">
        <w:rPr>
          <w:lang w:val="pl-PL"/>
        </w:rPr>
        <w:t xml:space="preserve"> wynika, że zarzut, wedle którego skarżący dobrowolnie przy</w:t>
      </w:r>
      <w:r w:rsidR="000E5DD7">
        <w:rPr>
          <w:lang w:val="pl-PL"/>
        </w:rPr>
        <w:t xml:space="preserve">stąpił do </w:t>
      </w:r>
      <w:r w:rsidR="00E95B67" w:rsidRPr="00FD65C9">
        <w:rPr>
          <w:lang w:val="pl-PL"/>
        </w:rPr>
        <w:t>działającej w sądownictwie sekcji organizacji FETÖ/PDY, został oparty na następujących faktach i dowodach:</w:t>
      </w:r>
    </w:p>
    <w:p w14:paraId="08173ACA" w14:textId="77777777" w:rsidR="00E95B67" w:rsidRPr="00FD65C9" w:rsidRDefault="008D7992" w:rsidP="00622760">
      <w:pPr>
        <w:pStyle w:val="ECHRPara"/>
        <w:rPr>
          <w:lang w:val="pl-PL"/>
        </w:rPr>
      </w:pPr>
      <w:r w:rsidRPr="00FD65C9">
        <w:rPr>
          <w:lang w:val="pl-PL"/>
        </w:rPr>
        <w:t>a) zeznania anonimowych świadków;</w:t>
      </w:r>
    </w:p>
    <w:p w14:paraId="7E37107A" w14:textId="48D2FAC6" w:rsidR="00E95B67" w:rsidRPr="00FD65C9" w:rsidRDefault="008D7992" w:rsidP="00622760">
      <w:pPr>
        <w:pStyle w:val="ECHRPara"/>
        <w:rPr>
          <w:lang w:val="pl-PL"/>
        </w:rPr>
      </w:pPr>
      <w:r w:rsidRPr="00FD65C9">
        <w:rPr>
          <w:lang w:val="pl-PL"/>
        </w:rPr>
        <w:t xml:space="preserve">b) </w:t>
      </w:r>
      <w:r w:rsidR="000E5DD7">
        <w:rPr>
          <w:lang w:val="pl-PL"/>
        </w:rPr>
        <w:t>wyjaśnienia</w:t>
      </w:r>
      <w:r w:rsidR="000E5DD7" w:rsidRPr="00FD65C9">
        <w:rPr>
          <w:lang w:val="pl-PL"/>
        </w:rPr>
        <w:t xml:space="preserve"> </w:t>
      </w:r>
      <w:r w:rsidRPr="00FD65C9">
        <w:rPr>
          <w:lang w:val="pl-PL"/>
        </w:rPr>
        <w:t>podejrzanego;</w:t>
      </w:r>
    </w:p>
    <w:p w14:paraId="218001E5" w14:textId="77777777" w:rsidR="00E95B67" w:rsidRPr="00FD65C9" w:rsidRDefault="008D7992" w:rsidP="00622760">
      <w:pPr>
        <w:pStyle w:val="ECHRPara"/>
        <w:rPr>
          <w:lang w:val="pl-PL"/>
        </w:rPr>
      </w:pPr>
      <w:r w:rsidRPr="00FD65C9">
        <w:rPr>
          <w:lang w:val="pl-PL"/>
        </w:rPr>
        <w:t xml:space="preserve">c) wymiana wiadomości za pośrednictwem </w:t>
      </w:r>
      <w:proofErr w:type="spellStart"/>
      <w:r w:rsidRPr="00FD65C9">
        <w:rPr>
          <w:lang w:val="pl-PL"/>
        </w:rPr>
        <w:t>ByLock</w:t>
      </w:r>
      <w:proofErr w:type="spellEnd"/>
      <w:r w:rsidRPr="00FD65C9">
        <w:rPr>
          <w:lang w:val="pl-PL"/>
        </w:rPr>
        <w:t>;</w:t>
      </w:r>
    </w:p>
    <w:p w14:paraId="46D5857C" w14:textId="77777777" w:rsidR="00E95B67" w:rsidRPr="00FD65C9" w:rsidRDefault="008D7992" w:rsidP="00622760">
      <w:pPr>
        <w:pStyle w:val="ECHRPara"/>
        <w:rPr>
          <w:lang w:val="pl-PL"/>
        </w:rPr>
      </w:pPr>
      <w:r w:rsidRPr="00FD65C9">
        <w:rPr>
          <w:lang w:val="pl-PL"/>
        </w:rPr>
        <w:t>d) inne okoliczności faktyczne.</w:t>
      </w:r>
    </w:p>
    <w:p w14:paraId="086EB0FB" w14:textId="77777777" w:rsidR="00E95B67" w:rsidRPr="00FD65C9" w:rsidRDefault="00E95B67" w:rsidP="00622760">
      <w:pPr>
        <w:pStyle w:val="ECHRPara"/>
        <w:rPr>
          <w:lang w:val="pl-PL"/>
        </w:rPr>
      </w:pPr>
      <w:r w:rsidRPr="00FD65C9">
        <w:rPr>
          <w:lang w:val="pl-PL"/>
        </w:rPr>
        <w:t>Dowody te można podsumować w następujący sposób:</w:t>
      </w:r>
    </w:p>
    <w:p w14:paraId="198832E0" w14:textId="77777777" w:rsidR="00E95B67" w:rsidRPr="00FD65C9" w:rsidRDefault="00E95B67" w:rsidP="00622760">
      <w:pPr>
        <w:pStyle w:val="ECHRHeading4"/>
        <w:rPr>
          <w:lang w:val="pl-PL"/>
        </w:rPr>
      </w:pPr>
      <w:r w:rsidRPr="00FD65C9">
        <w:rPr>
          <w:iCs w:val="0"/>
          <w:lang w:val="pl-PL"/>
        </w:rPr>
        <w:t>a) Zeznania anonimowych świadków</w:t>
      </w:r>
    </w:p>
    <w:p w14:paraId="19147CDD" w14:textId="155BB7E0"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33</w:t>
      </w:r>
      <w:r w:rsidRPr="00FD65C9">
        <w:rPr>
          <w:lang w:val="pl-PL"/>
        </w:rPr>
        <w:fldChar w:fldCharType="end"/>
      </w:r>
      <w:r w:rsidR="00E95B67" w:rsidRPr="00FD65C9">
        <w:rPr>
          <w:lang w:val="pl-PL"/>
        </w:rPr>
        <w:t>.  Anonimowy świadek „</w:t>
      </w:r>
      <w:proofErr w:type="spellStart"/>
      <w:r w:rsidR="00E95B67" w:rsidRPr="00FD65C9">
        <w:rPr>
          <w:lang w:val="pl-PL"/>
        </w:rPr>
        <w:t>D</w:t>
      </w:r>
      <w:r w:rsidR="008152F6" w:rsidRPr="00FD65C9">
        <w:rPr>
          <w:lang w:val="pl-PL"/>
        </w:rPr>
        <w:t>efne</w:t>
      </w:r>
      <w:proofErr w:type="spellEnd"/>
      <w:r w:rsidR="008152F6" w:rsidRPr="00FD65C9">
        <w:rPr>
          <w:lang w:val="pl-PL"/>
        </w:rPr>
        <w:t xml:space="preserve">” złożył </w:t>
      </w:r>
      <w:r w:rsidR="000E5DD7">
        <w:rPr>
          <w:lang w:val="pl-PL"/>
        </w:rPr>
        <w:t>zeznania</w:t>
      </w:r>
      <w:r w:rsidR="008152F6" w:rsidRPr="00FD65C9">
        <w:rPr>
          <w:lang w:val="pl-PL"/>
        </w:rPr>
        <w:t xml:space="preserve"> </w:t>
      </w:r>
      <w:r w:rsidR="000E5DD7">
        <w:rPr>
          <w:lang w:val="pl-PL"/>
        </w:rPr>
        <w:t>przed</w:t>
      </w:r>
      <w:r w:rsidR="008152F6" w:rsidRPr="00FD65C9">
        <w:rPr>
          <w:lang w:val="pl-PL"/>
        </w:rPr>
        <w:t> </w:t>
      </w:r>
      <w:r w:rsidR="000E5DD7" w:rsidRPr="00FD65C9">
        <w:rPr>
          <w:lang w:val="pl-PL"/>
        </w:rPr>
        <w:t>prokurat</w:t>
      </w:r>
      <w:r w:rsidR="000E5DD7">
        <w:rPr>
          <w:lang w:val="pl-PL"/>
        </w:rPr>
        <w:t xml:space="preserve">orami </w:t>
      </w:r>
      <w:r w:rsidR="00E95B67" w:rsidRPr="00FD65C9">
        <w:rPr>
          <w:lang w:val="pl-PL"/>
        </w:rPr>
        <w:t xml:space="preserve">w </w:t>
      </w:r>
      <w:proofErr w:type="spellStart"/>
      <w:r w:rsidR="00E95B67" w:rsidRPr="00FD65C9">
        <w:rPr>
          <w:lang w:val="pl-PL"/>
        </w:rPr>
        <w:t>Kahramanmaras</w:t>
      </w:r>
      <w:proofErr w:type="spellEnd"/>
      <w:r w:rsidR="00E95B67" w:rsidRPr="00FD65C9">
        <w:rPr>
          <w:lang w:val="pl-PL"/>
        </w:rPr>
        <w:t xml:space="preserve"> i Ankarze.</w:t>
      </w:r>
    </w:p>
    <w:p w14:paraId="4206FAAF" w14:textId="77777777" w:rsidR="00E95B67" w:rsidRPr="00FD65C9" w:rsidRDefault="00E95B67" w:rsidP="00622760">
      <w:pPr>
        <w:pStyle w:val="ECHRPara"/>
        <w:rPr>
          <w:lang w:val="pl-PL"/>
        </w:rPr>
      </w:pPr>
      <w:r w:rsidRPr="00FD65C9">
        <w:rPr>
          <w:lang w:val="pl-PL"/>
        </w:rPr>
        <w:t>W swoich zeznaniach z dnia 4 sierpnia 2016 r. świadek ten wyraził się następująco:</w:t>
      </w:r>
    </w:p>
    <w:p w14:paraId="20CBE198" w14:textId="13172C75" w:rsidR="00E95B67" w:rsidRPr="00FD65C9" w:rsidRDefault="00E95B67" w:rsidP="00622760">
      <w:pPr>
        <w:pStyle w:val="ECHRParaQuote"/>
        <w:rPr>
          <w:lang w:val="pl-PL"/>
        </w:rPr>
      </w:pPr>
      <w:r w:rsidRPr="00FD65C9">
        <w:rPr>
          <w:lang w:val="pl-PL"/>
        </w:rPr>
        <w:t xml:space="preserve">„[...] Zostałem powołany na stanowisko sprawozdawcy </w:t>
      </w:r>
      <w:r w:rsidR="0030699F">
        <w:rPr>
          <w:lang w:val="pl-PL"/>
        </w:rPr>
        <w:t>w</w:t>
      </w:r>
      <w:r w:rsidRPr="00FD65C9">
        <w:rPr>
          <w:lang w:val="pl-PL"/>
        </w:rPr>
        <w:t xml:space="preserve"> </w:t>
      </w:r>
      <w:r w:rsidR="001A07B1">
        <w:rPr>
          <w:lang w:val="pl-PL"/>
        </w:rPr>
        <w:t>TK</w:t>
      </w:r>
      <w:r w:rsidRPr="00FD65C9">
        <w:rPr>
          <w:lang w:val="pl-PL"/>
        </w:rPr>
        <w:t xml:space="preserve">. Kiedy pracowałem w </w:t>
      </w:r>
      <w:r w:rsidR="001A07B1">
        <w:rPr>
          <w:lang w:val="pl-PL"/>
        </w:rPr>
        <w:t>TK</w:t>
      </w:r>
      <w:r w:rsidRPr="00FD65C9">
        <w:rPr>
          <w:lang w:val="pl-PL"/>
        </w:rPr>
        <w:t xml:space="preserve">, nadal spotykaliśmy się z przyjaciółmi, którzy byli członkami tej struktury [organizacji FETÖ/PDY] [...]. Tam zauważyłem, że niektóre akta były monitorowane [...]. Niektóre praktyki zwróciły moją uwagę; na przykład skargi dotyczące progu wyborczego i finansowania partii politycznych [...] były monitorowane przez sprawozdawców i członków [Trybunału Konstytucyjnego] należących do organizacji FETÖ/PDY. Po wprowadzeniu odwołań [ci sprawozdawcy i członkowie </w:t>
      </w:r>
      <w:r w:rsidR="001A07B1">
        <w:rPr>
          <w:lang w:val="pl-PL"/>
        </w:rPr>
        <w:t>TK</w:t>
      </w:r>
      <w:r w:rsidRPr="00FD65C9">
        <w:rPr>
          <w:lang w:val="pl-PL"/>
        </w:rPr>
        <w:t xml:space="preserve">] zaczęli śledzić te sprawy, zadając pytania o ich wynik. Śledzącymi te sprawy byli </w:t>
      </w:r>
      <w:proofErr w:type="spellStart"/>
      <w:r w:rsidRPr="00FD65C9">
        <w:rPr>
          <w:lang w:val="pl-PL"/>
        </w:rPr>
        <w:t>Alparslan</w:t>
      </w:r>
      <w:proofErr w:type="spellEnd"/>
      <w:r w:rsidRPr="00FD65C9">
        <w:rPr>
          <w:lang w:val="pl-PL"/>
        </w:rPr>
        <w:t xml:space="preserve"> Altan, który był mentorem, oraz główni sprawozdawcy należący do tej struktury. Pamiętam, że </w:t>
      </w:r>
      <w:proofErr w:type="spellStart"/>
      <w:r w:rsidRPr="00FD65C9">
        <w:rPr>
          <w:lang w:val="pl-PL"/>
        </w:rPr>
        <w:t>Alparslan</w:t>
      </w:r>
      <w:proofErr w:type="spellEnd"/>
      <w:r w:rsidRPr="00FD65C9">
        <w:rPr>
          <w:lang w:val="pl-PL"/>
        </w:rPr>
        <w:t xml:space="preserve"> Altan pisał opinię rozbieżną, gdy nie przyjęto jakiegoś </w:t>
      </w:r>
      <w:r w:rsidR="0030699F">
        <w:rPr>
          <w:lang w:val="pl-PL"/>
        </w:rPr>
        <w:t>orzeczenia</w:t>
      </w:r>
      <w:r w:rsidRPr="00FD65C9">
        <w:rPr>
          <w:lang w:val="pl-PL"/>
        </w:rPr>
        <w:t xml:space="preserve"> [w sposób, w jaki on chciał]”.</w:t>
      </w:r>
    </w:p>
    <w:p w14:paraId="489A4BC6" w14:textId="77777777" w:rsidR="00E95B67" w:rsidRPr="00FD65C9" w:rsidRDefault="00E95B67" w:rsidP="00622760">
      <w:pPr>
        <w:pStyle w:val="ECHRPara"/>
        <w:rPr>
          <w:lang w:val="pl-PL"/>
        </w:rPr>
      </w:pPr>
      <w:r w:rsidRPr="00FD65C9">
        <w:rPr>
          <w:lang w:val="pl-PL"/>
        </w:rPr>
        <w:t>W zeznaniach z dnia 6 października 2016 r. ten sam świadek podał, co następuje:</w:t>
      </w:r>
    </w:p>
    <w:p w14:paraId="6259D6AD" w14:textId="7E953952" w:rsidR="00E95B67" w:rsidRPr="00FD65C9" w:rsidRDefault="00E95B67" w:rsidP="00622760">
      <w:pPr>
        <w:pStyle w:val="ECHRParaQuote"/>
        <w:rPr>
          <w:lang w:val="pl-PL"/>
        </w:rPr>
      </w:pPr>
      <w:r w:rsidRPr="00FD65C9">
        <w:rPr>
          <w:lang w:val="pl-PL"/>
        </w:rPr>
        <w:t xml:space="preserve">„Na podstawie moich obserwacji, relacji, jakie utrzymywałem w okresie mojej pracy dla </w:t>
      </w:r>
      <w:r w:rsidR="001A07B1">
        <w:rPr>
          <w:lang w:val="pl-PL"/>
        </w:rPr>
        <w:t>TK</w:t>
      </w:r>
      <w:r w:rsidR="002964AD" w:rsidRPr="00FD65C9">
        <w:rPr>
          <w:lang w:val="pl-PL"/>
        </w:rPr>
        <w:t xml:space="preserve"> </w:t>
      </w:r>
      <w:r w:rsidRPr="00FD65C9">
        <w:rPr>
          <w:lang w:val="pl-PL"/>
        </w:rPr>
        <w:t xml:space="preserve">jako sprawozdawca, oraz na podstawie słów i zachowań znanych mi sprawozdawców, którzy należą do tej struktury, mogę powiedzieć, że były członek </w:t>
      </w:r>
      <w:r w:rsidR="001A07B1">
        <w:rPr>
          <w:lang w:val="pl-PL"/>
        </w:rPr>
        <w:t>TK</w:t>
      </w:r>
      <w:r w:rsidR="002964AD" w:rsidRPr="00FD65C9">
        <w:rPr>
          <w:lang w:val="pl-PL"/>
        </w:rPr>
        <w:t xml:space="preserve"> </w:t>
      </w:r>
      <w:r w:rsidRPr="00FD65C9">
        <w:rPr>
          <w:lang w:val="pl-PL"/>
        </w:rPr>
        <w:t xml:space="preserve">i sprawozdawca </w:t>
      </w:r>
      <w:proofErr w:type="spellStart"/>
      <w:r w:rsidRPr="00FD65C9">
        <w:rPr>
          <w:lang w:val="pl-PL"/>
        </w:rPr>
        <w:t>Alparslan</w:t>
      </w:r>
      <w:proofErr w:type="spellEnd"/>
      <w:r w:rsidRPr="00FD65C9">
        <w:rPr>
          <w:lang w:val="pl-PL"/>
        </w:rPr>
        <w:t xml:space="preserve"> Altan był członkiem </w:t>
      </w:r>
      <w:proofErr w:type="spellStart"/>
      <w:r w:rsidRPr="00FD65C9">
        <w:rPr>
          <w:i/>
          <w:iCs/>
          <w:lang w:val="pl-PL"/>
        </w:rPr>
        <w:t>cemaat</w:t>
      </w:r>
      <w:proofErr w:type="spellEnd"/>
      <w:r w:rsidRPr="00FD65C9">
        <w:rPr>
          <w:lang w:val="pl-PL"/>
        </w:rPr>
        <w:t xml:space="preserve"> [dosłownie termin „</w:t>
      </w:r>
      <w:proofErr w:type="spellStart"/>
      <w:r w:rsidRPr="00FD65C9">
        <w:rPr>
          <w:lang w:val="pl-PL"/>
        </w:rPr>
        <w:t>cemaat</w:t>
      </w:r>
      <w:proofErr w:type="spellEnd"/>
      <w:r w:rsidRPr="00FD65C9">
        <w:rPr>
          <w:lang w:val="pl-PL"/>
        </w:rPr>
        <w:t>” oznacza „wspólnotę”; jednak w czasie okolicznośc</w:t>
      </w:r>
      <w:r w:rsidR="008152F6" w:rsidRPr="00FD65C9">
        <w:rPr>
          <w:lang w:val="pl-PL"/>
        </w:rPr>
        <w:t>i faktycznych w </w:t>
      </w:r>
      <w:r w:rsidRPr="00FD65C9">
        <w:rPr>
          <w:lang w:val="pl-PL"/>
        </w:rPr>
        <w:t xml:space="preserve">niniejszej sprawie termin ten był powszechnie używany w odniesieniu do zwolenników </w:t>
      </w:r>
      <w:proofErr w:type="spellStart"/>
      <w:r w:rsidRPr="00FD65C9">
        <w:rPr>
          <w:lang w:val="pl-PL"/>
        </w:rPr>
        <w:t>Fetullaha</w:t>
      </w:r>
      <w:proofErr w:type="spellEnd"/>
      <w:r w:rsidRPr="00FD65C9">
        <w:rPr>
          <w:lang w:val="pl-PL"/>
        </w:rPr>
        <w:t xml:space="preserve"> </w:t>
      </w:r>
      <w:proofErr w:type="spellStart"/>
      <w:r w:rsidRPr="00FD65C9">
        <w:rPr>
          <w:lang w:val="pl-PL"/>
        </w:rPr>
        <w:t>Gülena</w:t>
      </w:r>
      <w:proofErr w:type="spellEnd"/>
      <w:r w:rsidRPr="00FD65C9">
        <w:rPr>
          <w:lang w:val="pl-PL"/>
        </w:rPr>
        <w:t>, domniemanego przywódcy organizacji FETÖ/PDY, dalej „</w:t>
      </w:r>
      <w:proofErr w:type="spellStart"/>
      <w:r w:rsidRPr="00FD65C9">
        <w:rPr>
          <w:i/>
          <w:iCs/>
          <w:lang w:val="pl-PL"/>
        </w:rPr>
        <w:t>cemaat</w:t>
      </w:r>
      <w:proofErr w:type="spellEnd"/>
      <w:r w:rsidRPr="00FD65C9">
        <w:rPr>
          <w:lang w:val="pl-PL"/>
        </w:rPr>
        <w:t>”]. Podobnie jak w innych jurysdykcjach, w ramach TK istniała organizacja w rodzaju »tajnej komórki« [...]”.</w:t>
      </w:r>
    </w:p>
    <w:p w14:paraId="2B8D8C55" w14:textId="77777777"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34</w:t>
      </w:r>
      <w:r w:rsidRPr="00FD65C9">
        <w:rPr>
          <w:lang w:val="pl-PL"/>
        </w:rPr>
        <w:fldChar w:fldCharType="end"/>
      </w:r>
      <w:r w:rsidR="00E95B67" w:rsidRPr="00FD65C9">
        <w:rPr>
          <w:lang w:val="pl-PL"/>
        </w:rPr>
        <w:t>.  W swoich zeznaniach złożonych w dniu 27 grudnia 2016 r. anonimowy świadek „</w:t>
      </w:r>
      <w:proofErr w:type="spellStart"/>
      <w:r w:rsidR="00E95B67" w:rsidRPr="00FD65C9">
        <w:rPr>
          <w:lang w:val="pl-PL"/>
        </w:rPr>
        <w:t>Kitapçı</w:t>
      </w:r>
      <w:proofErr w:type="spellEnd"/>
      <w:r w:rsidR="00E95B67" w:rsidRPr="00FD65C9">
        <w:rPr>
          <w:lang w:val="pl-PL"/>
        </w:rPr>
        <w:t>” stwierdził, co następuje:</w:t>
      </w:r>
    </w:p>
    <w:p w14:paraId="704D586A" w14:textId="44703DCC" w:rsidR="00E95B67" w:rsidRPr="00FD65C9" w:rsidRDefault="00E95B67" w:rsidP="00622760">
      <w:pPr>
        <w:pStyle w:val="ECHRParaQuote"/>
        <w:rPr>
          <w:lang w:val="pl-PL"/>
        </w:rPr>
      </w:pPr>
      <w:r w:rsidRPr="00FD65C9">
        <w:rPr>
          <w:lang w:val="pl-PL"/>
        </w:rPr>
        <w:t xml:space="preserve">„[...] Kiedy zacząłem pracować w </w:t>
      </w:r>
      <w:r w:rsidR="001A07B1">
        <w:rPr>
          <w:lang w:val="pl-PL"/>
        </w:rPr>
        <w:t>TK</w:t>
      </w:r>
      <w:r w:rsidR="002964AD">
        <w:rPr>
          <w:lang w:val="pl-PL"/>
        </w:rPr>
        <w:t xml:space="preserve"> </w:t>
      </w:r>
      <w:r w:rsidRPr="00FD65C9">
        <w:rPr>
          <w:lang w:val="pl-PL"/>
        </w:rPr>
        <w:t>jako sprawozdawca, byłem przekonany, że</w:t>
      </w:r>
      <w:r w:rsidR="001A07B1">
        <w:rPr>
          <w:lang w:val="pl-PL"/>
        </w:rPr>
        <w:t>,</w:t>
      </w:r>
      <w:r w:rsidRPr="00FD65C9">
        <w:rPr>
          <w:lang w:val="pl-PL"/>
        </w:rPr>
        <w:t xml:space="preserve"> biorąc pod uwagę jego relacje towarzyskie, </w:t>
      </w:r>
      <w:proofErr w:type="spellStart"/>
      <w:r w:rsidRPr="00FD65C9">
        <w:rPr>
          <w:lang w:val="pl-PL"/>
        </w:rPr>
        <w:t>Alparslan</w:t>
      </w:r>
      <w:proofErr w:type="spellEnd"/>
      <w:r w:rsidRPr="00FD65C9">
        <w:rPr>
          <w:lang w:val="pl-PL"/>
        </w:rPr>
        <w:t xml:space="preserve"> Altan był członkiem </w:t>
      </w:r>
      <w:proofErr w:type="spellStart"/>
      <w:r w:rsidRPr="00FD65C9">
        <w:rPr>
          <w:i/>
          <w:iCs/>
          <w:lang w:val="pl-PL"/>
        </w:rPr>
        <w:t>cemaatu</w:t>
      </w:r>
      <w:proofErr w:type="spellEnd"/>
      <w:r w:rsidRPr="00FD65C9">
        <w:rPr>
          <w:lang w:val="pl-PL"/>
        </w:rPr>
        <w:t>. Wniosek ten wysnułem na podstawie jego stosunków towarzyskich [...]”.</w:t>
      </w:r>
    </w:p>
    <w:p w14:paraId="6245DBE8" w14:textId="7AA9CFE2" w:rsidR="00E95B67" w:rsidRPr="00FD65C9" w:rsidRDefault="00E95B67" w:rsidP="00622760">
      <w:pPr>
        <w:pStyle w:val="ECHRHeading4"/>
        <w:rPr>
          <w:lang w:val="pl-PL"/>
        </w:rPr>
      </w:pPr>
      <w:r w:rsidRPr="00FD65C9">
        <w:rPr>
          <w:iCs w:val="0"/>
          <w:lang w:val="pl-PL"/>
        </w:rPr>
        <w:t>b) </w:t>
      </w:r>
      <w:r w:rsidR="000E5DD7">
        <w:rPr>
          <w:iCs w:val="0"/>
          <w:lang w:val="pl-PL"/>
        </w:rPr>
        <w:t>Wyjaśnienia</w:t>
      </w:r>
      <w:r w:rsidR="000E5DD7" w:rsidRPr="00FD65C9">
        <w:rPr>
          <w:iCs w:val="0"/>
          <w:lang w:val="pl-PL"/>
        </w:rPr>
        <w:t xml:space="preserve"> </w:t>
      </w:r>
      <w:r w:rsidRPr="00FD65C9">
        <w:rPr>
          <w:iCs w:val="0"/>
          <w:lang w:val="pl-PL"/>
        </w:rPr>
        <w:t>podejrzanego</w:t>
      </w:r>
    </w:p>
    <w:p w14:paraId="2D1247CC" w14:textId="322583BF"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35</w:t>
      </w:r>
      <w:r w:rsidRPr="00FD65C9">
        <w:rPr>
          <w:lang w:val="pl-PL"/>
        </w:rPr>
        <w:fldChar w:fldCharType="end"/>
      </w:r>
      <w:r w:rsidR="00E95B67" w:rsidRPr="00FD65C9">
        <w:rPr>
          <w:lang w:val="pl-PL"/>
        </w:rPr>
        <w:t xml:space="preserve">.  Ponadto R.Ü., były prokurator i były sprawozdawca </w:t>
      </w:r>
      <w:r w:rsidR="001A07B1">
        <w:rPr>
          <w:lang w:val="pl-PL"/>
        </w:rPr>
        <w:t>TK</w:t>
      </w:r>
      <w:r w:rsidR="00E95B67" w:rsidRPr="00FD65C9">
        <w:rPr>
          <w:lang w:val="pl-PL"/>
        </w:rPr>
        <w:t xml:space="preserve">, oskarżony o przynależność do organizacji FETÖ/PDY, złożył </w:t>
      </w:r>
      <w:r w:rsidR="000E5DD7">
        <w:rPr>
          <w:lang w:val="pl-PL"/>
        </w:rPr>
        <w:t>wyjaśnienia</w:t>
      </w:r>
      <w:r w:rsidR="00E95B67" w:rsidRPr="00FD65C9">
        <w:rPr>
          <w:lang w:val="pl-PL"/>
        </w:rPr>
        <w:t xml:space="preserve"> przed </w:t>
      </w:r>
      <w:r w:rsidR="000E5DD7">
        <w:rPr>
          <w:lang w:val="pl-PL"/>
        </w:rPr>
        <w:t>p</w:t>
      </w:r>
      <w:r w:rsidR="00E95B67" w:rsidRPr="00FD65C9">
        <w:rPr>
          <w:lang w:val="pl-PL"/>
        </w:rPr>
        <w:t>rokurat</w:t>
      </w:r>
      <w:r w:rsidR="000E5DD7">
        <w:rPr>
          <w:lang w:val="pl-PL"/>
        </w:rPr>
        <w:t>orem</w:t>
      </w:r>
      <w:r w:rsidR="00E95B67" w:rsidRPr="00FD65C9">
        <w:rPr>
          <w:lang w:val="pl-PL"/>
        </w:rPr>
        <w:t xml:space="preserve"> w Ankarze. Istotne dla niniejszej sprawy fragmenty jego </w:t>
      </w:r>
      <w:r w:rsidR="000E5DD7">
        <w:rPr>
          <w:lang w:val="pl-PL"/>
        </w:rPr>
        <w:t>wyjaśnień</w:t>
      </w:r>
      <w:r w:rsidR="000E5DD7" w:rsidRPr="00FD65C9">
        <w:rPr>
          <w:lang w:val="pl-PL"/>
        </w:rPr>
        <w:t xml:space="preserve"> </w:t>
      </w:r>
      <w:r w:rsidR="00E95B67" w:rsidRPr="00FD65C9">
        <w:rPr>
          <w:lang w:val="pl-PL"/>
        </w:rPr>
        <w:t>zarejestrowanych w dniu 9 września 2016 r. brzmią następująco:</w:t>
      </w:r>
    </w:p>
    <w:p w14:paraId="315921E5" w14:textId="417901A8" w:rsidR="00E95B67" w:rsidRPr="00FD65C9" w:rsidRDefault="00E95B67" w:rsidP="00622760">
      <w:pPr>
        <w:pStyle w:val="ECHRParaQuote"/>
        <w:rPr>
          <w:lang w:val="pl-PL"/>
        </w:rPr>
      </w:pPr>
      <w:r w:rsidRPr="00FD65C9">
        <w:rPr>
          <w:lang w:val="pl-PL"/>
        </w:rPr>
        <w:t xml:space="preserve">„[...] Wcześniej nie wiedziałem, że były członek </w:t>
      </w:r>
      <w:r w:rsidR="001A07B1">
        <w:rPr>
          <w:lang w:val="pl-PL"/>
        </w:rPr>
        <w:t>TK</w:t>
      </w:r>
      <w:r w:rsidR="002964AD" w:rsidRPr="00FD65C9">
        <w:rPr>
          <w:lang w:val="pl-PL"/>
        </w:rPr>
        <w:t xml:space="preserve"> </w:t>
      </w:r>
      <w:proofErr w:type="spellStart"/>
      <w:r w:rsidRPr="00FD65C9">
        <w:rPr>
          <w:lang w:val="pl-PL"/>
        </w:rPr>
        <w:t>Alparslan</w:t>
      </w:r>
      <w:proofErr w:type="spellEnd"/>
      <w:r w:rsidRPr="00FD65C9">
        <w:rPr>
          <w:lang w:val="pl-PL"/>
        </w:rPr>
        <w:t xml:space="preserve"> Altan był członkiem </w:t>
      </w:r>
      <w:proofErr w:type="spellStart"/>
      <w:r w:rsidRPr="00FD65C9">
        <w:rPr>
          <w:i/>
          <w:iCs/>
          <w:lang w:val="pl-PL"/>
        </w:rPr>
        <w:t>cemaatu</w:t>
      </w:r>
      <w:proofErr w:type="spellEnd"/>
      <w:r w:rsidRPr="00FD65C9">
        <w:rPr>
          <w:lang w:val="pl-PL"/>
        </w:rPr>
        <w:t xml:space="preserve"> [...]. Kiedy jednak stwierdziłem, że ten czł</w:t>
      </w:r>
      <w:r w:rsidR="008152F6" w:rsidRPr="00FD65C9">
        <w:rPr>
          <w:lang w:val="pl-PL"/>
        </w:rPr>
        <w:t>onek zawsze był w mniejszości w </w:t>
      </w:r>
      <w:r w:rsidRPr="00FD65C9">
        <w:rPr>
          <w:lang w:val="pl-PL"/>
        </w:rPr>
        <w:t xml:space="preserve">[decyzjach dotyczących] indywidualnych odwołań, w które zaangażowani byli członkowie </w:t>
      </w:r>
      <w:proofErr w:type="spellStart"/>
      <w:r w:rsidRPr="00FD65C9">
        <w:rPr>
          <w:i/>
          <w:iCs/>
          <w:lang w:val="pl-PL"/>
        </w:rPr>
        <w:t>cemaatu</w:t>
      </w:r>
      <w:proofErr w:type="spellEnd"/>
      <w:r w:rsidRPr="00FD65C9">
        <w:rPr>
          <w:lang w:val="pl-PL"/>
        </w:rPr>
        <w:t xml:space="preserve">, nabrałem przekonania, że może on być członkiem </w:t>
      </w:r>
      <w:proofErr w:type="spellStart"/>
      <w:r w:rsidRPr="00FD65C9">
        <w:rPr>
          <w:i/>
          <w:iCs/>
          <w:lang w:val="pl-PL"/>
        </w:rPr>
        <w:t>cemaatu</w:t>
      </w:r>
      <w:proofErr w:type="spellEnd"/>
      <w:r w:rsidRPr="00FD65C9">
        <w:rPr>
          <w:lang w:val="pl-PL"/>
        </w:rPr>
        <w:t xml:space="preserve"> [...]. Już wcześniej, na podstawie rozmów z członkami </w:t>
      </w:r>
      <w:proofErr w:type="spellStart"/>
      <w:r w:rsidRPr="00FD65C9">
        <w:rPr>
          <w:i/>
          <w:iCs/>
          <w:lang w:val="pl-PL"/>
        </w:rPr>
        <w:t>cemaatu</w:t>
      </w:r>
      <w:proofErr w:type="spellEnd"/>
      <w:r w:rsidRPr="00FD65C9">
        <w:rPr>
          <w:lang w:val="pl-PL"/>
        </w:rPr>
        <w:t xml:space="preserve">, uznałem, że niektórzy członkowie </w:t>
      </w:r>
      <w:r w:rsidR="001A07B1">
        <w:rPr>
          <w:lang w:val="pl-PL"/>
        </w:rPr>
        <w:t>TK</w:t>
      </w:r>
      <w:r w:rsidR="002964AD" w:rsidRPr="00FD65C9">
        <w:rPr>
          <w:lang w:val="pl-PL"/>
        </w:rPr>
        <w:t xml:space="preserve"> </w:t>
      </w:r>
      <w:r w:rsidRPr="00FD65C9">
        <w:rPr>
          <w:lang w:val="pl-PL"/>
        </w:rPr>
        <w:t>mogą należeć do [tej struktury]</w:t>
      </w:r>
      <w:r w:rsidR="008152F6" w:rsidRPr="00FD65C9">
        <w:rPr>
          <w:lang w:val="pl-PL"/>
        </w:rPr>
        <w:t>. Nie wiedziałam jednak, kto. Z </w:t>
      </w:r>
      <w:r w:rsidRPr="00FD65C9">
        <w:rPr>
          <w:lang w:val="pl-PL"/>
        </w:rPr>
        <w:t>czasem, ze względu na [stanowiska], jakie zajmował w wydawanych decyzjach, byłem pewien, że ten członek [</w:t>
      </w:r>
      <w:r w:rsidR="001A07B1">
        <w:rPr>
          <w:lang w:val="pl-PL"/>
        </w:rPr>
        <w:t>TK</w:t>
      </w:r>
      <w:r w:rsidRPr="00FD65C9">
        <w:rPr>
          <w:lang w:val="pl-PL"/>
        </w:rPr>
        <w:t xml:space="preserve">] jest członkiem </w:t>
      </w:r>
      <w:proofErr w:type="spellStart"/>
      <w:r w:rsidRPr="00FD65C9">
        <w:rPr>
          <w:i/>
          <w:iCs/>
          <w:lang w:val="pl-PL"/>
        </w:rPr>
        <w:t>cemaatu</w:t>
      </w:r>
      <w:proofErr w:type="spellEnd"/>
      <w:r w:rsidRPr="00FD65C9">
        <w:rPr>
          <w:lang w:val="pl-PL"/>
        </w:rPr>
        <w:t xml:space="preserve"> [...]”.</w:t>
      </w:r>
    </w:p>
    <w:p w14:paraId="43761E4A" w14:textId="59E56588"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36</w:t>
      </w:r>
      <w:r w:rsidRPr="00FD65C9">
        <w:rPr>
          <w:lang w:val="pl-PL"/>
        </w:rPr>
        <w:fldChar w:fldCharType="end"/>
      </w:r>
      <w:r w:rsidR="00E95B67" w:rsidRPr="00FD65C9">
        <w:rPr>
          <w:lang w:val="pl-PL"/>
        </w:rPr>
        <w:t xml:space="preserve">.  W </w:t>
      </w:r>
      <w:r w:rsidR="003C36F1">
        <w:rPr>
          <w:lang w:val="pl-PL"/>
        </w:rPr>
        <w:t>wyjaśnieniach</w:t>
      </w:r>
      <w:r w:rsidR="003C36F1" w:rsidRPr="00FD65C9">
        <w:rPr>
          <w:lang w:val="pl-PL"/>
        </w:rPr>
        <w:t xml:space="preserve"> </w:t>
      </w:r>
      <w:r w:rsidR="00E95B67" w:rsidRPr="00FD65C9">
        <w:rPr>
          <w:lang w:val="pl-PL"/>
        </w:rPr>
        <w:t>złożonych w dniu</w:t>
      </w:r>
      <w:r w:rsidR="008152F6" w:rsidRPr="00FD65C9">
        <w:rPr>
          <w:lang w:val="pl-PL"/>
        </w:rPr>
        <w:t xml:space="preserve"> 21 października 2016 r. oraz w </w:t>
      </w:r>
      <w:r w:rsidR="00E95B67" w:rsidRPr="00FD65C9">
        <w:rPr>
          <w:lang w:val="pl-PL"/>
        </w:rPr>
        <w:t xml:space="preserve">dniach 19 lipca i 5 września 2017 r., R.Ü. podtrzymał wcześniejsze oświadczenia i stwierdził, że chociaż nie spotkał skarżącego na spotkaniach organizowanych z udziałem członków organizacji FETÖ/PDY, był pewien, że skarżący należał do tej struktury. W </w:t>
      </w:r>
      <w:r w:rsidR="008152F6" w:rsidRPr="00FD65C9">
        <w:rPr>
          <w:lang w:val="pl-PL"/>
        </w:rPr>
        <w:t xml:space="preserve">szczególności w </w:t>
      </w:r>
      <w:r w:rsidR="003C36F1">
        <w:rPr>
          <w:lang w:val="pl-PL"/>
        </w:rPr>
        <w:t>wyjaśnieniach</w:t>
      </w:r>
      <w:r w:rsidR="003C36F1" w:rsidRPr="00FD65C9">
        <w:rPr>
          <w:lang w:val="pl-PL"/>
        </w:rPr>
        <w:t xml:space="preserve"> </w:t>
      </w:r>
      <w:r w:rsidR="008152F6" w:rsidRPr="00FD65C9">
        <w:rPr>
          <w:lang w:val="pl-PL"/>
        </w:rPr>
        <w:t>z 19 </w:t>
      </w:r>
      <w:r w:rsidR="00E95B67" w:rsidRPr="00FD65C9">
        <w:rPr>
          <w:lang w:val="pl-PL"/>
        </w:rPr>
        <w:t>lipca i 5 września 2017 r. podał, że kryptonim osoby, której dotyczy sprawa, to „</w:t>
      </w:r>
      <w:proofErr w:type="spellStart"/>
      <w:r w:rsidR="00E95B67" w:rsidRPr="00FD65C9">
        <w:rPr>
          <w:lang w:val="pl-PL"/>
        </w:rPr>
        <w:t>Selahattin</w:t>
      </w:r>
      <w:proofErr w:type="spellEnd"/>
      <w:r w:rsidR="00E95B67" w:rsidRPr="00FD65C9">
        <w:rPr>
          <w:lang w:val="pl-PL"/>
        </w:rPr>
        <w:t>”.</w:t>
      </w:r>
    </w:p>
    <w:p w14:paraId="2574DD64" w14:textId="77777777" w:rsidR="00E95B67" w:rsidRPr="00FD65C9" w:rsidRDefault="00E95B67" w:rsidP="00622760">
      <w:pPr>
        <w:pStyle w:val="ECHRHeading4"/>
        <w:rPr>
          <w:lang w:val="pl-PL"/>
        </w:rPr>
      </w:pPr>
      <w:r w:rsidRPr="00FD65C9">
        <w:rPr>
          <w:iCs w:val="0"/>
          <w:lang w:val="pl-PL"/>
        </w:rPr>
        <w:t xml:space="preserve">c) Wymiana wiadomości za pośrednictwem </w:t>
      </w:r>
      <w:proofErr w:type="spellStart"/>
      <w:r w:rsidRPr="00FD65C9">
        <w:rPr>
          <w:iCs w:val="0"/>
          <w:lang w:val="pl-PL"/>
        </w:rPr>
        <w:t>ByLock</w:t>
      </w:r>
      <w:proofErr w:type="spellEnd"/>
    </w:p>
    <w:p w14:paraId="0F5E1D5F" w14:textId="748242C6"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37</w:t>
      </w:r>
      <w:r w:rsidRPr="00FD65C9">
        <w:rPr>
          <w:lang w:val="pl-PL"/>
        </w:rPr>
        <w:fldChar w:fldCharType="end"/>
      </w:r>
      <w:r w:rsidR="00E95B67" w:rsidRPr="00FD65C9">
        <w:rPr>
          <w:lang w:val="pl-PL"/>
        </w:rPr>
        <w:t xml:space="preserve">.   </w:t>
      </w:r>
      <w:r w:rsidR="003C36F1">
        <w:rPr>
          <w:lang w:val="pl-PL"/>
        </w:rPr>
        <w:t>Z</w:t>
      </w:r>
      <w:r w:rsidR="00E95B67" w:rsidRPr="00FD65C9">
        <w:rPr>
          <w:lang w:val="pl-PL"/>
        </w:rPr>
        <w:t xml:space="preserve"> materiała</w:t>
      </w:r>
      <w:r w:rsidR="003C36F1">
        <w:rPr>
          <w:lang w:val="pl-PL"/>
        </w:rPr>
        <w:t>ch</w:t>
      </w:r>
      <w:r w:rsidR="00E95B67" w:rsidRPr="00FD65C9">
        <w:rPr>
          <w:lang w:val="pl-PL"/>
        </w:rPr>
        <w:t xml:space="preserve"> zawarty</w:t>
      </w:r>
      <w:r w:rsidR="003C36F1">
        <w:rPr>
          <w:lang w:val="pl-PL"/>
        </w:rPr>
        <w:t>ch</w:t>
      </w:r>
      <w:r w:rsidR="00E95B67" w:rsidRPr="00FD65C9">
        <w:rPr>
          <w:lang w:val="pl-PL"/>
        </w:rPr>
        <w:t xml:space="preserve"> w aktach sprawy</w:t>
      </w:r>
      <w:r w:rsidR="003C36F1">
        <w:rPr>
          <w:lang w:val="pl-PL"/>
        </w:rPr>
        <w:t xml:space="preserve"> wynika, że</w:t>
      </w:r>
      <w:r w:rsidR="00E95B67" w:rsidRPr="00FD65C9">
        <w:rPr>
          <w:lang w:val="pl-PL"/>
        </w:rPr>
        <w:t xml:space="preserve"> w </w:t>
      </w:r>
      <w:r w:rsidR="003C36F1">
        <w:rPr>
          <w:lang w:val="pl-PL"/>
        </w:rPr>
        <w:t>ramach postępowania przygotowawczego</w:t>
      </w:r>
      <w:r w:rsidR="00E95B67" w:rsidRPr="00FD65C9">
        <w:rPr>
          <w:lang w:val="pl-PL"/>
        </w:rPr>
        <w:t xml:space="preserve"> nie ustalono ani nie </w:t>
      </w:r>
      <w:r w:rsidR="003C36F1">
        <w:rPr>
          <w:lang w:val="pl-PL"/>
        </w:rPr>
        <w:t>przypuszczano</w:t>
      </w:r>
      <w:r w:rsidR="00E95B67" w:rsidRPr="00FD65C9">
        <w:rPr>
          <w:lang w:val="pl-PL"/>
        </w:rPr>
        <w:t xml:space="preserve">, że skarżący był użytkownikiem szyfrowanych wiadomości </w:t>
      </w:r>
      <w:proofErr w:type="spellStart"/>
      <w:r w:rsidR="00E95B67" w:rsidRPr="00FD65C9">
        <w:rPr>
          <w:lang w:val="pl-PL"/>
        </w:rPr>
        <w:t>ByLock</w:t>
      </w:r>
      <w:proofErr w:type="spellEnd"/>
      <w:r w:rsidR="00E95B67" w:rsidRPr="00FD65C9">
        <w:rPr>
          <w:lang w:val="pl-PL"/>
        </w:rPr>
        <w:t>.</w:t>
      </w:r>
    </w:p>
    <w:p w14:paraId="28998966" w14:textId="5CB1870E" w:rsidR="00E95B67" w:rsidRPr="00FD65C9" w:rsidRDefault="00E95B67" w:rsidP="00622760">
      <w:pPr>
        <w:pStyle w:val="ECHRPara"/>
        <w:rPr>
          <w:lang w:val="pl-PL"/>
        </w:rPr>
      </w:pPr>
      <w:r w:rsidRPr="00FD65C9">
        <w:rPr>
          <w:lang w:val="pl-PL"/>
        </w:rPr>
        <w:t xml:space="preserve">Jednakże transkrypcje wymiany wiadomości za pośrednictwem </w:t>
      </w:r>
      <w:proofErr w:type="spellStart"/>
      <w:r w:rsidRPr="00FD65C9">
        <w:rPr>
          <w:lang w:val="pl-PL"/>
        </w:rPr>
        <w:t>ByLock</w:t>
      </w:r>
      <w:proofErr w:type="spellEnd"/>
      <w:r w:rsidRPr="00FD65C9">
        <w:rPr>
          <w:lang w:val="pl-PL"/>
        </w:rPr>
        <w:t xml:space="preserve"> pomiędzy osobami trzecimi – </w:t>
      </w:r>
      <w:r w:rsidR="003C36F1">
        <w:rPr>
          <w:lang w:val="pl-PL"/>
        </w:rPr>
        <w:t>które miały być</w:t>
      </w:r>
      <w:r w:rsidR="003C36F1" w:rsidRPr="00FD65C9">
        <w:rPr>
          <w:lang w:val="pl-PL"/>
        </w:rPr>
        <w:t xml:space="preserve"> </w:t>
      </w:r>
      <w:r w:rsidRPr="00FD65C9">
        <w:rPr>
          <w:lang w:val="pl-PL"/>
        </w:rPr>
        <w:t>członkami organizacji FETÖ/PDY, a mianowicie Ö.İ., S.E. i B</w:t>
      </w:r>
      <w:r w:rsidR="008152F6" w:rsidRPr="00FD65C9">
        <w:rPr>
          <w:lang w:val="pl-PL"/>
        </w:rPr>
        <w:t>.Y. –</w:t>
      </w:r>
      <w:r w:rsidR="003C36F1">
        <w:rPr>
          <w:lang w:val="pl-PL"/>
        </w:rPr>
        <w:t>pozwalają przypuszczać</w:t>
      </w:r>
      <w:r w:rsidR="008152F6" w:rsidRPr="00FD65C9">
        <w:rPr>
          <w:lang w:val="pl-PL"/>
        </w:rPr>
        <w:t>, że </w:t>
      </w:r>
      <w:r w:rsidRPr="00FD65C9">
        <w:rPr>
          <w:lang w:val="pl-PL"/>
        </w:rPr>
        <w:t xml:space="preserve">istniały pewne okoliczności faktyczne dotyczące skarżącego. Według organów śledczych, Ö.İ., nauczyciel, był „cywilnym imamem” odpowiedzialnym za sędziów należących do organizacji FETÖ/PDY (według prokuratury, każdą komórką tej struktury, która przeniknęła do administracji i sądownictwa kierował „cywilny imam”), S.E., były sprawozdawca </w:t>
      </w:r>
      <w:r w:rsidR="0056377A">
        <w:rPr>
          <w:lang w:val="pl-PL"/>
        </w:rPr>
        <w:t>TK</w:t>
      </w:r>
      <w:r w:rsidRPr="00FD65C9">
        <w:rPr>
          <w:lang w:val="pl-PL"/>
        </w:rPr>
        <w:t>, był szefem komórki istn</w:t>
      </w:r>
      <w:r w:rsidR="008152F6" w:rsidRPr="00FD65C9">
        <w:rPr>
          <w:lang w:val="pl-PL"/>
        </w:rPr>
        <w:t>iejącej w ramach tego organu, a </w:t>
      </w:r>
      <w:r w:rsidRPr="00FD65C9">
        <w:rPr>
          <w:lang w:val="pl-PL"/>
        </w:rPr>
        <w:t xml:space="preserve">B.Y., również były sprawozdawca </w:t>
      </w:r>
      <w:r w:rsidR="0056377A">
        <w:rPr>
          <w:lang w:val="pl-PL"/>
        </w:rPr>
        <w:t>TK</w:t>
      </w:r>
      <w:r w:rsidRPr="00FD65C9">
        <w:rPr>
          <w:lang w:val="pl-PL"/>
        </w:rPr>
        <w:t xml:space="preserve">, był członkiem tej struktury. Wobec tych trzech osób zastosowano różne środki w ramach </w:t>
      </w:r>
      <w:r w:rsidR="003C36F1">
        <w:rPr>
          <w:lang w:val="pl-PL"/>
        </w:rPr>
        <w:t>postępowań</w:t>
      </w:r>
      <w:r w:rsidR="003C36F1" w:rsidRPr="00FD65C9">
        <w:rPr>
          <w:lang w:val="pl-PL"/>
        </w:rPr>
        <w:t xml:space="preserve"> </w:t>
      </w:r>
      <w:r w:rsidR="003C36F1">
        <w:rPr>
          <w:lang w:val="pl-PL"/>
        </w:rPr>
        <w:t>przygotowawczych</w:t>
      </w:r>
      <w:r w:rsidR="003C36F1" w:rsidRPr="00FD65C9">
        <w:rPr>
          <w:lang w:val="pl-PL"/>
        </w:rPr>
        <w:t xml:space="preserve"> </w:t>
      </w:r>
      <w:r w:rsidRPr="00FD65C9">
        <w:rPr>
          <w:lang w:val="pl-PL"/>
        </w:rPr>
        <w:t>prowadzonych w następstwie próby zamachu stanu: Ö.İ. opuścił kraj i wydano za nim nakaz aresztowania; to samo dotyczyło S.E</w:t>
      </w:r>
      <w:r w:rsidR="00B9617A">
        <w:rPr>
          <w:lang w:val="pl-PL"/>
        </w:rPr>
        <w:t>.</w:t>
      </w:r>
      <w:r w:rsidRPr="00FD65C9">
        <w:rPr>
          <w:lang w:val="pl-PL"/>
        </w:rPr>
        <w:t xml:space="preserve">, który został odwołany z pełnionej funkcji i zbiegł; B.Y. został </w:t>
      </w:r>
      <w:r w:rsidR="003C36F1">
        <w:rPr>
          <w:lang w:val="pl-PL"/>
        </w:rPr>
        <w:t>odwołany</w:t>
      </w:r>
      <w:r w:rsidR="003C36F1" w:rsidRPr="00FD65C9">
        <w:rPr>
          <w:lang w:val="pl-PL"/>
        </w:rPr>
        <w:t xml:space="preserve"> </w:t>
      </w:r>
      <w:r w:rsidRPr="00FD65C9">
        <w:rPr>
          <w:lang w:val="pl-PL"/>
        </w:rPr>
        <w:t>ze stanowiska sędziego przez Najwyższ</w:t>
      </w:r>
      <w:r w:rsidR="008152F6" w:rsidRPr="00FD65C9">
        <w:rPr>
          <w:lang w:val="pl-PL"/>
        </w:rPr>
        <w:t xml:space="preserve">ą Radę Sądownictwa i </w:t>
      </w:r>
      <w:r w:rsidR="003C36F1">
        <w:rPr>
          <w:lang w:val="pl-PL"/>
        </w:rPr>
        <w:t>tymczasowo aresztowany</w:t>
      </w:r>
      <w:r w:rsidRPr="00FD65C9">
        <w:rPr>
          <w:lang w:val="pl-PL"/>
        </w:rPr>
        <w:t xml:space="preserve"> </w:t>
      </w:r>
      <w:r w:rsidR="003C36F1">
        <w:rPr>
          <w:lang w:val="pl-PL"/>
        </w:rPr>
        <w:t>w związku z</w:t>
      </w:r>
      <w:r w:rsidR="003C36F1" w:rsidRPr="00FD65C9">
        <w:rPr>
          <w:lang w:val="pl-PL"/>
        </w:rPr>
        <w:t xml:space="preserve"> </w:t>
      </w:r>
      <w:r w:rsidRPr="00FD65C9">
        <w:rPr>
          <w:lang w:val="pl-PL"/>
        </w:rPr>
        <w:t>przynależnoś</w:t>
      </w:r>
      <w:r w:rsidR="003C36F1">
        <w:rPr>
          <w:lang w:val="pl-PL"/>
        </w:rPr>
        <w:t>cią</w:t>
      </w:r>
      <w:r w:rsidRPr="00FD65C9">
        <w:rPr>
          <w:lang w:val="pl-PL"/>
        </w:rPr>
        <w:t xml:space="preserve"> do organizacji FETÖ/PDY.</w:t>
      </w:r>
    </w:p>
    <w:p w14:paraId="2538D743" w14:textId="77777777" w:rsidR="00E95B67" w:rsidRPr="00FD65C9" w:rsidRDefault="00E95B67" w:rsidP="00622760">
      <w:pPr>
        <w:pStyle w:val="ECHRPara"/>
        <w:rPr>
          <w:lang w:val="pl-PL"/>
        </w:rPr>
      </w:pPr>
      <w:r w:rsidRPr="00FD65C9">
        <w:rPr>
          <w:lang w:val="pl-PL"/>
        </w:rPr>
        <w:t>Według organów śledczych w wymianie wiadomości każdy członek organizacji FETÖ/PDY był określany kryptonimem. Na przykład według podejrzanego R.Ü. kryptonim skarżącego brzmiał „</w:t>
      </w:r>
      <w:proofErr w:type="spellStart"/>
      <w:r w:rsidRPr="00FD65C9">
        <w:rPr>
          <w:lang w:val="pl-PL"/>
        </w:rPr>
        <w:t>Selahattin</w:t>
      </w:r>
      <w:proofErr w:type="spellEnd"/>
      <w:r w:rsidRPr="00FD65C9">
        <w:rPr>
          <w:lang w:val="pl-PL"/>
        </w:rPr>
        <w:t>” (zob. paragraf 36 powyżej).</w:t>
      </w:r>
    </w:p>
    <w:p w14:paraId="10A6EA94" w14:textId="78608C51" w:rsidR="00E95B67" w:rsidRPr="00FD65C9" w:rsidRDefault="003C36F1" w:rsidP="00622760">
      <w:pPr>
        <w:pStyle w:val="ECHRPara"/>
        <w:rPr>
          <w:lang w:val="pl-PL"/>
        </w:rPr>
      </w:pPr>
      <w:r>
        <w:rPr>
          <w:lang w:val="pl-PL"/>
        </w:rPr>
        <w:t>Z</w:t>
      </w:r>
      <w:r w:rsidR="00E95B67" w:rsidRPr="00FD65C9">
        <w:rPr>
          <w:lang w:val="pl-PL"/>
        </w:rPr>
        <w:t xml:space="preserve"> transkrypcji wiadomości w</w:t>
      </w:r>
      <w:r w:rsidR="008152F6" w:rsidRPr="00FD65C9">
        <w:rPr>
          <w:lang w:val="pl-PL"/>
        </w:rPr>
        <w:t>ymienionych między Ö.İ., S.E. i </w:t>
      </w:r>
      <w:r w:rsidR="00E95B67" w:rsidRPr="00FD65C9">
        <w:rPr>
          <w:lang w:val="pl-PL"/>
        </w:rPr>
        <w:t xml:space="preserve">B.Y. za pośrednictwem </w:t>
      </w:r>
      <w:proofErr w:type="spellStart"/>
      <w:r w:rsidR="00E95B67" w:rsidRPr="00FD65C9">
        <w:rPr>
          <w:lang w:val="pl-PL"/>
        </w:rPr>
        <w:t>ByLock</w:t>
      </w:r>
      <w:proofErr w:type="spellEnd"/>
      <w:r w:rsidR="00E95B67" w:rsidRPr="00FD65C9">
        <w:rPr>
          <w:lang w:val="pl-PL"/>
        </w:rPr>
        <w:t xml:space="preserve"> wynika</w:t>
      </w:r>
      <w:r>
        <w:rPr>
          <w:lang w:val="pl-PL"/>
        </w:rPr>
        <w:t xml:space="preserve"> bowiem</w:t>
      </w:r>
      <w:r w:rsidR="00E95B67" w:rsidRPr="00FD65C9">
        <w:rPr>
          <w:lang w:val="pl-PL"/>
        </w:rPr>
        <w:t>, że nazwisko „</w:t>
      </w:r>
      <w:proofErr w:type="spellStart"/>
      <w:r w:rsidR="00E95B67" w:rsidRPr="00FD65C9">
        <w:rPr>
          <w:lang w:val="pl-PL"/>
        </w:rPr>
        <w:t>Selahattin</w:t>
      </w:r>
      <w:proofErr w:type="spellEnd"/>
      <w:r w:rsidR="00E95B67" w:rsidRPr="00FD65C9">
        <w:rPr>
          <w:lang w:val="pl-PL"/>
        </w:rPr>
        <w:t xml:space="preserve">” zostało kilkakrotnie wymienione w kontekście spraw toczących się wówczas przed </w:t>
      </w:r>
      <w:r w:rsidR="0056377A">
        <w:rPr>
          <w:lang w:val="pl-PL"/>
        </w:rPr>
        <w:t>TK</w:t>
      </w:r>
      <w:r w:rsidR="00E95B67" w:rsidRPr="00FD65C9">
        <w:rPr>
          <w:lang w:val="pl-PL"/>
        </w:rPr>
        <w:t xml:space="preserve">. Ze stenogramów rozmów wynika również, że wewnętrzne sprawy </w:t>
      </w:r>
      <w:r w:rsidR="0056377A">
        <w:rPr>
          <w:lang w:val="pl-PL"/>
        </w:rPr>
        <w:t>TK</w:t>
      </w:r>
      <w:r w:rsidR="00E95B67" w:rsidRPr="00FD65C9">
        <w:rPr>
          <w:lang w:val="pl-PL"/>
        </w:rPr>
        <w:t xml:space="preserve">, takie jak wybór wiceprezesa, a także wiele spraw toczących się przed </w:t>
      </w:r>
      <w:r w:rsidR="002964AD">
        <w:rPr>
          <w:lang w:val="pl-PL"/>
        </w:rPr>
        <w:t>Trybunałem</w:t>
      </w:r>
      <w:r w:rsidR="00E95B67" w:rsidRPr="00FD65C9">
        <w:rPr>
          <w:lang w:val="pl-PL"/>
        </w:rPr>
        <w:t xml:space="preserve">, było przedmiotem dyskusji między Ö.İ. a byłymi sprawozdawcami </w:t>
      </w:r>
      <w:r w:rsidR="0056377A">
        <w:rPr>
          <w:lang w:val="pl-PL"/>
        </w:rPr>
        <w:t>TK</w:t>
      </w:r>
      <w:r w:rsidR="00E95B67" w:rsidRPr="00FD65C9">
        <w:rPr>
          <w:lang w:val="pl-PL"/>
        </w:rPr>
        <w:t xml:space="preserve">. Można w szczególności zauważyć, że w niektórych sprawach wniesionych przez </w:t>
      </w:r>
      <w:r>
        <w:rPr>
          <w:lang w:val="pl-PL"/>
        </w:rPr>
        <w:t>osoby, które miały być</w:t>
      </w:r>
      <w:r w:rsidRPr="00FD65C9">
        <w:rPr>
          <w:lang w:val="pl-PL"/>
        </w:rPr>
        <w:t xml:space="preserve"> członk</w:t>
      </w:r>
      <w:r>
        <w:rPr>
          <w:lang w:val="pl-PL"/>
        </w:rPr>
        <w:t>ami</w:t>
      </w:r>
      <w:r w:rsidRPr="00FD65C9">
        <w:rPr>
          <w:lang w:val="pl-PL"/>
        </w:rPr>
        <w:t xml:space="preserve"> </w:t>
      </w:r>
      <w:r w:rsidR="00E95B67" w:rsidRPr="00FD65C9">
        <w:rPr>
          <w:lang w:val="pl-PL"/>
        </w:rPr>
        <w:t xml:space="preserve">organizacji FETÖ/PDY, które zakończyły się decyzją o oddaleniu skargi, </w:t>
      </w:r>
      <w:r>
        <w:rPr>
          <w:lang w:val="pl-PL"/>
        </w:rPr>
        <w:t>podzielono</w:t>
      </w:r>
      <w:r w:rsidRPr="00FD65C9">
        <w:rPr>
          <w:lang w:val="pl-PL"/>
        </w:rPr>
        <w:t xml:space="preserve"> </w:t>
      </w:r>
      <w:r w:rsidR="00E95B67" w:rsidRPr="00FD65C9">
        <w:rPr>
          <w:lang w:val="pl-PL"/>
        </w:rPr>
        <w:t>opinię rozbieżną sporządzoną przez „</w:t>
      </w:r>
      <w:proofErr w:type="spellStart"/>
      <w:r w:rsidR="00E95B67" w:rsidRPr="00FD65C9">
        <w:rPr>
          <w:lang w:val="pl-PL"/>
        </w:rPr>
        <w:t>Selahattina</w:t>
      </w:r>
      <w:proofErr w:type="spellEnd"/>
      <w:r w:rsidR="00E95B67" w:rsidRPr="00FD65C9">
        <w:rPr>
          <w:lang w:val="pl-PL"/>
        </w:rPr>
        <w:t>”. Ze stenogramów wynika również, że organizacja FETÖ/PDY zapewniła „</w:t>
      </w:r>
      <w:proofErr w:type="spellStart"/>
      <w:r w:rsidR="00E95B67" w:rsidRPr="00FD65C9">
        <w:rPr>
          <w:lang w:val="pl-PL"/>
        </w:rPr>
        <w:t>Selahattinowi</w:t>
      </w:r>
      <w:proofErr w:type="spellEnd"/>
      <w:r w:rsidR="00E95B67" w:rsidRPr="00FD65C9">
        <w:rPr>
          <w:lang w:val="pl-PL"/>
        </w:rPr>
        <w:t>” linię telefoniczną.</w:t>
      </w:r>
    </w:p>
    <w:p w14:paraId="6E81DCF2" w14:textId="7EB0AB30"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38</w:t>
      </w:r>
      <w:r w:rsidRPr="00FD65C9">
        <w:rPr>
          <w:lang w:val="pl-PL"/>
        </w:rPr>
        <w:fldChar w:fldCharType="end"/>
      </w:r>
      <w:r w:rsidR="00E95B67" w:rsidRPr="00FD65C9">
        <w:rPr>
          <w:lang w:val="pl-PL"/>
        </w:rPr>
        <w:t xml:space="preserve">.  Rząd nie </w:t>
      </w:r>
      <w:r w:rsidR="003C36F1">
        <w:rPr>
          <w:lang w:val="pl-PL"/>
        </w:rPr>
        <w:t>wskazał</w:t>
      </w:r>
      <w:r w:rsidR="00E95B67" w:rsidRPr="00FD65C9">
        <w:rPr>
          <w:lang w:val="pl-PL"/>
        </w:rPr>
        <w:t xml:space="preserve"> dat włączenia tych poszczególnych dowodów do akt. Co do skarżącego, stwierdza on, że </w:t>
      </w:r>
      <w:r w:rsidR="003C36F1" w:rsidRPr="00FD65C9">
        <w:rPr>
          <w:lang w:val="pl-PL"/>
        </w:rPr>
        <w:t>prokura</w:t>
      </w:r>
      <w:r w:rsidR="003C36F1">
        <w:rPr>
          <w:lang w:val="pl-PL"/>
        </w:rPr>
        <w:t>tor</w:t>
      </w:r>
      <w:r w:rsidR="003C36F1" w:rsidRPr="00FD65C9">
        <w:rPr>
          <w:lang w:val="pl-PL"/>
        </w:rPr>
        <w:t xml:space="preserve"> </w:t>
      </w:r>
      <w:r w:rsidR="00E95B67" w:rsidRPr="00FD65C9">
        <w:rPr>
          <w:lang w:val="pl-PL"/>
        </w:rPr>
        <w:t>w Ankarze otrzymał dowody rzeczowe w postaci materiału cyfrowego dotyczącego wymiany wiado</w:t>
      </w:r>
      <w:r w:rsidR="008152F6" w:rsidRPr="00FD65C9">
        <w:rPr>
          <w:lang w:val="pl-PL"/>
        </w:rPr>
        <w:t xml:space="preserve">mości za pośrednictwem </w:t>
      </w:r>
      <w:proofErr w:type="spellStart"/>
      <w:r w:rsidR="008152F6" w:rsidRPr="00FD65C9">
        <w:rPr>
          <w:lang w:val="pl-PL"/>
        </w:rPr>
        <w:t>ByLock</w:t>
      </w:r>
      <w:proofErr w:type="spellEnd"/>
      <w:r w:rsidR="008152F6" w:rsidRPr="00FD65C9">
        <w:rPr>
          <w:lang w:val="pl-PL"/>
        </w:rPr>
        <w:t xml:space="preserve"> w </w:t>
      </w:r>
      <w:r w:rsidR="00E95B67" w:rsidRPr="00FD65C9">
        <w:rPr>
          <w:lang w:val="pl-PL"/>
        </w:rPr>
        <w:t xml:space="preserve">grudniu 2016 r., że czwarty i piąty sędzia pokoju w Ankarze zażądali kopii tego materiału </w:t>
      </w:r>
      <w:r w:rsidR="003C36F1">
        <w:rPr>
          <w:lang w:val="pl-PL"/>
        </w:rPr>
        <w:t xml:space="preserve">w dniach </w:t>
      </w:r>
      <w:r w:rsidR="00E95B67" w:rsidRPr="00FD65C9">
        <w:rPr>
          <w:lang w:val="pl-PL"/>
        </w:rPr>
        <w:t xml:space="preserve">9 grudnia 2016 r. i 24 marca 2017 r. oraz że cztery miesiące po tej ostatniej dacie sporządzono </w:t>
      </w:r>
      <w:r w:rsidR="003C36F1">
        <w:rPr>
          <w:lang w:val="pl-PL"/>
        </w:rPr>
        <w:t>opinię biegłego</w:t>
      </w:r>
      <w:r w:rsidR="00E95B67" w:rsidRPr="00FD65C9">
        <w:rPr>
          <w:lang w:val="pl-PL"/>
        </w:rPr>
        <w:t>.</w:t>
      </w:r>
    </w:p>
    <w:p w14:paraId="07061E10" w14:textId="77777777" w:rsidR="00E95B67" w:rsidRPr="00FD65C9" w:rsidRDefault="00E95B67" w:rsidP="00622760">
      <w:pPr>
        <w:pStyle w:val="ECHRHeading4"/>
        <w:rPr>
          <w:lang w:val="pl-PL"/>
        </w:rPr>
      </w:pPr>
      <w:r w:rsidRPr="00FD65C9">
        <w:rPr>
          <w:iCs w:val="0"/>
          <w:lang w:val="pl-PL"/>
        </w:rPr>
        <w:t>d) Pozostałe okoliczności faktyczne</w:t>
      </w:r>
    </w:p>
    <w:p w14:paraId="10BBFFE4" w14:textId="5AA44314"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39</w:t>
      </w:r>
      <w:r w:rsidRPr="00FD65C9">
        <w:rPr>
          <w:lang w:val="pl-PL"/>
        </w:rPr>
        <w:fldChar w:fldCharType="end"/>
      </w:r>
      <w:r w:rsidR="00E95B67" w:rsidRPr="00FD65C9">
        <w:rPr>
          <w:lang w:val="pl-PL"/>
        </w:rPr>
        <w:t>.  Po uzyskaniu informacji, że organizacja FETÖ/PDY zapewniła niejakiemu „</w:t>
      </w:r>
      <w:proofErr w:type="spellStart"/>
      <w:r w:rsidR="00E95B67" w:rsidRPr="00FD65C9">
        <w:rPr>
          <w:lang w:val="pl-PL"/>
        </w:rPr>
        <w:t>Selahattinowi</w:t>
      </w:r>
      <w:proofErr w:type="spellEnd"/>
      <w:r w:rsidR="00E95B67" w:rsidRPr="00FD65C9">
        <w:rPr>
          <w:lang w:val="pl-PL"/>
        </w:rPr>
        <w:t>” linię telefoniczną (zob. paragraf 36 powyżej), przeprowadzono badania w celu ustalenia, czy linia telefoniczna zgłoszona na nazwisko skarżącego („linia telefoniczna nr 1”) emitowała sygnał z tej samej stacji bazowej, z której korzystała linia telefoniczna zapewniona przez organizację FETÖ/PDY („linia telefoniczna nr 2”). Z badań tych wynika, że w okresie od 22 listopada 2015 r. do 16 lipca 2016 r. obie linie telefoniczne przekazywały sygnały z tej</w:t>
      </w:r>
      <w:r w:rsidR="008152F6" w:rsidRPr="00FD65C9">
        <w:rPr>
          <w:lang w:val="pl-PL"/>
        </w:rPr>
        <w:t xml:space="preserve"> samej stacji bazowej. Wynika z </w:t>
      </w:r>
      <w:r w:rsidR="00E95B67" w:rsidRPr="00FD65C9">
        <w:rPr>
          <w:lang w:val="pl-PL"/>
        </w:rPr>
        <w:t xml:space="preserve">nich również, że linia telefoniczna nr 2 była wykorzystywana wyłącznie do dostępu do </w:t>
      </w:r>
      <w:r w:rsidR="00A66C39" w:rsidRPr="00A66C39">
        <w:rPr>
          <w:lang w:val="pl-PL"/>
        </w:rPr>
        <w:t>Internetu</w:t>
      </w:r>
      <w:r w:rsidR="00E95B67" w:rsidRPr="00FD65C9">
        <w:rPr>
          <w:lang w:val="pl-PL"/>
        </w:rPr>
        <w:t xml:space="preserve"> oraz że obie linie </w:t>
      </w:r>
      <w:r w:rsidR="008152F6" w:rsidRPr="00FD65C9">
        <w:rPr>
          <w:lang w:val="pl-PL"/>
        </w:rPr>
        <w:t>telefoniczne nadawały sygnały z </w:t>
      </w:r>
      <w:r w:rsidR="00E95B67" w:rsidRPr="00FD65C9">
        <w:rPr>
          <w:lang w:val="pl-PL"/>
        </w:rPr>
        <w:t xml:space="preserve">tej samej lokalizacji przez </w:t>
      </w:r>
      <w:r w:rsidR="00A66C39">
        <w:rPr>
          <w:lang w:val="pl-PL"/>
        </w:rPr>
        <w:t xml:space="preserve">okres </w:t>
      </w:r>
      <w:r w:rsidR="00E95B67" w:rsidRPr="00FD65C9">
        <w:rPr>
          <w:lang w:val="pl-PL"/>
        </w:rPr>
        <w:t>29 dni w różnych odstępach czasu.</w:t>
      </w:r>
    </w:p>
    <w:p w14:paraId="17548A86" w14:textId="36F9D32C"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40</w:t>
      </w:r>
      <w:r w:rsidRPr="00FD65C9">
        <w:rPr>
          <w:lang w:val="pl-PL"/>
        </w:rPr>
        <w:fldChar w:fldCharType="end"/>
      </w:r>
      <w:r w:rsidR="00E95B67" w:rsidRPr="00FD65C9">
        <w:rPr>
          <w:lang w:val="pl-PL"/>
        </w:rPr>
        <w:t xml:space="preserve">.  Ponadto ustalono, że z dwóch innych linii telefonicznych dzwoniono do osób, które później </w:t>
      </w:r>
      <w:r w:rsidR="00A66C39">
        <w:rPr>
          <w:lang w:val="pl-PL"/>
        </w:rPr>
        <w:t>zatrzymano w związku z</w:t>
      </w:r>
      <w:r w:rsidR="00E95B67" w:rsidRPr="00FD65C9">
        <w:rPr>
          <w:lang w:val="pl-PL"/>
        </w:rPr>
        <w:t xml:space="preserve"> przynależnoś</w:t>
      </w:r>
      <w:r w:rsidR="00A66C39">
        <w:rPr>
          <w:lang w:val="pl-PL"/>
        </w:rPr>
        <w:t>cią</w:t>
      </w:r>
      <w:r w:rsidR="00E95B67" w:rsidRPr="00FD65C9">
        <w:rPr>
          <w:lang w:val="pl-PL"/>
        </w:rPr>
        <w:t xml:space="preserve"> do organizacji FETÖ/PDY.</w:t>
      </w:r>
    </w:p>
    <w:p w14:paraId="2152EF1A" w14:textId="26EA7A80" w:rsidR="00E95B67" w:rsidRPr="00FD65C9" w:rsidRDefault="00E95B67" w:rsidP="00622760">
      <w:pPr>
        <w:pStyle w:val="ECHRHeading3"/>
        <w:rPr>
          <w:lang w:val="pl-PL"/>
        </w:rPr>
      </w:pPr>
      <w:r w:rsidRPr="00FD65C9">
        <w:rPr>
          <w:bCs w:val="0"/>
          <w:iCs/>
          <w:lang w:val="pl-PL"/>
        </w:rPr>
        <w:t xml:space="preserve">2.  Ocena przez </w:t>
      </w:r>
      <w:r w:rsidR="0056377A">
        <w:rPr>
          <w:lang w:val="pl-PL"/>
        </w:rPr>
        <w:t>TK</w:t>
      </w:r>
      <w:r w:rsidR="002964AD">
        <w:rPr>
          <w:lang w:val="pl-PL"/>
        </w:rPr>
        <w:t xml:space="preserve"> </w:t>
      </w:r>
      <w:r w:rsidRPr="00FD65C9">
        <w:rPr>
          <w:bCs w:val="0"/>
          <w:iCs/>
          <w:lang w:val="pl-PL"/>
        </w:rPr>
        <w:t xml:space="preserve">zarzutów dotyczących </w:t>
      </w:r>
      <w:r w:rsidR="00A66C39">
        <w:rPr>
          <w:bCs w:val="0"/>
          <w:iCs/>
          <w:lang w:val="pl-PL"/>
        </w:rPr>
        <w:t>legalności</w:t>
      </w:r>
      <w:r w:rsidRPr="00FD65C9">
        <w:rPr>
          <w:bCs w:val="0"/>
          <w:iCs/>
          <w:lang w:val="pl-PL"/>
        </w:rPr>
        <w:t xml:space="preserve"> </w:t>
      </w:r>
      <w:r w:rsidR="00A66C39" w:rsidRPr="00FD65C9">
        <w:rPr>
          <w:bCs w:val="0"/>
          <w:iCs/>
          <w:lang w:val="pl-PL"/>
        </w:rPr>
        <w:t>za</w:t>
      </w:r>
      <w:r w:rsidR="00A66C39">
        <w:rPr>
          <w:bCs w:val="0"/>
          <w:iCs/>
          <w:lang w:val="pl-PL"/>
        </w:rPr>
        <w:t>stosowania wobec</w:t>
      </w:r>
      <w:r w:rsidR="00A66C39" w:rsidRPr="00FD65C9">
        <w:rPr>
          <w:bCs w:val="0"/>
          <w:iCs/>
          <w:lang w:val="pl-PL"/>
        </w:rPr>
        <w:t xml:space="preserve"> </w:t>
      </w:r>
      <w:r w:rsidRPr="00FD65C9">
        <w:rPr>
          <w:bCs w:val="0"/>
          <w:iCs/>
          <w:lang w:val="pl-PL"/>
        </w:rPr>
        <w:t xml:space="preserve">skarżącego </w:t>
      </w:r>
      <w:r w:rsidR="00A66C39">
        <w:rPr>
          <w:bCs w:val="0"/>
          <w:iCs/>
          <w:lang w:val="pl-PL"/>
        </w:rPr>
        <w:t xml:space="preserve">tymczasowego aresztowania </w:t>
      </w:r>
      <w:r w:rsidRPr="00FD65C9">
        <w:rPr>
          <w:bCs w:val="0"/>
          <w:iCs/>
          <w:lang w:val="pl-PL"/>
        </w:rPr>
        <w:t xml:space="preserve">i rzekomego braku uzasadnionych powodów jego </w:t>
      </w:r>
      <w:r w:rsidR="00A66C39" w:rsidRPr="00FD65C9">
        <w:rPr>
          <w:bCs w:val="0"/>
          <w:iCs/>
          <w:lang w:val="pl-PL"/>
        </w:rPr>
        <w:t>za</w:t>
      </w:r>
      <w:r w:rsidR="00A66C39">
        <w:rPr>
          <w:bCs w:val="0"/>
          <w:iCs/>
          <w:lang w:val="pl-PL"/>
        </w:rPr>
        <w:t>stosowania</w:t>
      </w:r>
    </w:p>
    <w:p w14:paraId="05AB89AC" w14:textId="2A6E41DD"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41</w:t>
      </w:r>
      <w:r w:rsidRPr="00FD65C9">
        <w:rPr>
          <w:lang w:val="pl-PL"/>
        </w:rPr>
        <w:fldChar w:fldCharType="end"/>
      </w:r>
      <w:r w:rsidR="00E95B67" w:rsidRPr="00FD65C9">
        <w:rPr>
          <w:lang w:val="pl-PL"/>
        </w:rPr>
        <w:t xml:space="preserve">.  W odniesieniu do zarzutu dotyczącego legalności </w:t>
      </w:r>
      <w:r w:rsidR="00A66C39">
        <w:rPr>
          <w:lang w:val="pl-PL"/>
        </w:rPr>
        <w:t>zastosowania wobec</w:t>
      </w:r>
      <w:r w:rsidR="00A66C39" w:rsidRPr="00FD65C9">
        <w:rPr>
          <w:lang w:val="pl-PL"/>
        </w:rPr>
        <w:t xml:space="preserve"> </w:t>
      </w:r>
      <w:r w:rsidR="00E95B67" w:rsidRPr="00FD65C9">
        <w:rPr>
          <w:lang w:val="pl-PL"/>
        </w:rPr>
        <w:t>skarżącego</w:t>
      </w:r>
      <w:r w:rsidR="00A66C39">
        <w:rPr>
          <w:lang w:val="pl-PL"/>
        </w:rPr>
        <w:t xml:space="preserve"> tymczasowego aresztowania</w:t>
      </w:r>
      <w:r w:rsidR="00E95B67" w:rsidRPr="00FD65C9">
        <w:rPr>
          <w:lang w:val="pl-PL"/>
        </w:rPr>
        <w:t xml:space="preserve">, </w:t>
      </w:r>
      <w:r w:rsidR="0056377A">
        <w:rPr>
          <w:lang w:val="pl-PL"/>
        </w:rPr>
        <w:t>TK</w:t>
      </w:r>
      <w:r w:rsidR="00E95B67" w:rsidRPr="00FD65C9">
        <w:rPr>
          <w:lang w:val="pl-PL"/>
        </w:rPr>
        <w:t xml:space="preserve"> uznał na wstępie, że kwes</w:t>
      </w:r>
      <w:r w:rsidR="008152F6" w:rsidRPr="00FD65C9">
        <w:rPr>
          <w:lang w:val="pl-PL"/>
        </w:rPr>
        <w:t>tia ta powinna zostać zbadana w </w:t>
      </w:r>
      <w:r w:rsidR="00E95B67" w:rsidRPr="00FD65C9">
        <w:rPr>
          <w:lang w:val="pl-PL"/>
        </w:rPr>
        <w:t xml:space="preserve">świetle art. 15 Konstytucji, zgodnie z którym </w:t>
      </w:r>
      <w:r w:rsidR="00A66C39">
        <w:rPr>
          <w:lang w:val="pl-PL"/>
        </w:rPr>
        <w:t>w wyjątkowych sytuacjach</w:t>
      </w:r>
      <w:r w:rsidR="00E95B67" w:rsidRPr="00FD65C9">
        <w:rPr>
          <w:lang w:val="pl-PL"/>
        </w:rPr>
        <w:t xml:space="preserve"> wykonywanie podstawowych praw i wolności może </w:t>
      </w:r>
      <w:r w:rsidR="00A66C39">
        <w:rPr>
          <w:lang w:val="pl-PL"/>
        </w:rPr>
        <w:t xml:space="preserve">ulec </w:t>
      </w:r>
      <w:r w:rsidR="00E95B67" w:rsidRPr="00FD65C9">
        <w:rPr>
          <w:lang w:val="pl-PL"/>
        </w:rPr>
        <w:t>częściow</w:t>
      </w:r>
      <w:r w:rsidR="00A66C39">
        <w:rPr>
          <w:lang w:val="pl-PL"/>
        </w:rPr>
        <w:t>emu</w:t>
      </w:r>
      <w:r w:rsidR="00E95B67" w:rsidRPr="00FD65C9">
        <w:rPr>
          <w:lang w:val="pl-PL"/>
        </w:rPr>
        <w:t xml:space="preserve"> lub </w:t>
      </w:r>
      <w:r w:rsidR="00A66C39" w:rsidRPr="00FD65C9">
        <w:rPr>
          <w:lang w:val="pl-PL"/>
        </w:rPr>
        <w:t>całkowi</w:t>
      </w:r>
      <w:r w:rsidR="00A66C39">
        <w:rPr>
          <w:lang w:val="pl-PL"/>
        </w:rPr>
        <w:t>temu</w:t>
      </w:r>
      <w:r w:rsidR="00A66C39" w:rsidRPr="00FD65C9">
        <w:rPr>
          <w:lang w:val="pl-PL"/>
        </w:rPr>
        <w:t xml:space="preserve"> </w:t>
      </w:r>
      <w:r w:rsidR="00E95B67" w:rsidRPr="00FD65C9">
        <w:rPr>
          <w:lang w:val="pl-PL"/>
        </w:rPr>
        <w:t>zawiesz</w:t>
      </w:r>
      <w:r w:rsidR="00A66C39">
        <w:rPr>
          <w:lang w:val="pl-PL"/>
        </w:rPr>
        <w:t>eniu</w:t>
      </w:r>
      <w:r w:rsidR="00E95B67" w:rsidRPr="00FD65C9">
        <w:rPr>
          <w:lang w:val="pl-PL"/>
        </w:rPr>
        <w:t xml:space="preserve"> lub mogą zos</w:t>
      </w:r>
      <w:r w:rsidR="008152F6" w:rsidRPr="00FD65C9">
        <w:rPr>
          <w:lang w:val="pl-PL"/>
        </w:rPr>
        <w:t>tać przyjęte środki sprzeczne z </w:t>
      </w:r>
      <w:r w:rsidR="00E95B67" w:rsidRPr="00FD65C9">
        <w:rPr>
          <w:lang w:val="pl-PL"/>
        </w:rPr>
        <w:t xml:space="preserve">gwarancjami, jakie Konstytucja </w:t>
      </w:r>
      <w:r w:rsidR="00A66C39">
        <w:rPr>
          <w:lang w:val="pl-PL"/>
        </w:rPr>
        <w:t>wiąże  z</w:t>
      </w:r>
      <w:r w:rsidR="00A66C39" w:rsidRPr="00FD65C9">
        <w:rPr>
          <w:lang w:val="pl-PL"/>
        </w:rPr>
        <w:t xml:space="preserve"> </w:t>
      </w:r>
      <w:r w:rsidR="00E95B67" w:rsidRPr="00FD65C9">
        <w:rPr>
          <w:lang w:val="pl-PL"/>
        </w:rPr>
        <w:t>tym</w:t>
      </w:r>
      <w:r w:rsidR="00A66C39">
        <w:rPr>
          <w:lang w:val="pl-PL"/>
        </w:rPr>
        <w:t>i</w:t>
      </w:r>
      <w:r w:rsidR="00E95B67" w:rsidRPr="00FD65C9">
        <w:rPr>
          <w:lang w:val="pl-PL"/>
        </w:rPr>
        <w:t xml:space="preserve"> </w:t>
      </w:r>
      <w:r w:rsidR="00A66C39" w:rsidRPr="00FD65C9">
        <w:rPr>
          <w:lang w:val="pl-PL"/>
        </w:rPr>
        <w:t>praw</w:t>
      </w:r>
      <w:r w:rsidR="00A66C39">
        <w:rPr>
          <w:lang w:val="pl-PL"/>
        </w:rPr>
        <w:t>ami</w:t>
      </w:r>
      <w:r w:rsidR="00A66C39" w:rsidRPr="00FD65C9">
        <w:rPr>
          <w:lang w:val="pl-PL"/>
        </w:rPr>
        <w:t xml:space="preserve"> </w:t>
      </w:r>
      <w:r w:rsidR="00E95B67" w:rsidRPr="00FD65C9">
        <w:rPr>
          <w:lang w:val="pl-PL"/>
        </w:rPr>
        <w:t xml:space="preserve">i </w:t>
      </w:r>
      <w:r w:rsidR="00A66C39" w:rsidRPr="00FD65C9">
        <w:rPr>
          <w:lang w:val="pl-PL"/>
        </w:rPr>
        <w:t>wolności</w:t>
      </w:r>
      <w:r w:rsidR="00A66C39">
        <w:rPr>
          <w:lang w:val="pl-PL"/>
        </w:rPr>
        <w:t>ami</w:t>
      </w:r>
      <w:r w:rsidR="00E95B67" w:rsidRPr="00FD65C9">
        <w:rPr>
          <w:lang w:val="pl-PL"/>
        </w:rPr>
        <w:t>.</w:t>
      </w:r>
    </w:p>
    <w:p w14:paraId="20CD3B11" w14:textId="0DC7CCAA"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42</w:t>
      </w:r>
      <w:r w:rsidRPr="00FD65C9">
        <w:rPr>
          <w:lang w:val="pl-PL"/>
        </w:rPr>
        <w:fldChar w:fldCharType="end"/>
      </w:r>
      <w:r w:rsidR="00E95B67" w:rsidRPr="00FD65C9">
        <w:rPr>
          <w:lang w:val="pl-PL"/>
        </w:rPr>
        <w:t>.  </w:t>
      </w:r>
      <w:r w:rsidR="00A66C39">
        <w:rPr>
          <w:lang w:val="pl-PL"/>
        </w:rPr>
        <w:t>W przedmiocie</w:t>
      </w:r>
      <w:r w:rsidR="00E95B67" w:rsidRPr="00FD65C9">
        <w:rPr>
          <w:lang w:val="pl-PL"/>
        </w:rPr>
        <w:t xml:space="preserve"> skargi, po pierwsze, </w:t>
      </w:r>
      <w:r w:rsidR="00453A65">
        <w:rPr>
          <w:lang w:val="pl-PL"/>
        </w:rPr>
        <w:t>Trybunał Konstytucyjny</w:t>
      </w:r>
      <w:r w:rsidR="00A66C39" w:rsidRPr="00FD65C9">
        <w:rPr>
          <w:lang w:val="pl-PL"/>
        </w:rPr>
        <w:t xml:space="preserve"> </w:t>
      </w:r>
      <w:r w:rsidR="00E95B67" w:rsidRPr="00FD65C9">
        <w:rPr>
          <w:lang w:val="pl-PL"/>
        </w:rPr>
        <w:t xml:space="preserve">uznał, że bezsporne jest, iż zarzucane przestępstwo, a mianowicie przynależność do zbrojnej organizacji terrorystycznej, jest przestępstwem o charakterze niepolitycznym, zagrożonym surową karą, a zatem podlegającym jurysdykcji sądów przysięgłych. Po drugie </w:t>
      </w:r>
      <w:r w:rsidR="00453A65">
        <w:rPr>
          <w:lang w:val="pl-PL"/>
        </w:rPr>
        <w:t>Trybunał Konstytucyjny</w:t>
      </w:r>
      <w:r w:rsidR="00453A65" w:rsidRPr="00FD65C9">
        <w:rPr>
          <w:lang w:val="pl-PL"/>
        </w:rPr>
        <w:t xml:space="preserve"> </w:t>
      </w:r>
      <w:r w:rsidR="00E95B67" w:rsidRPr="00FD65C9">
        <w:rPr>
          <w:lang w:val="pl-PL"/>
        </w:rPr>
        <w:t>zauważa, co następuje:</w:t>
      </w:r>
    </w:p>
    <w:p w14:paraId="7C5FBBC3" w14:textId="0C647064" w:rsidR="00E95B67" w:rsidRPr="00FD65C9" w:rsidRDefault="00E95B67" w:rsidP="00622760">
      <w:pPr>
        <w:pStyle w:val="ECHRParaQuote"/>
        <w:rPr>
          <w:lang w:val="pl-PL"/>
        </w:rPr>
      </w:pPr>
      <w:r w:rsidRPr="00FD65C9">
        <w:rPr>
          <w:lang w:val="pl-PL"/>
        </w:rPr>
        <w:t>„123. Nie ma wątpliwości, że przestępstwo</w:t>
      </w:r>
      <w:r w:rsidR="00A66C39">
        <w:rPr>
          <w:lang w:val="pl-PL"/>
        </w:rPr>
        <w:t xml:space="preserve"> zarzucone</w:t>
      </w:r>
      <w:r w:rsidRPr="00FD65C9">
        <w:rPr>
          <w:lang w:val="pl-PL"/>
        </w:rPr>
        <w:t xml:space="preserve"> oskarżon</w:t>
      </w:r>
      <w:r w:rsidR="00A66C39">
        <w:rPr>
          <w:lang w:val="pl-PL"/>
        </w:rPr>
        <w:t>emu</w:t>
      </w:r>
      <w:r w:rsidRPr="00FD65C9">
        <w:rPr>
          <w:lang w:val="pl-PL"/>
        </w:rPr>
        <w:t xml:space="preserve"> [</w:t>
      </w:r>
      <w:proofErr w:type="spellStart"/>
      <w:r w:rsidRPr="00FD65C9">
        <w:rPr>
          <w:lang w:val="pl-PL"/>
        </w:rPr>
        <w:t>Alparslan</w:t>
      </w:r>
      <w:r w:rsidR="0097789C">
        <w:rPr>
          <w:lang w:val="pl-PL"/>
        </w:rPr>
        <w:t>owi</w:t>
      </w:r>
      <w:proofErr w:type="spellEnd"/>
      <w:r w:rsidRPr="00FD65C9">
        <w:rPr>
          <w:lang w:val="pl-PL"/>
        </w:rPr>
        <w:t xml:space="preserve"> Altan</w:t>
      </w:r>
      <w:r w:rsidR="0097789C">
        <w:rPr>
          <w:lang w:val="pl-PL"/>
        </w:rPr>
        <w:t>owi</w:t>
      </w:r>
      <w:r w:rsidRPr="00FD65C9">
        <w:rPr>
          <w:lang w:val="pl-PL"/>
        </w:rPr>
        <w:t>]</w:t>
      </w:r>
      <w:r w:rsidR="00A66C39">
        <w:rPr>
          <w:lang w:val="pl-PL"/>
        </w:rPr>
        <w:t>,</w:t>
      </w:r>
      <w:r w:rsidRPr="00FD65C9">
        <w:rPr>
          <w:lang w:val="pl-PL"/>
        </w:rPr>
        <w:t xml:space="preserve"> które </w:t>
      </w:r>
      <w:r w:rsidR="00A66C39">
        <w:rPr>
          <w:lang w:val="pl-PL"/>
        </w:rPr>
        <w:t>zagrożone jest</w:t>
      </w:r>
      <w:r w:rsidR="00A66C39" w:rsidRPr="00FD65C9">
        <w:rPr>
          <w:lang w:val="pl-PL"/>
        </w:rPr>
        <w:t xml:space="preserve"> </w:t>
      </w:r>
      <w:r w:rsidRPr="00FD65C9">
        <w:rPr>
          <w:lang w:val="pl-PL"/>
        </w:rPr>
        <w:t>kar</w:t>
      </w:r>
      <w:r w:rsidR="00A66C39">
        <w:rPr>
          <w:lang w:val="pl-PL"/>
        </w:rPr>
        <w:t>ą</w:t>
      </w:r>
      <w:r w:rsidRPr="00FD65C9">
        <w:rPr>
          <w:lang w:val="pl-PL"/>
        </w:rPr>
        <w:t xml:space="preserve"> na podstawie art. 314 kodeksu karnego, a mianowicie przynależność do zbrojnej organizacji terrorystycznej, jest przestępstwem podlegającym właściwości sądu przysięgłych, co nie jest kwestionowane przez [zainteresowanego]. Z drugiej strony, chociaż [</w:t>
      </w:r>
      <w:proofErr w:type="spellStart"/>
      <w:r w:rsidRPr="00FD65C9">
        <w:rPr>
          <w:lang w:val="pl-PL"/>
        </w:rPr>
        <w:t>Alparslan</w:t>
      </w:r>
      <w:proofErr w:type="spellEnd"/>
      <w:r w:rsidRPr="00FD65C9">
        <w:rPr>
          <w:lang w:val="pl-PL"/>
        </w:rPr>
        <w:t xml:space="preserve"> Altan] utrzymuje, że </w:t>
      </w:r>
      <w:r w:rsidR="00A66C39">
        <w:rPr>
          <w:lang w:val="pl-PL"/>
        </w:rPr>
        <w:t>w jego sprawie prowadzono</w:t>
      </w:r>
      <w:r w:rsidRPr="00FD65C9">
        <w:rPr>
          <w:lang w:val="pl-PL"/>
        </w:rPr>
        <w:t xml:space="preserve"> postępowani</w:t>
      </w:r>
      <w:r w:rsidR="00A66C39">
        <w:rPr>
          <w:lang w:val="pl-PL"/>
        </w:rPr>
        <w:t>e</w:t>
      </w:r>
      <w:r w:rsidRPr="00FD65C9">
        <w:rPr>
          <w:lang w:val="pl-PL"/>
        </w:rPr>
        <w:t xml:space="preserve"> karne z powodu </w:t>
      </w:r>
      <w:r w:rsidR="00A66C39">
        <w:rPr>
          <w:lang w:val="pl-PL"/>
        </w:rPr>
        <w:t>jego</w:t>
      </w:r>
      <w:r w:rsidR="00A66C39" w:rsidRPr="00FD65C9">
        <w:rPr>
          <w:lang w:val="pl-PL"/>
        </w:rPr>
        <w:t xml:space="preserve"> </w:t>
      </w:r>
      <w:r w:rsidR="008152F6" w:rsidRPr="00FD65C9">
        <w:rPr>
          <w:lang w:val="pl-PL"/>
        </w:rPr>
        <w:t>opinii rozbieżnych wyrażonych w </w:t>
      </w:r>
      <w:r w:rsidRPr="00FD65C9">
        <w:rPr>
          <w:lang w:val="pl-PL"/>
        </w:rPr>
        <w:t xml:space="preserve">niektórych wyrokach </w:t>
      </w:r>
      <w:r w:rsidR="0056377A">
        <w:rPr>
          <w:lang w:val="pl-PL"/>
        </w:rPr>
        <w:t>TK</w:t>
      </w:r>
      <w:r w:rsidRPr="00FD65C9">
        <w:rPr>
          <w:lang w:val="pl-PL"/>
        </w:rPr>
        <w:t xml:space="preserve">, nie twierdzi, że zarzucane mu przestępstwo nie stanowi przestępstwa o charakterze niepolitycznym, tj. przestępstwa, które nie zostało popełnione podczas sprawowania urzędu lub w trakcie wykonywania obowiązków służbowych). Kwalifikacja przestępstwa (przestępstwo o charakterze niepolitycznym lub przestępstwo związane z wykonywaniem obowiązków służbowych) należy do właściwości organów sądowych. Zgodność takiej kwalifikacji z prawem może być również badana w ramach apelacji lub skargi kasacyjnej. </w:t>
      </w:r>
      <w:r w:rsidR="00A66C39">
        <w:rPr>
          <w:lang w:val="pl-PL"/>
        </w:rPr>
        <w:t>Z wyjątkiem</w:t>
      </w:r>
      <w:r w:rsidR="00A66C39" w:rsidRPr="00FD65C9">
        <w:rPr>
          <w:lang w:val="pl-PL"/>
        </w:rPr>
        <w:t xml:space="preserve"> </w:t>
      </w:r>
      <w:r w:rsidRPr="00FD65C9">
        <w:rPr>
          <w:lang w:val="pl-PL"/>
        </w:rPr>
        <w:t xml:space="preserve">wykładni </w:t>
      </w:r>
      <w:r w:rsidR="00A66C39">
        <w:rPr>
          <w:lang w:val="pl-PL"/>
        </w:rPr>
        <w:t xml:space="preserve">arbitralnej </w:t>
      </w:r>
      <w:r w:rsidRPr="00FD65C9">
        <w:rPr>
          <w:lang w:val="pl-PL"/>
        </w:rPr>
        <w:t>– w sposób oczywisty sprzecznej z Konstytucją – i tym samym [</w:t>
      </w:r>
      <w:r w:rsidR="00A66C39" w:rsidRPr="00FD65C9">
        <w:rPr>
          <w:lang w:val="pl-PL"/>
        </w:rPr>
        <w:t>narusz</w:t>
      </w:r>
      <w:r w:rsidR="00A66C39">
        <w:rPr>
          <w:lang w:val="pl-PL"/>
        </w:rPr>
        <w:t>enia</w:t>
      </w:r>
      <w:r w:rsidRPr="00FD65C9">
        <w:rPr>
          <w:lang w:val="pl-PL"/>
        </w:rPr>
        <w:t xml:space="preserve">] praw i wolności, to przede wszystkim do sądów </w:t>
      </w:r>
      <w:r w:rsidR="009A6089">
        <w:rPr>
          <w:lang w:val="pl-PL"/>
        </w:rPr>
        <w:t>orzekających</w:t>
      </w:r>
      <w:r w:rsidRPr="00FD65C9">
        <w:rPr>
          <w:lang w:val="pl-PL"/>
        </w:rPr>
        <w:t xml:space="preserve"> (</w:t>
      </w:r>
      <w:proofErr w:type="spellStart"/>
      <w:r w:rsidRPr="00FD65C9">
        <w:rPr>
          <w:i/>
          <w:iCs/>
          <w:lang w:val="pl-PL"/>
        </w:rPr>
        <w:t>derece</w:t>
      </w:r>
      <w:proofErr w:type="spellEnd"/>
      <w:r w:rsidRPr="00FD65C9">
        <w:rPr>
          <w:i/>
          <w:iCs/>
          <w:lang w:val="pl-PL"/>
        </w:rPr>
        <w:t xml:space="preserve"> </w:t>
      </w:r>
      <w:proofErr w:type="spellStart"/>
      <w:r w:rsidRPr="00FD65C9">
        <w:rPr>
          <w:i/>
          <w:iCs/>
          <w:lang w:val="pl-PL"/>
        </w:rPr>
        <w:t>mahkemeleri</w:t>
      </w:r>
      <w:proofErr w:type="spellEnd"/>
      <w:r w:rsidRPr="00FD65C9">
        <w:rPr>
          <w:lang w:val="pl-PL"/>
        </w:rPr>
        <w:t>) należy wykładn</w:t>
      </w:r>
      <w:r w:rsidR="008152F6" w:rsidRPr="00FD65C9">
        <w:rPr>
          <w:lang w:val="pl-PL"/>
        </w:rPr>
        <w:t xml:space="preserve">ia i stosowanie prawa, w tym </w:t>
      </w:r>
      <w:r w:rsidRPr="00FD65C9">
        <w:rPr>
          <w:lang w:val="pl-PL"/>
        </w:rPr>
        <w:t>kwalifikacj</w:t>
      </w:r>
      <w:r w:rsidR="009A6089">
        <w:rPr>
          <w:lang w:val="pl-PL"/>
        </w:rPr>
        <w:t>a</w:t>
      </w:r>
      <w:r w:rsidRPr="00FD65C9">
        <w:rPr>
          <w:lang w:val="pl-PL"/>
        </w:rPr>
        <w:t xml:space="preserve"> przestę</w:t>
      </w:r>
      <w:r w:rsidR="008152F6" w:rsidRPr="00FD65C9">
        <w:rPr>
          <w:lang w:val="pl-PL"/>
        </w:rPr>
        <w:t xml:space="preserve">pstwa. Nie można </w:t>
      </w:r>
      <w:r w:rsidR="009A6089">
        <w:rPr>
          <w:lang w:val="pl-PL"/>
        </w:rPr>
        <w:t>uzna</w:t>
      </w:r>
      <w:r w:rsidR="009A6089" w:rsidRPr="00FD65C9">
        <w:rPr>
          <w:lang w:val="pl-PL"/>
        </w:rPr>
        <w:t>ć</w:t>
      </w:r>
      <w:r w:rsidR="008152F6" w:rsidRPr="00FD65C9">
        <w:rPr>
          <w:lang w:val="pl-PL"/>
        </w:rPr>
        <w:t>, że </w:t>
      </w:r>
      <w:r w:rsidRPr="00FD65C9">
        <w:rPr>
          <w:lang w:val="pl-PL"/>
        </w:rPr>
        <w:t>zakwalifikowanie czynu zarzucanego [</w:t>
      </w:r>
      <w:proofErr w:type="spellStart"/>
      <w:r w:rsidRPr="00FD65C9">
        <w:rPr>
          <w:lang w:val="pl-PL"/>
        </w:rPr>
        <w:t>Alparslanow</w:t>
      </w:r>
      <w:r w:rsidR="008152F6" w:rsidRPr="00FD65C9">
        <w:rPr>
          <w:lang w:val="pl-PL"/>
        </w:rPr>
        <w:t>i</w:t>
      </w:r>
      <w:proofErr w:type="spellEnd"/>
      <w:r w:rsidR="008152F6" w:rsidRPr="00FD65C9">
        <w:rPr>
          <w:lang w:val="pl-PL"/>
        </w:rPr>
        <w:t xml:space="preserve"> Altanowi] jako przestępstwa o </w:t>
      </w:r>
      <w:r w:rsidRPr="00FD65C9">
        <w:rPr>
          <w:lang w:val="pl-PL"/>
        </w:rPr>
        <w:t>charakterze niepolitycznym było nieuzasadnione i arbitralne, biorąc pod uwagę ustalenia i</w:t>
      </w:r>
      <w:r w:rsidR="008F5D4A">
        <w:rPr>
          <w:lang w:val="pl-PL"/>
        </w:rPr>
        <w:t xml:space="preserve"> </w:t>
      </w:r>
      <w:r w:rsidR="009A6089">
        <w:rPr>
          <w:lang w:val="pl-PL"/>
        </w:rPr>
        <w:t>wnioski</w:t>
      </w:r>
      <w:r w:rsidRPr="00FD65C9">
        <w:rPr>
          <w:lang w:val="pl-PL"/>
        </w:rPr>
        <w:t xml:space="preserve"> [organów śledczych i sądowych], a w szczególności dokumenty dotyczące </w:t>
      </w:r>
      <w:r w:rsidR="009A6089">
        <w:rPr>
          <w:lang w:val="pl-PL"/>
        </w:rPr>
        <w:t>zastosowanego wobec [skarżącego]</w:t>
      </w:r>
      <w:r w:rsidRPr="00FD65C9">
        <w:rPr>
          <w:lang w:val="pl-PL"/>
        </w:rPr>
        <w:t xml:space="preserve"> tymczasowego aresztowania.</w:t>
      </w:r>
    </w:p>
    <w:p w14:paraId="7FB317B4" w14:textId="0708A7BD" w:rsidR="00E95B67" w:rsidRPr="00FD65C9" w:rsidRDefault="00E95B67" w:rsidP="00622760">
      <w:pPr>
        <w:pStyle w:val="ECHRParaQuote"/>
        <w:rPr>
          <w:lang w:val="pl-PL"/>
        </w:rPr>
      </w:pPr>
      <w:r w:rsidRPr="00FD65C9">
        <w:rPr>
          <w:lang w:val="pl-PL"/>
        </w:rPr>
        <w:t xml:space="preserve">124. W niniejszej sprawie, gdy organy śledcze uznały, że jest to przypadek </w:t>
      </w:r>
      <w:r w:rsidR="00AD4D3A">
        <w:rPr>
          <w:i/>
          <w:iCs/>
          <w:lang w:val="pl-PL"/>
        </w:rPr>
        <w:t xml:space="preserve">in </w:t>
      </w:r>
      <w:proofErr w:type="spellStart"/>
      <w:r w:rsidR="00AD4D3A">
        <w:rPr>
          <w:i/>
          <w:iCs/>
          <w:lang w:val="pl-PL"/>
        </w:rPr>
        <w:t>flagrante</w:t>
      </w:r>
      <w:proofErr w:type="spellEnd"/>
      <w:r w:rsidRPr="00FD65C9">
        <w:rPr>
          <w:i/>
          <w:iCs/>
          <w:lang w:val="pl-PL"/>
        </w:rPr>
        <w:t xml:space="preserve"> </w:t>
      </w:r>
      <w:proofErr w:type="spellStart"/>
      <w:r w:rsidRPr="00FD65C9">
        <w:rPr>
          <w:i/>
          <w:iCs/>
          <w:lang w:val="pl-PL"/>
        </w:rPr>
        <w:t>delicto</w:t>
      </w:r>
      <w:proofErr w:type="spellEnd"/>
      <w:r w:rsidRPr="00FD65C9">
        <w:rPr>
          <w:lang w:val="pl-PL"/>
        </w:rPr>
        <w:t>, oparły się na próbie zamachu stanu z dnia 15 l</w:t>
      </w:r>
      <w:r w:rsidR="008152F6" w:rsidRPr="00FD65C9">
        <w:rPr>
          <w:lang w:val="pl-PL"/>
        </w:rPr>
        <w:t>ipca 2016 r. oraz na fakcie, że </w:t>
      </w:r>
      <w:r w:rsidR="009A6089">
        <w:rPr>
          <w:lang w:val="pl-PL"/>
        </w:rPr>
        <w:t>zarzucane</w:t>
      </w:r>
      <w:r w:rsidRPr="00FD65C9">
        <w:rPr>
          <w:lang w:val="pl-PL"/>
        </w:rPr>
        <w:t xml:space="preserve"> [</w:t>
      </w:r>
      <w:proofErr w:type="spellStart"/>
      <w:r w:rsidRPr="00FD65C9">
        <w:rPr>
          <w:lang w:val="pl-PL"/>
        </w:rPr>
        <w:t>Alparslan</w:t>
      </w:r>
      <w:r w:rsidR="009A6089">
        <w:rPr>
          <w:lang w:val="pl-PL"/>
        </w:rPr>
        <w:t>owi</w:t>
      </w:r>
      <w:proofErr w:type="spellEnd"/>
      <w:r w:rsidRPr="00FD65C9">
        <w:rPr>
          <w:lang w:val="pl-PL"/>
        </w:rPr>
        <w:t xml:space="preserve"> Altan</w:t>
      </w:r>
      <w:r w:rsidR="009A6089">
        <w:rPr>
          <w:lang w:val="pl-PL"/>
        </w:rPr>
        <w:t>owi</w:t>
      </w:r>
      <w:r w:rsidRPr="00FD65C9">
        <w:rPr>
          <w:lang w:val="pl-PL"/>
        </w:rPr>
        <w:t>]</w:t>
      </w:r>
      <w:r w:rsidR="009A6089">
        <w:rPr>
          <w:lang w:val="pl-PL"/>
        </w:rPr>
        <w:t xml:space="preserve"> przestępstwo</w:t>
      </w:r>
      <w:r w:rsidRPr="00FD65C9">
        <w:rPr>
          <w:lang w:val="pl-PL"/>
        </w:rPr>
        <w:t xml:space="preserve">, czyli przynależność do zbrojnej organizacji terrorystycznej, jest </w:t>
      </w:r>
      <w:r w:rsidR="009A6089" w:rsidRPr="00FD65C9">
        <w:rPr>
          <w:lang w:val="pl-PL"/>
        </w:rPr>
        <w:t xml:space="preserve">czynem </w:t>
      </w:r>
      <w:r w:rsidRPr="00FD65C9">
        <w:rPr>
          <w:lang w:val="pl-PL"/>
        </w:rPr>
        <w:t>o charakterze ciągłym.</w:t>
      </w:r>
    </w:p>
    <w:p w14:paraId="14A15BF0" w14:textId="4DED68C1" w:rsidR="00E95B67" w:rsidRPr="00FD65C9" w:rsidRDefault="00E95B67" w:rsidP="00622760">
      <w:pPr>
        <w:pStyle w:val="ECHRParaQuote"/>
        <w:rPr>
          <w:lang w:val="pl-PL"/>
        </w:rPr>
      </w:pPr>
      <w:r w:rsidRPr="00FD65C9">
        <w:rPr>
          <w:lang w:val="pl-PL"/>
        </w:rPr>
        <w:t xml:space="preserve">125. Zgodnie z utrwaloną praktyką sądu kasacyjnego, przestępstwo przynależności do zbrojnej organizacji terrorystycznej jest </w:t>
      </w:r>
      <w:r w:rsidR="009A6089" w:rsidRPr="00FD65C9">
        <w:rPr>
          <w:lang w:val="pl-PL"/>
        </w:rPr>
        <w:t xml:space="preserve">czynem </w:t>
      </w:r>
      <w:r w:rsidRPr="00FD65C9">
        <w:rPr>
          <w:lang w:val="pl-PL"/>
        </w:rPr>
        <w:t>o charakterze ciągłym (</w:t>
      </w:r>
      <w:proofErr w:type="spellStart"/>
      <w:r w:rsidRPr="00FD65C9">
        <w:rPr>
          <w:i/>
          <w:iCs/>
          <w:lang w:val="pl-PL"/>
        </w:rPr>
        <w:t>temadi</w:t>
      </w:r>
      <w:proofErr w:type="spellEnd"/>
      <w:r w:rsidRPr="00FD65C9">
        <w:rPr>
          <w:i/>
          <w:iCs/>
          <w:lang w:val="pl-PL"/>
        </w:rPr>
        <w:t xml:space="preserve"> eden </w:t>
      </w:r>
      <w:proofErr w:type="spellStart"/>
      <w:r w:rsidRPr="00FD65C9">
        <w:rPr>
          <w:i/>
          <w:iCs/>
          <w:lang w:val="pl-PL"/>
        </w:rPr>
        <w:t>suç</w:t>
      </w:r>
      <w:proofErr w:type="spellEnd"/>
      <w:r w:rsidRPr="00FD65C9">
        <w:rPr>
          <w:lang w:val="pl-PL"/>
        </w:rPr>
        <w:t>).</w:t>
      </w:r>
    </w:p>
    <w:p w14:paraId="0D50D04C" w14:textId="77777777" w:rsidR="00E95B67" w:rsidRPr="00FD65C9" w:rsidRDefault="00E95B67" w:rsidP="00622760">
      <w:pPr>
        <w:pStyle w:val="ECHRParaQuote"/>
        <w:rPr>
          <w:lang w:val="pl-PL"/>
        </w:rPr>
      </w:pPr>
      <w:r w:rsidRPr="00FD65C9">
        <w:rPr>
          <w:lang w:val="pl-PL"/>
        </w:rPr>
        <w:t>[...]</w:t>
      </w:r>
    </w:p>
    <w:p w14:paraId="7053995F" w14:textId="12A2B580" w:rsidR="00E95B67" w:rsidRPr="00FD65C9" w:rsidRDefault="00E95B67" w:rsidP="00622760">
      <w:pPr>
        <w:pStyle w:val="ECHRParaQuote"/>
        <w:rPr>
          <w:lang w:val="pl-PL"/>
        </w:rPr>
      </w:pPr>
      <w:r w:rsidRPr="00FD65C9">
        <w:rPr>
          <w:lang w:val="pl-PL"/>
        </w:rPr>
        <w:t>127. [...] Obradujące w pełnym składzie izby karne sądu kasacyjnego uznały również w sprawie dotyczącej skazania dwóch sędz</w:t>
      </w:r>
      <w:r w:rsidR="008152F6" w:rsidRPr="00FD65C9">
        <w:rPr>
          <w:lang w:val="pl-PL"/>
        </w:rPr>
        <w:t>iów [...], że „jak wyjaśniono w </w:t>
      </w:r>
      <w:r w:rsidRPr="00FD65C9">
        <w:rPr>
          <w:lang w:val="pl-PL"/>
        </w:rPr>
        <w:t xml:space="preserve">utrwalonym i aktualnym orzecznictwie sądu kasacyjnego, w odniesieniu do przestępstwa przynależności do zbrojnej organizacji terrorystycznej, które stanowi </w:t>
      </w:r>
      <w:r w:rsidR="009A6089">
        <w:rPr>
          <w:lang w:val="pl-PL"/>
        </w:rPr>
        <w:t>czyn</w:t>
      </w:r>
      <w:r w:rsidR="009A6089" w:rsidRPr="00FD65C9">
        <w:rPr>
          <w:lang w:val="pl-PL"/>
        </w:rPr>
        <w:t xml:space="preserve"> </w:t>
      </w:r>
      <w:r w:rsidRPr="00FD65C9">
        <w:rPr>
          <w:lang w:val="pl-PL"/>
        </w:rPr>
        <w:t xml:space="preserve">o charakterze ciągłym, z wyjątkiem przypadków, w których [ciągłość kończy się] wraz z rozwiązaniem tej organizacji lub ustaniem członkostwa [w takiej strukturze], [wspomniana] ciągłość może </w:t>
      </w:r>
      <w:r w:rsidR="009A6089">
        <w:rPr>
          <w:lang w:val="pl-PL"/>
        </w:rPr>
        <w:t>ulec</w:t>
      </w:r>
      <w:r w:rsidR="009A6089" w:rsidRPr="00FD65C9">
        <w:rPr>
          <w:lang w:val="pl-PL"/>
        </w:rPr>
        <w:t xml:space="preserve"> </w:t>
      </w:r>
      <w:r w:rsidRPr="00FD65C9">
        <w:rPr>
          <w:lang w:val="pl-PL"/>
        </w:rPr>
        <w:t>przerwan</w:t>
      </w:r>
      <w:r w:rsidR="009A6089">
        <w:rPr>
          <w:lang w:val="pl-PL"/>
        </w:rPr>
        <w:t>iu</w:t>
      </w:r>
      <w:r w:rsidRPr="00FD65C9">
        <w:rPr>
          <w:lang w:val="pl-PL"/>
        </w:rPr>
        <w:t xml:space="preserve"> </w:t>
      </w:r>
      <w:r w:rsidR="009A6089">
        <w:rPr>
          <w:lang w:val="pl-PL"/>
        </w:rPr>
        <w:t>wskutek</w:t>
      </w:r>
      <w:r w:rsidR="009A6089" w:rsidRPr="00FD65C9">
        <w:rPr>
          <w:lang w:val="pl-PL"/>
        </w:rPr>
        <w:t xml:space="preserve"> </w:t>
      </w:r>
      <w:r w:rsidR="009A6089">
        <w:rPr>
          <w:lang w:val="pl-PL"/>
        </w:rPr>
        <w:t xml:space="preserve">zatrzymania </w:t>
      </w:r>
      <w:r w:rsidRPr="00FD65C9">
        <w:rPr>
          <w:lang w:val="pl-PL"/>
        </w:rPr>
        <w:t xml:space="preserve">sprawcy. Należy zatem odpowiednio określić czas i miejsce popełnienia przestępstwa. Z tego powodu mamy do czynienia z </w:t>
      </w:r>
      <w:r w:rsidR="009A6089">
        <w:rPr>
          <w:lang w:val="pl-PL"/>
        </w:rPr>
        <w:t xml:space="preserve">przypadkiem </w:t>
      </w:r>
      <w:r w:rsidR="00AD4D3A">
        <w:rPr>
          <w:i/>
          <w:iCs/>
          <w:lang w:val="pl-PL"/>
        </w:rPr>
        <w:t xml:space="preserve">in </w:t>
      </w:r>
      <w:proofErr w:type="spellStart"/>
      <w:r w:rsidR="00AD4D3A">
        <w:rPr>
          <w:i/>
          <w:iCs/>
          <w:lang w:val="pl-PL"/>
        </w:rPr>
        <w:t>flagrante</w:t>
      </w:r>
      <w:proofErr w:type="spellEnd"/>
      <w:r w:rsidRPr="00FD65C9">
        <w:rPr>
          <w:i/>
          <w:iCs/>
          <w:lang w:val="pl-PL"/>
        </w:rPr>
        <w:t xml:space="preserve"> </w:t>
      </w:r>
      <w:proofErr w:type="spellStart"/>
      <w:r w:rsidRPr="00FD65C9">
        <w:rPr>
          <w:i/>
          <w:iCs/>
          <w:lang w:val="pl-PL"/>
        </w:rPr>
        <w:t>delicto</w:t>
      </w:r>
      <w:proofErr w:type="spellEnd"/>
      <w:r w:rsidRPr="00FD65C9">
        <w:rPr>
          <w:i/>
          <w:iCs/>
          <w:lang w:val="pl-PL"/>
        </w:rPr>
        <w:t xml:space="preserve"> </w:t>
      </w:r>
      <w:r w:rsidRPr="00FD65C9">
        <w:rPr>
          <w:lang w:val="pl-PL"/>
        </w:rPr>
        <w:t xml:space="preserve">w </w:t>
      </w:r>
      <w:r w:rsidR="009A6089">
        <w:rPr>
          <w:lang w:val="pl-PL"/>
        </w:rPr>
        <w:t>chwili zatrzymania</w:t>
      </w:r>
      <w:r w:rsidRPr="00FD65C9">
        <w:rPr>
          <w:lang w:val="pl-PL"/>
        </w:rPr>
        <w:t xml:space="preserve"> sędziów podejrzanych o przestępstwo przynależności do organizacji zbrojnej”.</w:t>
      </w:r>
    </w:p>
    <w:p w14:paraId="522FC054" w14:textId="00120587" w:rsidR="00E95B67" w:rsidRPr="00FD65C9" w:rsidRDefault="00E95B67" w:rsidP="00622760">
      <w:pPr>
        <w:pStyle w:val="ECHRParaQuote"/>
        <w:rPr>
          <w:lang w:val="pl-PL"/>
        </w:rPr>
      </w:pPr>
      <w:r w:rsidRPr="00FD65C9">
        <w:rPr>
          <w:lang w:val="pl-PL"/>
        </w:rPr>
        <w:t>128. Biorąc pod uwagę wyżej wymienione wyroki sądu kasacyjnego oraz fakt, że [</w:t>
      </w:r>
      <w:proofErr w:type="spellStart"/>
      <w:r w:rsidRPr="00FD65C9">
        <w:rPr>
          <w:lang w:val="pl-PL"/>
        </w:rPr>
        <w:t>Alparslan</w:t>
      </w:r>
      <w:proofErr w:type="spellEnd"/>
      <w:r w:rsidRPr="00FD65C9">
        <w:rPr>
          <w:lang w:val="pl-PL"/>
        </w:rPr>
        <w:t xml:space="preserve"> Altan] został </w:t>
      </w:r>
      <w:r w:rsidR="009A6089">
        <w:rPr>
          <w:lang w:val="pl-PL"/>
        </w:rPr>
        <w:t>zatrzymany</w:t>
      </w:r>
      <w:r w:rsidR="009A6089" w:rsidRPr="00FD65C9">
        <w:rPr>
          <w:lang w:val="pl-PL"/>
        </w:rPr>
        <w:t xml:space="preserve"> </w:t>
      </w:r>
      <w:r w:rsidR="009A6089">
        <w:rPr>
          <w:lang w:val="pl-PL"/>
        </w:rPr>
        <w:t>w związku z</w:t>
      </w:r>
      <w:r w:rsidRPr="00FD65C9">
        <w:rPr>
          <w:lang w:val="pl-PL"/>
        </w:rPr>
        <w:t xml:space="preserve"> przynależnoś</w:t>
      </w:r>
      <w:r w:rsidR="009A6089">
        <w:rPr>
          <w:lang w:val="pl-PL"/>
        </w:rPr>
        <w:t>cią</w:t>
      </w:r>
      <w:r w:rsidRPr="00FD65C9">
        <w:rPr>
          <w:lang w:val="pl-PL"/>
        </w:rPr>
        <w:t xml:space="preserve"> do organizacji FETÖ/PDY, uznanej przez organy sądowe za zbrojną organizację terrorystyczną i </w:t>
      </w:r>
      <w:r w:rsidR="009A6089">
        <w:rPr>
          <w:lang w:val="pl-PL"/>
        </w:rPr>
        <w:t xml:space="preserve">z </w:t>
      </w:r>
      <w:r w:rsidRPr="00FD65C9">
        <w:rPr>
          <w:lang w:val="pl-PL"/>
        </w:rPr>
        <w:t xml:space="preserve">umyślną próbę zamachu stanu, w dniu 16 lipca 2016 r., w czasie, gdy [władze podejmowały działania w celu] odparcia próby zamachu stanu, nie można stwierdzić, że nie istnieje żadna podstawa faktyczna </w:t>
      </w:r>
      <w:r w:rsidR="009A6089">
        <w:rPr>
          <w:lang w:val="pl-PL"/>
        </w:rPr>
        <w:t>an</w:t>
      </w:r>
      <w:r w:rsidRPr="00FD65C9">
        <w:rPr>
          <w:lang w:val="pl-PL"/>
        </w:rPr>
        <w:t>i prawna dla uznania przez organy śledcze, iż przestępstwo przynależności do organizacji terrorystycznej</w:t>
      </w:r>
      <w:r w:rsidR="009A6089">
        <w:rPr>
          <w:lang w:val="pl-PL"/>
        </w:rPr>
        <w:t xml:space="preserve"> zarzucane</w:t>
      </w:r>
      <w:r w:rsidRPr="00FD65C9">
        <w:rPr>
          <w:lang w:val="pl-PL"/>
        </w:rPr>
        <w:t xml:space="preserve"> [dan</w:t>
      </w:r>
      <w:r w:rsidR="009A6089">
        <w:rPr>
          <w:lang w:val="pl-PL"/>
        </w:rPr>
        <w:t>ej</w:t>
      </w:r>
      <w:r w:rsidRPr="00FD65C9">
        <w:rPr>
          <w:lang w:val="pl-PL"/>
        </w:rPr>
        <w:t xml:space="preserve"> osob</w:t>
      </w:r>
      <w:r w:rsidR="009A6089">
        <w:rPr>
          <w:lang w:val="pl-PL"/>
        </w:rPr>
        <w:t>ie</w:t>
      </w:r>
      <w:r w:rsidRPr="00FD65C9">
        <w:rPr>
          <w:lang w:val="pl-PL"/>
        </w:rPr>
        <w:t xml:space="preserve">] stanowiło przypadek </w:t>
      </w:r>
      <w:r w:rsidR="00AD4D3A">
        <w:rPr>
          <w:i/>
          <w:iCs/>
          <w:lang w:val="pl-PL"/>
        </w:rPr>
        <w:t xml:space="preserve">in </w:t>
      </w:r>
      <w:proofErr w:type="spellStart"/>
      <w:r w:rsidR="00AD4D3A">
        <w:rPr>
          <w:i/>
          <w:iCs/>
          <w:lang w:val="pl-PL"/>
        </w:rPr>
        <w:t>flagrante</w:t>
      </w:r>
      <w:proofErr w:type="spellEnd"/>
      <w:r w:rsidRPr="00FD65C9">
        <w:rPr>
          <w:i/>
          <w:iCs/>
          <w:lang w:val="pl-PL"/>
        </w:rPr>
        <w:t xml:space="preserve"> </w:t>
      </w:r>
      <w:proofErr w:type="spellStart"/>
      <w:r w:rsidRPr="00FD65C9">
        <w:rPr>
          <w:i/>
          <w:iCs/>
          <w:lang w:val="pl-PL"/>
        </w:rPr>
        <w:t>delicto</w:t>
      </w:r>
      <w:proofErr w:type="spellEnd"/>
      <w:r w:rsidRPr="00FD65C9">
        <w:rPr>
          <w:lang w:val="pl-PL"/>
        </w:rPr>
        <w:t>.</w:t>
      </w:r>
    </w:p>
    <w:p w14:paraId="0CF2493C" w14:textId="5FC982C7" w:rsidR="00E95B67" w:rsidRPr="00FD65C9" w:rsidRDefault="00E95B67" w:rsidP="00622760">
      <w:pPr>
        <w:pStyle w:val="ECHRParaQuote"/>
        <w:rPr>
          <w:lang w:val="pl-PL"/>
        </w:rPr>
      </w:pPr>
      <w:r w:rsidRPr="00FD65C9">
        <w:rPr>
          <w:lang w:val="pl-PL"/>
        </w:rPr>
        <w:t>129. W świetle powyższego, zarzut, że [</w:t>
      </w:r>
      <w:proofErr w:type="spellStart"/>
      <w:r w:rsidRPr="00FD65C9">
        <w:rPr>
          <w:lang w:val="pl-PL"/>
        </w:rPr>
        <w:t>Alparslan</w:t>
      </w:r>
      <w:proofErr w:type="spellEnd"/>
      <w:r w:rsidRPr="00FD65C9">
        <w:rPr>
          <w:lang w:val="pl-PL"/>
        </w:rPr>
        <w:t xml:space="preserve"> Altan], sędzia </w:t>
      </w:r>
      <w:r w:rsidR="0056377A">
        <w:rPr>
          <w:lang w:val="pl-PL"/>
        </w:rPr>
        <w:t>TK</w:t>
      </w:r>
      <w:r w:rsidRPr="00FD65C9">
        <w:rPr>
          <w:lang w:val="pl-PL"/>
        </w:rPr>
        <w:t xml:space="preserve">, został tymczasowo aresztowany w sposób niezgodny z prawem i </w:t>
      </w:r>
      <w:r w:rsidR="00182FC0">
        <w:rPr>
          <w:lang w:val="pl-PL"/>
        </w:rPr>
        <w:t>z pominięciem</w:t>
      </w:r>
      <w:r w:rsidR="00182FC0" w:rsidRPr="00FD65C9">
        <w:rPr>
          <w:lang w:val="pl-PL"/>
        </w:rPr>
        <w:t xml:space="preserve"> </w:t>
      </w:r>
      <w:r w:rsidRPr="00FD65C9">
        <w:rPr>
          <w:lang w:val="pl-PL"/>
        </w:rPr>
        <w:t>gwarancj</w:t>
      </w:r>
      <w:r w:rsidR="00182FC0">
        <w:rPr>
          <w:lang w:val="pl-PL"/>
        </w:rPr>
        <w:t>i</w:t>
      </w:r>
      <w:r w:rsidRPr="00FD65C9">
        <w:rPr>
          <w:lang w:val="pl-PL"/>
        </w:rPr>
        <w:t xml:space="preserve"> wynikając</w:t>
      </w:r>
      <w:r w:rsidR="00182FC0">
        <w:rPr>
          <w:lang w:val="pl-PL"/>
        </w:rPr>
        <w:t>ych</w:t>
      </w:r>
      <w:r w:rsidRPr="00FD65C9">
        <w:rPr>
          <w:lang w:val="pl-PL"/>
        </w:rPr>
        <w:t xml:space="preserve"> z Konstytucji i ustawy nr 6216, był nieuzasadniony. W związku z tym środek polegający na </w:t>
      </w:r>
      <w:r w:rsidR="00182FC0" w:rsidRPr="00FD65C9">
        <w:rPr>
          <w:lang w:val="pl-PL"/>
        </w:rPr>
        <w:t>za</w:t>
      </w:r>
      <w:r w:rsidR="00182FC0">
        <w:rPr>
          <w:lang w:val="pl-PL"/>
        </w:rPr>
        <w:t>stosowaniu wobec</w:t>
      </w:r>
      <w:r w:rsidR="00182FC0" w:rsidRPr="00FD65C9">
        <w:rPr>
          <w:lang w:val="pl-PL"/>
        </w:rPr>
        <w:t xml:space="preserve"> </w:t>
      </w:r>
      <w:r w:rsidRPr="00FD65C9">
        <w:rPr>
          <w:lang w:val="pl-PL"/>
        </w:rPr>
        <w:t xml:space="preserve">[danej osoby] </w:t>
      </w:r>
      <w:r w:rsidR="00182FC0">
        <w:rPr>
          <w:lang w:val="pl-PL"/>
        </w:rPr>
        <w:t xml:space="preserve">tymczasowego aresztowania </w:t>
      </w:r>
      <w:r w:rsidRPr="00FD65C9">
        <w:rPr>
          <w:lang w:val="pl-PL"/>
        </w:rPr>
        <w:t>miał podstawę prawną.</w:t>
      </w:r>
    </w:p>
    <w:p w14:paraId="45F039CB" w14:textId="1E2995EE" w:rsidR="00E95B67" w:rsidRPr="00FD65C9" w:rsidRDefault="00E95B67" w:rsidP="00622760">
      <w:pPr>
        <w:pStyle w:val="ECHRParaQuote"/>
        <w:rPr>
          <w:lang w:val="pl-PL"/>
        </w:rPr>
      </w:pPr>
      <w:r w:rsidRPr="00FD65C9">
        <w:rPr>
          <w:lang w:val="pl-PL"/>
        </w:rPr>
        <w:t xml:space="preserve">130. Przed rozważeniem, czy środek zapobiegawczy w postaci tymczasowego aresztowania, mający podstawę prawną, realizował uzasadniony cel i był proporcjonalny, konieczne jest zbadanie, czy istnieją »okoliczności faktyczne świadczące o istnieniu poważnego podejrzenia popełnienia przestępstwa«, co jest </w:t>
      </w:r>
      <w:r w:rsidR="00182FC0">
        <w:rPr>
          <w:lang w:val="pl-PL"/>
        </w:rPr>
        <w:t>przesłanką</w:t>
      </w:r>
      <w:r w:rsidRPr="00FD65C9">
        <w:rPr>
          <w:lang w:val="pl-PL"/>
        </w:rPr>
        <w:t xml:space="preserve"> zastosowania środka zapobiegawczego w postaci tymczasowego aresztowania.</w:t>
      </w:r>
    </w:p>
    <w:p w14:paraId="2BE60706" w14:textId="634BDE15" w:rsidR="00E95B67" w:rsidRPr="00FD65C9" w:rsidRDefault="00E95B67" w:rsidP="00622760">
      <w:pPr>
        <w:pStyle w:val="ECHRParaQuote"/>
        <w:rPr>
          <w:lang w:val="pl-PL"/>
        </w:rPr>
      </w:pPr>
      <w:r w:rsidRPr="00FD65C9">
        <w:rPr>
          <w:lang w:val="pl-PL"/>
        </w:rPr>
        <w:t xml:space="preserve">131. W </w:t>
      </w:r>
      <w:r w:rsidR="00182FC0">
        <w:rPr>
          <w:lang w:val="pl-PL"/>
        </w:rPr>
        <w:t>[zaskarżonym] postanowieniu o zastosowaniu tymczasowego aresztowania</w:t>
      </w:r>
      <w:r w:rsidRPr="00FD65C9">
        <w:rPr>
          <w:lang w:val="pl-PL"/>
        </w:rPr>
        <w:t xml:space="preserve"> stwierdzono, powołując się na »[wszystkie] protokoły, protokoły </w:t>
      </w:r>
      <w:r w:rsidR="00182FC0">
        <w:rPr>
          <w:lang w:val="pl-PL"/>
        </w:rPr>
        <w:t xml:space="preserve">z </w:t>
      </w:r>
      <w:r w:rsidRPr="00FD65C9">
        <w:rPr>
          <w:lang w:val="pl-PL"/>
        </w:rPr>
        <w:t xml:space="preserve">przeszukania i zatrzymania oraz </w:t>
      </w:r>
      <w:r w:rsidR="00182FC0">
        <w:rPr>
          <w:lang w:val="pl-PL"/>
        </w:rPr>
        <w:t>tre</w:t>
      </w:r>
      <w:r w:rsidR="00182FC0" w:rsidRPr="00FD65C9">
        <w:rPr>
          <w:lang w:val="pl-PL"/>
        </w:rPr>
        <w:t xml:space="preserve">ść </w:t>
      </w:r>
      <w:r w:rsidRPr="00FD65C9">
        <w:rPr>
          <w:lang w:val="pl-PL"/>
        </w:rPr>
        <w:t>akt«, że istniały konkretne dowody świadczące o silnym po</w:t>
      </w:r>
      <w:r w:rsidR="008152F6" w:rsidRPr="00FD65C9">
        <w:rPr>
          <w:lang w:val="pl-PL"/>
        </w:rPr>
        <w:t>dejrzeniu wobec podejrzanych, w </w:t>
      </w:r>
      <w:r w:rsidRPr="00FD65C9">
        <w:rPr>
          <w:lang w:val="pl-PL"/>
        </w:rPr>
        <w:t>tym wobec [</w:t>
      </w:r>
      <w:proofErr w:type="spellStart"/>
      <w:r w:rsidRPr="00FD65C9">
        <w:rPr>
          <w:lang w:val="pl-PL"/>
        </w:rPr>
        <w:t>Alparslana</w:t>
      </w:r>
      <w:proofErr w:type="spellEnd"/>
      <w:r w:rsidRPr="00FD65C9">
        <w:rPr>
          <w:lang w:val="pl-PL"/>
        </w:rPr>
        <w:t xml:space="preserve"> Altana].</w:t>
      </w:r>
    </w:p>
    <w:p w14:paraId="32A848B2" w14:textId="7055E3AE" w:rsidR="00E95B67" w:rsidRPr="00FD65C9" w:rsidRDefault="00E95B67" w:rsidP="00622760">
      <w:pPr>
        <w:pStyle w:val="ECHRParaQuote"/>
        <w:rPr>
          <w:lang w:val="pl-PL"/>
        </w:rPr>
      </w:pPr>
      <w:r w:rsidRPr="00FD65C9">
        <w:rPr>
          <w:lang w:val="pl-PL"/>
        </w:rPr>
        <w:t>132. Sprawozdanie podsumowujące (</w:t>
      </w:r>
      <w:proofErr w:type="spellStart"/>
      <w:r w:rsidRPr="00FD65C9">
        <w:rPr>
          <w:i/>
          <w:iCs/>
          <w:lang w:val="pl-PL"/>
        </w:rPr>
        <w:t>fezleke</w:t>
      </w:r>
      <w:proofErr w:type="spellEnd"/>
      <w:r w:rsidRPr="00FD65C9">
        <w:rPr>
          <w:lang w:val="pl-PL"/>
        </w:rPr>
        <w:t>) dotyczące [</w:t>
      </w:r>
      <w:proofErr w:type="spellStart"/>
      <w:r w:rsidRPr="00FD65C9">
        <w:rPr>
          <w:lang w:val="pl-PL"/>
        </w:rPr>
        <w:t>Alparslana</w:t>
      </w:r>
      <w:proofErr w:type="spellEnd"/>
      <w:r w:rsidRPr="00FD65C9">
        <w:rPr>
          <w:lang w:val="pl-PL"/>
        </w:rPr>
        <w:t xml:space="preserve"> Altana] wskazuje również, że zarzut przynależności do organizacji terrorystycznej, który mu p</w:t>
      </w:r>
      <w:r w:rsidR="00182FC0">
        <w:rPr>
          <w:lang w:val="pl-PL"/>
        </w:rPr>
        <w:t>rzed</w:t>
      </w:r>
      <w:r w:rsidRPr="00FD65C9">
        <w:rPr>
          <w:lang w:val="pl-PL"/>
        </w:rPr>
        <w:t xml:space="preserve">stawiono, opierał się na następujących dowodach: zeznaniach anonimowych świadków i </w:t>
      </w:r>
      <w:r w:rsidR="00182FC0">
        <w:rPr>
          <w:lang w:val="pl-PL"/>
        </w:rPr>
        <w:t xml:space="preserve">wyjaśnieniach </w:t>
      </w:r>
      <w:r w:rsidRPr="00FD65C9">
        <w:rPr>
          <w:lang w:val="pl-PL"/>
        </w:rPr>
        <w:t xml:space="preserve">podejrzanego, treści </w:t>
      </w:r>
      <w:r w:rsidR="00182FC0">
        <w:rPr>
          <w:lang w:val="pl-PL"/>
        </w:rPr>
        <w:t>wiadomości</w:t>
      </w:r>
      <w:r w:rsidR="00182FC0" w:rsidRPr="00FD65C9">
        <w:rPr>
          <w:lang w:val="pl-PL"/>
        </w:rPr>
        <w:t xml:space="preserve"> </w:t>
      </w:r>
      <w:r w:rsidRPr="00FD65C9">
        <w:rPr>
          <w:lang w:val="pl-PL"/>
        </w:rPr>
        <w:t>przekazywanych między osobami trzecimi oraz informacjach o sygnałach z telefonu komórkowego [</w:t>
      </w:r>
      <w:proofErr w:type="spellStart"/>
      <w:r w:rsidRPr="00FD65C9">
        <w:rPr>
          <w:lang w:val="pl-PL"/>
        </w:rPr>
        <w:t>Alparslana</w:t>
      </w:r>
      <w:proofErr w:type="spellEnd"/>
      <w:r w:rsidRPr="00FD65C9">
        <w:rPr>
          <w:lang w:val="pl-PL"/>
        </w:rPr>
        <w:t xml:space="preserve"> Altana].</w:t>
      </w:r>
    </w:p>
    <w:p w14:paraId="7CF9B47E" w14:textId="082E4128" w:rsidR="00675E41" w:rsidRPr="00FD65C9" w:rsidRDefault="00E95B67" w:rsidP="00622760">
      <w:pPr>
        <w:pStyle w:val="ECHRParaQuote"/>
        <w:rPr>
          <w:lang w:val="pl-PL"/>
        </w:rPr>
      </w:pPr>
      <w:r w:rsidRPr="00FD65C9">
        <w:rPr>
          <w:lang w:val="pl-PL"/>
        </w:rPr>
        <w:t>133. Stwierdzono, że w wymianie wiadomości między</w:t>
      </w:r>
      <w:r w:rsidR="008152F6" w:rsidRPr="00FD65C9">
        <w:rPr>
          <w:lang w:val="pl-PL"/>
        </w:rPr>
        <w:t xml:space="preserve"> osobami trzecimi (Ö.I., S.E. i </w:t>
      </w:r>
      <w:r w:rsidRPr="00FD65C9">
        <w:rPr>
          <w:lang w:val="pl-PL"/>
        </w:rPr>
        <w:t xml:space="preserve">B.Y.) za pośrednictwem </w:t>
      </w:r>
      <w:proofErr w:type="spellStart"/>
      <w:r w:rsidRPr="00FD65C9">
        <w:rPr>
          <w:lang w:val="pl-PL"/>
        </w:rPr>
        <w:t>ByLock</w:t>
      </w:r>
      <w:proofErr w:type="spellEnd"/>
      <w:r w:rsidRPr="00FD65C9">
        <w:rPr>
          <w:lang w:val="pl-PL"/>
        </w:rPr>
        <w:t xml:space="preserve"> zaistniały pewne fakty dotyczące [</w:t>
      </w:r>
      <w:proofErr w:type="spellStart"/>
      <w:r w:rsidRPr="00FD65C9">
        <w:rPr>
          <w:lang w:val="pl-PL"/>
        </w:rPr>
        <w:t>Alparslan</w:t>
      </w:r>
      <w:r w:rsidR="00182FC0">
        <w:rPr>
          <w:lang w:val="pl-PL"/>
        </w:rPr>
        <w:t>a</w:t>
      </w:r>
      <w:proofErr w:type="spellEnd"/>
      <w:r w:rsidRPr="00FD65C9">
        <w:rPr>
          <w:lang w:val="pl-PL"/>
        </w:rPr>
        <w:t xml:space="preserve"> Altan</w:t>
      </w:r>
      <w:r w:rsidR="00182FC0">
        <w:rPr>
          <w:lang w:val="pl-PL"/>
        </w:rPr>
        <w:t>a</w:t>
      </w:r>
      <w:r w:rsidRPr="00FD65C9">
        <w:rPr>
          <w:lang w:val="pl-PL"/>
        </w:rPr>
        <w:t xml:space="preserve">]. Na podstawie takich dowodów, jak </w:t>
      </w:r>
      <w:r w:rsidR="00182FC0">
        <w:rPr>
          <w:lang w:val="pl-PL"/>
        </w:rPr>
        <w:t>wyjaśnienia</w:t>
      </w:r>
      <w:r w:rsidR="00182FC0" w:rsidRPr="00FD65C9">
        <w:rPr>
          <w:lang w:val="pl-PL"/>
        </w:rPr>
        <w:t xml:space="preserve"> </w:t>
      </w:r>
      <w:r w:rsidRPr="00FD65C9">
        <w:rPr>
          <w:lang w:val="pl-PL"/>
        </w:rPr>
        <w:t xml:space="preserve">podejrzanych i </w:t>
      </w:r>
      <w:r w:rsidR="00182FC0">
        <w:rPr>
          <w:lang w:val="pl-PL"/>
        </w:rPr>
        <w:t xml:space="preserve">zeznania </w:t>
      </w:r>
      <w:r w:rsidRPr="00FD65C9">
        <w:rPr>
          <w:lang w:val="pl-PL"/>
        </w:rPr>
        <w:t xml:space="preserve">świadków oraz wymiana wiadomości za pośrednictwem </w:t>
      </w:r>
      <w:proofErr w:type="spellStart"/>
      <w:r w:rsidRPr="00FD65C9">
        <w:rPr>
          <w:lang w:val="pl-PL"/>
        </w:rPr>
        <w:t>ByLock</w:t>
      </w:r>
      <w:proofErr w:type="spellEnd"/>
      <w:r w:rsidRPr="00FD65C9">
        <w:rPr>
          <w:lang w:val="pl-PL"/>
        </w:rPr>
        <w:t>, organy śledcze uznały, że Ö.I., który w rzeczywistości jest nauczycielem, był »cywilnym imamem« odpowiedzialnym za sędziów należących do organizacji FETÖ/PDY, zaś S.E. (sprawozdawca) był jej przywódcą</w:t>
      </w:r>
      <w:r w:rsidR="0056377A">
        <w:rPr>
          <w:lang w:val="pl-PL"/>
        </w:rPr>
        <w:t xml:space="preserve"> w TK</w:t>
      </w:r>
      <w:r w:rsidRPr="00FD65C9">
        <w:rPr>
          <w:lang w:val="pl-PL"/>
        </w:rPr>
        <w:t xml:space="preserve">, natomiast B.Y. był członkiem tej struktury. Wobec Ö.I., który opuścił kraj, wydano nakaz aresztowania. [Podobnie], S.E., który został odwołany ze stanowiska, zbiegł, i wydano za nim nakaz aresztowania. Co do B.Y., został on odwołany ze stanowiska sędziego przez Najwyższą Radę Sądownictwa i </w:t>
      </w:r>
      <w:r w:rsidR="00182FC0">
        <w:rPr>
          <w:lang w:val="pl-PL"/>
        </w:rPr>
        <w:t xml:space="preserve">osadzony </w:t>
      </w:r>
      <w:r w:rsidRPr="00FD65C9">
        <w:rPr>
          <w:lang w:val="pl-PL"/>
        </w:rPr>
        <w:t xml:space="preserve">w areszcie </w:t>
      </w:r>
      <w:r w:rsidR="00182FC0">
        <w:rPr>
          <w:lang w:val="pl-PL"/>
        </w:rPr>
        <w:t>śledczym w związku z</w:t>
      </w:r>
      <w:r w:rsidRPr="00FD65C9">
        <w:rPr>
          <w:lang w:val="pl-PL"/>
        </w:rPr>
        <w:t xml:space="preserve"> przynależnoś</w:t>
      </w:r>
      <w:r w:rsidR="00182FC0">
        <w:rPr>
          <w:lang w:val="pl-PL"/>
        </w:rPr>
        <w:t>cią</w:t>
      </w:r>
      <w:r w:rsidRPr="00FD65C9">
        <w:rPr>
          <w:lang w:val="pl-PL"/>
        </w:rPr>
        <w:t xml:space="preserve"> do organizacji FETÖ/PDY.</w:t>
      </w:r>
    </w:p>
    <w:p w14:paraId="128E5231" w14:textId="77777777" w:rsidR="00E95B67" w:rsidRPr="00FD65C9" w:rsidRDefault="00E95B67" w:rsidP="00622760">
      <w:pPr>
        <w:pStyle w:val="ECHRParaQuote"/>
        <w:rPr>
          <w:lang w:val="pl-PL"/>
        </w:rPr>
      </w:pPr>
      <w:r w:rsidRPr="00FD65C9">
        <w:rPr>
          <w:lang w:val="pl-PL"/>
        </w:rPr>
        <w:t>[...]</w:t>
      </w:r>
    </w:p>
    <w:p w14:paraId="78F3E48F" w14:textId="2E583134" w:rsidR="00E95B67" w:rsidRPr="00FD65C9" w:rsidRDefault="00E95B67" w:rsidP="00622760">
      <w:pPr>
        <w:pStyle w:val="ECHRParaQuote"/>
        <w:rPr>
          <w:lang w:val="pl-PL"/>
        </w:rPr>
      </w:pPr>
      <w:r w:rsidRPr="00FD65C9">
        <w:rPr>
          <w:lang w:val="pl-PL"/>
        </w:rPr>
        <w:t xml:space="preserve">[W paragrafach 134–137 wyroku </w:t>
      </w:r>
      <w:r w:rsidR="0056377A">
        <w:rPr>
          <w:lang w:val="pl-PL"/>
        </w:rPr>
        <w:t>TK</w:t>
      </w:r>
      <w:r w:rsidR="00453A65" w:rsidRPr="00FD65C9">
        <w:rPr>
          <w:lang w:val="pl-PL"/>
        </w:rPr>
        <w:t xml:space="preserve"> </w:t>
      </w:r>
      <w:r w:rsidRPr="00FD65C9">
        <w:rPr>
          <w:lang w:val="pl-PL"/>
        </w:rPr>
        <w:t>przystąpił do oceny dowodów. Następnie stwierdził, co następuje:]</w:t>
      </w:r>
    </w:p>
    <w:p w14:paraId="3F943C15" w14:textId="77777777" w:rsidR="00E95B67" w:rsidRPr="00FD65C9" w:rsidRDefault="00E95B67" w:rsidP="00622760">
      <w:pPr>
        <w:pStyle w:val="ECHRParaQuote"/>
        <w:rPr>
          <w:lang w:val="pl-PL"/>
        </w:rPr>
      </w:pPr>
      <w:r w:rsidRPr="00FD65C9">
        <w:rPr>
          <w:lang w:val="pl-PL"/>
        </w:rPr>
        <w:t>138. Dlatego też stwierdza się, że w aktach sprawy znajdują się dowody wskazujące na istnienie podejrzeń dotyczących [</w:t>
      </w:r>
      <w:proofErr w:type="spellStart"/>
      <w:r w:rsidRPr="00FD65C9">
        <w:rPr>
          <w:lang w:val="pl-PL"/>
        </w:rPr>
        <w:t>Alparslana</w:t>
      </w:r>
      <w:proofErr w:type="spellEnd"/>
      <w:r w:rsidRPr="00FD65C9">
        <w:rPr>
          <w:lang w:val="pl-PL"/>
        </w:rPr>
        <w:t xml:space="preserve"> Altana]”.</w:t>
      </w:r>
    </w:p>
    <w:p w14:paraId="34D1CE77" w14:textId="63430BAB" w:rsidR="00E95B67" w:rsidRPr="00FD65C9" w:rsidRDefault="0056377A" w:rsidP="00622760">
      <w:pPr>
        <w:pStyle w:val="ECHRPara"/>
        <w:rPr>
          <w:lang w:val="pl-PL"/>
        </w:rPr>
      </w:pPr>
      <w:r>
        <w:rPr>
          <w:lang w:val="pl-PL"/>
        </w:rPr>
        <w:t>TK</w:t>
      </w:r>
      <w:r w:rsidR="00453A65" w:rsidRPr="00FD65C9">
        <w:rPr>
          <w:lang w:val="pl-PL"/>
        </w:rPr>
        <w:t xml:space="preserve"> </w:t>
      </w:r>
      <w:r w:rsidR="00E95B67" w:rsidRPr="00FD65C9">
        <w:rPr>
          <w:lang w:val="pl-PL"/>
        </w:rPr>
        <w:t>zauważył również, że biorąc pod uwagę bardzo szczególne okoliczności próby zamachu stanu, poziom infiltracji organizacji FETÖ/PDY do administracji i sądownictwa oraz fakt, że zarzucane przestępstwo było tak zwanym przestępstwem „</w:t>
      </w:r>
      <w:r w:rsidR="00182FC0" w:rsidRPr="00FD65C9">
        <w:rPr>
          <w:lang w:val="pl-PL"/>
        </w:rPr>
        <w:t>s</w:t>
      </w:r>
      <w:r w:rsidR="00182FC0">
        <w:rPr>
          <w:lang w:val="pl-PL"/>
        </w:rPr>
        <w:t>typizowanym</w:t>
      </w:r>
      <w:r w:rsidR="00E95B67" w:rsidRPr="00FD65C9">
        <w:rPr>
          <w:lang w:val="pl-PL"/>
        </w:rPr>
        <w:t xml:space="preserve">”, </w:t>
      </w:r>
      <w:r w:rsidR="002B50FF">
        <w:rPr>
          <w:lang w:val="pl-PL"/>
        </w:rPr>
        <w:t xml:space="preserve">tymczasowe aresztowanie </w:t>
      </w:r>
      <w:r w:rsidR="00E95B67" w:rsidRPr="00FD65C9">
        <w:rPr>
          <w:lang w:val="pl-PL"/>
        </w:rPr>
        <w:t xml:space="preserve">skarżącego </w:t>
      </w:r>
      <w:r w:rsidR="00182FC0">
        <w:rPr>
          <w:lang w:val="pl-PL"/>
        </w:rPr>
        <w:t>można uznać</w:t>
      </w:r>
      <w:r w:rsidR="008152F6" w:rsidRPr="00FD65C9">
        <w:rPr>
          <w:lang w:val="pl-PL"/>
        </w:rPr>
        <w:t xml:space="preserve"> za uzasadniony i </w:t>
      </w:r>
      <w:r w:rsidR="00E95B67" w:rsidRPr="00FD65C9">
        <w:rPr>
          <w:lang w:val="pl-PL"/>
        </w:rPr>
        <w:t xml:space="preserve">proporcjonalny środek. Według </w:t>
      </w:r>
      <w:r>
        <w:rPr>
          <w:lang w:val="pl-PL"/>
        </w:rPr>
        <w:t>TK</w:t>
      </w:r>
      <w:r w:rsidR="00453A65">
        <w:rPr>
          <w:lang w:val="pl-PL"/>
        </w:rPr>
        <w:t xml:space="preserve"> </w:t>
      </w:r>
      <w:r w:rsidR="00E95B67" w:rsidRPr="00FD65C9">
        <w:rPr>
          <w:lang w:val="pl-PL"/>
        </w:rPr>
        <w:t xml:space="preserve">osoby </w:t>
      </w:r>
      <w:r w:rsidR="00182FC0">
        <w:rPr>
          <w:lang w:val="pl-PL"/>
        </w:rPr>
        <w:t>biorące udział</w:t>
      </w:r>
      <w:r w:rsidR="00182FC0" w:rsidRPr="00FD65C9">
        <w:rPr>
          <w:lang w:val="pl-PL"/>
        </w:rPr>
        <w:t xml:space="preserve"> </w:t>
      </w:r>
      <w:r w:rsidR="00E95B67" w:rsidRPr="00FD65C9">
        <w:rPr>
          <w:lang w:val="pl-PL"/>
        </w:rPr>
        <w:t>w prób</w:t>
      </w:r>
      <w:r w:rsidR="00182FC0">
        <w:rPr>
          <w:lang w:val="pl-PL"/>
        </w:rPr>
        <w:t>ie</w:t>
      </w:r>
      <w:r w:rsidR="00E95B67" w:rsidRPr="00FD65C9">
        <w:rPr>
          <w:lang w:val="pl-PL"/>
        </w:rPr>
        <w:t xml:space="preserve"> zamachu stanu oraz osoby </w:t>
      </w:r>
      <w:r w:rsidR="00182FC0">
        <w:rPr>
          <w:lang w:val="pl-PL"/>
        </w:rPr>
        <w:t>niebiorące w niej bezpośredniego udziału</w:t>
      </w:r>
      <w:r w:rsidR="008152F6" w:rsidRPr="00FD65C9">
        <w:rPr>
          <w:lang w:val="pl-PL"/>
        </w:rPr>
        <w:t>, ale powiązane z </w:t>
      </w:r>
      <w:r w:rsidR="00E95B67" w:rsidRPr="00FD65C9">
        <w:rPr>
          <w:lang w:val="pl-PL"/>
        </w:rPr>
        <w:t xml:space="preserve">organizacją FETÖ/PDY – określaną jako inicjator próby zamachu stanu – mogły zbiec, manipulować dowodami lub wykorzystać zamieszanie, które powstało w trakcie próby zamachu stanu lub po niej. W opinii </w:t>
      </w:r>
      <w:r>
        <w:rPr>
          <w:lang w:val="pl-PL"/>
        </w:rPr>
        <w:t>TK</w:t>
      </w:r>
      <w:r w:rsidR="00453A65">
        <w:rPr>
          <w:lang w:val="pl-PL"/>
        </w:rPr>
        <w:t xml:space="preserve"> </w:t>
      </w:r>
      <w:r w:rsidR="00E95B67" w:rsidRPr="00FD65C9">
        <w:rPr>
          <w:lang w:val="pl-PL"/>
        </w:rPr>
        <w:t xml:space="preserve">sytuacja ta wiązała się z wyższym ryzykiem niż to, które może wystąpić w tak zwanych „zwykłych” okolicznościach. Ponadto dla </w:t>
      </w:r>
      <w:r>
        <w:rPr>
          <w:lang w:val="pl-PL"/>
        </w:rPr>
        <w:t>TK</w:t>
      </w:r>
      <w:r w:rsidR="00453A65">
        <w:rPr>
          <w:lang w:val="pl-PL"/>
        </w:rPr>
        <w:t xml:space="preserve"> </w:t>
      </w:r>
      <w:r w:rsidR="00E95B67" w:rsidRPr="00FD65C9">
        <w:rPr>
          <w:lang w:val="pl-PL"/>
        </w:rPr>
        <w:t>było jasne, że skarżąc</w:t>
      </w:r>
      <w:r w:rsidR="00BC0E02">
        <w:rPr>
          <w:lang w:val="pl-PL"/>
        </w:rPr>
        <w:t>emu</w:t>
      </w:r>
      <w:r w:rsidR="00E95B67" w:rsidRPr="00FD65C9">
        <w:rPr>
          <w:lang w:val="pl-PL"/>
        </w:rPr>
        <w:t xml:space="preserve">, jako </w:t>
      </w:r>
      <w:r w:rsidR="00BC0E02" w:rsidRPr="00FD65C9">
        <w:rPr>
          <w:lang w:val="pl-PL"/>
        </w:rPr>
        <w:t>człon</w:t>
      </w:r>
      <w:r w:rsidR="00BC0E02">
        <w:rPr>
          <w:lang w:val="pl-PL"/>
        </w:rPr>
        <w:t>kowi</w:t>
      </w:r>
      <w:r w:rsidR="00BC0E02" w:rsidRPr="00FD65C9">
        <w:rPr>
          <w:lang w:val="pl-PL"/>
        </w:rPr>
        <w:t xml:space="preserve"> </w:t>
      </w:r>
      <w:r w:rsidR="00E95B67" w:rsidRPr="00FD65C9">
        <w:rPr>
          <w:lang w:val="pl-PL"/>
        </w:rPr>
        <w:t xml:space="preserve">tego sądu, łatwiej </w:t>
      </w:r>
      <w:r w:rsidR="00BC0E02">
        <w:rPr>
          <w:lang w:val="pl-PL"/>
        </w:rPr>
        <w:t xml:space="preserve">było </w:t>
      </w:r>
      <w:r w:rsidR="00E95B67" w:rsidRPr="00FD65C9">
        <w:rPr>
          <w:lang w:val="pl-PL"/>
        </w:rPr>
        <w:t>manipulować dowodami niż inn</w:t>
      </w:r>
      <w:r w:rsidR="00BC0E02">
        <w:rPr>
          <w:lang w:val="pl-PL"/>
        </w:rPr>
        <w:t>ym</w:t>
      </w:r>
      <w:r w:rsidR="00E95B67" w:rsidRPr="00FD65C9">
        <w:rPr>
          <w:lang w:val="pl-PL"/>
        </w:rPr>
        <w:t xml:space="preserve"> osob</w:t>
      </w:r>
      <w:r w:rsidR="00BC0E02">
        <w:rPr>
          <w:lang w:val="pl-PL"/>
        </w:rPr>
        <w:t>om</w:t>
      </w:r>
      <w:r w:rsidR="00E95B67" w:rsidRPr="00FD65C9">
        <w:rPr>
          <w:lang w:val="pl-PL"/>
        </w:rPr>
        <w:t>.</w:t>
      </w:r>
    </w:p>
    <w:p w14:paraId="6FEA8717" w14:textId="77777777" w:rsidR="00E95B67" w:rsidRPr="00FD65C9" w:rsidRDefault="00E95B67" w:rsidP="00622760">
      <w:pPr>
        <w:pStyle w:val="ECHRHeading2"/>
        <w:rPr>
          <w:lang w:val="pl-PL"/>
        </w:rPr>
      </w:pPr>
      <w:r w:rsidRPr="00FD65C9">
        <w:rPr>
          <w:lang w:val="pl-PL"/>
        </w:rPr>
        <w:t>F. Akt oskarżenia</w:t>
      </w:r>
    </w:p>
    <w:p w14:paraId="134D71B9" w14:textId="7C163D8F"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43</w:t>
      </w:r>
      <w:r w:rsidRPr="00FD65C9">
        <w:rPr>
          <w:lang w:val="pl-PL"/>
        </w:rPr>
        <w:fldChar w:fldCharType="end"/>
      </w:r>
      <w:r w:rsidR="00E95B67" w:rsidRPr="00FD65C9">
        <w:rPr>
          <w:lang w:val="pl-PL"/>
        </w:rPr>
        <w:t xml:space="preserve">.  W dniu 15 stycznia 2018 r. </w:t>
      </w:r>
      <w:r w:rsidR="00CA7210" w:rsidRPr="00FD65C9">
        <w:rPr>
          <w:lang w:val="pl-PL"/>
        </w:rPr>
        <w:t>prokurat</w:t>
      </w:r>
      <w:r w:rsidR="00CA7210">
        <w:rPr>
          <w:lang w:val="pl-PL"/>
        </w:rPr>
        <w:t>or</w:t>
      </w:r>
      <w:r w:rsidR="00CA7210" w:rsidRPr="00FD65C9">
        <w:rPr>
          <w:lang w:val="pl-PL"/>
        </w:rPr>
        <w:t xml:space="preserve"> </w:t>
      </w:r>
      <w:r w:rsidR="00E95B67" w:rsidRPr="00FD65C9">
        <w:rPr>
          <w:lang w:val="pl-PL"/>
        </w:rPr>
        <w:t xml:space="preserve">przy sądzie kasacyjnym </w:t>
      </w:r>
      <w:r w:rsidR="00CA7210" w:rsidRPr="00FD65C9">
        <w:rPr>
          <w:lang w:val="pl-PL"/>
        </w:rPr>
        <w:t>wni</w:t>
      </w:r>
      <w:r w:rsidR="00CA7210">
        <w:rPr>
          <w:lang w:val="pl-PL"/>
        </w:rPr>
        <w:t>ósł</w:t>
      </w:r>
      <w:r w:rsidR="00CA7210" w:rsidRPr="00FD65C9">
        <w:rPr>
          <w:lang w:val="pl-PL"/>
        </w:rPr>
        <w:t xml:space="preserve"> </w:t>
      </w:r>
      <w:r w:rsidR="00E95B67" w:rsidRPr="00FD65C9">
        <w:rPr>
          <w:lang w:val="pl-PL"/>
        </w:rPr>
        <w:t xml:space="preserve">akt oskarżenia przeciwko skarżącemu, zarzucając mu głównie – na podstawie art. 314 </w:t>
      </w:r>
      <w:r w:rsidR="00307437">
        <w:rPr>
          <w:lang w:val="pl-PL"/>
        </w:rPr>
        <w:t>kodeksu karnego</w:t>
      </w:r>
      <w:r w:rsidR="00E95B67" w:rsidRPr="00FD65C9">
        <w:rPr>
          <w:lang w:val="pl-PL"/>
        </w:rPr>
        <w:t xml:space="preserve"> – przynależność do zbrojnej organizacji terrorystycznej, a mianowicie organizacji FETÖ/PDY. Po opisaniu cech charakterystycznych tej organizacji i jej tajnej struktury w systemie sądownictwa, prokurator przedstawił następujące dowody przeciwko skarżącemu: zeznania dwóch anonimowych świadków (zob. paragrafy 33–34 powyżej); </w:t>
      </w:r>
      <w:r w:rsidR="00CA7210">
        <w:rPr>
          <w:lang w:val="pl-PL"/>
        </w:rPr>
        <w:t>wyjaśnienia</w:t>
      </w:r>
      <w:r w:rsidR="00CA7210" w:rsidRPr="00FD65C9">
        <w:rPr>
          <w:lang w:val="pl-PL"/>
        </w:rPr>
        <w:t xml:space="preserve"> </w:t>
      </w:r>
      <w:r w:rsidR="00E95B67" w:rsidRPr="00FD65C9">
        <w:rPr>
          <w:lang w:val="pl-PL"/>
        </w:rPr>
        <w:t xml:space="preserve">byłego sprawozdawcy </w:t>
      </w:r>
      <w:r w:rsidR="0056377A">
        <w:rPr>
          <w:lang w:val="pl-PL"/>
        </w:rPr>
        <w:t>TK</w:t>
      </w:r>
      <w:r w:rsidR="008152F6" w:rsidRPr="00FD65C9">
        <w:rPr>
          <w:lang w:val="pl-PL"/>
        </w:rPr>
        <w:t>, który został oskarżony o </w:t>
      </w:r>
      <w:r w:rsidR="00E95B67" w:rsidRPr="00FD65C9">
        <w:rPr>
          <w:lang w:val="pl-PL"/>
        </w:rPr>
        <w:t xml:space="preserve">przynależność do organizacji FETÖ/PDY (zob. paragrafy 35–36 powyżej); wymianę wiadomości za pośrednictwem </w:t>
      </w:r>
      <w:proofErr w:type="spellStart"/>
      <w:r w:rsidR="00E95B67" w:rsidRPr="00FD65C9">
        <w:rPr>
          <w:lang w:val="pl-PL"/>
        </w:rPr>
        <w:t>ByLock</w:t>
      </w:r>
      <w:proofErr w:type="spellEnd"/>
      <w:r w:rsidR="00E95B67" w:rsidRPr="00FD65C9">
        <w:rPr>
          <w:lang w:val="pl-PL"/>
        </w:rPr>
        <w:t>; oraz inne okoliczności faktyczne (odnoszące się do informacji o liniach telefonicznych i rejestrów podróży zagranicznych).</w:t>
      </w:r>
    </w:p>
    <w:p w14:paraId="1D107D22" w14:textId="7E4EF13B" w:rsidR="00675E41"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44</w:t>
      </w:r>
      <w:r w:rsidRPr="00FD65C9">
        <w:rPr>
          <w:lang w:val="pl-PL"/>
        </w:rPr>
        <w:fldChar w:fldCharType="end"/>
      </w:r>
      <w:r w:rsidR="00E95B67" w:rsidRPr="00FD65C9">
        <w:rPr>
          <w:lang w:val="pl-PL"/>
        </w:rPr>
        <w:t xml:space="preserve">.  W wyroku </w:t>
      </w:r>
      <w:r w:rsidR="009123A1">
        <w:rPr>
          <w:lang w:val="pl-PL"/>
        </w:rPr>
        <w:t xml:space="preserve">skróconym </w:t>
      </w:r>
      <w:r w:rsidR="00E95B67" w:rsidRPr="00FD65C9">
        <w:rPr>
          <w:lang w:val="pl-PL"/>
        </w:rPr>
        <w:t xml:space="preserve">z dnia 6 marca 2019 r., dziewiąta izba karna sądu kasacyjnego skazała skarżącego na </w:t>
      </w:r>
      <w:r w:rsidR="00CA7210">
        <w:rPr>
          <w:lang w:val="pl-PL"/>
        </w:rPr>
        <w:t xml:space="preserve">karę </w:t>
      </w:r>
      <w:r w:rsidR="00CA7210" w:rsidRPr="00FD65C9">
        <w:rPr>
          <w:lang w:val="pl-PL"/>
        </w:rPr>
        <w:t>jedena</w:t>
      </w:r>
      <w:r w:rsidR="00CA7210">
        <w:rPr>
          <w:lang w:val="pl-PL"/>
        </w:rPr>
        <w:t>stu</w:t>
      </w:r>
      <w:r w:rsidR="00CA7210" w:rsidRPr="00FD65C9">
        <w:rPr>
          <w:lang w:val="pl-PL"/>
        </w:rPr>
        <w:t xml:space="preserve"> </w:t>
      </w:r>
      <w:r w:rsidR="00E95B67" w:rsidRPr="00FD65C9">
        <w:rPr>
          <w:lang w:val="pl-PL"/>
        </w:rPr>
        <w:t xml:space="preserve">lat i trzy miesiące pozbawienia wolności, na podstawie art. 314 § 2 </w:t>
      </w:r>
      <w:r w:rsidR="00307437">
        <w:rPr>
          <w:lang w:val="pl-PL"/>
        </w:rPr>
        <w:t>kodeksu karnego</w:t>
      </w:r>
      <w:r w:rsidR="00E95B67" w:rsidRPr="00FD65C9">
        <w:rPr>
          <w:lang w:val="pl-PL"/>
        </w:rPr>
        <w:t xml:space="preserve"> i art. 5 ustawy nr 3713 o walce z terroryzmem,</w:t>
      </w:r>
      <w:r w:rsidR="00CA7210">
        <w:rPr>
          <w:lang w:val="pl-PL"/>
        </w:rPr>
        <w:t xml:space="preserve"> w związku z</w:t>
      </w:r>
      <w:r w:rsidR="00E95B67" w:rsidRPr="00FD65C9">
        <w:rPr>
          <w:lang w:val="pl-PL"/>
        </w:rPr>
        <w:t xml:space="preserve"> przynależnoś</w:t>
      </w:r>
      <w:r w:rsidR="00CA7210">
        <w:rPr>
          <w:lang w:val="pl-PL"/>
        </w:rPr>
        <w:t>cią</w:t>
      </w:r>
      <w:r w:rsidR="00E95B67" w:rsidRPr="00FD65C9">
        <w:rPr>
          <w:lang w:val="pl-PL"/>
        </w:rPr>
        <w:t xml:space="preserve"> do zbrojnej organizacji terrorystycznej. W wyroku stwierdzono, że skarżący ma piętnaście dni na </w:t>
      </w:r>
      <w:r w:rsidR="00CA7210">
        <w:rPr>
          <w:lang w:val="pl-PL"/>
        </w:rPr>
        <w:t>wniesienie apelacji</w:t>
      </w:r>
      <w:r w:rsidR="00E95B67" w:rsidRPr="00FD65C9">
        <w:rPr>
          <w:lang w:val="pl-PL"/>
        </w:rPr>
        <w:t xml:space="preserve"> do zgromadzenia izb karnych sądu kasacyjnego.</w:t>
      </w:r>
    </w:p>
    <w:p w14:paraId="1C9D3A4D" w14:textId="77777777" w:rsidR="00E95B67" w:rsidRPr="00FD65C9" w:rsidRDefault="00E95B67" w:rsidP="00622760">
      <w:pPr>
        <w:pStyle w:val="ECHRHeading2"/>
        <w:rPr>
          <w:lang w:val="pl-PL"/>
        </w:rPr>
      </w:pPr>
      <w:r w:rsidRPr="00D60362">
        <w:rPr>
          <w:lang w:val="pl-PL"/>
        </w:rPr>
        <w:t>G.  Pozostałe indywidualne skargi</w:t>
      </w:r>
    </w:p>
    <w:p w14:paraId="56D2513F" w14:textId="21F89465"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45</w:t>
      </w:r>
      <w:r w:rsidRPr="00FD65C9">
        <w:rPr>
          <w:lang w:val="pl-PL"/>
        </w:rPr>
        <w:fldChar w:fldCharType="end"/>
      </w:r>
      <w:r w:rsidR="00E95B67" w:rsidRPr="00FD65C9">
        <w:rPr>
          <w:lang w:val="pl-PL"/>
        </w:rPr>
        <w:t xml:space="preserve">.  Skarżący </w:t>
      </w:r>
      <w:r w:rsidR="00CA7210">
        <w:rPr>
          <w:lang w:val="pl-PL"/>
        </w:rPr>
        <w:t xml:space="preserve">wniósł </w:t>
      </w:r>
      <w:r w:rsidR="00E95B67" w:rsidRPr="00FD65C9">
        <w:rPr>
          <w:lang w:val="pl-PL"/>
        </w:rPr>
        <w:t>również dwie in</w:t>
      </w:r>
      <w:r w:rsidR="008152F6" w:rsidRPr="00FD65C9">
        <w:rPr>
          <w:lang w:val="pl-PL"/>
        </w:rPr>
        <w:t xml:space="preserve">ne indywidualne skargi do </w:t>
      </w:r>
      <w:r w:rsidR="0056377A">
        <w:rPr>
          <w:lang w:val="pl-PL"/>
        </w:rPr>
        <w:t>TK</w:t>
      </w:r>
      <w:r w:rsidR="008152F6" w:rsidRPr="00FD65C9">
        <w:rPr>
          <w:lang w:val="pl-PL"/>
        </w:rPr>
        <w:t>. W </w:t>
      </w:r>
      <w:r w:rsidR="00E95B67" w:rsidRPr="00FD65C9">
        <w:rPr>
          <w:lang w:val="pl-PL"/>
        </w:rPr>
        <w:t xml:space="preserve">skardze z dnia 3 lipca 2017 r. podniósł zarzut </w:t>
      </w:r>
      <w:r w:rsidR="00CA7210">
        <w:rPr>
          <w:lang w:val="pl-PL"/>
        </w:rPr>
        <w:t>obrazy</w:t>
      </w:r>
      <w:r w:rsidR="00CA7210" w:rsidRPr="00FD65C9">
        <w:rPr>
          <w:lang w:val="pl-PL"/>
        </w:rPr>
        <w:t xml:space="preserve"> </w:t>
      </w:r>
      <w:r w:rsidR="00E95B67" w:rsidRPr="00FD65C9">
        <w:rPr>
          <w:lang w:val="pl-PL"/>
        </w:rPr>
        <w:t>art. 6, 8 i 14 Konwencji. W skardze złożonej w dniu 26 lipca 2018 r. zarzuc</w:t>
      </w:r>
      <w:r w:rsidR="00CA7210">
        <w:rPr>
          <w:lang w:val="pl-PL"/>
        </w:rPr>
        <w:t>i</w:t>
      </w:r>
      <w:r w:rsidR="00E95B67" w:rsidRPr="00FD65C9">
        <w:rPr>
          <w:lang w:val="pl-PL"/>
        </w:rPr>
        <w:t xml:space="preserve">ł m.in. zbyt długi okres </w:t>
      </w:r>
      <w:r w:rsidR="00CA7210">
        <w:rPr>
          <w:lang w:val="pl-PL"/>
        </w:rPr>
        <w:t xml:space="preserve">stosowania </w:t>
      </w:r>
      <w:r w:rsidR="00E95B67" w:rsidRPr="00FD65C9">
        <w:rPr>
          <w:lang w:val="pl-PL"/>
        </w:rPr>
        <w:t xml:space="preserve">tymczasowego aresztowania. Z akt wynika, że obie sprawy </w:t>
      </w:r>
      <w:r w:rsidR="00E157B0">
        <w:rPr>
          <w:lang w:val="pl-PL"/>
        </w:rPr>
        <w:t>nadal toczą się</w:t>
      </w:r>
      <w:r w:rsidR="00E157B0" w:rsidRPr="00FD65C9">
        <w:rPr>
          <w:lang w:val="pl-PL"/>
        </w:rPr>
        <w:t xml:space="preserve"> </w:t>
      </w:r>
      <w:r w:rsidR="00E95B67" w:rsidRPr="00FD65C9">
        <w:rPr>
          <w:lang w:val="pl-PL"/>
        </w:rPr>
        <w:t>prze</w:t>
      </w:r>
      <w:r w:rsidR="00E157B0">
        <w:rPr>
          <w:lang w:val="pl-PL"/>
        </w:rPr>
        <w:t>d</w:t>
      </w:r>
      <w:r w:rsidR="00E95B67" w:rsidRPr="00FD65C9">
        <w:rPr>
          <w:lang w:val="pl-PL"/>
        </w:rPr>
        <w:t xml:space="preserve"> </w:t>
      </w:r>
      <w:r w:rsidR="0056377A">
        <w:rPr>
          <w:lang w:val="pl-PL"/>
        </w:rPr>
        <w:t>tym sądem</w:t>
      </w:r>
      <w:r w:rsidR="00E95B67" w:rsidRPr="00FD65C9">
        <w:rPr>
          <w:lang w:val="pl-PL"/>
        </w:rPr>
        <w:t>.</w:t>
      </w:r>
    </w:p>
    <w:p w14:paraId="5D83BD58" w14:textId="18AA3A04" w:rsidR="00E95B67" w:rsidRPr="00FD65C9" w:rsidRDefault="00E95B67" w:rsidP="00622760">
      <w:pPr>
        <w:pStyle w:val="ECHRHeading1"/>
        <w:rPr>
          <w:lang w:val="pl-PL"/>
        </w:rPr>
      </w:pPr>
      <w:r w:rsidRPr="00FD65C9">
        <w:rPr>
          <w:bCs w:val="0"/>
          <w:lang w:val="pl-PL"/>
        </w:rPr>
        <w:t>II.  </w:t>
      </w:r>
      <w:r w:rsidR="00E65567">
        <w:rPr>
          <w:bCs w:val="0"/>
          <w:lang w:val="pl-PL"/>
        </w:rPr>
        <w:t>WŁAŚCIWE</w:t>
      </w:r>
      <w:r w:rsidR="00E65567" w:rsidRPr="00FD65C9">
        <w:rPr>
          <w:bCs w:val="0"/>
          <w:lang w:val="pl-PL"/>
        </w:rPr>
        <w:t xml:space="preserve"> </w:t>
      </w:r>
      <w:r w:rsidRPr="00FD65C9">
        <w:rPr>
          <w:bCs w:val="0"/>
          <w:lang w:val="pl-PL"/>
        </w:rPr>
        <w:t>PRAWO KRAJOWE I PRAKTYKA</w:t>
      </w:r>
    </w:p>
    <w:p w14:paraId="2203C28B" w14:textId="55805FD4" w:rsidR="00E95B67" w:rsidRPr="00FD65C9" w:rsidRDefault="00E95B67" w:rsidP="00622760">
      <w:pPr>
        <w:pStyle w:val="ECHRHeading2"/>
        <w:rPr>
          <w:lang w:val="pl-PL"/>
        </w:rPr>
      </w:pPr>
      <w:r w:rsidRPr="00FD65C9">
        <w:rPr>
          <w:lang w:val="pl-PL"/>
        </w:rPr>
        <w:t xml:space="preserve">A.  Przepisy Konstytucji </w:t>
      </w:r>
      <w:r w:rsidR="00E65567">
        <w:rPr>
          <w:lang w:val="pl-PL"/>
        </w:rPr>
        <w:t>mające zastosowanie</w:t>
      </w:r>
      <w:r w:rsidR="00E65567" w:rsidRPr="00FD65C9">
        <w:rPr>
          <w:lang w:val="pl-PL"/>
        </w:rPr>
        <w:t xml:space="preserve"> </w:t>
      </w:r>
      <w:r w:rsidRPr="00FD65C9">
        <w:rPr>
          <w:lang w:val="pl-PL"/>
        </w:rPr>
        <w:t>w niniejszej sprawie</w:t>
      </w:r>
    </w:p>
    <w:p w14:paraId="054B25B7" w14:textId="77777777"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46</w:t>
      </w:r>
      <w:r w:rsidRPr="00FD65C9">
        <w:rPr>
          <w:lang w:val="pl-PL"/>
        </w:rPr>
        <w:fldChar w:fldCharType="end"/>
      </w:r>
      <w:r w:rsidR="00E95B67" w:rsidRPr="00FD65C9">
        <w:rPr>
          <w:lang w:val="pl-PL"/>
        </w:rPr>
        <w:t>.  Artykuł 11 Konstytucji ma następujące brzmienie:</w:t>
      </w:r>
    </w:p>
    <w:p w14:paraId="2EF2A171" w14:textId="649991A4" w:rsidR="00E95B67" w:rsidRPr="00FD65C9" w:rsidRDefault="00E95B67" w:rsidP="00622760">
      <w:pPr>
        <w:pStyle w:val="ECHRParaQuote"/>
        <w:rPr>
          <w:lang w:val="pl-PL"/>
        </w:rPr>
      </w:pPr>
      <w:r w:rsidRPr="00FD65C9">
        <w:rPr>
          <w:lang w:val="pl-PL"/>
        </w:rPr>
        <w:t>„</w:t>
      </w:r>
      <w:r w:rsidR="00E65567" w:rsidRPr="00FD65C9">
        <w:rPr>
          <w:lang w:val="pl-PL"/>
        </w:rPr>
        <w:t xml:space="preserve">Postanowienia Konstytucji są fundamentalnymi normami prawnymi, wiążącymi </w:t>
      </w:r>
      <w:r w:rsidR="00E65567" w:rsidRPr="00FD65C9">
        <w:rPr>
          <w:lang w:val="pl-PL"/>
        </w:rPr>
        <w:br/>
        <w:t>organy ustawodawcze, wykonawcze i sądownicze oraz wszelkie inne władze administracyjne, instytucje oraz jednostki</w:t>
      </w:r>
      <w:r w:rsidRPr="00FD65C9">
        <w:rPr>
          <w:lang w:val="pl-PL"/>
        </w:rPr>
        <w:t>”.</w:t>
      </w:r>
    </w:p>
    <w:p w14:paraId="2D283C3A" w14:textId="77777777"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47</w:t>
      </w:r>
      <w:r w:rsidRPr="00FD65C9">
        <w:rPr>
          <w:lang w:val="pl-PL"/>
        </w:rPr>
        <w:fldChar w:fldCharType="end"/>
      </w:r>
      <w:r w:rsidR="00E95B67" w:rsidRPr="00FD65C9">
        <w:rPr>
          <w:lang w:val="pl-PL"/>
        </w:rPr>
        <w:t>.  Artykuł 15 Konstytucji ma następujące brzmienie:</w:t>
      </w:r>
    </w:p>
    <w:p w14:paraId="7B9B3E2E" w14:textId="634D48D6" w:rsidR="00E95B67" w:rsidRPr="00FD65C9" w:rsidRDefault="00E95B67" w:rsidP="00622760">
      <w:pPr>
        <w:pStyle w:val="ECHRParaQuote"/>
        <w:rPr>
          <w:lang w:val="pl-PL"/>
        </w:rPr>
      </w:pPr>
      <w:r w:rsidRPr="00FD65C9">
        <w:rPr>
          <w:lang w:val="pl-PL"/>
        </w:rPr>
        <w:t>„</w:t>
      </w:r>
      <w:r w:rsidR="00E65567" w:rsidRPr="00FD65C9">
        <w:rPr>
          <w:lang w:val="pl-PL"/>
        </w:rPr>
        <w:t xml:space="preserve">W przypadku wojny, mobilizacji, stanu wyjątkowego i w innych sytuacjach </w:t>
      </w:r>
      <w:r w:rsidR="00E65567" w:rsidRPr="00FD65C9">
        <w:rPr>
          <w:lang w:val="pl-PL"/>
        </w:rPr>
        <w:br/>
        <w:t xml:space="preserve">nadzwyczajnych podstawowe prawa i wolności mogą zostać częściowo lub całkowicie </w:t>
      </w:r>
      <w:r w:rsidR="00E65567" w:rsidRPr="00FD65C9">
        <w:rPr>
          <w:lang w:val="pl-PL"/>
        </w:rPr>
        <w:br/>
        <w:t>zawieszone, jednakże podejmowane w tym celu środki winny być uzależnione od zaistniałych okoliczności, a odstępstwa od gwarancji przewidzianych w Konstytucji winny</w:t>
      </w:r>
      <w:r w:rsidR="008F5D4A">
        <w:rPr>
          <w:lang w:val="pl-PL"/>
        </w:rPr>
        <w:t xml:space="preserve"> </w:t>
      </w:r>
      <w:r w:rsidR="00E65567" w:rsidRPr="00FD65C9">
        <w:rPr>
          <w:lang w:val="pl-PL"/>
        </w:rPr>
        <w:t>mieć miejsce przy poszanowaniu zobowiązań wynikających z prawa międzynarodowego</w:t>
      </w:r>
      <w:r w:rsidRPr="00FD65C9">
        <w:rPr>
          <w:lang w:val="pl-PL"/>
        </w:rPr>
        <w:t>.</w:t>
      </w:r>
    </w:p>
    <w:p w14:paraId="0DAD64FF" w14:textId="6653C875" w:rsidR="00E95B67" w:rsidRPr="00FD65C9" w:rsidRDefault="00E65567" w:rsidP="00622760">
      <w:pPr>
        <w:pStyle w:val="ECHRParaQuote"/>
        <w:rPr>
          <w:lang w:val="pl-PL"/>
        </w:rPr>
      </w:pPr>
      <w:r w:rsidRPr="00FD65C9">
        <w:rPr>
          <w:lang w:val="pl-PL"/>
        </w:rPr>
        <w:t xml:space="preserve">W sytuacjach określonych w ustępie pierwszym, prawo do życia oraz integralność </w:t>
      </w:r>
      <w:r w:rsidRPr="00FD65C9">
        <w:rPr>
          <w:lang w:val="pl-PL"/>
        </w:rPr>
        <w:br/>
        <w:t>duchowa i cielesna jednostki są nienaruszalne, z wyjątkiem gdy śmierć jest następstwem zgodnych z prawem działań wojennych. Nikt nie może być zmuszany do ujawniania swojej religii, wyznania, myśli i przekonań i z tego tytułu oskarżony. Przestępstwa i kary nie mogą być ustanawiane z mocą wsteczną. Nikt nie może zostać uznany za winnego, dopóki jego wina nie zostanie stwierdzona wyrokiem sądu</w:t>
      </w:r>
      <w:r w:rsidR="00E95B67" w:rsidRPr="00FD65C9">
        <w:rPr>
          <w:lang w:val="pl-PL"/>
        </w:rPr>
        <w:t>”.</w:t>
      </w:r>
    </w:p>
    <w:p w14:paraId="50084EE5" w14:textId="570C3DCA" w:rsidR="00E95B67" w:rsidRPr="00FD65C9" w:rsidRDefault="00DA7597" w:rsidP="00622760">
      <w:pPr>
        <w:pStyle w:val="ECHRPara"/>
        <w:rPr>
          <w:noProof/>
          <w:lang w:val="pl-PL"/>
        </w:rPr>
      </w:pPr>
      <w:r w:rsidRPr="00FD65C9">
        <w:rPr>
          <w:noProof/>
          <w:lang w:val="pl-PL"/>
        </w:rPr>
        <w:fldChar w:fldCharType="begin"/>
      </w:r>
      <w:r w:rsidR="00E95B67" w:rsidRPr="00FD65C9">
        <w:rPr>
          <w:noProof/>
          <w:lang w:val="pl-PL"/>
        </w:rPr>
        <w:instrText xml:space="preserve"> SEQ level0 \*arabic </w:instrText>
      </w:r>
      <w:r w:rsidRPr="00FD65C9">
        <w:rPr>
          <w:noProof/>
          <w:lang w:val="pl-PL"/>
        </w:rPr>
        <w:fldChar w:fldCharType="separate"/>
      </w:r>
      <w:r w:rsidR="00E95B67" w:rsidRPr="00FD65C9">
        <w:rPr>
          <w:noProof/>
          <w:lang w:val="pl-PL"/>
        </w:rPr>
        <w:t>48</w:t>
      </w:r>
      <w:r w:rsidRPr="00FD65C9">
        <w:rPr>
          <w:noProof/>
          <w:lang w:val="pl-PL"/>
        </w:rPr>
        <w:fldChar w:fldCharType="end"/>
      </w:r>
      <w:r w:rsidR="00E95B67" w:rsidRPr="00FD65C9">
        <w:rPr>
          <w:noProof/>
          <w:lang w:val="pl-PL"/>
        </w:rPr>
        <w:t xml:space="preserve">.  Istotne dla niniejszej sprawy </w:t>
      </w:r>
      <w:r w:rsidR="0042198F">
        <w:rPr>
          <w:noProof/>
          <w:lang w:val="pl-PL"/>
        </w:rPr>
        <w:t>fragmenty</w:t>
      </w:r>
      <w:r w:rsidR="00E95B67" w:rsidRPr="00FD65C9">
        <w:rPr>
          <w:noProof/>
          <w:lang w:val="pl-PL"/>
        </w:rPr>
        <w:t xml:space="preserve"> artykułu 19 Konstytucji brzmią następująco:</w:t>
      </w:r>
    </w:p>
    <w:p w14:paraId="69C7933C" w14:textId="4362A069" w:rsidR="00E95B67" w:rsidRPr="00FD65C9" w:rsidRDefault="00E95B67" w:rsidP="00622760">
      <w:pPr>
        <w:pStyle w:val="ECHRParaQuote"/>
        <w:rPr>
          <w:lang w:val="pl-PL"/>
        </w:rPr>
      </w:pPr>
      <w:r w:rsidRPr="00FD65C9">
        <w:rPr>
          <w:lang w:val="pl-PL"/>
        </w:rPr>
        <w:t>„</w:t>
      </w:r>
      <w:r w:rsidR="005B41C7" w:rsidRPr="00FD65C9">
        <w:rPr>
          <w:lang w:val="pl-PL"/>
        </w:rPr>
        <w:t>Każdy ma prawo do wolności i bezpieczeństwa osobistego</w:t>
      </w:r>
      <w:r w:rsidRPr="00FD65C9">
        <w:rPr>
          <w:lang w:val="pl-PL"/>
        </w:rPr>
        <w:t>.</w:t>
      </w:r>
    </w:p>
    <w:p w14:paraId="28686227" w14:textId="77777777" w:rsidR="00E95B67" w:rsidRPr="00FD65C9" w:rsidRDefault="00E95B67" w:rsidP="00622760">
      <w:pPr>
        <w:pStyle w:val="ECHRParaQuote"/>
        <w:rPr>
          <w:lang w:val="pl-PL"/>
        </w:rPr>
      </w:pPr>
      <w:r w:rsidRPr="00FD65C9">
        <w:rPr>
          <w:lang w:val="pl-PL"/>
        </w:rPr>
        <w:t>[...]</w:t>
      </w:r>
    </w:p>
    <w:p w14:paraId="478A4796" w14:textId="0BAB51D1" w:rsidR="00E95B67" w:rsidRPr="00FD65C9" w:rsidRDefault="005B41C7" w:rsidP="00622760">
      <w:pPr>
        <w:pStyle w:val="ECHRParaQuote"/>
        <w:rPr>
          <w:lang w:val="pl-PL"/>
        </w:rPr>
      </w:pPr>
      <w:r w:rsidRPr="00FD65C9">
        <w:rPr>
          <w:lang w:val="pl-PL"/>
        </w:rPr>
        <w:t xml:space="preserve">Osoby, wobec których istnieje uzasadnione podejrzenie popełnienia przestępstwa </w:t>
      </w:r>
      <w:r w:rsidRPr="00FD65C9">
        <w:rPr>
          <w:lang w:val="pl-PL"/>
        </w:rPr>
        <w:br/>
        <w:t>mogą być aresztowane na podstawie decyzji sądu wyłącznie w celu zapobieżenia ucieczce, uniemożliwienia zniszczenia lub fałszowania dowodów oraz z innych podobnych przyczyn, które czynią zatrzymanie koniecznym i są określone przez prawo. Pozbawienie wolności bez decyzji sądu może nastąpić tylko w przypadku ujęcia osoby w momencie popełniania przestępstwa lub jeżeli opóźnienie mogłoby zagrozić zapewnieniu prawidłowego toku postępowania</w:t>
      </w:r>
      <w:r w:rsidR="00E95B67" w:rsidRPr="00FD65C9">
        <w:rPr>
          <w:lang w:val="pl-PL"/>
        </w:rPr>
        <w:t>; warunki w tym zakresie określa ustawa.</w:t>
      </w:r>
    </w:p>
    <w:p w14:paraId="1EE92208" w14:textId="77777777" w:rsidR="00E95B67" w:rsidRPr="00FD65C9" w:rsidRDefault="00E95B67" w:rsidP="00622760">
      <w:pPr>
        <w:pStyle w:val="ECHRParaQuote"/>
        <w:rPr>
          <w:lang w:val="pl-PL"/>
        </w:rPr>
      </w:pPr>
      <w:r w:rsidRPr="00FD65C9">
        <w:rPr>
          <w:lang w:val="pl-PL"/>
        </w:rPr>
        <w:t>[...]</w:t>
      </w:r>
    </w:p>
    <w:p w14:paraId="70CB4CE4" w14:textId="7D134165" w:rsidR="00E95B67" w:rsidRPr="00FD65C9" w:rsidRDefault="005B41C7" w:rsidP="00622760">
      <w:pPr>
        <w:pStyle w:val="ECHRParaQuote"/>
        <w:rPr>
          <w:lang w:val="pl-PL"/>
        </w:rPr>
      </w:pPr>
      <w:r w:rsidRPr="00FD65C9">
        <w:rPr>
          <w:lang w:val="pl-PL"/>
        </w:rPr>
        <w:t xml:space="preserve">Osoba zatrzymana lub pozbawiona wolności musi zostać postawiona przed sędzią nie </w:t>
      </w:r>
      <w:r w:rsidRPr="00FD65C9">
        <w:rPr>
          <w:lang w:val="pl-PL"/>
        </w:rPr>
        <w:br/>
        <w:t>później niż w ciągu czterdziestu ośmiu godzin, a w przypadku przestępstw popełnianych grupowo w ciągu czterech dni, nie wliczając okresu wymaganego dla przetransportowania zatrzymanego do sądu najbliższego miejscu zatrzymania. Po upływie tego okresu nikt nie może być pozbawiony wolności bez postanowienia sędziego. Okresy te mogą ulec wydłużeniu w przypadku wystąpienia stanu nadzwyczajnego, stanu wyjątkowego lub w czasie wojn</w:t>
      </w:r>
      <w:r>
        <w:rPr>
          <w:lang w:val="pl-PL"/>
        </w:rPr>
        <w:t>y</w:t>
      </w:r>
      <w:r w:rsidR="00E95B67" w:rsidRPr="00FD65C9">
        <w:rPr>
          <w:lang w:val="pl-PL"/>
        </w:rPr>
        <w:t>. [...]”</w:t>
      </w:r>
    </w:p>
    <w:p w14:paraId="4251CBAD" w14:textId="77777777" w:rsidR="00E95B67" w:rsidRPr="00FD65C9" w:rsidRDefault="00E95B67" w:rsidP="00622760">
      <w:pPr>
        <w:pStyle w:val="ECHRHeading2"/>
        <w:rPr>
          <w:lang w:val="pl-PL"/>
        </w:rPr>
      </w:pPr>
      <w:r w:rsidRPr="00FD65C9">
        <w:rPr>
          <w:lang w:val="pl-PL"/>
        </w:rPr>
        <w:t>B.  Ustawa nr 6216 o Trybunale Konstytucyjnym i zasadach postępowania przed nim („ustawa nr 6216”)</w:t>
      </w:r>
    </w:p>
    <w:p w14:paraId="56FF87A2" w14:textId="77777777"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49</w:t>
      </w:r>
      <w:r w:rsidRPr="00FD65C9">
        <w:rPr>
          <w:lang w:val="pl-PL"/>
        </w:rPr>
        <w:fldChar w:fldCharType="end"/>
      </w:r>
      <w:r w:rsidR="00E95B67" w:rsidRPr="00FD65C9">
        <w:rPr>
          <w:lang w:val="pl-PL"/>
        </w:rPr>
        <w:t xml:space="preserve">.  Odpowiednie fragmenty </w:t>
      </w:r>
      <w:r w:rsidR="008152F6" w:rsidRPr="00FD65C9">
        <w:rPr>
          <w:lang w:val="pl-PL"/>
        </w:rPr>
        <w:t>ustawy nr 6216, opublikowanej w </w:t>
      </w:r>
      <w:r w:rsidR="00E95B67" w:rsidRPr="00FD65C9">
        <w:rPr>
          <w:lang w:val="pl-PL"/>
        </w:rPr>
        <w:t>Dzienniku Urzędowym w dniu 3 kwietnia 2011 r., brzmią następująco:</w:t>
      </w:r>
    </w:p>
    <w:p w14:paraId="24033F40" w14:textId="1BF3171D" w:rsidR="00E95B67" w:rsidRPr="00FD65C9" w:rsidRDefault="00E95B67" w:rsidP="00622760">
      <w:pPr>
        <w:pStyle w:val="ECHRTitleCentre3"/>
        <w:rPr>
          <w:lang w:val="pl-PL"/>
        </w:rPr>
      </w:pPr>
      <w:r w:rsidRPr="00FD65C9">
        <w:rPr>
          <w:bCs/>
          <w:lang w:val="pl-PL"/>
        </w:rPr>
        <w:t>„</w:t>
      </w:r>
      <w:r w:rsidR="00FB7E69">
        <w:rPr>
          <w:bCs/>
          <w:lang w:val="pl-PL"/>
        </w:rPr>
        <w:t>Czynności wyjaśniające</w:t>
      </w:r>
      <w:r w:rsidRPr="00FD65C9">
        <w:rPr>
          <w:bCs/>
          <w:lang w:val="pl-PL"/>
        </w:rPr>
        <w:t xml:space="preserve"> (</w:t>
      </w:r>
      <w:proofErr w:type="spellStart"/>
      <w:r w:rsidRPr="00FD65C9">
        <w:rPr>
          <w:bCs/>
          <w:i/>
          <w:iCs/>
          <w:lang w:val="pl-PL"/>
        </w:rPr>
        <w:t>inceleme</w:t>
      </w:r>
      <w:proofErr w:type="spellEnd"/>
      <w:r w:rsidRPr="00FD65C9">
        <w:rPr>
          <w:bCs/>
          <w:lang w:val="pl-PL"/>
        </w:rPr>
        <w:t xml:space="preserve">) i </w:t>
      </w:r>
      <w:r w:rsidR="00D22C8C">
        <w:rPr>
          <w:bCs/>
          <w:lang w:val="pl-PL"/>
        </w:rPr>
        <w:t xml:space="preserve">sądowe </w:t>
      </w:r>
      <w:r w:rsidR="00FB7E69">
        <w:rPr>
          <w:bCs/>
          <w:lang w:val="pl-PL"/>
        </w:rPr>
        <w:t>postępowanie przygotowawcze</w:t>
      </w:r>
      <w:r w:rsidR="00FB7E69" w:rsidRPr="00FD65C9">
        <w:rPr>
          <w:bCs/>
          <w:lang w:val="pl-PL"/>
        </w:rPr>
        <w:t xml:space="preserve"> </w:t>
      </w:r>
      <w:r w:rsidRPr="00FD65C9">
        <w:rPr>
          <w:bCs/>
          <w:lang w:val="pl-PL"/>
        </w:rPr>
        <w:t>(</w:t>
      </w:r>
      <w:proofErr w:type="spellStart"/>
      <w:r w:rsidRPr="00FD65C9">
        <w:rPr>
          <w:bCs/>
          <w:i/>
          <w:iCs/>
          <w:lang w:val="pl-PL"/>
        </w:rPr>
        <w:t>soruşturma</w:t>
      </w:r>
      <w:proofErr w:type="spellEnd"/>
      <w:r w:rsidRPr="00FD65C9">
        <w:rPr>
          <w:bCs/>
          <w:lang w:val="pl-PL"/>
        </w:rPr>
        <w:t>) w sprawie prezesa i członków [Trybunału Konstytucyjnego].</w:t>
      </w:r>
    </w:p>
    <w:p w14:paraId="2B9E3538" w14:textId="77777777" w:rsidR="00985127" w:rsidRPr="00FD65C9" w:rsidRDefault="00E95B67" w:rsidP="00622760">
      <w:pPr>
        <w:pStyle w:val="ECHRTitleCentre3"/>
        <w:rPr>
          <w:lang w:val="pl-PL"/>
        </w:rPr>
      </w:pPr>
      <w:r w:rsidRPr="00FD65C9">
        <w:rPr>
          <w:bCs/>
          <w:lang w:val="pl-PL"/>
        </w:rPr>
        <w:t>Artykuł 16</w:t>
      </w:r>
    </w:p>
    <w:p w14:paraId="6F6C7D4F" w14:textId="6FD4E7E7" w:rsidR="00E95B67" w:rsidRPr="00FD65C9" w:rsidRDefault="001B4802" w:rsidP="00622760">
      <w:pPr>
        <w:pStyle w:val="ECHRParaQuote"/>
        <w:rPr>
          <w:lang w:val="pl-PL"/>
        </w:rPr>
      </w:pPr>
      <w:r w:rsidRPr="00FD65C9">
        <w:rPr>
          <w:lang w:val="pl-PL"/>
        </w:rPr>
        <w:t xml:space="preserve">„1) Wszczęcie </w:t>
      </w:r>
      <w:r w:rsidR="00FB7E69">
        <w:rPr>
          <w:lang w:val="pl-PL"/>
        </w:rPr>
        <w:t>postępowania przygotowawczego</w:t>
      </w:r>
      <w:r w:rsidR="00FB7E69" w:rsidRPr="00FD65C9">
        <w:rPr>
          <w:lang w:val="pl-PL"/>
        </w:rPr>
        <w:t xml:space="preserve"> </w:t>
      </w:r>
      <w:r w:rsidRPr="00FD65C9">
        <w:rPr>
          <w:lang w:val="pl-PL"/>
        </w:rPr>
        <w:t xml:space="preserve">przeciwko prezesowi i członkom [Trybunału Konstytucyjnego] w sprawie przestępstw rzekomo popełnionych </w:t>
      </w:r>
      <w:r w:rsidR="00C03843">
        <w:rPr>
          <w:lang w:val="pl-PL"/>
        </w:rPr>
        <w:t xml:space="preserve">w ramach </w:t>
      </w:r>
      <w:r w:rsidRPr="00FD65C9">
        <w:rPr>
          <w:lang w:val="pl-PL"/>
        </w:rPr>
        <w:t xml:space="preserve">sprawowania urzędu lub w trakcie wykonywania obowiązków służbowych, przestępstw o charakterze niepolitycznym i przewinień dyscyplinarnych jest uzależnione od decyzji sądu orzekającego w pełnym składzie. Jednakże w sprawach </w:t>
      </w:r>
      <w:r w:rsidR="00AD4D3A">
        <w:rPr>
          <w:i/>
          <w:iCs/>
          <w:lang w:val="pl-PL"/>
        </w:rPr>
        <w:t xml:space="preserve">in </w:t>
      </w:r>
      <w:proofErr w:type="spellStart"/>
      <w:r w:rsidR="00AD4D3A">
        <w:rPr>
          <w:i/>
          <w:iCs/>
          <w:lang w:val="pl-PL"/>
        </w:rPr>
        <w:t>flagrante</w:t>
      </w:r>
      <w:proofErr w:type="spellEnd"/>
      <w:r w:rsidRPr="00FD65C9">
        <w:rPr>
          <w:i/>
          <w:iCs/>
          <w:lang w:val="pl-PL"/>
        </w:rPr>
        <w:t xml:space="preserve"> </w:t>
      </w:r>
      <w:proofErr w:type="spellStart"/>
      <w:r w:rsidRPr="00FD65C9">
        <w:rPr>
          <w:i/>
          <w:iCs/>
          <w:lang w:val="pl-PL"/>
        </w:rPr>
        <w:t>delicto</w:t>
      </w:r>
      <w:proofErr w:type="spellEnd"/>
      <w:r w:rsidRPr="00FD65C9">
        <w:rPr>
          <w:lang w:val="pl-PL"/>
        </w:rPr>
        <w:t xml:space="preserve"> podlegających jurysdykcji sądów przysięgłych (</w:t>
      </w:r>
      <w:proofErr w:type="spellStart"/>
      <w:r w:rsidRPr="00FD65C9">
        <w:rPr>
          <w:i/>
          <w:iCs/>
          <w:lang w:val="pl-PL"/>
        </w:rPr>
        <w:t>ağır</w:t>
      </w:r>
      <w:proofErr w:type="spellEnd"/>
      <w:r w:rsidRPr="00FD65C9">
        <w:rPr>
          <w:i/>
          <w:iCs/>
          <w:lang w:val="pl-PL"/>
        </w:rPr>
        <w:t xml:space="preserve"> ceza </w:t>
      </w:r>
      <w:proofErr w:type="spellStart"/>
      <w:r w:rsidRPr="00FD65C9">
        <w:rPr>
          <w:i/>
          <w:iCs/>
          <w:lang w:val="pl-PL"/>
        </w:rPr>
        <w:t>mahkemesinin</w:t>
      </w:r>
      <w:proofErr w:type="spellEnd"/>
      <w:r w:rsidRPr="00FD65C9">
        <w:rPr>
          <w:i/>
          <w:iCs/>
          <w:lang w:val="pl-PL"/>
        </w:rPr>
        <w:t xml:space="preserve"> </w:t>
      </w:r>
      <w:proofErr w:type="spellStart"/>
      <w:r w:rsidRPr="00FD65C9">
        <w:rPr>
          <w:i/>
          <w:iCs/>
          <w:lang w:val="pl-PL"/>
        </w:rPr>
        <w:t>görevine</w:t>
      </w:r>
      <w:proofErr w:type="spellEnd"/>
      <w:r w:rsidRPr="00FD65C9">
        <w:rPr>
          <w:i/>
          <w:iCs/>
          <w:lang w:val="pl-PL"/>
        </w:rPr>
        <w:t xml:space="preserve"> </w:t>
      </w:r>
      <w:proofErr w:type="spellStart"/>
      <w:r w:rsidRPr="00FD65C9">
        <w:rPr>
          <w:i/>
          <w:iCs/>
          <w:lang w:val="pl-PL"/>
        </w:rPr>
        <w:t>giren</w:t>
      </w:r>
      <w:proofErr w:type="spellEnd"/>
      <w:r w:rsidRPr="00FD65C9">
        <w:rPr>
          <w:i/>
          <w:iCs/>
          <w:lang w:val="pl-PL"/>
        </w:rPr>
        <w:t xml:space="preserve"> </w:t>
      </w:r>
      <w:proofErr w:type="spellStart"/>
      <w:r w:rsidRPr="00FD65C9">
        <w:rPr>
          <w:i/>
          <w:iCs/>
          <w:lang w:val="pl-PL"/>
        </w:rPr>
        <w:t>suçüstü</w:t>
      </w:r>
      <w:proofErr w:type="spellEnd"/>
      <w:r w:rsidRPr="00FD65C9">
        <w:rPr>
          <w:i/>
          <w:iCs/>
          <w:lang w:val="pl-PL"/>
        </w:rPr>
        <w:t xml:space="preserve"> </w:t>
      </w:r>
      <w:proofErr w:type="spellStart"/>
      <w:r w:rsidRPr="00FD65C9">
        <w:rPr>
          <w:i/>
          <w:iCs/>
          <w:lang w:val="pl-PL"/>
        </w:rPr>
        <w:t>hâllerinde</w:t>
      </w:r>
      <w:proofErr w:type="spellEnd"/>
      <w:r w:rsidRPr="00FD65C9">
        <w:rPr>
          <w:lang w:val="pl-PL"/>
        </w:rPr>
        <w:t xml:space="preserve">) </w:t>
      </w:r>
      <w:r w:rsidR="00C03843">
        <w:rPr>
          <w:lang w:val="pl-PL"/>
        </w:rPr>
        <w:t>postępowanie przygotowawcze</w:t>
      </w:r>
      <w:r w:rsidR="00C03843" w:rsidRPr="00FD65C9">
        <w:rPr>
          <w:lang w:val="pl-PL"/>
        </w:rPr>
        <w:t xml:space="preserve"> </w:t>
      </w:r>
      <w:r w:rsidRPr="00FD65C9">
        <w:rPr>
          <w:lang w:val="pl-PL"/>
        </w:rPr>
        <w:t>prowadzi się zgodnie z przepisami prawa powszechnego.</w:t>
      </w:r>
    </w:p>
    <w:p w14:paraId="301022FB" w14:textId="77777777" w:rsidR="00E95B67" w:rsidRPr="00FD65C9" w:rsidRDefault="00E95B67" w:rsidP="00622760">
      <w:pPr>
        <w:pStyle w:val="ECHRParaQuote"/>
        <w:rPr>
          <w:lang w:val="pl-PL"/>
        </w:rPr>
      </w:pPr>
      <w:r w:rsidRPr="00FD65C9">
        <w:rPr>
          <w:lang w:val="pl-PL"/>
        </w:rPr>
        <w:t>[...]</w:t>
      </w:r>
    </w:p>
    <w:p w14:paraId="761AC495" w14:textId="3AE11FC2" w:rsidR="00E95B67" w:rsidRPr="00FD65C9" w:rsidRDefault="00E95B67" w:rsidP="00622760">
      <w:pPr>
        <w:pStyle w:val="ECHRParaQuote"/>
        <w:rPr>
          <w:lang w:val="pl-PL"/>
        </w:rPr>
      </w:pPr>
      <w:r w:rsidRPr="00FD65C9">
        <w:rPr>
          <w:lang w:val="pl-PL"/>
        </w:rPr>
        <w:t xml:space="preserve">3) Prezes może, w razie potrzeby, wyznaczyć członka do przeprowadzenia </w:t>
      </w:r>
      <w:r w:rsidR="00C03843">
        <w:rPr>
          <w:lang w:val="pl-PL"/>
        </w:rPr>
        <w:t>czynności wyjaśniających</w:t>
      </w:r>
      <w:r w:rsidRPr="00FD65C9">
        <w:rPr>
          <w:lang w:val="pl-PL"/>
        </w:rPr>
        <w:t xml:space="preserve"> w sprawie, zanim zostanie ona przekazana zgromadzeniu plenarnemu. Po </w:t>
      </w:r>
      <w:r w:rsidR="00C03843">
        <w:rPr>
          <w:lang w:val="pl-PL"/>
        </w:rPr>
        <w:t>ich przeprowadzeniu</w:t>
      </w:r>
      <w:r w:rsidRPr="00FD65C9">
        <w:rPr>
          <w:lang w:val="pl-PL"/>
        </w:rPr>
        <w:t xml:space="preserve"> członek wyznaczony do przeprowadzenia </w:t>
      </w:r>
      <w:r w:rsidR="00C03843">
        <w:rPr>
          <w:lang w:val="pl-PL"/>
        </w:rPr>
        <w:t>czynności wyjaśniających</w:t>
      </w:r>
      <w:r w:rsidRPr="00FD65C9">
        <w:rPr>
          <w:lang w:val="pl-PL"/>
        </w:rPr>
        <w:t xml:space="preserve"> [...] składa sprawozdanie prezesowi.</w:t>
      </w:r>
    </w:p>
    <w:p w14:paraId="7BF47A51" w14:textId="3249B8B0" w:rsidR="00E95B67" w:rsidRPr="00FD65C9" w:rsidRDefault="00E95B67" w:rsidP="00622760">
      <w:pPr>
        <w:pStyle w:val="ECHRParaQuote"/>
        <w:rPr>
          <w:lang w:val="pl-PL"/>
        </w:rPr>
      </w:pPr>
      <w:r w:rsidRPr="00FD65C9">
        <w:rPr>
          <w:lang w:val="pl-PL"/>
        </w:rPr>
        <w:t xml:space="preserve">4) Po wpisaniu sprawy na listę przez prezesa zgromadzenie plenarne </w:t>
      </w:r>
      <w:r w:rsidR="00C03843" w:rsidRPr="00FD65C9">
        <w:rPr>
          <w:lang w:val="pl-PL"/>
        </w:rPr>
        <w:t>rozp</w:t>
      </w:r>
      <w:r w:rsidR="00C03843">
        <w:rPr>
          <w:lang w:val="pl-PL"/>
        </w:rPr>
        <w:t>oznaje</w:t>
      </w:r>
      <w:r w:rsidR="00C03843" w:rsidRPr="00FD65C9">
        <w:rPr>
          <w:lang w:val="pl-PL"/>
        </w:rPr>
        <w:t xml:space="preserve"> </w:t>
      </w:r>
      <w:r w:rsidR="00C03843">
        <w:rPr>
          <w:lang w:val="pl-PL"/>
        </w:rPr>
        <w:t>sprawę</w:t>
      </w:r>
      <w:r w:rsidRPr="00FD65C9">
        <w:rPr>
          <w:lang w:val="pl-PL"/>
        </w:rPr>
        <w:t xml:space="preserve">. </w:t>
      </w:r>
      <w:r w:rsidR="0042198F">
        <w:rPr>
          <w:lang w:val="pl-PL"/>
        </w:rPr>
        <w:t>C</w:t>
      </w:r>
      <w:r w:rsidRPr="00FD65C9">
        <w:rPr>
          <w:lang w:val="pl-PL"/>
        </w:rPr>
        <w:t>złonek</w:t>
      </w:r>
      <w:r w:rsidR="0042198F">
        <w:rPr>
          <w:lang w:val="pl-PL"/>
        </w:rPr>
        <w:t xml:space="preserve">, którego dotyczy sprawa, </w:t>
      </w:r>
      <w:r w:rsidRPr="00FD65C9">
        <w:rPr>
          <w:lang w:val="pl-PL"/>
        </w:rPr>
        <w:t xml:space="preserve">nie może uczestniczyć w obradach. Jeżeli zgromadzenie plenarne podejmie decyzję o </w:t>
      </w:r>
      <w:r w:rsidR="00C03843">
        <w:rPr>
          <w:lang w:val="pl-PL"/>
        </w:rPr>
        <w:t>odmowie wszczęcia postępowania przygotowawczego</w:t>
      </w:r>
      <w:r w:rsidRPr="00FD65C9">
        <w:rPr>
          <w:lang w:val="pl-PL"/>
        </w:rPr>
        <w:t>, o decyzji tej powiadamia się zainteresowanego członka i skarżących.</w:t>
      </w:r>
    </w:p>
    <w:p w14:paraId="6D056EBB" w14:textId="4E8F9F80" w:rsidR="00E95B67" w:rsidRPr="00FD65C9" w:rsidRDefault="00E95B67" w:rsidP="00622760">
      <w:pPr>
        <w:pStyle w:val="ECHRParaQuote"/>
        <w:rPr>
          <w:lang w:val="pl-PL"/>
        </w:rPr>
      </w:pPr>
      <w:r w:rsidRPr="00FD65C9">
        <w:rPr>
          <w:lang w:val="pl-PL"/>
        </w:rPr>
        <w:t xml:space="preserve">5) W przypadku podjęcia decyzji o wszczęciu </w:t>
      </w:r>
      <w:r w:rsidR="00C03843">
        <w:rPr>
          <w:lang w:val="pl-PL"/>
        </w:rPr>
        <w:t>postępowania przygotowawczego</w:t>
      </w:r>
      <w:r w:rsidR="00C03843" w:rsidRPr="00FD65C9">
        <w:rPr>
          <w:lang w:val="pl-PL"/>
        </w:rPr>
        <w:t xml:space="preserve"> </w:t>
      </w:r>
      <w:r w:rsidRPr="00FD65C9">
        <w:rPr>
          <w:lang w:val="pl-PL"/>
        </w:rPr>
        <w:t xml:space="preserve">zgromadzenie plenarne wybiera ze swego grona trzech członków komisji śledczej. Komisji śledczej przewodniczy starszy członek. Komisja śledcza posiada wszystkie uprawnienia nadane prokuratorowi na mocy ustawy nr 5271 z dnia 4 grudnia 2004 r. w sprawie kodeksu postępowania karnego [kpk]. Czynności </w:t>
      </w:r>
      <w:r w:rsidR="00D22C8C">
        <w:rPr>
          <w:lang w:val="pl-PL"/>
        </w:rPr>
        <w:t>w ramach postępowania przygotowawczego</w:t>
      </w:r>
      <w:r w:rsidR="00D22C8C" w:rsidRPr="00FD65C9">
        <w:rPr>
          <w:lang w:val="pl-PL"/>
        </w:rPr>
        <w:t xml:space="preserve"> </w:t>
      </w:r>
      <w:r w:rsidRPr="00FD65C9">
        <w:rPr>
          <w:lang w:val="pl-PL"/>
        </w:rPr>
        <w:t>wymagane przez komisję śledczą są niezwłocznie przeprowadzane przez właściwe miejscowe organy sądowe. [...]”</w:t>
      </w:r>
    </w:p>
    <w:p w14:paraId="0475FF23" w14:textId="76E6D8F9" w:rsidR="00E95B67" w:rsidRPr="00FD65C9" w:rsidRDefault="00D22C8C" w:rsidP="00622760">
      <w:pPr>
        <w:pStyle w:val="ECHRTitleCentre3"/>
        <w:rPr>
          <w:lang w:val="pl-PL"/>
        </w:rPr>
      </w:pPr>
      <w:r>
        <w:rPr>
          <w:bCs/>
          <w:lang w:val="pl-PL"/>
        </w:rPr>
        <w:t>Sądowe postępowanie przygotowawcze i postępowanie karne</w:t>
      </w:r>
    </w:p>
    <w:p w14:paraId="3DC9974A" w14:textId="77777777" w:rsidR="00985127" w:rsidRPr="00FD65C9" w:rsidRDefault="00E95B67" w:rsidP="00622760">
      <w:pPr>
        <w:pStyle w:val="ECHRTitleCentre3"/>
        <w:rPr>
          <w:lang w:val="pl-PL"/>
        </w:rPr>
      </w:pPr>
      <w:r w:rsidRPr="00FD65C9">
        <w:rPr>
          <w:bCs/>
          <w:lang w:val="pl-PL"/>
        </w:rPr>
        <w:t>Artykuł 17</w:t>
      </w:r>
    </w:p>
    <w:p w14:paraId="79BDC6D9" w14:textId="5F392207" w:rsidR="00E95B67" w:rsidRPr="00FD65C9" w:rsidRDefault="001B4802" w:rsidP="00622760">
      <w:pPr>
        <w:pStyle w:val="ECHRParaQuote"/>
        <w:rPr>
          <w:lang w:val="pl-PL"/>
        </w:rPr>
      </w:pPr>
      <w:r w:rsidRPr="00FD65C9">
        <w:rPr>
          <w:lang w:val="pl-PL"/>
        </w:rPr>
        <w:t xml:space="preserve">„1) Z wyjątkiem przypadków </w:t>
      </w:r>
      <w:r w:rsidR="00AD4D3A">
        <w:rPr>
          <w:i/>
          <w:iCs/>
          <w:lang w:val="pl-PL"/>
        </w:rPr>
        <w:t xml:space="preserve">in </w:t>
      </w:r>
      <w:proofErr w:type="spellStart"/>
      <w:r w:rsidR="00AD4D3A">
        <w:rPr>
          <w:i/>
          <w:iCs/>
          <w:lang w:val="pl-PL"/>
        </w:rPr>
        <w:t>flagrante</w:t>
      </w:r>
      <w:proofErr w:type="spellEnd"/>
      <w:r w:rsidRPr="00FD65C9">
        <w:rPr>
          <w:i/>
          <w:iCs/>
          <w:lang w:val="pl-PL"/>
        </w:rPr>
        <w:t xml:space="preserve"> </w:t>
      </w:r>
      <w:proofErr w:type="spellStart"/>
      <w:r w:rsidRPr="00FD65C9">
        <w:rPr>
          <w:i/>
          <w:iCs/>
          <w:lang w:val="pl-PL"/>
        </w:rPr>
        <w:t>delicto</w:t>
      </w:r>
      <w:proofErr w:type="spellEnd"/>
      <w:r w:rsidR="008152F6" w:rsidRPr="00FD65C9">
        <w:rPr>
          <w:lang w:val="pl-PL"/>
        </w:rPr>
        <w:t xml:space="preserve"> dotyczących przestępstw o </w:t>
      </w:r>
      <w:r w:rsidRPr="00FD65C9">
        <w:rPr>
          <w:lang w:val="pl-PL"/>
        </w:rPr>
        <w:t xml:space="preserve">charakterze niepolitycznym podlegających jurysdykcji sądów przysięgłych, środki zapobiegawcze wobec prezesa i członków [Trybunału Konstytucyjnego] </w:t>
      </w:r>
      <w:r w:rsidR="00D22C8C">
        <w:rPr>
          <w:lang w:val="pl-PL"/>
        </w:rPr>
        <w:t xml:space="preserve">w związku z </w:t>
      </w:r>
      <w:r w:rsidRPr="00FD65C9">
        <w:rPr>
          <w:lang w:val="pl-PL"/>
        </w:rPr>
        <w:t>przestępstwa</w:t>
      </w:r>
      <w:r w:rsidR="00D22C8C">
        <w:rPr>
          <w:lang w:val="pl-PL"/>
        </w:rPr>
        <w:t>mi</w:t>
      </w:r>
      <w:r w:rsidRPr="00FD65C9">
        <w:rPr>
          <w:lang w:val="pl-PL"/>
        </w:rPr>
        <w:t xml:space="preserve"> rzekomo popełnion</w:t>
      </w:r>
      <w:r w:rsidR="00D22C8C">
        <w:rPr>
          <w:lang w:val="pl-PL"/>
        </w:rPr>
        <w:t>ymi</w:t>
      </w:r>
      <w:r w:rsidRPr="00FD65C9">
        <w:rPr>
          <w:lang w:val="pl-PL"/>
        </w:rPr>
        <w:t xml:space="preserve"> podczas sprawowania urzędu lub w trakcie wykonywania obowiązków służbowych mogą </w:t>
      </w:r>
      <w:r w:rsidR="00D22C8C">
        <w:rPr>
          <w:lang w:val="pl-PL"/>
        </w:rPr>
        <w:t>zostać zastosowane</w:t>
      </w:r>
      <w:r w:rsidRPr="00FD65C9">
        <w:rPr>
          <w:lang w:val="pl-PL"/>
        </w:rPr>
        <w:t xml:space="preserve"> wyłącznie na podstawie przepisów niniejszego artykułu.</w:t>
      </w:r>
    </w:p>
    <w:p w14:paraId="0082724A" w14:textId="53946F7B" w:rsidR="00E95B67" w:rsidRPr="00FD65C9" w:rsidRDefault="00E95B67" w:rsidP="00622760">
      <w:pPr>
        <w:pStyle w:val="ECHRParaQuote"/>
        <w:rPr>
          <w:lang w:val="pl-PL"/>
        </w:rPr>
      </w:pPr>
      <w:r w:rsidRPr="00FD65C9">
        <w:rPr>
          <w:lang w:val="pl-PL"/>
        </w:rPr>
        <w:t xml:space="preserve">2) W przypadkach </w:t>
      </w:r>
      <w:r w:rsidR="00AD4D3A">
        <w:rPr>
          <w:i/>
          <w:iCs/>
          <w:lang w:val="pl-PL"/>
        </w:rPr>
        <w:t xml:space="preserve">in </w:t>
      </w:r>
      <w:proofErr w:type="spellStart"/>
      <w:r w:rsidR="00AD4D3A">
        <w:rPr>
          <w:i/>
          <w:iCs/>
          <w:lang w:val="pl-PL"/>
        </w:rPr>
        <w:t>flagrante</w:t>
      </w:r>
      <w:proofErr w:type="spellEnd"/>
      <w:r w:rsidRPr="00FD65C9">
        <w:rPr>
          <w:i/>
          <w:iCs/>
          <w:lang w:val="pl-PL"/>
        </w:rPr>
        <w:t xml:space="preserve"> </w:t>
      </w:r>
      <w:proofErr w:type="spellStart"/>
      <w:r w:rsidRPr="00FD65C9">
        <w:rPr>
          <w:i/>
          <w:iCs/>
          <w:lang w:val="pl-PL"/>
        </w:rPr>
        <w:t>delicto</w:t>
      </w:r>
      <w:proofErr w:type="spellEnd"/>
      <w:r w:rsidRPr="00FD65C9">
        <w:rPr>
          <w:i/>
          <w:iCs/>
          <w:lang w:val="pl-PL"/>
        </w:rPr>
        <w:t xml:space="preserve"> </w:t>
      </w:r>
      <w:r w:rsidRPr="00FD65C9">
        <w:rPr>
          <w:lang w:val="pl-PL"/>
        </w:rPr>
        <w:t xml:space="preserve">dotyczących przestępstw o charakterze niepolitycznym podlegających jurysdykcji sądów przysięgłych, </w:t>
      </w:r>
      <w:r w:rsidR="00D22C8C">
        <w:rPr>
          <w:lang w:val="pl-PL"/>
        </w:rPr>
        <w:t xml:space="preserve">postępowanie przygotowawcze </w:t>
      </w:r>
      <w:r w:rsidRPr="00FD65C9">
        <w:rPr>
          <w:lang w:val="pl-PL"/>
        </w:rPr>
        <w:t xml:space="preserve">prowadzone jest zgodnie z przepisami ogólnymi. Po sporządzeniu aktu oskarżenia postępowanie jest prowadzone przez zgromadzenie izb karnych </w:t>
      </w:r>
      <w:r w:rsidR="0042198F">
        <w:rPr>
          <w:lang w:val="pl-PL"/>
        </w:rPr>
        <w:t>S</w:t>
      </w:r>
      <w:r w:rsidRPr="00FD65C9">
        <w:rPr>
          <w:lang w:val="pl-PL"/>
        </w:rPr>
        <w:t xml:space="preserve">ądu </w:t>
      </w:r>
      <w:r w:rsidR="0042198F">
        <w:rPr>
          <w:lang w:val="pl-PL"/>
        </w:rPr>
        <w:t>K</w:t>
      </w:r>
      <w:r w:rsidRPr="00FD65C9">
        <w:rPr>
          <w:lang w:val="pl-PL"/>
        </w:rPr>
        <w:t xml:space="preserve">asacyjnego [od dnia 2 stycznia 2017 r. – »przez właściwą izbę karną </w:t>
      </w:r>
      <w:r w:rsidR="0042198F">
        <w:rPr>
          <w:lang w:val="pl-PL"/>
        </w:rPr>
        <w:t>S</w:t>
      </w:r>
      <w:r w:rsidRPr="00FD65C9">
        <w:rPr>
          <w:lang w:val="pl-PL"/>
        </w:rPr>
        <w:t xml:space="preserve">ądu </w:t>
      </w:r>
      <w:r w:rsidR="0042198F">
        <w:rPr>
          <w:lang w:val="pl-PL"/>
        </w:rPr>
        <w:t>K</w:t>
      </w:r>
      <w:r w:rsidRPr="00FD65C9">
        <w:rPr>
          <w:lang w:val="pl-PL"/>
        </w:rPr>
        <w:t>asacyjnego«].</w:t>
      </w:r>
    </w:p>
    <w:p w14:paraId="27673350" w14:textId="244CAB95" w:rsidR="00E95B67" w:rsidRPr="00FD65C9" w:rsidRDefault="00E95B67" w:rsidP="00622760">
      <w:pPr>
        <w:pStyle w:val="ECHRParaQuote"/>
        <w:rPr>
          <w:lang w:val="pl-PL"/>
        </w:rPr>
      </w:pPr>
      <w:r w:rsidRPr="00FD65C9">
        <w:rPr>
          <w:lang w:val="pl-PL"/>
        </w:rPr>
        <w:t xml:space="preserve">3) Z wyjątkiem przypadków </w:t>
      </w:r>
      <w:r w:rsidR="00AD4D3A">
        <w:rPr>
          <w:i/>
          <w:iCs/>
          <w:lang w:val="pl-PL"/>
        </w:rPr>
        <w:t xml:space="preserve">in </w:t>
      </w:r>
      <w:proofErr w:type="spellStart"/>
      <w:r w:rsidR="00AD4D3A">
        <w:rPr>
          <w:i/>
          <w:iCs/>
          <w:lang w:val="pl-PL"/>
        </w:rPr>
        <w:t>flagrante</w:t>
      </w:r>
      <w:proofErr w:type="spellEnd"/>
      <w:r w:rsidRPr="00FD65C9">
        <w:rPr>
          <w:i/>
          <w:iCs/>
          <w:lang w:val="pl-PL"/>
        </w:rPr>
        <w:t xml:space="preserve"> </w:t>
      </w:r>
      <w:proofErr w:type="spellStart"/>
      <w:r w:rsidRPr="00FD65C9">
        <w:rPr>
          <w:i/>
          <w:iCs/>
          <w:lang w:val="pl-PL"/>
        </w:rPr>
        <w:t>delicto</w:t>
      </w:r>
      <w:proofErr w:type="spellEnd"/>
      <w:r w:rsidR="008152F6" w:rsidRPr="00FD65C9">
        <w:rPr>
          <w:lang w:val="pl-PL"/>
        </w:rPr>
        <w:t xml:space="preserve"> dotyczących przestępstw o </w:t>
      </w:r>
      <w:r w:rsidRPr="00FD65C9">
        <w:rPr>
          <w:lang w:val="pl-PL"/>
        </w:rPr>
        <w:t>charakterze niepolitycznym podlegających jur</w:t>
      </w:r>
      <w:r w:rsidR="008152F6" w:rsidRPr="00FD65C9">
        <w:rPr>
          <w:lang w:val="pl-PL"/>
        </w:rPr>
        <w:t>ysdykcji sądów przysięgłych i w </w:t>
      </w:r>
      <w:r w:rsidRPr="00FD65C9">
        <w:rPr>
          <w:lang w:val="pl-PL"/>
        </w:rPr>
        <w:t>odniesieniu do przestępstw rzekomo popełnionych podczas sprawowania urzędu lub w trakcie wykonywania obowiązków służbo</w:t>
      </w:r>
      <w:r w:rsidR="008152F6" w:rsidRPr="00FD65C9">
        <w:rPr>
          <w:lang w:val="pl-PL"/>
        </w:rPr>
        <w:t>wych, jak również przestępstw o </w:t>
      </w:r>
      <w:r w:rsidRPr="00FD65C9">
        <w:rPr>
          <w:lang w:val="pl-PL"/>
        </w:rPr>
        <w:t xml:space="preserve">charakterze niepolitycznym, jeżeli w trakcie </w:t>
      </w:r>
      <w:r w:rsidR="00D22C8C">
        <w:rPr>
          <w:lang w:val="pl-PL"/>
        </w:rPr>
        <w:t>postepowania przygotowawczego</w:t>
      </w:r>
      <w:r w:rsidR="00D22C8C" w:rsidRPr="00FD65C9">
        <w:rPr>
          <w:lang w:val="pl-PL"/>
        </w:rPr>
        <w:t xml:space="preserve"> </w:t>
      </w:r>
      <w:r w:rsidRPr="00FD65C9">
        <w:rPr>
          <w:lang w:val="pl-PL"/>
        </w:rPr>
        <w:t>komisja śledcza wnioskuje o zastosowanie środka zapobiegawczeg</w:t>
      </w:r>
      <w:r w:rsidR="008152F6" w:rsidRPr="00FD65C9">
        <w:rPr>
          <w:lang w:val="pl-PL"/>
        </w:rPr>
        <w:t>o przewidzianego w ustawie nr </w:t>
      </w:r>
      <w:r w:rsidRPr="00FD65C9">
        <w:rPr>
          <w:lang w:val="pl-PL"/>
        </w:rPr>
        <w:t>5271 [kpk] i innych ustawach, zgromadzenie plenarne rozstrzyga o tym wniosku.</w:t>
      </w:r>
    </w:p>
    <w:p w14:paraId="3D2840E8" w14:textId="500E6048" w:rsidR="00E95B67" w:rsidRPr="00FD65C9" w:rsidRDefault="00E95B67" w:rsidP="00622760">
      <w:pPr>
        <w:pStyle w:val="ECHRParaQuote"/>
        <w:rPr>
          <w:lang w:val="pl-PL"/>
        </w:rPr>
      </w:pPr>
      <w:r w:rsidRPr="00FD65C9">
        <w:rPr>
          <w:lang w:val="pl-PL"/>
        </w:rPr>
        <w:t xml:space="preserve">4) Jeżeli komisja śledcza po zakończeniu </w:t>
      </w:r>
      <w:r w:rsidR="00BE1BD0">
        <w:rPr>
          <w:lang w:val="pl-PL"/>
        </w:rPr>
        <w:t>postepowania przygotowawczego</w:t>
      </w:r>
      <w:r w:rsidRPr="00FD65C9">
        <w:rPr>
          <w:lang w:val="pl-PL"/>
        </w:rPr>
        <w:t xml:space="preserve">, uzna, że nie ma podstaw do wniesienia oskarżenia, wydaje postanowienie o umorzeniu. Gdy komisja uzna, że należy wszcząć postępowanie z oskarżenia publicznego, kieruje sprawę do Trybunału Konstytucyjnego, w przypadku przestępstw związanych z wykonywaniem funkcji, aby ten rozpatrzył sprawę jako sąd najwyższej </w:t>
      </w:r>
      <w:r w:rsidR="00BE1BD0">
        <w:rPr>
          <w:lang w:val="pl-PL"/>
        </w:rPr>
        <w:t>instancji</w:t>
      </w:r>
      <w:r w:rsidRPr="00FD65C9">
        <w:rPr>
          <w:lang w:val="pl-PL"/>
        </w:rPr>
        <w:t xml:space="preserve">, oraz do prezesa [tego sądu], w przypadku przestępstw o charakterze niepolitycznym, aby przekazał sprawę do zgromadzenia izb karnych </w:t>
      </w:r>
      <w:r w:rsidR="009C5B53">
        <w:rPr>
          <w:lang w:val="pl-PL"/>
        </w:rPr>
        <w:t>S</w:t>
      </w:r>
      <w:r w:rsidRPr="00FD65C9">
        <w:rPr>
          <w:lang w:val="pl-PL"/>
        </w:rPr>
        <w:t xml:space="preserve">ądu </w:t>
      </w:r>
      <w:r w:rsidR="009C5B53">
        <w:rPr>
          <w:lang w:val="pl-PL"/>
        </w:rPr>
        <w:t>K</w:t>
      </w:r>
      <w:r w:rsidRPr="00FD65C9">
        <w:rPr>
          <w:lang w:val="pl-PL"/>
        </w:rPr>
        <w:t>asacyjne</w:t>
      </w:r>
      <w:r w:rsidR="008152F6" w:rsidRPr="00FD65C9">
        <w:rPr>
          <w:lang w:val="pl-PL"/>
        </w:rPr>
        <w:t>go [od 2 stycznia 2017 r. – »do </w:t>
      </w:r>
      <w:r w:rsidRPr="00FD65C9">
        <w:rPr>
          <w:lang w:val="pl-PL"/>
        </w:rPr>
        <w:t xml:space="preserve">właściwej izby karnej </w:t>
      </w:r>
      <w:r w:rsidR="009C5B53">
        <w:rPr>
          <w:lang w:val="pl-PL"/>
        </w:rPr>
        <w:t>S</w:t>
      </w:r>
      <w:r w:rsidRPr="00FD65C9">
        <w:rPr>
          <w:lang w:val="pl-PL"/>
        </w:rPr>
        <w:t xml:space="preserve">ądu </w:t>
      </w:r>
      <w:r w:rsidR="009C5B53">
        <w:rPr>
          <w:lang w:val="pl-PL"/>
        </w:rPr>
        <w:t>K</w:t>
      </w:r>
      <w:r w:rsidRPr="00FD65C9">
        <w:rPr>
          <w:lang w:val="pl-PL"/>
        </w:rPr>
        <w:t>asacyjnego«]. O decyzjach komisji śledczej powiadamia się podejrzanego oraz, w stosownych przypadkach, skarżących”.</w:t>
      </w:r>
    </w:p>
    <w:p w14:paraId="4C4ED624" w14:textId="32A0EAA1" w:rsidR="00E95B67" w:rsidRPr="00FD65C9" w:rsidRDefault="00E95B67" w:rsidP="00622760">
      <w:pPr>
        <w:pStyle w:val="ECHRHeading2"/>
        <w:rPr>
          <w:lang w:val="pl-PL"/>
        </w:rPr>
      </w:pPr>
      <w:r w:rsidRPr="00FD65C9">
        <w:rPr>
          <w:lang w:val="pl-PL"/>
        </w:rPr>
        <w:t>C.  Ustawa nr 5237 z dnia 26 września 2004 r. o kodeksie karnym</w:t>
      </w:r>
    </w:p>
    <w:p w14:paraId="0779FABF" w14:textId="05BA024B"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50</w:t>
      </w:r>
      <w:r w:rsidRPr="00FD65C9">
        <w:rPr>
          <w:lang w:val="pl-PL"/>
        </w:rPr>
        <w:fldChar w:fldCharType="end"/>
      </w:r>
      <w:r w:rsidR="00E95B67" w:rsidRPr="00FD65C9">
        <w:rPr>
          <w:lang w:val="pl-PL"/>
        </w:rPr>
        <w:t xml:space="preserve">.  Artykuł 309 § 1 </w:t>
      </w:r>
      <w:r w:rsidR="00307437">
        <w:rPr>
          <w:lang w:val="pl-PL"/>
        </w:rPr>
        <w:t>kodeksu karnego</w:t>
      </w:r>
      <w:r w:rsidR="00E95B67" w:rsidRPr="00FD65C9">
        <w:rPr>
          <w:lang w:val="pl-PL"/>
        </w:rPr>
        <w:t xml:space="preserve"> brzmi następująco:</w:t>
      </w:r>
    </w:p>
    <w:p w14:paraId="6D9538CA" w14:textId="4E13F15F" w:rsidR="00E95B67" w:rsidRPr="00FD65C9" w:rsidRDefault="0015366F" w:rsidP="00622760">
      <w:pPr>
        <w:pStyle w:val="ECHRParaQuote"/>
        <w:rPr>
          <w:lang w:val="pl-PL"/>
        </w:rPr>
      </w:pPr>
      <w:r w:rsidRPr="00FD65C9">
        <w:rPr>
          <w:lang w:val="pl-PL"/>
        </w:rPr>
        <w:t xml:space="preserve">„Każdy, kto usiłuje siłą </w:t>
      </w:r>
      <w:r w:rsidR="00307437">
        <w:rPr>
          <w:lang w:val="pl-PL"/>
        </w:rPr>
        <w:t>lub</w:t>
      </w:r>
      <w:r w:rsidRPr="00FD65C9">
        <w:rPr>
          <w:lang w:val="pl-PL"/>
        </w:rPr>
        <w:t xml:space="preserve"> przemocą obalić porząd</w:t>
      </w:r>
      <w:r w:rsidR="008152F6" w:rsidRPr="00FD65C9">
        <w:rPr>
          <w:lang w:val="pl-PL"/>
        </w:rPr>
        <w:t>ek konstytucyjny przewidziany w </w:t>
      </w:r>
      <w:r w:rsidRPr="00FD65C9">
        <w:rPr>
          <w:lang w:val="pl-PL"/>
        </w:rPr>
        <w:t xml:space="preserve">Konstytucji Republiki Turcji lub ustanowić w jego miejsce inny porządek albo częściowo lub całkowicie </w:t>
      </w:r>
      <w:r w:rsidRPr="00FD65C9">
        <w:rPr>
          <w:i/>
          <w:iCs/>
          <w:lang w:val="pl-PL"/>
        </w:rPr>
        <w:t>de facto</w:t>
      </w:r>
      <w:r w:rsidRPr="00FD65C9">
        <w:rPr>
          <w:lang w:val="pl-PL"/>
        </w:rPr>
        <w:t xml:space="preserve"> uniemożliwić ustanowienie tego porządku, </w:t>
      </w:r>
      <w:r w:rsidR="00AD2FCF">
        <w:rPr>
          <w:lang w:val="pl-PL"/>
        </w:rPr>
        <w:t xml:space="preserve">podlega </w:t>
      </w:r>
      <w:r w:rsidRPr="00FD65C9">
        <w:rPr>
          <w:lang w:val="pl-PL"/>
        </w:rPr>
        <w:t>zaostrzon</w:t>
      </w:r>
      <w:r w:rsidR="00AD2FCF">
        <w:rPr>
          <w:lang w:val="pl-PL"/>
        </w:rPr>
        <w:t>ej</w:t>
      </w:r>
      <w:r w:rsidRPr="00FD65C9">
        <w:rPr>
          <w:lang w:val="pl-PL"/>
        </w:rPr>
        <w:t xml:space="preserve"> kar</w:t>
      </w:r>
      <w:r w:rsidR="00AD2FCF">
        <w:rPr>
          <w:lang w:val="pl-PL"/>
        </w:rPr>
        <w:t>ze</w:t>
      </w:r>
      <w:r w:rsidRPr="00FD65C9">
        <w:rPr>
          <w:lang w:val="pl-PL"/>
        </w:rPr>
        <w:t xml:space="preserve"> dożywotniego </w:t>
      </w:r>
      <w:r w:rsidR="00AD2FCF">
        <w:rPr>
          <w:lang w:val="pl-PL"/>
        </w:rPr>
        <w:t>pozbawienia wolności</w:t>
      </w:r>
      <w:r w:rsidRPr="00FD65C9">
        <w:rPr>
          <w:lang w:val="pl-PL"/>
        </w:rPr>
        <w:t>”.</w:t>
      </w:r>
    </w:p>
    <w:p w14:paraId="10B0A18F" w14:textId="55264B1D"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51</w:t>
      </w:r>
      <w:r w:rsidRPr="00FD65C9">
        <w:rPr>
          <w:lang w:val="pl-PL"/>
        </w:rPr>
        <w:fldChar w:fldCharType="end"/>
      </w:r>
      <w:r w:rsidR="00E95B67" w:rsidRPr="00FD65C9">
        <w:rPr>
          <w:lang w:val="pl-PL"/>
        </w:rPr>
        <w:t xml:space="preserve">.  Artykuł 314 §§ 1 i 2 </w:t>
      </w:r>
      <w:r w:rsidR="00307437">
        <w:rPr>
          <w:lang w:val="pl-PL"/>
        </w:rPr>
        <w:t>kodeksu karnego</w:t>
      </w:r>
      <w:r w:rsidR="00E95B67" w:rsidRPr="00FD65C9">
        <w:rPr>
          <w:lang w:val="pl-PL"/>
        </w:rPr>
        <w:t>, który przewiduje przestępstwo przynależności do nielegalnej organizacji, ma następujące brzmienie:</w:t>
      </w:r>
    </w:p>
    <w:p w14:paraId="6332AE4F" w14:textId="77777777" w:rsidR="00E95B67" w:rsidRPr="00FD65C9" w:rsidRDefault="00E95B67" w:rsidP="00622760">
      <w:pPr>
        <w:pStyle w:val="ECHRParaQuote"/>
        <w:rPr>
          <w:lang w:val="pl-PL"/>
        </w:rPr>
      </w:pPr>
      <w:r w:rsidRPr="00FD65C9">
        <w:rPr>
          <w:lang w:val="pl-PL"/>
        </w:rPr>
        <w:t>„1.  Każdy, kto tworzy organizację mającą na celu popełnianie przestępstw określonych w sekcjach czwartej i piątej niniejszego rozdziału lub kieruje taką organizacją, podlega karze pozbawienia wolności od dziesięciu do piętnastu lat.</w:t>
      </w:r>
    </w:p>
    <w:p w14:paraId="2A55F1DB" w14:textId="76C8672B" w:rsidR="00E95B67" w:rsidRPr="00FD65C9" w:rsidRDefault="00E95B67" w:rsidP="00622760">
      <w:pPr>
        <w:pStyle w:val="ECHRParaQuote"/>
        <w:rPr>
          <w:lang w:val="pl-PL"/>
        </w:rPr>
      </w:pPr>
      <w:r w:rsidRPr="00FD65C9">
        <w:rPr>
          <w:lang w:val="pl-PL"/>
        </w:rPr>
        <w:t xml:space="preserve">2.  Każdy członek organizacji, o której mowa w akapicie pierwszym, </w:t>
      </w:r>
      <w:r w:rsidR="00AD2FCF">
        <w:rPr>
          <w:lang w:val="pl-PL"/>
        </w:rPr>
        <w:t>podlega</w:t>
      </w:r>
      <w:r w:rsidRPr="00FD65C9">
        <w:rPr>
          <w:lang w:val="pl-PL"/>
        </w:rPr>
        <w:t xml:space="preserve"> kar</w:t>
      </w:r>
      <w:r w:rsidR="00AD2FCF">
        <w:rPr>
          <w:lang w:val="pl-PL"/>
        </w:rPr>
        <w:t>ze</w:t>
      </w:r>
      <w:r w:rsidRPr="00FD65C9">
        <w:rPr>
          <w:lang w:val="pl-PL"/>
        </w:rPr>
        <w:t xml:space="preserve"> od pięciu do dziesięciu lat pozbawienia wolności.</w:t>
      </w:r>
    </w:p>
    <w:p w14:paraId="3E2C1A47" w14:textId="77777777" w:rsidR="00E95B67" w:rsidRPr="00FD65C9" w:rsidRDefault="00E95B67" w:rsidP="00622760">
      <w:pPr>
        <w:pStyle w:val="ECHRHeading2"/>
        <w:rPr>
          <w:lang w:val="pl-PL"/>
        </w:rPr>
      </w:pPr>
      <w:r w:rsidRPr="00FD65C9">
        <w:rPr>
          <w:lang w:val="pl-PL"/>
        </w:rPr>
        <w:t>D. Ustawa nr 5271 z dnia 4 grudnia 2004 r. w sprawie kodeksu postępowania karnego (kpk)</w:t>
      </w:r>
    </w:p>
    <w:p w14:paraId="3CF8E6B7" w14:textId="72E9C3F9"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52</w:t>
      </w:r>
      <w:r w:rsidRPr="00FD65C9">
        <w:rPr>
          <w:lang w:val="pl-PL"/>
        </w:rPr>
        <w:fldChar w:fldCharType="end"/>
      </w:r>
      <w:r w:rsidR="00E95B67" w:rsidRPr="00FD65C9">
        <w:rPr>
          <w:lang w:val="pl-PL"/>
        </w:rPr>
        <w:t>.  </w:t>
      </w:r>
      <w:r w:rsidR="00307437">
        <w:rPr>
          <w:lang w:val="pl-PL"/>
        </w:rPr>
        <w:t>Fragmenty artykułu 2 kpk,</w:t>
      </w:r>
      <w:r w:rsidR="00E95B67" w:rsidRPr="00FD65C9">
        <w:rPr>
          <w:lang w:val="pl-PL"/>
        </w:rPr>
        <w:t xml:space="preserve"> </w:t>
      </w:r>
      <w:proofErr w:type="spellStart"/>
      <w:r w:rsidR="00E95B67" w:rsidRPr="00FD65C9">
        <w:rPr>
          <w:lang w:val="pl-PL"/>
        </w:rPr>
        <w:t>mając</w:t>
      </w:r>
      <w:r w:rsidR="00307437">
        <w:rPr>
          <w:lang w:val="pl-PL"/>
        </w:rPr>
        <w:t>de</w:t>
      </w:r>
      <w:proofErr w:type="spellEnd"/>
      <w:r w:rsidR="00E95B67" w:rsidRPr="00FD65C9">
        <w:rPr>
          <w:lang w:val="pl-PL"/>
        </w:rPr>
        <w:t xml:space="preserve"> znaczenie dla niniejszej sprawy, ma</w:t>
      </w:r>
      <w:r w:rsidR="00307437">
        <w:rPr>
          <w:lang w:val="pl-PL"/>
        </w:rPr>
        <w:t>ją</w:t>
      </w:r>
      <w:r w:rsidR="00E95B67" w:rsidRPr="00FD65C9">
        <w:rPr>
          <w:lang w:val="pl-PL"/>
        </w:rPr>
        <w:t xml:space="preserve"> następujące brzmienie:</w:t>
      </w:r>
    </w:p>
    <w:p w14:paraId="33B7DAEA" w14:textId="5B053236" w:rsidR="00E95B67" w:rsidRPr="00FD65C9" w:rsidRDefault="00E95B67" w:rsidP="00622760">
      <w:pPr>
        <w:pStyle w:val="ECHRParaQuote"/>
        <w:rPr>
          <w:lang w:val="pl-PL"/>
        </w:rPr>
      </w:pPr>
      <w:r w:rsidRPr="00FD65C9">
        <w:rPr>
          <w:lang w:val="pl-PL"/>
        </w:rPr>
        <w:t xml:space="preserve">„[...] j) </w:t>
      </w:r>
      <w:r w:rsidR="00E6466C">
        <w:rPr>
          <w:lang w:val="pl-PL"/>
        </w:rPr>
        <w:t>uznaje się za</w:t>
      </w:r>
      <w:r w:rsidRPr="00FD65C9">
        <w:rPr>
          <w:lang w:val="pl-PL"/>
        </w:rPr>
        <w:t xml:space="preserve"> </w:t>
      </w:r>
      <w:r w:rsidR="00AD4D3A">
        <w:rPr>
          <w:i/>
          <w:iCs/>
          <w:lang w:val="pl-PL"/>
        </w:rPr>
        <w:t xml:space="preserve">in </w:t>
      </w:r>
      <w:proofErr w:type="spellStart"/>
      <w:r w:rsidR="00AD4D3A">
        <w:rPr>
          <w:i/>
          <w:iCs/>
          <w:lang w:val="pl-PL"/>
        </w:rPr>
        <w:t>flagrante</w:t>
      </w:r>
      <w:proofErr w:type="spellEnd"/>
      <w:r w:rsidRPr="00FD65C9">
        <w:rPr>
          <w:i/>
          <w:iCs/>
          <w:lang w:val="pl-PL"/>
        </w:rPr>
        <w:t xml:space="preserve"> </w:t>
      </w:r>
      <w:proofErr w:type="spellStart"/>
      <w:r w:rsidRPr="00FD65C9">
        <w:rPr>
          <w:i/>
          <w:iCs/>
          <w:lang w:val="pl-PL"/>
        </w:rPr>
        <w:t>delicto</w:t>
      </w:r>
      <w:proofErr w:type="spellEnd"/>
      <w:r w:rsidRPr="00FD65C9">
        <w:rPr>
          <w:lang w:val="pl-PL"/>
        </w:rPr>
        <w:t xml:space="preserve"> (</w:t>
      </w:r>
      <w:proofErr w:type="spellStart"/>
      <w:r w:rsidRPr="00FD65C9">
        <w:rPr>
          <w:lang w:val="pl-PL"/>
        </w:rPr>
        <w:t>suçüstü</w:t>
      </w:r>
      <w:proofErr w:type="spellEnd"/>
      <w:r w:rsidRPr="00FD65C9">
        <w:rPr>
          <w:lang w:val="pl-PL"/>
        </w:rPr>
        <w:t>):</w:t>
      </w:r>
    </w:p>
    <w:p w14:paraId="2F561415" w14:textId="3F1866B8" w:rsidR="00E95B67" w:rsidRPr="00FD65C9" w:rsidRDefault="00E95B67" w:rsidP="00622760">
      <w:pPr>
        <w:pStyle w:val="ECHRParaQuote"/>
        <w:rPr>
          <w:lang w:val="pl-PL"/>
        </w:rPr>
      </w:pPr>
      <w:r w:rsidRPr="00FD65C9">
        <w:rPr>
          <w:lang w:val="pl-PL"/>
        </w:rPr>
        <w:t>1. przestępstw</w:t>
      </w:r>
      <w:r w:rsidR="00AF5E2B">
        <w:rPr>
          <w:lang w:val="pl-PL"/>
        </w:rPr>
        <w:t>o w trakcie jego popełniania</w:t>
      </w:r>
      <w:r w:rsidRPr="00FD65C9">
        <w:rPr>
          <w:lang w:val="pl-PL"/>
        </w:rPr>
        <w:t>;</w:t>
      </w:r>
    </w:p>
    <w:p w14:paraId="1B8DB261" w14:textId="77777777" w:rsidR="00AF5E2B" w:rsidRPr="00AF5E2B" w:rsidRDefault="00AF5E2B" w:rsidP="00AF5E2B">
      <w:pPr>
        <w:pStyle w:val="ECHRParaQuote"/>
        <w:rPr>
          <w:lang w:val="pl-PL"/>
        </w:rPr>
      </w:pPr>
      <w:r w:rsidRPr="00AF5E2B">
        <w:rPr>
          <w:lang w:val="pl-PL"/>
        </w:rPr>
        <w:t>2. przestępstwo, które właśnie zostało popełnione, oraz przestępstwo popełnione przez osobę, która była ścigana bezpośrednio po dokonaniu czynu i została ujęta przez policję, pokrzywdzonego lub inne osoby;</w:t>
      </w:r>
    </w:p>
    <w:p w14:paraId="642780AF" w14:textId="77777777" w:rsidR="00AF5E2B" w:rsidRDefault="00AF5E2B" w:rsidP="00AF5E2B">
      <w:pPr>
        <w:pStyle w:val="ECHRParaQuote"/>
        <w:rPr>
          <w:lang w:val="pl-PL"/>
        </w:rPr>
      </w:pPr>
      <w:r w:rsidRPr="00AF5E2B">
        <w:rPr>
          <w:lang w:val="pl-PL"/>
        </w:rPr>
        <w:t>3. przestępstwo popełnione przez osobę, która w chwili ujęcia była w posiadaniu przedmiotów lub dowodów wskazujących na to, że czyn został popełniony bardzo niedawno.</w:t>
      </w:r>
    </w:p>
    <w:p w14:paraId="7076030B" w14:textId="051A7C84" w:rsidR="00E95B67" w:rsidRPr="00FD65C9" w:rsidRDefault="00E95B67" w:rsidP="00AF5E2B">
      <w:pPr>
        <w:pStyle w:val="ECHRParaQuote"/>
        <w:rPr>
          <w:lang w:val="pl-PL"/>
        </w:rPr>
      </w:pPr>
      <w:r w:rsidRPr="00FD65C9">
        <w:rPr>
          <w:lang w:val="pl-PL"/>
        </w:rPr>
        <w:t>[...]”</w:t>
      </w:r>
    </w:p>
    <w:p w14:paraId="7A5FAC1D" w14:textId="77777777"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53</w:t>
      </w:r>
      <w:r w:rsidRPr="00FD65C9">
        <w:rPr>
          <w:lang w:val="pl-PL"/>
        </w:rPr>
        <w:fldChar w:fldCharType="end"/>
      </w:r>
      <w:r w:rsidR="00E95B67" w:rsidRPr="00FD65C9">
        <w:rPr>
          <w:lang w:val="pl-PL"/>
        </w:rPr>
        <w:t>.  Artykuł 91 § 2 kpk stanowi, co następuje:</w:t>
      </w:r>
    </w:p>
    <w:p w14:paraId="435ABCC3" w14:textId="625E13E1" w:rsidR="00E95B67" w:rsidRPr="00FD65C9" w:rsidRDefault="00E95B67" w:rsidP="00622760">
      <w:pPr>
        <w:pStyle w:val="ECHRParaQuote"/>
        <w:rPr>
          <w:lang w:val="pl-PL"/>
        </w:rPr>
      </w:pPr>
      <w:r w:rsidRPr="00FD65C9">
        <w:rPr>
          <w:lang w:val="pl-PL"/>
        </w:rPr>
        <w:t xml:space="preserve">„Umieszczenie w areszcie policyjnym zależy od konieczności zastosowania tego środka dla potrzeb </w:t>
      </w:r>
      <w:r w:rsidR="00462B38">
        <w:rPr>
          <w:lang w:val="pl-PL"/>
        </w:rPr>
        <w:t>postępowania przygotowawczego</w:t>
      </w:r>
      <w:r w:rsidR="00462B38" w:rsidRPr="00FD65C9">
        <w:rPr>
          <w:lang w:val="pl-PL"/>
        </w:rPr>
        <w:t xml:space="preserve"> </w:t>
      </w:r>
      <w:r w:rsidRPr="00FD65C9">
        <w:rPr>
          <w:lang w:val="pl-PL"/>
        </w:rPr>
        <w:t>oraz od przesłanek wskazujących, że dana osoba popełniła przestępstwo”.</w:t>
      </w:r>
    </w:p>
    <w:p w14:paraId="0B0851CB" w14:textId="1EAE59BF"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54</w:t>
      </w:r>
      <w:r w:rsidRPr="00FD65C9">
        <w:rPr>
          <w:lang w:val="pl-PL"/>
        </w:rPr>
        <w:fldChar w:fldCharType="end"/>
      </w:r>
      <w:r w:rsidR="00E95B67" w:rsidRPr="00FD65C9">
        <w:rPr>
          <w:lang w:val="pl-PL"/>
        </w:rPr>
        <w:t xml:space="preserve">.  Artykuł 91 </w:t>
      </w:r>
      <w:r w:rsidR="00307437">
        <w:rPr>
          <w:lang w:val="pl-PL"/>
        </w:rPr>
        <w:t>§</w:t>
      </w:r>
      <w:r w:rsidR="00E95B67" w:rsidRPr="00FD65C9">
        <w:rPr>
          <w:lang w:val="pl-PL"/>
        </w:rPr>
        <w:t xml:space="preserve"> 5 kpk stanowi, że </w:t>
      </w:r>
      <w:r w:rsidR="00462B38">
        <w:rPr>
          <w:lang w:val="pl-PL"/>
        </w:rPr>
        <w:t>osoba zatrzymana</w:t>
      </w:r>
      <w:r w:rsidR="00E95B67" w:rsidRPr="00FD65C9">
        <w:rPr>
          <w:lang w:val="pl-PL"/>
        </w:rPr>
        <w:t xml:space="preserve">, jej </w:t>
      </w:r>
      <w:r w:rsidR="00585C45">
        <w:rPr>
          <w:lang w:val="pl-PL"/>
        </w:rPr>
        <w:t>pełnomocnik</w:t>
      </w:r>
      <w:r w:rsidR="00E95B67" w:rsidRPr="00FD65C9">
        <w:rPr>
          <w:lang w:val="pl-PL"/>
        </w:rPr>
        <w:t xml:space="preserve">, partner lub krewni mogą złożyć zażalenie na zatrzymanie, umieszczenie w areszcie lub przedłużenie </w:t>
      </w:r>
      <w:r w:rsidR="00462B38">
        <w:rPr>
          <w:lang w:val="pl-PL"/>
        </w:rPr>
        <w:t>zastosowania tymczasowego aresztowania</w:t>
      </w:r>
      <w:r w:rsidR="00E95B67" w:rsidRPr="00FD65C9">
        <w:rPr>
          <w:lang w:val="pl-PL"/>
        </w:rPr>
        <w:t xml:space="preserve"> w celu uzyskania zwolnienia. Zażalenie musi zostać rozpatrzone najpóźniej w c</w:t>
      </w:r>
      <w:r w:rsidR="008152F6" w:rsidRPr="00FD65C9">
        <w:rPr>
          <w:lang w:val="pl-PL"/>
        </w:rPr>
        <w:t>iągu 24 </w:t>
      </w:r>
      <w:r w:rsidR="00E95B67" w:rsidRPr="00FD65C9">
        <w:rPr>
          <w:lang w:val="pl-PL"/>
        </w:rPr>
        <w:t>godzin.</w:t>
      </w:r>
    </w:p>
    <w:p w14:paraId="5936A120" w14:textId="31C82CDD" w:rsidR="00E95B67" w:rsidRPr="00FD65C9" w:rsidRDefault="00DA7597" w:rsidP="00622760">
      <w:pPr>
        <w:pStyle w:val="ECHRPara"/>
        <w:rPr>
          <w:noProof/>
          <w:lang w:val="pl-PL"/>
        </w:rPr>
      </w:pPr>
      <w:r w:rsidRPr="00FD65C9">
        <w:rPr>
          <w:noProof/>
          <w:lang w:val="pl-PL"/>
        </w:rPr>
        <w:fldChar w:fldCharType="begin"/>
      </w:r>
      <w:r w:rsidR="00E95B67" w:rsidRPr="00FD65C9">
        <w:rPr>
          <w:noProof/>
          <w:lang w:val="pl-PL"/>
        </w:rPr>
        <w:instrText xml:space="preserve"> SEQ level0 \*arabic </w:instrText>
      </w:r>
      <w:r w:rsidRPr="00FD65C9">
        <w:rPr>
          <w:noProof/>
          <w:lang w:val="pl-PL"/>
        </w:rPr>
        <w:fldChar w:fldCharType="separate"/>
      </w:r>
      <w:r w:rsidR="00E95B67" w:rsidRPr="00FD65C9">
        <w:rPr>
          <w:noProof/>
          <w:lang w:val="pl-PL"/>
        </w:rPr>
        <w:t>55</w:t>
      </w:r>
      <w:r w:rsidRPr="00FD65C9">
        <w:rPr>
          <w:noProof/>
          <w:lang w:val="pl-PL"/>
        </w:rPr>
        <w:fldChar w:fldCharType="end"/>
      </w:r>
      <w:r w:rsidR="00E95B67" w:rsidRPr="00FD65C9">
        <w:rPr>
          <w:noProof/>
          <w:lang w:val="pl-PL"/>
        </w:rPr>
        <w:t>.  </w:t>
      </w:r>
      <w:r w:rsidR="0078120B">
        <w:rPr>
          <w:noProof/>
          <w:lang w:val="pl-PL"/>
        </w:rPr>
        <w:t>Fragmenty a</w:t>
      </w:r>
      <w:r w:rsidR="00E95B67" w:rsidRPr="00FD65C9">
        <w:rPr>
          <w:noProof/>
          <w:lang w:val="pl-PL"/>
        </w:rPr>
        <w:t>rtykuł</w:t>
      </w:r>
      <w:r w:rsidR="0078120B">
        <w:rPr>
          <w:noProof/>
          <w:lang w:val="pl-PL"/>
        </w:rPr>
        <w:t>u</w:t>
      </w:r>
      <w:r w:rsidR="00E95B67" w:rsidRPr="00FD65C9">
        <w:rPr>
          <w:noProof/>
          <w:lang w:val="pl-PL"/>
        </w:rPr>
        <w:t xml:space="preserve"> 100 §§ 1 i 2 kpk mające zastosowanie w niniejszej sprawie </w:t>
      </w:r>
      <w:r w:rsidR="0078120B">
        <w:rPr>
          <w:noProof/>
          <w:lang w:val="pl-PL"/>
        </w:rPr>
        <w:t>mają następujące brzmienie</w:t>
      </w:r>
      <w:r w:rsidR="00E95B67" w:rsidRPr="00FD65C9">
        <w:rPr>
          <w:noProof/>
          <w:lang w:val="pl-PL"/>
        </w:rPr>
        <w:t>:</w:t>
      </w:r>
    </w:p>
    <w:p w14:paraId="1FD0344D" w14:textId="4270FE3C" w:rsidR="00E95B67" w:rsidRPr="00FD65C9" w:rsidRDefault="00E95B67" w:rsidP="00622760">
      <w:pPr>
        <w:pStyle w:val="ECHRParaQuote"/>
        <w:rPr>
          <w:lang w:val="pl-PL"/>
        </w:rPr>
      </w:pPr>
      <w:r w:rsidRPr="00FD65C9">
        <w:rPr>
          <w:lang w:val="pl-PL"/>
        </w:rPr>
        <w:t xml:space="preserve">„1.  Jeżeli istnieją okoliczności faktyczne wskazujące na poważne podejrzenie popełnienia przestępstwa [objętego zarzutem] oraz na istnienie przesłanek zastosowania tymczasowego aresztowania, można </w:t>
      </w:r>
      <w:r w:rsidR="00FE28CA">
        <w:rPr>
          <w:lang w:val="pl-PL"/>
        </w:rPr>
        <w:t>wydać postanowienie o zastosowaniu</w:t>
      </w:r>
      <w:r w:rsidR="00FE28CA" w:rsidRPr="00FD65C9">
        <w:rPr>
          <w:lang w:val="pl-PL"/>
        </w:rPr>
        <w:t xml:space="preserve"> </w:t>
      </w:r>
      <w:r w:rsidRPr="00FD65C9">
        <w:rPr>
          <w:lang w:val="pl-PL"/>
        </w:rPr>
        <w:t>tymczasowe</w:t>
      </w:r>
      <w:r w:rsidR="00FE28CA">
        <w:rPr>
          <w:lang w:val="pl-PL"/>
        </w:rPr>
        <w:t>go</w:t>
      </w:r>
      <w:r w:rsidRPr="00FD65C9">
        <w:rPr>
          <w:lang w:val="pl-PL"/>
        </w:rPr>
        <w:t xml:space="preserve"> aresztowani</w:t>
      </w:r>
      <w:r w:rsidR="00FE28CA">
        <w:rPr>
          <w:lang w:val="pl-PL"/>
        </w:rPr>
        <w:t xml:space="preserve">a </w:t>
      </w:r>
      <w:r w:rsidR="00FE28CA" w:rsidRPr="00AE1B4D">
        <w:rPr>
          <w:lang w:val="pl-PL"/>
        </w:rPr>
        <w:t>wobec podejrzanego lub oskarżonego</w:t>
      </w:r>
      <w:r w:rsidRPr="00FD65C9">
        <w:rPr>
          <w:lang w:val="pl-PL"/>
        </w:rPr>
        <w:t xml:space="preserve">. </w:t>
      </w:r>
      <w:r w:rsidR="00FE28CA">
        <w:rPr>
          <w:lang w:val="pl-PL"/>
        </w:rPr>
        <w:t xml:space="preserve">O zastosowaniu tymczasowego aresztowania postanawia się wyłącznie </w:t>
      </w:r>
      <w:r w:rsidRPr="00FD65C9">
        <w:rPr>
          <w:lang w:val="pl-PL"/>
        </w:rPr>
        <w:t>proporcjonalnie do kary lub środka zapobiegawczego, który może zostać orzeczony ze względu na wagę sprawy.</w:t>
      </w:r>
    </w:p>
    <w:p w14:paraId="11732220" w14:textId="461DBC9F" w:rsidR="00E95B67" w:rsidRPr="00FD65C9" w:rsidRDefault="00E95B67" w:rsidP="00622760">
      <w:pPr>
        <w:pStyle w:val="ECHRParaQuote"/>
        <w:rPr>
          <w:lang w:val="pl-PL"/>
        </w:rPr>
      </w:pPr>
      <w:r w:rsidRPr="00FD65C9">
        <w:rPr>
          <w:lang w:val="pl-PL"/>
        </w:rPr>
        <w:t xml:space="preserve">2.  W wymienionych poniżej przypadkach </w:t>
      </w:r>
      <w:r w:rsidR="00FE28CA">
        <w:rPr>
          <w:lang w:val="pl-PL"/>
        </w:rPr>
        <w:t>przyjmuje się, że zachodzą przesłanki zastosowania</w:t>
      </w:r>
      <w:r w:rsidRPr="00FD65C9">
        <w:rPr>
          <w:lang w:val="pl-PL"/>
        </w:rPr>
        <w:t xml:space="preserve"> tymczasowego aresztowania:</w:t>
      </w:r>
    </w:p>
    <w:p w14:paraId="08F0E94A" w14:textId="4EE7FE93" w:rsidR="00E95B67" w:rsidRPr="00FD65C9" w:rsidRDefault="00E95B67" w:rsidP="00622760">
      <w:pPr>
        <w:pStyle w:val="ECHRParaQuote"/>
        <w:rPr>
          <w:lang w:val="pl-PL"/>
        </w:rPr>
      </w:pPr>
      <w:r w:rsidRPr="00FD65C9">
        <w:rPr>
          <w:lang w:val="pl-PL"/>
        </w:rPr>
        <w:t>a) jeżeli istnieją konkretne okoliczności faktyczne, które dają podstawy</w:t>
      </w:r>
      <w:r w:rsidR="00FE28CA">
        <w:rPr>
          <w:lang w:val="pl-PL"/>
        </w:rPr>
        <w:t>, by przypuszczać</w:t>
      </w:r>
      <w:r w:rsidRPr="00FD65C9">
        <w:rPr>
          <w:lang w:val="pl-PL"/>
        </w:rPr>
        <w:t xml:space="preserve">, że </w:t>
      </w:r>
      <w:r w:rsidR="00FE28CA">
        <w:rPr>
          <w:lang w:val="pl-PL"/>
        </w:rPr>
        <w:t>zachodzi</w:t>
      </w:r>
      <w:r w:rsidR="00FE28CA" w:rsidRPr="00FD65C9">
        <w:rPr>
          <w:lang w:val="pl-PL"/>
        </w:rPr>
        <w:t xml:space="preserve"> </w:t>
      </w:r>
      <w:r w:rsidR="00FE28CA">
        <w:rPr>
          <w:lang w:val="pl-PL"/>
        </w:rPr>
        <w:t>obawa</w:t>
      </w:r>
      <w:r w:rsidR="00FE28CA" w:rsidRPr="00FD65C9">
        <w:rPr>
          <w:lang w:val="pl-PL"/>
        </w:rPr>
        <w:t xml:space="preserve"> </w:t>
      </w:r>
      <w:r w:rsidRPr="00FD65C9">
        <w:rPr>
          <w:lang w:val="pl-PL"/>
        </w:rPr>
        <w:t>ucieczki [...];</w:t>
      </w:r>
    </w:p>
    <w:p w14:paraId="1D32702F" w14:textId="351E25F8" w:rsidR="00E95B67" w:rsidRPr="00FD65C9" w:rsidRDefault="00E95B67" w:rsidP="00622760">
      <w:pPr>
        <w:pStyle w:val="ECHRParaQuote"/>
        <w:rPr>
          <w:lang w:val="pl-PL"/>
        </w:rPr>
      </w:pPr>
      <w:r w:rsidRPr="00FD65C9">
        <w:rPr>
          <w:lang w:val="pl-PL"/>
        </w:rPr>
        <w:t>b) jeżeli zachowanie podejrzanego lub oskarżonego daje podstawy</w:t>
      </w:r>
      <w:r w:rsidR="009D5E95">
        <w:rPr>
          <w:lang w:val="pl-PL"/>
        </w:rPr>
        <w:t>, by podejrzewać:</w:t>
      </w:r>
    </w:p>
    <w:p w14:paraId="33068CAC" w14:textId="780F1A69" w:rsidR="00E95B67" w:rsidRPr="00FD65C9" w:rsidRDefault="00E95B67" w:rsidP="00622760">
      <w:pPr>
        <w:pStyle w:val="ECHRParaQuote"/>
        <w:rPr>
          <w:lang w:val="pl-PL"/>
        </w:rPr>
      </w:pPr>
      <w:r w:rsidRPr="00FD65C9">
        <w:rPr>
          <w:lang w:val="pl-PL"/>
        </w:rPr>
        <w:t xml:space="preserve">1. </w:t>
      </w:r>
      <w:r w:rsidR="009D5E95">
        <w:rPr>
          <w:lang w:val="pl-PL"/>
        </w:rPr>
        <w:t>obawę</w:t>
      </w:r>
      <w:r w:rsidR="009D5E95" w:rsidRPr="00FD65C9">
        <w:rPr>
          <w:lang w:val="pl-PL"/>
        </w:rPr>
        <w:t xml:space="preserve"> </w:t>
      </w:r>
      <w:r w:rsidRPr="00FD65C9">
        <w:rPr>
          <w:lang w:val="pl-PL"/>
        </w:rPr>
        <w:t xml:space="preserve">zniszczenia, </w:t>
      </w:r>
      <w:r w:rsidR="009D5E95">
        <w:rPr>
          <w:lang w:val="pl-PL"/>
        </w:rPr>
        <w:t>zatajenia</w:t>
      </w:r>
      <w:r w:rsidR="009D5E95" w:rsidRPr="00FD65C9">
        <w:rPr>
          <w:lang w:val="pl-PL"/>
        </w:rPr>
        <w:t xml:space="preserve"> </w:t>
      </w:r>
      <w:r w:rsidRPr="00FD65C9">
        <w:rPr>
          <w:lang w:val="pl-PL"/>
        </w:rPr>
        <w:t>dowodów lub manipulowania nimi,</w:t>
      </w:r>
    </w:p>
    <w:p w14:paraId="1D4F74E8" w14:textId="76751C5C" w:rsidR="00E95B67" w:rsidRPr="00FD65C9" w:rsidRDefault="00E95B67" w:rsidP="00622760">
      <w:pPr>
        <w:pStyle w:val="ECHRParaQuote"/>
        <w:rPr>
          <w:lang w:val="pl-PL"/>
        </w:rPr>
      </w:pPr>
      <w:r w:rsidRPr="00FD65C9">
        <w:rPr>
          <w:lang w:val="pl-PL"/>
        </w:rPr>
        <w:t>2. prób</w:t>
      </w:r>
      <w:r w:rsidR="009D5E95">
        <w:rPr>
          <w:lang w:val="pl-PL"/>
        </w:rPr>
        <w:t>ę</w:t>
      </w:r>
      <w:r w:rsidRPr="00FD65C9">
        <w:rPr>
          <w:lang w:val="pl-PL"/>
        </w:rPr>
        <w:t xml:space="preserve"> wywarcia nacisku na świadków lub inne osoby [...]”.</w:t>
      </w:r>
    </w:p>
    <w:p w14:paraId="0C44BAA2" w14:textId="4A743FF0" w:rsidR="00E95B67" w:rsidRPr="00FD65C9" w:rsidRDefault="00E95B67" w:rsidP="00622760">
      <w:pPr>
        <w:pStyle w:val="ECHRPara"/>
        <w:rPr>
          <w:lang w:val="pl-PL"/>
        </w:rPr>
      </w:pPr>
      <w:r w:rsidRPr="00FD65C9">
        <w:rPr>
          <w:lang w:val="pl-PL"/>
        </w:rPr>
        <w:t>W przypadku niektórych przestępstw wymienionych w art. 100 § 3 kpk (tj. tzw. przestępstw „</w:t>
      </w:r>
      <w:r w:rsidR="009D5E95" w:rsidRPr="00FD65C9">
        <w:rPr>
          <w:lang w:val="pl-PL"/>
        </w:rPr>
        <w:t>s</w:t>
      </w:r>
      <w:r w:rsidR="009D5E95">
        <w:rPr>
          <w:lang w:val="pl-PL"/>
        </w:rPr>
        <w:t>typizowanych</w:t>
      </w:r>
      <w:r w:rsidRPr="00FD65C9">
        <w:rPr>
          <w:lang w:val="pl-PL"/>
        </w:rPr>
        <w:t xml:space="preserve">”) istnieje domniemanie prawne co do istnienia podstaw </w:t>
      </w:r>
      <w:r w:rsidR="009D5E95">
        <w:rPr>
          <w:lang w:val="pl-PL"/>
        </w:rPr>
        <w:t xml:space="preserve">do </w:t>
      </w:r>
      <w:r w:rsidR="009D5E95" w:rsidRPr="00FD65C9">
        <w:rPr>
          <w:lang w:val="pl-PL"/>
        </w:rPr>
        <w:t>za</w:t>
      </w:r>
      <w:r w:rsidR="009D5E95">
        <w:rPr>
          <w:lang w:val="pl-PL"/>
        </w:rPr>
        <w:t>stosowania tymczasowego aresztowania</w:t>
      </w:r>
      <w:r w:rsidRPr="00FD65C9">
        <w:rPr>
          <w:lang w:val="pl-PL"/>
        </w:rPr>
        <w:t>. Odp</w:t>
      </w:r>
      <w:r w:rsidR="008152F6" w:rsidRPr="00FD65C9">
        <w:rPr>
          <w:lang w:val="pl-PL"/>
        </w:rPr>
        <w:t>owiednie fragmenty art. 100 § 3 </w:t>
      </w:r>
      <w:r w:rsidRPr="00FD65C9">
        <w:rPr>
          <w:lang w:val="pl-PL"/>
        </w:rPr>
        <w:t>kpk mają następujące brzmienie:</w:t>
      </w:r>
    </w:p>
    <w:p w14:paraId="43B87DDE" w14:textId="596DA76D" w:rsidR="00E95B67" w:rsidRPr="00FD65C9" w:rsidRDefault="00E95B67" w:rsidP="00622760">
      <w:pPr>
        <w:pStyle w:val="ECHRParaQuote"/>
        <w:rPr>
          <w:lang w:val="pl-PL"/>
        </w:rPr>
      </w:pPr>
      <w:r w:rsidRPr="00FD65C9">
        <w:rPr>
          <w:lang w:val="pl-PL"/>
        </w:rPr>
        <w:t xml:space="preserve">„3) </w:t>
      </w:r>
      <w:r w:rsidR="009D5E95">
        <w:rPr>
          <w:lang w:val="pl-PL"/>
        </w:rPr>
        <w:t>W przypadku okoliczności</w:t>
      </w:r>
      <w:r w:rsidRPr="00FD65C9">
        <w:rPr>
          <w:lang w:val="pl-PL"/>
        </w:rPr>
        <w:t xml:space="preserve"> wskazują</w:t>
      </w:r>
      <w:r w:rsidR="009D5E95">
        <w:rPr>
          <w:lang w:val="pl-PL"/>
        </w:rPr>
        <w:t>cych</w:t>
      </w:r>
      <w:r w:rsidRPr="00FD65C9">
        <w:rPr>
          <w:lang w:val="pl-PL"/>
        </w:rPr>
        <w:t xml:space="preserve"> na silne podejrzenie popełnienia przestępstw wymienionych poniżej, można </w:t>
      </w:r>
      <w:r w:rsidR="009D5E95">
        <w:rPr>
          <w:lang w:val="pl-PL"/>
        </w:rPr>
        <w:t>przypuszczać</w:t>
      </w:r>
      <w:r w:rsidRPr="00FD65C9">
        <w:rPr>
          <w:lang w:val="pl-PL"/>
        </w:rPr>
        <w:t xml:space="preserve">, że istnieje podstawa do </w:t>
      </w:r>
      <w:r w:rsidR="009D5E95" w:rsidRPr="00FD65C9">
        <w:rPr>
          <w:lang w:val="pl-PL"/>
        </w:rPr>
        <w:t>z</w:t>
      </w:r>
      <w:r w:rsidR="009D5E95">
        <w:rPr>
          <w:lang w:val="pl-PL"/>
        </w:rPr>
        <w:t>astosowania tymczasowego aresztowania</w:t>
      </w:r>
      <w:r w:rsidRPr="00FD65C9">
        <w:rPr>
          <w:lang w:val="pl-PL"/>
        </w:rPr>
        <w:t>:</w:t>
      </w:r>
    </w:p>
    <w:p w14:paraId="17C17D26" w14:textId="6FCAAEC1" w:rsidR="00E95B67" w:rsidRPr="00FD65C9" w:rsidRDefault="00E95B67" w:rsidP="00622760">
      <w:pPr>
        <w:pStyle w:val="ECHRParaQuote"/>
        <w:rPr>
          <w:lang w:val="pl-PL"/>
        </w:rPr>
      </w:pPr>
      <w:r w:rsidRPr="00FD65C9">
        <w:rPr>
          <w:lang w:val="pl-PL"/>
        </w:rPr>
        <w:t xml:space="preserve">a) </w:t>
      </w:r>
      <w:r w:rsidR="009D5E95">
        <w:rPr>
          <w:lang w:val="pl-PL"/>
        </w:rPr>
        <w:t>w związku z</w:t>
      </w:r>
      <w:r w:rsidR="009D5E95" w:rsidRPr="00FD65C9">
        <w:rPr>
          <w:lang w:val="pl-PL"/>
        </w:rPr>
        <w:t xml:space="preserve"> </w:t>
      </w:r>
      <w:r w:rsidRPr="00FD65C9">
        <w:rPr>
          <w:lang w:val="pl-PL"/>
        </w:rPr>
        <w:t>następując</w:t>
      </w:r>
      <w:r w:rsidR="009D5E95">
        <w:rPr>
          <w:lang w:val="pl-PL"/>
        </w:rPr>
        <w:t>ymi</w:t>
      </w:r>
      <w:r w:rsidRPr="00FD65C9">
        <w:rPr>
          <w:lang w:val="pl-PL"/>
        </w:rPr>
        <w:t xml:space="preserve"> przestępstwa</w:t>
      </w:r>
      <w:r w:rsidR="009D5E95">
        <w:rPr>
          <w:lang w:val="pl-PL"/>
        </w:rPr>
        <w:t>mi</w:t>
      </w:r>
      <w:r w:rsidRPr="00FD65C9">
        <w:rPr>
          <w:lang w:val="pl-PL"/>
        </w:rPr>
        <w:t xml:space="preserve"> </w:t>
      </w:r>
      <w:r w:rsidR="009D5E95">
        <w:rPr>
          <w:lang w:val="pl-PL"/>
        </w:rPr>
        <w:t>zagrożonymi</w:t>
      </w:r>
      <w:r w:rsidR="009D5E95" w:rsidRPr="00FD65C9">
        <w:rPr>
          <w:lang w:val="pl-PL"/>
        </w:rPr>
        <w:t xml:space="preserve"> kar</w:t>
      </w:r>
      <w:r w:rsidR="009D5E95">
        <w:rPr>
          <w:lang w:val="pl-PL"/>
        </w:rPr>
        <w:t xml:space="preserve">ą </w:t>
      </w:r>
      <w:r w:rsidRPr="00FD65C9">
        <w:rPr>
          <w:lang w:val="pl-PL"/>
        </w:rPr>
        <w:t>na mocy kodeksu karnego nr 5237 z dnia 26 września 2004 r.:</w:t>
      </w:r>
    </w:p>
    <w:p w14:paraId="74EAE9ED" w14:textId="77777777" w:rsidR="00E95B67" w:rsidRPr="00FD65C9" w:rsidRDefault="00E95B67" w:rsidP="00622760">
      <w:pPr>
        <w:pStyle w:val="ECHRParaQuote"/>
        <w:rPr>
          <w:lang w:val="pl-PL"/>
        </w:rPr>
      </w:pPr>
      <w:r w:rsidRPr="00FD65C9">
        <w:rPr>
          <w:lang w:val="pl-PL"/>
        </w:rPr>
        <w:t>[...]</w:t>
      </w:r>
    </w:p>
    <w:p w14:paraId="731D221B" w14:textId="77777777" w:rsidR="00E95B67" w:rsidRPr="00FD65C9" w:rsidRDefault="00E95B67" w:rsidP="00622760">
      <w:pPr>
        <w:pStyle w:val="ECHRParaQuote"/>
        <w:rPr>
          <w:lang w:val="pl-PL"/>
        </w:rPr>
      </w:pPr>
      <w:r w:rsidRPr="00FD65C9">
        <w:rPr>
          <w:lang w:val="pl-PL"/>
        </w:rPr>
        <w:t>11. przestępstwa przeciwko porządkowi konstytucyjnemu i funkcjonowaniu tego systemu (art. 309, 310, 311, 313, 314, 315),</w:t>
      </w:r>
    </w:p>
    <w:p w14:paraId="3FB24D23" w14:textId="77777777" w:rsidR="00E95B67" w:rsidRPr="00FD65C9" w:rsidRDefault="00E95B67" w:rsidP="00622760">
      <w:pPr>
        <w:pStyle w:val="ECHRParaQuote"/>
        <w:rPr>
          <w:lang w:val="pl-PL"/>
        </w:rPr>
      </w:pPr>
      <w:r w:rsidRPr="00FD65C9">
        <w:rPr>
          <w:lang w:val="pl-PL"/>
        </w:rPr>
        <w:t>[...]”</w:t>
      </w:r>
    </w:p>
    <w:p w14:paraId="3645FDC6" w14:textId="5596CCFD" w:rsidR="00E95B67" w:rsidRPr="00FD65C9" w:rsidRDefault="00E95B67" w:rsidP="00622760">
      <w:pPr>
        <w:pStyle w:val="ECHRPara"/>
        <w:rPr>
          <w:noProof/>
          <w:lang w:val="pl-PL"/>
        </w:rPr>
      </w:pPr>
      <w:r w:rsidRPr="00FD65C9">
        <w:rPr>
          <w:noProof/>
          <w:lang w:val="pl-PL"/>
        </w:rPr>
        <w:t xml:space="preserve">Zgodnie z art. 101 kpk </w:t>
      </w:r>
      <w:r w:rsidR="009D5E95">
        <w:rPr>
          <w:noProof/>
          <w:lang w:val="pl-PL"/>
        </w:rPr>
        <w:t>dalsze stosowanie</w:t>
      </w:r>
      <w:r w:rsidR="009D5E95" w:rsidRPr="00FD65C9">
        <w:rPr>
          <w:noProof/>
          <w:lang w:val="pl-PL"/>
        </w:rPr>
        <w:t xml:space="preserve"> </w:t>
      </w:r>
      <w:r w:rsidR="009D5E95">
        <w:rPr>
          <w:noProof/>
          <w:lang w:val="pl-PL"/>
        </w:rPr>
        <w:t>tymczasowego aresztowania</w:t>
      </w:r>
      <w:r w:rsidR="009D5E95" w:rsidRPr="00FD65C9">
        <w:rPr>
          <w:noProof/>
          <w:lang w:val="pl-PL"/>
        </w:rPr>
        <w:t xml:space="preserve"> </w:t>
      </w:r>
      <w:r w:rsidR="009D5E95">
        <w:rPr>
          <w:noProof/>
          <w:lang w:val="pl-PL"/>
        </w:rPr>
        <w:t xml:space="preserve">wymaga uzasadnienia </w:t>
      </w:r>
      <w:r w:rsidRPr="00FD65C9">
        <w:rPr>
          <w:noProof/>
          <w:lang w:val="pl-PL"/>
        </w:rPr>
        <w:t>oraz stwierdzeni</w:t>
      </w:r>
      <w:r w:rsidR="009D5E95">
        <w:rPr>
          <w:noProof/>
          <w:lang w:val="pl-PL"/>
        </w:rPr>
        <w:t>a</w:t>
      </w:r>
      <w:r w:rsidRPr="00FD65C9">
        <w:rPr>
          <w:noProof/>
          <w:lang w:val="pl-PL"/>
        </w:rPr>
        <w:t xml:space="preserve"> niewystarczalności środków alternatywnych.</w:t>
      </w:r>
    </w:p>
    <w:p w14:paraId="36256867" w14:textId="6B96C731" w:rsidR="00E95B67" w:rsidRPr="00FD65C9" w:rsidRDefault="00E95B67" w:rsidP="00622760">
      <w:pPr>
        <w:pStyle w:val="ECHRPara"/>
        <w:rPr>
          <w:noProof/>
          <w:lang w:val="pl-PL"/>
        </w:rPr>
      </w:pPr>
      <w:r w:rsidRPr="00FD65C9">
        <w:rPr>
          <w:noProof/>
          <w:lang w:val="pl-PL"/>
        </w:rPr>
        <w:t xml:space="preserve">Zgodnie z art. 109 kpk, </w:t>
      </w:r>
      <w:r w:rsidR="000869FF">
        <w:rPr>
          <w:noProof/>
          <w:lang w:val="pl-PL"/>
        </w:rPr>
        <w:t xml:space="preserve">który obowiązywał w czasie objętym przedmiotem skargi, </w:t>
      </w:r>
      <w:r w:rsidRPr="00FD65C9">
        <w:rPr>
          <w:noProof/>
          <w:lang w:val="pl-PL"/>
        </w:rPr>
        <w:t xml:space="preserve">nawet jeśli spełnione były przesłanki </w:t>
      </w:r>
      <w:r w:rsidR="000869FF">
        <w:rPr>
          <w:noProof/>
          <w:lang w:val="pl-PL"/>
        </w:rPr>
        <w:t>zastosowania tymczasowego aresztowania</w:t>
      </w:r>
      <w:r w:rsidRPr="00FD65C9">
        <w:rPr>
          <w:noProof/>
          <w:lang w:val="pl-PL"/>
        </w:rPr>
        <w:t>, sędzia miał możliwość objęcia podejrzanego, któremu grozi</w:t>
      </w:r>
      <w:r w:rsidR="000869FF">
        <w:rPr>
          <w:noProof/>
          <w:lang w:val="pl-PL"/>
        </w:rPr>
        <w:t>ła</w:t>
      </w:r>
      <w:r w:rsidRPr="00FD65C9">
        <w:rPr>
          <w:noProof/>
          <w:lang w:val="pl-PL"/>
        </w:rPr>
        <w:t xml:space="preserve"> kara pozbawienia wolności do lat trzech, nadzorem sądowym zamiast </w:t>
      </w:r>
      <w:r w:rsidR="000869FF">
        <w:rPr>
          <w:noProof/>
          <w:lang w:val="pl-PL"/>
        </w:rPr>
        <w:t>zastosowania tymczasowego aresztowania</w:t>
      </w:r>
      <w:r w:rsidRPr="00FD65C9">
        <w:rPr>
          <w:noProof/>
          <w:lang w:val="pl-PL"/>
        </w:rPr>
        <w:t>.</w:t>
      </w:r>
    </w:p>
    <w:p w14:paraId="5422F83B" w14:textId="1542EBD1"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56</w:t>
      </w:r>
      <w:r w:rsidRPr="00FD65C9">
        <w:rPr>
          <w:lang w:val="pl-PL"/>
        </w:rPr>
        <w:fldChar w:fldCharType="end"/>
      </w:r>
      <w:r w:rsidR="00E95B67" w:rsidRPr="00FD65C9">
        <w:rPr>
          <w:lang w:val="pl-PL"/>
        </w:rPr>
        <w:t>.  Artykuł 141 § 1 lit. a kpk ma następujące brzmienie:</w:t>
      </w:r>
    </w:p>
    <w:p w14:paraId="5C99CDD8" w14:textId="3EA89B9E" w:rsidR="00E95B67" w:rsidRPr="00FD65C9" w:rsidRDefault="00E95B67" w:rsidP="00622760">
      <w:pPr>
        <w:pStyle w:val="ECHRParaQuote"/>
        <w:rPr>
          <w:lang w:val="pl-PL"/>
        </w:rPr>
      </w:pPr>
      <w:r w:rsidRPr="00FD65C9">
        <w:rPr>
          <w:lang w:val="pl-PL"/>
        </w:rPr>
        <w:t>„</w:t>
      </w:r>
      <w:r w:rsidR="000869FF">
        <w:rPr>
          <w:lang w:val="pl-PL"/>
        </w:rPr>
        <w:t>Odszkodowania</w:t>
      </w:r>
      <w:r w:rsidRPr="00FD65C9">
        <w:rPr>
          <w:lang w:val="pl-PL"/>
        </w:rPr>
        <w:t xml:space="preserve"> [...] </w:t>
      </w:r>
      <w:r w:rsidR="000869FF">
        <w:rPr>
          <w:lang w:val="pl-PL"/>
        </w:rPr>
        <w:t xml:space="preserve">od państwa może dochodzić </w:t>
      </w:r>
      <w:r w:rsidRPr="00FD65C9">
        <w:rPr>
          <w:lang w:val="pl-PL"/>
        </w:rPr>
        <w:t>każda osoba:</w:t>
      </w:r>
    </w:p>
    <w:p w14:paraId="137AAC37" w14:textId="514E9D0E" w:rsidR="00E95B67" w:rsidRPr="00FD65C9" w:rsidRDefault="00E95B67" w:rsidP="00622760">
      <w:pPr>
        <w:pStyle w:val="ECHRParaQuote"/>
        <w:rPr>
          <w:lang w:val="pl-PL"/>
        </w:rPr>
      </w:pPr>
      <w:r w:rsidRPr="00FD65C9">
        <w:rPr>
          <w:lang w:val="pl-PL"/>
        </w:rPr>
        <w:t>a. któr</w:t>
      </w:r>
      <w:r w:rsidR="000869FF">
        <w:rPr>
          <w:lang w:val="pl-PL"/>
        </w:rPr>
        <w:t>a</w:t>
      </w:r>
      <w:r w:rsidRPr="00FD65C9">
        <w:rPr>
          <w:lang w:val="pl-PL"/>
        </w:rPr>
        <w:t xml:space="preserve"> została </w:t>
      </w:r>
      <w:r w:rsidR="000869FF">
        <w:rPr>
          <w:lang w:val="pl-PL"/>
        </w:rPr>
        <w:t>zatrzymana</w:t>
      </w:r>
      <w:r w:rsidRPr="00FD65C9">
        <w:rPr>
          <w:lang w:val="pl-PL"/>
        </w:rPr>
        <w:t xml:space="preserve">, </w:t>
      </w:r>
      <w:r w:rsidR="000869FF">
        <w:rPr>
          <w:lang w:val="pl-PL"/>
        </w:rPr>
        <w:t>wobec której wydano postanowienie o zastosowaniu lub dalszym stosowaniu tymczasowego aresztowania</w:t>
      </w:r>
      <w:r w:rsidR="008152F6" w:rsidRPr="00FD65C9">
        <w:rPr>
          <w:lang w:val="pl-PL"/>
        </w:rPr>
        <w:t xml:space="preserve"> w </w:t>
      </w:r>
      <w:r w:rsidR="000869FF">
        <w:rPr>
          <w:lang w:val="pl-PL"/>
        </w:rPr>
        <w:t xml:space="preserve">trybie i na </w:t>
      </w:r>
      <w:r w:rsidR="008152F6" w:rsidRPr="00FD65C9">
        <w:rPr>
          <w:lang w:val="pl-PL"/>
        </w:rPr>
        <w:t xml:space="preserve">warunkach </w:t>
      </w:r>
      <w:r w:rsidR="000869FF">
        <w:rPr>
          <w:lang w:val="pl-PL"/>
        </w:rPr>
        <w:t>sprzecznych z ustawą</w:t>
      </w:r>
      <w:r w:rsidRPr="00FD65C9">
        <w:rPr>
          <w:lang w:val="pl-PL"/>
        </w:rPr>
        <w:t>;</w:t>
      </w:r>
    </w:p>
    <w:p w14:paraId="642D7E2A" w14:textId="77777777" w:rsidR="00E95B67" w:rsidRPr="00FD65C9" w:rsidRDefault="00E95B67" w:rsidP="00622760">
      <w:pPr>
        <w:pStyle w:val="ECHRParaQuote"/>
        <w:rPr>
          <w:lang w:val="pl-PL"/>
        </w:rPr>
      </w:pPr>
      <w:r w:rsidRPr="00FD65C9">
        <w:rPr>
          <w:lang w:val="pl-PL"/>
        </w:rPr>
        <w:t>[...]”</w:t>
      </w:r>
    </w:p>
    <w:p w14:paraId="404DF656" w14:textId="021A4A6D"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57</w:t>
      </w:r>
      <w:r w:rsidRPr="00FD65C9">
        <w:rPr>
          <w:lang w:val="pl-PL"/>
        </w:rPr>
        <w:fldChar w:fldCharType="end"/>
      </w:r>
      <w:r w:rsidR="00E95B67" w:rsidRPr="00FD65C9">
        <w:rPr>
          <w:lang w:val="pl-PL"/>
        </w:rPr>
        <w:t>.  Artykuł 142 § 1 tego samego kodeksu brzmi następująco</w:t>
      </w:r>
      <w:r w:rsidR="000869FF">
        <w:rPr>
          <w:lang w:val="pl-PL"/>
        </w:rPr>
        <w:t>:</w:t>
      </w:r>
    </w:p>
    <w:p w14:paraId="09F01C5C" w14:textId="232D0A09" w:rsidR="00E95B67" w:rsidRPr="00FD65C9" w:rsidRDefault="00E95B67" w:rsidP="00622760">
      <w:pPr>
        <w:pStyle w:val="ECHRParaQuote"/>
        <w:rPr>
          <w:lang w:val="pl-PL"/>
        </w:rPr>
      </w:pPr>
      <w:r w:rsidRPr="00FD65C9">
        <w:rPr>
          <w:lang w:val="pl-PL"/>
        </w:rPr>
        <w:t xml:space="preserve">„Wniosek o odszkodowanie </w:t>
      </w:r>
      <w:r w:rsidR="000869FF">
        <w:rPr>
          <w:lang w:val="pl-PL"/>
        </w:rPr>
        <w:t>składa się</w:t>
      </w:r>
      <w:r w:rsidRPr="00FD65C9">
        <w:rPr>
          <w:lang w:val="pl-PL"/>
        </w:rPr>
        <w:t xml:space="preserve"> w terminie trzech miesięcy od </w:t>
      </w:r>
      <w:r w:rsidR="000869FF">
        <w:rPr>
          <w:lang w:val="pl-PL"/>
        </w:rPr>
        <w:t>doręczenia</w:t>
      </w:r>
      <w:r w:rsidR="000869FF" w:rsidRPr="00FD65C9">
        <w:rPr>
          <w:lang w:val="pl-PL"/>
        </w:rPr>
        <w:t xml:space="preserve"> </w:t>
      </w:r>
      <w:r w:rsidRPr="00FD65C9">
        <w:rPr>
          <w:lang w:val="pl-PL"/>
        </w:rPr>
        <w:t>zainteresowanej osob</w:t>
      </w:r>
      <w:r w:rsidR="000B1224">
        <w:rPr>
          <w:lang w:val="pl-PL"/>
        </w:rPr>
        <w:t>ie</w:t>
      </w:r>
      <w:r w:rsidRPr="00FD65C9">
        <w:rPr>
          <w:lang w:val="pl-PL"/>
        </w:rPr>
        <w:t xml:space="preserve"> </w:t>
      </w:r>
      <w:r w:rsidR="000869FF">
        <w:rPr>
          <w:color w:val="000000"/>
          <w:lang w:val="pl-PL"/>
        </w:rPr>
        <w:t>prawomocnego</w:t>
      </w:r>
      <w:r w:rsidRPr="00FD65C9">
        <w:rPr>
          <w:color w:val="000000"/>
          <w:lang w:val="pl-PL"/>
        </w:rPr>
        <w:t xml:space="preserve"> </w:t>
      </w:r>
      <w:r w:rsidR="008152F6" w:rsidRPr="00FD65C9">
        <w:rPr>
          <w:lang w:val="pl-PL"/>
        </w:rPr>
        <w:t>orzeczenia, a w </w:t>
      </w:r>
      <w:r w:rsidRPr="00FD65C9">
        <w:rPr>
          <w:lang w:val="pl-PL"/>
        </w:rPr>
        <w:t>każdym razie w terminie jednego roku od dnia, w którym orzeczenie stał</w:t>
      </w:r>
      <w:r w:rsidR="000869FF">
        <w:rPr>
          <w:lang w:val="pl-PL"/>
        </w:rPr>
        <w:t>o</w:t>
      </w:r>
      <w:r w:rsidRPr="00FD65C9">
        <w:rPr>
          <w:lang w:val="pl-PL"/>
        </w:rPr>
        <w:t xml:space="preserve"> się </w:t>
      </w:r>
      <w:r w:rsidR="000869FF">
        <w:rPr>
          <w:lang w:val="pl-PL"/>
        </w:rPr>
        <w:t>prawomocne</w:t>
      </w:r>
      <w:r w:rsidRPr="00FD65C9">
        <w:rPr>
          <w:lang w:val="pl-PL"/>
        </w:rPr>
        <w:t>”.</w:t>
      </w:r>
    </w:p>
    <w:p w14:paraId="5B7CA41A" w14:textId="38CDB8DB"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58</w:t>
      </w:r>
      <w:r w:rsidRPr="00FD65C9">
        <w:rPr>
          <w:lang w:val="pl-PL"/>
        </w:rPr>
        <w:fldChar w:fldCharType="end"/>
      </w:r>
      <w:r w:rsidR="00E95B67" w:rsidRPr="00FD65C9">
        <w:rPr>
          <w:lang w:val="pl-PL"/>
        </w:rPr>
        <w:t xml:space="preserve">.  Zgodnie z praktyką sądu kasacyjnego rozstrzygnięcie roszczeń o odszkodowanie na podstawie art. 141 kpk </w:t>
      </w:r>
      <w:r w:rsidR="000869FF">
        <w:rPr>
          <w:lang w:val="pl-PL"/>
        </w:rPr>
        <w:t>w związku z przewlekłym</w:t>
      </w:r>
      <w:r w:rsidR="000869FF" w:rsidRPr="00FD65C9">
        <w:rPr>
          <w:lang w:val="pl-PL"/>
        </w:rPr>
        <w:t xml:space="preserve"> </w:t>
      </w:r>
      <w:r w:rsidR="000869FF">
        <w:rPr>
          <w:lang w:val="pl-PL"/>
        </w:rPr>
        <w:t>stosowaniem</w:t>
      </w:r>
      <w:r w:rsidR="00E95B67" w:rsidRPr="00FD65C9">
        <w:rPr>
          <w:lang w:val="pl-PL"/>
        </w:rPr>
        <w:t xml:space="preserve"> tymczasowego aresztowania </w:t>
      </w:r>
      <w:r w:rsidR="000869FF">
        <w:rPr>
          <w:lang w:val="pl-PL"/>
        </w:rPr>
        <w:t xml:space="preserve">nie może nastąpić przed uprawomocnieniem się orzeczenia co do istoty sprawy </w:t>
      </w:r>
      <w:r w:rsidR="00E95B67" w:rsidRPr="00FD65C9">
        <w:rPr>
          <w:lang w:val="pl-PL"/>
        </w:rPr>
        <w:t>(</w:t>
      </w:r>
      <w:r w:rsidR="00AE6926">
        <w:rPr>
          <w:lang w:val="pl-PL"/>
        </w:rPr>
        <w:t>postanowienia</w:t>
      </w:r>
      <w:r w:rsidR="000869FF" w:rsidRPr="00FD65C9">
        <w:rPr>
          <w:lang w:val="pl-PL"/>
        </w:rPr>
        <w:t xml:space="preserve"> </w:t>
      </w:r>
      <w:r w:rsidR="00E95B67" w:rsidRPr="00FD65C9">
        <w:rPr>
          <w:lang w:val="pl-PL"/>
        </w:rPr>
        <w:t>nr E. 2014/21585, K. 2015/10868 i E. 2014/6167, K. 2015/10867).</w:t>
      </w:r>
    </w:p>
    <w:p w14:paraId="57B05981" w14:textId="77777777" w:rsidR="00E95B67" w:rsidRPr="00FD65C9" w:rsidRDefault="00E95B67" w:rsidP="00622760">
      <w:pPr>
        <w:pStyle w:val="ECHRHeading2"/>
        <w:rPr>
          <w:lang w:val="pl-PL"/>
        </w:rPr>
      </w:pPr>
      <w:r w:rsidRPr="00FD65C9">
        <w:rPr>
          <w:lang w:val="pl-PL"/>
        </w:rPr>
        <w:t>E. Właściwość sądów przysięgłych</w:t>
      </w:r>
    </w:p>
    <w:p w14:paraId="23667E76" w14:textId="05F1D060"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59</w:t>
      </w:r>
      <w:r w:rsidRPr="00FD65C9">
        <w:rPr>
          <w:lang w:val="pl-PL"/>
        </w:rPr>
        <w:fldChar w:fldCharType="end"/>
      </w:r>
      <w:r w:rsidR="00E95B67" w:rsidRPr="00FD65C9">
        <w:rPr>
          <w:lang w:val="pl-PL"/>
        </w:rPr>
        <w:t xml:space="preserve">.  Zgodnie z art. 12 ustawy nr 5235 z dnia 7 października 2004 r. przestępstwo przynależności do organizacji zbrojnej podlega </w:t>
      </w:r>
      <w:r w:rsidR="000869FF">
        <w:rPr>
          <w:lang w:val="pl-PL"/>
        </w:rPr>
        <w:t xml:space="preserve">właściwości </w:t>
      </w:r>
      <w:r w:rsidR="00E95B67" w:rsidRPr="00FD65C9">
        <w:rPr>
          <w:lang w:val="pl-PL"/>
        </w:rPr>
        <w:t>sądów przysięgłych.</w:t>
      </w:r>
    </w:p>
    <w:p w14:paraId="2E0E2B1E" w14:textId="77777777" w:rsidR="00E95B67" w:rsidRPr="00FD65C9" w:rsidRDefault="00E95B67" w:rsidP="00622760">
      <w:pPr>
        <w:pStyle w:val="ECHRHeading2"/>
        <w:rPr>
          <w:lang w:val="pl-PL"/>
        </w:rPr>
      </w:pPr>
      <w:r w:rsidRPr="00FD65C9">
        <w:rPr>
          <w:lang w:val="pl-PL"/>
        </w:rPr>
        <w:t>F. Odpowiednie orzecznictwo</w:t>
      </w:r>
    </w:p>
    <w:p w14:paraId="7098E4DA" w14:textId="62090BB9"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60</w:t>
      </w:r>
      <w:r w:rsidRPr="00FD65C9">
        <w:rPr>
          <w:lang w:val="pl-PL"/>
        </w:rPr>
        <w:fldChar w:fldCharType="end"/>
      </w:r>
      <w:r w:rsidR="00E95B67" w:rsidRPr="00FD65C9">
        <w:rPr>
          <w:lang w:val="pl-PL"/>
        </w:rPr>
        <w:t xml:space="preserve">.  W wyroku z dnia 20 kwietnia 2015 r. (E.2015/1069, K.2015/840), 16. izba karna </w:t>
      </w:r>
      <w:r w:rsidR="00C2746F">
        <w:rPr>
          <w:lang w:val="pl-PL"/>
        </w:rPr>
        <w:t>s</w:t>
      </w:r>
      <w:r w:rsidR="00E95B67" w:rsidRPr="00FD65C9">
        <w:rPr>
          <w:lang w:val="pl-PL"/>
        </w:rPr>
        <w:t>ądu kasacyjnego orzekła, co następuje:</w:t>
      </w:r>
    </w:p>
    <w:p w14:paraId="34907FEC" w14:textId="43C981BC" w:rsidR="00E95B67" w:rsidRPr="00FD65C9" w:rsidRDefault="00E95B67" w:rsidP="00622760">
      <w:pPr>
        <w:pStyle w:val="ECHRParaQuote"/>
        <w:rPr>
          <w:lang w:val="pl-PL"/>
        </w:rPr>
      </w:pPr>
      <w:r w:rsidRPr="00FD65C9">
        <w:rPr>
          <w:lang w:val="pl-PL"/>
        </w:rPr>
        <w:t xml:space="preserve">„[...] Przestępstwo przynależności do organizacji zbrojnej </w:t>
      </w:r>
      <w:r w:rsidR="006E40B5">
        <w:rPr>
          <w:lang w:val="pl-PL"/>
        </w:rPr>
        <w:t>polega na</w:t>
      </w:r>
      <w:r w:rsidRPr="00FD65C9">
        <w:rPr>
          <w:lang w:val="pl-PL"/>
        </w:rPr>
        <w:t xml:space="preserve"> dobrowoln</w:t>
      </w:r>
      <w:r w:rsidR="006E40B5">
        <w:rPr>
          <w:lang w:val="pl-PL"/>
        </w:rPr>
        <w:t>ym</w:t>
      </w:r>
      <w:r w:rsidRPr="00FD65C9">
        <w:rPr>
          <w:lang w:val="pl-PL"/>
        </w:rPr>
        <w:t xml:space="preserve"> podporządkowani</w:t>
      </w:r>
      <w:r w:rsidR="006E40B5">
        <w:rPr>
          <w:lang w:val="pl-PL"/>
        </w:rPr>
        <w:t>u</w:t>
      </w:r>
      <w:r w:rsidRPr="00FD65C9">
        <w:rPr>
          <w:lang w:val="pl-PL"/>
        </w:rPr>
        <w:t xml:space="preserve"> się hierarchii organizacji, przez akceptację celu powstania tej organizacji zbrojnej i jej działalności [...]. Nawet jeśli </w:t>
      </w:r>
      <w:r w:rsidR="006E40B5">
        <w:rPr>
          <w:lang w:val="pl-PL"/>
        </w:rPr>
        <w:t xml:space="preserve">do wypełnienia znamion tego </w:t>
      </w:r>
      <w:r w:rsidRPr="00FD65C9">
        <w:rPr>
          <w:lang w:val="pl-PL"/>
        </w:rPr>
        <w:t>przestępstw</w:t>
      </w:r>
      <w:r w:rsidR="006E40B5">
        <w:rPr>
          <w:lang w:val="pl-PL"/>
        </w:rPr>
        <w:t>a</w:t>
      </w:r>
      <w:r w:rsidRPr="00FD65C9">
        <w:rPr>
          <w:lang w:val="pl-PL"/>
        </w:rPr>
        <w:t xml:space="preserve"> </w:t>
      </w:r>
      <w:r w:rsidR="006E40B5">
        <w:rPr>
          <w:lang w:val="pl-PL"/>
        </w:rPr>
        <w:t>dochodzi wskutek</w:t>
      </w:r>
      <w:r w:rsidRPr="00FD65C9">
        <w:rPr>
          <w:lang w:val="pl-PL"/>
        </w:rPr>
        <w:t xml:space="preserve"> </w:t>
      </w:r>
      <w:r w:rsidR="006E40B5">
        <w:rPr>
          <w:lang w:val="pl-PL"/>
        </w:rPr>
        <w:t>przystąpienia do organizacji</w:t>
      </w:r>
      <w:r w:rsidRPr="00FD65C9">
        <w:rPr>
          <w:lang w:val="pl-PL"/>
        </w:rPr>
        <w:t xml:space="preserve">, </w:t>
      </w:r>
      <w:r w:rsidR="006E40B5">
        <w:rPr>
          <w:lang w:val="pl-PL"/>
        </w:rPr>
        <w:t>do jego popełniania dochodzi również</w:t>
      </w:r>
      <w:r w:rsidRPr="00FD65C9">
        <w:rPr>
          <w:lang w:val="pl-PL"/>
        </w:rPr>
        <w:t xml:space="preserve"> w czasie </w:t>
      </w:r>
      <w:r w:rsidR="006E40B5" w:rsidRPr="00FD65C9">
        <w:rPr>
          <w:lang w:val="pl-PL"/>
        </w:rPr>
        <w:t>t</w:t>
      </w:r>
      <w:r w:rsidR="006E40B5">
        <w:rPr>
          <w:lang w:val="pl-PL"/>
        </w:rPr>
        <w:t>rwania</w:t>
      </w:r>
      <w:r w:rsidR="006E40B5" w:rsidRPr="00FD65C9">
        <w:rPr>
          <w:lang w:val="pl-PL"/>
        </w:rPr>
        <w:t xml:space="preserve"> </w:t>
      </w:r>
      <w:r w:rsidRPr="00FD65C9">
        <w:rPr>
          <w:lang w:val="pl-PL"/>
        </w:rPr>
        <w:t>członkostwa</w:t>
      </w:r>
      <w:r w:rsidR="006E40B5">
        <w:rPr>
          <w:lang w:val="pl-PL"/>
        </w:rPr>
        <w:t xml:space="preserve"> w tej organizacji</w:t>
      </w:r>
      <w:r w:rsidRPr="00FD65C9">
        <w:rPr>
          <w:lang w:val="pl-PL"/>
        </w:rPr>
        <w:t xml:space="preserve"> [...]”.</w:t>
      </w:r>
    </w:p>
    <w:p w14:paraId="26885CF9" w14:textId="2482D2CE"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61</w:t>
      </w:r>
      <w:r w:rsidRPr="00FD65C9">
        <w:rPr>
          <w:lang w:val="pl-PL"/>
        </w:rPr>
        <w:fldChar w:fldCharType="end"/>
      </w:r>
      <w:r w:rsidR="00E95B67" w:rsidRPr="00FD65C9">
        <w:rPr>
          <w:lang w:val="pl-PL"/>
        </w:rPr>
        <w:t xml:space="preserve">.  W wyroku z dnia 6 kwietnia 2016 r. (E.2015/7367, K.2016/2130) ta sama izba karna sądu kasacyjnego wyraziła </w:t>
      </w:r>
      <w:r w:rsidR="006E40B5">
        <w:rPr>
          <w:lang w:val="pl-PL"/>
        </w:rPr>
        <w:t>następujące stanowisko:</w:t>
      </w:r>
    </w:p>
    <w:p w14:paraId="586386EF" w14:textId="13FDC1BA" w:rsidR="00E95B67" w:rsidRPr="00FD65C9" w:rsidRDefault="00E95B67" w:rsidP="00622760">
      <w:pPr>
        <w:pStyle w:val="ECHRParaQuote"/>
        <w:rPr>
          <w:lang w:val="pl-PL"/>
        </w:rPr>
      </w:pPr>
      <w:r w:rsidRPr="00FD65C9">
        <w:rPr>
          <w:lang w:val="pl-PL"/>
        </w:rPr>
        <w:t xml:space="preserve">„Ciągły charakter naruszenia ustaje w </w:t>
      </w:r>
      <w:r w:rsidR="006E40B5">
        <w:rPr>
          <w:lang w:val="pl-PL"/>
        </w:rPr>
        <w:t>chwili</w:t>
      </w:r>
      <w:r w:rsidR="006E40B5" w:rsidRPr="00FD65C9">
        <w:rPr>
          <w:lang w:val="pl-PL"/>
        </w:rPr>
        <w:t xml:space="preserve"> </w:t>
      </w:r>
      <w:r w:rsidRPr="00FD65C9">
        <w:rPr>
          <w:lang w:val="pl-PL"/>
        </w:rPr>
        <w:t>zatrzymania</w:t>
      </w:r>
      <w:r w:rsidR="006E40B5">
        <w:rPr>
          <w:lang w:val="pl-PL"/>
        </w:rPr>
        <w:t xml:space="preserve"> osoby</w:t>
      </w:r>
      <w:r w:rsidRPr="00FD65C9">
        <w:rPr>
          <w:lang w:val="pl-PL"/>
        </w:rPr>
        <w:t xml:space="preserve">. W przypadku, gdy </w:t>
      </w:r>
      <w:r w:rsidR="006E40B5">
        <w:rPr>
          <w:lang w:val="pl-PL"/>
        </w:rPr>
        <w:t>do dokonania czynów</w:t>
      </w:r>
      <w:r w:rsidR="006E40B5" w:rsidRPr="00FD65C9">
        <w:rPr>
          <w:lang w:val="pl-PL"/>
        </w:rPr>
        <w:t xml:space="preserve"> </w:t>
      </w:r>
      <w:r w:rsidRPr="00FD65C9">
        <w:rPr>
          <w:lang w:val="pl-PL"/>
        </w:rPr>
        <w:t xml:space="preserve">mogących [umożliwić osiągnięcie] celu organizacji i mających określoną wagę </w:t>
      </w:r>
      <w:r w:rsidR="006E40B5">
        <w:rPr>
          <w:lang w:val="pl-PL"/>
        </w:rPr>
        <w:t>dochodzi w okresie od</w:t>
      </w:r>
      <w:r w:rsidRPr="00FD65C9">
        <w:rPr>
          <w:lang w:val="pl-PL"/>
        </w:rPr>
        <w:t xml:space="preserve"> przystąpienia do organizacji </w:t>
      </w:r>
      <w:r w:rsidR="006E40B5">
        <w:rPr>
          <w:lang w:val="pl-PL"/>
        </w:rPr>
        <w:t>do chwili zatrzymania</w:t>
      </w:r>
      <w:r w:rsidRPr="00FD65C9">
        <w:rPr>
          <w:lang w:val="pl-PL"/>
        </w:rPr>
        <w:t xml:space="preserve">, </w:t>
      </w:r>
      <w:r w:rsidR="006E40B5">
        <w:rPr>
          <w:lang w:val="pl-PL"/>
        </w:rPr>
        <w:t>należy wziąć pod uwagę</w:t>
      </w:r>
      <w:r w:rsidRPr="00FD65C9">
        <w:rPr>
          <w:lang w:val="pl-PL"/>
        </w:rPr>
        <w:t xml:space="preserve"> </w:t>
      </w:r>
      <w:r w:rsidR="006E40B5">
        <w:rPr>
          <w:lang w:val="pl-PL"/>
        </w:rPr>
        <w:t>uregulowania prawne dotyczące</w:t>
      </w:r>
      <w:r w:rsidRPr="00FD65C9">
        <w:rPr>
          <w:lang w:val="pl-PL"/>
        </w:rPr>
        <w:t xml:space="preserve"> wszystkich przestępstw oraz </w:t>
      </w:r>
      <w:r w:rsidR="006E40B5" w:rsidRPr="00FD65C9">
        <w:rPr>
          <w:lang w:val="pl-PL"/>
        </w:rPr>
        <w:t>przepis</w:t>
      </w:r>
      <w:r w:rsidR="006E40B5">
        <w:rPr>
          <w:lang w:val="pl-PL"/>
        </w:rPr>
        <w:t>y</w:t>
      </w:r>
      <w:r w:rsidR="006E40B5" w:rsidRPr="00FD65C9">
        <w:rPr>
          <w:lang w:val="pl-PL"/>
        </w:rPr>
        <w:t xml:space="preserve"> regulując</w:t>
      </w:r>
      <w:r w:rsidR="006E40B5">
        <w:rPr>
          <w:lang w:val="pl-PL"/>
        </w:rPr>
        <w:t>e</w:t>
      </w:r>
      <w:r w:rsidR="006E40B5" w:rsidRPr="00FD65C9">
        <w:rPr>
          <w:lang w:val="pl-PL"/>
        </w:rPr>
        <w:t xml:space="preserve"> </w:t>
      </w:r>
      <w:r w:rsidRPr="00FD65C9">
        <w:rPr>
          <w:lang w:val="pl-PL"/>
        </w:rPr>
        <w:t xml:space="preserve">zbieg </w:t>
      </w:r>
      <w:r w:rsidR="006E40B5">
        <w:rPr>
          <w:lang w:val="pl-PL"/>
        </w:rPr>
        <w:t>przestępstw</w:t>
      </w:r>
      <w:r w:rsidRPr="00FD65C9">
        <w:rPr>
          <w:lang w:val="pl-PL"/>
        </w:rPr>
        <w:t>[...]”.</w:t>
      </w:r>
    </w:p>
    <w:p w14:paraId="7D3C6DCA" w14:textId="77777777"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62</w:t>
      </w:r>
      <w:r w:rsidRPr="00FD65C9">
        <w:rPr>
          <w:lang w:val="pl-PL"/>
        </w:rPr>
        <w:fldChar w:fldCharType="end"/>
      </w:r>
      <w:r w:rsidR="00E95B67" w:rsidRPr="00FD65C9">
        <w:rPr>
          <w:lang w:val="pl-PL"/>
        </w:rPr>
        <w:t>.  W wyroku z dnia 18 lipca 2017 r. (E.2016/7162, K.2017/4786) ta sama izba orzekła, co następuje:</w:t>
      </w:r>
    </w:p>
    <w:p w14:paraId="124CDEF6" w14:textId="08FDBB24" w:rsidR="00E95B67" w:rsidRPr="00FD65C9" w:rsidRDefault="00E95B67" w:rsidP="00622760">
      <w:pPr>
        <w:pStyle w:val="ECHRParaQuote"/>
        <w:rPr>
          <w:lang w:val="pl-PL"/>
        </w:rPr>
      </w:pPr>
      <w:r w:rsidRPr="00FD65C9">
        <w:rPr>
          <w:lang w:val="pl-PL"/>
        </w:rPr>
        <w:t xml:space="preserve">„[...] Przynależność do organizacji jest </w:t>
      </w:r>
      <w:r w:rsidR="006E40B5">
        <w:rPr>
          <w:lang w:val="pl-PL"/>
        </w:rPr>
        <w:t>zagrożona karą z</w:t>
      </w:r>
      <w:r w:rsidRPr="00FD65C9">
        <w:rPr>
          <w:lang w:val="pl-PL"/>
        </w:rPr>
        <w:t xml:space="preserve"> art. 220 § 2 kodeksu karnego.</w:t>
      </w:r>
    </w:p>
    <w:p w14:paraId="2A125185" w14:textId="77777777" w:rsidR="00E95B67" w:rsidRPr="00FD65C9" w:rsidRDefault="00E95B67" w:rsidP="00622760">
      <w:pPr>
        <w:pStyle w:val="ECHRParaQuote"/>
        <w:rPr>
          <w:lang w:val="pl-PL"/>
        </w:rPr>
      </w:pPr>
      <w:r w:rsidRPr="00FD65C9">
        <w:rPr>
          <w:lang w:val="pl-PL"/>
        </w:rPr>
        <w:t>[...]</w:t>
      </w:r>
    </w:p>
    <w:p w14:paraId="1BCE201A" w14:textId="77777777" w:rsidR="00E95B67" w:rsidRPr="00FD65C9" w:rsidRDefault="00E95B67" w:rsidP="00622760">
      <w:pPr>
        <w:pStyle w:val="ECHRParaQuote"/>
        <w:rPr>
          <w:lang w:val="pl-PL"/>
        </w:rPr>
      </w:pPr>
      <w:r w:rsidRPr="00FD65C9">
        <w:rPr>
          <w:lang w:val="pl-PL"/>
        </w:rPr>
        <w:t>Członkiem organizacji jest ten, kto podporządkowuje s</w:t>
      </w:r>
      <w:r w:rsidR="008152F6" w:rsidRPr="00FD65C9">
        <w:rPr>
          <w:lang w:val="pl-PL"/>
        </w:rPr>
        <w:t>ię hierarchii [tej struktury] i </w:t>
      </w:r>
      <w:r w:rsidRPr="00FD65C9">
        <w:rPr>
          <w:lang w:val="pl-PL"/>
        </w:rPr>
        <w:t>kto w rezultacie podporządkowuje się woli tej organizacji, będąc gotowym do wykonania powierzonych mu zadań. [Przynależność do] organizacji oznacza przystąpienie do niej, istnienie więzi przywiązania, podporządkowanie się jej władzy hierarchicznej. Członek organizacji musi mieć</w:t>
      </w:r>
      <w:r w:rsidR="008152F6" w:rsidRPr="00FD65C9">
        <w:rPr>
          <w:lang w:val="pl-PL"/>
        </w:rPr>
        <w:t xml:space="preserve"> z nią organiczny związek i </w:t>
      </w:r>
      <w:r w:rsidRPr="00FD65C9">
        <w:rPr>
          <w:lang w:val="pl-PL"/>
        </w:rPr>
        <w:t>uczestniczyć w jej działalności [...].</w:t>
      </w:r>
    </w:p>
    <w:p w14:paraId="4DB2558B" w14:textId="1013A827" w:rsidR="00E95B67" w:rsidRPr="00FD65C9" w:rsidRDefault="00E95B67" w:rsidP="00622760">
      <w:pPr>
        <w:pStyle w:val="ECHRParaQuote"/>
        <w:rPr>
          <w:lang w:val="pl-PL"/>
        </w:rPr>
      </w:pPr>
      <w:r w:rsidRPr="00FD65C9">
        <w:rPr>
          <w:lang w:val="pl-PL"/>
        </w:rPr>
        <w:t>Cho</w:t>
      </w:r>
      <w:r w:rsidR="006E40B5">
        <w:rPr>
          <w:lang w:val="pl-PL"/>
        </w:rPr>
        <w:t>ciaż</w:t>
      </w:r>
      <w:r w:rsidRPr="00FD65C9">
        <w:rPr>
          <w:lang w:val="pl-PL"/>
        </w:rPr>
        <w:t xml:space="preserve"> członek organizacji </w:t>
      </w:r>
      <w:r w:rsidR="006E40B5">
        <w:rPr>
          <w:lang w:val="pl-PL"/>
        </w:rPr>
        <w:t xml:space="preserve">może podlegać karze nawet jeśli nie </w:t>
      </w:r>
      <w:r w:rsidRPr="00FD65C9">
        <w:rPr>
          <w:lang w:val="pl-PL"/>
        </w:rPr>
        <w:t>popełni przestępstw</w:t>
      </w:r>
      <w:r w:rsidR="006E40B5">
        <w:rPr>
          <w:lang w:val="pl-PL"/>
        </w:rPr>
        <w:t>a</w:t>
      </w:r>
      <w:r w:rsidRPr="00FD65C9">
        <w:rPr>
          <w:lang w:val="pl-PL"/>
        </w:rPr>
        <w:t xml:space="preserve"> w ramach jej działalności i dla osiągnięcia jej celu, musi jednak w konkretny sposób przyczynić się materialnie lub moralnie do samego istnienia organizacji i do jej moralnego umocnienia. Ponieważ przyna</w:t>
      </w:r>
      <w:r w:rsidR="008152F6" w:rsidRPr="00FD65C9">
        <w:rPr>
          <w:lang w:val="pl-PL"/>
        </w:rPr>
        <w:t xml:space="preserve">leżność stanowi </w:t>
      </w:r>
      <w:r w:rsidR="006E40B5">
        <w:rPr>
          <w:lang w:val="pl-PL"/>
        </w:rPr>
        <w:t>czyn</w:t>
      </w:r>
      <w:r w:rsidR="006E40B5" w:rsidRPr="00FD65C9">
        <w:rPr>
          <w:lang w:val="pl-PL"/>
        </w:rPr>
        <w:t xml:space="preserve"> </w:t>
      </w:r>
      <w:r w:rsidR="008152F6" w:rsidRPr="00FD65C9">
        <w:rPr>
          <w:lang w:val="pl-PL"/>
        </w:rPr>
        <w:t>o </w:t>
      </w:r>
      <w:r w:rsidRPr="00FD65C9">
        <w:rPr>
          <w:lang w:val="pl-PL"/>
        </w:rPr>
        <w:t xml:space="preserve">charakterze ciągłym, działania muszą </w:t>
      </w:r>
      <w:r w:rsidR="006E40B5">
        <w:rPr>
          <w:lang w:val="pl-PL"/>
        </w:rPr>
        <w:t>cechować się</w:t>
      </w:r>
      <w:r w:rsidR="006E40B5" w:rsidRPr="00FD65C9">
        <w:rPr>
          <w:lang w:val="pl-PL"/>
        </w:rPr>
        <w:t xml:space="preserve"> </w:t>
      </w:r>
      <w:r w:rsidRPr="00FD65C9">
        <w:rPr>
          <w:lang w:val="pl-PL"/>
        </w:rPr>
        <w:t>pewną intensywnoś</w:t>
      </w:r>
      <w:r w:rsidR="006E40B5">
        <w:rPr>
          <w:lang w:val="pl-PL"/>
        </w:rPr>
        <w:t>cią</w:t>
      </w:r>
      <w:r w:rsidRPr="00FD65C9">
        <w:rPr>
          <w:lang w:val="pl-PL"/>
        </w:rPr>
        <w:t xml:space="preserve"> [...].</w:t>
      </w:r>
    </w:p>
    <w:p w14:paraId="4D889601" w14:textId="06F9BD12" w:rsidR="00E95B67" w:rsidRPr="00FD65C9" w:rsidRDefault="00E95B67" w:rsidP="00622760">
      <w:pPr>
        <w:pStyle w:val="ECHRParaQuote"/>
        <w:rPr>
          <w:lang w:val="pl-PL"/>
        </w:rPr>
      </w:pPr>
      <w:r w:rsidRPr="00FD65C9">
        <w:rPr>
          <w:lang w:val="pl-PL"/>
        </w:rPr>
        <w:t xml:space="preserve">Przynależność do organizacji, która jest </w:t>
      </w:r>
      <w:r w:rsidR="006E40B5">
        <w:rPr>
          <w:lang w:val="pl-PL"/>
        </w:rPr>
        <w:t>czynem</w:t>
      </w:r>
      <w:r w:rsidR="006E40B5" w:rsidRPr="00FD65C9">
        <w:rPr>
          <w:lang w:val="pl-PL"/>
        </w:rPr>
        <w:t xml:space="preserve"> </w:t>
      </w:r>
      <w:r w:rsidRPr="00FD65C9">
        <w:rPr>
          <w:lang w:val="pl-PL"/>
        </w:rPr>
        <w:t xml:space="preserve">o charakterze ciągłym, </w:t>
      </w:r>
      <w:r w:rsidR="002E7277">
        <w:rPr>
          <w:lang w:val="pl-PL"/>
        </w:rPr>
        <w:t>uznaje się za</w:t>
      </w:r>
      <w:r w:rsidRPr="00FD65C9">
        <w:rPr>
          <w:lang w:val="pl-PL"/>
        </w:rPr>
        <w:t xml:space="preserve"> jedno przestępstwo do</w:t>
      </w:r>
      <w:r w:rsidR="002E7277">
        <w:rPr>
          <w:lang w:val="pl-PL"/>
        </w:rPr>
        <w:t xml:space="preserve"> chwili</w:t>
      </w:r>
      <w:r w:rsidR="008152F6" w:rsidRPr="00FD65C9">
        <w:rPr>
          <w:lang w:val="pl-PL"/>
        </w:rPr>
        <w:t xml:space="preserve"> prawnego i </w:t>
      </w:r>
      <w:r w:rsidRPr="00FD65C9">
        <w:rPr>
          <w:lang w:val="pl-PL"/>
        </w:rPr>
        <w:t xml:space="preserve">faktycznego zerwania z organizacją. Członkostwo </w:t>
      </w:r>
      <w:r w:rsidR="008152F6" w:rsidRPr="00FD65C9">
        <w:rPr>
          <w:lang w:val="pl-PL"/>
        </w:rPr>
        <w:t xml:space="preserve">w organizacji </w:t>
      </w:r>
      <w:r w:rsidR="002E7277">
        <w:rPr>
          <w:lang w:val="pl-PL"/>
        </w:rPr>
        <w:t>ustaje</w:t>
      </w:r>
      <w:r w:rsidR="008152F6" w:rsidRPr="00FD65C9">
        <w:rPr>
          <w:lang w:val="pl-PL"/>
        </w:rPr>
        <w:t xml:space="preserve"> </w:t>
      </w:r>
      <w:r w:rsidR="002E7277">
        <w:rPr>
          <w:lang w:val="pl-PL"/>
        </w:rPr>
        <w:t>z chwilą zatrzymania</w:t>
      </w:r>
      <w:r w:rsidRPr="00FD65C9">
        <w:rPr>
          <w:lang w:val="pl-PL"/>
        </w:rPr>
        <w:t xml:space="preserve"> danej osoby, rozwiązaniem organizacji, wykluczeniem danej osoby z</w:t>
      </w:r>
      <w:r w:rsidR="008152F6" w:rsidRPr="00FD65C9">
        <w:rPr>
          <w:lang w:val="pl-PL"/>
        </w:rPr>
        <w:t> </w:t>
      </w:r>
      <w:r w:rsidRPr="00FD65C9">
        <w:rPr>
          <w:lang w:val="pl-PL"/>
        </w:rPr>
        <w:t>organizacji lub odejściem [danej osoby z organizacji].</w:t>
      </w:r>
    </w:p>
    <w:p w14:paraId="0BEF7C68" w14:textId="77777777" w:rsidR="00E95B67" w:rsidRPr="00FD65C9" w:rsidRDefault="00E95B67" w:rsidP="00622760">
      <w:pPr>
        <w:pStyle w:val="ECHRParaQuote"/>
        <w:rPr>
          <w:lang w:val="pl-PL"/>
        </w:rPr>
      </w:pPr>
      <w:r w:rsidRPr="00FD65C9">
        <w:rPr>
          <w:lang w:val="pl-PL"/>
        </w:rPr>
        <w:t>[...]</w:t>
      </w:r>
    </w:p>
    <w:p w14:paraId="7D8465AA" w14:textId="77777777" w:rsidR="00E95B67" w:rsidRPr="00FD65C9" w:rsidRDefault="00E95B67" w:rsidP="00622760">
      <w:pPr>
        <w:pStyle w:val="ECHRParaQuote"/>
        <w:rPr>
          <w:lang w:val="pl-PL"/>
        </w:rPr>
      </w:pPr>
      <w:r w:rsidRPr="00FD65C9">
        <w:rPr>
          <w:lang w:val="pl-PL"/>
        </w:rPr>
        <w:t>Przestępstwo polegające na założeniu organizacji terrorystycznej i przynależności do niej:</w:t>
      </w:r>
    </w:p>
    <w:p w14:paraId="5B3D1A53" w14:textId="59DA3D8E" w:rsidR="00E95B67" w:rsidRPr="00FD65C9" w:rsidRDefault="002E7277" w:rsidP="00622760">
      <w:pPr>
        <w:pStyle w:val="ECHRParaQuote"/>
        <w:rPr>
          <w:lang w:val="pl-PL"/>
        </w:rPr>
      </w:pPr>
      <w:r>
        <w:rPr>
          <w:lang w:val="pl-PL"/>
        </w:rPr>
        <w:t>Uznanie danej struktury</w:t>
      </w:r>
      <w:r w:rsidR="00E95B67" w:rsidRPr="00FD65C9">
        <w:rPr>
          <w:lang w:val="pl-PL"/>
        </w:rPr>
        <w:t xml:space="preserve"> </w:t>
      </w:r>
      <w:r w:rsidR="008152F6" w:rsidRPr="00FD65C9">
        <w:rPr>
          <w:lang w:val="pl-PL"/>
        </w:rPr>
        <w:t>za organizację terrorystyczną w </w:t>
      </w:r>
      <w:r w:rsidR="00E95B67" w:rsidRPr="00FD65C9">
        <w:rPr>
          <w:lang w:val="pl-PL"/>
        </w:rPr>
        <w:t xml:space="preserve">rozumieniu art. 314 kk, oprócz spełnienia </w:t>
      </w:r>
      <w:r>
        <w:rPr>
          <w:lang w:val="pl-PL"/>
        </w:rPr>
        <w:t>przesłanek</w:t>
      </w:r>
      <w:r w:rsidRPr="00FD65C9">
        <w:rPr>
          <w:lang w:val="pl-PL"/>
        </w:rPr>
        <w:t xml:space="preserve"> </w:t>
      </w:r>
      <w:r w:rsidR="00E95B67" w:rsidRPr="00FD65C9">
        <w:rPr>
          <w:lang w:val="pl-PL"/>
        </w:rPr>
        <w:t>niezbędnych do istnienia organizacji w rozumieniu art. 220 kk</w:t>
      </w:r>
      <w:r>
        <w:rPr>
          <w:lang w:val="pl-PL"/>
        </w:rPr>
        <w:t>,</w:t>
      </w:r>
      <w:r w:rsidR="00E95B67" w:rsidRPr="00FD65C9">
        <w:rPr>
          <w:lang w:val="pl-PL"/>
        </w:rPr>
        <w:t xml:space="preserve"> </w:t>
      </w:r>
      <w:r>
        <w:rPr>
          <w:lang w:val="pl-PL"/>
        </w:rPr>
        <w:t>wymaga</w:t>
      </w:r>
      <w:r w:rsidR="00E95B67" w:rsidRPr="00FD65C9">
        <w:rPr>
          <w:lang w:val="pl-PL"/>
        </w:rPr>
        <w:t xml:space="preserve"> również </w:t>
      </w:r>
      <w:r>
        <w:rPr>
          <w:lang w:val="pl-PL"/>
        </w:rPr>
        <w:t>jej</w:t>
      </w:r>
      <w:r w:rsidRPr="00FD65C9">
        <w:rPr>
          <w:lang w:val="pl-PL"/>
        </w:rPr>
        <w:t xml:space="preserve"> utworz</w:t>
      </w:r>
      <w:r>
        <w:rPr>
          <w:lang w:val="pl-PL"/>
        </w:rPr>
        <w:t>enia</w:t>
      </w:r>
      <w:r w:rsidRPr="00FD65C9">
        <w:rPr>
          <w:lang w:val="pl-PL"/>
        </w:rPr>
        <w:t xml:space="preserve"> </w:t>
      </w:r>
      <w:r w:rsidR="00E95B67" w:rsidRPr="00FD65C9">
        <w:rPr>
          <w:lang w:val="pl-PL"/>
        </w:rPr>
        <w:t xml:space="preserve">w celu popełniania przestępstw [wymienionych w niektórych rozdziałach kk] [...] oraz </w:t>
      </w:r>
      <w:r>
        <w:rPr>
          <w:lang w:val="pl-PL"/>
        </w:rPr>
        <w:t>posiadania</w:t>
      </w:r>
      <w:r w:rsidR="00E95B67" w:rsidRPr="00FD65C9">
        <w:rPr>
          <w:lang w:val="pl-PL"/>
        </w:rPr>
        <w:t xml:space="preserve"> wystarczające</w:t>
      </w:r>
      <w:r>
        <w:rPr>
          <w:lang w:val="pl-PL"/>
        </w:rPr>
        <w:t>go</w:t>
      </w:r>
      <w:r w:rsidR="00E95B67" w:rsidRPr="00FD65C9">
        <w:rPr>
          <w:lang w:val="pl-PL"/>
        </w:rPr>
        <w:t xml:space="preserve"> uzbrojeni</w:t>
      </w:r>
      <w:r>
        <w:rPr>
          <w:lang w:val="pl-PL"/>
        </w:rPr>
        <w:t>a</w:t>
      </w:r>
      <w:r w:rsidR="00E95B67" w:rsidRPr="00FD65C9">
        <w:rPr>
          <w:lang w:val="pl-PL"/>
        </w:rPr>
        <w:t xml:space="preserve"> lub możliwoś</w:t>
      </w:r>
      <w:r>
        <w:rPr>
          <w:lang w:val="pl-PL"/>
        </w:rPr>
        <w:t>ci</w:t>
      </w:r>
      <w:r w:rsidR="00E95B67" w:rsidRPr="00FD65C9">
        <w:rPr>
          <w:lang w:val="pl-PL"/>
        </w:rPr>
        <w:t xml:space="preserve"> </w:t>
      </w:r>
      <w:r>
        <w:rPr>
          <w:lang w:val="pl-PL"/>
        </w:rPr>
        <w:t xml:space="preserve">jego </w:t>
      </w:r>
      <w:r w:rsidR="00E95B67" w:rsidRPr="00FD65C9">
        <w:rPr>
          <w:lang w:val="pl-PL"/>
        </w:rPr>
        <w:t>użycia dla osiągnięcia tego celu [...]”</w:t>
      </w:r>
      <w:r w:rsidR="00E95B67" w:rsidRPr="00FD65C9">
        <w:rPr>
          <w:rFonts w:ascii="Alegreya" w:hAnsi="Alegreya"/>
          <w:color w:val="1F1F1F"/>
          <w:sz w:val="26"/>
          <w:szCs w:val="26"/>
          <w:lang w:val="pl-PL"/>
        </w:rPr>
        <w:t> </w:t>
      </w:r>
    </w:p>
    <w:p w14:paraId="5227CDD3" w14:textId="3CF4F38E"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63</w:t>
      </w:r>
      <w:r w:rsidRPr="00FD65C9">
        <w:rPr>
          <w:lang w:val="pl-PL"/>
        </w:rPr>
        <w:fldChar w:fldCharType="end"/>
      </w:r>
      <w:r w:rsidR="00E95B67" w:rsidRPr="00FD65C9">
        <w:rPr>
          <w:lang w:val="pl-PL"/>
        </w:rPr>
        <w:t xml:space="preserve">.  W wyroku z dnia 10 października 2017 r. (E. 2017/YYB-997, K.2017/404) sąd kasacyjny, obradujący w składzie </w:t>
      </w:r>
      <w:r w:rsidR="00C2746F">
        <w:rPr>
          <w:lang w:val="pl-PL"/>
        </w:rPr>
        <w:t xml:space="preserve">połączonych </w:t>
      </w:r>
      <w:r w:rsidR="00E95B67" w:rsidRPr="00FD65C9">
        <w:rPr>
          <w:lang w:val="pl-PL"/>
        </w:rPr>
        <w:t xml:space="preserve">izb karnych, wydał wyrok co do zasady dotyczący </w:t>
      </w:r>
      <w:r w:rsidR="002E7277">
        <w:rPr>
          <w:lang w:val="pl-PL"/>
        </w:rPr>
        <w:t>właściwości</w:t>
      </w:r>
      <w:r w:rsidR="002E7277" w:rsidRPr="00FD65C9">
        <w:rPr>
          <w:lang w:val="pl-PL"/>
        </w:rPr>
        <w:t xml:space="preserve"> </w:t>
      </w:r>
      <w:r w:rsidR="00E95B67" w:rsidRPr="00FD65C9">
        <w:rPr>
          <w:lang w:val="pl-PL"/>
        </w:rPr>
        <w:t>sąd</w:t>
      </w:r>
      <w:r w:rsidR="008152F6" w:rsidRPr="00FD65C9">
        <w:rPr>
          <w:lang w:val="pl-PL"/>
        </w:rPr>
        <w:t xml:space="preserve">ów przysięgłych </w:t>
      </w:r>
      <w:r w:rsidR="002E7277">
        <w:rPr>
          <w:lang w:val="pl-PL"/>
        </w:rPr>
        <w:t>do rozpoznawania spraw o</w:t>
      </w:r>
      <w:r w:rsidR="00E95B67" w:rsidRPr="00FD65C9">
        <w:rPr>
          <w:lang w:val="pl-PL"/>
        </w:rPr>
        <w:t xml:space="preserve"> przestępstw</w:t>
      </w:r>
      <w:r w:rsidR="002E7277">
        <w:rPr>
          <w:lang w:val="pl-PL"/>
        </w:rPr>
        <w:t>a zarzucane</w:t>
      </w:r>
      <w:r w:rsidR="00E95B67" w:rsidRPr="00FD65C9">
        <w:rPr>
          <w:lang w:val="pl-PL"/>
        </w:rPr>
        <w:t xml:space="preserve"> członkom wymiaru sprawiedliwości. </w:t>
      </w:r>
      <w:r w:rsidR="002E7277">
        <w:rPr>
          <w:lang w:val="pl-PL"/>
        </w:rPr>
        <w:t xml:space="preserve">Sąd ten wyraził </w:t>
      </w:r>
      <w:r w:rsidR="00E95B67" w:rsidRPr="00FD65C9">
        <w:rPr>
          <w:lang w:val="pl-PL"/>
        </w:rPr>
        <w:t>następujące</w:t>
      </w:r>
      <w:r w:rsidR="002E7277">
        <w:rPr>
          <w:lang w:val="pl-PL"/>
        </w:rPr>
        <w:t xml:space="preserve"> stanowisko</w:t>
      </w:r>
      <w:r w:rsidR="00E95B67" w:rsidRPr="00FD65C9">
        <w:rPr>
          <w:lang w:val="pl-PL"/>
        </w:rPr>
        <w:t>:</w:t>
      </w:r>
    </w:p>
    <w:p w14:paraId="5C0FF22A" w14:textId="2A964105" w:rsidR="00E95B67" w:rsidRPr="00FD65C9" w:rsidRDefault="00E95B67" w:rsidP="00622760">
      <w:pPr>
        <w:pStyle w:val="ECHRParaQuote"/>
        <w:rPr>
          <w:lang w:val="pl-PL"/>
        </w:rPr>
      </w:pPr>
      <w:r w:rsidRPr="00FD65C9">
        <w:rPr>
          <w:lang w:val="pl-PL"/>
        </w:rPr>
        <w:t>„[...] Jak wyjaśniono w utrwalonym i aktualnym or</w:t>
      </w:r>
      <w:r w:rsidR="008152F6" w:rsidRPr="00FD65C9">
        <w:rPr>
          <w:lang w:val="pl-PL"/>
        </w:rPr>
        <w:t>zecznictwie sądu kasacyjnego, w </w:t>
      </w:r>
      <w:r w:rsidRPr="00FD65C9">
        <w:rPr>
          <w:lang w:val="pl-PL"/>
        </w:rPr>
        <w:t xml:space="preserve">odniesieniu do przestępstwa przynależności do zbrojnej organizacji terrorystycznej, które stanowi </w:t>
      </w:r>
      <w:r w:rsidR="002E7277">
        <w:rPr>
          <w:lang w:val="pl-PL"/>
        </w:rPr>
        <w:t>czyn</w:t>
      </w:r>
      <w:r w:rsidR="002E7277" w:rsidRPr="00FD65C9">
        <w:rPr>
          <w:lang w:val="pl-PL"/>
        </w:rPr>
        <w:t xml:space="preserve"> </w:t>
      </w:r>
      <w:r w:rsidRPr="00FD65C9">
        <w:rPr>
          <w:lang w:val="pl-PL"/>
        </w:rPr>
        <w:t xml:space="preserve">o charakterze ciągłym, z wyjątkiem przypadków, w których [ciągłość </w:t>
      </w:r>
      <w:r w:rsidR="002E7277">
        <w:rPr>
          <w:lang w:val="pl-PL"/>
        </w:rPr>
        <w:t>ustaje</w:t>
      </w:r>
      <w:r w:rsidRPr="00FD65C9">
        <w:rPr>
          <w:lang w:val="pl-PL"/>
        </w:rPr>
        <w:t xml:space="preserve">] </w:t>
      </w:r>
      <w:r w:rsidR="002E7277">
        <w:rPr>
          <w:lang w:val="pl-PL"/>
        </w:rPr>
        <w:t>z chwilą</w:t>
      </w:r>
      <w:r w:rsidRPr="00FD65C9">
        <w:rPr>
          <w:lang w:val="pl-PL"/>
        </w:rPr>
        <w:t xml:space="preserve"> </w:t>
      </w:r>
      <w:r w:rsidR="002E7277" w:rsidRPr="00FD65C9">
        <w:rPr>
          <w:lang w:val="pl-PL"/>
        </w:rPr>
        <w:t>rozwiązani</w:t>
      </w:r>
      <w:r w:rsidR="002E7277">
        <w:rPr>
          <w:lang w:val="pl-PL"/>
        </w:rPr>
        <w:t>a</w:t>
      </w:r>
      <w:r w:rsidR="002E7277" w:rsidRPr="00FD65C9">
        <w:rPr>
          <w:lang w:val="pl-PL"/>
        </w:rPr>
        <w:t xml:space="preserve"> </w:t>
      </w:r>
      <w:r w:rsidRPr="00FD65C9">
        <w:rPr>
          <w:lang w:val="pl-PL"/>
        </w:rPr>
        <w:t xml:space="preserve">tej organizacji lub ustaniem członkostwa [w takiej strukturze], [wspomniana] ciągłość może zostać przerwana </w:t>
      </w:r>
      <w:r w:rsidR="002E7277">
        <w:rPr>
          <w:lang w:val="pl-PL"/>
        </w:rPr>
        <w:t>zatrzymaniem</w:t>
      </w:r>
      <w:r w:rsidRPr="00FD65C9">
        <w:rPr>
          <w:lang w:val="pl-PL"/>
        </w:rPr>
        <w:t xml:space="preserve"> sprawcy. Należy zatem </w:t>
      </w:r>
      <w:r w:rsidR="002E7277">
        <w:rPr>
          <w:lang w:val="pl-PL"/>
        </w:rPr>
        <w:t>prawidłowo ustalić</w:t>
      </w:r>
      <w:r w:rsidRPr="00FD65C9">
        <w:rPr>
          <w:lang w:val="pl-PL"/>
        </w:rPr>
        <w:t xml:space="preserve"> czas i miejsce popełnienia przestępstwa. Z tego powodu z sytuacją </w:t>
      </w:r>
      <w:r w:rsidR="00AD4D3A">
        <w:rPr>
          <w:i/>
          <w:iCs/>
          <w:lang w:val="pl-PL"/>
        </w:rPr>
        <w:t xml:space="preserve">in </w:t>
      </w:r>
      <w:proofErr w:type="spellStart"/>
      <w:r w:rsidR="00AD4D3A">
        <w:rPr>
          <w:i/>
          <w:iCs/>
          <w:lang w:val="pl-PL"/>
        </w:rPr>
        <w:t>flagrante</w:t>
      </w:r>
      <w:proofErr w:type="spellEnd"/>
      <w:r w:rsidRPr="00FD65C9">
        <w:rPr>
          <w:i/>
          <w:iCs/>
          <w:lang w:val="pl-PL"/>
        </w:rPr>
        <w:t xml:space="preserve"> </w:t>
      </w:r>
      <w:proofErr w:type="spellStart"/>
      <w:r w:rsidRPr="00FD65C9">
        <w:rPr>
          <w:i/>
          <w:iCs/>
          <w:lang w:val="pl-PL"/>
        </w:rPr>
        <w:t>delicto</w:t>
      </w:r>
      <w:proofErr w:type="spellEnd"/>
      <w:r w:rsidRPr="00FD65C9">
        <w:rPr>
          <w:lang w:val="pl-PL"/>
        </w:rPr>
        <w:t xml:space="preserve"> </w:t>
      </w:r>
      <w:r w:rsidR="002E7277">
        <w:rPr>
          <w:lang w:val="pl-PL"/>
        </w:rPr>
        <w:t xml:space="preserve">mamy do czynienia </w:t>
      </w:r>
      <w:r w:rsidRPr="00FD65C9">
        <w:rPr>
          <w:lang w:val="pl-PL"/>
        </w:rPr>
        <w:t xml:space="preserve">w </w:t>
      </w:r>
      <w:r w:rsidR="002E7277">
        <w:rPr>
          <w:lang w:val="pl-PL"/>
        </w:rPr>
        <w:t>chwili zatrzymania</w:t>
      </w:r>
      <w:r w:rsidRPr="00FD65C9">
        <w:rPr>
          <w:lang w:val="pl-PL"/>
        </w:rPr>
        <w:t xml:space="preserve"> sędziów podejrzanych o przestępstwo przynależności do organizacji zbrojnej, a [zatem] </w:t>
      </w:r>
      <w:r w:rsidR="002E7277">
        <w:rPr>
          <w:lang w:val="pl-PL"/>
        </w:rPr>
        <w:t>postepowanie przygotowawcze należy</w:t>
      </w:r>
      <w:r w:rsidR="008152F6" w:rsidRPr="00FD65C9">
        <w:rPr>
          <w:lang w:val="pl-PL"/>
        </w:rPr>
        <w:t xml:space="preserve"> </w:t>
      </w:r>
      <w:r w:rsidR="002E7277" w:rsidRPr="00FD65C9">
        <w:rPr>
          <w:lang w:val="pl-PL"/>
        </w:rPr>
        <w:t>prowadz</w:t>
      </w:r>
      <w:r w:rsidR="002E7277">
        <w:rPr>
          <w:lang w:val="pl-PL"/>
        </w:rPr>
        <w:t>ić</w:t>
      </w:r>
      <w:r w:rsidR="002E7277" w:rsidRPr="00FD65C9">
        <w:rPr>
          <w:lang w:val="pl-PL"/>
        </w:rPr>
        <w:t xml:space="preserve"> </w:t>
      </w:r>
      <w:r w:rsidR="008152F6" w:rsidRPr="00FD65C9">
        <w:rPr>
          <w:lang w:val="pl-PL"/>
        </w:rPr>
        <w:t>zgodnie z </w:t>
      </w:r>
      <w:r w:rsidRPr="00FD65C9">
        <w:rPr>
          <w:lang w:val="pl-PL"/>
        </w:rPr>
        <w:t>przepisami ogólnymi [...]”.</w:t>
      </w:r>
    </w:p>
    <w:p w14:paraId="6ACA1F47" w14:textId="202D76A8"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64</w:t>
      </w:r>
      <w:r w:rsidRPr="00FD65C9">
        <w:rPr>
          <w:lang w:val="pl-PL"/>
        </w:rPr>
        <w:fldChar w:fldCharType="end"/>
      </w:r>
      <w:r w:rsidR="00E95B67" w:rsidRPr="00FD65C9">
        <w:rPr>
          <w:lang w:val="pl-PL"/>
        </w:rPr>
        <w:t xml:space="preserve">.  W wyroku z dnia 11 stycznia 2018 </w:t>
      </w:r>
      <w:r w:rsidR="002E7277" w:rsidRPr="00FD65C9">
        <w:rPr>
          <w:lang w:val="pl-PL"/>
        </w:rPr>
        <w:t>r</w:t>
      </w:r>
      <w:r w:rsidR="002E7277">
        <w:rPr>
          <w:lang w:val="pl-PL"/>
        </w:rPr>
        <w:t>.</w:t>
      </w:r>
      <w:r w:rsidR="002E7277" w:rsidRPr="00FD65C9">
        <w:rPr>
          <w:lang w:val="pl-PL"/>
        </w:rPr>
        <w:t xml:space="preserve"> </w:t>
      </w:r>
      <w:r w:rsidR="00E95B67" w:rsidRPr="00FD65C9">
        <w:rPr>
          <w:lang w:val="pl-PL"/>
        </w:rPr>
        <w:t xml:space="preserve">(nr 2016/23672) dotyczącym </w:t>
      </w:r>
      <w:r w:rsidR="002E7277">
        <w:rPr>
          <w:lang w:val="pl-PL"/>
        </w:rPr>
        <w:t>tymczasowego aresztowania</w:t>
      </w:r>
      <w:r w:rsidR="002E7277" w:rsidRPr="00FD65C9">
        <w:rPr>
          <w:lang w:val="pl-PL"/>
        </w:rPr>
        <w:t xml:space="preserve"> </w:t>
      </w:r>
      <w:r w:rsidR="00E95B67" w:rsidRPr="00FD65C9">
        <w:rPr>
          <w:lang w:val="pl-PL"/>
        </w:rPr>
        <w:t xml:space="preserve">dziennikarza, a mianowicie </w:t>
      </w:r>
      <w:proofErr w:type="spellStart"/>
      <w:r w:rsidR="00E95B67" w:rsidRPr="00FD65C9">
        <w:rPr>
          <w:lang w:val="pl-PL"/>
        </w:rPr>
        <w:t>Mehmeta</w:t>
      </w:r>
      <w:proofErr w:type="spellEnd"/>
      <w:r w:rsidR="00E95B67" w:rsidRPr="00FD65C9">
        <w:rPr>
          <w:lang w:val="pl-PL"/>
        </w:rPr>
        <w:t xml:space="preserve"> </w:t>
      </w:r>
      <w:proofErr w:type="spellStart"/>
      <w:r w:rsidR="00E95B67" w:rsidRPr="00FD65C9">
        <w:rPr>
          <w:lang w:val="pl-PL"/>
        </w:rPr>
        <w:t>Hasana</w:t>
      </w:r>
      <w:proofErr w:type="spellEnd"/>
      <w:r w:rsidR="00E95B67" w:rsidRPr="00FD65C9">
        <w:rPr>
          <w:lang w:val="pl-PL"/>
        </w:rPr>
        <w:t xml:space="preserve"> Altana, Trybunał Konstytucyjny </w:t>
      </w:r>
      <w:r w:rsidR="002E7277">
        <w:rPr>
          <w:lang w:val="pl-PL"/>
        </w:rPr>
        <w:t>ocenił</w:t>
      </w:r>
      <w:r w:rsidR="00AE6926">
        <w:rPr>
          <w:lang w:val="pl-PL"/>
        </w:rPr>
        <w:t xml:space="preserve"> </w:t>
      </w:r>
      <w:r w:rsidR="002E7277">
        <w:rPr>
          <w:lang w:val="pl-PL"/>
        </w:rPr>
        <w:t>zarzut</w:t>
      </w:r>
      <w:r w:rsidR="002E7277" w:rsidRPr="00FD65C9">
        <w:rPr>
          <w:lang w:val="pl-PL"/>
        </w:rPr>
        <w:t xml:space="preserve"> </w:t>
      </w:r>
      <w:r w:rsidR="008152F6" w:rsidRPr="00FD65C9">
        <w:rPr>
          <w:lang w:val="pl-PL"/>
        </w:rPr>
        <w:t>dotycząc</w:t>
      </w:r>
      <w:r w:rsidR="002E7277">
        <w:rPr>
          <w:lang w:val="pl-PL"/>
        </w:rPr>
        <w:t>y</w:t>
      </w:r>
      <w:r w:rsidR="008152F6" w:rsidRPr="00FD65C9">
        <w:rPr>
          <w:lang w:val="pl-PL"/>
        </w:rPr>
        <w:t xml:space="preserve"> legalności i </w:t>
      </w:r>
      <w:r w:rsidR="00E95B67" w:rsidRPr="00FD65C9">
        <w:rPr>
          <w:lang w:val="pl-PL"/>
        </w:rPr>
        <w:t xml:space="preserve">zgodności tego środka z prawem </w:t>
      </w:r>
      <w:r w:rsidR="00E95B67" w:rsidRPr="00FD65C9">
        <w:rPr>
          <w:rFonts w:ascii="Times New Roman" w:hAnsi="Times New Roman"/>
          <w:lang w:val="pl-PL"/>
        </w:rPr>
        <w:t>(</w:t>
      </w:r>
      <w:proofErr w:type="spellStart"/>
      <w:r w:rsidR="00E95B67" w:rsidRPr="00FD65C9">
        <w:rPr>
          <w:rFonts w:ascii="Times New Roman" w:hAnsi="Times New Roman"/>
          <w:i/>
          <w:iCs/>
          <w:lang w:val="pl-PL"/>
        </w:rPr>
        <w:t>Mehmet</w:t>
      </w:r>
      <w:proofErr w:type="spellEnd"/>
      <w:r w:rsidR="00E95B67" w:rsidRPr="00FD65C9">
        <w:rPr>
          <w:rFonts w:ascii="Times New Roman" w:hAnsi="Times New Roman"/>
          <w:i/>
          <w:iCs/>
          <w:lang w:val="pl-PL"/>
        </w:rPr>
        <w:t xml:space="preserve"> </w:t>
      </w:r>
      <w:proofErr w:type="spellStart"/>
      <w:r w:rsidR="00E95B67" w:rsidRPr="00FD65C9">
        <w:rPr>
          <w:rFonts w:ascii="Times New Roman" w:hAnsi="Times New Roman"/>
          <w:i/>
          <w:iCs/>
          <w:lang w:val="pl-PL"/>
        </w:rPr>
        <w:t>Hasan</w:t>
      </w:r>
      <w:proofErr w:type="spellEnd"/>
      <w:r w:rsidR="00E95B67" w:rsidRPr="00FD65C9">
        <w:rPr>
          <w:rFonts w:ascii="Times New Roman" w:hAnsi="Times New Roman"/>
          <w:i/>
          <w:iCs/>
          <w:lang w:val="pl-PL"/>
        </w:rPr>
        <w:t xml:space="preserve"> Altan przeciwko Turcji</w:t>
      </w:r>
      <w:r w:rsidR="00E95B67" w:rsidRPr="00FD65C9">
        <w:rPr>
          <w:rFonts w:ascii="Times New Roman" w:hAnsi="Times New Roman"/>
          <w:lang w:val="pl-PL"/>
        </w:rPr>
        <w:t>, nr 13237/17, §§ 35–44, 20 marca 2018 r.)</w:t>
      </w:r>
      <w:r w:rsidR="00E95B67" w:rsidRPr="00FD65C9">
        <w:rPr>
          <w:lang w:val="pl-PL"/>
        </w:rPr>
        <w:t xml:space="preserve">. Po </w:t>
      </w:r>
      <w:r w:rsidR="002E7277" w:rsidRPr="00FD65C9">
        <w:rPr>
          <w:lang w:val="pl-PL"/>
        </w:rPr>
        <w:t>z</w:t>
      </w:r>
      <w:r w:rsidR="002E7277">
        <w:rPr>
          <w:lang w:val="pl-PL"/>
        </w:rPr>
        <w:t>apoznaniu się z</w:t>
      </w:r>
      <w:r w:rsidR="002E7277" w:rsidRPr="00FD65C9">
        <w:rPr>
          <w:lang w:val="pl-PL"/>
        </w:rPr>
        <w:t xml:space="preserve"> dowod</w:t>
      </w:r>
      <w:r w:rsidR="002E7277">
        <w:rPr>
          <w:lang w:val="pl-PL"/>
        </w:rPr>
        <w:t>ami</w:t>
      </w:r>
      <w:r w:rsidR="00E95B67" w:rsidRPr="00FD65C9">
        <w:rPr>
          <w:lang w:val="pl-PL"/>
        </w:rPr>
        <w:t xml:space="preserve">, na podstawie których </w:t>
      </w:r>
      <w:r w:rsidR="002E7277">
        <w:rPr>
          <w:lang w:val="pl-PL"/>
        </w:rPr>
        <w:t>wobec skarżącego zastosowano tymczasowego aresztowania</w:t>
      </w:r>
      <w:r w:rsidR="00E95B67" w:rsidRPr="00FD65C9">
        <w:rPr>
          <w:lang w:val="pl-PL"/>
        </w:rPr>
        <w:t xml:space="preserve">, </w:t>
      </w:r>
      <w:r w:rsidR="00C2746F" w:rsidRPr="00FD65C9">
        <w:rPr>
          <w:lang w:val="pl-PL"/>
        </w:rPr>
        <w:t xml:space="preserve">Trybunał Konstytucyjny </w:t>
      </w:r>
      <w:r w:rsidR="00E95B67" w:rsidRPr="00FD65C9">
        <w:rPr>
          <w:lang w:val="pl-PL"/>
        </w:rPr>
        <w:t xml:space="preserve">doszedł do wniosku, że </w:t>
      </w:r>
      <w:r w:rsidR="002E7277">
        <w:rPr>
          <w:lang w:val="pl-PL"/>
        </w:rPr>
        <w:t xml:space="preserve">w tej sprawie nie wykazano </w:t>
      </w:r>
      <w:r w:rsidR="00E95B67" w:rsidRPr="00FD65C9">
        <w:rPr>
          <w:lang w:val="pl-PL"/>
        </w:rPr>
        <w:t>„siln</w:t>
      </w:r>
      <w:r w:rsidR="002E7277">
        <w:rPr>
          <w:lang w:val="pl-PL"/>
        </w:rPr>
        <w:t>ych</w:t>
      </w:r>
      <w:r w:rsidR="00E95B67" w:rsidRPr="00FD65C9">
        <w:rPr>
          <w:lang w:val="pl-PL"/>
        </w:rPr>
        <w:t xml:space="preserve"> przesłan</w:t>
      </w:r>
      <w:r w:rsidR="002E7277">
        <w:rPr>
          <w:lang w:val="pl-PL"/>
        </w:rPr>
        <w:t>ek</w:t>
      </w:r>
      <w:r w:rsidR="00E95B67" w:rsidRPr="00FD65C9">
        <w:rPr>
          <w:lang w:val="pl-PL"/>
        </w:rPr>
        <w:t xml:space="preserve"> wskazując</w:t>
      </w:r>
      <w:r w:rsidR="002E7277">
        <w:rPr>
          <w:lang w:val="pl-PL"/>
        </w:rPr>
        <w:t>ych</w:t>
      </w:r>
      <w:r w:rsidR="00E95B67" w:rsidRPr="00FD65C9">
        <w:rPr>
          <w:lang w:val="pl-PL"/>
        </w:rPr>
        <w:t xml:space="preserve"> na popełnie</w:t>
      </w:r>
      <w:r w:rsidR="008152F6" w:rsidRPr="00FD65C9">
        <w:rPr>
          <w:lang w:val="pl-PL"/>
        </w:rPr>
        <w:t>nie przestępstwa”</w:t>
      </w:r>
      <w:r w:rsidR="00E95B67" w:rsidRPr="00FD65C9">
        <w:rPr>
          <w:lang w:val="pl-PL"/>
        </w:rPr>
        <w:t>. Po drugie Trybunał Konstytucyjny zbadał, czy doszło do</w:t>
      </w:r>
      <w:r w:rsidR="008152F6" w:rsidRPr="00FD65C9">
        <w:rPr>
          <w:lang w:val="pl-PL"/>
        </w:rPr>
        <w:t xml:space="preserve"> naruszenia prawa do wolności i </w:t>
      </w:r>
      <w:r w:rsidR="00E95B67" w:rsidRPr="00FD65C9">
        <w:rPr>
          <w:lang w:val="pl-PL"/>
        </w:rPr>
        <w:t>bezpieczeństwa w związku z art. 15 Konstytucji. W tym względzie zauważył przede wszystkim, że Konstytucja dopuszcza, w przypadku stanu wyjątkowego</w:t>
      </w:r>
      <w:r w:rsidR="008152F6" w:rsidRPr="00FD65C9">
        <w:rPr>
          <w:lang w:val="pl-PL"/>
        </w:rPr>
        <w:t>, środki sprzeczne z </w:t>
      </w:r>
      <w:r w:rsidR="00E95B67" w:rsidRPr="00FD65C9">
        <w:rPr>
          <w:lang w:val="pl-PL"/>
        </w:rPr>
        <w:t xml:space="preserve">gwarancjami wynikającymi z jej art. 19 w zakresie, w jakim wymaga tego sytuacja. Uznał jednak, że gdyby przyjąć, iż </w:t>
      </w:r>
      <w:r w:rsidR="00E45ED8">
        <w:rPr>
          <w:lang w:val="pl-PL"/>
        </w:rPr>
        <w:t>tymczasowe aresztowanie można stosować</w:t>
      </w:r>
      <w:r w:rsidR="00E95B67" w:rsidRPr="00FD65C9">
        <w:rPr>
          <w:lang w:val="pl-PL"/>
        </w:rPr>
        <w:t xml:space="preserve"> bez wyraźnych przesłanek popełnienia przestępstwa, gwarancje prawa do wolności i bezpieczeństwa straciłyby na znaczeniu. Uznał zatem, że tymczasowe aresztowanie skarżącego było nieproporcjonalne do </w:t>
      </w:r>
      <w:r w:rsidR="00E45ED8">
        <w:rPr>
          <w:lang w:val="pl-PL"/>
        </w:rPr>
        <w:t>danego stanu faktycznego</w:t>
      </w:r>
      <w:r w:rsidR="00E95B67" w:rsidRPr="00FD65C9">
        <w:rPr>
          <w:lang w:val="pl-PL"/>
        </w:rPr>
        <w:t xml:space="preserve"> oraz że naruszone zostało jego prawo do wolności i bezpieczeństwa, </w:t>
      </w:r>
      <w:r w:rsidR="00E45ED8">
        <w:rPr>
          <w:lang w:val="pl-PL"/>
        </w:rPr>
        <w:t>które podlega ochronie na podstawie</w:t>
      </w:r>
      <w:r w:rsidR="00E95B67" w:rsidRPr="00FD65C9">
        <w:rPr>
          <w:lang w:val="pl-PL"/>
        </w:rPr>
        <w:t xml:space="preserve"> art. 19 ust. 3 Konstytucji.</w:t>
      </w:r>
    </w:p>
    <w:p w14:paraId="671EE7D1" w14:textId="77777777" w:rsidR="00E95B67" w:rsidRPr="00FD65C9" w:rsidRDefault="00E95B67" w:rsidP="00622760">
      <w:pPr>
        <w:pStyle w:val="ECHRHeading1"/>
        <w:rPr>
          <w:lang w:val="pl-PL"/>
        </w:rPr>
      </w:pPr>
      <w:r w:rsidRPr="00FD65C9">
        <w:rPr>
          <w:bCs w:val="0"/>
          <w:lang w:val="pl-PL"/>
        </w:rPr>
        <w:t>III.  DOKUMENTY RADY EUROPY</w:t>
      </w:r>
    </w:p>
    <w:p w14:paraId="27B0350A" w14:textId="6D70C159"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65</w:t>
      </w:r>
      <w:r w:rsidRPr="00FD65C9">
        <w:rPr>
          <w:lang w:val="pl-PL"/>
        </w:rPr>
        <w:fldChar w:fldCharType="end"/>
      </w:r>
      <w:r w:rsidR="00E95B67" w:rsidRPr="00FD65C9">
        <w:rPr>
          <w:lang w:val="pl-PL"/>
        </w:rPr>
        <w:t>.  Rząd odniósł się do zalecenia CM/</w:t>
      </w:r>
      <w:proofErr w:type="spellStart"/>
      <w:r w:rsidR="00E95B67" w:rsidRPr="00FD65C9">
        <w:rPr>
          <w:lang w:val="pl-PL"/>
        </w:rPr>
        <w:t>Rec</w:t>
      </w:r>
      <w:proofErr w:type="spellEnd"/>
      <w:r w:rsidR="00E95B67" w:rsidRPr="00FD65C9">
        <w:rPr>
          <w:lang w:val="pl-PL"/>
        </w:rPr>
        <w:t>(2010)12 Komitetu Ministrów dla państw członkowskich w sprawi</w:t>
      </w:r>
      <w:r w:rsidR="008152F6" w:rsidRPr="00FD65C9">
        <w:rPr>
          <w:lang w:val="pl-PL"/>
        </w:rPr>
        <w:t>e niezależności, efektywności i </w:t>
      </w:r>
      <w:r w:rsidR="00E95B67" w:rsidRPr="00FD65C9">
        <w:rPr>
          <w:lang w:val="pl-PL"/>
        </w:rPr>
        <w:t>odpowiedzialności sędziów</w:t>
      </w:r>
      <w:r w:rsidR="00E45ED8">
        <w:rPr>
          <w:lang w:val="pl-PL"/>
        </w:rPr>
        <w:t>, które zostało</w:t>
      </w:r>
      <w:r w:rsidR="00E95B67" w:rsidRPr="00FD65C9">
        <w:rPr>
          <w:lang w:val="pl-PL"/>
        </w:rPr>
        <w:t xml:space="preserve"> przyjęte</w:t>
      </w:r>
      <w:r w:rsidR="00E45ED8">
        <w:rPr>
          <w:lang w:val="pl-PL"/>
        </w:rPr>
        <w:t xml:space="preserve"> w dniu</w:t>
      </w:r>
      <w:r w:rsidR="00E95B67" w:rsidRPr="00FD65C9">
        <w:rPr>
          <w:lang w:val="pl-PL"/>
        </w:rPr>
        <w:t xml:space="preserve"> 17 listopada 2010 r. Istotne dla niniejszej sprawy fragmenty tego zalecenia brzmią następująco:</w:t>
      </w:r>
    </w:p>
    <w:p w14:paraId="2DEF7AA1" w14:textId="77777777" w:rsidR="00E95B67" w:rsidRPr="00FD65C9" w:rsidRDefault="00E95B67" w:rsidP="00622760">
      <w:pPr>
        <w:pStyle w:val="ECHRParaQuote"/>
        <w:rPr>
          <w:lang w:val="pl-PL"/>
        </w:rPr>
      </w:pPr>
      <w:r w:rsidRPr="00FD65C9">
        <w:rPr>
          <w:lang w:val="pl-PL"/>
        </w:rPr>
        <w:t>„Odpowiedzialność i procedury dyscyplinarne</w:t>
      </w:r>
    </w:p>
    <w:p w14:paraId="57403C97" w14:textId="46CF2310" w:rsidR="00E95B67" w:rsidRPr="00FD65C9" w:rsidRDefault="00E95B67" w:rsidP="00622760">
      <w:pPr>
        <w:pStyle w:val="ECHRParaQuote"/>
        <w:rPr>
          <w:lang w:val="pl-PL"/>
        </w:rPr>
      </w:pPr>
      <w:r w:rsidRPr="00FD65C9">
        <w:rPr>
          <w:lang w:val="pl-PL"/>
        </w:rPr>
        <w:t xml:space="preserve">66. Dokonywana przez sędziów wykładnia prawa, ocena faktów lub ocena dowodów przy rozstrzyganiu spraw nie powinna </w:t>
      </w:r>
      <w:r w:rsidR="00E45ED8">
        <w:rPr>
          <w:lang w:val="pl-PL"/>
        </w:rPr>
        <w:t>skutkować</w:t>
      </w:r>
      <w:r w:rsidR="00E45ED8" w:rsidRPr="00FD65C9">
        <w:rPr>
          <w:lang w:val="pl-PL"/>
        </w:rPr>
        <w:t xml:space="preserve"> </w:t>
      </w:r>
      <w:r w:rsidRPr="00FD65C9">
        <w:rPr>
          <w:lang w:val="pl-PL"/>
        </w:rPr>
        <w:t>odpowiedzialności</w:t>
      </w:r>
      <w:r w:rsidR="00E45ED8">
        <w:rPr>
          <w:lang w:val="pl-PL"/>
        </w:rPr>
        <w:t>ą</w:t>
      </w:r>
      <w:r w:rsidRPr="00FD65C9">
        <w:rPr>
          <w:lang w:val="pl-PL"/>
        </w:rPr>
        <w:t xml:space="preserve"> </w:t>
      </w:r>
      <w:r w:rsidR="00E45ED8" w:rsidRPr="00FD65C9">
        <w:rPr>
          <w:lang w:val="pl-PL"/>
        </w:rPr>
        <w:t>cywiln</w:t>
      </w:r>
      <w:r w:rsidR="00E45ED8">
        <w:rPr>
          <w:lang w:val="pl-PL"/>
        </w:rPr>
        <w:t>ą</w:t>
      </w:r>
      <w:r w:rsidR="00E45ED8" w:rsidRPr="00FD65C9">
        <w:rPr>
          <w:lang w:val="pl-PL"/>
        </w:rPr>
        <w:t xml:space="preserve"> </w:t>
      </w:r>
      <w:r w:rsidRPr="00FD65C9">
        <w:rPr>
          <w:lang w:val="pl-PL"/>
        </w:rPr>
        <w:t xml:space="preserve">ani </w:t>
      </w:r>
      <w:r w:rsidR="00E45ED8" w:rsidRPr="00FD65C9">
        <w:rPr>
          <w:lang w:val="pl-PL"/>
        </w:rPr>
        <w:t>dyscyplinarn</w:t>
      </w:r>
      <w:r w:rsidR="00E45ED8">
        <w:rPr>
          <w:lang w:val="pl-PL"/>
        </w:rPr>
        <w:t>ą</w:t>
      </w:r>
      <w:r w:rsidRPr="00FD65C9">
        <w:rPr>
          <w:lang w:val="pl-PL"/>
        </w:rPr>
        <w:t>, z wyjątkiem przypadków złej woli i rażącego niedbalstwa.</w:t>
      </w:r>
    </w:p>
    <w:p w14:paraId="56615F58" w14:textId="77777777" w:rsidR="00E95B67" w:rsidRPr="00FD65C9" w:rsidRDefault="00E95B67" w:rsidP="00622760">
      <w:pPr>
        <w:pStyle w:val="ECHRParaQuote"/>
        <w:rPr>
          <w:lang w:val="pl-PL"/>
        </w:rPr>
      </w:pPr>
      <w:r w:rsidRPr="00FD65C9">
        <w:rPr>
          <w:lang w:val="pl-PL"/>
        </w:rPr>
        <w:t>[...]</w:t>
      </w:r>
    </w:p>
    <w:p w14:paraId="7093A1C9" w14:textId="55D97276" w:rsidR="00E95B67" w:rsidRPr="00FD65C9" w:rsidRDefault="00E95B67" w:rsidP="00622760">
      <w:pPr>
        <w:pStyle w:val="ECHRParaQuote"/>
        <w:rPr>
          <w:lang w:val="pl-PL"/>
        </w:rPr>
      </w:pPr>
      <w:r w:rsidRPr="00FD65C9">
        <w:rPr>
          <w:lang w:val="pl-PL"/>
        </w:rPr>
        <w:t xml:space="preserve">68. Wykładnia prawa, ocena faktów lub ocena dowodów, których dokonują sędziowie przy rozstrzyganiu spraw, nie powinny </w:t>
      </w:r>
      <w:r w:rsidR="00E45ED8">
        <w:rPr>
          <w:lang w:val="pl-PL"/>
        </w:rPr>
        <w:t>skutkować</w:t>
      </w:r>
      <w:r w:rsidR="00E45ED8" w:rsidRPr="00FD65C9">
        <w:rPr>
          <w:lang w:val="pl-PL"/>
        </w:rPr>
        <w:t xml:space="preserve"> </w:t>
      </w:r>
      <w:r w:rsidRPr="00FD65C9">
        <w:rPr>
          <w:lang w:val="pl-PL"/>
        </w:rPr>
        <w:t>odpowiedzialności</w:t>
      </w:r>
      <w:r w:rsidR="00E45ED8">
        <w:rPr>
          <w:lang w:val="pl-PL"/>
        </w:rPr>
        <w:t>ą</w:t>
      </w:r>
      <w:r w:rsidRPr="00FD65C9">
        <w:rPr>
          <w:lang w:val="pl-PL"/>
        </w:rPr>
        <w:t xml:space="preserve"> karn</w:t>
      </w:r>
      <w:r w:rsidR="00E45ED8">
        <w:rPr>
          <w:lang w:val="pl-PL"/>
        </w:rPr>
        <w:t>ą</w:t>
      </w:r>
      <w:r w:rsidRPr="00FD65C9">
        <w:rPr>
          <w:lang w:val="pl-PL"/>
        </w:rPr>
        <w:t>, z wyjątkiem przypadków złej woli.</w:t>
      </w:r>
    </w:p>
    <w:p w14:paraId="6AB28EA8" w14:textId="77777777" w:rsidR="00E95B67" w:rsidRPr="00FD65C9" w:rsidRDefault="00E95B67" w:rsidP="00622760">
      <w:pPr>
        <w:pStyle w:val="ECHRParaQuote"/>
        <w:rPr>
          <w:lang w:val="pl-PL"/>
        </w:rPr>
      </w:pPr>
      <w:r w:rsidRPr="00FD65C9">
        <w:rPr>
          <w:lang w:val="pl-PL"/>
        </w:rPr>
        <w:t>[...]</w:t>
      </w:r>
    </w:p>
    <w:p w14:paraId="5F17BFEF" w14:textId="77777777" w:rsidR="00E95B67" w:rsidRPr="00FD65C9" w:rsidRDefault="00E95B67" w:rsidP="00622760">
      <w:pPr>
        <w:pStyle w:val="ECHRParaQuote"/>
        <w:rPr>
          <w:lang w:val="pl-PL"/>
        </w:rPr>
      </w:pPr>
      <w:r w:rsidRPr="00FD65C9">
        <w:rPr>
          <w:lang w:val="pl-PL"/>
        </w:rPr>
        <w:t>71. Gdy sędziowie nie pełnią swoich funkcji sądowniczych, ponoszą odpowiedzialność karną, cywilną i administracyjną jak każdy inny obywatel”.</w:t>
      </w:r>
    </w:p>
    <w:p w14:paraId="2D2B2C29" w14:textId="77777777" w:rsidR="00E95B67" w:rsidRPr="00FD65C9" w:rsidRDefault="00E95B67" w:rsidP="00622760">
      <w:pPr>
        <w:pStyle w:val="ECHRHeading1"/>
        <w:rPr>
          <w:lang w:val="pl-PL"/>
        </w:rPr>
      </w:pPr>
      <w:r w:rsidRPr="00FD65C9">
        <w:rPr>
          <w:bCs w:val="0"/>
          <w:lang w:val="pl-PL"/>
        </w:rPr>
        <w:t>IV.  POWIADOMIENIE TURCJI O UCHYLENIU ZOBOWIĄZAŃ</w:t>
      </w:r>
    </w:p>
    <w:p w14:paraId="6C49EFCB" w14:textId="77777777"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66</w:t>
      </w:r>
      <w:r w:rsidRPr="00FD65C9">
        <w:rPr>
          <w:lang w:val="pl-PL"/>
        </w:rPr>
        <w:fldChar w:fldCharType="end"/>
      </w:r>
      <w:r w:rsidR="00E95B67" w:rsidRPr="00FD65C9">
        <w:rPr>
          <w:lang w:val="pl-PL"/>
        </w:rPr>
        <w:t>.  W dniu 21 lipca 2016 r. stały przedstawiciel Turcji przy Radzie Europy przekazał Sekretarzowi Generalnemu Rady Europy następujące powiadomienie o odstępstwie:</w:t>
      </w:r>
    </w:p>
    <w:p w14:paraId="6B8122D9" w14:textId="77777777" w:rsidR="00E95B67" w:rsidRPr="00FD65C9" w:rsidRDefault="00E95B67" w:rsidP="00622760">
      <w:pPr>
        <w:pStyle w:val="ECHRParaQuote"/>
        <w:rPr>
          <w:lang w:val="pl-PL"/>
        </w:rPr>
      </w:pPr>
      <w:r w:rsidRPr="00FD65C9">
        <w:rPr>
          <w:lang w:val="pl-PL"/>
        </w:rPr>
        <w:t>„[Tłumaczenie]</w:t>
      </w:r>
    </w:p>
    <w:p w14:paraId="5422D272" w14:textId="77777777" w:rsidR="00E95B67" w:rsidRPr="00FD65C9" w:rsidRDefault="00E95B67" w:rsidP="00622760">
      <w:pPr>
        <w:pStyle w:val="ECHRParaQuote"/>
        <w:rPr>
          <w:lang w:val="pl-PL"/>
        </w:rPr>
      </w:pPr>
      <w:r w:rsidRPr="00FD65C9">
        <w:rPr>
          <w:lang w:val="pl-PL"/>
        </w:rPr>
        <w:t>Niniejszym przekazuję następujące powiadomienie od rządu Republiki Turcji.</w:t>
      </w:r>
    </w:p>
    <w:p w14:paraId="56F043BE" w14:textId="1208E9B8" w:rsidR="00E95B67" w:rsidRPr="00FD65C9" w:rsidRDefault="00E95B67" w:rsidP="00622760">
      <w:pPr>
        <w:pStyle w:val="ECHRParaQuote"/>
        <w:rPr>
          <w:lang w:val="pl-PL"/>
        </w:rPr>
      </w:pPr>
      <w:r w:rsidRPr="00FD65C9">
        <w:rPr>
          <w:lang w:val="pl-PL"/>
        </w:rPr>
        <w:t xml:space="preserve">W dniu 15 lipca 2016 r. w Republice Turcji zorganizowano zakrojoną na szeroką skalę próbę zamachu stanu, mającą na celu obalenie demokratycznie wybranego rządu i porządku konstytucyjnego. Ta </w:t>
      </w:r>
      <w:r w:rsidR="00E45ED8">
        <w:rPr>
          <w:lang w:val="pl-PL"/>
        </w:rPr>
        <w:t>karygodna</w:t>
      </w:r>
      <w:r w:rsidR="00E45ED8" w:rsidRPr="00FD65C9">
        <w:rPr>
          <w:lang w:val="pl-PL"/>
        </w:rPr>
        <w:t xml:space="preserve"> </w:t>
      </w:r>
      <w:r w:rsidRPr="00FD65C9">
        <w:rPr>
          <w:lang w:val="pl-PL"/>
        </w:rPr>
        <w:t>próba została udaremniona przez tureckie państwo i naród działający w jedności i solidarności. Próba zamachu stanu i jej następstwa, jak również inne akty terrorystyczne, stwarzały poważne zagrożenia dla bezpieczeństwa i porządku publicznego, stanowią</w:t>
      </w:r>
      <w:r w:rsidR="008152F6" w:rsidRPr="00FD65C9">
        <w:rPr>
          <w:lang w:val="pl-PL"/>
        </w:rPr>
        <w:t>c zagrożenie dla życia narodu w </w:t>
      </w:r>
      <w:r w:rsidRPr="00FD65C9">
        <w:rPr>
          <w:lang w:val="pl-PL"/>
        </w:rPr>
        <w:t>rozumieniu art. 15 Konwencji o ochronie praw człowieka i podstawowych wolności.</w:t>
      </w:r>
    </w:p>
    <w:p w14:paraId="5A63B22E" w14:textId="77777777" w:rsidR="00E95B67" w:rsidRPr="00FD65C9" w:rsidRDefault="00E95B67" w:rsidP="00622760">
      <w:pPr>
        <w:pStyle w:val="ECHRParaQuote"/>
        <w:rPr>
          <w:lang w:val="pl-PL"/>
        </w:rPr>
      </w:pPr>
      <w:r w:rsidRPr="00FD65C9">
        <w:rPr>
          <w:lang w:val="pl-PL"/>
        </w:rPr>
        <w:t>Republika Turcji podejmuje niezbędne środki</w:t>
      </w:r>
      <w:r w:rsidR="008152F6" w:rsidRPr="00FD65C9">
        <w:rPr>
          <w:lang w:val="pl-PL"/>
        </w:rPr>
        <w:t xml:space="preserve"> przewidziane prawem, zgodnie z </w:t>
      </w:r>
      <w:r w:rsidRPr="00FD65C9">
        <w:rPr>
          <w:lang w:val="pl-PL"/>
        </w:rPr>
        <w:t>ustawodawstwem krajowym i swoimi zobowiązaniami międzynarodowymi. W tym kontekście w dniu 20 lipca 2016 r. rząd Republiki Turcji ogłosił stan wyjątkowy na okres trzech miesięcy, zgodnie z Konstytucją (art. 120) i ustawą nr 2935 o stanie wyjątkowym (art. 3/1 b). [...]</w:t>
      </w:r>
    </w:p>
    <w:p w14:paraId="3DB7669A" w14:textId="7AFAEAF1" w:rsidR="00E95B67" w:rsidRPr="00FD65C9" w:rsidRDefault="00E95B67" w:rsidP="00622760">
      <w:pPr>
        <w:pStyle w:val="ECHRParaQuote"/>
        <w:rPr>
          <w:lang w:val="pl-PL"/>
        </w:rPr>
      </w:pPr>
      <w:r w:rsidRPr="00FD65C9">
        <w:rPr>
          <w:lang w:val="pl-PL"/>
        </w:rPr>
        <w:t xml:space="preserve">Decyzja ta została opublikowana w Dzienniku Urzędowym i zatwierdzona przez Wielkie Zgromadzenie Narodowe Turcji w dniu 21 lipca 2016 r. W związku z tym stan wyjątkowy wchodzi w życie od tego dnia. W ramach tego procesu podjęte środki mogą obejmować uchylenie stosowania zobowiązań wynikających z Konwencji o ochronie praw człowieka i podstawowych wolności, </w:t>
      </w:r>
      <w:r w:rsidR="00665310">
        <w:rPr>
          <w:lang w:val="pl-PL"/>
        </w:rPr>
        <w:t>co jest dopuszczalne na podstawie</w:t>
      </w:r>
      <w:r w:rsidRPr="00FD65C9">
        <w:rPr>
          <w:lang w:val="pl-PL"/>
        </w:rPr>
        <w:t xml:space="preserve"> art. 15 Konwencji.</w:t>
      </w:r>
    </w:p>
    <w:p w14:paraId="3FE7FE42" w14:textId="6BFAFFE3" w:rsidR="00E95B67" w:rsidRPr="00FD65C9" w:rsidRDefault="00665310" w:rsidP="00622760">
      <w:pPr>
        <w:pStyle w:val="ECHRParaQuote"/>
        <w:rPr>
          <w:lang w:val="pl-PL"/>
        </w:rPr>
      </w:pPr>
      <w:r>
        <w:rPr>
          <w:lang w:val="pl-PL"/>
        </w:rPr>
        <w:t>Z tego względu</w:t>
      </w:r>
      <w:r w:rsidRPr="00FD65C9">
        <w:rPr>
          <w:lang w:val="pl-PL"/>
        </w:rPr>
        <w:t xml:space="preserve"> </w:t>
      </w:r>
      <w:r w:rsidR="00E95B67" w:rsidRPr="00FD65C9">
        <w:rPr>
          <w:lang w:val="pl-PL"/>
        </w:rPr>
        <w:t>pragnę podkreślić, że niniejsz</w:t>
      </w:r>
      <w:r>
        <w:rPr>
          <w:lang w:val="pl-PL"/>
        </w:rPr>
        <w:t>e</w:t>
      </w:r>
      <w:r w:rsidR="00E95B67" w:rsidRPr="00FD65C9">
        <w:rPr>
          <w:lang w:val="pl-PL"/>
        </w:rPr>
        <w:t xml:space="preserve"> </w:t>
      </w:r>
      <w:r>
        <w:rPr>
          <w:lang w:val="pl-PL"/>
        </w:rPr>
        <w:t>pismo</w:t>
      </w:r>
      <w:r w:rsidRPr="00FD65C9">
        <w:rPr>
          <w:lang w:val="pl-PL"/>
        </w:rPr>
        <w:t xml:space="preserve"> </w:t>
      </w:r>
      <w:r w:rsidR="00E95B67" w:rsidRPr="00FD65C9">
        <w:rPr>
          <w:lang w:val="pl-PL"/>
        </w:rPr>
        <w:t>stanowi info</w:t>
      </w:r>
      <w:r w:rsidR="008152F6" w:rsidRPr="00FD65C9">
        <w:rPr>
          <w:lang w:val="pl-PL"/>
        </w:rPr>
        <w:t>rmację w rozumieniu art. 15 </w:t>
      </w:r>
      <w:r w:rsidR="00E95B67" w:rsidRPr="00FD65C9">
        <w:rPr>
          <w:lang w:val="pl-PL"/>
        </w:rPr>
        <w:t xml:space="preserve">Konwencji. Rząd Republiki Turcji będzie </w:t>
      </w:r>
      <w:r>
        <w:rPr>
          <w:lang w:val="pl-PL"/>
        </w:rPr>
        <w:t xml:space="preserve">w </w:t>
      </w:r>
      <w:r w:rsidR="00E95B67" w:rsidRPr="00FD65C9">
        <w:rPr>
          <w:lang w:val="pl-PL"/>
        </w:rPr>
        <w:t xml:space="preserve">pełni informował </w:t>
      </w:r>
      <w:r>
        <w:rPr>
          <w:lang w:val="pl-PL"/>
        </w:rPr>
        <w:t xml:space="preserve">Pana Sekretarza Generalnego </w:t>
      </w:r>
      <w:r w:rsidR="00E95B67" w:rsidRPr="00FD65C9">
        <w:rPr>
          <w:lang w:val="pl-PL"/>
        </w:rPr>
        <w:t xml:space="preserve">o </w:t>
      </w:r>
      <w:r w:rsidRPr="00FD65C9">
        <w:rPr>
          <w:lang w:val="pl-PL"/>
        </w:rPr>
        <w:t>pod</w:t>
      </w:r>
      <w:r>
        <w:rPr>
          <w:lang w:val="pl-PL"/>
        </w:rPr>
        <w:t>ejmowanych</w:t>
      </w:r>
      <w:r w:rsidRPr="00FD65C9">
        <w:rPr>
          <w:lang w:val="pl-PL"/>
        </w:rPr>
        <w:t xml:space="preserve"> </w:t>
      </w:r>
      <w:r w:rsidR="00E95B67" w:rsidRPr="00FD65C9">
        <w:rPr>
          <w:lang w:val="pl-PL"/>
        </w:rPr>
        <w:t>w tym celu</w:t>
      </w:r>
      <w:r>
        <w:rPr>
          <w:lang w:val="pl-PL"/>
        </w:rPr>
        <w:t xml:space="preserve"> środkach</w:t>
      </w:r>
      <w:r w:rsidR="00E95B67" w:rsidRPr="00FD65C9">
        <w:rPr>
          <w:lang w:val="pl-PL"/>
        </w:rPr>
        <w:t>. Rząd poinformuje Pana</w:t>
      </w:r>
      <w:r w:rsidR="00460EAB">
        <w:rPr>
          <w:lang w:val="pl-PL"/>
        </w:rPr>
        <w:t>,</w:t>
      </w:r>
      <w:r w:rsidR="00E95B67" w:rsidRPr="00FD65C9">
        <w:rPr>
          <w:lang w:val="pl-PL"/>
        </w:rPr>
        <w:t xml:space="preserve"> kiedy środki te przestaną obowiązywać.</w:t>
      </w:r>
    </w:p>
    <w:p w14:paraId="4211FB6C" w14:textId="77777777" w:rsidR="00E95B67" w:rsidRPr="00FD65C9" w:rsidRDefault="00E95B67" w:rsidP="00622760">
      <w:pPr>
        <w:pStyle w:val="ECHRParaQuote"/>
        <w:rPr>
          <w:lang w:val="pl-PL"/>
        </w:rPr>
      </w:pPr>
      <w:r w:rsidRPr="00FD65C9">
        <w:rPr>
          <w:lang w:val="pl-PL"/>
        </w:rPr>
        <w:t>[...]”</w:t>
      </w:r>
    </w:p>
    <w:p w14:paraId="46E74915" w14:textId="1B8BE669" w:rsidR="00E95B67" w:rsidRPr="00FD65C9" w:rsidRDefault="00E95B67" w:rsidP="00622760">
      <w:pPr>
        <w:pStyle w:val="ECHRTitle1"/>
        <w:rPr>
          <w:lang w:val="pl-PL"/>
        </w:rPr>
      </w:pPr>
      <w:r w:rsidRPr="00FD65C9">
        <w:rPr>
          <w:lang w:val="pl-PL"/>
        </w:rPr>
        <w:t>PRAW</w:t>
      </w:r>
      <w:r w:rsidR="00665310">
        <w:rPr>
          <w:lang w:val="pl-PL"/>
        </w:rPr>
        <w:t>O</w:t>
      </w:r>
    </w:p>
    <w:p w14:paraId="31EB8538" w14:textId="6112F959" w:rsidR="00E95B67" w:rsidRPr="00FD65C9" w:rsidRDefault="00E95B67" w:rsidP="00622760">
      <w:pPr>
        <w:pStyle w:val="ECHRHeading1"/>
        <w:rPr>
          <w:lang w:val="pl-PL"/>
        </w:rPr>
      </w:pPr>
      <w:r w:rsidRPr="00FD65C9">
        <w:rPr>
          <w:bCs w:val="0"/>
          <w:lang w:val="pl-PL"/>
        </w:rPr>
        <w:t>I.  </w:t>
      </w:r>
      <w:r w:rsidR="00665310">
        <w:rPr>
          <w:bCs w:val="0"/>
          <w:lang w:val="pl-PL"/>
        </w:rPr>
        <w:t>ZASTRZEŻENIE</w:t>
      </w:r>
      <w:r w:rsidR="00665310" w:rsidRPr="00FD65C9">
        <w:rPr>
          <w:bCs w:val="0"/>
          <w:lang w:val="pl-PL"/>
        </w:rPr>
        <w:t xml:space="preserve"> </w:t>
      </w:r>
      <w:r w:rsidRPr="00FD65C9">
        <w:rPr>
          <w:bCs w:val="0"/>
          <w:lang w:val="pl-PL"/>
        </w:rPr>
        <w:t>WSTĘPNE W SPRAWIE UCHYLENIA STOSOWANIA ZOBOWIĄZAŃ PRZEZ TURCJĘ</w:t>
      </w:r>
    </w:p>
    <w:p w14:paraId="33627FF9" w14:textId="77777777"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67</w:t>
      </w:r>
      <w:r w:rsidRPr="00FD65C9">
        <w:rPr>
          <w:lang w:val="pl-PL"/>
        </w:rPr>
        <w:fldChar w:fldCharType="end"/>
      </w:r>
      <w:r w:rsidR="00E95B67" w:rsidRPr="00FD65C9">
        <w:rPr>
          <w:lang w:val="pl-PL"/>
        </w:rPr>
        <w:t>.  Rząd pragnie przede wszystkim stwierdzić, że wszystkie zarzuty skarżącego powinny być rozpatrywane z uwzględnieniem uchylenia stosowania zobowiązań zgłoszonego w dniu 21 lipca 2016 r. Sekretarzowi Generalnemu Rady Europy na podstaw</w:t>
      </w:r>
      <w:r w:rsidR="008152F6" w:rsidRPr="00FD65C9">
        <w:rPr>
          <w:lang w:val="pl-PL"/>
        </w:rPr>
        <w:t>ie art. 15 Konwencji, zgodnie z </w:t>
      </w:r>
      <w:r w:rsidR="00E95B67" w:rsidRPr="00FD65C9">
        <w:rPr>
          <w:lang w:val="pl-PL"/>
        </w:rPr>
        <w:t>którą:</w:t>
      </w:r>
    </w:p>
    <w:p w14:paraId="64D449FF" w14:textId="35CAE05E" w:rsidR="00E95B67" w:rsidRPr="00FD65C9" w:rsidRDefault="00E95B67" w:rsidP="00622760">
      <w:pPr>
        <w:pStyle w:val="ECHRParaQuote"/>
        <w:rPr>
          <w:lang w:val="pl-PL"/>
        </w:rPr>
      </w:pPr>
      <w:r w:rsidRPr="00FD65C9">
        <w:rPr>
          <w:lang w:val="pl-PL"/>
        </w:rPr>
        <w:t>„1.  W przypadku wojny lub innego niebezpieczeństwa publicznego zagrażającego życiu narodu, każda z Wysokich Układających się Stron może podjąć środki uchylające stosowanie zobowiązań wynikających z niniejszej Konwencji w zakresie ściśle odpowiadającym wymogom sytuacji, pod warunkiem, że środki te nie są sprzeczne z innymi zobowiązaniami wynikającymi z prawa międzynarodowego.</w:t>
      </w:r>
    </w:p>
    <w:p w14:paraId="3F27B3F9" w14:textId="0A8EF70B" w:rsidR="00E95B67" w:rsidRPr="00FD65C9" w:rsidRDefault="00E95B67" w:rsidP="00622760">
      <w:pPr>
        <w:pStyle w:val="ECHRParaQuote"/>
        <w:rPr>
          <w:lang w:val="pl-PL"/>
        </w:rPr>
      </w:pPr>
      <w:r w:rsidRPr="00FD65C9">
        <w:rPr>
          <w:lang w:val="pl-PL"/>
        </w:rPr>
        <w:t>2.  Na podstawie powyższego przepisu nie można uchylić zobowiązań wynikających z artykułu 2, z wyjątkiem przypadków śmierci będących wynikiem zgodnych z prawem działań wojennych</w:t>
      </w:r>
      <w:r w:rsidR="00460EAB">
        <w:rPr>
          <w:lang w:val="pl-PL"/>
        </w:rPr>
        <w:t>,</w:t>
      </w:r>
      <w:r w:rsidRPr="00FD65C9">
        <w:rPr>
          <w:lang w:val="pl-PL"/>
        </w:rPr>
        <w:t xml:space="preserve"> oraz z</w:t>
      </w:r>
      <w:r w:rsidR="008152F6" w:rsidRPr="00FD65C9">
        <w:rPr>
          <w:lang w:val="pl-PL"/>
        </w:rPr>
        <w:t xml:space="preserve">obowiązań zawartych w </w:t>
      </w:r>
      <w:r w:rsidR="00460EAB">
        <w:rPr>
          <w:lang w:val="pl-PL"/>
        </w:rPr>
        <w:t>art</w:t>
      </w:r>
      <w:r w:rsidR="00C12FA0">
        <w:rPr>
          <w:lang w:val="pl-PL"/>
        </w:rPr>
        <w:t>ykułach</w:t>
      </w:r>
      <w:r w:rsidR="008152F6" w:rsidRPr="00FD65C9">
        <w:rPr>
          <w:lang w:val="pl-PL"/>
        </w:rPr>
        <w:t xml:space="preserve"> 3, 4 (ustęp </w:t>
      </w:r>
      <w:r w:rsidRPr="00FD65C9">
        <w:rPr>
          <w:lang w:val="pl-PL"/>
        </w:rPr>
        <w:t>1) i 7.</w:t>
      </w:r>
    </w:p>
    <w:p w14:paraId="7130265B" w14:textId="2DED113D" w:rsidR="00E95B67" w:rsidRPr="00FD65C9" w:rsidRDefault="00E95B67" w:rsidP="00622760">
      <w:pPr>
        <w:pStyle w:val="ECHRParaQuote"/>
        <w:rPr>
          <w:lang w:val="pl-PL"/>
        </w:rPr>
      </w:pPr>
      <w:r w:rsidRPr="00FD65C9">
        <w:rPr>
          <w:lang w:val="pl-PL"/>
        </w:rPr>
        <w:t>3.  Każda z Wysokich Układających się Stron korzystając z prawa do uchylenia zobowiązań poinformuje wyczerpująco Sekre</w:t>
      </w:r>
      <w:r w:rsidR="008152F6" w:rsidRPr="00FD65C9">
        <w:rPr>
          <w:lang w:val="pl-PL"/>
        </w:rPr>
        <w:t>tarza Generalnego Rady Europy o </w:t>
      </w:r>
      <w:r w:rsidRPr="00FD65C9">
        <w:rPr>
          <w:lang w:val="pl-PL"/>
        </w:rPr>
        <w:t>środkach, które podjęła oraz powodach ich zastosowania. Informować będzie również Sekretarza Generalnego Rady Europy, kiedy podjęte środki przestaną działać, a przepisy Konwencji będą ponownie w pełni stosowane”.</w:t>
      </w:r>
    </w:p>
    <w:p w14:paraId="5F3C5529" w14:textId="77777777" w:rsidR="00E95B67" w:rsidRPr="00FD65C9" w:rsidRDefault="00E95B67" w:rsidP="00622760">
      <w:pPr>
        <w:pStyle w:val="ECHRHeading2"/>
        <w:rPr>
          <w:lang w:val="pl-PL"/>
        </w:rPr>
      </w:pPr>
      <w:r w:rsidRPr="00FD65C9">
        <w:rPr>
          <w:lang w:val="pl-PL"/>
        </w:rPr>
        <w:t>A. Argumenty stron</w:t>
      </w:r>
    </w:p>
    <w:p w14:paraId="289BF983" w14:textId="274A7DDB"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68</w:t>
      </w:r>
      <w:r w:rsidRPr="00FD65C9">
        <w:rPr>
          <w:lang w:val="pl-PL"/>
        </w:rPr>
        <w:fldChar w:fldCharType="end"/>
      </w:r>
      <w:r w:rsidR="00E95B67" w:rsidRPr="00FD65C9">
        <w:rPr>
          <w:lang w:val="pl-PL"/>
        </w:rPr>
        <w:t>.  Rząd uznał, że po skorzystaniu z prawa do uchylenia stosowania zobowiązań Konwencji Turcja nie naruszyła jej postanowień. W tym kontekście stwierdził, że istni</w:t>
      </w:r>
      <w:r w:rsidR="00C12FA0">
        <w:rPr>
          <w:lang w:val="pl-PL"/>
        </w:rPr>
        <w:t>ało</w:t>
      </w:r>
      <w:r w:rsidR="00E95B67" w:rsidRPr="00FD65C9">
        <w:rPr>
          <w:lang w:val="pl-PL"/>
        </w:rPr>
        <w:t xml:space="preserve"> niebezpieczeństwo publiczne zagrażające życiu narodu ze względu na ryzyko związane z próbą wojskowego zamachu stanu i że sytuacja ściśle wymagała środków podjętych przez władze krajowe w odpowiedzi na to niebezpieczeństwo.</w:t>
      </w:r>
    </w:p>
    <w:p w14:paraId="02BFD47C" w14:textId="097D6AFC"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69</w:t>
      </w:r>
      <w:r w:rsidRPr="00FD65C9">
        <w:rPr>
          <w:lang w:val="pl-PL"/>
        </w:rPr>
        <w:fldChar w:fldCharType="end"/>
      </w:r>
      <w:r w:rsidR="00E95B67" w:rsidRPr="00FD65C9">
        <w:rPr>
          <w:lang w:val="pl-PL"/>
        </w:rPr>
        <w:t xml:space="preserve">.  Rząd w szczególności twierdził, że zastosowanie </w:t>
      </w:r>
      <w:r w:rsidR="00B9694A" w:rsidRPr="00FD65C9">
        <w:rPr>
          <w:lang w:val="pl-PL"/>
        </w:rPr>
        <w:t>środk</w:t>
      </w:r>
      <w:r w:rsidR="00B9694A">
        <w:rPr>
          <w:lang w:val="pl-PL"/>
        </w:rPr>
        <w:t>a</w:t>
      </w:r>
      <w:r w:rsidR="00B9694A" w:rsidRPr="00FD65C9">
        <w:rPr>
          <w:lang w:val="pl-PL"/>
        </w:rPr>
        <w:t xml:space="preserve"> </w:t>
      </w:r>
      <w:r w:rsidR="00B9694A">
        <w:rPr>
          <w:lang w:val="pl-PL"/>
        </w:rPr>
        <w:t xml:space="preserve">w postaci </w:t>
      </w:r>
      <w:r w:rsidR="00E95B67" w:rsidRPr="00FD65C9">
        <w:rPr>
          <w:lang w:val="pl-PL"/>
        </w:rPr>
        <w:t xml:space="preserve">tymczasowego aresztowania było nieuniknione w </w:t>
      </w:r>
      <w:r w:rsidR="00B9694A">
        <w:rPr>
          <w:lang w:val="pl-PL"/>
        </w:rPr>
        <w:t>danych</w:t>
      </w:r>
      <w:r w:rsidR="00B9694A" w:rsidRPr="00FD65C9">
        <w:rPr>
          <w:lang w:val="pl-PL"/>
        </w:rPr>
        <w:t xml:space="preserve"> </w:t>
      </w:r>
      <w:r w:rsidR="00E95B67" w:rsidRPr="00FD65C9">
        <w:rPr>
          <w:lang w:val="pl-PL"/>
        </w:rPr>
        <w:t xml:space="preserve">okolicznościach, z uwagi na to, że środki alternatywne dla </w:t>
      </w:r>
      <w:r w:rsidR="00B9694A">
        <w:rPr>
          <w:lang w:val="pl-PL"/>
        </w:rPr>
        <w:t>tymczasowego aresztowania</w:t>
      </w:r>
      <w:r w:rsidR="00B9694A" w:rsidRPr="00FD65C9">
        <w:rPr>
          <w:lang w:val="pl-PL"/>
        </w:rPr>
        <w:t xml:space="preserve"> </w:t>
      </w:r>
      <w:r w:rsidR="00E95B67" w:rsidRPr="00FD65C9">
        <w:rPr>
          <w:lang w:val="pl-PL"/>
        </w:rPr>
        <w:t>były w sposób oczywisty nieodpowiednie. W opinii Rządu wiele osób podejrzewanych o przynależnoś</w:t>
      </w:r>
      <w:r w:rsidR="008152F6" w:rsidRPr="00FD65C9">
        <w:rPr>
          <w:lang w:val="pl-PL"/>
        </w:rPr>
        <w:t>ć do organizacji FETÖ/PDY lub o </w:t>
      </w:r>
      <w:r w:rsidR="00E95B67" w:rsidRPr="00FD65C9">
        <w:rPr>
          <w:lang w:val="pl-PL"/>
        </w:rPr>
        <w:t xml:space="preserve">udzielanie pomocy i wsparcia tej organizacji uciekło, </w:t>
      </w:r>
      <w:r w:rsidR="00C12FA0">
        <w:rPr>
          <w:lang w:val="pl-PL"/>
        </w:rPr>
        <w:t>choć</w:t>
      </w:r>
      <w:r w:rsidR="00E95B67" w:rsidRPr="00FD65C9">
        <w:rPr>
          <w:lang w:val="pl-PL"/>
        </w:rPr>
        <w:t xml:space="preserve"> nałożono na nie zakaz opuszczania kraju. Dlatego też, w opinii </w:t>
      </w:r>
      <w:r w:rsidR="00B9694A">
        <w:rPr>
          <w:lang w:val="pl-PL"/>
        </w:rPr>
        <w:t>R</w:t>
      </w:r>
      <w:r w:rsidR="00E95B67" w:rsidRPr="00FD65C9">
        <w:rPr>
          <w:lang w:val="pl-PL"/>
        </w:rPr>
        <w:t xml:space="preserve">ządu, po próbie zamachu stanu, </w:t>
      </w:r>
      <w:r w:rsidR="00B9694A">
        <w:rPr>
          <w:lang w:val="pl-PL"/>
        </w:rPr>
        <w:t xml:space="preserve">zastosowanie wobec </w:t>
      </w:r>
      <w:r w:rsidR="00E95B67" w:rsidRPr="00FD65C9">
        <w:rPr>
          <w:lang w:val="pl-PL"/>
        </w:rPr>
        <w:t>tyc</w:t>
      </w:r>
      <w:r w:rsidR="008152F6" w:rsidRPr="00FD65C9">
        <w:rPr>
          <w:lang w:val="pl-PL"/>
        </w:rPr>
        <w:t xml:space="preserve">h osób </w:t>
      </w:r>
      <w:r w:rsidR="00B9694A">
        <w:rPr>
          <w:lang w:val="pl-PL"/>
        </w:rPr>
        <w:t xml:space="preserve">tymczasowego aresztowania </w:t>
      </w:r>
      <w:r w:rsidR="008152F6" w:rsidRPr="00FD65C9">
        <w:rPr>
          <w:lang w:val="pl-PL"/>
        </w:rPr>
        <w:t>było jedynym właściwym i </w:t>
      </w:r>
      <w:r w:rsidR="00E95B67" w:rsidRPr="00FD65C9">
        <w:rPr>
          <w:lang w:val="pl-PL"/>
        </w:rPr>
        <w:t>proporcjonalnym wyborem.</w:t>
      </w:r>
    </w:p>
    <w:p w14:paraId="14474DE0" w14:textId="77777777"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70</w:t>
      </w:r>
      <w:r w:rsidRPr="00FD65C9">
        <w:rPr>
          <w:lang w:val="pl-PL"/>
        </w:rPr>
        <w:fldChar w:fldCharType="end"/>
      </w:r>
      <w:r w:rsidR="00E95B67" w:rsidRPr="00FD65C9">
        <w:rPr>
          <w:lang w:val="pl-PL"/>
        </w:rPr>
        <w:t>.  Skarżący odpowiedział, że art. 15 Konwencji zezwala na uchylenie stosowania zobowiązań Konwencji jedynie „w zakresie ściśle  odpowiadającym wymogom sytuacji” i że w związku z tym konieczne jest stwierdzenie naruszenia art. 5 Konwencji.</w:t>
      </w:r>
    </w:p>
    <w:p w14:paraId="0E834008" w14:textId="77777777" w:rsidR="00E95B67" w:rsidRPr="00FD65C9" w:rsidRDefault="00E95B67" w:rsidP="00622760">
      <w:pPr>
        <w:pStyle w:val="ECHRHeading2"/>
        <w:rPr>
          <w:lang w:val="pl-PL"/>
        </w:rPr>
      </w:pPr>
      <w:r w:rsidRPr="00FD65C9">
        <w:rPr>
          <w:lang w:val="pl-PL"/>
        </w:rPr>
        <w:t>B. Ocena Trybunału</w:t>
      </w:r>
    </w:p>
    <w:p w14:paraId="5C3C191E" w14:textId="6FD8ACD5" w:rsidR="00675E41" w:rsidRPr="00FD65C9" w:rsidRDefault="00DA7597" w:rsidP="00622760">
      <w:pPr>
        <w:pStyle w:val="ECHRPara"/>
        <w:rPr>
          <w:rFonts w:eastAsia="Times New Roman"/>
          <w:lang w:val="pl-PL"/>
        </w:rPr>
      </w:pPr>
      <w:r w:rsidRPr="00FD65C9">
        <w:rPr>
          <w:rFonts w:eastAsia="Times New Roman"/>
          <w:lang w:val="pl-PL"/>
        </w:rPr>
        <w:fldChar w:fldCharType="begin"/>
      </w:r>
      <w:r w:rsidR="00E95B67" w:rsidRPr="00FD65C9">
        <w:rPr>
          <w:rFonts w:eastAsia="Times New Roman"/>
          <w:lang w:val="pl-PL"/>
        </w:rPr>
        <w:instrText xml:space="preserve"> SEQ level0 \*arabic </w:instrText>
      </w:r>
      <w:r w:rsidRPr="00FD65C9">
        <w:rPr>
          <w:rFonts w:eastAsia="Times New Roman"/>
          <w:lang w:val="pl-PL"/>
        </w:rPr>
        <w:fldChar w:fldCharType="separate"/>
      </w:r>
      <w:r w:rsidR="00E95B67" w:rsidRPr="00FD65C9">
        <w:rPr>
          <w:rFonts w:eastAsia="Times New Roman"/>
          <w:noProof/>
          <w:lang w:val="pl-PL"/>
        </w:rPr>
        <w:t>71</w:t>
      </w:r>
      <w:r w:rsidRPr="00FD65C9">
        <w:rPr>
          <w:rFonts w:eastAsia="Times New Roman"/>
          <w:lang w:val="pl-PL"/>
        </w:rPr>
        <w:fldChar w:fldCharType="end"/>
      </w:r>
      <w:r w:rsidR="00E95B67" w:rsidRPr="00FD65C9">
        <w:rPr>
          <w:rFonts w:eastAsia="Times New Roman"/>
          <w:lang w:val="pl-PL"/>
        </w:rPr>
        <w:t xml:space="preserve">.  Trybunał uważa, że </w:t>
      </w:r>
      <w:r w:rsidR="00DC78CE">
        <w:rPr>
          <w:rFonts w:eastAsia="Times New Roman"/>
          <w:lang w:val="pl-PL"/>
        </w:rPr>
        <w:t>powstaje</w:t>
      </w:r>
      <w:r w:rsidR="00E95B67" w:rsidRPr="00FD65C9">
        <w:rPr>
          <w:rFonts w:eastAsia="Times New Roman"/>
          <w:lang w:val="pl-PL"/>
        </w:rPr>
        <w:t xml:space="preserve"> pytanie, czy warunki określone w art. 15 Konwencji dla skorzystania z wyjątkowego prawa do uchylenia stosowania zobowiązań zostały spełnione w niniejszej sprawie.</w:t>
      </w:r>
    </w:p>
    <w:p w14:paraId="089C862B" w14:textId="4E83212D" w:rsidR="00675E41" w:rsidRPr="00FD65C9" w:rsidRDefault="00DA7597" w:rsidP="00622760">
      <w:pPr>
        <w:pStyle w:val="ECHRPara"/>
        <w:rPr>
          <w:rFonts w:eastAsia="Times New Roman"/>
          <w:lang w:val="pl-PL"/>
        </w:rPr>
      </w:pPr>
      <w:r w:rsidRPr="00FD65C9">
        <w:rPr>
          <w:rFonts w:eastAsia="Times New Roman"/>
          <w:lang w:val="pl-PL"/>
        </w:rPr>
        <w:fldChar w:fldCharType="begin"/>
      </w:r>
      <w:r w:rsidR="00E95B67" w:rsidRPr="00FD65C9">
        <w:rPr>
          <w:rFonts w:eastAsia="Times New Roman"/>
          <w:lang w:val="pl-PL"/>
        </w:rPr>
        <w:instrText xml:space="preserve"> SEQ level0 \*arabic </w:instrText>
      </w:r>
      <w:r w:rsidRPr="00FD65C9">
        <w:rPr>
          <w:rFonts w:eastAsia="Times New Roman"/>
          <w:lang w:val="pl-PL"/>
        </w:rPr>
        <w:fldChar w:fldCharType="separate"/>
      </w:r>
      <w:r w:rsidR="00E95B67" w:rsidRPr="00FD65C9">
        <w:rPr>
          <w:rFonts w:eastAsia="Times New Roman"/>
          <w:noProof/>
          <w:lang w:val="pl-PL"/>
        </w:rPr>
        <w:t>72</w:t>
      </w:r>
      <w:r w:rsidRPr="00FD65C9">
        <w:rPr>
          <w:rFonts w:eastAsia="Times New Roman"/>
          <w:lang w:val="pl-PL"/>
        </w:rPr>
        <w:fldChar w:fldCharType="end"/>
      </w:r>
      <w:r w:rsidR="00E95B67" w:rsidRPr="00FD65C9">
        <w:rPr>
          <w:rFonts w:eastAsia="Times New Roman"/>
          <w:lang w:val="pl-PL"/>
        </w:rPr>
        <w:t xml:space="preserve">.  W związku z tym Trybunał </w:t>
      </w:r>
      <w:r w:rsidR="008152F6" w:rsidRPr="00FD65C9">
        <w:rPr>
          <w:rFonts w:eastAsia="Times New Roman"/>
          <w:lang w:val="pl-PL"/>
        </w:rPr>
        <w:t>zauważ</w:t>
      </w:r>
      <w:r w:rsidR="00C12FA0">
        <w:rPr>
          <w:rFonts w:eastAsia="Times New Roman"/>
          <w:lang w:val="pl-PL"/>
        </w:rPr>
        <w:t>a</w:t>
      </w:r>
      <w:r w:rsidR="008152F6" w:rsidRPr="00FD65C9">
        <w:rPr>
          <w:rFonts w:eastAsia="Times New Roman"/>
          <w:lang w:val="pl-PL"/>
        </w:rPr>
        <w:t xml:space="preserve"> przede wszystkim, że w </w:t>
      </w:r>
      <w:r w:rsidR="00E95B67" w:rsidRPr="00FD65C9">
        <w:rPr>
          <w:rFonts w:eastAsia="Times New Roman"/>
          <w:lang w:val="pl-PL"/>
        </w:rPr>
        <w:t>powiadomieniu o uchyleniu stosow</w:t>
      </w:r>
      <w:r w:rsidR="008152F6" w:rsidRPr="00FD65C9">
        <w:rPr>
          <w:rFonts w:eastAsia="Times New Roman"/>
          <w:lang w:val="pl-PL"/>
        </w:rPr>
        <w:t>ania zobowiązań przez Turcję, w </w:t>
      </w:r>
      <w:r w:rsidR="00E95B67" w:rsidRPr="00FD65C9">
        <w:rPr>
          <w:rFonts w:eastAsia="Times New Roman"/>
          <w:lang w:val="pl-PL"/>
        </w:rPr>
        <w:t>którym stwierdzono, że stan wyjątkowy został ogłoszony w odpowiedzi na zagrożenie życia narodu wynikające z poważnych niebezpieczeństw związanych z próbą wojskowego zamachu stanu i innymi aktami terrorystycznymi, nie wymieniono wprost, które artykuły Konwencji będą objęte odstępstwem. W powiadomieniu stwierdza się jedynie, że „podjęte środki mogą obejmować uchylenie stosowania zobowiąz</w:t>
      </w:r>
      <w:r w:rsidR="008152F6" w:rsidRPr="00FD65C9">
        <w:rPr>
          <w:rFonts w:eastAsia="Times New Roman"/>
          <w:lang w:val="pl-PL"/>
        </w:rPr>
        <w:t>ań wynikających z </w:t>
      </w:r>
      <w:r w:rsidR="00E95B67" w:rsidRPr="00FD65C9">
        <w:rPr>
          <w:rFonts w:eastAsia="Times New Roman"/>
          <w:lang w:val="pl-PL"/>
        </w:rPr>
        <w:t xml:space="preserve">Konwencji”. </w:t>
      </w:r>
    </w:p>
    <w:p w14:paraId="77D3D32B" w14:textId="5371DA03" w:rsidR="00E95B67" w:rsidRPr="00FD65C9" w:rsidRDefault="00DA7597" w:rsidP="00622760">
      <w:pPr>
        <w:pStyle w:val="ECHRPara"/>
        <w:rPr>
          <w:rFonts w:eastAsia="Times New Roman"/>
          <w:lang w:val="pl-PL"/>
        </w:rPr>
      </w:pPr>
      <w:r w:rsidRPr="00FD65C9">
        <w:rPr>
          <w:rFonts w:eastAsia="Times New Roman"/>
          <w:lang w:val="pl-PL"/>
        </w:rPr>
        <w:fldChar w:fldCharType="begin"/>
      </w:r>
      <w:r w:rsidR="00E95B67" w:rsidRPr="00FD65C9">
        <w:rPr>
          <w:rFonts w:eastAsia="Times New Roman"/>
          <w:lang w:val="pl-PL"/>
        </w:rPr>
        <w:instrText xml:space="preserve"> SEQ level0 \*arabic </w:instrText>
      </w:r>
      <w:r w:rsidRPr="00FD65C9">
        <w:rPr>
          <w:rFonts w:eastAsia="Times New Roman"/>
          <w:lang w:val="pl-PL"/>
        </w:rPr>
        <w:fldChar w:fldCharType="separate"/>
      </w:r>
      <w:r w:rsidR="00E95B67" w:rsidRPr="00FD65C9">
        <w:rPr>
          <w:rFonts w:eastAsia="Times New Roman"/>
          <w:noProof/>
          <w:lang w:val="pl-PL"/>
        </w:rPr>
        <w:t>73</w:t>
      </w:r>
      <w:r w:rsidRPr="00FD65C9">
        <w:rPr>
          <w:rFonts w:eastAsia="Times New Roman"/>
          <w:lang w:val="pl-PL"/>
        </w:rPr>
        <w:fldChar w:fldCharType="end"/>
      </w:r>
      <w:r w:rsidR="00E95B67" w:rsidRPr="00FD65C9">
        <w:rPr>
          <w:rFonts w:eastAsia="Times New Roman"/>
          <w:lang w:val="pl-PL"/>
        </w:rPr>
        <w:t>.  Trybunał zauważa jednak, że skarżący nie zakwestionował, iż powiadomienie przez Turcję o uchyleniu stosowania zobowiązań spełnia wymóg art. 15 ust. 3 Konwencji. Po</w:t>
      </w:r>
      <w:r w:rsidR="008152F6" w:rsidRPr="00FD65C9">
        <w:rPr>
          <w:rFonts w:eastAsia="Times New Roman"/>
          <w:lang w:val="pl-PL"/>
        </w:rPr>
        <w:t>nadto Trybunał przypomina, że w </w:t>
      </w:r>
      <w:r w:rsidR="00E95B67" w:rsidRPr="00FD65C9">
        <w:rPr>
          <w:rFonts w:eastAsia="Times New Roman"/>
          <w:lang w:val="pl-PL"/>
        </w:rPr>
        <w:t xml:space="preserve">wyroku w sprawie </w:t>
      </w:r>
      <w:proofErr w:type="spellStart"/>
      <w:r w:rsidR="00E95B67" w:rsidRPr="00FD65C9">
        <w:rPr>
          <w:rFonts w:eastAsia="Times New Roman"/>
          <w:i/>
          <w:iCs/>
          <w:lang w:val="pl-PL"/>
        </w:rPr>
        <w:t>Mehmet</w:t>
      </w:r>
      <w:proofErr w:type="spellEnd"/>
      <w:r w:rsidR="00E95B67" w:rsidRPr="00FD65C9">
        <w:rPr>
          <w:rFonts w:eastAsia="Times New Roman"/>
          <w:i/>
          <w:iCs/>
          <w:lang w:val="pl-PL"/>
        </w:rPr>
        <w:t xml:space="preserve"> </w:t>
      </w:r>
      <w:proofErr w:type="spellStart"/>
      <w:r w:rsidR="00E95B67" w:rsidRPr="00FD65C9">
        <w:rPr>
          <w:rFonts w:eastAsia="Times New Roman"/>
          <w:i/>
          <w:iCs/>
          <w:lang w:val="pl-PL"/>
        </w:rPr>
        <w:t>Hasan</w:t>
      </w:r>
      <w:proofErr w:type="spellEnd"/>
      <w:r w:rsidR="00E95B67" w:rsidRPr="00FD65C9">
        <w:rPr>
          <w:rFonts w:eastAsia="Times New Roman"/>
          <w:i/>
          <w:iCs/>
          <w:lang w:val="pl-PL"/>
        </w:rPr>
        <w:t xml:space="preserve"> Altan</w:t>
      </w:r>
      <w:r w:rsidR="00E95B67" w:rsidRPr="00FD65C9">
        <w:rPr>
          <w:rFonts w:eastAsia="Times New Roman"/>
          <w:lang w:val="pl-PL"/>
        </w:rPr>
        <w:t xml:space="preserve"> (nr 13237/17, § 93, 20 marca 2018 r.) zauważył, w świetle rozważań </w:t>
      </w:r>
      <w:r w:rsidR="00CD0BBD">
        <w:rPr>
          <w:rFonts w:eastAsia="Times New Roman"/>
          <w:lang w:val="pl-PL"/>
        </w:rPr>
        <w:t>TK</w:t>
      </w:r>
      <w:r w:rsidR="00E95B67" w:rsidRPr="00FD65C9">
        <w:rPr>
          <w:rFonts w:eastAsia="Times New Roman"/>
          <w:lang w:val="pl-PL"/>
        </w:rPr>
        <w:t xml:space="preserve"> w tej sprawie i wszystkich </w:t>
      </w:r>
      <w:r w:rsidR="00DC78CE">
        <w:rPr>
          <w:rFonts w:eastAsia="Times New Roman"/>
          <w:lang w:val="pl-PL"/>
        </w:rPr>
        <w:t xml:space="preserve">posiadanych </w:t>
      </w:r>
      <w:r w:rsidR="00E95B67" w:rsidRPr="00FD65C9">
        <w:rPr>
          <w:rFonts w:eastAsia="Times New Roman"/>
          <w:lang w:val="pl-PL"/>
        </w:rPr>
        <w:t>dowodów, że próba wojskowego zamachu stanu ujawniła istnienie „niebezpieczeństwa publicznego zagrażającego życiu n</w:t>
      </w:r>
      <w:r w:rsidR="008152F6" w:rsidRPr="00FD65C9">
        <w:rPr>
          <w:rFonts w:eastAsia="Times New Roman"/>
          <w:lang w:val="pl-PL"/>
        </w:rPr>
        <w:t>arodu” w </w:t>
      </w:r>
      <w:r w:rsidR="00E95B67" w:rsidRPr="00FD65C9">
        <w:rPr>
          <w:rFonts w:eastAsia="Times New Roman"/>
          <w:lang w:val="pl-PL"/>
        </w:rPr>
        <w:t xml:space="preserve">rozumieniu Konwencji. Ponadto zwraca uwagę na stanowisko </w:t>
      </w:r>
      <w:r w:rsidR="00CD0BBD">
        <w:rPr>
          <w:rFonts w:eastAsia="Times New Roman"/>
          <w:lang w:val="pl-PL"/>
        </w:rPr>
        <w:t>TK</w:t>
      </w:r>
      <w:r w:rsidR="00E95B67" w:rsidRPr="00FD65C9">
        <w:rPr>
          <w:rFonts w:eastAsia="Times New Roman"/>
          <w:lang w:val="pl-PL"/>
        </w:rPr>
        <w:t xml:space="preserve">, który w wyroku z </w:t>
      </w:r>
      <w:r w:rsidR="00DC78CE">
        <w:rPr>
          <w:rFonts w:eastAsia="Times New Roman"/>
          <w:lang w:val="pl-PL"/>
        </w:rPr>
        <w:t xml:space="preserve">dnia </w:t>
      </w:r>
      <w:r w:rsidR="00E95B67" w:rsidRPr="00FD65C9">
        <w:rPr>
          <w:rFonts w:eastAsia="Times New Roman"/>
          <w:lang w:val="pl-PL"/>
        </w:rPr>
        <w:t xml:space="preserve">11 stycznia 2018 r. uznał, że wniesiona przez skarżącego </w:t>
      </w:r>
      <w:r w:rsidR="00DC78CE">
        <w:rPr>
          <w:rFonts w:eastAsia="Times New Roman"/>
          <w:lang w:val="pl-PL"/>
        </w:rPr>
        <w:t xml:space="preserve">sprawa </w:t>
      </w:r>
      <w:r w:rsidR="00E95B67" w:rsidRPr="00FD65C9">
        <w:rPr>
          <w:rFonts w:eastAsia="Times New Roman"/>
          <w:lang w:val="pl-PL"/>
        </w:rPr>
        <w:t>powinna być rozpatrywana w świetle art. 15 Konstytucji, zgodnie z którym w stanie wyjątkowym wykonywanie podstawowych praw i wolności może zostać częściowo lub całkowicie zawieszone lub mogą zostać przyjęte środki sprzeczne</w:t>
      </w:r>
      <w:r w:rsidR="008152F6" w:rsidRPr="00FD65C9">
        <w:rPr>
          <w:rFonts w:eastAsia="Times New Roman"/>
          <w:lang w:val="pl-PL"/>
        </w:rPr>
        <w:t xml:space="preserve"> z gwarancjami przewidzianymi w </w:t>
      </w:r>
      <w:r w:rsidR="00E95B67" w:rsidRPr="00FD65C9">
        <w:rPr>
          <w:rFonts w:eastAsia="Times New Roman"/>
          <w:lang w:val="pl-PL"/>
        </w:rPr>
        <w:t>Konstytucji (paragraf 41 powyżej).</w:t>
      </w:r>
    </w:p>
    <w:p w14:paraId="145917A1" w14:textId="6A9AE498" w:rsidR="00675E41" w:rsidRPr="00FD65C9" w:rsidRDefault="00DA7597" w:rsidP="00622760">
      <w:pPr>
        <w:pStyle w:val="ECHRPara"/>
        <w:rPr>
          <w:rFonts w:eastAsia="Times New Roman"/>
          <w:lang w:val="pl-PL"/>
        </w:rPr>
      </w:pPr>
      <w:r w:rsidRPr="00FD65C9">
        <w:rPr>
          <w:rFonts w:eastAsia="Times New Roman"/>
          <w:lang w:val="pl-PL"/>
        </w:rPr>
        <w:fldChar w:fldCharType="begin"/>
      </w:r>
      <w:r w:rsidR="00E95B67" w:rsidRPr="00FD65C9">
        <w:rPr>
          <w:rFonts w:eastAsia="Times New Roman"/>
          <w:lang w:val="pl-PL"/>
        </w:rPr>
        <w:instrText xml:space="preserve"> SEQ level0 \*arabic </w:instrText>
      </w:r>
      <w:r w:rsidRPr="00FD65C9">
        <w:rPr>
          <w:rFonts w:eastAsia="Times New Roman"/>
          <w:lang w:val="pl-PL"/>
        </w:rPr>
        <w:fldChar w:fldCharType="separate"/>
      </w:r>
      <w:r w:rsidR="00E95B67" w:rsidRPr="00FD65C9">
        <w:rPr>
          <w:rFonts w:eastAsia="Times New Roman"/>
          <w:noProof/>
          <w:lang w:val="pl-PL"/>
        </w:rPr>
        <w:t>74</w:t>
      </w:r>
      <w:r w:rsidRPr="00FD65C9">
        <w:rPr>
          <w:rFonts w:eastAsia="Times New Roman"/>
          <w:lang w:val="pl-PL"/>
        </w:rPr>
        <w:fldChar w:fldCharType="end"/>
      </w:r>
      <w:r w:rsidR="00E95B67" w:rsidRPr="00FD65C9">
        <w:rPr>
          <w:rFonts w:eastAsia="Times New Roman"/>
          <w:lang w:val="pl-PL"/>
        </w:rPr>
        <w:t xml:space="preserve">.  W świetle powyższego Trybunał jest </w:t>
      </w:r>
      <w:r w:rsidR="00DC78CE">
        <w:rPr>
          <w:rFonts w:eastAsia="Times New Roman"/>
          <w:lang w:val="pl-PL"/>
        </w:rPr>
        <w:t>skłonny</w:t>
      </w:r>
      <w:r w:rsidR="00DC78CE" w:rsidRPr="00FD65C9">
        <w:rPr>
          <w:rFonts w:eastAsia="Times New Roman"/>
          <w:lang w:val="pl-PL"/>
        </w:rPr>
        <w:t xml:space="preserve"> </w:t>
      </w:r>
      <w:r w:rsidR="00E95B67" w:rsidRPr="00FD65C9">
        <w:rPr>
          <w:rFonts w:eastAsia="Times New Roman"/>
          <w:lang w:val="pl-PL"/>
        </w:rPr>
        <w:t>uznać, że formalny warunek uchylenia stosowania zobowiązań został spełniony i przyjmuje, że istniało niebezpieczeństwo publiczne zagrażające życiu narodu (</w:t>
      </w:r>
      <w:proofErr w:type="spellStart"/>
      <w:r w:rsidR="00E95B67" w:rsidRPr="00FD65C9">
        <w:rPr>
          <w:rFonts w:eastAsia="Times New Roman"/>
          <w:i/>
          <w:iCs/>
          <w:lang w:val="pl-PL"/>
        </w:rPr>
        <w:t>Mehmet</w:t>
      </w:r>
      <w:proofErr w:type="spellEnd"/>
      <w:r w:rsidR="00E95B67" w:rsidRPr="00FD65C9">
        <w:rPr>
          <w:rFonts w:eastAsia="Times New Roman"/>
          <w:i/>
          <w:iCs/>
          <w:lang w:val="pl-PL"/>
        </w:rPr>
        <w:t xml:space="preserve"> </w:t>
      </w:r>
      <w:proofErr w:type="spellStart"/>
      <w:r w:rsidR="00E95B67" w:rsidRPr="00FD65C9">
        <w:rPr>
          <w:rFonts w:eastAsia="Times New Roman"/>
          <w:i/>
          <w:iCs/>
          <w:lang w:val="pl-PL"/>
        </w:rPr>
        <w:t>Hasan</w:t>
      </w:r>
      <w:proofErr w:type="spellEnd"/>
      <w:r w:rsidR="00E95B67" w:rsidRPr="00FD65C9">
        <w:rPr>
          <w:rFonts w:eastAsia="Times New Roman"/>
          <w:i/>
          <w:iCs/>
          <w:lang w:val="pl-PL"/>
        </w:rPr>
        <w:t xml:space="preserve"> Altan</w:t>
      </w:r>
      <w:r w:rsidR="00E95B67" w:rsidRPr="00FD65C9">
        <w:rPr>
          <w:rFonts w:eastAsia="Times New Roman"/>
          <w:lang w:val="pl-PL"/>
        </w:rPr>
        <w:t xml:space="preserve">, cyt. powyżej, § 89). W odniesieniu do zakresu </w:t>
      </w:r>
      <w:proofErr w:type="spellStart"/>
      <w:r w:rsidR="00E95B67" w:rsidRPr="00FD65C9">
        <w:rPr>
          <w:rFonts w:eastAsia="Times New Roman"/>
          <w:i/>
          <w:iCs/>
          <w:lang w:val="pl-PL"/>
        </w:rPr>
        <w:t>ratione</w:t>
      </w:r>
      <w:proofErr w:type="spellEnd"/>
      <w:r w:rsidR="00E95B67" w:rsidRPr="00FD65C9">
        <w:rPr>
          <w:rFonts w:eastAsia="Times New Roman"/>
          <w:i/>
          <w:iCs/>
          <w:lang w:val="pl-PL"/>
        </w:rPr>
        <w:t xml:space="preserve"> temporis</w:t>
      </w:r>
      <w:r w:rsidR="00E95B67" w:rsidRPr="00FD65C9">
        <w:rPr>
          <w:rFonts w:eastAsia="Times New Roman"/>
          <w:lang w:val="pl-PL"/>
        </w:rPr>
        <w:t xml:space="preserve"> i </w:t>
      </w:r>
      <w:proofErr w:type="spellStart"/>
      <w:r w:rsidR="00E95B67" w:rsidRPr="00FD65C9">
        <w:rPr>
          <w:rFonts w:eastAsia="Times New Roman"/>
          <w:i/>
          <w:iCs/>
          <w:lang w:val="pl-PL"/>
        </w:rPr>
        <w:t>ratione</w:t>
      </w:r>
      <w:proofErr w:type="spellEnd"/>
      <w:r w:rsidR="00E95B67" w:rsidRPr="00FD65C9">
        <w:rPr>
          <w:rFonts w:eastAsia="Times New Roman"/>
          <w:i/>
          <w:iCs/>
          <w:lang w:val="pl-PL"/>
        </w:rPr>
        <w:t xml:space="preserve"> </w:t>
      </w:r>
      <w:proofErr w:type="spellStart"/>
      <w:r w:rsidR="00E95B67" w:rsidRPr="00FD65C9">
        <w:rPr>
          <w:rFonts w:eastAsia="Times New Roman"/>
          <w:i/>
          <w:iCs/>
          <w:lang w:val="pl-PL"/>
        </w:rPr>
        <w:t>materiae</w:t>
      </w:r>
      <w:proofErr w:type="spellEnd"/>
      <w:r w:rsidR="00E95B67" w:rsidRPr="00FD65C9">
        <w:rPr>
          <w:rFonts w:eastAsia="Times New Roman"/>
          <w:lang w:val="pl-PL"/>
        </w:rPr>
        <w:t xml:space="preserve"> tego odstępstwa, który mógłby zostać podniesiony z urzędu w </w:t>
      </w:r>
      <w:r w:rsidR="00B52585">
        <w:rPr>
          <w:rFonts w:eastAsia="Times New Roman"/>
          <w:lang w:val="pl-PL"/>
        </w:rPr>
        <w:t>związku z terminem zastosowania tymczasowego aresztowania wobec</w:t>
      </w:r>
      <w:r w:rsidR="008152F6" w:rsidRPr="00FD65C9">
        <w:rPr>
          <w:rFonts w:eastAsia="Times New Roman"/>
          <w:lang w:val="pl-PL"/>
        </w:rPr>
        <w:t xml:space="preserve"> skarżącego w dniu 20 </w:t>
      </w:r>
      <w:r w:rsidR="00E95B67" w:rsidRPr="00FD65C9">
        <w:rPr>
          <w:rFonts w:eastAsia="Times New Roman"/>
          <w:lang w:val="pl-PL"/>
        </w:rPr>
        <w:t xml:space="preserve">lipca 2016 r. – na jeden dzień przed wejściem w życie stanu wyjątkowego – na mocy odpowiednich przepisów, w świetle wniosku, do którego dochodzi poniżej (zob. paragrafy 119 i 148–149 poniżej), Trybunał uważa, że </w:t>
      </w:r>
      <w:r w:rsidR="00B52585">
        <w:rPr>
          <w:rFonts w:eastAsia="Times New Roman"/>
          <w:lang w:val="pl-PL"/>
        </w:rPr>
        <w:t>ocena</w:t>
      </w:r>
      <w:r w:rsidR="00B52585" w:rsidRPr="00FD65C9">
        <w:rPr>
          <w:rFonts w:eastAsia="Times New Roman"/>
          <w:lang w:val="pl-PL"/>
        </w:rPr>
        <w:t xml:space="preserve"> </w:t>
      </w:r>
      <w:r w:rsidR="00E95B67" w:rsidRPr="00FD65C9">
        <w:rPr>
          <w:rFonts w:eastAsia="Times New Roman"/>
          <w:lang w:val="pl-PL"/>
        </w:rPr>
        <w:t>tej kwestii nie jest tu konieczn</w:t>
      </w:r>
      <w:r w:rsidR="00B52585">
        <w:rPr>
          <w:rFonts w:eastAsia="Times New Roman"/>
          <w:lang w:val="pl-PL"/>
        </w:rPr>
        <w:t>a</w:t>
      </w:r>
      <w:r w:rsidR="00E95B67" w:rsidRPr="00FD65C9">
        <w:rPr>
          <w:rFonts w:eastAsia="Times New Roman"/>
          <w:lang w:val="pl-PL"/>
        </w:rPr>
        <w:t>.</w:t>
      </w:r>
    </w:p>
    <w:p w14:paraId="38EC2A78" w14:textId="08BF9269" w:rsidR="00E95B67" w:rsidRPr="00FD65C9" w:rsidRDefault="00DA7597" w:rsidP="00622760">
      <w:pPr>
        <w:pStyle w:val="ECHRPara"/>
        <w:rPr>
          <w:rFonts w:eastAsia="Times New Roman"/>
          <w:lang w:val="pl-PL"/>
        </w:rPr>
      </w:pPr>
      <w:r w:rsidRPr="00FD65C9">
        <w:rPr>
          <w:rFonts w:eastAsia="Times New Roman"/>
          <w:lang w:val="pl-PL"/>
        </w:rPr>
        <w:fldChar w:fldCharType="begin"/>
      </w:r>
      <w:r w:rsidR="00E95B67" w:rsidRPr="00FD65C9">
        <w:rPr>
          <w:rFonts w:eastAsia="Times New Roman"/>
          <w:lang w:val="pl-PL"/>
        </w:rPr>
        <w:instrText xml:space="preserve"> SEQ level0 \*arabic </w:instrText>
      </w:r>
      <w:r w:rsidRPr="00FD65C9">
        <w:rPr>
          <w:rFonts w:eastAsia="Times New Roman"/>
          <w:lang w:val="pl-PL"/>
        </w:rPr>
        <w:fldChar w:fldCharType="separate"/>
      </w:r>
      <w:r w:rsidR="00E95B67" w:rsidRPr="00FD65C9">
        <w:rPr>
          <w:rFonts w:eastAsia="Times New Roman"/>
          <w:noProof/>
          <w:lang w:val="pl-PL"/>
        </w:rPr>
        <w:t>75</w:t>
      </w:r>
      <w:r w:rsidRPr="00FD65C9">
        <w:rPr>
          <w:rFonts w:eastAsia="Times New Roman"/>
          <w:lang w:val="pl-PL"/>
        </w:rPr>
        <w:fldChar w:fldCharType="end"/>
      </w:r>
      <w:r w:rsidR="00E95B67" w:rsidRPr="00FD65C9">
        <w:rPr>
          <w:rFonts w:eastAsia="Times New Roman"/>
          <w:lang w:val="pl-PL"/>
        </w:rPr>
        <w:t>.  W każdym razie Trybunał zauwa</w:t>
      </w:r>
      <w:r w:rsidR="008152F6" w:rsidRPr="00FD65C9">
        <w:rPr>
          <w:rFonts w:eastAsia="Times New Roman"/>
          <w:lang w:val="pl-PL"/>
        </w:rPr>
        <w:t xml:space="preserve">ża, że </w:t>
      </w:r>
      <w:r w:rsidR="00B52585">
        <w:rPr>
          <w:rFonts w:eastAsia="Times New Roman"/>
          <w:lang w:val="pl-PL"/>
        </w:rPr>
        <w:t>tymczasowe aresztowani</w:t>
      </w:r>
      <w:r w:rsidR="00E03948">
        <w:rPr>
          <w:rFonts w:eastAsia="Times New Roman"/>
          <w:lang w:val="pl-PL"/>
        </w:rPr>
        <w:t>e</w:t>
      </w:r>
      <w:r w:rsidR="00B52585">
        <w:rPr>
          <w:rFonts w:eastAsia="Times New Roman"/>
          <w:lang w:val="pl-PL"/>
        </w:rPr>
        <w:t xml:space="preserve"> </w:t>
      </w:r>
      <w:r w:rsidR="008152F6" w:rsidRPr="00FD65C9">
        <w:rPr>
          <w:rFonts w:eastAsia="Times New Roman"/>
          <w:lang w:val="pl-PL"/>
        </w:rPr>
        <w:t>skarżącego w </w:t>
      </w:r>
      <w:r w:rsidR="00E95B67" w:rsidRPr="00FD65C9">
        <w:rPr>
          <w:rFonts w:eastAsia="Times New Roman"/>
          <w:lang w:val="pl-PL"/>
        </w:rPr>
        <w:t xml:space="preserve">dniu 20 lipca 2016 r., po jego </w:t>
      </w:r>
      <w:r w:rsidR="00B52585">
        <w:rPr>
          <w:rFonts w:eastAsia="Times New Roman"/>
          <w:lang w:val="pl-PL"/>
        </w:rPr>
        <w:t>zatrzymaniu</w:t>
      </w:r>
      <w:r w:rsidR="00B52585" w:rsidRPr="00FD65C9">
        <w:rPr>
          <w:rFonts w:eastAsia="Times New Roman"/>
          <w:lang w:val="pl-PL"/>
        </w:rPr>
        <w:t xml:space="preserve"> </w:t>
      </w:r>
      <w:r w:rsidR="00E95B67" w:rsidRPr="00FD65C9">
        <w:rPr>
          <w:rFonts w:eastAsia="Times New Roman"/>
          <w:lang w:val="pl-PL"/>
        </w:rPr>
        <w:t>w dniu 16 lipca 2016 r., nastąpiło w bardzo krótkim czasie po próbie zamachu stanu, czyli wydarzeniu, które doprowadziło do ogłoszenia stanu wyjątkowego. Trybunał uważa, że okoliczność ta z pewnością stanowi element kontekstowy, który musi w pełni uwzględ</w:t>
      </w:r>
      <w:r w:rsidR="008152F6" w:rsidRPr="00FD65C9">
        <w:rPr>
          <w:rFonts w:eastAsia="Times New Roman"/>
          <w:lang w:val="pl-PL"/>
        </w:rPr>
        <w:t>nić przy dokonywaniu wykładni i </w:t>
      </w:r>
      <w:r w:rsidR="00E95B67" w:rsidRPr="00FD65C9">
        <w:rPr>
          <w:rFonts w:eastAsia="Times New Roman"/>
          <w:lang w:val="pl-PL"/>
        </w:rPr>
        <w:t xml:space="preserve">stosowaniu art. 5 Konwencji w niniejszej sprawie (zob., odpowiednio, </w:t>
      </w:r>
      <w:r w:rsidR="00E95B67" w:rsidRPr="00FD65C9">
        <w:rPr>
          <w:rFonts w:eastAsia="Times New Roman"/>
          <w:i/>
          <w:iCs/>
          <w:lang w:val="pl-PL"/>
        </w:rPr>
        <w:t>Hassan przeciwko Zjednoczonemu Królestwu</w:t>
      </w:r>
      <w:r w:rsidR="00E95B67" w:rsidRPr="00FD65C9">
        <w:rPr>
          <w:rFonts w:eastAsia="Times New Roman"/>
          <w:lang w:val="pl-PL"/>
        </w:rPr>
        <w:t xml:space="preserve"> [WI], nr 29750/09, § 103, ETPC 2014).</w:t>
      </w:r>
    </w:p>
    <w:p w14:paraId="57261329" w14:textId="42D7144B" w:rsidR="00E95B67" w:rsidRPr="00FD65C9" w:rsidRDefault="00E95B67" w:rsidP="00622760">
      <w:pPr>
        <w:pStyle w:val="ECHRHeading1"/>
        <w:rPr>
          <w:lang w:val="pl-PL"/>
        </w:rPr>
      </w:pPr>
      <w:r w:rsidRPr="00FD65C9">
        <w:rPr>
          <w:bCs w:val="0"/>
          <w:lang w:val="pl-PL"/>
        </w:rPr>
        <w:t>II.  W PRZEDMIOCIE DOPUSZCZALNOŚCI</w:t>
      </w:r>
    </w:p>
    <w:p w14:paraId="6AB9F65E" w14:textId="688E15C7" w:rsidR="00E95B67" w:rsidRPr="00FD65C9" w:rsidRDefault="00E95B67" w:rsidP="00622760">
      <w:pPr>
        <w:pStyle w:val="ECHRHeading2"/>
        <w:rPr>
          <w:lang w:val="pl-PL"/>
        </w:rPr>
      </w:pPr>
      <w:r w:rsidRPr="00FD65C9">
        <w:rPr>
          <w:lang w:val="pl-PL"/>
        </w:rPr>
        <w:t xml:space="preserve">A. Zarzuty dotyczące </w:t>
      </w:r>
      <w:r w:rsidR="00B52585">
        <w:rPr>
          <w:lang w:val="pl-PL"/>
        </w:rPr>
        <w:t>zatrzymania</w:t>
      </w:r>
      <w:r w:rsidR="00B52585" w:rsidRPr="00FD65C9">
        <w:rPr>
          <w:lang w:val="pl-PL"/>
        </w:rPr>
        <w:t xml:space="preserve"> </w:t>
      </w:r>
      <w:r w:rsidRPr="00FD65C9">
        <w:rPr>
          <w:lang w:val="pl-PL"/>
        </w:rPr>
        <w:t xml:space="preserve">i </w:t>
      </w:r>
      <w:r w:rsidR="00B52585">
        <w:rPr>
          <w:lang w:val="pl-PL"/>
        </w:rPr>
        <w:t>tymczasowego aresztowania</w:t>
      </w:r>
      <w:r w:rsidR="00B52585" w:rsidRPr="00FD65C9">
        <w:rPr>
          <w:lang w:val="pl-PL"/>
        </w:rPr>
        <w:t xml:space="preserve"> </w:t>
      </w:r>
      <w:r w:rsidRPr="00FD65C9">
        <w:rPr>
          <w:lang w:val="pl-PL"/>
        </w:rPr>
        <w:t>skarżącego</w:t>
      </w:r>
    </w:p>
    <w:p w14:paraId="7B2D5241" w14:textId="417E9E40"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76</w:t>
      </w:r>
      <w:r w:rsidRPr="00FD65C9">
        <w:rPr>
          <w:lang w:val="pl-PL"/>
        </w:rPr>
        <w:fldChar w:fldCharType="end"/>
      </w:r>
      <w:r w:rsidR="00E95B67" w:rsidRPr="00FD65C9">
        <w:rPr>
          <w:lang w:val="pl-PL"/>
        </w:rPr>
        <w:t xml:space="preserve">.  Rząd podniósł dwa zastrzeżenia dotyczące niewyczerpania krajowych środków odwoławczych w odniesieniu do zatrzymania </w:t>
      </w:r>
      <w:r w:rsidR="00B52585">
        <w:rPr>
          <w:lang w:val="pl-PL"/>
        </w:rPr>
        <w:t xml:space="preserve">i tymczasowego aresztowania </w:t>
      </w:r>
      <w:r w:rsidR="00E95B67" w:rsidRPr="00FD65C9">
        <w:rPr>
          <w:lang w:val="pl-PL"/>
        </w:rPr>
        <w:t xml:space="preserve">skarżącego. Po pierwsze Rząd uznał, że skarżący powinien był </w:t>
      </w:r>
      <w:r w:rsidR="00B52585">
        <w:rPr>
          <w:lang w:val="pl-PL"/>
        </w:rPr>
        <w:t>w pierwszej kolejności</w:t>
      </w:r>
      <w:r w:rsidR="00B52585" w:rsidRPr="00FD65C9">
        <w:rPr>
          <w:lang w:val="pl-PL"/>
        </w:rPr>
        <w:t xml:space="preserve"> </w:t>
      </w:r>
      <w:r w:rsidR="00E95B67" w:rsidRPr="00FD65C9">
        <w:rPr>
          <w:lang w:val="pl-PL"/>
        </w:rPr>
        <w:t xml:space="preserve">złożyć zażalenie na </w:t>
      </w:r>
      <w:r w:rsidR="00B52585">
        <w:rPr>
          <w:lang w:val="pl-PL"/>
        </w:rPr>
        <w:t>zatrzymanie</w:t>
      </w:r>
      <w:r w:rsidR="00B52585" w:rsidRPr="00FD65C9">
        <w:rPr>
          <w:lang w:val="pl-PL"/>
        </w:rPr>
        <w:t xml:space="preserve"> </w:t>
      </w:r>
      <w:r w:rsidR="00E95B67" w:rsidRPr="00FD65C9">
        <w:rPr>
          <w:lang w:val="pl-PL"/>
        </w:rPr>
        <w:t xml:space="preserve">na podstawie art. 91 § 5 kpk. Rząd stwierdza, że zażalenie to mogło doprowadzić do </w:t>
      </w:r>
      <w:r w:rsidR="00B52585">
        <w:rPr>
          <w:lang w:val="pl-PL"/>
        </w:rPr>
        <w:t>uchylenia</w:t>
      </w:r>
      <w:r w:rsidR="00B52585" w:rsidRPr="00FD65C9">
        <w:rPr>
          <w:lang w:val="pl-PL"/>
        </w:rPr>
        <w:t xml:space="preserve"> </w:t>
      </w:r>
      <w:r w:rsidR="00B52585">
        <w:rPr>
          <w:lang w:val="pl-PL"/>
        </w:rPr>
        <w:t>za</w:t>
      </w:r>
      <w:r w:rsidR="00E95B67" w:rsidRPr="00FD65C9">
        <w:rPr>
          <w:lang w:val="pl-PL"/>
        </w:rPr>
        <w:t>kwestionowanego przez skarżącego pozbawienia wolności. Po drugie Rząd podnosi, że skarżącemu przysługiwał środek prawny w postaci odszkodowania przewidziany w art. 141 § 1 lit</w:t>
      </w:r>
      <w:r w:rsidR="00E91570">
        <w:rPr>
          <w:lang w:val="pl-PL"/>
        </w:rPr>
        <w:t>.</w:t>
      </w:r>
      <w:r w:rsidR="00E95B67" w:rsidRPr="00FD65C9">
        <w:rPr>
          <w:lang w:val="pl-PL"/>
        </w:rPr>
        <w:t xml:space="preserve"> a kpk. Na poparcie swoje</w:t>
      </w:r>
      <w:r w:rsidR="00B52585">
        <w:rPr>
          <w:lang w:val="pl-PL"/>
        </w:rPr>
        <w:t>go</w:t>
      </w:r>
      <w:r w:rsidR="00E95B67" w:rsidRPr="00FD65C9">
        <w:rPr>
          <w:lang w:val="pl-PL"/>
        </w:rPr>
        <w:t xml:space="preserve"> </w:t>
      </w:r>
      <w:r w:rsidR="00B52585" w:rsidRPr="00FD65C9">
        <w:rPr>
          <w:lang w:val="pl-PL"/>
        </w:rPr>
        <w:t>s</w:t>
      </w:r>
      <w:r w:rsidR="00B52585">
        <w:rPr>
          <w:lang w:val="pl-PL"/>
        </w:rPr>
        <w:t>tanowiska</w:t>
      </w:r>
      <w:r w:rsidR="00B52585" w:rsidRPr="00FD65C9">
        <w:rPr>
          <w:lang w:val="pl-PL"/>
        </w:rPr>
        <w:t xml:space="preserve"> p</w:t>
      </w:r>
      <w:r w:rsidR="00B52585">
        <w:rPr>
          <w:lang w:val="pl-PL"/>
        </w:rPr>
        <w:t>rzytacza</w:t>
      </w:r>
      <w:r w:rsidR="00B52585" w:rsidRPr="00FD65C9">
        <w:rPr>
          <w:lang w:val="pl-PL"/>
        </w:rPr>
        <w:t xml:space="preserve"> </w:t>
      </w:r>
      <w:r w:rsidR="00E95B67" w:rsidRPr="00FD65C9">
        <w:rPr>
          <w:lang w:val="pl-PL"/>
        </w:rPr>
        <w:t xml:space="preserve">dwa wyroki </w:t>
      </w:r>
      <w:r w:rsidR="00E91570">
        <w:rPr>
          <w:lang w:val="pl-PL"/>
        </w:rPr>
        <w:t>dwunastej</w:t>
      </w:r>
      <w:r w:rsidR="00E95B67" w:rsidRPr="00FD65C9">
        <w:rPr>
          <w:lang w:val="pl-PL"/>
        </w:rPr>
        <w:t xml:space="preserve"> izby karnej sądu kasacyjnego, z których wynika, że powodom przyznano odszkodowanie za pozbawienie ich wolności, które </w:t>
      </w:r>
      <w:r w:rsidR="00E91570">
        <w:rPr>
          <w:lang w:val="pl-PL"/>
        </w:rPr>
        <w:t>określili jako</w:t>
      </w:r>
      <w:r w:rsidR="00E95B67" w:rsidRPr="00FD65C9">
        <w:rPr>
          <w:lang w:val="pl-PL"/>
        </w:rPr>
        <w:t xml:space="preserve"> sprzeczne z prawem.</w:t>
      </w:r>
    </w:p>
    <w:p w14:paraId="14B98D37" w14:textId="1E051432"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77</w:t>
      </w:r>
      <w:r w:rsidRPr="00FD65C9">
        <w:rPr>
          <w:lang w:val="pl-PL"/>
        </w:rPr>
        <w:fldChar w:fldCharType="end"/>
      </w:r>
      <w:r w:rsidR="00E95B67" w:rsidRPr="00FD65C9">
        <w:rPr>
          <w:lang w:val="pl-PL"/>
        </w:rPr>
        <w:t xml:space="preserve">.  Skarżący zakwestionował </w:t>
      </w:r>
      <w:r w:rsidR="00B52585">
        <w:rPr>
          <w:lang w:val="pl-PL"/>
        </w:rPr>
        <w:t>stanowisko</w:t>
      </w:r>
      <w:r w:rsidR="00B52585" w:rsidRPr="00FD65C9">
        <w:rPr>
          <w:lang w:val="pl-PL"/>
        </w:rPr>
        <w:t xml:space="preserve"> </w:t>
      </w:r>
      <w:r w:rsidR="00E95B67" w:rsidRPr="00FD65C9">
        <w:rPr>
          <w:lang w:val="pl-PL"/>
        </w:rPr>
        <w:t xml:space="preserve">Rządu. </w:t>
      </w:r>
      <w:r w:rsidR="00B52585">
        <w:rPr>
          <w:lang w:val="pl-PL"/>
        </w:rPr>
        <w:t>St</w:t>
      </w:r>
      <w:r w:rsidR="00E95B67" w:rsidRPr="00FD65C9">
        <w:rPr>
          <w:lang w:val="pl-PL"/>
        </w:rPr>
        <w:t xml:space="preserve">wierdził, że powództwo o odszkodowanie nie </w:t>
      </w:r>
      <w:r w:rsidR="00B52585">
        <w:rPr>
          <w:lang w:val="pl-PL"/>
        </w:rPr>
        <w:t>dawało racjonalnej perspektywy</w:t>
      </w:r>
      <w:r w:rsidR="00E95B67" w:rsidRPr="00FD65C9">
        <w:rPr>
          <w:lang w:val="pl-PL"/>
        </w:rPr>
        <w:t xml:space="preserve"> jego zwolnienia.</w:t>
      </w:r>
    </w:p>
    <w:p w14:paraId="2D6B255D" w14:textId="3189C7CE"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78</w:t>
      </w:r>
      <w:r w:rsidRPr="00FD65C9">
        <w:rPr>
          <w:lang w:val="pl-PL"/>
        </w:rPr>
        <w:fldChar w:fldCharType="end"/>
      </w:r>
      <w:r w:rsidR="00E95B67" w:rsidRPr="00FD65C9">
        <w:rPr>
          <w:lang w:val="pl-PL"/>
        </w:rPr>
        <w:t xml:space="preserve">.  Trybunał zauważa, że turecki system prawny </w:t>
      </w:r>
      <w:r w:rsidR="00B52585">
        <w:rPr>
          <w:lang w:val="pl-PL"/>
        </w:rPr>
        <w:t>zapewnia</w:t>
      </w:r>
      <w:r w:rsidR="00B52585" w:rsidRPr="00FD65C9">
        <w:rPr>
          <w:lang w:val="pl-PL"/>
        </w:rPr>
        <w:t xml:space="preserve"> </w:t>
      </w:r>
      <w:r w:rsidR="00E95B67" w:rsidRPr="00FD65C9">
        <w:rPr>
          <w:lang w:val="pl-PL"/>
        </w:rPr>
        <w:t>zainteresowane</w:t>
      </w:r>
      <w:r w:rsidR="00B52585">
        <w:rPr>
          <w:lang w:val="pl-PL"/>
        </w:rPr>
        <w:t>mu</w:t>
      </w:r>
      <w:r w:rsidR="00E95B67" w:rsidRPr="00FD65C9">
        <w:rPr>
          <w:lang w:val="pl-PL"/>
        </w:rPr>
        <w:t xml:space="preserve"> dwa środki prawne, a mi</w:t>
      </w:r>
      <w:r w:rsidR="00C92EA1" w:rsidRPr="00FD65C9">
        <w:rPr>
          <w:lang w:val="pl-PL"/>
        </w:rPr>
        <w:t xml:space="preserve">anowicie </w:t>
      </w:r>
      <w:r w:rsidR="00ED21B7">
        <w:rPr>
          <w:lang w:val="pl-PL"/>
        </w:rPr>
        <w:t>wniosek</w:t>
      </w:r>
      <w:r w:rsidR="00ED21B7" w:rsidRPr="00FD65C9">
        <w:rPr>
          <w:lang w:val="pl-PL"/>
        </w:rPr>
        <w:t xml:space="preserve"> </w:t>
      </w:r>
      <w:r w:rsidR="00C92EA1" w:rsidRPr="00FD65C9">
        <w:rPr>
          <w:lang w:val="pl-PL"/>
        </w:rPr>
        <w:t>o </w:t>
      </w:r>
      <w:r w:rsidR="00ED21B7">
        <w:rPr>
          <w:lang w:val="pl-PL"/>
        </w:rPr>
        <w:t>uchylenie</w:t>
      </w:r>
      <w:r w:rsidR="00ED21B7" w:rsidRPr="00FD65C9">
        <w:rPr>
          <w:lang w:val="pl-PL"/>
        </w:rPr>
        <w:t xml:space="preserve"> </w:t>
      </w:r>
      <w:r w:rsidR="00E95B67" w:rsidRPr="00FD65C9">
        <w:rPr>
          <w:lang w:val="pl-PL"/>
        </w:rPr>
        <w:t xml:space="preserve">danego </w:t>
      </w:r>
      <w:r w:rsidR="00ED21B7">
        <w:rPr>
          <w:lang w:val="pl-PL"/>
        </w:rPr>
        <w:t>środka izolacyjnego</w:t>
      </w:r>
      <w:r w:rsidR="00E95B67" w:rsidRPr="00FD65C9">
        <w:rPr>
          <w:lang w:val="pl-PL"/>
        </w:rPr>
        <w:t xml:space="preserve"> (art. 91 § 5 kpk) oraz powództwo o odszkodowanie przeciwko państwu (art. 141 § 1 lit. a kpk) (</w:t>
      </w:r>
      <w:r w:rsidR="00E95B67" w:rsidRPr="00FD65C9">
        <w:rPr>
          <w:i/>
          <w:iCs/>
          <w:lang w:val="pl-PL"/>
        </w:rPr>
        <w:t xml:space="preserve">Mustafa </w:t>
      </w:r>
      <w:proofErr w:type="spellStart"/>
      <w:r w:rsidR="00E95B67" w:rsidRPr="00FD65C9">
        <w:rPr>
          <w:i/>
          <w:iCs/>
          <w:lang w:val="pl-PL"/>
        </w:rPr>
        <w:t>Avci</w:t>
      </w:r>
      <w:proofErr w:type="spellEnd"/>
      <w:r w:rsidR="00E95B67" w:rsidRPr="00FD65C9">
        <w:rPr>
          <w:i/>
          <w:iCs/>
          <w:lang w:val="pl-PL"/>
        </w:rPr>
        <w:t xml:space="preserve"> przeciwko Turcji</w:t>
      </w:r>
      <w:r w:rsidR="00E95B67" w:rsidRPr="00FD65C9">
        <w:rPr>
          <w:lang w:val="pl-PL"/>
        </w:rPr>
        <w:t>, nr 39322/12, § 63, 23 maja 2017 r.).</w:t>
      </w:r>
    </w:p>
    <w:p w14:paraId="028524F9" w14:textId="4823FDEE"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79</w:t>
      </w:r>
      <w:r w:rsidRPr="00FD65C9">
        <w:rPr>
          <w:lang w:val="pl-PL"/>
        </w:rPr>
        <w:fldChar w:fldCharType="end"/>
      </w:r>
      <w:r w:rsidR="00E95B67" w:rsidRPr="00FD65C9">
        <w:rPr>
          <w:lang w:val="pl-PL"/>
        </w:rPr>
        <w:t xml:space="preserve">.  Trybunał zauważa w tym względzie, że TK odrzucił </w:t>
      </w:r>
      <w:r w:rsidR="00ED21B7" w:rsidRPr="00FD65C9">
        <w:rPr>
          <w:lang w:val="pl-PL"/>
        </w:rPr>
        <w:t>za</w:t>
      </w:r>
      <w:r w:rsidR="00ED21B7">
        <w:rPr>
          <w:lang w:val="pl-PL"/>
        </w:rPr>
        <w:t>rzuty</w:t>
      </w:r>
      <w:r w:rsidR="00ED21B7" w:rsidRPr="00FD65C9">
        <w:rPr>
          <w:lang w:val="pl-PL"/>
        </w:rPr>
        <w:t xml:space="preserve"> </w:t>
      </w:r>
      <w:r w:rsidR="00E95B67" w:rsidRPr="00FD65C9">
        <w:rPr>
          <w:lang w:val="pl-PL"/>
        </w:rPr>
        <w:t xml:space="preserve">skarżącego </w:t>
      </w:r>
      <w:r w:rsidR="00ED21B7">
        <w:rPr>
          <w:lang w:val="pl-PL"/>
        </w:rPr>
        <w:t>dotyczące</w:t>
      </w:r>
      <w:r w:rsidR="00ED21B7" w:rsidRPr="00FD65C9">
        <w:rPr>
          <w:lang w:val="pl-PL"/>
        </w:rPr>
        <w:t xml:space="preserve"> </w:t>
      </w:r>
      <w:r w:rsidR="00E95B67" w:rsidRPr="00FD65C9">
        <w:rPr>
          <w:lang w:val="pl-PL"/>
        </w:rPr>
        <w:t>jego zatrzymani</w:t>
      </w:r>
      <w:r w:rsidR="00ED21B7">
        <w:rPr>
          <w:lang w:val="pl-PL"/>
        </w:rPr>
        <w:t>a</w:t>
      </w:r>
      <w:r w:rsidR="00E95B67" w:rsidRPr="00FD65C9">
        <w:rPr>
          <w:lang w:val="pl-PL"/>
        </w:rPr>
        <w:t xml:space="preserve"> i </w:t>
      </w:r>
      <w:r w:rsidR="00ED21B7">
        <w:rPr>
          <w:lang w:val="pl-PL"/>
        </w:rPr>
        <w:t xml:space="preserve">tymczasowego aresztowania </w:t>
      </w:r>
      <w:r w:rsidR="00E95B67" w:rsidRPr="00FD65C9">
        <w:rPr>
          <w:lang w:val="pl-PL"/>
        </w:rPr>
        <w:t xml:space="preserve">na tej podstawie, że nie skorzystał on ze środków odwoławczych dostępnych w ramach krajowego </w:t>
      </w:r>
      <w:r w:rsidR="00ED21B7">
        <w:rPr>
          <w:lang w:val="pl-PL"/>
        </w:rPr>
        <w:t xml:space="preserve">systemu prawnego </w:t>
      </w:r>
      <w:r w:rsidR="00E95B67" w:rsidRPr="00FD65C9">
        <w:rPr>
          <w:lang w:val="pl-PL"/>
        </w:rPr>
        <w:t>(paragraf 30 powyżej).</w:t>
      </w:r>
    </w:p>
    <w:p w14:paraId="48E8232C" w14:textId="54282EED"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80</w:t>
      </w:r>
      <w:r w:rsidRPr="00FD65C9">
        <w:rPr>
          <w:lang w:val="pl-PL"/>
        </w:rPr>
        <w:fldChar w:fldCharType="end"/>
      </w:r>
      <w:r w:rsidR="00E95B67" w:rsidRPr="00FD65C9">
        <w:rPr>
          <w:lang w:val="pl-PL"/>
        </w:rPr>
        <w:t>.  W świetle tego poczynionego przez TK ustalenia Trybunał uznaje, że w odniesieniu do powyższych zarzutów skarżący był zobowiązany do skorzystania z co najmniej jednego ze śr</w:t>
      </w:r>
      <w:r w:rsidR="00F76D6B" w:rsidRPr="00FD65C9">
        <w:rPr>
          <w:lang w:val="pl-PL"/>
        </w:rPr>
        <w:t>odków prawnych przewidzianych w </w:t>
      </w:r>
      <w:r w:rsidR="00E95B67" w:rsidRPr="00FD65C9">
        <w:rPr>
          <w:lang w:val="pl-PL"/>
        </w:rPr>
        <w:t xml:space="preserve">krajowym systemie prawnym, a mianowicie ze środka </w:t>
      </w:r>
      <w:r w:rsidR="00CD0BBD">
        <w:rPr>
          <w:lang w:val="pl-PL"/>
        </w:rPr>
        <w:t>mającego na celu</w:t>
      </w:r>
      <w:r w:rsidR="00E95B67" w:rsidRPr="00FD65C9">
        <w:rPr>
          <w:lang w:val="pl-PL"/>
        </w:rPr>
        <w:t xml:space="preserve"> </w:t>
      </w:r>
      <w:r w:rsidR="00ED21B7">
        <w:rPr>
          <w:lang w:val="pl-PL"/>
        </w:rPr>
        <w:t>uchyleni</w:t>
      </w:r>
      <w:r w:rsidR="00CD0BBD">
        <w:rPr>
          <w:lang w:val="pl-PL"/>
        </w:rPr>
        <w:t>e</w:t>
      </w:r>
      <w:r w:rsidR="00ED21B7" w:rsidRPr="00FD65C9">
        <w:rPr>
          <w:lang w:val="pl-PL"/>
        </w:rPr>
        <w:t xml:space="preserve"> </w:t>
      </w:r>
      <w:r w:rsidR="00ED21B7">
        <w:rPr>
          <w:lang w:val="pl-PL"/>
        </w:rPr>
        <w:t>środka izolacyjnego</w:t>
      </w:r>
      <w:r w:rsidR="00E95B67" w:rsidRPr="00FD65C9">
        <w:rPr>
          <w:lang w:val="pl-PL"/>
        </w:rPr>
        <w:t xml:space="preserve"> (art. 91 § 5 kpk) oraz z powództwa o odszkodowanie przeciwko państwu (art. 141 § 1 lit. a kpk).</w:t>
      </w:r>
    </w:p>
    <w:p w14:paraId="0C9A2A1A" w14:textId="249D2672" w:rsidR="00E95B67" w:rsidRPr="00FD65C9" w:rsidRDefault="00E95B67" w:rsidP="00622760">
      <w:pPr>
        <w:pStyle w:val="ECHRPara"/>
        <w:rPr>
          <w:lang w:val="pl-PL"/>
        </w:rPr>
      </w:pPr>
      <w:r w:rsidRPr="00FD65C9">
        <w:rPr>
          <w:lang w:val="pl-PL"/>
        </w:rPr>
        <w:t xml:space="preserve">Tymczasem Trybunał stwierdza, że zainteresowany nie skorzystał z tych możliwości. Dlatego też Trybunał </w:t>
      </w:r>
      <w:r w:rsidR="00ED21B7">
        <w:rPr>
          <w:lang w:val="pl-PL"/>
        </w:rPr>
        <w:t>uwzględnia</w:t>
      </w:r>
      <w:r w:rsidR="00ED21B7" w:rsidRPr="00FD65C9">
        <w:rPr>
          <w:lang w:val="pl-PL"/>
        </w:rPr>
        <w:t xml:space="preserve"> </w:t>
      </w:r>
      <w:r w:rsidRPr="00FD65C9">
        <w:rPr>
          <w:lang w:val="pl-PL"/>
        </w:rPr>
        <w:t xml:space="preserve">zastrzeżenie Rządu i oddala zarzuty dotyczące zatrzymania </w:t>
      </w:r>
      <w:r w:rsidR="00ED21B7">
        <w:rPr>
          <w:lang w:val="pl-PL"/>
        </w:rPr>
        <w:t xml:space="preserve">i tymczasowego aresztowania </w:t>
      </w:r>
      <w:r w:rsidRPr="00FD65C9">
        <w:rPr>
          <w:lang w:val="pl-PL"/>
        </w:rPr>
        <w:t>skarżącego z powodu niewyczerpania krajowych środków odwoław</w:t>
      </w:r>
      <w:r w:rsidR="00F76D6B" w:rsidRPr="00FD65C9">
        <w:rPr>
          <w:lang w:val="pl-PL"/>
        </w:rPr>
        <w:t>czych na podstawie art. 35 ust. </w:t>
      </w:r>
      <w:r w:rsidRPr="00FD65C9">
        <w:rPr>
          <w:lang w:val="pl-PL"/>
        </w:rPr>
        <w:t xml:space="preserve">1 i 4 Konwencji (zob. </w:t>
      </w:r>
      <w:proofErr w:type="spellStart"/>
      <w:r w:rsidRPr="00FD65C9">
        <w:rPr>
          <w:i/>
          <w:iCs/>
          <w:lang w:val="pl-PL"/>
        </w:rPr>
        <w:t>Mehmet</w:t>
      </w:r>
      <w:proofErr w:type="spellEnd"/>
      <w:r w:rsidRPr="00FD65C9">
        <w:rPr>
          <w:i/>
          <w:iCs/>
          <w:lang w:val="pl-PL"/>
        </w:rPr>
        <w:t xml:space="preserve"> </w:t>
      </w:r>
      <w:proofErr w:type="spellStart"/>
      <w:r w:rsidRPr="00FD65C9">
        <w:rPr>
          <w:i/>
          <w:iCs/>
          <w:lang w:val="pl-PL"/>
        </w:rPr>
        <w:t>Hasan</w:t>
      </w:r>
      <w:proofErr w:type="spellEnd"/>
      <w:r w:rsidRPr="00FD65C9">
        <w:rPr>
          <w:i/>
          <w:iCs/>
          <w:lang w:val="pl-PL"/>
        </w:rPr>
        <w:t xml:space="preserve"> Altan</w:t>
      </w:r>
      <w:r w:rsidRPr="00FD65C9">
        <w:rPr>
          <w:lang w:val="pl-PL"/>
        </w:rPr>
        <w:t xml:space="preserve">, </w:t>
      </w:r>
      <w:r w:rsidR="00ED21B7" w:rsidRPr="00FD65C9">
        <w:rPr>
          <w:i/>
          <w:iCs/>
          <w:lang w:val="pl-PL"/>
        </w:rPr>
        <w:t>op. cit</w:t>
      </w:r>
      <w:r w:rsidR="00ED21B7">
        <w:rPr>
          <w:lang w:val="pl-PL"/>
        </w:rPr>
        <w:t>.</w:t>
      </w:r>
      <w:r w:rsidRPr="00FD65C9">
        <w:rPr>
          <w:lang w:val="pl-PL"/>
        </w:rPr>
        <w:t>, § 101).</w:t>
      </w:r>
    </w:p>
    <w:p w14:paraId="114DED22" w14:textId="6F93F55F" w:rsidR="00E95B67" w:rsidRPr="00FD65C9" w:rsidRDefault="00E95B67" w:rsidP="00622760">
      <w:pPr>
        <w:pStyle w:val="ECHRHeading2"/>
        <w:rPr>
          <w:lang w:val="pl-PL"/>
        </w:rPr>
      </w:pPr>
      <w:r w:rsidRPr="00FD65C9">
        <w:rPr>
          <w:lang w:val="pl-PL"/>
        </w:rPr>
        <w:t xml:space="preserve">B.  W przedmiocie zarzutów dotyczących </w:t>
      </w:r>
      <w:r w:rsidR="00ED21B7">
        <w:rPr>
          <w:lang w:val="pl-PL"/>
        </w:rPr>
        <w:t>tymczasowego aresztowania</w:t>
      </w:r>
      <w:r w:rsidR="00ED21B7" w:rsidRPr="00FD65C9">
        <w:rPr>
          <w:lang w:val="pl-PL"/>
        </w:rPr>
        <w:t xml:space="preserve"> </w:t>
      </w:r>
      <w:r w:rsidRPr="00FD65C9">
        <w:rPr>
          <w:lang w:val="pl-PL"/>
        </w:rPr>
        <w:t>skarżącego</w:t>
      </w:r>
    </w:p>
    <w:p w14:paraId="758EE1FA" w14:textId="02E18F4F"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81</w:t>
      </w:r>
      <w:r w:rsidRPr="00FD65C9">
        <w:rPr>
          <w:lang w:val="pl-PL"/>
        </w:rPr>
        <w:fldChar w:fldCharType="end"/>
      </w:r>
      <w:r w:rsidR="00E95B67" w:rsidRPr="00FD65C9">
        <w:rPr>
          <w:lang w:val="pl-PL"/>
        </w:rPr>
        <w:t>.  W odniesieniu do zarzutów podniesionych na podstawie art. 5 Konwencji dotyczących legalności i zgodności z prawem tymczasowego aresztowania skarżącego, Rząd stwierdził, podobnie jak poprzednio, że skarżąc</w:t>
      </w:r>
      <w:r w:rsidR="001E6495">
        <w:rPr>
          <w:lang w:val="pl-PL"/>
        </w:rPr>
        <w:t>emu</w:t>
      </w:r>
      <w:r w:rsidR="00E95B67" w:rsidRPr="00FD65C9">
        <w:rPr>
          <w:lang w:val="pl-PL"/>
        </w:rPr>
        <w:t xml:space="preserve"> </w:t>
      </w:r>
      <w:r w:rsidR="001E6495">
        <w:rPr>
          <w:lang w:val="pl-PL"/>
        </w:rPr>
        <w:t>przysługiwał</w:t>
      </w:r>
      <w:r w:rsidR="00E95B67" w:rsidRPr="00FD65C9">
        <w:rPr>
          <w:lang w:val="pl-PL"/>
        </w:rPr>
        <w:t xml:space="preserve"> </w:t>
      </w:r>
      <w:r w:rsidR="001E6495" w:rsidRPr="00FD65C9">
        <w:rPr>
          <w:lang w:val="pl-PL"/>
        </w:rPr>
        <w:t>środ</w:t>
      </w:r>
      <w:r w:rsidR="001E6495">
        <w:rPr>
          <w:lang w:val="pl-PL"/>
        </w:rPr>
        <w:t>ek</w:t>
      </w:r>
      <w:r w:rsidR="001E6495" w:rsidRPr="00FD65C9">
        <w:rPr>
          <w:lang w:val="pl-PL"/>
        </w:rPr>
        <w:t xml:space="preserve"> odwoławcz</w:t>
      </w:r>
      <w:r w:rsidR="001E6495">
        <w:rPr>
          <w:lang w:val="pl-PL"/>
        </w:rPr>
        <w:t>y</w:t>
      </w:r>
      <w:r w:rsidR="001E6495" w:rsidRPr="00FD65C9">
        <w:rPr>
          <w:lang w:val="pl-PL"/>
        </w:rPr>
        <w:t xml:space="preserve"> </w:t>
      </w:r>
      <w:r w:rsidR="00E95B67" w:rsidRPr="00FD65C9">
        <w:rPr>
          <w:lang w:val="pl-PL"/>
        </w:rPr>
        <w:t xml:space="preserve">w postaci odszkodowania, </w:t>
      </w:r>
      <w:r w:rsidR="001E6495" w:rsidRPr="00FD65C9">
        <w:rPr>
          <w:lang w:val="pl-PL"/>
        </w:rPr>
        <w:t>przewidzian</w:t>
      </w:r>
      <w:r w:rsidR="001E6495">
        <w:rPr>
          <w:lang w:val="pl-PL"/>
        </w:rPr>
        <w:t>y</w:t>
      </w:r>
      <w:r w:rsidR="001E6495" w:rsidRPr="00FD65C9">
        <w:rPr>
          <w:lang w:val="pl-PL"/>
        </w:rPr>
        <w:t xml:space="preserve"> </w:t>
      </w:r>
      <w:r w:rsidR="00E95B67" w:rsidRPr="00FD65C9">
        <w:rPr>
          <w:lang w:val="pl-PL"/>
        </w:rPr>
        <w:t xml:space="preserve">w art. 141 § 1 lit. a i d </w:t>
      </w:r>
      <w:r w:rsidR="00F76D6B" w:rsidRPr="00FD65C9">
        <w:rPr>
          <w:lang w:val="pl-PL"/>
        </w:rPr>
        <w:t>kpk. Ponadto Rząd podnosi, że w </w:t>
      </w:r>
      <w:r w:rsidR="00E95B67" w:rsidRPr="00FD65C9">
        <w:rPr>
          <w:lang w:val="pl-PL"/>
        </w:rPr>
        <w:t>swojej indywidualnej skardze wniesion</w:t>
      </w:r>
      <w:r w:rsidR="00F76D6B" w:rsidRPr="00FD65C9">
        <w:rPr>
          <w:lang w:val="pl-PL"/>
        </w:rPr>
        <w:t>ej do TK w dniu 7 września 2016 </w:t>
      </w:r>
      <w:r w:rsidR="00E95B67" w:rsidRPr="00FD65C9">
        <w:rPr>
          <w:lang w:val="pl-PL"/>
        </w:rPr>
        <w:t xml:space="preserve">r. (zob. paragraf 29 powyżej) skarżący nie podniósł żadnego zarzutu na podstawie art. 5 ust. 3 Konwencji. W tym względzie Rząd zwraca uwagę Trybunału na indywidualną skargę złożoną przez zainteresowanego w dniu 26 lipca 2018 r. przed TK, w której </w:t>
      </w:r>
      <w:proofErr w:type="spellStart"/>
      <w:r w:rsidR="00E95B67" w:rsidRPr="00FD65C9">
        <w:rPr>
          <w:lang w:val="pl-PL"/>
        </w:rPr>
        <w:t>Alparslan</w:t>
      </w:r>
      <w:proofErr w:type="spellEnd"/>
      <w:r w:rsidR="00E95B67" w:rsidRPr="00FD65C9">
        <w:rPr>
          <w:lang w:val="pl-PL"/>
        </w:rPr>
        <w:t xml:space="preserve"> Altan skarżył się między innymi na </w:t>
      </w:r>
      <w:r w:rsidR="001E6495">
        <w:rPr>
          <w:lang w:val="pl-PL"/>
        </w:rPr>
        <w:t>czas trwania zastosowanego wobec niego</w:t>
      </w:r>
      <w:r w:rsidR="001E6495" w:rsidRPr="00FD65C9">
        <w:rPr>
          <w:lang w:val="pl-PL"/>
        </w:rPr>
        <w:t xml:space="preserve"> </w:t>
      </w:r>
      <w:r w:rsidR="00E95B67" w:rsidRPr="00FD65C9">
        <w:rPr>
          <w:lang w:val="pl-PL"/>
        </w:rPr>
        <w:t xml:space="preserve">tymczasowego aresztowania. Rząd zwraca uwagę, że sprawa ta jest nadal </w:t>
      </w:r>
      <w:r w:rsidR="001E6495">
        <w:rPr>
          <w:lang w:val="pl-PL"/>
        </w:rPr>
        <w:t>przedmiotem oceny</w:t>
      </w:r>
      <w:r w:rsidR="001E6495" w:rsidRPr="00FD65C9">
        <w:rPr>
          <w:lang w:val="pl-PL"/>
        </w:rPr>
        <w:t xml:space="preserve"> </w:t>
      </w:r>
      <w:r w:rsidR="00E95B67" w:rsidRPr="00FD65C9">
        <w:rPr>
          <w:lang w:val="pl-PL"/>
        </w:rPr>
        <w:t>sąd</w:t>
      </w:r>
      <w:r w:rsidR="001E6495">
        <w:rPr>
          <w:lang w:val="pl-PL"/>
        </w:rPr>
        <w:t>u</w:t>
      </w:r>
      <w:r w:rsidR="00E95B67" w:rsidRPr="00FD65C9">
        <w:rPr>
          <w:lang w:val="pl-PL"/>
        </w:rPr>
        <w:t xml:space="preserve"> </w:t>
      </w:r>
      <w:r w:rsidR="001E6495">
        <w:rPr>
          <w:lang w:val="pl-PL"/>
        </w:rPr>
        <w:t>kasacyjnego</w:t>
      </w:r>
      <w:r w:rsidR="00E95B67" w:rsidRPr="00FD65C9">
        <w:rPr>
          <w:lang w:val="pl-PL"/>
        </w:rPr>
        <w:t xml:space="preserve"> (zob. paragraf 45 powyżej). Zwraca się zatem do Trybunału o uznanie przedmiotowych zarzutów za niedopuszczalne z</w:t>
      </w:r>
      <w:r w:rsidR="00F76D6B" w:rsidRPr="00FD65C9">
        <w:rPr>
          <w:lang w:val="pl-PL"/>
        </w:rPr>
        <w:t> </w:t>
      </w:r>
      <w:r w:rsidR="00E95B67" w:rsidRPr="00FD65C9">
        <w:rPr>
          <w:lang w:val="pl-PL"/>
        </w:rPr>
        <w:t>powodu niewyczerpania krajowych środków odwoławczych.</w:t>
      </w:r>
    </w:p>
    <w:p w14:paraId="05802F9B" w14:textId="0F5D9291"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82</w:t>
      </w:r>
      <w:r w:rsidRPr="00FD65C9">
        <w:rPr>
          <w:lang w:val="pl-PL"/>
        </w:rPr>
        <w:fldChar w:fldCharType="end"/>
      </w:r>
      <w:r w:rsidR="00E95B67" w:rsidRPr="00FD65C9">
        <w:rPr>
          <w:lang w:val="pl-PL"/>
        </w:rPr>
        <w:t>.  Ponadto po streszczeniu wyroku TK oddalającego zarzuty skarżącego dotyczące zgodności z prawem jego tymczasowego aresztowania oraz braku uzasadnionego podejrzenia popełnienia przez</w:t>
      </w:r>
      <w:r w:rsidR="001E6495">
        <w:rPr>
          <w:lang w:val="pl-PL"/>
        </w:rPr>
        <w:t xml:space="preserve"> skarżącego </w:t>
      </w:r>
      <w:r w:rsidR="00E95B67" w:rsidRPr="00FD65C9">
        <w:rPr>
          <w:lang w:val="pl-PL"/>
        </w:rPr>
        <w:t>przestępstwa, Rząd stwierdził również, że na szczeblu krajowym podjęto decyzj</w:t>
      </w:r>
      <w:r w:rsidR="001E6495">
        <w:rPr>
          <w:lang w:val="pl-PL"/>
        </w:rPr>
        <w:t>ę</w:t>
      </w:r>
      <w:r w:rsidR="00E95B67" w:rsidRPr="00FD65C9">
        <w:rPr>
          <w:lang w:val="pl-PL"/>
        </w:rPr>
        <w:t xml:space="preserve"> w kwestiach zakomunikowanych przez Trybunał oraz dokonano oceny prawnej zasadności tych zarzutów. </w:t>
      </w:r>
      <w:r w:rsidR="00CD0BBD">
        <w:rPr>
          <w:lang w:val="pl-PL"/>
        </w:rPr>
        <w:t>Powołując się na</w:t>
      </w:r>
      <w:r w:rsidR="00E95B67" w:rsidRPr="00FD65C9">
        <w:rPr>
          <w:lang w:val="pl-PL"/>
        </w:rPr>
        <w:t xml:space="preserve"> </w:t>
      </w:r>
      <w:r w:rsidR="001E6495" w:rsidRPr="00FD65C9">
        <w:rPr>
          <w:lang w:val="pl-PL"/>
        </w:rPr>
        <w:t>wyrok</w:t>
      </w:r>
      <w:r w:rsidR="001E6495">
        <w:rPr>
          <w:lang w:val="pl-PL"/>
        </w:rPr>
        <w:t>i</w:t>
      </w:r>
      <w:r w:rsidR="001E6495" w:rsidRPr="00FD65C9">
        <w:rPr>
          <w:lang w:val="pl-PL"/>
        </w:rPr>
        <w:t xml:space="preserve"> </w:t>
      </w:r>
      <w:r w:rsidR="00E95B67" w:rsidRPr="00FD65C9">
        <w:rPr>
          <w:lang w:val="pl-PL"/>
        </w:rPr>
        <w:t xml:space="preserve">w sprawach </w:t>
      </w:r>
      <w:proofErr w:type="spellStart"/>
      <w:r w:rsidR="00E95B67" w:rsidRPr="00FD65C9">
        <w:rPr>
          <w:i/>
          <w:iCs/>
          <w:lang w:val="pl-PL"/>
        </w:rPr>
        <w:t>Pentikäinen</w:t>
      </w:r>
      <w:proofErr w:type="spellEnd"/>
      <w:r w:rsidR="00E95B67" w:rsidRPr="00FD65C9">
        <w:rPr>
          <w:i/>
          <w:iCs/>
          <w:lang w:val="pl-PL"/>
        </w:rPr>
        <w:t xml:space="preserve"> przeciwko Finlandii </w:t>
      </w:r>
      <w:r w:rsidR="00E95B67" w:rsidRPr="00FD65C9">
        <w:rPr>
          <w:lang w:val="pl-PL"/>
        </w:rPr>
        <w:t xml:space="preserve">([WI], nr 11882/10, § 111, ETPC 2015) oraz </w:t>
      </w:r>
      <w:proofErr w:type="spellStart"/>
      <w:r w:rsidR="00E95B67" w:rsidRPr="00FD65C9">
        <w:rPr>
          <w:i/>
          <w:iCs/>
          <w:lang w:val="pl-PL"/>
        </w:rPr>
        <w:t>Bédat</w:t>
      </w:r>
      <w:proofErr w:type="spellEnd"/>
      <w:r w:rsidR="00E95B67" w:rsidRPr="00FD65C9">
        <w:rPr>
          <w:i/>
          <w:iCs/>
          <w:lang w:val="pl-PL"/>
        </w:rPr>
        <w:t xml:space="preserve"> przeciwko Szwajcarii</w:t>
      </w:r>
      <w:r w:rsidR="00F76D6B" w:rsidRPr="00FD65C9">
        <w:rPr>
          <w:lang w:val="pl-PL"/>
        </w:rPr>
        <w:t xml:space="preserve"> ([WI], nr 56925/08, § </w:t>
      </w:r>
      <w:r w:rsidR="00E95B67" w:rsidRPr="00FD65C9">
        <w:rPr>
          <w:lang w:val="pl-PL"/>
        </w:rPr>
        <w:t>54, 29 marca 2016 r.), Rząd uznał, że skarżący nie miał statusu ofiary.</w:t>
      </w:r>
    </w:p>
    <w:p w14:paraId="21AF037C" w14:textId="656FD621"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83</w:t>
      </w:r>
      <w:r w:rsidRPr="00FD65C9">
        <w:rPr>
          <w:lang w:val="pl-PL"/>
        </w:rPr>
        <w:fldChar w:fldCharType="end"/>
      </w:r>
      <w:r w:rsidR="00E95B67" w:rsidRPr="00FD65C9">
        <w:rPr>
          <w:lang w:val="pl-PL"/>
        </w:rPr>
        <w:t xml:space="preserve">.  Skarżący zakwestionował argument Rządu. Twierdził, że powództwo o odszkodowanie nie </w:t>
      </w:r>
      <w:r w:rsidR="00026798">
        <w:rPr>
          <w:lang w:val="pl-PL"/>
        </w:rPr>
        <w:t>dawało racjonalnej perspektywy</w:t>
      </w:r>
      <w:r w:rsidR="00026798" w:rsidRPr="00AE1B4D">
        <w:rPr>
          <w:lang w:val="pl-PL"/>
        </w:rPr>
        <w:t xml:space="preserve"> </w:t>
      </w:r>
      <w:r w:rsidR="00E95B67" w:rsidRPr="00FD65C9">
        <w:rPr>
          <w:lang w:val="pl-PL"/>
        </w:rPr>
        <w:t>jego zwolnienia.</w:t>
      </w:r>
    </w:p>
    <w:p w14:paraId="52256C09" w14:textId="1F45B61F"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84</w:t>
      </w:r>
      <w:r w:rsidRPr="00FD65C9">
        <w:rPr>
          <w:lang w:val="pl-PL"/>
        </w:rPr>
        <w:fldChar w:fldCharType="end"/>
      </w:r>
      <w:r w:rsidR="00E95B67" w:rsidRPr="00FD65C9">
        <w:rPr>
          <w:lang w:val="pl-PL"/>
        </w:rPr>
        <w:t xml:space="preserve">.  W odniesieniu do zarzutów skarżącego dotyczących jego tymczasowego aresztowania Trybunał przypomina, że </w:t>
      </w:r>
      <w:r w:rsidR="00026798">
        <w:rPr>
          <w:lang w:val="pl-PL"/>
        </w:rPr>
        <w:t xml:space="preserve">skuteczność </w:t>
      </w:r>
      <w:r w:rsidR="00E95B67" w:rsidRPr="00FD65C9">
        <w:rPr>
          <w:lang w:val="pl-PL"/>
        </w:rPr>
        <w:t>środ</w:t>
      </w:r>
      <w:r w:rsidR="00026798">
        <w:rPr>
          <w:lang w:val="pl-PL"/>
        </w:rPr>
        <w:t>ka</w:t>
      </w:r>
      <w:r w:rsidR="00E95B67" w:rsidRPr="00FD65C9">
        <w:rPr>
          <w:lang w:val="pl-PL"/>
        </w:rPr>
        <w:t xml:space="preserve"> odwoławcz</w:t>
      </w:r>
      <w:r w:rsidR="00026798">
        <w:rPr>
          <w:lang w:val="pl-PL"/>
        </w:rPr>
        <w:t>ego</w:t>
      </w:r>
      <w:r w:rsidR="00E95B67" w:rsidRPr="00FD65C9">
        <w:rPr>
          <w:lang w:val="pl-PL"/>
        </w:rPr>
        <w:t xml:space="preserve"> mając</w:t>
      </w:r>
      <w:r w:rsidR="00026798">
        <w:rPr>
          <w:lang w:val="pl-PL"/>
        </w:rPr>
        <w:t>ego</w:t>
      </w:r>
      <w:r w:rsidR="00E95B67" w:rsidRPr="00FD65C9">
        <w:rPr>
          <w:lang w:val="pl-PL"/>
        </w:rPr>
        <w:t xml:space="preserve"> na celu zakwestionowanie legalności </w:t>
      </w:r>
      <w:r w:rsidR="00026798">
        <w:rPr>
          <w:lang w:val="pl-PL"/>
        </w:rPr>
        <w:t>stosowania środka izolacyjnego</w:t>
      </w:r>
      <w:r w:rsidR="00E95B67" w:rsidRPr="00FD65C9">
        <w:rPr>
          <w:lang w:val="pl-PL"/>
        </w:rPr>
        <w:t xml:space="preserve"> </w:t>
      </w:r>
      <w:r w:rsidR="00026798">
        <w:rPr>
          <w:lang w:val="pl-PL"/>
        </w:rPr>
        <w:t xml:space="preserve">musi wiązać się z realną </w:t>
      </w:r>
      <w:r w:rsidR="00E95B67" w:rsidRPr="00FD65C9">
        <w:rPr>
          <w:lang w:val="pl-PL"/>
        </w:rPr>
        <w:t>perspektyw</w:t>
      </w:r>
      <w:r w:rsidR="00026798">
        <w:rPr>
          <w:lang w:val="pl-PL"/>
        </w:rPr>
        <w:t>ą</w:t>
      </w:r>
      <w:r w:rsidR="00E95B67" w:rsidRPr="00FD65C9">
        <w:rPr>
          <w:lang w:val="pl-PL"/>
        </w:rPr>
        <w:t xml:space="preserve"> </w:t>
      </w:r>
      <w:r w:rsidR="00026798">
        <w:rPr>
          <w:lang w:val="pl-PL"/>
        </w:rPr>
        <w:t>uchylenia</w:t>
      </w:r>
      <w:r w:rsidR="00026798" w:rsidRPr="00FD65C9">
        <w:rPr>
          <w:lang w:val="pl-PL"/>
        </w:rPr>
        <w:t xml:space="preserve"> </w:t>
      </w:r>
      <w:r w:rsidR="00E95B67" w:rsidRPr="00FD65C9">
        <w:rPr>
          <w:lang w:val="pl-PL"/>
        </w:rPr>
        <w:t xml:space="preserve">kwestionowanego </w:t>
      </w:r>
      <w:r w:rsidR="00026798">
        <w:rPr>
          <w:lang w:val="pl-PL"/>
        </w:rPr>
        <w:t>środka izolacyjnego</w:t>
      </w:r>
      <w:r w:rsidR="00E95B67" w:rsidRPr="00FD65C9">
        <w:rPr>
          <w:lang w:val="pl-PL"/>
        </w:rPr>
        <w:t xml:space="preserve"> (zob. </w:t>
      </w:r>
      <w:proofErr w:type="spellStart"/>
      <w:r w:rsidR="00E95B67" w:rsidRPr="00FD65C9">
        <w:rPr>
          <w:i/>
          <w:iCs/>
          <w:lang w:val="pl-PL"/>
        </w:rPr>
        <w:t>Mehmet</w:t>
      </w:r>
      <w:proofErr w:type="spellEnd"/>
      <w:r w:rsidR="00E95B67" w:rsidRPr="00FD65C9">
        <w:rPr>
          <w:i/>
          <w:iCs/>
          <w:lang w:val="pl-PL"/>
        </w:rPr>
        <w:t xml:space="preserve"> </w:t>
      </w:r>
      <w:proofErr w:type="spellStart"/>
      <w:r w:rsidR="00E95B67" w:rsidRPr="00FD65C9">
        <w:rPr>
          <w:i/>
          <w:iCs/>
          <w:lang w:val="pl-PL"/>
        </w:rPr>
        <w:t>Hasan</w:t>
      </w:r>
      <w:proofErr w:type="spellEnd"/>
      <w:r w:rsidR="00E95B67" w:rsidRPr="00FD65C9">
        <w:rPr>
          <w:i/>
          <w:iCs/>
          <w:lang w:val="pl-PL"/>
        </w:rPr>
        <w:t xml:space="preserve"> Altan</w:t>
      </w:r>
      <w:r w:rsidR="00E95B67" w:rsidRPr="00FD65C9">
        <w:rPr>
          <w:lang w:val="pl-PL"/>
        </w:rPr>
        <w:t xml:space="preserve">, </w:t>
      </w:r>
      <w:r w:rsidR="00026798" w:rsidRPr="00FD65C9">
        <w:rPr>
          <w:i/>
          <w:iCs/>
          <w:lang w:val="pl-PL"/>
        </w:rPr>
        <w:t>op. cit</w:t>
      </w:r>
      <w:r w:rsidR="00026798">
        <w:rPr>
          <w:lang w:val="pl-PL"/>
        </w:rPr>
        <w:t>.</w:t>
      </w:r>
      <w:r w:rsidR="00E95B67" w:rsidRPr="00FD65C9">
        <w:rPr>
          <w:lang w:val="pl-PL"/>
        </w:rPr>
        <w:t xml:space="preserve">, § 103). Trybunał uznał, że środek odwoławczy przewidziany w art. 141 kpk nie był środkiem prawnym mogącym </w:t>
      </w:r>
      <w:r w:rsidR="00026798">
        <w:rPr>
          <w:lang w:val="pl-PL"/>
        </w:rPr>
        <w:t>skutkować uchyleniem</w:t>
      </w:r>
      <w:r w:rsidR="00026798" w:rsidRPr="00FD65C9">
        <w:rPr>
          <w:lang w:val="pl-PL"/>
        </w:rPr>
        <w:t xml:space="preserve"> </w:t>
      </w:r>
      <w:r w:rsidR="00E95B67" w:rsidRPr="00FD65C9">
        <w:rPr>
          <w:lang w:val="pl-PL"/>
        </w:rPr>
        <w:t>tymczasowe</w:t>
      </w:r>
      <w:r w:rsidR="00026798">
        <w:rPr>
          <w:lang w:val="pl-PL"/>
        </w:rPr>
        <w:t>go</w:t>
      </w:r>
      <w:r w:rsidR="00E95B67" w:rsidRPr="00FD65C9">
        <w:rPr>
          <w:lang w:val="pl-PL"/>
        </w:rPr>
        <w:t xml:space="preserve"> aresztowani</w:t>
      </w:r>
      <w:r w:rsidR="00026798">
        <w:rPr>
          <w:lang w:val="pl-PL"/>
        </w:rPr>
        <w:t>a</w:t>
      </w:r>
      <w:r w:rsidR="00E95B67" w:rsidRPr="00FD65C9">
        <w:rPr>
          <w:lang w:val="pl-PL"/>
        </w:rPr>
        <w:t xml:space="preserve"> skarżącego.</w:t>
      </w:r>
    </w:p>
    <w:p w14:paraId="00AE73C2" w14:textId="77777777" w:rsidR="00E95B67" w:rsidRPr="00FD65C9" w:rsidRDefault="00E95B67" w:rsidP="00622760">
      <w:pPr>
        <w:pStyle w:val="ECHRPara"/>
        <w:rPr>
          <w:lang w:val="pl-PL"/>
        </w:rPr>
      </w:pPr>
      <w:r w:rsidRPr="00FD65C9">
        <w:rPr>
          <w:lang w:val="pl-PL"/>
        </w:rPr>
        <w:t>Trybunał stwierdza zatem, że zastrzeżenie Rządu w tym zakresie musi zostać oddalone.</w:t>
      </w:r>
    </w:p>
    <w:p w14:paraId="3F9B8ED3" w14:textId="77777777"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85</w:t>
      </w:r>
      <w:r w:rsidRPr="00FD65C9">
        <w:rPr>
          <w:lang w:val="pl-PL"/>
        </w:rPr>
        <w:fldChar w:fldCharType="end"/>
      </w:r>
      <w:r w:rsidR="00E95B67" w:rsidRPr="00FD65C9">
        <w:rPr>
          <w:lang w:val="pl-PL"/>
        </w:rPr>
        <w:t>.  W odniesieniu do statusu skarżącego jako ofiary, Trybunał przypomina swoje ugruntowane i konse</w:t>
      </w:r>
      <w:r w:rsidR="00F76D6B" w:rsidRPr="00FD65C9">
        <w:rPr>
          <w:lang w:val="pl-PL"/>
        </w:rPr>
        <w:t>kwentne orzecznictwo, zgodnie z </w:t>
      </w:r>
      <w:r w:rsidR="00E95B67" w:rsidRPr="00FD65C9">
        <w:rPr>
          <w:lang w:val="pl-PL"/>
        </w:rPr>
        <w:t>którym decyzja lub środek korzystny dla skarżącego jest co do zasady wystarczający do pozbawienia go status</w:t>
      </w:r>
      <w:r w:rsidR="00F76D6B" w:rsidRPr="00FD65C9">
        <w:rPr>
          <w:lang w:val="pl-PL"/>
        </w:rPr>
        <w:t>u „ofiary” w rozumieniu art. 34 </w:t>
      </w:r>
      <w:r w:rsidR="00E95B67" w:rsidRPr="00FD65C9">
        <w:rPr>
          <w:lang w:val="pl-PL"/>
        </w:rPr>
        <w:t xml:space="preserve">Konwencji tylko wtedy, gdy władze krajowe uznają, wyraźnie lub co do istoty, zarzucane naruszenie Konwencji, a następnie mu zaradzą (zob. m.in. </w:t>
      </w:r>
      <w:proofErr w:type="spellStart"/>
      <w:r w:rsidR="00E95B67" w:rsidRPr="00FD65C9">
        <w:rPr>
          <w:i/>
          <w:iCs/>
          <w:lang w:val="pl-PL"/>
        </w:rPr>
        <w:t>Gäfgen</w:t>
      </w:r>
      <w:proofErr w:type="spellEnd"/>
      <w:r w:rsidR="00E95B67" w:rsidRPr="00FD65C9">
        <w:rPr>
          <w:i/>
          <w:iCs/>
          <w:lang w:val="pl-PL"/>
        </w:rPr>
        <w:t xml:space="preserve"> przeciwko Niemcom</w:t>
      </w:r>
      <w:r w:rsidR="00E95B67" w:rsidRPr="00FD65C9">
        <w:rPr>
          <w:lang w:val="pl-PL"/>
        </w:rPr>
        <w:t xml:space="preserve"> [WI], nr 22978/05, § 115, ETPC 2010). W niniejszej sprawie Trybunał nie rozumie, w jaki sposób decyzja, w której uznano wszystkie zarzuty skarżącego za niedopuszczalne, może pozbawić go statusu ofiary.</w:t>
      </w:r>
    </w:p>
    <w:p w14:paraId="4DC31B14" w14:textId="506893E2"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86</w:t>
      </w:r>
      <w:r w:rsidRPr="00FD65C9">
        <w:rPr>
          <w:lang w:val="pl-PL"/>
        </w:rPr>
        <w:fldChar w:fldCharType="end"/>
      </w:r>
      <w:r w:rsidR="00E95B67" w:rsidRPr="00FD65C9">
        <w:rPr>
          <w:lang w:val="pl-PL"/>
        </w:rPr>
        <w:t>.  Wreszcie Trybunał nie zgadza się z twierdzeniem Rządu, że zarzut na podstawie art. 5 ust. 3 Konwencji powin</w:t>
      </w:r>
      <w:r w:rsidR="00026798">
        <w:rPr>
          <w:lang w:val="pl-PL"/>
        </w:rPr>
        <w:t>ien</w:t>
      </w:r>
      <w:r w:rsidR="00E95B67" w:rsidRPr="00FD65C9">
        <w:rPr>
          <w:lang w:val="pl-PL"/>
        </w:rPr>
        <w:t xml:space="preserve"> zostać oddalony z powodu niewyczerpania krajowych środków odwoławczych, ponieważ skarżący nie podniósł takiego zarzutu w kontekście indywidualnej skargi, która stała się podstawą wydania wyroku z dnia 11 stycznia 2018 r.</w:t>
      </w:r>
    </w:p>
    <w:p w14:paraId="50F2BF2F" w14:textId="3A213874" w:rsidR="00675E41" w:rsidRPr="00FD65C9" w:rsidRDefault="00E95B67" w:rsidP="00622760">
      <w:pPr>
        <w:pStyle w:val="ECHRPara"/>
        <w:rPr>
          <w:lang w:val="pl-PL"/>
        </w:rPr>
      </w:pPr>
      <w:r w:rsidRPr="00FD65C9">
        <w:rPr>
          <w:lang w:val="pl-PL"/>
        </w:rPr>
        <w:t xml:space="preserve">Trybunał zauważa na wstępie, że wniesiona do niego skarga nie dotyczy czasu trwania tymczasowego aresztowania skarżącego. W konsekwencji indywidualna skarga złożona przez </w:t>
      </w:r>
      <w:proofErr w:type="spellStart"/>
      <w:r w:rsidRPr="00FD65C9">
        <w:rPr>
          <w:lang w:val="pl-PL"/>
        </w:rPr>
        <w:t>Alparsl</w:t>
      </w:r>
      <w:r w:rsidR="00F76D6B" w:rsidRPr="00FD65C9">
        <w:rPr>
          <w:lang w:val="pl-PL"/>
        </w:rPr>
        <w:t>ana</w:t>
      </w:r>
      <w:proofErr w:type="spellEnd"/>
      <w:r w:rsidR="00F76D6B" w:rsidRPr="00FD65C9">
        <w:rPr>
          <w:lang w:val="pl-PL"/>
        </w:rPr>
        <w:t xml:space="preserve"> Altana w dniu 26 lipca 2018 </w:t>
      </w:r>
      <w:r w:rsidRPr="00FD65C9">
        <w:rPr>
          <w:lang w:val="pl-PL"/>
        </w:rPr>
        <w:t xml:space="preserve">r. – w której skarżył się on na </w:t>
      </w:r>
      <w:r w:rsidR="00026798">
        <w:rPr>
          <w:lang w:val="pl-PL"/>
        </w:rPr>
        <w:t>czas trwania zastosowanego wobec niego</w:t>
      </w:r>
      <w:r w:rsidR="00026798" w:rsidRPr="00FD65C9">
        <w:rPr>
          <w:lang w:val="pl-PL"/>
        </w:rPr>
        <w:t xml:space="preserve"> </w:t>
      </w:r>
      <w:r w:rsidRPr="00FD65C9">
        <w:rPr>
          <w:lang w:val="pl-PL"/>
        </w:rPr>
        <w:t>tymczasowego aresztowania – która jest</w:t>
      </w:r>
      <w:r w:rsidR="00026798">
        <w:rPr>
          <w:lang w:val="pl-PL"/>
        </w:rPr>
        <w:t xml:space="preserve"> nadal przedmiotem analizy</w:t>
      </w:r>
      <w:r w:rsidRPr="00FD65C9">
        <w:rPr>
          <w:lang w:val="pl-PL"/>
        </w:rPr>
        <w:t xml:space="preserve"> TK (zob. paragraf 45 powyżej), nie ma znaczenia dla niniejszej sprawy, ponieważ, jak wskazał Rząd, nie podniósł on takiego zarzutu.</w:t>
      </w:r>
    </w:p>
    <w:p w14:paraId="0B9D3DA7" w14:textId="64DC34B2" w:rsidR="00E95B67" w:rsidRPr="00FD65C9" w:rsidRDefault="00E95B67" w:rsidP="00622760">
      <w:pPr>
        <w:pStyle w:val="ECHRPara"/>
        <w:rPr>
          <w:lang w:val="pl-PL"/>
        </w:rPr>
      </w:pPr>
      <w:r w:rsidRPr="00FD65C9">
        <w:rPr>
          <w:lang w:val="pl-PL"/>
        </w:rPr>
        <w:t xml:space="preserve">Trybunał zauważa jednak, że skarżący przedstawił w swoim formularzu wniosku zarzut, że </w:t>
      </w:r>
      <w:r w:rsidR="00026798">
        <w:rPr>
          <w:lang w:val="pl-PL"/>
        </w:rPr>
        <w:t>postanowienie</w:t>
      </w:r>
      <w:r w:rsidR="00026798" w:rsidRPr="00FD65C9">
        <w:rPr>
          <w:lang w:val="pl-PL"/>
        </w:rPr>
        <w:t xml:space="preserve"> </w:t>
      </w:r>
      <w:r w:rsidRPr="00FD65C9">
        <w:rPr>
          <w:lang w:val="pl-PL"/>
        </w:rPr>
        <w:t xml:space="preserve">o zastosowaniu wobec niego aresztu nie </w:t>
      </w:r>
      <w:r w:rsidR="00026798">
        <w:rPr>
          <w:lang w:val="pl-PL"/>
        </w:rPr>
        <w:t>zawierało odpowiedniego</w:t>
      </w:r>
      <w:r w:rsidRPr="00FD65C9">
        <w:rPr>
          <w:lang w:val="pl-PL"/>
        </w:rPr>
        <w:t xml:space="preserve"> </w:t>
      </w:r>
      <w:r w:rsidR="00026798" w:rsidRPr="00FD65C9">
        <w:rPr>
          <w:lang w:val="pl-PL"/>
        </w:rPr>
        <w:t>uzasadni</w:t>
      </w:r>
      <w:r w:rsidR="00026798">
        <w:rPr>
          <w:lang w:val="pl-PL"/>
        </w:rPr>
        <w:t>enia</w:t>
      </w:r>
      <w:r w:rsidRPr="00FD65C9">
        <w:rPr>
          <w:lang w:val="pl-PL"/>
        </w:rPr>
        <w:t xml:space="preserve">. W związku z tym Trybunał pragnie przypomnieć swoje ustalenie w sprawie </w:t>
      </w:r>
      <w:proofErr w:type="spellStart"/>
      <w:r w:rsidRPr="00FD65C9">
        <w:rPr>
          <w:i/>
          <w:iCs/>
          <w:lang w:val="pl-PL"/>
        </w:rPr>
        <w:t>Buzadji</w:t>
      </w:r>
      <w:proofErr w:type="spellEnd"/>
      <w:r w:rsidRPr="00FD65C9">
        <w:rPr>
          <w:i/>
          <w:iCs/>
          <w:lang w:val="pl-PL"/>
        </w:rPr>
        <w:t xml:space="preserve"> przeciwko Republice Mołdawii</w:t>
      </w:r>
      <w:r w:rsidR="00F76D6B" w:rsidRPr="00FD65C9">
        <w:rPr>
          <w:lang w:val="pl-PL"/>
        </w:rPr>
        <w:t xml:space="preserve"> ([WI], nr </w:t>
      </w:r>
      <w:r w:rsidRPr="00FD65C9">
        <w:rPr>
          <w:lang w:val="pl-PL"/>
        </w:rPr>
        <w:t>23755/07, § 102, ETP</w:t>
      </w:r>
      <w:r w:rsidR="00026798">
        <w:rPr>
          <w:lang w:val="pl-PL"/>
        </w:rPr>
        <w:t>C</w:t>
      </w:r>
      <w:r w:rsidRPr="00FD65C9">
        <w:rPr>
          <w:lang w:val="pl-PL"/>
        </w:rPr>
        <w:t xml:space="preserve"> 2016 (fragmenty)), zgodnie z którym obowiązek sędziego przedstawienia istotnych i wystarczających podstaw </w:t>
      </w:r>
      <w:r w:rsidR="00026798">
        <w:rPr>
          <w:lang w:val="pl-PL"/>
        </w:rPr>
        <w:t>zastosowania środka izolacyjnego</w:t>
      </w:r>
      <w:r w:rsidRPr="00FD65C9">
        <w:rPr>
          <w:lang w:val="pl-PL"/>
        </w:rPr>
        <w:t xml:space="preserve"> – oprócz utrzymywania się uzasadnionych podejrzeń popełnieni</w:t>
      </w:r>
      <w:r w:rsidR="00026798">
        <w:rPr>
          <w:lang w:val="pl-PL"/>
        </w:rPr>
        <w:t>a przez zatrzymanego</w:t>
      </w:r>
      <w:r w:rsidRPr="00FD65C9">
        <w:rPr>
          <w:lang w:val="pl-PL"/>
        </w:rPr>
        <w:t xml:space="preserve"> przestępstwa – </w:t>
      </w:r>
      <w:r w:rsidR="00026798">
        <w:rPr>
          <w:lang w:val="pl-PL"/>
        </w:rPr>
        <w:t>aktualizuje się już</w:t>
      </w:r>
      <w:r w:rsidRPr="00FD65C9">
        <w:rPr>
          <w:lang w:val="pl-PL"/>
        </w:rPr>
        <w:t xml:space="preserve"> </w:t>
      </w:r>
      <w:r w:rsidR="00026798">
        <w:rPr>
          <w:lang w:val="pl-PL"/>
        </w:rPr>
        <w:t>w chwili wydawania</w:t>
      </w:r>
      <w:r w:rsidR="00026798" w:rsidRPr="00FD65C9">
        <w:rPr>
          <w:lang w:val="pl-PL"/>
        </w:rPr>
        <w:t xml:space="preserve"> </w:t>
      </w:r>
      <w:r w:rsidR="00026798">
        <w:rPr>
          <w:lang w:val="pl-PL"/>
        </w:rPr>
        <w:t xml:space="preserve">pierwszego postanowienia </w:t>
      </w:r>
      <w:r w:rsidRPr="00FD65C9">
        <w:rPr>
          <w:lang w:val="pl-PL"/>
        </w:rPr>
        <w:t xml:space="preserve"> </w:t>
      </w:r>
      <w:r w:rsidR="00026798">
        <w:rPr>
          <w:lang w:val="pl-PL"/>
        </w:rPr>
        <w:t>o zastosowaniu</w:t>
      </w:r>
      <w:r w:rsidR="00026798" w:rsidRPr="00FD65C9">
        <w:rPr>
          <w:lang w:val="pl-PL"/>
        </w:rPr>
        <w:t xml:space="preserve"> </w:t>
      </w:r>
      <w:r w:rsidRPr="00FD65C9">
        <w:rPr>
          <w:lang w:val="pl-PL"/>
        </w:rPr>
        <w:t>tymczasowe</w:t>
      </w:r>
      <w:r w:rsidR="00026798">
        <w:rPr>
          <w:lang w:val="pl-PL"/>
        </w:rPr>
        <w:t>go</w:t>
      </w:r>
      <w:r w:rsidRPr="00FD65C9">
        <w:rPr>
          <w:lang w:val="pl-PL"/>
        </w:rPr>
        <w:t xml:space="preserve"> aresztowani</w:t>
      </w:r>
      <w:r w:rsidR="00026798">
        <w:rPr>
          <w:lang w:val="pl-PL"/>
        </w:rPr>
        <w:t>a</w:t>
      </w:r>
      <w:r w:rsidRPr="00FD65C9">
        <w:rPr>
          <w:lang w:val="pl-PL"/>
        </w:rPr>
        <w:t>, czyli „</w:t>
      </w:r>
      <w:r w:rsidR="00406370" w:rsidRPr="00FD65C9">
        <w:rPr>
          <w:lang w:val="pl-PL"/>
        </w:rPr>
        <w:t>n</w:t>
      </w:r>
      <w:r w:rsidR="00406370">
        <w:rPr>
          <w:lang w:val="pl-PL"/>
        </w:rPr>
        <w:t>iezwłocznie</w:t>
      </w:r>
      <w:r w:rsidRPr="00FD65C9">
        <w:rPr>
          <w:lang w:val="pl-PL"/>
        </w:rPr>
        <w:t xml:space="preserve">” po zatrzymaniu. W istocie, kiedy niniejsza sprawa została zakomunikowana, Trybunał, odwołując się do wyżej wymienionego orzecznictwa, skierował do stron pytanie na podstawie art. 5 ust. 1 lit. c i ust. 3 Konwencji dotyczące </w:t>
      </w:r>
      <w:r w:rsidR="00406370">
        <w:rPr>
          <w:lang w:val="pl-PL"/>
        </w:rPr>
        <w:t>zarzutu</w:t>
      </w:r>
      <w:r w:rsidR="00406370" w:rsidRPr="00FD65C9">
        <w:rPr>
          <w:lang w:val="pl-PL"/>
        </w:rPr>
        <w:t xml:space="preserve"> </w:t>
      </w:r>
      <w:r w:rsidRPr="00FD65C9">
        <w:rPr>
          <w:lang w:val="pl-PL"/>
        </w:rPr>
        <w:t xml:space="preserve">braku uzasadnienia </w:t>
      </w:r>
      <w:r w:rsidR="00406370">
        <w:rPr>
          <w:lang w:val="pl-PL"/>
        </w:rPr>
        <w:t>postanowienia</w:t>
      </w:r>
      <w:r w:rsidR="00406370" w:rsidRPr="00FD65C9">
        <w:rPr>
          <w:lang w:val="pl-PL"/>
        </w:rPr>
        <w:t xml:space="preserve"> </w:t>
      </w:r>
      <w:r w:rsidRPr="00FD65C9">
        <w:rPr>
          <w:lang w:val="pl-PL"/>
        </w:rPr>
        <w:t>o</w:t>
      </w:r>
      <w:r w:rsidR="00406370">
        <w:rPr>
          <w:lang w:val="pl-PL"/>
        </w:rPr>
        <w:t xml:space="preserve"> zastosowaniu</w:t>
      </w:r>
      <w:r w:rsidRPr="00FD65C9">
        <w:rPr>
          <w:lang w:val="pl-PL"/>
        </w:rPr>
        <w:t xml:space="preserve"> </w:t>
      </w:r>
      <w:r w:rsidR="00406370" w:rsidRPr="00FD65C9">
        <w:rPr>
          <w:lang w:val="pl-PL"/>
        </w:rPr>
        <w:t>tymczasow</w:t>
      </w:r>
      <w:r w:rsidR="00406370">
        <w:rPr>
          <w:lang w:val="pl-PL"/>
        </w:rPr>
        <w:t>ego</w:t>
      </w:r>
      <w:r w:rsidR="00406370" w:rsidRPr="00FD65C9">
        <w:rPr>
          <w:lang w:val="pl-PL"/>
        </w:rPr>
        <w:t xml:space="preserve"> </w:t>
      </w:r>
      <w:r w:rsidR="00406370">
        <w:rPr>
          <w:lang w:val="pl-PL"/>
        </w:rPr>
        <w:t>aresztowania wobec</w:t>
      </w:r>
      <w:r w:rsidR="00406370" w:rsidRPr="00FD65C9">
        <w:rPr>
          <w:lang w:val="pl-PL"/>
        </w:rPr>
        <w:t xml:space="preserve"> </w:t>
      </w:r>
      <w:r w:rsidRPr="00FD65C9">
        <w:rPr>
          <w:lang w:val="pl-PL"/>
        </w:rPr>
        <w:t>skarżącego, przy założeniu, że skarżący wyraźnie podniósł ten zarzut przed TK (</w:t>
      </w:r>
      <w:r w:rsidR="00406370">
        <w:rPr>
          <w:lang w:val="pl-PL"/>
        </w:rPr>
        <w:t>zob.</w:t>
      </w:r>
      <w:r w:rsidR="00406370" w:rsidRPr="00FD65C9">
        <w:rPr>
          <w:lang w:val="pl-PL"/>
        </w:rPr>
        <w:t xml:space="preserve"> </w:t>
      </w:r>
      <w:r w:rsidRPr="00FD65C9">
        <w:rPr>
          <w:lang w:val="pl-PL"/>
        </w:rPr>
        <w:t xml:space="preserve">paragraf 29 powyżej). Ponadto Trybunał zauważa, w świetle uzasadnienia przyjętego przez TK w wyroku, że ten zarzut – dotyczący wyłącznie tymczasowego aresztowania skarżącego – był głównym przedmiotem </w:t>
      </w:r>
      <w:r w:rsidR="00406370">
        <w:rPr>
          <w:lang w:val="pl-PL"/>
        </w:rPr>
        <w:t>oceny</w:t>
      </w:r>
      <w:r w:rsidR="00406370" w:rsidRPr="00FD65C9">
        <w:rPr>
          <w:lang w:val="pl-PL"/>
        </w:rPr>
        <w:t xml:space="preserve"> </w:t>
      </w:r>
      <w:r w:rsidR="00406370">
        <w:rPr>
          <w:lang w:val="pl-PL"/>
        </w:rPr>
        <w:t>dokonanej</w:t>
      </w:r>
      <w:r w:rsidR="00406370" w:rsidRPr="00FD65C9">
        <w:rPr>
          <w:lang w:val="pl-PL"/>
        </w:rPr>
        <w:t xml:space="preserve"> </w:t>
      </w:r>
      <w:r w:rsidRPr="00FD65C9">
        <w:rPr>
          <w:lang w:val="pl-PL"/>
        </w:rPr>
        <w:t xml:space="preserve">przez sąd najwyższej instancji, nawet jeśli nie przedstawił </w:t>
      </w:r>
      <w:r w:rsidR="00406370">
        <w:rPr>
          <w:lang w:val="pl-PL"/>
        </w:rPr>
        <w:t xml:space="preserve">on </w:t>
      </w:r>
      <w:r w:rsidRPr="00FD65C9">
        <w:rPr>
          <w:lang w:val="pl-PL"/>
        </w:rPr>
        <w:t>uzasadnienia. W związku z tym Trybunał oddala to zastrzeżenie wstępne.</w:t>
      </w:r>
    </w:p>
    <w:p w14:paraId="2A52DF66" w14:textId="5ADEB701" w:rsidR="00E95B67" w:rsidRPr="00FD65C9" w:rsidRDefault="00DA7597" w:rsidP="00622760">
      <w:pPr>
        <w:pStyle w:val="ECHRPara"/>
        <w:rPr>
          <w:noProof/>
          <w:lang w:val="pl-PL"/>
        </w:rPr>
      </w:pPr>
      <w:r w:rsidRPr="00FD65C9">
        <w:rPr>
          <w:noProof/>
          <w:lang w:val="pl-PL"/>
        </w:rPr>
        <w:fldChar w:fldCharType="begin"/>
      </w:r>
      <w:r w:rsidR="00E95B67" w:rsidRPr="00FD65C9">
        <w:rPr>
          <w:noProof/>
          <w:lang w:val="pl-PL"/>
        </w:rPr>
        <w:instrText xml:space="preserve"> SEQ level0 \*arabic </w:instrText>
      </w:r>
      <w:r w:rsidRPr="00FD65C9">
        <w:rPr>
          <w:noProof/>
          <w:lang w:val="pl-PL"/>
        </w:rPr>
        <w:fldChar w:fldCharType="separate"/>
      </w:r>
      <w:r w:rsidR="00E95B67" w:rsidRPr="00FD65C9">
        <w:rPr>
          <w:noProof/>
          <w:lang w:val="pl-PL"/>
        </w:rPr>
        <w:t>87</w:t>
      </w:r>
      <w:r w:rsidRPr="00FD65C9">
        <w:rPr>
          <w:noProof/>
          <w:lang w:val="pl-PL"/>
        </w:rPr>
        <w:fldChar w:fldCharType="end"/>
      </w:r>
      <w:r w:rsidR="00E95B67" w:rsidRPr="00FD65C9">
        <w:rPr>
          <w:noProof/>
          <w:lang w:val="pl-PL"/>
        </w:rPr>
        <w:t>.  Uznając, że zarzuty dotyczące legalności tymczasowego aresztowania, braku uzasa</w:t>
      </w:r>
      <w:r w:rsidR="00F76D6B" w:rsidRPr="00FD65C9">
        <w:rPr>
          <w:noProof/>
          <w:lang w:val="pl-PL"/>
        </w:rPr>
        <w:t xml:space="preserve">dnionych podejrzeń </w:t>
      </w:r>
      <w:r w:rsidR="00E95B67" w:rsidRPr="00FD65C9">
        <w:rPr>
          <w:noProof/>
          <w:lang w:val="pl-PL"/>
        </w:rPr>
        <w:t xml:space="preserve">popełnienie przestępstwa </w:t>
      </w:r>
      <w:r w:rsidR="00406370">
        <w:rPr>
          <w:noProof/>
          <w:lang w:val="pl-PL"/>
        </w:rPr>
        <w:t xml:space="preserve">przez skarżącego </w:t>
      </w:r>
      <w:r w:rsidR="00E95B67" w:rsidRPr="00FD65C9">
        <w:rPr>
          <w:noProof/>
          <w:lang w:val="pl-PL"/>
        </w:rPr>
        <w:t xml:space="preserve">oraz </w:t>
      </w:r>
      <w:r w:rsidR="00F76D6B" w:rsidRPr="00FD65C9">
        <w:rPr>
          <w:noProof/>
          <w:lang w:val="pl-PL"/>
        </w:rPr>
        <w:t xml:space="preserve">braku uzasadnienia </w:t>
      </w:r>
      <w:r w:rsidR="00406370">
        <w:rPr>
          <w:noProof/>
          <w:lang w:val="pl-PL"/>
        </w:rPr>
        <w:t>postanowienia</w:t>
      </w:r>
      <w:r w:rsidR="00406370" w:rsidRPr="00FD65C9">
        <w:rPr>
          <w:noProof/>
          <w:lang w:val="pl-PL"/>
        </w:rPr>
        <w:t xml:space="preserve"> </w:t>
      </w:r>
      <w:r w:rsidR="00F76D6B" w:rsidRPr="00FD65C9">
        <w:rPr>
          <w:noProof/>
          <w:lang w:val="pl-PL"/>
        </w:rPr>
        <w:t>o </w:t>
      </w:r>
      <w:r w:rsidR="00406370">
        <w:rPr>
          <w:noProof/>
          <w:lang w:val="pl-PL"/>
        </w:rPr>
        <w:t xml:space="preserve">zastosowaniu </w:t>
      </w:r>
      <w:r w:rsidR="00406370" w:rsidRPr="00FD65C9">
        <w:rPr>
          <w:noProof/>
          <w:lang w:val="pl-PL"/>
        </w:rPr>
        <w:t>tymczasow</w:t>
      </w:r>
      <w:r w:rsidR="00406370">
        <w:rPr>
          <w:noProof/>
          <w:lang w:val="pl-PL"/>
        </w:rPr>
        <w:t>ego</w:t>
      </w:r>
      <w:r w:rsidR="00406370" w:rsidRPr="00FD65C9">
        <w:rPr>
          <w:noProof/>
          <w:lang w:val="pl-PL"/>
        </w:rPr>
        <w:t xml:space="preserve"> </w:t>
      </w:r>
      <w:r w:rsidR="00E95B67" w:rsidRPr="00FD65C9">
        <w:rPr>
          <w:noProof/>
          <w:lang w:val="pl-PL"/>
        </w:rPr>
        <w:t>aresztowani</w:t>
      </w:r>
      <w:r w:rsidR="00406370">
        <w:rPr>
          <w:noProof/>
          <w:lang w:val="pl-PL"/>
        </w:rPr>
        <w:t>a</w:t>
      </w:r>
      <w:r w:rsidR="00E95B67" w:rsidRPr="00FD65C9">
        <w:rPr>
          <w:noProof/>
          <w:lang w:val="pl-PL"/>
        </w:rPr>
        <w:t xml:space="preserve"> nie były w sposób oczywisty nieuzasadnione w rozumieniu art. 35 ust. 3 lit. a Konwencji i nie opierają się na żadnych innych podstawach niedopuszczalności, Trybunał uznaje je za dopuszczalne.</w:t>
      </w:r>
    </w:p>
    <w:p w14:paraId="48511A94" w14:textId="3356928A" w:rsidR="00E95B67" w:rsidRPr="00FD65C9" w:rsidRDefault="00E95B67" w:rsidP="00622760">
      <w:pPr>
        <w:pStyle w:val="ECHRHeading1"/>
        <w:rPr>
          <w:lang w:val="pl-PL"/>
        </w:rPr>
      </w:pPr>
      <w:r w:rsidRPr="00FD65C9">
        <w:rPr>
          <w:bCs w:val="0"/>
          <w:lang w:val="pl-PL"/>
        </w:rPr>
        <w:t xml:space="preserve">III.  W PRZEDMIOCIE </w:t>
      </w:r>
      <w:r w:rsidR="00406370">
        <w:rPr>
          <w:bCs w:val="0"/>
          <w:lang w:val="pl-PL"/>
        </w:rPr>
        <w:t>ZARZUTU</w:t>
      </w:r>
      <w:r w:rsidR="00406370" w:rsidRPr="00FD65C9">
        <w:rPr>
          <w:bCs w:val="0"/>
          <w:lang w:val="pl-PL"/>
        </w:rPr>
        <w:t xml:space="preserve"> </w:t>
      </w:r>
      <w:r w:rsidRPr="00FD65C9">
        <w:rPr>
          <w:bCs w:val="0"/>
          <w:lang w:val="pl-PL"/>
        </w:rPr>
        <w:t>NARUSZENIA ART. 5 UST. 1 i UST. 3 KONWENCJI</w:t>
      </w:r>
    </w:p>
    <w:p w14:paraId="6A758764" w14:textId="160A7C32"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88</w:t>
      </w:r>
      <w:r w:rsidRPr="00FD65C9">
        <w:rPr>
          <w:lang w:val="pl-PL"/>
        </w:rPr>
        <w:fldChar w:fldCharType="end"/>
      </w:r>
      <w:r w:rsidR="00E95B67" w:rsidRPr="00FD65C9">
        <w:rPr>
          <w:lang w:val="pl-PL"/>
        </w:rPr>
        <w:t xml:space="preserve">.  Skarżący zarzucił, że </w:t>
      </w:r>
      <w:r w:rsidR="00773050">
        <w:rPr>
          <w:lang w:val="pl-PL"/>
        </w:rPr>
        <w:t xml:space="preserve">zastosowane wobec niego tymczasowe aresztowanie było </w:t>
      </w:r>
      <w:r w:rsidR="00E95B67" w:rsidRPr="00FD65C9">
        <w:rPr>
          <w:lang w:val="pl-PL"/>
        </w:rPr>
        <w:t xml:space="preserve">arbitralne i, jego zdaniem, </w:t>
      </w:r>
      <w:r w:rsidR="00773050">
        <w:rPr>
          <w:lang w:val="pl-PL"/>
        </w:rPr>
        <w:t xml:space="preserve">nastąpiło </w:t>
      </w:r>
      <w:r w:rsidR="00E95B67" w:rsidRPr="00FD65C9">
        <w:rPr>
          <w:lang w:val="pl-PL"/>
        </w:rPr>
        <w:t>z naruszeniem prawa krajowego, a mianowicie ustawy nr 6216.</w:t>
      </w:r>
    </w:p>
    <w:p w14:paraId="39D7E92F" w14:textId="7F99F8FB" w:rsidR="00E95B67" w:rsidRPr="00FD65C9" w:rsidRDefault="00E95B67" w:rsidP="00622760">
      <w:pPr>
        <w:pStyle w:val="ECHRPara"/>
        <w:rPr>
          <w:lang w:val="pl-PL"/>
        </w:rPr>
      </w:pPr>
      <w:r w:rsidRPr="00FD65C9">
        <w:rPr>
          <w:lang w:val="pl-PL"/>
        </w:rPr>
        <w:t xml:space="preserve">Zarzuca również, że nie było konkretnych dowodów na istnienie uzasadnionych podejrzeń o popełnienie przestępstwa, które wymagałoby </w:t>
      </w:r>
      <w:r w:rsidR="00773050">
        <w:rPr>
          <w:lang w:val="pl-PL"/>
        </w:rPr>
        <w:t>stosowanie wobec niego tymczasowego aresztowania</w:t>
      </w:r>
      <w:r w:rsidRPr="00FD65C9">
        <w:rPr>
          <w:lang w:val="pl-PL"/>
        </w:rPr>
        <w:t xml:space="preserve">. Podnosi w szczególności, że sądy krajowe nie uzasadniły w wystarczający sposób </w:t>
      </w:r>
      <w:r w:rsidR="00773050">
        <w:rPr>
          <w:lang w:val="pl-PL"/>
        </w:rPr>
        <w:t>postanowień o zastosowaniu tego środka</w:t>
      </w:r>
      <w:r w:rsidRPr="00FD65C9">
        <w:rPr>
          <w:lang w:val="pl-PL"/>
        </w:rPr>
        <w:t>. W tym zakresie zarzuca naruszenie art. 5 Konwencji, nie precyzując dokładnie przepisów, na których się opiera.</w:t>
      </w:r>
    </w:p>
    <w:p w14:paraId="2B199275" w14:textId="77777777" w:rsidR="00E95B67" w:rsidRPr="00FD65C9" w:rsidRDefault="00E95B67" w:rsidP="00622760">
      <w:pPr>
        <w:pStyle w:val="ECHRPara"/>
        <w:rPr>
          <w:lang w:val="pl-PL"/>
        </w:rPr>
      </w:pPr>
      <w:r w:rsidRPr="00FD65C9">
        <w:rPr>
          <w:lang w:val="pl-PL"/>
        </w:rPr>
        <w:t>Trybunał uznaje za stosowne zbadać te zar</w:t>
      </w:r>
      <w:r w:rsidR="00F76D6B" w:rsidRPr="00FD65C9">
        <w:rPr>
          <w:lang w:val="pl-PL"/>
        </w:rPr>
        <w:t>zuty na podstawie art. 5 ust. 1 </w:t>
      </w:r>
      <w:r w:rsidRPr="00FD65C9">
        <w:rPr>
          <w:lang w:val="pl-PL"/>
        </w:rPr>
        <w:t>i 3 Konwencji, który w istotnych dla niniejszej sprawy fragmentach brzmi następująco:</w:t>
      </w:r>
    </w:p>
    <w:p w14:paraId="0F1458F1" w14:textId="77777777" w:rsidR="00E95B67" w:rsidRPr="00FD65C9" w:rsidRDefault="00E95B67" w:rsidP="00622760">
      <w:pPr>
        <w:pStyle w:val="ECHRParaQuote"/>
        <w:rPr>
          <w:lang w:val="pl-PL"/>
        </w:rPr>
      </w:pPr>
      <w:r w:rsidRPr="00FD65C9">
        <w:rPr>
          <w:lang w:val="pl-PL"/>
        </w:rPr>
        <w:t>„1.  Każdy ma prawo do wolności i bezpieczeństwa osobistego. Nikt nie może być pozbawiony wolności, z wyjątkiem następujących przypadków i w trybie ustalonym przez prawo:</w:t>
      </w:r>
    </w:p>
    <w:p w14:paraId="1AA4BF23" w14:textId="77777777" w:rsidR="00E95B67" w:rsidRPr="00FD65C9" w:rsidRDefault="00E95B67" w:rsidP="00622760">
      <w:pPr>
        <w:pStyle w:val="ECHRParaQuote"/>
        <w:rPr>
          <w:lang w:val="pl-PL"/>
        </w:rPr>
      </w:pPr>
      <w:r w:rsidRPr="00FD65C9">
        <w:rPr>
          <w:lang w:val="pl-PL"/>
        </w:rPr>
        <w:t>[...]</w:t>
      </w:r>
    </w:p>
    <w:p w14:paraId="3D457449" w14:textId="77777777" w:rsidR="00E95B67" w:rsidRPr="00FD65C9" w:rsidRDefault="00E95B67" w:rsidP="00622760">
      <w:pPr>
        <w:pStyle w:val="ECHRParaQuote"/>
        <w:rPr>
          <w:lang w:val="pl-PL"/>
        </w:rPr>
      </w:pPr>
      <w:r w:rsidRPr="00FD65C9">
        <w:rPr>
          <w:lang w:val="pl-PL"/>
        </w:rPr>
        <w:t>c) zgodnego z prawem zatrzymania lub aresztowania w celu postawienia przed właściwym organem, jeżeli istnieje uzasadnione podejrzenie popełnienia czynu zagrożonego karą lub jeśli jest to konieczne w celu zapobieżenia popełnienia takiego czynu lub uniemożliwienia ucieczki po jego dokonaniu;</w:t>
      </w:r>
    </w:p>
    <w:p w14:paraId="2C8AF4CE" w14:textId="77777777" w:rsidR="00E95B67" w:rsidRPr="00FD65C9" w:rsidRDefault="00E95B67" w:rsidP="00622760">
      <w:pPr>
        <w:pStyle w:val="ECHRParaQuote"/>
        <w:rPr>
          <w:lang w:val="pl-PL"/>
        </w:rPr>
      </w:pPr>
      <w:r w:rsidRPr="00FD65C9">
        <w:rPr>
          <w:lang w:val="pl-PL"/>
        </w:rPr>
        <w:t>[...]</w:t>
      </w:r>
    </w:p>
    <w:p w14:paraId="69DE45F8" w14:textId="77777777" w:rsidR="00E95B67" w:rsidRPr="00FD65C9" w:rsidRDefault="00E95B67" w:rsidP="00622760">
      <w:pPr>
        <w:pStyle w:val="ECHRParaQuote"/>
        <w:rPr>
          <w:lang w:val="pl-PL"/>
        </w:rPr>
      </w:pPr>
      <w:r w:rsidRPr="00FD65C9">
        <w:rPr>
          <w:lang w:val="pl-PL"/>
        </w:rPr>
        <w:t xml:space="preserve">3.  Każdy zatrzymany lub aresztowany zgodnie z postanowieniami ustępu 1 lit. c) niniejszego artykułu powinien zostać niezwłocznie postawiony przed sędzią lub innym urzędnikiem uprawnionym przez ustawę </w:t>
      </w:r>
      <w:r w:rsidR="00F76D6B" w:rsidRPr="00FD65C9">
        <w:rPr>
          <w:lang w:val="pl-PL"/>
        </w:rPr>
        <w:t>do wykonywania władzy sądowej i </w:t>
      </w:r>
      <w:r w:rsidRPr="00FD65C9">
        <w:rPr>
          <w:lang w:val="pl-PL"/>
        </w:rPr>
        <w:t>ma prawo być sądzony w rozsądnym terminie albo zwolniony na czas postępowania. Zwolnienie może zostać uzależnione od udzielenia gwarancji zapewniających stawienie się na rozprawę</w:t>
      </w:r>
    </w:p>
    <w:p w14:paraId="0F2F31B5" w14:textId="77777777"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89</w:t>
      </w:r>
      <w:r w:rsidRPr="00FD65C9">
        <w:rPr>
          <w:lang w:val="pl-PL"/>
        </w:rPr>
        <w:fldChar w:fldCharType="end"/>
      </w:r>
      <w:r w:rsidR="00E95B67" w:rsidRPr="00FD65C9">
        <w:rPr>
          <w:lang w:val="pl-PL"/>
        </w:rPr>
        <w:t>.  Rząd kwestionuje twierdzenie skarżącego.</w:t>
      </w:r>
    </w:p>
    <w:p w14:paraId="2092B4D6" w14:textId="77777777" w:rsidR="00675E41" w:rsidRPr="00FD65C9" w:rsidRDefault="00E95B67" w:rsidP="00622760">
      <w:pPr>
        <w:pStyle w:val="ECHRHeading2"/>
        <w:rPr>
          <w:lang w:val="pl-PL"/>
        </w:rPr>
      </w:pPr>
      <w:r w:rsidRPr="00FD65C9">
        <w:rPr>
          <w:lang w:val="pl-PL"/>
        </w:rPr>
        <w:t>A.  W przedmiocie legalności tymczasowego aresztowania</w:t>
      </w:r>
    </w:p>
    <w:p w14:paraId="3730458B" w14:textId="77777777" w:rsidR="00E95B67" w:rsidRPr="00FD65C9" w:rsidRDefault="00E95B67" w:rsidP="00622760">
      <w:pPr>
        <w:pStyle w:val="ECHRHeading3"/>
        <w:rPr>
          <w:lang w:val="pl-PL"/>
        </w:rPr>
      </w:pPr>
      <w:r w:rsidRPr="00FD65C9">
        <w:rPr>
          <w:bCs w:val="0"/>
          <w:iCs/>
          <w:lang w:val="pl-PL"/>
        </w:rPr>
        <w:t>1.  Argumenty stron</w:t>
      </w:r>
    </w:p>
    <w:p w14:paraId="51E8AA21" w14:textId="77777777" w:rsidR="00E95B67" w:rsidRPr="00FD65C9" w:rsidRDefault="00E95B67" w:rsidP="00622760">
      <w:pPr>
        <w:pStyle w:val="ECHRHeading4"/>
        <w:rPr>
          <w:lang w:val="pl-PL"/>
        </w:rPr>
      </w:pPr>
      <w:r w:rsidRPr="00FD65C9">
        <w:rPr>
          <w:iCs w:val="0"/>
          <w:lang w:val="pl-PL"/>
        </w:rPr>
        <w:t>a) Skarżący</w:t>
      </w:r>
    </w:p>
    <w:p w14:paraId="65D39C83" w14:textId="454D28F9"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90</w:t>
      </w:r>
      <w:r w:rsidRPr="00FD65C9">
        <w:rPr>
          <w:lang w:val="pl-PL"/>
        </w:rPr>
        <w:fldChar w:fldCharType="end"/>
      </w:r>
      <w:r w:rsidR="00E95B67" w:rsidRPr="00FD65C9">
        <w:rPr>
          <w:lang w:val="pl-PL"/>
        </w:rPr>
        <w:t xml:space="preserve">.  Skarżący podnosi, że jako sędzia </w:t>
      </w:r>
      <w:r w:rsidR="00F76D6B" w:rsidRPr="00FD65C9">
        <w:rPr>
          <w:lang w:val="pl-PL"/>
        </w:rPr>
        <w:t>TK posiadał szczególny status w </w:t>
      </w:r>
      <w:r w:rsidR="00E95B67" w:rsidRPr="00FD65C9">
        <w:rPr>
          <w:lang w:val="pl-PL"/>
        </w:rPr>
        <w:t xml:space="preserve">kontekście toczących się przeciwko niemu </w:t>
      </w:r>
      <w:r w:rsidR="00773050">
        <w:rPr>
          <w:lang w:val="pl-PL"/>
        </w:rPr>
        <w:t>postępowań przygotowawczych</w:t>
      </w:r>
      <w:r w:rsidR="00E95B67" w:rsidRPr="00FD65C9">
        <w:rPr>
          <w:lang w:val="pl-PL"/>
        </w:rPr>
        <w:t xml:space="preserve">. Dodał, że zgodnie z art. 16 ustawy nr 6216, wszczęcie </w:t>
      </w:r>
      <w:r w:rsidR="00773050">
        <w:rPr>
          <w:lang w:val="pl-PL"/>
        </w:rPr>
        <w:t>postępowania przygotowawczego</w:t>
      </w:r>
      <w:r w:rsidR="00E95B67" w:rsidRPr="00FD65C9">
        <w:rPr>
          <w:lang w:val="pl-PL"/>
        </w:rPr>
        <w:t xml:space="preserve"> przeciwko członkom TK jest </w:t>
      </w:r>
      <w:r w:rsidR="00773050">
        <w:rPr>
          <w:lang w:val="pl-PL"/>
        </w:rPr>
        <w:t>co do</w:t>
      </w:r>
      <w:r w:rsidR="00E95B67" w:rsidRPr="00FD65C9">
        <w:rPr>
          <w:lang w:val="pl-PL"/>
        </w:rPr>
        <w:t xml:space="preserve"> zasady uzależnione od decyzji zgromadzenia plenarnego tego organu. Przyznaje on, że w przypadkach </w:t>
      </w:r>
      <w:r w:rsidR="00AD4D3A">
        <w:rPr>
          <w:i/>
          <w:iCs/>
          <w:lang w:val="pl-PL"/>
        </w:rPr>
        <w:t xml:space="preserve">in </w:t>
      </w:r>
      <w:proofErr w:type="spellStart"/>
      <w:r w:rsidR="00AD4D3A">
        <w:rPr>
          <w:i/>
          <w:iCs/>
          <w:lang w:val="pl-PL"/>
        </w:rPr>
        <w:t>flagrante</w:t>
      </w:r>
      <w:proofErr w:type="spellEnd"/>
      <w:r w:rsidR="00E95B67" w:rsidRPr="00FD65C9">
        <w:rPr>
          <w:i/>
          <w:iCs/>
          <w:lang w:val="pl-PL"/>
        </w:rPr>
        <w:t xml:space="preserve"> </w:t>
      </w:r>
      <w:proofErr w:type="spellStart"/>
      <w:r w:rsidR="00E95B67" w:rsidRPr="00FD65C9">
        <w:rPr>
          <w:i/>
          <w:iCs/>
          <w:lang w:val="pl-PL"/>
        </w:rPr>
        <w:t>delicto</w:t>
      </w:r>
      <w:proofErr w:type="spellEnd"/>
      <w:r w:rsidR="00E95B67" w:rsidRPr="00FD65C9">
        <w:rPr>
          <w:lang w:val="pl-PL"/>
        </w:rPr>
        <w:t xml:space="preserve">, które podlegają </w:t>
      </w:r>
      <w:r w:rsidR="00773050">
        <w:rPr>
          <w:lang w:val="pl-PL"/>
        </w:rPr>
        <w:t xml:space="preserve">właściwości </w:t>
      </w:r>
      <w:r w:rsidR="00E95B67" w:rsidRPr="00FD65C9">
        <w:rPr>
          <w:lang w:val="pl-PL"/>
        </w:rPr>
        <w:t xml:space="preserve">sądów przysięgłych, </w:t>
      </w:r>
      <w:r w:rsidR="00773050">
        <w:rPr>
          <w:lang w:val="pl-PL"/>
        </w:rPr>
        <w:t>postępowanie przygotowawcze</w:t>
      </w:r>
      <w:r w:rsidR="00773050" w:rsidRPr="00FD65C9">
        <w:rPr>
          <w:lang w:val="pl-PL"/>
        </w:rPr>
        <w:t xml:space="preserve"> </w:t>
      </w:r>
      <w:r w:rsidR="00E95B67" w:rsidRPr="00FD65C9">
        <w:rPr>
          <w:lang w:val="pl-PL"/>
        </w:rPr>
        <w:t xml:space="preserve">może być prowadzone zgodnie z zasadami prawa powszechnego. Skarżący podkreśla jednak, że nie został oskarżony w niniejszej sprawie o udział w próbie zamachu stanu i że w związku z tym nie może być mowy o przypadku </w:t>
      </w:r>
      <w:r w:rsidR="00AD4D3A">
        <w:rPr>
          <w:i/>
          <w:iCs/>
          <w:lang w:val="pl-PL"/>
        </w:rPr>
        <w:t xml:space="preserve">in </w:t>
      </w:r>
      <w:proofErr w:type="spellStart"/>
      <w:r w:rsidR="00AD4D3A">
        <w:rPr>
          <w:i/>
          <w:iCs/>
          <w:lang w:val="pl-PL"/>
        </w:rPr>
        <w:t>flagrante</w:t>
      </w:r>
      <w:proofErr w:type="spellEnd"/>
      <w:r w:rsidR="00E95B67" w:rsidRPr="00FD65C9">
        <w:rPr>
          <w:i/>
          <w:iCs/>
          <w:lang w:val="pl-PL"/>
        </w:rPr>
        <w:t xml:space="preserve"> </w:t>
      </w:r>
      <w:proofErr w:type="spellStart"/>
      <w:r w:rsidR="00E95B67" w:rsidRPr="00FD65C9">
        <w:rPr>
          <w:i/>
          <w:iCs/>
          <w:lang w:val="pl-PL"/>
        </w:rPr>
        <w:t>delicto</w:t>
      </w:r>
      <w:proofErr w:type="spellEnd"/>
      <w:r w:rsidR="00E95B67" w:rsidRPr="00FD65C9">
        <w:rPr>
          <w:lang w:val="pl-PL"/>
        </w:rPr>
        <w:t xml:space="preserve">. Ponadto stwierdził, że przypadki </w:t>
      </w:r>
      <w:r w:rsidR="00AD4D3A">
        <w:rPr>
          <w:i/>
          <w:iCs/>
          <w:lang w:val="pl-PL"/>
        </w:rPr>
        <w:t xml:space="preserve">in </w:t>
      </w:r>
      <w:proofErr w:type="spellStart"/>
      <w:r w:rsidR="00AD4D3A">
        <w:rPr>
          <w:i/>
          <w:iCs/>
          <w:lang w:val="pl-PL"/>
        </w:rPr>
        <w:t>flagrante</w:t>
      </w:r>
      <w:proofErr w:type="spellEnd"/>
      <w:r w:rsidR="00E95B67" w:rsidRPr="00FD65C9">
        <w:rPr>
          <w:i/>
          <w:iCs/>
          <w:lang w:val="pl-PL"/>
        </w:rPr>
        <w:t xml:space="preserve"> </w:t>
      </w:r>
      <w:proofErr w:type="spellStart"/>
      <w:r w:rsidR="00E95B67" w:rsidRPr="00FD65C9">
        <w:rPr>
          <w:i/>
          <w:iCs/>
          <w:lang w:val="pl-PL"/>
        </w:rPr>
        <w:t>delicto</w:t>
      </w:r>
      <w:proofErr w:type="spellEnd"/>
      <w:r w:rsidR="00E95B67" w:rsidRPr="00FD65C9">
        <w:rPr>
          <w:lang w:val="pl-PL"/>
        </w:rPr>
        <w:t xml:space="preserve"> zostały wymienione w art. 2 kpk, a </w:t>
      </w:r>
      <w:r w:rsidR="003F081C">
        <w:rPr>
          <w:lang w:val="pl-PL"/>
        </w:rPr>
        <w:t xml:space="preserve">jego </w:t>
      </w:r>
      <w:r w:rsidR="00E95B67" w:rsidRPr="00FD65C9">
        <w:rPr>
          <w:lang w:val="pl-PL"/>
        </w:rPr>
        <w:t xml:space="preserve">sytuacja </w:t>
      </w:r>
      <w:r w:rsidR="00F76D6B" w:rsidRPr="00FD65C9">
        <w:rPr>
          <w:lang w:val="pl-PL"/>
        </w:rPr>
        <w:t>wyraźnie nie mieści się w </w:t>
      </w:r>
      <w:r w:rsidR="00E95B67" w:rsidRPr="00FD65C9">
        <w:rPr>
          <w:lang w:val="pl-PL"/>
        </w:rPr>
        <w:t>tych kategoriach.</w:t>
      </w:r>
    </w:p>
    <w:p w14:paraId="02283658" w14:textId="77777777"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91</w:t>
      </w:r>
      <w:r w:rsidRPr="00FD65C9">
        <w:rPr>
          <w:lang w:val="pl-PL"/>
        </w:rPr>
        <w:fldChar w:fldCharType="end"/>
      </w:r>
      <w:r w:rsidR="00E95B67" w:rsidRPr="00FD65C9">
        <w:rPr>
          <w:lang w:val="pl-PL"/>
        </w:rPr>
        <w:t>.  Skarżący podniósł również, że zarzucane mu czyny mogły zostać popełnione jedynie w trakcie pełnienia przez niego obowiązków służbowych, ponieważ zarzucane mu przestępstwo opierało się na działaniach, w które był zaangażowany zgodnie z instrukcjami organizacji terrorystycznej.</w:t>
      </w:r>
    </w:p>
    <w:p w14:paraId="5BB97EE5" w14:textId="77777777" w:rsidR="00E95B67" w:rsidRPr="00FD65C9" w:rsidRDefault="00E95B67" w:rsidP="00622760">
      <w:pPr>
        <w:pStyle w:val="ECHRHeading4"/>
        <w:rPr>
          <w:lang w:val="pl-PL"/>
        </w:rPr>
      </w:pPr>
      <w:r w:rsidRPr="00FD65C9">
        <w:rPr>
          <w:iCs w:val="0"/>
          <w:lang w:val="pl-PL"/>
        </w:rPr>
        <w:t>b) Rząd</w:t>
      </w:r>
    </w:p>
    <w:p w14:paraId="7646087B" w14:textId="77777777"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92</w:t>
      </w:r>
      <w:r w:rsidRPr="00FD65C9">
        <w:rPr>
          <w:lang w:val="pl-PL"/>
        </w:rPr>
        <w:fldChar w:fldCharType="end"/>
      </w:r>
      <w:r w:rsidR="00E95B67" w:rsidRPr="00FD65C9">
        <w:rPr>
          <w:lang w:val="pl-PL"/>
        </w:rPr>
        <w:t>.  Rząd stwierdza przede wszystkim, że dokumenty Rady Europy nie zabraniają ścigania sędziego oskarżoneg</w:t>
      </w:r>
      <w:r w:rsidR="00F76D6B" w:rsidRPr="00FD65C9">
        <w:rPr>
          <w:lang w:val="pl-PL"/>
        </w:rPr>
        <w:t>o o popełnienie przestępstwa. W </w:t>
      </w:r>
      <w:r w:rsidR="00E95B67" w:rsidRPr="00FD65C9">
        <w:rPr>
          <w:lang w:val="pl-PL"/>
        </w:rPr>
        <w:t>opinii Rządu tymczasowe aresztowanie skarżącego w niniejszej sprawie było zgodne z prawem krajowym, które z kolei było zgodne z Konwencją.</w:t>
      </w:r>
    </w:p>
    <w:p w14:paraId="77C06019" w14:textId="26EBFC4F"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93</w:t>
      </w:r>
      <w:r w:rsidRPr="00FD65C9">
        <w:rPr>
          <w:lang w:val="pl-PL"/>
        </w:rPr>
        <w:fldChar w:fldCharType="end"/>
      </w:r>
      <w:r w:rsidR="00E95B67" w:rsidRPr="00FD65C9">
        <w:rPr>
          <w:lang w:val="pl-PL"/>
        </w:rPr>
        <w:t xml:space="preserve">.  Rząd stwierdził, że skarżący został </w:t>
      </w:r>
      <w:r w:rsidR="00773050">
        <w:rPr>
          <w:lang w:val="pl-PL"/>
        </w:rPr>
        <w:t>tymczasowo aresztowany</w:t>
      </w:r>
      <w:r w:rsidR="00E95B67" w:rsidRPr="00FD65C9">
        <w:rPr>
          <w:lang w:val="pl-PL"/>
        </w:rPr>
        <w:t xml:space="preserve"> na podstawie art. 100 kpk. Rząd uściśl</w:t>
      </w:r>
      <w:r w:rsidR="00F76D6B" w:rsidRPr="00FD65C9">
        <w:rPr>
          <w:lang w:val="pl-PL"/>
        </w:rPr>
        <w:t>a, że skarżący był podejrzany o </w:t>
      </w:r>
      <w:r w:rsidR="00E95B67" w:rsidRPr="00FD65C9">
        <w:rPr>
          <w:lang w:val="pl-PL"/>
        </w:rPr>
        <w:t>przynależność do organizacji terro</w:t>
      </w:r>
      <w:r w:rsidR="00F76D6B" w:rsidRPr="00FD65C9">
        <w:rPr>
          <w:lang w:val="pl-PL"/>
        </w:rPr>
        <w:t>rystycznej FETÖ/PDY. Dodaje, że </w:t>
      </w:r>
      <w:r w:rsidR="00E95B67" w:rsidRPr="00FD65C9">
        <w:rPr>
          <w:lang w:val="pl-PL"/>
        </w:rPr>
        <w:t>chociaż art. 16 i 17 ustawy nr 6216 p</w:t>
      </w:r>
      <w:r w:rsidR="00F76D6B" w:rsidRPr="00FD65C9">
        <w:rPr>
          <w:lang w:val="pl-PL"/>
        </w:rPr>
        <w:t>rzewidują specjalną procedurę w </w:t>
      </w:r>
      <w:r w:rsidR="00E95B67" w:rsidRPr="00FD65C9">
        <w:rPr>
          <w:lang w:val="pl-PL"/>
        </w:rPr>
        <w:t>prowadzeniu postępowań k</w:t>
      </w:r>
      <w:r w:rsidR="00F76D6B" w:rsidRPr="00FD65C9">
        <w:rPr>
          <w:lang w:val="pl-PL"/>
        </w:rPr>
        <w:t>arnych przeciwko członkom TK, w </w:t>
      </w:r>
      <w:r w:rsidR="00E95B67" w:rsidRPr="00FD65C9">
        <w:rPr>
          <w:lang w:val="pl-PL"/>
        </w:rPr>
        <w:t xml:space="preserve">przypadkach </w:t>
      </w:r>
      <w:r w:rsidR="00AD4D3A">
        <w:rPr>
          <w:i/>
          <w:iCs/>
          <w:lang w:val="pl-PL"/>
        </w:rPr>
        <w:t xml:space="preserve">in </w:t>
      </w:r>
      <w:proofErr w:type="spellStart"/>
      <w:r w:rsidR="00AD4D3A">
        <w:rPr>
          <w:i/>
          <w:iCs/>
          <w:lang w:val="pl-PL"/>
        </w:rPr>
        <w:t>flagrante</w:t>
      </w:r>
      <w:proofErr w:type="spellEnd"/>
      <w:r w:rsidR="00E95B67" w:rsidRPr="00FD65C9">
        <w:rPr>
          <w:i/>
          <w:iCs/>
          <w:lang w:val="pl-PL"/>
        </w:rPr>
        <w:t xml:space="preserve"> </w:t>
      </w:r>
      <w:proofErr w:type="spellStart"/>
      <w:r w:rsidR="00E95B67" w:rsidRPr="00FD65C9">
        <w:rPr>
          <w:i/>
          <w:iCs/>
          <w:lang w:val="pl-PL"/>
        </w:rPr>
        <w:t>delicto</w:t>
      </w:r>
      <w:proofErr w:type="spellEnd"/>
      <w:r w:rsidR="00E95B67" w:rsidRPr="00FD65C9">
        <w:rPr>
          <w:lang w:val="pl-PL"/>
        </w:rPr>
        <w:t xml:space="preserve"> podlegających </w:t>
      </w:r>
      <w:r w:rsidR="00B372F9">
        <w:rPr>
          <w:lang w:val="pl-PL"/>
        </w:rPr>
        <w:t>właściwości</w:t>
      </w:r>
      <w:r w:rsidR="00B372F9" w:rsidRPr="00FD65C9">
        <w:rPr>
          <w:lang w:val="pl-PL"/>
        </w:rPr>
        <w:t xml:space="preserve"> </w:t>
      </w:r>
      <w:r w:rsidR="00E95B67" w:rsidRPr="00FD65C9">
        <w:rPr>
          <w:lang w:val="pl-PL"/>
        </w:rPr>
        <w:t xml:space="preserve">sądów przysięgłych </w:t>
      </w:r>
      <w:r w:rsidR="00B372F9">
        <w:rPr>
          <w:lang w:val="pl-PL"/>
        </w:rPr>
        <w:t>postępowanie przygotowawcze</w:t>
      </w:r>
      <w:r w:rsidR="00B372F9" w:rsidRPr="00FD65C9">
        <w:rPr>
          <w:lang w:val="pl-PL"/>
        </w:rPr>
        <w:t xml:space="preserve"> </w:t>
      </w:r>
      <w:r w:rsidR="00E95B67" w:rsidRPr="00FD65C9">
        <w:rPr>
          <w:lang w:val="pl-PL"/>
        </w:rPr>
        <w:t xml:space="preserve">jest prowadzone zgodnie z przepisami prawa powszechnego i mogą zostać </w:t>
      </w:r>
      <w:r w:rsidR="00B372F9">
        <w:rPr>
          <w:lang w:val="pl-PL"/>
        </w:rPr>
        <w:t>zastosowane</w:t>
      </w:r>
      <w:r w:rsidR="00B372F9" w:rsidRPr="00FD65C9">
        <w:rPr>
          <w:lang w:val="pl-PL"/>
        </w:rPr>
        <w:t xml:space="preserve"> </w:t>
      </w:r>
      <w:r w:rsidR="00E95B67" w:rsidRPr="00FD65C9">
        <w:rPr>
          <w:lang w:val="pl-PL"/>
        </w:rPr>
        <w:t>środki zapobiegawcze.</w:t>
      </w:r>
    </w:p>
    <w:p w14:paraId="2A33A462" w14:textId="720E996A"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94</w:t>
      </w:r>
      <w:r w:rsidRPr="00FD65C9">
        <w:rPr>
          <w:lang w:val="pl-PL"/>
        </w:rPr>
        <w:fldChar w:fldCharType="end"/>
      </w:r>
      <w:r w:rsidR="00E95B67" w:rsidRPr="00FD65C9">
        <w:rPr>
          <w:lang w:val="pl-PL"/>
        </w:rPr>
        <w:t xml:space="preserve">.  Rząd podniósł, że prokuratura w </w:t>
      </w:r>
      <w:r w:rsidR="00F76D6B" w:rsidRPr="00FD65C9">
        <w:rPr>
          <w:lang w:val="pl-PL"/>
        </w:rPr>
        <w:t>Ankarze wystąpiła z wnioskiem o </w:t>
      </w:r>
      <w:r w:rsidR="00B372F9" w:rsidRPr="00FD65C9">
        <w:rPr>
          <w:lang w:val="pl-PL"/>
        </w:rPr>
        <w:t>za</w:t>
      </w:r>
      <w:r w:rsidR="00B372F9">
        <w:rPr>
          <w:lang w:val="pl-PL"/>
        </w:rPr>
        <w:t>stosowanie wobec</w:t>
      </w:r>
      <w:r w:rsidR="00B372F9" w:rsidRPr="00FD65C9">
        <w:rPr>
          <w:lang w:val="pl-PL"/>
        </w:rPr>
        <w:t xml:space="preserve"> </w:t>
      </w:r>
      <w:r w:rsidR="00E95B67" w:rsidRPr="00FD65C9">
        <w:rPr>
          <w:lang w:val="pl-PL"/>
        </w:rPr>
        <w:t xml:space="preserve">skarżącego </w:t>
      </w:r>
      <w:r w:rsidR="00B372F9">
        <w:rPr>
          <w:lang w:val="pl-PL"/>
        </w:rPr>
        <w:t xml:space="preserve">tymczasowego aresztowania </w:t>
      </w:r>
      <w:r w:rsidR="00E95B67" w:rsidRPr="00FD65C9">
        <w:rPr>
          <w:lang w:val="pl-PL"/>
        </w:rPr>
        <w:t>na podstawie podejrzeń, że popełnił on przestępstwo „próby obalenia lub zmiany porządku konstytucyjnego” oraz przestępstwo „przynależności do zbrojnej organ</w:t>
      </w:r>
      <w:r w:rsidR="00F76D6B" w:rsidRPr="00FD65C9">
        <w:rPr>
          <w:lang w:val="pl-PL"/>
        </w:rPr>
        <w:t>izacji terrorystycznej” w </w:t>
      </w:r>
      <w:r w:rsidR="00E95B67" w:rsidRPr="00FD65C9">
        <w:rPr>
          <w:lang w:val="pl-PL"/>
        </w:rPr>
        <w:t xml:space="preserve">związku z próbą zamachu stanu z dnia 15 lipca 2016 r. Odnosząc się do stanowiska TK (zob. paragraf 42 powyżej, pkt 123 wyroku TK), Rząd stwierdził, że były to w sposób wyraźny przestępstwa o charakterze niepolitycznym podlegające </w:t>
      </w:r>
      <w:r w:rsidR="00B372F9">
        <w:rPr>
          <w:lang w:val="pl-PL"/>
        </w:rPr>
        <w:t>właściwości</w:t>
      </w:r>
      <w:r w:rsidR="00B372F9" w:rsidRPr="00FD65C9">
        <w:rPr>
          <w:lang w:val="pl-PL"/>
        </w:rPr>
        <w:t xml:space="preserve"> </w:t>
      </w:r>
      <w:r w:rsidR="00E95B67" w:rsidRPr="00FD65C9">
        <w:rPr>
          <w:lang w:val="pl-PL"/>
        </w:rPr>
        <w:t>sądu przysięgłych, a nie przestępstwa popełnione podczas sprawowania urzędu lub w trakcie wykonywania obowiązków służbowych.</w:t>
      </w:r>
    </w:p>
    <w:p w14:paraId="1A35FC7A" w14:textId="2BBDD837"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95</w:t>
      </w:r>
      <w:r w:rsidRPr="00FD65C9">
        <w:rPr>
          <w:lang w:val="pl-PL"/>
        </w:rPr>
        <w:fldChar w:fldCharType="end"/>
      </w:r>
      <w:r w:rsidR="00E95B67" w:rsidRPr="00FD65C9">
        <w:rPr>
          <w:lang w:val="pl-PL"/>
        </w:rPr>
        <w:t>.  Ponadto Rząd stwierdził, że argument skarżącego, iż starał się on skorzystać ze statusu przyznanego członkom TK podstawie art. 16 i 17 ustawy nr 6216</w:t>
      </w:r>
      <w:r w:rsidR="003F081C">
        <w:rPr>
          <w:lang w:val="pl-PL"/>
        </w:rPr>
        <w:t>,</w:t>
      </w:r>
      <w:r w:rsidR="00E95B67" w:rsidRPr="00FD65C9">
        <w:rPr>
          <w:lang w:val="pl-PL"/>
        </w:rPr>
        <w:t xml:space="preserve"> nie został </w:t>
      </w:r>
      <w:r w:rsidR="00B372F9">
        <w:rPr>
          <w:lang w:val="pl-PL"/>
        </w:rPr>
        <w:t>uznany</w:t>
      </w:r>
      <w:r w:rsidR="00B372F9" w:rsidRPr="00FD65C9">
        <w:rPr>
          <w:lang w:val="pl-PL"/>
        </w:rPr>
        <w:t xml:space="preserve"> </w:t>
      </w:r>
      <w:r w:rsidR="00E95B67" w:rsidRPr="00FD65C9">
        <w:rPr>
          <w:lang w:val="pl-PL"/>
        </w:rPr>
        <w:t xml:space="preserve">przez sędziego pokoju </w:t>
      </w:r>
      <w:r w:rsidR="00B372F9">
        <w:rPr>
          <w:lang w:val="pl-PL"/>
        </w:rPr>
        <w:t xml:space="preserve">za zasadny </w:t>
      </w:r>
      <w:r w:rsidR="00E95B67" w:rsidRPr="00FD65C9">
        <w:rPr>
          <w:lang w:val="pl-PL"/>
        </w:rPr>
        <w:t xml:space="preserve">– w tym przypadku drugiego sędziego pokoju – który </w:t>
      </w:r>
      <w:r w:rsidR="00B372F9">
        <w:rPr>
          <w:lang w:val="pl-PL"/>
        </w:rPr>
        <w:t>wydał postanowienie o zastosowaniu</w:t>
      </w:r>
      <w:r w:rsidR="00B372F9" w:rsidRPr="00FD65C9">
        <w:rPr>
          <w:lang w:val="pl-PL"/>
        </w:rPr>
        <w:t xml:space="preserve"> </w:t>
      </w:r>
      <w:r w:rsidR="00B372F9">
        <w:rPr>
          <w:lang w:val="pl-PL"/>
        </w:rPr>
        <w:t>tymczasowego aresztowania wobec</w:t>
      </w:r>
      <w:r w:rsidR="00B372F9" w:rsidRPr="00FD65C9">
        <w:rPr>
          <w:lang w:val="pl-PL"/>
        </w:rPr>
        <w:t xml:space="preserve"> </w:t>
      </w:r>
      <w:r w:rsidR="00E95B67" w:rsidRPr="00FD65C9">
        <w:rPr>
          <w:lang w:val="pl-PL"/>
        </w:rPr>
        <w:t xml:space="preserve">skarżącego. Rząd dodał, że sędzia ten uznał, iż </w:t>
      </w:r>
      <w:r w:rsidR="00B372F9">
        <w:rPr>
          <w:lang w:val="pl-PL"/>
        </w:rPr>
        <w:t>postępowanie przygotowawcze</w:t>
      </w:r>
      <w:r w:rsidR="00E95B67" w:rsidRPr="00FD65C9">
        <w:rPr>
          <w:lang w:val="pl-PL"/>
        </w:rPr>
        <w:t xml:space="preserve"> podlega przepisom prawa powszechnego, ponieważ </w:t>
      </w:r>
      <w:r w:rsidR="00B372F9">
        <w:rPr>
          <w:lang w:val="pl-PL"/>
        </w:rPr>
        <w:t>zarzucane</w:t>
      </w:r>
      <w:r w:rsidR="00E95B67" w:rsidRPr="00FD65C9">
        <w:rPr>
          <w:lang w:val="pl-PL"/>
        </w:rPr>
        <w:t xml:space="preserve"> podejrzan</w:t>
      </w:r>
      <w:r w:rsidR="00B372F9">
        <w:rPr>
          <w:lang w:val="pl-PL"/>
        </w:rPr>
        <w:t>emu</w:t>
      </w:r>
      <w:r w:rsidR="00E95B67" w:rsidRPr="00FD65C9">
        <w:rPr>
          <w:lang w:val="pl-PL"/>
        </w:rPr>
        <w:t xml:space="preserve"> </w:t>
      </w:r>
      <w:r w:rsidR="00B372F9">
        <w:rPr>
          <w:lang w:val="pl-PL"/>
        </w:rPr>
        <w:t>przestępstwo</w:t>
      </w:r>
      <w:r w:rsidR="00E95B67" w:rsidRPr="00FD65C9">
        <w:rPr>
          <w:lang w:val="pl-PL"/>
        </w:rPr>
        <w:t>, a mianowicie przynależność do zbrojnej organizacji terrorystycznej, stanowiło „</w:t>
      </w:r>
      <w:r w:rsidR="00126E4C">
        <w:rPr>
          <w:lang w:val="pl-PL"/>
        </w:rPr>
        <w:t>czyn</w:t>
      </w:r>
      <w:r w:rsidR="00126E4C" w:rsidRPr="00FD65C9">
        <w:rPr>
          <w:lang w:val="pl-PL"/>
        </w:rPr>
        <w:t xml:space="preserve"> </w:t>
      </w:r>
      <w:r w:rsidR="00E95B67" w:rsidRPr="00FD65C9">
        <w:rPr>
          <w:lang w:val="pl-PL"/>
        </w:rPr>
        <w:t xml:space="preserve">o charakterze ciągłym” oraz że stanowiło przypadek </w:t>
      </w:r>
      <w:r w:rsidR="00AD4D3A">
        <w:rPr>
          <w:i/>
          <w:iCs/>
          <w:lang w:val="pl-PL"/>
        </w:rPr>
        <w:t xml:space="preserve">in </w:t>
      </w:r>
      <w:proofErr w:type="spellStart"/>
      <w:r w:rsidR="00AD4D3A">
        <w:rPr>
          <w:i/>
          <w:iCs/>
          <w:lang w:val="pl-PL"/>
        </w:rPr>
        <w:t>flagrante</w:t>
      </w:r>
      <w:proofErr w:type="spellEnd"/>
      <w:r w:rsidR="00E95B67" w:rsidRPr="00FD65C9">
        <w:rPr>
          <w:i/>
          <w:iCs/>
          <w:lang w:val="pl-PL"/>
        </w:rPr>
        <w:t xml:space="preserve"> </w:t>
      </w:r>
      <w:proofErr w:type="spellStart"/>
      <w:r w:rsidR="00E95B67" w:rsidRPr="00FD65C9">
        <w:rPr>
          <w:i/>
          <w:iCs/>
          <w:lang w:val="pl-PL"/>
        </w:rPr>
        <w:t>delicto</w:t>
      </w:r>
      <w:proofErr w:type="spellEnd"/>
      <w:r w:rsidR="00E95B67" w:rsidRPr="00FD65C9">
        <w:rPr>
          <w:lang w:val="pl-PL"/>
        </w:rPr>
        <w:t xml:space="preserve">. Rząd odniósł się do ustaleń prokuratury w Ankarze zawartych </w:t>
      </w:r>
      <w:r w:rsidR="00F76D6B" w:rsidRPr="00FD65C9">
        <w:rPr>
          <w:lang w:val="pl-PL"/>
        </w:rPr>
        <w:t>w sprawozdaniu podsumowującym z </w:t>
      </w:r>
      <w:r w:rsidR="00E95B67" w:rsidRPr="00FD65C9">
        <w:rPr>
          <w:lang w:val="pl-PL"/>
        </w:rPr>
        <w:t xml:space="preserve">dnia 25 października 2017 r. – który </w:t>
      </w:r>
      <w:r w:rsidR="00126E4C">
        <w:rPr>
          <w:lang w:val="pl-PL"/>
        </w:rPr>
        <w:t>przytoczył</w:t>
      </w:r>
      <w:r w:rsidR="00126E4C" w:rsidRPr="00FD65C9">
        <w:rPr>
          <w:lang w:val="pl-PL"/>
        </w:rPr>
        <w:t xml:space="preserve"> </w:t>
      </w:r>
      <w:r w:rsidR="00E95B67" w:rsidRPr="00FD65C9">
        <w:rPr>
          <w:lang w:val="pl-PL"/>
        </w:rPr>
        <w:t xml:space="preserve">– że w czasie okoliczności faktycznych sprawy nie wykluczono całkowicie ryzyka zamachu stanu, że w grę wchodził przypadek </w:t>
      </w:r>
      <w:r w:rsidR="00AD4D3A">
        <w:rPr>
          <w:i/>
          <w:iCs/>
          <w:lang w:val="pl-PL"/>
        </w:rPr>
        <w:t xml:space="preserve">in </w:t>
      </w:r>
      <w:proofErr w:type="spellStart"/>
      <w:r w:rsidR="00AD4D3A">
        <w:rPr>
          <w:i/>
          <w:iCs/>
          <w:lang w:val="pl-PL"/>
        </w:rPr>
        <w:t>flagrante</w:t>
      </w:r>
      <w:proofErr w:type="spellEnd"/>
      <w:r w:rsidR="00E95B67" w:rsidRPr="00FD65C9">
        <w:rPr>
          <w:i/>
          <w:iCs/>
          <w:lang w:val="pl-PL"/>
        </w:rPr>
        <w:t xml:space="preserve"> </w:t>
      </w:r>
      <w:proofErr w:type="spellStart"/>
      <w:r w:rsidR="00E95B67" w:rsidRPr="00FD65C9">
        <w:rPr>
          <w:i/>
          <w:iCs/>
          <w:lang w:val="pl-PL"/>
        </w:rPr>
        <w:t>delicto</w:t>
      </w:r>
      <w:proofErr w:type="spellEnd"/>
      <w:r w:rsidR="00E95B67" w:rsidRPr="00FD65C9">
        <w:rPr>
          <w:lang w:val="pl-PL"/>
        </w:rPr>
        <w:t xml:space="preserve"> podlegający </w:t>
      </w:r>
      <w:r w:rsidR="00126E4C">
        <w:rPr>
          <w:lang w:val="pl-PL"/>
        </w:rPr>
        <w:t>właściwości</w:t>
      </w:r>
      <w:r w:rsidR="00126E4C" w:rsidRPr="00FD65C9">
        <w:rPr>
          <w:lang w:val="pl-PL"/>
        </w:rPr>
        <w:t xml:space="preserve"> </w:t>
      </w:r>
      <w:r w:rsidR="00E95B67" w:rsidRPr="00FD65C9">
        <w:rPr>
          <w:lang w:val="pl-PL"/>
        </w:rPr>
        <w:t xml:space="preserve">sądu przysięgłych i że w związku z tym w dniu 16 lipca 2016 r. wszczęto przeciwko skarżącemu </w:t>
      </w:r>
      <w:r w:rsidR="00126E4C">
        <w:rPr>
          <w:lang w:val="pl-PL"/>
        </w:rPr>
        <w:t xml:space="preserve">postępowanie przygotowawcze </w:t>
      </w:r>
      <w:r w:rsidR="00E95B67" w:rsidRPr="00FD65C9">
        <w:rPr>
          <w:lang w:val="pl-PL"/>
        </w:rPr>
        <w:t>na podstawie przepisów prawa powszechnego.</w:t>
      </w:r>
    </w:p>
    <w:p w14:paraId="242382A1" w14:textId="3F0E8F13"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96</w:t>
      </w:r>
      <w:r w:rsidRPr="00FD65C9">
        <w:rPr>
          <w:lang w:val="pl-PL"/>
        </w:rPr>
        <w:fldChar w:fldCharType="end"/>
      </w:r>
      <w:r w:rsidR="00E95B67" w:rsidRPr="00FD65C9">
        <w:rPr>
          <w:lang w:val="pl-PL"/>
        </w:rPr>
        <w:t xml:space="preserve">.  Rząd podniósł również, że z utrwalonego orzecznictwa sądu kasacyjnego jasno wynika, iż przestępstwo przynależności do zbrojnej organizacji terrorystycznej jest </w:t>
      </w:r>
      <w:r w:rsidR="00B27EE8">
        <w:rPr>
          <w:lang w:val="pl-PL"/>
        </w:rPr>
        <w:t>czynem</w:t>
      </w:r>
      <w:r w:rsidR="00B27EE8" w:rsidRPr="00FD65C9">
        <w:rPr>
          <w:lang w:val="pl-PL"/>
        </w:rPr>
        <w:t xml:space="preserve"> </w:t>
      </w:r>
      <w:r w:rsidR="00E95B67" w:rsidRPr="00FD65C9">
        <w:rPr>
          <w:lang w:val="pl-PL"/>
        </w:rPr>
        <w:t xml:space="preserve">o charakterze ciągłym podlegającym </w:t>
      </w:r>
      <w:r w:rsidR="00B27EE8">
        <w:rPr>
          <w:lang w:val="pl-PL"/>
        </w:rPr>
        <w:t xml:space="preserve">właściwości </w:t>
      </w:r>
      <w:r w:rsidR="00E95B67" w:rsidRPr="00FD65C9">
        <w:rPr>
          <w:lang w:val="pl-PL"/>
        </w:rPr>
        <w:t xml:space="preserve">sądu przysięgłych. Ponadto Rząd odwołuje się do ustalenia sądu kasacyjnego, obradującego w składzie </w:t>
      </w:r>
      <w:r w:rsidR="00AD4D3A">
        <w:rPr>
          <w:lang w:val="pl-PL"/>
        </w:rPr>
        <w:t xml:space="preserve">połączonych </w:t>
      </w:r>
      <w:r w:rsidR="00E95B67" w:rsidRPr="00FD65C9">
        <w:rPr>
          <w:lang w:val="pl-PL"/>
        </w:rPr>
        <w:t xml:space="preserve">izb karnych, wyrażonego w wyroku z dnia 10 października 2017 r., zgodnie z którym „sytuacja </w:t>
      </w:r>
      <w:r w:rsidR="00AD4D3A">
        <w:rPr>
          <w:i/>
          <w:iCs/>
          <w:lang w:val="pl-PL"/>
        </w:rPr>
        <w:t xml:space="preserve">in </w:t>
      </w:r>
      <w:proofErr w:type="spellStart"/>
      <w:r w:rsidR="00AD4D3A">
        <w:rPr>
          <w:i/>
          <w:iCs/>
          <w:lang w:val="pl-PL"/>
        </w:rPr>
        <w:t>flagrante</w:t>
      </w:r>
      <w:proofErr w:type="spellEnd"/>
      <w:r w:rsidR="00E95B67" w:rsidRPr="00FD65C9">
        <w:rPr>
          <w:i/>
          <w:iCs/>
          <w:lang w:val="pl-PL"/>
        </w:rPr>
        <w:t xml:space="preserve"> </w:t>
      </w:r>
      <w:proofErr w:type="spellStart"/>
      <w:r w:rsidR="00E95B67" w:rsidRPr="00FD65C9">
        <w:rPr>
          <w:i/>
          <w:iCs/>
          <w:lang w:val="pl-PL"/>
        </w:rPr>
        <w:t>delicto</w:t>
      </w:r>
      <w:proofErr w:type="spellEnd"/>
      <w:r w:rsidR="00E95B67" w:rsidRPr="00FD65C9">
        <w:rPr>
          <w:lang w:val="pl-PL"/>
        </w:rPr>
        <w:t xml:space="preserve"> wchodzi w grę w </w:t>
      </w:r>
      <w:r w:rsidR="00B27EE8">
        <w:rPr>
          <w:lang w:val="pl-PL"/>
        </w:rPr>
        <w:t>chwili zatrzymania</w:t>
      </w:r>
      <w:r w:rsidR="00E95B67" w:rsidRPr="00FD65C9">
        <w:rPr>
          <w:lang w:val="pl-PL"/>
        </w:rPr>
        <w:t xml:space="preserve"> sędziów podejrzanych o przestępstwo przynależności do organizacji zbrojnej, a [zatem] </w:t>
      </w:r>
      <w:r w:rsidR="00B27EE8">
        <w:rPr>
          <w:lang w:val="pl-PL"/>
        </w:rPr>
        <w:t>postępowanie przygotowawcze</w:t>
      </w:r>
      <w:r w:rsidR="00B27EE8" w:rsidRPr="00FD65C9">
        <w:rPr>
          <w:lang w:val="pl-PL"/>
        </w:rPr>
        <w:t xml:space="preserve"> </w:t>
      </w:r>
      <w:r w:rsidR="00E95B67" w:rsidRPr="00FD65C9">
        <w:rPr>
          <w:lang w:val="pl-PL"/>
        </w:rPr>
        <w:t>musi być prowadzone zgodnie z przepisami ogólnymi” (paragraf 63 powyżej).</w:t>
      </w:r>
    </w:p>
    <w:p w14:paraId="015717B5" w14:textId="1F4F567D"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97</w:t>
      </w:r>
      <w:r w:rsidRPr="00FD65C9">
        <w:rPr>
          <w:lang w:val="pl-PL"/>
        </w:rPr>
        <w:fldChar w:fldCharType="end"/>
      </w:r>
      <w:r w:rsidR="00E95B67" w:rsidRPr="00FD65C9">
        <w:rPr>
          <w:lang w:val="pl-PL"/>
        </w:rPr>
        <w:t>.  Rząd doszedł do wniosku, że w świetle wyżej wymienionego orzecznictwa i okoliczności sprawy, w odniesieniu do przestępstwa przynależności do zbrojnej organizacji terrorystycznej zachodzi przypadek</w:t>
      </w:r>
      <w:r w:rsidR="00E95B67" w:rsidRPr="00FD65C9">
        <w:rPr>
          <w:i/>
          <w:iCs/>
          <w:lang w:val="pl-PL"/>
        </w:rPr>
        <w:t xml:space="preserve"> </w:t>
      </w:r>
      <w:r w:rsidR="00AD4D3A">
        <w:rPr>
          <w:i/>
          <w:iCs/>
          <w:lang w:val="pl-PL"/>
        </w:rPr>
        <w:t xml:space="preserve">in </w:t>
      </w:r>
      <w:proofErr w:type="spellStart"/>
      <w:r w:rsidR="00AD4D3A">
        <w:rPr>
          <w:i/>
          <w:iCs/>
          <w:lang w:val="pl-PL"/>
        </w:rPr>
        <w:t>flagrante</w:t>
      </w:r>
      <w:proofErr w:type="spellEnd"/>
      <w:r w:rsidR="00E95B67" w:rsidRPr="00FD65C9">
        <w:rPr>
          <w:i/>
          <w:iCs/>
          <w:lang w:val="pl-PL"/>
        </w:rPr>
        <w:t xml:space="preserve"> </w:t>
      </w:r>
      <w:proofErr w:type="spellStart"/>
      <w:r w:rsidR="00E95B67" w:rsidRPr="00FD65C9">
        <w:rPr>
          <w:i/>
          <w:iCs/>
          <w:lang w:val="pl-PL"/>
        </w:rPr>
        <w:t>delicto</w:t>
      </w:r>
      <w:proofErr w:type="spellEnd"/>
      <w:r w:rsidR="00E95B67" w:rsidRPr="00FD65C9">
        <w:rPr>
          <w:lang w:val="pl-PL"/>
        </w:rPr>
        <w:t xml:space="preserve">. Na poparcie swojego twierdzenia Rząd wskazał, że zatrzymanie i </w:t>
      </w:r>
      <w:r w:rsidR="0078505D">
        <w:rPr>
          <w:lang w:val="pl-PL"/>
        </w:rPr>
        <w:t xml:space="preserve">tymczasowe aresztowania </w:t>
      </w:r>
      <w:r w:rsidR="00E95B67" w:rsidRPr="00FD65C9">
        <w:rPr>
          <w:lang w:val="pl-PL"/>
        </w:rPr>
        <w:t xml:space="preserve">skarżącego miało miejsce w następstwie próby zamachu stanu, która została udaremniona przez władze, w nocy z 15 na 16 lipca 2016 r. Rząd zaznaczył również, że skarżący został zatrzymany za przestępstwo przynależności do organizacji FETÖ/PDY, która była uważana za inicjatora próby zamachu stanu i została </w:t>
      </w:r>
      <w:r w:rsidR="0078505D">
        <w:rPr>
          <w:lang w:val="pl-PL"/>
        </w:rPr>
        <w:t>uznana</w:t>
      </w:r>
      <w:r w:rsidR="0078505D" w:rsidRPr="00FD65C9">
        <w:rPr>
          <w:lang w:val="pl-PL"/>
        </w:rPr>
        <w:t xml:space="preserve"> </w:t>
      </w:r>
      <w:r w:rsidR="00E95B67" w:rsidRPr="00FD65C9">
        <w:rPr>
          <w:lang w:val="pl-PL"/>
        </w:rPr>
        <w:t xml:space="preserve">przez sądy </w:t>
      </w:r>
      <w:r w:rsidR="0078505D">
        <w:rPr>
          <w:lang w:val="pl-PL"/>
        </w:rPr>
        <w:t>za</w:t>
      </w:r>
      <w:r w:rsidR="0078505D" w:rsidRPr="00FD65C9">
        <w:rPr>
          <w:lang w:val="pl-PL"/>
        </w:rPr>
        <w:t xml:space="preserve"> </w:t>
      </w:r>
      <w:r w:rsidR="00E95B67" w:rsidRPr="00FD65C9">
        <w:rPr>
          <w:lang w:val="pl-PL"/>
        </w:rPr>
        <w:t>zbrojn</w:t>
      </w:r>
      <w:r w:rsidR="0078505D">
        <w:rPr>
          <w:lang w:val="pl-PL"/>
        </w:rPr>
        <w:t>ą</w:t>
      </w:r>
      <w:r w:rsidR="00E95B67" w:rsidRPr="00FD65C9">
        <w:rPr>
          <w:lang w:val="pl-PL"/>
        </w:rPr>
        <w:t xml:space="preserve"> organizacj</w:t>
      </w:r>
      <w:r w:rsidR="0078505D">
        <w:rPr>
          <w:lang w:val="pl-PL"/>
        </w:rPr>
        <w:t>ę</w:t>
      </w:r>
      <w:r w:rsidR="00E95B67" w:rsidRPr="00FD65C9">
        <w:rPr>
          <w:lang w:val="pl-PL"/>
        </w:rPr>
        <w:t xml:space="preserve"> terrorystyczn</w:t>
      </w:r>
      <w:r w:rsidR="0078505D">
        <w:rPr>
          <w:lang w:val="pl-PL"/>
        </w:rPr>
        <w:t>ą</w:t>
      </w:r>
      <w:r w:rsidR="00E95B67" w:rsidRPr="00FD65C9">
        <w:rPr>
          <w:lang w:val="pl-PL"/>
        </w:rPr>
        <w:t>.</w:t>
      </w:r>
    </w:p>
    <w:p w14:paraId="05353D98" w14:textId="7A9924A8"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98</w:t>
      </w:r>
      <w:r w:rsidRPr="00FD65C9">
        <w:rPr>
          <w:lang w:val="pl-PL"/>
        </w:rPr>
        <w:fldChar w:fldCharType="end"/>
      </w:r>
      <w:r w:rsidR="00E95B67" w:rsidRPr="00FD65C9">
        <w:rPr>
          <w:lang w:val="pl-PL"/>
        </w:rPr>
        <w:t xml:space="preserve">.  W związku z tym w opinii Rządu zarzut skarżącego, że został </w:t>
      </w:r>
      <w:r w:rsidR="0078505D">
        <w:rPr>
          <w:lang w:val="pl-PL"/>
        </w:rPr>
        <w:t>tymczasowo aresztowany</w:t>
      </w:r>
      <w:r w:rsidR="0078505D" w:rsidRPr="00FD65C9">
        <w:rPr>
          <w:lang w:val="pl-PL"/>
        </w:rPr>
        <w:t xml:space="preserve"> </w:t>
      </w:r>
      <w:r w:rsidR="0078505D">
        <w:rPr>
          <w:lang w:val="pl-PL"/>
        </w:rPr>
        <w:t>z pominięciem</w:t>
      </w:r>
      <w:r w:rsidR="0078505D" w:rsidRPr="00FD65C9">
        <w:rPr>
          <w:lang w:val="pl-PL"/>
        </w:rPr>
        <w:t xml:space="preserve"> </w:t>
      </w:r>
      <w:r w:rsidR="00E95B67" w:rsidRPr="00FD65C9">
        <w:rPr>
          <w:lang w:val="pl-PL"/>
        </w:rPr>
        <w:t>gwarancji</w:t>
      </w:r>
      <w:r w:rsidR="00F76D6B" w:rsidRPr="00FD65C9">
        <w:rPr>
          <w:lang w:val="pl-PL"/>
        </w:rPr>
        <w:t xml:space="preserve"> przewidzianych w Konstytucji i </w:t>
      </w:r>
      <w:r w:rsidR="00E95B67" w:rsidRPr="00FD65C9">
        <w:rPr>
          <w:lang w:val="pl-PL"/>
        </w:rPr>
        <w:t xml:space="preserve">ustawie nr 6216 był nieuzasadniony, a </w:t>
      </w:r>
      <w:r w:rsidR="0078505D">
        <w:rPr>
          <w:lang w:val="pl-PL"/>
        </w:rPr>
        <w:t>zastosowanie</w:t>
      </w:r>
      <w:r w:rsidR="00E95B67" w:rsidRPr="00FD65C9">
        <w:rPr>
          <w:lang w:val="pl-PL"/>
        </w:rPr>
        <w:t xml:space="preserve"> </w:t>
      </w:r>
      <w:r w:rsidR="0078505D">
        <w:rPr>
          <w:lang w:val="pl-PL"/>
        </w:rPr>
        <w:t xml:space="preserve">tego środka </w:t>
      </w:r>
      <w:r w:rsidR="00E95B67" w:rsidRPr="00FD65C9">
        <w:rPr>
          <w:lang w:val="pl-PL"/>
        </w:rPr>
        <w:t>było zgodne z odpowiednimi przepisami.</w:t>
      </w:r>
    </w:p>
    <w:p w14:paraId="6688A498" w14:textId="77777777" w:rsidR="00E95B67" w:rsidRPr="00FD65C9" w:rsidRDefault="00E95B67" w:rsidP="00622760">
      <w:pPr>
        <w:pStyle w:val="ECHRHeading3"/>
        <w:rPr>
          <w:lang w:val="pl-PL"/>
        </w:rPr>
      </w:pPr>
      <w:r w:rsidRPr="00FD65C9">
        <w:rPr>
          <w:bCs w:val="0"/>
          <w:iCs/>
          <w:lang w:val="pl-PL"/>
        </w:rPr>
        <w:t>2.  Ocena Trybunału</w:t>
      </w:r>
    </w:p>
    <w:p w14:paraId="231F3F48" w14:textId="77777777" w:rsidR="00E95B67" w:rsidRPr="00FD65C9" w:rsidRDefault="00E95B67" w:rsidP="00622760">
      <w:pPr>
        <w:pStyle w:val="ECHRHeading4"/>
        <w:rPr>
          <w:lang w:val="pl-PL"/>
        </w:rPr>
      </w:pPr>
      <w:r w:rsidRPr="00FD65C9">
        <w:rPr>
          <w:iCs w:val="0"/>
          <w:lang w:val="pl-PL"/>
        </w:rPr>
        <w:t>a) Odpowiednie zasady</w:t>
      </w:r>
    </w:p>
    <w:p w14:paraId="00CB8281" w14:textId="4DFC78E5"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99</w:t>
      </w:r>
      <w:r w:rsidRPr="00FD65C9">
        <w:rPr>
          <w:lang w:val="pl-PL"/>
        </w:rPr>
        <w:fldChar w:fldCharType="end"/>
      </w:r>
      <w:r w:rsidR="00E95B67" w:rsidRPr="00FD65C9">
        <w:rPr>
          <w:lang w:val="pl-PL"/>
        </w:rPr>
        <w:t xml:space="preserve">.  Trybunał przypomina poniżej mające zastosowanie w tym zakresie zasady, które </w:t>
      </w:r>
      <w:r w:rsidR="0078505D">
        <w:rPr>
          <w:lang w:val="pl-PL"/>
        </w:rPr>
        <w:t>wypracowano w</w:t>
      </w:r>
      <w:r w:rsidR="00E95B67" w:rsidRPr="00FD65C9">
        <w:rPr>
          <w:lang w:val="pl-PL"/>
        </w:rPr>
        <w:t xml:space="preserve"> jego orzecznictw</w:t>
      </w:r>
      <w:r w:rsidR="0078505D">
        <w:rPr>
          <w:lang w:val="pl-PL"/>
        </w:rPr>
        <w:t>ie</w:t>
      </w:r>
      <w:r w:rsidR="00E95B67" w:rsidRPr="00FD65C9">
        <w:rPr>
          <w:lang w:val="pl-PL"/>
        </w:rPr>
        <w:t>.</w:t>
      </w:r>
    </w:p>
    <w:p w14:paraId="1A5A3E12" w14:textId="140E86A8" w:rsidR="00E95B67" w:rsidRPr="00FD65C9" w:rsidRDefault="00E95B67" w:rsidP="00622760">
      <w:pPr>
        <w:pStyle w:val="ECHRPara"/>
        <w:rPr>
          <w:lang w:val="pl-PL"/>
        </w:rPr>
      </w:pPr>
      <w:r w:rsidRPr="00FD65C9">
        <w:rPr>
          <w:lang w:val="pl-PL"/>
        </w:rPr>
        <w:t>Artykuł 5 ust. 1 Konwencji gwarantuje podstawowe</w:t>
      </w:r>
      <w:r w:rsidR="00F76D6B" w:rsidRPr="00FD65C9">
        <w:rPr>
          <w:lang w:val="pl-PL"/>
        </w:rPr>
        <w:t xml:space="preserve"> prawo do wolności i </w:t>
      </w:r>
      <w:r w:rsidRPr="00FD65C9">
        <w:rPr>
          <w:lang w:val="pl-PL"/>
        </w:rPr>
        <w:t>bezpieczeństwa osobistego, k</w:t>
      </w:r>
      <w:r w:rsidR="00F76D6B" w:rsidRPr="00FD65C9">
        <w:rPr>
          <w:lang w:val="pl-PL"/>
        </w:rPr>
        <w:t xml:space="preserve">tóre ma </w:t>
      </w:r>
      <w:r w:rsidR="0078505D">
        <w:rPr>
          <w:lang w:val="pl-PL"/>
        </w:rPr>
        <w:t>ogromne</w:t>
      </w:r>
      <w:r w:rsidR="0078505D" w:rsidRPr="00FD65C9">
        <w:rPr>
          <w:lang w:val="pl-PL"/>
        </w:rPr>
        <w:t xml:space="preserve"> </w:t>
      </w:r>
      <w:r w:rsidR="00F76D6B" w:rsidRPr="00FD65C9">
        <w:rPr>
          <w:lang w:val="pl-PL"/>
        </w:rPr>
        <w:t>znaczenie w </w:t>
      </w:r>
      <w:r w:rsidRPr="00FD65C9">
        <w:rPr>
          <w:lang w:val="pl-PL"/>
        </w:rPr>
        <w:t>„demokratycznym społeczeństwie” (</w:t>
      </w:r>
      <w:proofErr w:type="spellStart"/>
      <w:r w:rsidRPr="00FD65C9">
        <w:rPr>
          <w:i/>
          <w:iCs/>
          <w:lang w:val="pl-PL"/>
        </w:rPr>
        <w:t>Merabishvili</w:t>
      </w:r>
      <w:proofErr w:type="spellEnd"/>
      <w:r w:rsidRPr="00FD65C9">
        <w:rPr>
          <w:i/>
          <w:iCs/>
          <w:lang w:val="pl-PL"/>
        </w:rPr>
        <w:t xml:space="preserve"> przeciwko Gruzji</w:t>
      </w:r>
      <w:r w:rsidRPr="00FD65C9">
        <w:rPr>
          <w:lang w:val="pl-PL"/>
        </w:rPr>
        <w:t xml:space="preserve"> [WI], nr 72508/13, § 181, 28 listopada 2017 r.). Głównym celem art. 5 jest ochrona jednostki przed arbitralnym lub nieuzasadnionym pozbawieniem wolności (</w:t>
      </w:r>
      <w:proofErr w:type="spellStart"/>
      <w:r w:rsidRPr="00FD65C9">
        <w:rPr>
          <w:i/>
          <w:iCs/>
          <w:lang w:val="pl-PL"/>
        </w:rPr>
        <w:t>McKay</w:t>
      </w:r>
      <w:proofErr w:type="spellEnd"/>
      <w:r w:rsidRPr="00FD65C9">
        <w:rPr>
          <w:i/>
          <w:iCs/>
          <w:lang w:val="pl-PL"/>
        </w:rPr>
        <w:t xml:space="preserve"> przeciwko Zjednoczonemu Królestwu</w:t>
      </w:r>
      <w:r w:rsidR="00F76D6B" w:rsidRPr="00FD65C9">
        <w:rPr>
          <w:lang w:val="pl-PL"/>
        </w:rPr>
        <w:t xml:space="preserve"> [WI], nr 543/03, § </w:t>
      </w:r>
      <w:r w:rsidRPr="00FD65C9">
        <w:rPr>
          <w:lang w:val="pl-PL"/>
        </w:rPr>
        <w:t>30, ETPC 2006-X). W bardziej ogólnym ujęciu, wraz z art. 2, 3 i 4, art. 5 Konwencji należy do najważniejszych przepisów dotyczących praw podstawowych chroniących bezpieczeństwo fizyczne jednostek i jako taki ma znaczenie nadrzędne (</w:t>
      </w:r>
      <w:proofErr w:type="spellStart"/>
      <w:r w:rsidRPr="00FD65C9">
        <w:rPr>
          <w:i/>
          <w:iCs/>
          <w:lang w:val="pl-PL"/>
        </w:rPr>
        <w:t>Buzadji</w:t>
      </w:r>
      <w:proofErr w:type="spellEnd"/>
      <w:r w:rsidRPr="00FD65C9">
        <w:rPr>
          <w:lang w:val="pl-PL"/>
        </w:rPr>
        <w:t xml:space="preserve">, </w:t>
      </w:r>
      <w:r w:rsidR="0078505D" w:rsidRPr="00FD65C9">
        <w:rPr>
          <w:i/>
          <w:iCs/>
          <w:lang w:val="pl-PL"/>
        </w:rPr>
        <w:t>op. cit</w:t>
      </w:r>
      <w:r w:rsidR="0078505D">
        <w:rPr>
          <w:lang w:val="pl-PL"/>
        </w:rPr>
        <w:t>.</w:t>
      </w:r>
      <w:r w:rsidRPr="00FD65C9">
        <w:rPr>
          <w:lang w:val="pl-PL"/>
        </w:rPr>
        <w:t>, § 84).</w:t>
      </w:r>
    </w:p>
    <w:p w14:paraId="130BFCA7" w14:textId="18F63827" w:rsidR="00675E41"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100</w:t>
      </w:r>
      <w:r w:rsidRPr="00FD65C9">
        <w:rPr>
          <w:lang w:val="pl-PL"/>
        </w:rPr>
        <w:fldChar w:fldCharType="end"/>
      </w:r>
      <w:r w:rsidR="00E95B67" w:rsidRPr="00FD65C9">
        <w:rPr>
          <w:lang w:val="pl-PL"/>
        </w:rPr>
        <w:t xml:space="preserve">.  Każdy ma prawo do ochrony tego prawa, to znaczy do tego, aby nie być ani nie pozostawać pozbawionym wolności, chyba że </w:t>
      </w:r>
      <w:r w:rsidR="00F76D6B" w:rsidRPr="00FD65C9">
        <w:rPr>
          <w:lang w:val="pl-PL"/>
        </w:rPr>
        <w:t>zgodnie z </w:t>
      </w:r>
      <w:r w:rsidR="00E95B67" w:rsidRPr="00FD65C9">
        <w:rPr>
          <w:lang w:val="pl-PL"/>
        </w:rPr>
        <w:t xml:space="preserve">wymogami art. 5 ustęp 1 Konwencji. </w:t>
      </w:r>
      <w:r w:rsidR="0078505D">
        <w:rPr>
          <w:lang w:val="pl-PL"/>
        </w:rPr>
        <w:t>Katalog</w:t>
      </w:r>
      <w:r w:rsidR="0078505D" w:rsidRPr="00FD65C9">
        <w:rPr>
          <w:lang w:val="pl-PL"/>
        </w:rPr>
        <w:t xml:space="preserve"> </w:t>
      </w:r>
      <w:r w:rsidR="00E95B67" w:rsidRPr="00FD65C9">
        <w:rPr>
          <w:lang w:val="pl-PL"/>
        </w:rPr>
        <w:t>wyjątków przewidzianych w art. 5 ust. 1 jest wyczerpując</w:t>
      </w:r>
      <w:r w:rsidR="0078505D">
        <w:rPr>
          <w:lang w:val="pl-PL"/>
        </w:rPr>
        <w:t>y</w:t>
      </w:r>
      <w:r w:rsidR="00E95B67" w:rsidRPr="00FD65C9">
        <w:rPr>
          <w:lang w:val="pl-PL"/>
        </w:rPr>
        <w:t xml:space="preserve"> (</w:t>
      </w:r>
      <w:proofErr w:type="spellStart"/>
      <w:r w:rsidR="00E95B67" w:rsidRPr="00FD65C9">
        <w:rPr>
          <w:i/>
          <w:iCs/>
          <w:lang w:val="pl-PL"/>
        </w:rPr>
        <w:t>Labita</w:t>
      </w:r>
      <w:proofErr w:type="spellEnd"/>
      <w:r w:rsidR="00E95B67" w:rsidRPr="00FD65C9">
        <w:rPr>
          <w:i/>
          <w:iCs/>
          <w:lang w:val="pl-PL"/>
        </w:rPr>
        <w:t xml:space="preserve"> przeciwko Włochom</w:t>
      </w:r>
      <w:r w:rsidR="00F76D6B" w:rsidRPr="00FD65C9">
        <w:rPr>
          <w:lang w:val="pl-PL"/>
        </w:rPr>
        <w:t xml:space="preserve"> [WI], nr </w:t>
      </w:r>
      <w:r w:rsidR="00E95B67" w:rsidRPr="00FD65C9">
        <w:rPr>
          <w:lang w:val="pl-PL"/>
        </w:rPr>
        <w:t xml:space="preserve">26772/95, § 170, ETPC 2000-IV), a jedynie zawężająca wykładnia jest zgodna z celem tego przepisu: zapewnienie, by nikt nie został arbitralnie pozbawiony wolności (zob. </w:t>
      </w:r>
      <w:proofErr w:type="spellStart"/>
      <w:r w:rsidR="00E95B67" w:rsidRPr="00FD65C9">
        <w:rPr>
          <w:i/>
          <w:iCs/>
          <w:lang w:val="pl-PL"/>
        </w:rPr>
        <w:t>Mehmet</w:t>
      </w:r>
      <w:proofErr w:type="spellEnd"/>
      <w:r w:rsidR="00E95B67" w:rsidRPr="00FD65C9">
        <w:rPr>
          <w:i/>
          <w:iCs/>
          <w:lang w:val="pl-PL"/>
        </w:rPr>
        <w:t xml:space="preserve"> </w:t>
      </w:r>
      <w:proofErr w:type="spellStart"/>
      <w:r w:rsidR="00E95B67" w:rsidRPr="00FD65C9">
        <w:rPr>
          <w:i/>
          <w:iCs/>
          <w:lang w:val="pl-PL"/>
        </w:rPr>
        <w:t>Hasan</w:t>
      </w:r>
      <w:proofErr w:type="spellEnd"/>
      <w:r w:rsidR="00E95B67" w:rsidRPr="00FD65C9">
        <w:rPr>
          <w:i/>
          <w:iCs/>
          <w:lang w:val="pl-PL"/>
        </w:rPr>
        <w:t xml:space="preserve"> Altan</w:t>
      </w:r>
      <w:r w:rsidR="00E95B67" w:rsidRPr="00FD65C9">
        <w:rPr>
          <w:lang w:val="pl-PL"/>
        </w:rPr>
        <w:t xml:space="preserve">, </w:t>
      </w:r>
      <w:r w:rsidR="0078505D" w:rsidRPr="00FD65C9">
        <w:rPr>
          <w:i/>
          <w:iCs/>
          <w:lang w:val="pl-PL"/>
        </w:rPr>
        <w:t>op. cit.</w:t>
      </w:r>
      <w:r w:rsidR="00E95B67" w:rsidRPr="00FD65C9">
        <w:rPr>
          <w:lang w:val="pl-PL"/>
        </w:rPr>
        <w:t xml:space="preserve">, § 123, oraz </w:t>
      </w:r>
      <w:r w:rsidR="0078505D">
        <w:rPr>
          <w:lang w:val="pl-PL"/>
        </w:rPr>
        <w:t>przytoczone</w:t>
      </w:r>
      <w:r w:rsidR="0078505D" w:rsidRPr="00FD65C9">
        <w:rPr>
          <w:lang w:val="pl-PL"/>
        </w:rPr>
        <w:t xml:space="preserve"> </w:t>
      </w:r>
      <w:r w:rsidR="00E95B67" w:rsidRPr="00FD65C9">
        <w:rPr>
          <w:lang w:val="pl-PL"/>
        </w:rPr>
        <w:t>tam wyroki).</w:t>
      </w:r>
    </w:p>
    <w:p w14:paraId="4DE855EA" w14:textId="5BBD90A3" w:rsidR="00675E41"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101</w:t>
      </w:r>
      <w:r w:rsidRPr="00FD65C9">
        <w:rPr>
          <w:lang w:val="pl-PL"/>
        </w:rPr>
        <w:fldChar w:fldCharType="end"/>
      </w:r>
      <w:r w:rsidR="00E95B67" w:rsidRPr="00FD65C9">
        <w:rPr>
          <w:lang w:val="pl-PL"/>
        </w:rPr>
        <w:t xml:space="preserve">.  W orzecznictwie Trybunału dotyczącym art. 5 ust. 1 Konwencji </w:t>
      </w:r>
      <w:r w:rsidR="0078505D">
        <w:rPr>
          <w:lang w:val="pl-PL"/>
        </w:rPr>
        <w:t>wyrażono</w:t>
      </w:r>
      <w:r w:rsidR="00E95B67" w:rsidRPr="00FD65C9">
        <w:rPr>
          <w:lang w:val="pl-PL"/>
        </w:rPr>
        <w:t xml:space="preserve"> ugruntowane</w:t>
      </w:r>
      <w:r w:rsidR="0078505D">
        <w:rPr>
          <w:lang w:val="pl-PL"/>
        </w:rPr>
        <w:t xml:space="preserve"> stanowisko</w:t>
      </w:r>
      <w:r w:rsidR="00E95B67" w:rsidRPr="00FD65C9">
        <w:rPr>
          <w:lang w:val="pl-PL"/>
        </w:rPr>
        <w:t xml:space="preserve">, </w:t>
      </w:r>
      <w:r w:rsidR="0078505D">
        <w:rPr>
          <w:lang w:val="pl-PL"/>
        </w:rPr>
        <w:t>zgodnie z którym</w:t>
      </w:r>
      <w:r w:rsidR="00E95B67" w:rsidRPr="00FD65C9">
        <w:rPr>
          <w:lang w:val="pl-PL"/>
        </w:rPr>
        <w:t xml:space="preserve"> każde pozbawienie wolności musi nie tylko mieścić się w jednym z wyjątków określonych w lit. a–f, ale także być „zgodne z prawem” (</w:t>
      </w:r>
      <w:r w:rsidR="00E95B67" w:rsidRPr="00FD65C9">
        <w:rPr>
          <w:i/>
          <w:iCs/>
          <w:lang w:val="pl-PL"/>
        </w:rPr>
        <w:t xml:space="preserve">Del </w:t>
      </w:r>
      <w:proofErr w:type="spellStart"/>
      <w:r w:rsidR="00E95B67" w:rsidRPr="00FD65C9">
        <w:rPr>
          <w:i/>
          <w:iCs/>
          <w:lang w:val="pl-PL"/>
        </w:rPr>
        <w:t>Río</w:t>
      </w:r>
      <w:proofErr w:type="spellEnd"/>
      <w:r w:rsidR="00E95B67" w:rsidRPr="00FD65C9">
        <w:rPr>
          <w:i/>
          <w:iCs/>
          <w:lang w:val="pl-PL"/>
        </w:rPr>
        <w:t xml:space="preserve"> </w:t>
      </w:r>
      <w:proofErr w:type="spellStart"/>
      <w:r w:rsidR="00E95B67" w:rsidRPr="00FD65C9">
        <w:rPr>
          <w:i/>
          <w:iCs/>
          <w:lang w:val="pl-PL"/>
        </w:rPr>
        <w:t>Prada</w:t>
      </w:r>
      <w:proofErr w:type="spellEnd"/>
      <w:r w:rsidR="00E95B67" w:rsidRPr="00FD65C9">
        <w:rPr>
          <w:i/>
          <w:iCs/>
          <w:lang w:val="pl-PL"/>
        </w:rPr>
        <w:t xml:space="preserve"> przeciwko Hiszpanii</w:t>
      </w:r>
      <w:r w:rsidR="00E95B67" w:rsidRPr="00FD65C9">
        <w:rPr>
          <w:lang w:val="pl-PL"/>
        </w:rPr>
        <w:t xml:space="preserve"> [WI], nr 42750/09</w:t>
      </w:r>
      <w:r w:rsidR="00E95B67" w:rsidRPr="00FD65C9">
        <w:rPr>
          <w:snapToGrid w:val="0"/>
          <w:lang w:val="pl-PL"/>
        </w:rPr>
        <w:t xml:space="preserve">, § 125, </w:t>
      </w:r>
      <w:r w:rsidR="00E95B67" w:rsidRPr="00FD65C9">
        <w:rPr>
          <w:lang w:val="pl-PL"/>
        </w:rPr>
        <w:t>ETPC 2013). W odniesieniu do „zgo</w:t>
      </w:r>
      <w:r w:rsidR="00F76D6B" w:rsidRPr="00FD65C9">
        <w:rPr>
          <w:lang w:val="pl-PL"/>
        </w:rPr>
        <w:t>dności [pozbawienia wolności] z </w:t>
      </w:r>
      <w:r w:rsidR="00E95B67" w:rsidRPr="00FD65C9">
        <w:rPr>
          <w:lang w:val="pl-PL"/>
        </w:rPr>
        <w:t>prawem”, w tym przestrzegania „trybu ustalonego przez prawo”, Konwencja zasadniczo odwołuje s</w:t>
      </w:r>
      <w:r w:rsidR="00F76D6B" w:rsidRPr="00FD65C9">
        <w:rPr>
          <w:lang w:val="pl-PL"/>
        </w:rPr>
        <w:t>ię do ustawodawstwa krajowego i </w:t>
      </w:r>
      <w:r w:rsidR="00E95B67" w:rsidRPr="00FD65C9">
        <w:rPr>
          <w:lang w:val="pl-PL"/>
        </w:rPr>
        <w:t>nakłada obowiązek przestrzegania</w:t>
      </w:r>
      <w:r w:rsidR="00F76D6B" w:rsidRPr="00FD65C9">
        <w:rPr>
          <w:lang w:val="pl-PL"/>
        </w:rPr>
        <w:t xml:space="preserve"> </w:t>
      </w:r>
      <w:r w:rsidR="00E03948">
        <w:rPr>
          <w:lang w:val="pl-PL"/>
        </w:rPr>
        <w:t>wynikających z niego</w:t>
      </w:r>
      <w:r w:rsidR="00E03948" w:rsidRPr="00FD65C9">
        <w:rPr>
          <w:lang w:val="pl-PL"/>
        </w:rPr>
        <w:t xml:space="preserve"> </w:t>
      </w:r>
      <w:r w:rsidR="007404A1">
        <w:rPr>
          <w:lang w:val="pl-PL"/>
        </w:rPr>
        <w:t>norm</w:t>
      </w:r>
      <w:r w:rsidR="007404A1" w:rsidRPr="00FD65C9">
        <w:rPr>
          <w:lang w:val="pl-PL"/>
        </w:rPr>
        <w:t xml:space="preserve"> </w:t>
      </w:r>
      <w:r w:rsidR="00F76D6B" w:rsidRPr="00FD65C9">
        <w:rPr>
          <w:lang w:val="pl-PL"/>
        </w:rPr>
        <w:t>materialnych i </w:t>
      </w:r>
      <w:r w:rsidR="007404A1" w:rsidRPr="00FD65C9">
        <w:rPr>
          <w:lang w:val="pl-PL"/>
        </w:rPr>
        <w:t>proce</w:t>
      </w:r>
      <w:r w:rsidR="007404A1">
        <w:rPr>
          <w:lang w:val="pl-PL"/>
        </w:rPr>
        <w:t>sowych</w:t>
      </w:r>
      <w:r w:rsidR="00E95B67" w:rsidRPr="00FD65C9">
        <w:rPr>
          <w:lang w:val="pl-PL"/>
        </w:rPr>
        <w:t xml:space="preserve">. Termin ten wymaga, po pierwsze, aby każde zatrzymanie lub </w:t>
      </w:r>
      <w:r w:rsidR="007404A1">
        <w:rPr>
          <w:lang w:val="pl-PL"/>
        </w:rPr>
        <w:t>tymczasowe aresztowanie</w:t>
      </w:r>
      <w:r w:rsidR="007404A1" w:rsidRPr="00FD65C9">
        <w:rPr>
          <w:lang w:val="pl-PL"/>
        </w:rPr>
        <w:t xml:space="preserve"> </w:t>
      </w:r>
      <w:r w:rsidR="00E95B67" w:rsidRPr="00FD65C9">
        <w:rPr>
          <w:lang w:val="pl-PL"/>
        </w:rPr>
        <w:t xml:space="preserve">miało podstawę prawną w prawie krajowym. Jednak zgodność z prawem krajowym nie jest wystarczająca: art. 5 ust. 1 wymaga ponadto, aby każde pozbawienie wolności było zgodne z celem ochrony jednostki przed arbitralnością. Trybunał musi również upewnić się w tym względzie, że prawo krajowe jest samo w sobie zgodne z Konwencją, w tym z ogólnymi zasadami w niej zawartymi, w sposób wyraźny lub dorozumiany, w szczególności z zasadą pewności prawa (zob. </w:t>
      </w:r>
      <w:proofErr w:type="spellStart"/>
      <w:r w:rsidR="00E95B67" w:rsidRPr="00FD65C9">
        <w:rPr>
          <w:i/>
          <w:iCs/>
          <w:lang w:val="pl-PL"/>
        </w:rPr>
        <w:t>Mooren</w:t>
      </w:r>
      <w:proofErr w:type="spellEnd"/>
      <w:r w:rsidR="00E95B67" w:rsidRPr="00FD65C9">
        <w:rPr>
          <w:i/>
          <w:iCs/>
          <w:lang w:val="pl-PL"/>
        </w:rPr>
        <w:t xml:space="preserve"> przeciwko Niemcom</w:t>
      </w:r>
      <w:r w:rsidR="00E95B67" w:rsidRPr="00FD65C9">
        <w:rPr>
          <w:lang w:val="pl-PL"/>
        </w:rPr>
        <w:t xml:space="preserve"> [WI], nr 11364/03, § 72, 9 </w:t>
      </w:r>
      <w:r w:rsidR="00F76D6B" w:rsidRPr="00FD65C9">
        <w:rPr>
          <w:lang w:val="pl-PL"/>
        </w:rPr>
        <w:t>lipca 2009 r., wraz z </w:t>
      </w:r>
      <w:r w:rsidR="007404A1">
        <w:rPr>
          <w:lang w:val="pl-PL"/>
        </w:rPr>
        <w:t>przytoczonym</w:t>
      </w:r>
      <w:r w:rsidR="007404A1" w:rsidRPr="00FD65C9">
        <w:rPr>
          <w:lang w:val="pl-PL"/>
        </w:rPr>
        <w:t xml:space="preserve"> </w:t>
      </w:r>
      <w:r w:rsidR="00E95B67" w:rsidRPr="00FD65C9">
        <w:rPr>
          <w:lang w:val="pl-PL"/>
        </w:rPr>
        <w:t>tam orzecznictwem).</w:t>
      </w:r>
    </w:p>
    <w:p w14:paraId="6534DFE3" w14:textId="183CA71A"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102</w:t>
      </w:r>
      <w:r w:rsidRPr="00FD65C9">
        <w:rPr>
          <w:lang w:val="pl-PL"/>
        </w:rPr>
        <w:fldChar w:fldCharType="end"/>
      </w:r>
      <w:r w:rsidR="00E95B67" w:rsidRPr="00FD65C9">
        <w:rPr>
          <w:lang w:val="pl-PL"/>
        </w:rPr>
        <w:t>.  Trybunał wielokrotnie podkreślał również szczególną rolę władzy sądowniczej w społeczeństwie: jako gwarant sprawiedliwości, podstawowej wartości w państwie prawa, musi ona cieszyć się zaufaniem obywateli, aby móc wykonywać swoje zadanie (</w:t>
      </w:r>
      <w:r w:rsidR="00E95B67" w:rsidRPr="00FD65C9">
        <w:rPr>
          <w:i/>
          <w:iCs/>
          <w:lang w:val="pl-PL"/>
        </w:rPr>
        <w:t>Baka przeciwko Węgrom</w:t>
      </w:r>
      <w:r w:rsidR="00F76D6B" w:rsidRPr="00FD65C9">
        <w:rPr>
          <w:lang w:val="pl-PL"/>
        </w:rPr>
        <w:t xml:space="preserve"> [WI], nr </w:t>
      </w:r>
      <w:r w:rsidR="00E95B67" w:rsidRPr="00FD65C9">
        <w:rPr>
          <w:lang w:val="pl-PL"/>
        </w:rPr>
        <w:t>20261/12</w:t>
      </w:r>
      <w:r w:rsidR="00E95B67" w:rsidRPr="00FD65C9">
        <w:rPr>
          <w:snapToGrid w:val="0"/>
          <w:lang w:val="pl-PL"/>
        </w:rPr>
        <w:t xml:space="preserve">, § 165, 23 czerwca 2016 r., i </w:t>
      </w:r>
      <w:r w:rsidR="007404A1">
        <w:rPr>
          <w:snapToGrid w:val="0"/>
          <w:lang w:val="pl-PL"/>
        </w:rPr>
        <w:t xml:space="preserve">przytoczone tam </w:t>
      </w:r>
      <w:r w:rsidR="00E95B67" w:rsidRPr="00FD65C9">
        <w:rPr>
          <w:snapToGrid w:val="0"/>
          <w:lang w:val="pl-PL"/>
        </w:rPr>
        <w:t>wyroki)</w:t>
      </w:r>
      <w:r w:rsidR="00E95B67" w:rsidRPr="00FD65C9">
        <w:rPr>
          <w:lang w:val="pl-PL"/>
        </w:rPr>
        <w:t>. Ta uwaga, przedstawiona w szczególności w kontekście spraw dotyczących prawa sędziów do wolności wyrażania opinii, jest równie istotna w przypadku przyjęcia środka wpływającego na prawo do wolności członka składu sędziowskiego. W szczególności w przypadkach, w których prawo krajowe przyznało ochronę sądową sędziom i prokuratorom, aby mogli oni wykonywać swoje obowiązki w sposób niezawisły, istotne jest, aby była ona odpowiednio przestrzegana. Zważywszy na znaczącą pozycję sądownictwa wśród organów państwa w społeczeństwie demokratycznym oraz na rosnącą wagę, jaką przyw</w:t>
      </w:r>
      <w:r w:rsidR="00F76D6B" w:rsidRPr="00FD65C9">
        <w:rPr>
          <w:lang w:val="pl-PL"/>
        </w:rPr>
        <w:t>iązuje się do podziału władzy i </w:t>
      </w:r>
      <w:r w:rsidR="00E95B67" w:rsidRPr="00FD65C9">
        <w:rPr>
          <w:lang w:val="pl-PL"/>
        </w:rPr>
        <w:t>konieczności zachowania niezawisłości sądownictwa (</w:t>
      </w:r>
      <w:r w:rsidR="00E95B67" w:rsidRPr="00FD65C9">
        <w:rPr>
          <w:i/>
          <w:iCs/>
          <w:lang w:val="pl-PL"/>
        </w:rPr>
        <w:t xml:space="preserve">Ramos </w:t>
      </w:r>
      <w:proofErr w:type="spellStart"/>
      <w:r w:rsidR="00E95B67" w:rsidRPr="00FD65C9">
        <w:rPr>
          <w:i/>
          <w:iCs/>
          <w:lang w:val="pl-PL"/>
        </w:rPr>
        <w:t>Nunes</w:t>
      </w:r>
      <w:proofErr w:type="spellEnd"/>
      <w:r w:rsidR="00E95B67" w:rsidRPr="00FD65C9">
        <w:rPr>
          <w:i/>
          <w:iCs/>
          <w:lang w:val="pl-PL"/>
        </w:rPr>
        <w:t xml:space="preserve"> de </w:t>
      </w:r>
      <w:proofErr w:type="spellStart"/>
      <w:r w:rsidR="00E95B67" w:rsidRPr="00FD65C9">
        <w:rPr>
          <w:i/>
          <w:iCs/>
          <w:lang w:val="pl-PL"/>
        </w:rPr>
        <w:t>Carvalho</w:t>
      </w:r>
      <w:proofErr w:type="spellEnd"/>
      <w:r w:rsidR="00E95B67" w:rsidRPr="00FD65C9">
        <w:rPr>
          <w:i/>
          <w:iCs/>
          <w:lang w:val="pl-PL"/>
        </w:rPr>
        <w:t xml:space="preserve"> e </w:t>
      </w:r>
      <w:proofErr w:type="spellStart"/>
      <w:r w:rsidR="00E95B67" w:rsidRPr="00FD65C9">
        <w:rPr>
          <w:i/>
          <w:iCs/>
          <w:lang w:val="pl-PL"/>
        </w:rPr>
        <w:t>Sá</w:t>
      </w:r>
      <w:proofErr w:type="spellEnd"/>
      <w:r w:rsidR="00E95B67" w:rsidRPr="00FD65C9">
        <w:rPr>
          <w:i/>
          <w:iCs/>
          <w:lang w:val="pl-PL"/>
        </w:rPr>
        <w:t xml:space="preserve"> przeciwko Portugalii</w:t>
      </w:r>
      <w:r w:rsidR="00E95B67" w:rsidRPr="00FD65C9">
        <w:rPr>
          <w:lang w:val="pl-PL"/>
        </w:rPr>
        <w:t xml:space="preserve"> [WI],</w:t>
      </w:r>
      <w:r w:rsidR="00F76D6B" w:rsidRPr="00FD65C9">
        <w:rPr>
          <w:lang w:val="pl-PL"/>
        </w:rPr>
        <w:t xml:space="preserve"> nr 55391/13 i 2 inne, § 196, 6 </w:t>
      </w:r>
      <w:r w:rsidR="00E95B67" w:rsidRPr="00FD65C9">
        <w:rPr>
          <w:lang w:val="pl-PL"/>
        </w:rPr>
        <w:t xml:space="preserve">listopada 2018 r.), Trybunał musi zwracać szczególną uwagę na ochronę członków władzy sądowniczej, gdy jest wezwany do </w:t>
      </w:r>
      <w:r w:rsidR="00783E0E">
        <w:rPr>
          <w:lang w:val="pl-PL"/>
        </w:rPr>
        <w:t>oceny</w:t>
      </w:r>
      <w:r w:rsidR="00E95B67" w:rsidRPr="00FD65C9">
        <w:rPr>
          <w:lang w:val="pl-PL"/>
        </w:rPr>
        <w:t xml:space="preserve"> sposobu wykonywania spornego środka w postaci </w:t>
      </w:r>
      <w:r w:rsidR="00783E0E">
        <w:rPr>
          <w:lang w:val="pl-PL"/>
        </w:rPr>
        <w:t xml:space="preserve">tymczasowego </w:t>
      </w:r>
      <w:r w:rsidR="00E95B67" w:rsidRPr="00FD65C9">
        <w:rPr>
          <w:lang w:val="pl-PL"/>
        </w:rPr>
        <w:t>areszt</w:t>
      </w:r>
      <w:r w:rsidR="00783E0E">
        <w:rPr>
          <w:lang w:val="pl-PL"/>
        </w:rPr>
        <w:t>owania</w:t>
      </w:r>
      <w:r w:rsidR="00E95B67" w:rsidRPr="00FD65C9">
        <w:rPr>
          <w:lang w:val="pl-PL"/>
        </w:rPr>
        <w:t xml:space="preserve"> w świetle przepisów Konwencji.</w:t>
      </w:r>
    </w:p>
    <w:p w14:paraId="387E02F3" w14:textId="03D078AA"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103</w:t>
      </w:r>
      <w:r w:rsidRPr="00FD65C9">
        <w:rPr>
          <w:lang w:val="pl-PL"/>
        </w:rPr>
        <w:fldChar w:fldCharType="end"/>
      </w:r>
      <w:r w:rsidR="00E95B67" w:rsidRPr="00FD65C9">
        <w:rPr>
          <w:lang w:val="pl-PL"/>
        </w:rPr>
        <w:t>. W przypadku pozbawienia wolności szczególnie istotne jest przestrzeganie ogólnej zasady pewności prawa. Istotne jest zatem, aby warunki pozbawienia wolności w prawie k</w:t>
      </w:r>
      <w:r w:rsidR="00F76D6B" w:rsidRPr="00FD65C9">
        <w:rPr>
          <w:lang w:val="pl-PL"/>
        </w:rPr>
        <w:t>rajowym były jasno określone, a </w:t>
      </w:r>
      <w:r w:rsidR="00E95B67" w:rsidRPr="00FD65C9">
        <w:rPr>
          <w:lang w:val="pl-PL"/>
        </w:rPr>
        <w:t>samo prawo było przewidywalne w stosowaniu, tak aby spełnić wymóg „legalności” Konwencji, zgodnie z którym każd</w:t>
      </w:r>
      <w:r w:rsidR="00783E0E">
        <w:rPr>
          <w:lang w:val="pl-PL"/>
        </w:rPr>
        <w:t xml:space="preserve">y przepis </w:t>
      </w:r>
      <w:r w:rsidR="00783E0E" w:rsidRPr="00FD65C9">
        <w:rPr>
          <w:lang w:val="pl-PL"/>
        </w:rPr>
        <w:t>powin</w:t>
      </w:r>
      <w:r w:rsidR="00783E0E">
        <w:rPr>
          <w:lang w:val="pl-PL"/>
        </w:rPr>
        <w:t>ien</w:t>
      </w:r>
      <w:r w:rsidR="00783E0E" w:rsidRPr="00FD65C9">
        <w:rPr>
          <w:lang w:val="pl-PL"/>
        </w:rPr>
        <w:t xml:space="preserve"> </w:t>
      </w:r>
      <w:r w:rsidR="00E95B67" w:rsidRPr="00FD65C9">
        <w:rPr>
          <w:lang w:val="pl-PL"/>
        </w:rPr>
        <w:t>być wystarczająco precyzyjn</w:t>
      </w:r>
      <w:r w:rsidR="00783E0E">
        <w:rPr>
          <w:lang w:val="pl-PL"/>
        </w:rPr>
        <w:t>y</w:t>
      </w:r>
      <w:r w:rsidR="00E95B67" w:rsidRPr="00FD65C9">
        <w:rPr>
          <w:lang w:val="pl-PL"/>
        </w:rPr>
        <w:t>, aby każda osoba – po zasięgnięciu w razie potrzeby porady ekspertów – mogła przewidzieć, w stopniu uzasadnionym w danych okolicznościach, konsekwencje, jakie mogą wyniknąć z danego czynu (</w:t>
      </w:r>
      <w:r w:rsidR="00E95B67" w:rsidRPr="00FD65C9">
        <w:rPr>
          <w:i/>
          <w:iCs/>
          <w:lang w:val="pl-PL"/>
        </w:rPr>
        <w:t xml:space="preserve">Del </w:t>
      </w:r>
      <w:proofErr w:type="spellStart"/>
      <w:r w:rsidR="00E95B67" w:rsidRPr="00FD65C9">
        <w:rPr>
          <w:i/>
          <w:iCs/>
          <w:lang w:val="pl-PL"/>
        </w:rPr>
        <w:t>Río</w:t>
      </w:r>
      <w:proofErr w:type="spellEnd"/>
      <w:r w:rsidR="00E95B67" w:rsidRPr="00FD65C9">
        <w:rPr>
          <w:i/>
          <w:iCs/>
          <w:lang w:val="pl-PL"/>
        </w:rPr>
        <w:t xml:space="preserve"> </w:t>
      </w:r>
      <w:proofErr w:type="spellStart"/>
      <w:r w:rsidR="00E95B67" w:rsidRPr="00FD65C9">
        <w:rPr>
          <w:i/>
          <w:iCs/>
          <w:lang w:val="pl-PL"/>
        </w:rPr>
        <w:t>Prada</w:t>
      </w:r>
      <w:proofErr w:type="spellEnd"/>
      <w:r w:rsidR="00E95B67" w:rsidRPr="00FD65C9">
        <w:rPr>
          <w:lang w:val="pl-PL"/>
        </w:rPr>
        <w:t xml:space="preserve">, </w:t>
      </w:r>
      <w:r w:rsidR="00783E0E" w:rsidRPr="00FD65C9">
        <w:rPr>
          <w:i/>
          <w:iCs/>
          <w:lang w:val="pl-PL"/>
        </w:rPr>
        <w:t>op. cit</w:t>
      </w:r>
      <w:r w:rsidR="00783E0E">
        <w:rPr>
          <w:lang w:val="pl-PL"/>
        </w:rPr>
        <w:t>.</w:t>
      </w:r>
      <w:r w:rsidR="00E95B67" w:rsidRPr="00FD65C9">
        <w:rPr>
          <w:lang w:val="pl-PL"/>
        </w:rPr>
        <w:t xml:space="preserve">, § 125, </w:t>
      </w:r>
      <w:proofErr w:type="spellStart"/>
      <w:r w:rsidR="00E95B67" w:rsidRPr="00FD65C9">
        <w:rPr>
          <w:i/>
          <w:iCs/>
          <w:lang w:val="pl-PL"/>
        </w:rPr>
        <w:t>Medvedyev</w:t>
      </w:r>
      <w:proofErr w:type="spellEnd"/>
      <w:r w:rsidR="00E95B67" w:rsidRPr="00FD65C9">
        <w:rPr>
          <w:i/>
          <w:iCs/>
          <w:lang w:val="pl-PL"/>
        </w:rPr>
        <w:t xml:space="preserve"> i Inni przeciwko Francji</w:t>
      </w:r>
      <w:r w:rsidR="00E95B67" w:rsidRPr="00FD65C9">
        <w:rPr>
          <w:lang w:val="pl-PL"/>
        </w:rPr>
        <w:t xml:space="preserve">, nr 3394/03, § 80, 10 lipca 2008 r., </w:t>
      </w:r>
      <w:proofErr w:type="spellStart"/>
      <w:r w:rsidR="00E95B67" w:rsidRPr="00FD65C9">
        <w:rPr>
          <w:i/>
          <w:iCs/>
          <w:lang w:val="pl-PL"/>
        </w:rPr>
        <w:t>Creangă</w:t>
      </w:r>
      <w:proofErr w:type="spellEnd"/>
      <w:r w:rsidR="00E95B67" w:rsidRPr="00FD65C9">
        <w:rPr>
          <w:i/>
          <w:iCs/>
          <w:lang w:val="pl-PL"/>
        </w:rPr>
        <w:t xml:space="preserve"> przeciwko Rumunii</w:t>
      </w:r>
      <w:r w:rsidR="00E95B67" w:rsidRPr="00FD65C9">
        <w:rPr>
          <w:lang w:val="pl-PL"/>
        </w:rPr>
        <w:t xml:space="preserve"> [WI], nr 29226/03, § 120, 23 lutego 2012 r., oraz</w:t>
      </w:r>
      <w:r w:rsidR="00E95B67" w:rsidRPr="00FD65C9">
        <w:rPr>
          <w:i/>
          <w:iCs/>
          <w:lang w:val="pl-PL"/>
        </w:rPr>
        <w:t xml:space="preserve"> </w:t>
      </w:r>
      <w:proofErr w:type="spellStart"/>
      <w:r w:rsidR="00E95B67" w:rsidRPr="00FD65C9">
        <w:rPr>
          <w:i/>
          <w:iCs/>
          <w:lang w:val="pl-PL"/>
        </w:rPr>
        <w:t>Khlaifia</w:t>
      </w:r>
      <w:proofErr w:type="spellEnd"/>
      <w:r w:rsidR="00E95B67" w:rsidRPr="00FD65C9">
        <w:rPr>
          <w:i/>
          <w:iCs/>
          <w:lang w:val="pl-PL"/>
        </w:rPr>
        <w:t xml:space="preserve"> i Inni przeciwko Włochom</w:t>
      </w:r>
      <w:r w:rsidR="00E95B67" w:rsidRPr="00FD65C9">
        <w:rPr>
          <w:lang w:val="pl-PL"/>
        </w:rPr>
        <w:t xml:space="preserve"> [WI], nr 16483/12, § 92, 15 grudnia 2016 r.).</w:t>
      </w:r>
    </w:p>
    <w:p w14:paraId="5543E4F1" w14:textId="77777777" w:rsidR="00E95B67" w:rsidRPr="00FD65C9" w:rsidRDefault="00E95B67" w:rsidP="00622760">
      <w:pPr>
        <w:pStyle w:val="ECHRHeading4"/>
        <w:rPr>
          <w:lang w:val="pl-PL"/>
        </w:rPr>
      </w:pPr>
      <w:r w:rsidRPr="00FD65C9">
        <w:rPr>
          <w:iCs w:val="0"/>
          <w:lang w:val="pl-PL"/>
        </w:rPr>
        <w:t>b) Zastosowanie tych zasad w niniejszej sprawie</w:t>
      </w:r>
    </w:p>
    <w:p w14:paraId="28B2C207" w14:textId="77777777" w:rsidR="00E95B67" w:rsidRPr="00FD65C9" w:rsidRDefault="0075254D" w:rsidP="00622760">
      <w:pPr>
        <w:pStyle w:val="ECHRHeading5"/>
        <w:rPr>
          <w:lang w:val="pl-PL"/>
        </w:rPr>
      </w:pPr>
      <w:r w:rsidRPr="0092116F">
        <w:rPr>
          <w:bCs w:val="0"/>
          <w:iCs/>
          <w:lang w:val="pl-PL"/>
        </w:rPr>
        <w:t>i.  W przedmiocie art. 5 ust. 1 Konwencji</w:t>
      </w:r>
    </w:p>
    <w:p w14:paraId="6CCA3D2A" w14:textId="2E894C44" w:rsidR="00675E41"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104</w:t>
      </w:r>
      <w:r w:rsidRPr="00FD65C9">
        <w:rPr>
          <w:lang w:val="pl-PL"/>
        </w:rPr>
        <w:fldChar w:fldCharType="end"/>
      </w:r>
      <w:r w:rsidR="00E95B67" w:rsidRPr="00FD65C9">
        <w:rPr>
          <w:lang w:val="pl-PL"/>
        </w:rPr>
        <w:t>.  Trybunał zauważa, że skarżący zo</w:t>
      </w:r>
      <w:r w:rsidR="00F76D6B" w:rsidRPr="00FD65C9">
        <w:rPr>
          <w:lang w:val="pl-PL"/>
        </w:rPr>
        <w:t>stał zatrzymany w dniu 16 lipca </w:t>
      </w:r>
      <w:r w:rsidR="00E95B67" w:rsidRPr="00FD65C9">
        <w:rPr>
          <w:lang w:val="pl-PL"/>
        </w:rPr>
        <w:t xml:space="preserve">2016 r. i tego samego dnia </w:t>
      </w:r>
      <w:r w:rsidR="00783E0E">
        <w:rPr>
          <w:lang w:val="pl-PL"/>
        </w:rPr>
        <w:t>przedstawiono mu zarzuty</w:t>
      </w:r>
      <w:r w:rsidR="00E95B67" w:rsidRPr="00FD65C9">
        <w:rPr>
          <w:lang w:val="pl-PL"/>
        </w:rPr>
        <w:t xml:space="preserve">. Następnie 20 lipca 2016 r. </w:t>
      </w:r>
      <w:r w:rsidR="00783E0E">
        <w:rPr>
          <w:lang w:val="pl-PL"/>
        </w:rPr>
        <w:t>zastosowano wobec niego tymczasowe aresztowanie</w:t>
      </w:r>
      <w:r w:rsidR="00E95B67" w:rsidRPr="00FD65C9">
        <w:rPr>
          <w:lang w:val="pl-PL"/>
        </w:rPr>
        <w:t xml:space="preserve"> pod zarzutem przynależności do zbrojnej organizacji terrorystycznej. W dniu 6 marca 2019 r., został natomiast skazany za przynależność do zbrojnej organizacji terrorystycznej.</w:t>
      </w:r>
    </w:p>
    <w:p w14:paraId="25995E0F" w14:textId="602D8678"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105</w:t>
      </w:r>
      <w:r w:rsidRPr="00FD65C9">
        <w:rPr>
          <w:lang w:val="pl-PL"/>
        </w:rPr>
        <w:fldChar w:fldCharType="end"/>
      </w:r>
      <w:r w:rsidR="00E95B67" w:rsidRPr="00FD65C9">
        <w:rPr>
          <w:lang w:val="pl-PL"/>
        </w:rPr>
        <w:t xml:space="preserve">.  Ponieważ przedmiotem skargi jest </w:t>
      </w:r>
      <w:r w:rsidR="00783E0E">
        <w:rPr>
          <w:lang w:val="pl-PL"/>
        </w:rPr>
        <w:t>tymczasowe aresztowanie</w:t>
      </w:r>
      <w:r w:rsidR="00783E0E" w:rsidRPr="00FD65C9">
        <w:rPr>
          <w:lang w:val="pl-PL"/>
        </w:rPr>
        <w:t xml:space="preserve"> </w:t>
      </w:r>
      <w:r w:rsidR="00E95B67" w:rsidRPr="00FD65C9">
        <w:rPr>
          <w:lang w:val="pl-PL"/>
        </w:rPr>
        <w:t>skarżącego, pierwszą kwestią wymagającą rozstrzygnięcia jest to, czy skarżący, który był sędzią TK w czasie istotnym dla niniejs</w:t>
      </w:r>
      <w:r w:rsidR="00F76D6B" w:rsidRPr="00FD65C9">
        <w:rPr>
          <w:lang w:val="pl-PL"/>
        </w:rPr>
        <w:t xml:space="preserve">zej sprawy, </w:t>
      </w:r>
      <w:r w:rsidR="00E95B67" w:rsidRPr="00FD65C9">
        <w:rPr>
          <w:lang w:val="pl-PL"/>
        </w:rPr>
        <w:t xml:space="preserve">w dniu 20 lipca 2016 r. </w:t>
      </w:r>
      <w:r w:rsidR="00783E0E">
        <w:rPr>
          <w:lang w:val="pl-PL"/>
        </w:rPr>
        <w:t xml:space="preserve">został tymczasowo aresztowany </w:t>
      </w:r>
      <w:r w:rsidR="00E95B67" w:rsidRPr="00FD65C9">
        <w:rPr>
          <w:lang w:val="pl-PL"/>
        </w:rPr>
        <w:t xml:space="preserve">„w </w:t>
      </w:r>
      <w:r w:rsidR="00F76D6B" w:rsidRPr="00FD65C9">
        <w:rPr>
          <w:lang w:val="pl-PL"/>
        </w:rPr>
        <w:t>trybie ustalonym przez prawo” w </w:t>
      </w:r>
      <w:r w:rsidR="00E95B67" w:rsidRPr="00FD65C9">
        <w:rPr>
          <w:lang w:val="pl-PL"/>
        </w:rPr>
        <w:t>rozumieniu art. 5 ust. 1 Konwencji, po jego zatrzymaniu w dniu 16 lipca 2016 r. W celu ustalenia, czy został on</w:t>
      </w:r>
      <w:r w:rsidR="00F76D6B" w:rsidRPr="00FD65C9">
        <w:rPr>
          <w:lang w:val="pl-PL"/>
        </w:rPr>
        <w:t xml:space="preserve"> pozbawiony wolności „zgodnie z </w:t>
      </w:r>
      <w:r w:rsidR="00E95B67" w:rsidRPr="00FD65C9">
        <w:rPr>
          <w:lang w:val="pl-PL"/>
        </w:rPr>
        <w:t xml:space="preserve">prawem” w rozumieniu art. 5 ust. 1 oraz czy został pozbawiony wolności „w trybie ustalonym przez prawo”, Trybunał zbada najpierw, czy </w:t>
      </w:r>
      <w:r w:rsidR="00783E0E">
        <w:rPr>
          <w:lang w:val="pl-PL"/>
        </w:rPr>
        <w:t>zastosowane wobec skarżącego tymczasowe aresztowanie</w:t>
      </w:r>
      <w:r w:rsidR="00E95B67" w:rsidRPr="00FD65C9">
        <w:rPr>
          <w:lang w:val="pl-PL"/>
        </w:rPr>
        <w:t xml:space="preserve"> było zgodne z prawem tureckim.</w:t>
      </w:r>
    </w:p>
    <w:p w14:paraId="07BA2B36" w14:textId="464D64AC"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106</w:t>
      </w:r>
      <w:r w:rsidRPr="00FD65C9">
        <w:rPr>
          <w:lang w:val="pl-PL"/>
        </w:rPr>
        <w:fldChar w:fldCharType="end"/>
      </w:r>
      <w:r w:rsidR="00E95B67" w:rsidRPr="00FD65C9">
        <w:rPr>
          <w:lang w:val="pl-PL"/>
        </w:rPr>
        <w:t xml:space="preserve">.  Trybunał zauważa, że strony nie kwestionują, że skarżący został zatrzymany i </w:t>
      </w:r>
      <w:r w:rsidR="00783E0E">
        <w:rPr>
          <w:lang w:val="pl-PL"/>
        </w:rPr>
        <w:t>tymczasowo aresztowany</w:t>
      </w:r>
      <w:r w:rsidR="00E95B67" w:rsidRPr="00FD65C9">
        <w:rPr>
          <w:lang w:val="pl-PL"/>
        </w:rPr>
        <w:t xml:space="preserve"> na podstawie art. 100 i </w:t>
      </w:r>
      <w:r w:rsidR="00783E0E">
        <w:rPr>
          <w:lang w:val="pl-PL"/>
        </w:rPr>
        <w:t>nast.</w:t>
      </w:r>
      <w:r w:rsidR="00783E0E" w:rsidRPr="00FD65C9">
        <w:rPr>
          <w:lang w:val="pl-PL"/>
        </w:rPr>
        <w:t xml:space="preserve"> </w:t>
      </w:r>
      <w:r w:rsidR="00E95B67" w:rsidRPr="00FD65C9">
        <w:rPr>
          <w:lang w:val="pl-PL"/>
        </w:rPr>
        <w:t xml:space="preserve">kpk, niezależnie od gwarancji przyznanych członkom TK przez odpowiednie przepisy. Kwestią sporną w </w:t>
      </w:r>
      <w:r w:rsidR="00783E0E">
        <w:rPr>
          <w:lang w:val="pl-PL"/>
        </w:rPr>
        <w:t>wywodach</w:t>
      </w:r>
      <w:r w:rsidR="00783E0E" w:rsidRPr="00FD65C9">
        <w:rPr>
          <w:lang w:val="pl-PL"/>
        </w:rPr>
        <w:t xml:space="preserve"> </w:t>
      </w:r>
      <w:r w:rsidR="00E95B67" w:rsidRPr="00FD65C9">
        <w:rPr>
          <w:lang w:val="pl-PL"/>
        </w:rPr>
        <w:t xml:space="preserve">i w </w:t>
      </w:r>
      <w:r w:rsidR="00F76D6B" w:rsidRPr="00FD65C9">
        <w:rPr>
          <w:lang w:val="pl-PL"/>
        </w:rPr>
        <w:t>rozbieżnych argumentach stron w </w:t>
      </w:r>
      <w:r w:rsidR="00783E0E">
        <w:rPr>
          <w:lang w:val="pl-PL"/>
        </w:rPr>
        <w:t>niniejszej</w:t>
      </w:r>
      <w:r w:rsidR="00783E0E" w:rsidRPr="00FD65C9">
        <w:rPr>
          <w:lang w:val="pl-PL"/>
        </w:rPr>
        <w:t xml:space="preserve"> </w:t>
      </w:r>
      <w:r w:rsidR="00E95B67" w:rsidRPr="00FD65C9">
        <w:rPr>
          <w:lang w:val="pl-PL"/>
        </w:rPr>
        <w:t xml:space="preserve">sprawie jest to, czy </w:t>
      </w:r>
      <w:r w:rsidR="00783E0E">
        <w:rPr>
          <w:lang w:val="pl-PL"/>
        </w:rPr>
        <w:t>tymczasowe aresztowanie</w:t>
      </w:r>
      <w:r w:rsidR="00783E0E" w:rsidRPr="00FD65C9">
        <w:rPr>
          <w:lang w:val="pl-PL"/>
        </w:rPr>
        <w:t xml:space="preserve"> </w:t>
      </w:r>
      <w:r w:rsidR="00E95B67" w:rsidRPr="00FD65C9">
        <w:rPr>
          <w:lang w:val="pl-PL"/>
        </w:rPr>
        <w:t>skarżącego – sędziego zasiadającego w TK w czasie okoliczności faktycznych niniejszej sprawy, a zatem posiadającego szczególny status – orzeczone na podstawie przepisów prawa powszechnego, moż</w:t>
      </w:r>
      <w:r w:rsidR="00783E0E">
        <w:rPr>
          <w:lang w:val="pl-PL"/>
        </w:rPr>
        <w:t xml:space="preserve">na </w:t>
      </w:r>
      <w:r w:rsidR="00783E0E" w:rsidRPr="00FD65C9">
        <w:rPr>
          <w:lang w:val="pl-PL"/>
        </w:rPr>
        <w:t>uzna</w:t>
      </w:r>
      <w:r w:rsidR="00783E0E">
        <w:rPr>
          <w:lang w:val="pl-PL"/>
        </w:rPr>
        <w:t>ć</w:t>
      </w:r>
      <w:r w:rsidR="00783E0E" w:rsidRPr="00FD65C9">
        <w:rPr>
          <w:lang w:val="pl-PL"/>
        </w:rPr>
        <w:t xml:space="preserve"> </w:t>
      </w:r>
      <w:r w:rsidR="00E95B67" w:rsidRPr="00FD65C9">
        <w:rPr>
          <w:lang w:val="pl-PL"/>
        </w:rPr>
        <w:t>za spełniające wymóg „jakości prawa”.</w:t>
      </w:r>
    </w:p>
    <w:p w14:paraId="0C186E38" w14:textId="76BE1832" w:rsidR="00E95B67" w:rsidRPr="00FD65C9" w:rsidRDefault="00DA7597" w:rsidP="00622760">
      <w:pPr>
        <w:pStyle w:val="ECHRPara"/>
        <w:rPr>
          <w:noProof/>
          <w:lang w:val="pl-PL"/>
        </w:rPr>
      </w:pPr>
      <w:r w:rsidRPr="00FD65C9">
        <w:rPr>
          <w:noProof/>
          <w:lang w:val="pl-PL"/>
        </w:rPr>
        <w:fldChar w:fldCharType="begin"/>
      </w:r>
      <w:r w:rsidR="00E95B67" w:rsidRPr="00FD65C9">
        <w:rPr>
          <w:noProof/>
          <w:lang w:val="pl-PL"/>
        </w:rPr>
        <w:instrText xml:space="preserve"> SEQ level0 \*arabic </w:instrText>
      </w:r>
      <w:r w:rsidRPr="00FD65C9">
        <w:rPr>
          <w:noProof/>
          <w:lang w:val="pl-PL"/>
        </w:rPr>
        <w:fldChar w:fldCharType="separate"/>
      </w:r>
      <w:r w:rsidR="00E95B67" w:rsidRPr="00FD65C9">
        <w:rPr>
          <w:noProof/>
          <w:lang w:val="pl-PL"/>
        </w:rPr>
        <w:t>107</w:t>
      </w:r>
      <w:r w:rsidRPr="00FD65C9">
        <w:rPr>
          <w:noProof/>
          <w:lang w:val="pl-PL"/>
        </w:rPr>
        <w:fldChar w:fldCharType="end"/>
      </w:r>
      <w:r w:rsidR="00E95B67" w:rsidRPr="00FD65C9">
        <w:rPr>
          <w:noProof/>
          <w:lang w:val="pl-PL"/>
        </w:rPr>
        <w:t xml:space="preserve">.  W tym kontekście Trybunał zauważa, że argument skarżącego został przedstawiony przed TK. Odwołując się do orzecznictwa sądu kasacyjnego, Trybunał uznał, że przedmiotowy środek, zarządzony na podstawie prawa powszechnego, był zgodny z właściwymi przepisami. Według TK, niezależnie od gwarancji proceduralnych przyznanych jego członkom przez Konstytucję i ustawę nr 6216, „nie można [było] stwierdzić, że nie istnieje żadna podstawa faktyczna i prawna dla uznania przez organy śledcze, iż przestępstwo przynależności do organizacji terrorystycznej, o które [dana osoba jest oskarżona] stanowiło przypadek </w:t>
      </w:r>
      <w:r w:rsidR="00AD4D3A">
        <w:rPr>
          <w:i/>
          <w:iCs/>
          <w:noProof/>
          <w:lang w:val="pl-PL"/>
        </w:rPr>
        <w:t>in flagrante</w:t>
      </w:r>
      <w:r w:rsidR="00E95B67" w:rsidRPr="00FD65C9">
        <w:rPr>
          <w:i/>
          <w:iCs/>
          <w:noProof/>
          <w:lang w:val="pl-PL"/>
        </w:rPr>
        <w:t xml:space="preserve"> delicto”</w:t>
      </w:r>
      <w:r w:rsidR="00E95B67" w:rsidRPr="00FD65C9">
        <w:rPr>
          <w:noProof/>
          <w:lang w:val="pl-PL"/>
        </w:rPr>
        <w:t xml:space="preserve"> (zob. paragraf 42 powyżej).</w:t>
      </w:r>
    </w:p>
    <w:p w14:paraId="20490548" w14:textId="76704EF2" w:rsidR="00E95B67" w:rsidRPr="00FD65C9" w:rsidRDefault="00DA7597" w:rsidP="00622760">
      <w:pPr>
        <w:pStyle w:val="ECHRPara"/>
        <w:rPr>
          <w:noProof/>
          <w:lang w:val="pl-PL"/>
        </w:rPr>
      </w:pPr>
      <w:r w:rsidRPr="00FD65C9">
        <w:rPr>
          <w:noProof/>
          <w:lang w:val="pl-PL"/>
        </w:rPr>
        <w:fldChar w:fldCharType="begin"/>
      </w:r>
      <w:r w:rsidR="00E95B67" w:rsidRPr="00FD65C9">
        <w:rPr>
          <w:noProof/>
          <w:lang w:val="pl-PL"/>
        </w:rPr>
        <w:instrText xml:space="preserve"> SEQ level0 \*arabic </w:instrText>
      </w:r>
      <w:r w:rsidRPr="00FD65C9">
        <w:rPr>
          <w:noProof/>
          <w:lang w:val="pl-PL"/>
        </w:rPr>
        <w:fldChar w:fldCharType="separate"/>
      </w:r>
      <w:r w:rsidR="00E95B67" w:rsidRPr="00FD65C9">
        <w:rPr>
          <w:noProof/>
          <w:lang w:val="pl-PL"/>
        </w:rPr>
        <w:t>108</w:t>
      </w:r>
      <w:r w:rsidRPr="00FD65C9">
        <w:rPr>
          <w:noProof/>
          <w:lang w:val="pl-PL"/>
        </w:rPr>
        <w:fldChar w:fldCharType="end"/>
      </w:r>
      <w:r w:rsidR="00E95B67" w:rsidRPr="00FD65C9">
        <w:rPr>
          <w:noProof/>
          <w:lang w:val="pl-PL"/>
        </w:rPr>
        <w:t xml:space="preserve">.  Trybunał zauważa, że nie zarzuca się, iż skarżący został zatrzymany i </w:t>
      </w:r>
      <w:r w:rsidR="00020520">
        <w:rPr>
          <w:noProof/>
          <w:lang w:val="pl-PL"/>
        </w:rPr>
        <w:t>tymczasowo aresztowany</w:t>
      </w:r>
      <w:r w:rsidR="00E95B67" w:rsidRPr="00FD65C9">
        <w:rPr>
          <w:noProof/>
          <w:lang w:val="pl-PL"/>
        </w:rPr>
        <w:t xml:space="preserve"> w trakcie popełniania przestępstwa związanego z próbą zamachu stanu z 15 lipca 2016 r., mimo że prokuratura w Ankarze w swoim nakazie z </w:t>
      </w:r>
      <w:r w:rsidR="00020520">
        <w:rPr>
          <w:noProof/>
          <w:lang w:val="pl-PL"/>
        </w:rPr>
        <w:t xml:space="preserve">dnia </w:t>
      </w:r>
      <w:r w:rsidR="00E95B67" w:rsidRPr="00FD65C9">
        <w:rPr>
          <w:noProof/>
          <w:lang w:val="pl-PL"/>
        </w:rPr>
        <w:t xml:space="preserve">16 lipca 2016 r. odniosła się również do popełnienia przestępstwa polegającego na próbie obalenia porządku konstytucyjnego. </w:t>
      </w:r>
      <w:r w:rsidR="00020520">
        <w:rPr>
          <w:noProof/>
          <w:lang w:val="pl-PL"/>
        </w:rPr>
        <w:t>Z</w:t>
      </w:r>
      <w:r w:rsidR="00E95B67" w:rsidRPr="00FD65C9">
        <w:rPr>
          <w:noProof/>
          <w:lang w:val="pl-PL"/>
        </w:rPr>
        <w:t xml:space="preserve">arzut ten nie został </w:t>
      </w:r>
      <w:r w:rsidR="00020520">
        <w:rPr>
          <w:noProof/>
          <w:lang w:val="pl-PL"/>
        </w:rPr>
        <w:t xml:space="preserve">bowiem </w:t>
      </w:r>
      <w:r w:rsidR="00E95B67" w:rsidRPr="00FD65C9">
        <w:rPr>
          <w:noProof/>
          <w:lang w:val="pl-PL"/>
        </w:rPr>
        <w:t xml:space="preserve">uwzględniony przez sędziego pokoju, który następnie przesłuchał skarżącego i zarządził jego tymczasowe aresztowanie (zob. paragrafy 19–20 powyżej). Wobec skarżącego zastosowano zatem </w:t>
      </w:r>
      <w:r w:rsidR="00020520">
        <w:rPr>
          <w:noProof/>
          <w:lang w:val="pl-PL"/>
        </w:rPr>
        <w:t xml:space="preserve">izolacyjny </w:t>
      </w:r>
      <w:r w:rsidR="00E95B67" w:rsidRPr="00FD65C9">
        <w:rPr>
          <w:noProof/>
          <w:lang w:val="pl-PL"/>
        </w:rPr>
        <w:t xml:space="preserve">środek zapobiegawczy głównie </w:t>
      </w:r>
      <w:r w:rsidR="00020520">
        <w:rPr>
          <w:noProof/>
          <w:lang w:val="pl-PL"/>
        </w:rPr>
        <w:t>w związku z</w:t>
      </w:r>
      <w:r w:rsidR="00020520" w:rsidRPr="00FD65C9">
        <w:rPr>
          <w:noProof/>
          <w:lang w:val="pl-PL"/>
        </w:rPr>
        <w:t xml:space="preserve"> </w:t>
      </w:r>
      <w:r w:rsidR="00E95B67" w:rsidRPr="00FD65C9">
        <w:rPr>
          <w:noProof/>
          <w:lang w:val="pl-PL"/>
        </w:rPr>
        <w:t>przynależnoś</w:t>
      </w:r>
      <w:r w:rsidR="00020520">
        <w:rPr>
          <w:noProof/>
          <w:lang w:val="pl-PL"/>
        </w:rPr>
        <w:t>cią</w:t>
      </w:r>
      <w:r w:rsidR="00E95B67" w:rsidRPr="00FD65C9">
        <w:rPr>
          <w:noProof/>
          <w:lang w:val="pl-PL"/>
        </w:rPr>
        <w:t xml:space="preserve"> do organizacji FETÖ/PDY, struktury uznanej przez tureckie organy śledcze i sądy za zbrojną organizację terrorystyczną, która zaplanowała próbę zamachu stanu. Według TK elementy te stanowiły podstawę faktyczną i prawną uznania przez organy śledcze, że był to przypadek </w:t>
      </w:r>
      <w:r w:rsidR="00AD4D3A">
        <w:rPr>
          <w:i/>
          <w:iCs/>
          <w:noProof/>
          <w:lang w:val="pl-PL"/>
        </w:rPr>
        <w:t>in flagrante</w:t>
      </w:r>
      <w:r w:rsidR="00E95B67" w:rsidRPr="00FD65C9">
        <w:rPr>
          <w:i/>
          <w:iCs/>
          <w:noProof/>
          <w:lang w:val="pl-PL"/>
        </w:rPr>
        <w:t xml:space="preserve"> delicto</w:t>
      </w:r>
      <w:r w:rsidR="00E95B67" w:rsidRPr="00FD65C9">
        <w:rPr>
          <w:noProof/>
          <w:lang w:val="pl-PL"/>
        </w:rPr>
        <w:t>. Dochodząc do tego wniosku, sąd najwyższej instancji oparł się na niedawnym orzecznictwie sądu kasacyjnego (paragraf 42 powyżej).</w:t>
      </w:r>
    </w:p>
    <w:p w14:paraId="2C5C51B5" w14:textId="71BD2DFB" w:rsidR="00E95B67" w:rsidRPr="00FD65C9" w:rsidRDefault="00DA7597" w:rsidP="00622760">
      <w:pPr>
        <w:pStyle w:val="ECHRPara"/>
        <w:rPr>
          <w:noProof/>
          <w:lang w:val="pl-PL"/>
        </w:rPr>
      </w:pPr>
      <w:r w:rsidRPr="00FD65C9">
        <w:rPr>
          <w:noProof/>
          <w:lang w:val="pl-PL"/>
        </w:rPr>
        <w:fldChar w:fldCharType="begin"/>
      </w:r>
      <w:r w:rsidR="00E95B67" w:rsidRPr="00FD65C9">
        <w:rPr>
          <w:noProof/>
          <w:lang w:val="pl-PL"/>
        </w:rPr>
        <w:instrText xml:space="preserve"> SEQ level0 \*arabic </w:instrText>
      </w:r>
      <w:r w:rsidRPr="00FD65C9">
        <w:rPr>
          <w:noProof/>
          <w:lang w:val="pl-PL"/>
        </w:rPr>
        <w:fldChar w:fldCharType="separate"/>
      </w:r>
      <w:r w:rsidR="00E95B67" w:rsidRPr="00FD65C9">
        <w:rPr>
          <w:noProof/>
          <w:lang w:val="pl-PL"/>
        </w:rPr>
        <w:t>109</w:t>
      </w:r>
      <w:r w:rsidRPr="00FD65C9">
        <w:rPr>
          <w:noProof/>
          <w:lang w:val="pl-PL"/>
        </w:rPr>
        <w:fldChar w:fldCharType="end"/>
      </w:r>
      <w:r w:rsidR="00E95B67" w:rsidRPr="00FD65C9">
        <w:rPr>
          <w:noProof/>
          <w:lang w:val="pl-PL"/>
        </w:rPr>
        <w:t>.  W tej kwestii Trybunał zauważa, że istotnie w wyroku co do zasady przyjętym w dniu 10 października 2017</w:t>
      </w:r>
      <w:r w:rsidR="00F76D6B" w:rsidRPr="00FD65C9">
        <w:rPr>
          <w:noProof/>
          <w:lang w:val="pl-PL"/>
        </w:rPr>
        <w:t xml:space="preserve"> r. sąd kasacyjny, obradujący w </w:t>
      </w:r>
      <w:r w:rsidR="00E95B67" w:rsidRPr="00FD65C9">
        <w:rPr>
          <w:noProof/>
          <w:lang w:val="pl-PL"/>
        </w:rPr>
        <w:t xml:space="preserve">składzie </w:t>
      </w:r>
      <w:r w:rsidR="0092116F">
        <w:rPr>
          <w:noProof/>
          <w:lang w:val="pl-PL"/>
        </w:rPr>
        <w:t xml:space="preserve">połączonych </w:t>
      </w:r>
      <w:r w:rsidR="00E95B67" w:rsidRPr="00FD65C9">
        <w:rPr>
          <w:noProof/>
          <w:lang w:val="pl-PL"/>
        </w:rPr>
        <w:t xml:space="preserve">izb karnych, uznał, że w chwili zatrzymania sędziów podejrzanych o przestępstwo przynależności do organizacji zbrojnej </w:t>
      </w:r>
      <w:r w:rsidR="00020520" w:rsidRPr="00FD65C9">
        <w:rPr>
          <w:noProof/>
          <w:lang w:val="pl-PL"/>
        </w:rPr>
        <w:t>za</w:t>
      </w:r>
      <w:r w:rsidR="00020520">
        <w:rPr>
          <w:noProof/>
          <w:lang w:val="pl-PL"/>
        </w:rPr>
        <w:t>chodził przypadek</w:t>
      </w:r>
      <w:r w:rsidR="00020520" w:rsidRPr="00FD65C9">
        <w:rPr>
          <w:noProof/>
          <w:lang w:val="pl-PL"/>
        </w:rPr>
        <w:t xml:space="preserve"> </w:t>
      </w:r>
      <w:r w:rsidR="00AD4D3A">
        <w:rPr>
          <w:i/>
          <w:iCs/>
          <w:noProof/>
          <w:lang w:val="pl-PL"/>
        </w:rPr>
        <w:t>in flagrante</w:t>
      </w:r>
      <w:r w:rsidR="00E95B67" w:rsidRPr="00FD65C9">
        <w:rPr>
          <w:i/>
          <w:iCs/>
          <w:noProof/>
          <w:lang w:val="pl-PL"/>
        </w:rPr>
        <w:t xml:space="preserve"> delicto</w:t>
      </w:r>
      <w:r w:rsidR="00E95B67" w:rsidRPr="00FD65C9">
        <w:rPr>
          <w:noProof/>
          <w:lang w:val="pl-PL"/>
        </w:rPr>
        <w:t xml:space="preserve"> (zob. paragraf 63 powyżej). Z tego orzeczenia co do zasady wynika, że w przypadku przestępstwa przynależności do organizacji przestępczej wystarczające jest spełnienie przesłanek określonych w art. 100 kpk, aby można było </w:t>
      </w:r>
      <w:r w:rsidR="00020520">
        <w:rPr>
          <w:noProof/>
          <w:lang w:val="pl-PL"/>
        </w:rPr>
        <w:t>zastosować</w:t>
      </w:r>
      <w:r w:rsidR="00020520" w:rsidRPr="00FD65C9">
        <w:rPr>
          <w:noProof/>
          <w:lang w:val="pl-PL"/>
        </w:rPr>
        <w:t xml:space="preserve"> </w:t>
      </w:r>
      <w:r w:rsidR="00E95B67" w:rsidRPr="00FD65C9">
        <w:rPr>
          <w:noProof/>
          <w:lang w:val="pl-PL"/>
        </w:rPr>
        <w:t xml:space="preserve">tymczasowe aresztowanie wobec podejrzanego, członka składu sędziowskiego, przy ustaleniu, że mamy do czynienia z przypadkiem </w:t>
      </w:r>
      <w:r w:rsidR="00AD4D3A">
        <w:rPr>
          <w:i/>
          <w:iCs/>
          <w:noProof/>
          <w:lang w:val="pl-PL"/>
        </w:rPr>
        <w:t>in flagrante</w:t>
      </w:r>
      <w:r w:rsidR="00E95B67" w:rsidRPr="00FD65C9">
        <w:rPr>
          <w:i/>
          <w:iCs/>
          <w:noProof/>
          <w:lang w:val="pl-PL"/>
        </w:rPr>
        <w:t xml:space="preserve"> delicto</w:t>
      </w:r>
      <w:r w:rsidR="00E95B67" w:rsidRPr="00FD65C9">
        <w:rPr>
          <w:noProof/>
          <w:lang w:val="pl-PL"/>
        </w:rPr>
        <w:t xml:space="preserve">. To nowe </w:t>
      </w:r>
      <w:r w:rsidR="00020520">
        <w:rPr>
          <w:noProof/>
          <w:lang w:val="pl-PL"/>
        </w:rPr>
        <w:t>rozumienie</w:t>
      </w:r>
      <w:r w:rsidR="00020520" w:rsidRPr="00FD65C9">
        <w:rPr>
          <w:noProof/>
          <w:lang w:val="pl-PL"/>
        </w:rPr>
        <w:t xml:space="preserve"> </w:t>
      </w:r>
      <w:r w:rsidR="00E95B67" w:rsidRPr="00FD65C9">
        <w:rPr>
          <w:noProof/>
          <w:lang w:val="pl-PL"/>
        </w:rPr>
        <w:t xml:space="preserve">w orzecznictwie pojęcia </w:t>
      </w:r>
      <w:r w:rsidR="00AD4D3A">
        <w:rPr>
          <w:i/>
          <w:iCs/>
          <w:noProof/>
          <w:lang w:val="pl-PL"/>
        </w:rPr>
        <w:t>in flagrante</w:t>
      </w:r>
      <w:r w:rsidR="00E95B67" w:rsidRPr="00FD65C9">
        <w:rPr>
          <w:i/>
          <w:iCs/>
          <w:noProof/>
          <w:lang w:val="pl-PL"/>
        </w:rPr>
        <w:t xml:space="preserve"> delicto</w:t>
      </w:r>
      <w:r w:rsidR="00E95B67" w:rsidRPr="00FD65C9">
        <w:rPr>
          <w:noProof/>
          <w:lang w:val="pl-PL"/>
        </w:rPr>
        <w:t xml:space="preserve">, które zostało dokonane długo po zatrzymaniu skarżącego, opierało się na utrwalonym orzecznictwie sądu kasacyjnego dotyczącym </w:t>
      </w:r>
      <w:r w:rsidR="00020520">
        <w:rPr>
          <w:noProof/>
          <w:lang w:val="pl-PL"/>
        </w:rPr>
        <w:t>czynów</w:t>
      </w:r>
      <w:r w:rsidR="00E95B67" w:rsidRPr="00FD65C9">
        <w:rPr>
          <w:noProof/>
          <w:lang w:val="pl-PL"/>
        </w:rPr>
        <w:t xml:space="preserve"> o charakterze ciągłym.</w:t>
      </w:r>
    </w:p>
    <w:p w14:paraId="6CB74938" w14:textId="02CDAD2E" w:rsidR="00675E41" w:rsidRPr="00FD65C9" w:rsidRDefault="00DA7597" w:rsidP="00622760">
      <w:pPr>
        <w:pStyle w:val="ECHRPara"/>
        <w:rPr>
          <w:rFonts w:eastAsia="Times New Roman"/>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110</w:t>
      </w:r>
      <w:r w:rsidRPr="00FD65C9">
        <w:rPr>
          <w:lang w:val="pl-PL"/>
        </w:rPr>
        <w:fldChar w:fldCharType="end"/>
      </w:r>
      <w:r w:rsidR="00E95B67" w:rsidRPr="00FD65C9">
        <w:rPr>
          <w:lang w:val="pl-PL"/>
        </w:rPr>
        <w:t xml:space="preserve">.  W tym względzie Trybunał przypomina, jak już wielokrotnie podkreślał, że może jedynie w ograniczony sposób zajmować się </w:t>
      </w:r>
      <w:r w:rsidR="00020520">
        <w:rPr>
          <w:lang w:val="pl-PL"/>
        </w:rPr>
        <w:t xml:space="preserve">zarzucanymi </w:t>
      </w:r>
      <w:r w:rsidR="00E95B67" w:rsidRPr="00FD65C9">
        <w:rPr>
          <w:lang w:val="pl-PL"/>
        </w:rPr>
        <w:t xml:space="preserve">błędami co do </w:t>
      </w:r>
      <w:r w:rsidR="00020520">
        <w:rPr>
          <w:lang w:val="pl-PL"/>
        </w:rPr>
        <w:t>stanu faktycznego</w:t>
      </w:r>
      <w:r w:rsidR="00020520" w:rsidRPr="00FD65C9">
        <w:rPr>
          <w:lang w:val="pl-PL"/>
        </w:rPr>
        <w:t xml:space="preserve"> </w:t>
      </w:r>
      <w:r w:rsidR="00E95B67" w:rsidRPr="00FD65C9">
        <w:rPr>
          <w:lang w:val="pl-PL"/>
        </w:rPr>
        <w:t>lub praw</w:t>
      </w:r>
      <w:r w:rsidR="00020520">
        <w:rPr>
          <w:lang w:val="pl-PL"/>
        </w:rPr>
        <w:t xml:space="preserve">nego, którego dopuściły się </w:t>
      </w:r>
      <w:r w:rsidR="00E95B67" w:rsidRPr="00FD65C9">
        <w:rPr>
          <w:lang w:val="pl-PL"/>
        </w:rPr>
        <w:t xml:space="preserve">sądy krajowe, </w:t>
      </w:r>
      <w:r w:rsidR="00020520">
        <w:rPr>
          <w:lang w:val="pl-PL"/>
        </w:rPr>
        <w:t xml:space="preserve">a </w:t>
      </w:r>
      <w:r w:rsidR="00E95B67" w:rsidRPr="00FD65C9">
        <w:rPr>
          <w:lang w:val="pl-PL"/>
        </w:rPr>
        <w:t xml:space="preserve">które </w:t>
      </w:r>
      <w:r w:rsidR="00020520">
        <w:rPr>
          <w:lang w:val="pl-PL"/>
        </w:rPr>
        <w:t xml:space="preserve">to sądy </w:t>
      </w:r>
      <w:r w:rsidR="00E95B67" w:rsidRPr="00FD65C9">
        <w:rPr>
          <w:lang w:val="pl-PL"/>
        </w:rPr>
        <w:t>są przede wszystkim</w:t>
      </w:r>
      <w:r w:rsidR="00F76D6B" w:rsidRPr="00FD65C9">
        <w:rPr>
          <w:lang w:val="pl-PL"/>
        </w:rPr>
        <w:t xml:space="preserve"> odpowiedzialne za wykładnię i s</w:t>
      </w:r>
      <w:r w:rsidR="00E95B67" w:rsidRPr="00FD65C9">
        <w:rPr>
          <w:lang w:val="pl-PL"/>
        </w:rPr>
        <w:t xml:space="preserve">tosowanie prawa krajowego. Z </w:t>
      </w:r>
      <w:r w:rsidR="00020520">
        <w:rPr>
          <w:lang w:val="pl-PL"/>
        </w:rPr>
        <w:t>wyjątkiem</w:t>
      </w:r>
      <w:r w:rsidR="00020520" w:rsidRPr="00FD65C9">
        <w:rPr>
          <w:lang w:val="pl-PL"/>
        </w:rPr>
        <w:t xml:space="preserve"> </w:t>
      </w:r>
      <w:r w:rsidR="00E95B67" w:rsidRPr="00FD65C9">
        <w:rPr>
          <w:lang w:val="pl-PL"/>
        </w:rPr>
        <w:t xml:space="preserve">arbitralnej lub w sposób oczywisty nieadekwatnej wykładni (zob. </w:t>
      </w:r>
      <w:proofErr w:type="spellStart"/>
      <w:r w:rsidR="00E95B67" w:rsidRPr="00FD65C9">
        <w:rPr>
          <w:i/>
          <w:iCs/>
          <w:lang w:val="pl-PL"/>
        </w:rPr>
        <w:t>Anheuser</w:t>
      </w:r>
      <w:proofErr w:type="spellEnd"/>
      <w:r w:rsidR="00E95B67" w:rsidRPr="00FD65C9">
        <w:rPr>
          <w:i/>
          <w:iCs/>
          <w:lang w:val="pl-PL"/>
        </w:rPr>
        <w:t xml:space="preserve">-Busch Inc. przeciwko Portugalii </w:t>
      </w:r>
      <w:r w:rsidR="00E95B67" w:rsidRPr="00FD65C9">
        <w:rPr>
          <w:lang w:val="pl-PL"/>
        </w:rPr>
        <w:t xml:space="preserve">[WI], nr 73049/01, § 86, ETPC 2007 I), rola Trybunału </w:t>
      </w:r>
      <w:r w:rsidR="00020520">
        <w:rPr>
          <w:lang w:val="pl-PL"/>
        </w:rPr>
        <w:t>sprowadza</w:t>
      </w:r>
      <w:r w:rsidR="00020520" w:rsidRPr="00FD65C9">
        <w:rPr>
          <w:lang w:val="pl-PL"/>
        </w:rPr>
        <w:t xml:space="preserve"> </w:t>
      </w:r>
      <w:r w:rsidR="00E95B67" w:rsidRPr="00FD65C9">
        <w:rPr>
          <w:lang w:val="pl-PL"/>
        </w:rPr>
        <w:t xml:space="preserve">się do weryfikacji zgodności z Konwencją skutków tej interpretacji (zob. </w:t>
      </w:r>
      <w:proofErr w:type="spellStart"/>
      <w:r w:rsidR="00E95B67" w:rsidRPr="00FD65C9">
        <w:rPr>
          <w:i/>
          <w:iCs/>
          <w:lang w:val="pl-PL"/>
        </w:rPr>
        <w:t>Waite</w:t>
      </w:r>
      <w:proofErr w:type="spellEnd"/>
      <w:r w:rsidR="00E95B67" w:rsidRPr="00FD65C9">
        <w:rPr>
          <w:i/>
          <w:iCs/>
          <w:lang w:val="pl-PL"/>
        </w:rPr>
        <w:t xml:space="preserve"> i Kennedy przeciwko Niemcom</w:t>
      </w:r>
      <w:r w:rsidR="00E95B67" w:rsidRPr="00FD65C9">
        <w:rPr>
          <w:lang w:val="pl-PL"/>
        </w:rPr>
        <w:t xml:space="preserve"> [WI], nr 26083/94, § 54, ETPC 1999 I oraz </w:t>
      </w:r>
      <w:proofErr w:type="spellStart"/>
      <w:r w:rsidR="00E95B67" w:rsidRPr="00FD65C9">
        <w:rPr>
          <w:i/>
          <w:iCs/>
          <w:lang w:val="pl-PL"/>
        </w:rPr>
        <w:t>Rohlena</w:t>
      </w:r>
      <w:proofErr w:type="spellEnd"/>
      <w:r w:rsidR="00E95B67" w:rsidRPr="00FD65C9">
        <w:rPr>
          <w:i/>
          <w:iCs/>
          <w:lang w:val="pl-PL"/>
        </w:rPr>
        <w:t xml:space="preserve"> przeciwko Republice Czeskiej </w:t>
      </w:r>
      <w:r w:rsidR="00E95B67" w:rsidRPr="00FD65C9">
        <w:rPr>
          <w:lang w:val="pl-PL"/>
        </w:rPr>
        <w:t>[WI], nr 59552/08, § 51, ETPC 2015). Do Trybunału należy zatem ustalenie, czy sposób, w jaki prawo krajowe zostało zinterpretowane i zastosowane w rozpatrywanych sprawach, jest zgodny z Konwencją (zob. odpowiednio,</w:t>
      </w:r>
      <w:r w:rsidR="00E95B67" w:rsidRPr="00FD65C9">
        <w:rPr>
          <w:i/>
          <w:iCs/>
          <w:lang w:val="pl-PL"/>
        </w:rPr>
        <w:t xml:space="preserve"> </w:t>
      </w:r>
      <w:proofErr w:type="spellStart"/>
      <w:r w:rsidR="00E95B67" w:rsidRPr="00FD65C9">
        <w:rPr>
          <w:i/>
          <w:iCs/>
          <w:lang w:val="pl-PL"/>
        </w:rPr>
        <w:t>Assanidzé</w:t>
      </w:r>
      <w:proofErr w:type="spellEnd"/>
      <w:r w:rsidR="00E95B67" w:rsidRPr="00FD65C9">
        <w:rPr>
          <w:i/>
          <w:iCs/>
          <w:lang w:val="pl-PL"/>
        </w:rPr>
        <w:t xml:space="preserve"> przeciwko Gruzji </w:t>
      </w:r>
      <w:r w:rsidR="00E95B67" w:rsidRPr="00FD65C9">
        <w:rPr>
          <w:lang w:val="pl-PL"/>
        </w:rPr>
        <w:t>[WI], nr 71503/01, § 171, ETPC 2004-II).</w:t>
      </w:r>
    </w:p>
    <w:p w14:paraId="4E80D996" w14:textId="6978C6BE" w:rsidR="00E95B67" w:rsidRPr="00FD65C9" w:rsidRDefault="00DA7597" w:rsidP="00622760">
      <w:pPr>
        <w:pStyle w:val="ECHRPara"/>
        <w:rPr>
          <w:rFonts w:eastAsia="Times New Roman"/>
          <w:noProof/>
          <w:lang w:val="pl-PL"/>
        </w:rPr>
      </w:pPr>
      <w:r w:rsidRPr="00FD65C9">
        <w:rPr>
          <w:rFonts w:eastAsia="Times New Roman"/>
          <w:noProof/>
          <w:lang w:val="pl-PL"/>
        </w:rPr>
        <w:fldChar w:fldCharType="begin"/>
      </w:r>
      <w:r w:rsidR="00E95B67" w:rsidRPr="00FD65C9">
        <w:rPr>
          <w:rFonts w:eastAsia="Times New Roman"/>
          <w:noProof/>
          <w:lang w:val="pl-PL"/>
        </w:rPr>
        <w:instrText xml:space="preserve"> SEQ level0 \*arabic </w:instrText>
      </w:r>
      <w:r w:rsidRPr="00FD65C9">
        <w:rPr>
          <w:rFonts w:eastAsia="Times New Roman"/>
          <w:noProof/>
          <w:lang w:val="pl-PL"/>
        </w:rPr>
        <w:fldChar w:fldCharType="separate"/>
      </w:r>
      <w:r w:rsidR="00E95B67" w:rsidRPr="00FD65C9">
        <w:rPr>
          <w:rFonts w:eastAsia="Times New Roman"/>
          <w:noProof/>
          <w:lang w:val="pl-PL"/>
        </w:rPr>
        <w:t>111</w:t>
      </w:r>
      <w:r w:rsidRPr="00FD65C9">
        <w:rPr>
          <w:rFonts w:eastAsia="Times New Roman"/>
          <w:noProof/>
          <w:lang w:val="pl-PL"/>
        </w:rPr>
        <w:fldChar w:fldCharType="end"/>
      </w:r>
      <w:r w:rsidR="00E95B67" w:rsidRPr="00FD65C9">
        <w:rPr>
          <w:rFonts w:eastAsia="Times New Roman"/>
          <w:noProof/>
          <w:lang w:val="pl-PL"/>
        </w:rPr>
        <w:t xml:space="preserve">.  W tej kwestii Trybunał podkreślił, że generalnie zasada pewności prawa może zostać naruszona, jeżeli sądy krajowe wprowadzają do swojego orzecznictwa wyjątki, które są sprzeczne z brzmieniem mających zastosowanie przepisów prawa. W tym względzie Trybunał zauważył, że art. 2 kpk zawiera klasyczną definicję pojęcia </w:t>
      </w:r>
      <w:r w:rsidR="00AD4D3A">
        <w:rPr>
          <w:rFonts w:eastAsia="Times New Roman"/>
          <w:i/>
          <w:iCs/>
          <w:noProof/>
          <w:lang w:val="pl-PL"/>
        </w:rPr>
        <w:t>in flagrante</w:t>
      </w:r>
      <w:r w:rsidR="00E95B67" w:rsidRPr="00FD65C9">
        <w:rPr>
          <w:rFonts w:eastAsia="Times New Roman"/>
          <w:i/>
          <w:iCs/>
          <w:noProof/>
          <w:lang w:val="pl-PL"/>
        </w:rPr>
        <w:t xml:space="preserve"> delicto</w:t>
      </w:r>
      <w:r w:rsidR="00E95B67" w:rsidRPr="00FD65C9">
        <w:rPr>
          <w:rFonts w:eastAsia="Times New Roman"/>
          <w:noProof/>
          <w:lang w:val="pl-PL"/>
        </w:rPr>
        <w:t xml:space="preserve">, które jest związane z </w:t>
      </w:r>
      <w:r w:rsidR="00020520">
        <w:rPr>
          <w:rFonts w:eastAsia="Times New Roman"/>
          <w:noProof/>
          <w:lang w:val="pl-PL"/>
        </w:rPr>
        <w:t>chwilą dokonania</w:t>
      </w:r>
      <w:r w:rsidR="00020520" w:rsidRPr="00FD65C9">
        <w:rPr>
          <w:rFonts w:eastAsia="Times New Roman"/>
          <w:noProof/>
          <w:lang w:val="pl-PL"/>
        </w:rPr>
        <w:t xml:space="preserve"> </w:t>
      </w:r>
      <w:r w:rsidR="00E95B67" w:rsidRPr="00FD65C9">
        <w:rPr>
          <w:rFonts w:eastAsia="Times New Roman"/>
          <w:noProof/>
          <w:lang w:val="pl-PL"/>
        </w:rPr>
        <w:t xml:space="preserve">przestępstwa lub czasem bezpośrednio poprzedzającym przestępstwo. Tymczasem zgodnie z wyżej wymienionym orzecznictwem sądu kasacyjnego, podejrzenie – w rozumieniu art. 100 kpk – przynależności do organizacji przestępczej może być wystarczające do zakwalifikowania </w:t>
      </w:r>
      <w:r w:rsidR="00AD4D3A">
        <w:rPr>
          <w:rFonts w:eastAsia="Times New Roman"/>
          <w:i/>
          <w:iCs/>
          <w:noProof/>
          <w:lang w:val="pl-PL"/>
        </w:rPr>
        <w:t>in flagrante</w:t>
      </w:r>
      <w:r w:rsidR="00E95B67" w:rsidRPr="00FD65C9">
        <w:rPr>
          <w:rFonts w:eastAsia="Times New Roman"/>
          <w:i/>
          <w:iCs/>
          <w:noProof/>
          <w:lang w:val="pl-PL"/>
        </w:rPr>
        <w:t xml:space="preserve"> delicto</w:t>
      </w:r>
      <w:r w:rsidR="00E95B67" w:rsidRPr="00FD65C9">
        <w:rPr>
          <w:rFonts w:eastAsia="Times New Roman"/>
          <w:noProof/>
          <w:lang w:val="pl-PL"/>
        </w:rPr>
        <w:t xml:space="preserve"> bez konieczności wskazania </w:t>
      </w:r>
      <w:r w:rsidR="0053112B">
        <w:rPr>
          <w:rFonts w:eastAsia="Times New Roman"/>
          <w:noProof/>
          <w:lang w:val="pl-PL"/>
        </w:rPr>
        <w:t>realizacji strony przedmiotowej</w:t>
      </w:r>
      <w:r w:rsidR="00E95B67" w:rsidRPr="00FD65C9">
        <w:rPr>
          <w:rFonts w:eastAsia="Times New Roman"/>
          <w:noProof/>
          <w:lang w:val="pl-PL"/>
        </w:rPr>
        <w:t xml:space="preserve"> lub inne</w:t>
      </w:r>
      <w:r w:rsidR="0053112B">
        <w:rPr>
          <w:rFonts w:eastAsia="Times New Roman"/>
          <w:noProof/>
          <w:lang w:val="pl-PL"/>
        </w:rPr>
        <w:t>go znamienia czynu zabronionego</w:t>
      </w:r>
      <w:r w:rsidR="00E95B67" w:rsidRPr="00FD65C9">
        <w:rPr>
          <w:rFonts w:eastAsia="Times New Roman"/>
          <w:noProof/>
          <w:lang w:val="pl-PL"/>
        </w:rPr>
        <w:t>.</w:t>
      </w:r>
    </w:p>
    <w:p w14:paraId="40282D3A" w14:textId="53CD9CDF" w:rsidR="00E95B67" w:rsidRPr="00FD65C9" w:rsidRDefault="00DA7597" w:rsidP="00622760">
      <w:pPr>
        <w:pStyle w:val="ECHRPara"/>
        <w:rPr>
          <w:rFonts w:eastAsia="Times New Roman"/>
          <w:noProof/>
          <w:lang w:val="pl-PL"/>
        </w:rPr>
      </w:pPr>
      <w:r w:rsidRPr="00FD65C9">
        <w:rPr>
          <w:rFonts w:eastAsia="Times New Roman"/>
          <w:noProof/>
          <w:lang w:val="pl-PL"/>
        </w:rPr>
        <w:fldChar w:fldCharType="begin"/>
      </w:r>
      <w:r w:rsidR="00E95B67" w:rsidRPr="00FD65C9">
        <w:rPr>
          <w:rFonts w:eastAsia="Times New Roman"/>
          <w:noProof/>
          <w:lang w:val="pl-PL"/>
        </w:rPr>
        <w:instrText xml:space="preserve"> SEQ level0 \*arabic </w:instrText>
      </w:r>
      <w:r w:rsidRPr="00FD65C9">
        <w:rPr>
          <w:rFonts w:eastAsia="Times New Roman"/>
          <w:noProof/>
          <w:lang w:val="pl-PL"/>
        </w:rPr>
        <w:fldChar w:fldCharType="separate"/>
      </w:r>
      <w:r w:rsidR="00E95B67" w:rsidRPr="00FD65C9">
        <w:rPr>
          <w:rFonts w:eastAsia="Times New Roman"/>
          <w:noProof/>
          <w:lang w:val="pl-PL"/>
        </w:rPr>
        <w:t>112</w:t>
      </w:r>
      <w:r w:rsidRPr="00FD65C9">
        <w:rPr>
          <w:rFonts w:eastAsia="Times New Roman"/>
          <w:noProof/>
          <w:lang w:val="pl-PL"/>
        </w:rPr>
        <w:fldChar w:fldCharType="end"/>
      </w:r>
      <w:r w:rsidR="00E95B67" w:rsidRPr="00FD65C9">
        <w:rPr>
          <w:rFonts w:eastAsia="Times New Roman"/>
          <w:noProof/>
          <w:lang w:val="pl-PL"/>
        </w:rPr>
        <w:t xml:space="preserve">.  Zdaniem Trybunału jest to rozszerzająca wykładnia pojęcia </w:t>
      </w:r>
      <w:r w:rsidR="00AD4D3A">
        <w:rPr>
          <w:rFonts w:eastAsia="Times New Roman"/>
          <w:i/>
          <w:iCs/>
          <w:noProof/>
          <w:lang w:val="pl-PL"/>
        </w:rPr>
        <w:t>in flagrante</w:t>
      </w:r>
      <w:r w:rsidR="00E95B67" w:rsidRPr="00FD65C9">
        <w:rPr>
          <w:rFonts w:eastAsia="Times New Roman"/>
          <w:i/>
          <w:iCs/>
          <w:noProof/>
          <w:lang w:val="pl-PL"/>
        </w:rPr>
        <w:t xml:space="preserve"> delicto</w:t>
      </w:r>
      <w:r w:rsidR="00E95B67" w:rsidRPr="00FD65C9">
        <w:rPr>
          <w:rFonts w:eastAsia="Times New Roman"/>
          <w:noProof/>
          <w:lang w:val="pl-PL"/>
        </w:rPr>
        <w:t>, która poszerza jego zakres w taki sposób, że sędziowie podejrzani o przynależność do organizacji przestępczej są pozbawieni ochrony sądowej przyznanej przez prawo tureckie członkom wymiaru sprawiedliwości, w tym skarżącemu,</w:t>
      </w:r>
      <w:r w:rsidR="00F76D6B" w:rsidRPr="00FD65C9">
        <w:rPr>
          <w:rFonts w:eastAsia="Times New Roman"/>
          <w:noProof/>
          <w:lang w:val="pl-PL"/>
        </w:rPr>
        <w:t xml:space="preserve"> sędziemu zasiadającemu w TK, a </w:t>
      </w:r>
      <w:r w:rsidR="00E95B67" w:rsidRPr="00FD65C9">
        <w:rPr>
          <w:rFonts w:eastAsia="Times New Roman"/>
          <w:noProof/>
          <w:lang w:val="pl-PL"/>
        </w:rPr>
        <w:t>zatem korzystającemu z takiej ochrony na podstawie ustawy nr 6216. Dlatego też w okolicznościach podobnych do tych w niniejszej sprawie wykładnia ta niweczy gwarancje proceduralne przyznane władzy sądowniczej w celu jej ochrony przed naruszeniami ze strony władzy wykonawczej.</w:t>
      </w:r>
    </w:p>
    <w:p w14:paraId="605BECD3" w14:textId="42ECD59D" w:rsidR="00E95B67" w:rsidRPr="00FD65C9" w:rsidRDefault="00DA7597" w:rsidP="00622760">
      <w:pPr>
        <w:pStyle w:val="ECHRPara"/>
        <w:rPr>
          <w:rFonts w:eastAsia="Times New Roman"/>
          <w:lang w:val="pl-PL"/>
        </w:rPr>
      </w:pPr>
      <w:r w:rsidRPr="00FD65C9">
        <w:rPr>
          <w:rFonts w:eastAsia="Times New Roman"/>
          <w:lang w:val="pl-PL"/>
        </w:rPr>
        <w:fldChar w:fldCharType="begin"/>
      </w:r>
      <w:r w:rsidR="00E95B67" w:rsidRPr="00FD65C9">
        <w:rPr>
          <w:rFonts w:eastAsia="Times New Roman"/>
          <w:lang w:val="pl-PL"/>
        </w:rPr>
        <w:instrText xml:space="preserve"> SEQ level0 \*arabic </w:instrText>
      </w:r>
      <w:r w:rsidRPr="00FD65C9">
        <w:rPr>
          <w:rFonts w:eastAsia="Times New Roman"/>
          <w:lang w:val="pl-PL"/>
        </w:rPr>
        <w:fldChar w:fldCharType="separate"/>
      </w:r>
      <w:r w:rsidR="00E95B67" w:rsidRPr="00FD65C9">
        <w:rPr>
          <w:rFonts w:eastAsia="Times New Roman"/>
          <w:noProof/>
          <w:lang w:val="pl-PL"/>
        </w:rPr>
        <w:t>113</w:t>
      </w:r>
      <w:r w:rsidRPr="00FD65C9">
        <w:rPr>
          <w:rFonts w:eastAsia="Times New Roman"/>
          <w:lang w:val="pl-PL"/>
        </w:rPr>
        <w:fldChar w:fldCharType="end"/>
      </w:r>
      <w:r w:rsidR="00E95B67" w:rsidRPr="00FD65C9">
        <w:rPr>
          <w:rFonts w:eastAsia="Times New Roman"/>
          <w:lang w:val="pl-PL"/>
        </w:rPr>
        <w:t xml:space="preserve">.  Trybunał zauważa, że ta ochrona sądowa jest przyznawana sędziom nie dla ich osobistej korzyści, ale w celu umożliwienia im pełnienia funkcji w sposób całkowicie niezawisły (zob. paragraf 102 powyżej).  Jak słusznie zauważył Rząd, ochrona ta nie oznacza bezkarności. Celem tej ochrony jest zapewnienie, by sądownictwo </w:t>
      </w:r>
      <w:r w:rsidR="0053112B">
        <w:rPr>
          <w:rFonts w:eastAsia="Times New Roman"/>
          <w:lang w:val="pl-PL"/>
        </w:rPr>
        <w:t>ogólnie</w:t>
      </w:r>
      <w:r w:rsidR="00E95B67" w:rsidRPr="00FD65C9">
        <w:rPr>
          <w:rFonts w:eastAsia="Times New Roman"/>
          <w:lang w:val="pl-PL"/>
        </w:rPr>
        <w:t xml:space="preserve">, a jego członkowie w szczególności, nie podlegali bezprawnym ograniczeniom w wykonywaniu funkcji sądowniczych przez organy spoza sądownictwa, a nawet przez sędziów sprawujących funkcje nadzorcze lub </w:t>
      </w:r>
      <w:r w:rsidR="0053112B">
        <w:rPr>
          <w:rFonts w:eastAsia="Times New Roman"/>
          <w:lang w:val="pl-PL"/>
        </w:rPr>
        <w:t>odwoławcze</w:t>
      </w:r>
      <w:r w:rsidR="00E95B67" w:rsidRPr="00FD65C9">
        <w:rPr>
          <w:rFonts w:eastAsia="Times New Roman"/>
          <w:lang w:val="pl-PL"/>
        </w:rPr>
        <w:t xml:space="preserve">. W tym względzie należy zauważyć, że ustawodawstwo tureckie nie zabraniało </w:t>
      </w:r>
      <w:r w:rsidR="0053112B" w:rsidRPr="00FD65C9">
        <w:rPr>
          <w:rFonts w:eastAsia="Times New Roman"/>
          <w:lang w:val="pl-PL"/>
        </w:rPr>
        <w:t>za</w:t>
      </w:r>
      <w:r w:rsidR="0053112B">
        <w:rPr>
          <w:rFonts w:eastAsia="Times New Roman"/>
          <w:lang w:val="pl-PL"/>
        </w:rPr>
        <w:t>stosowania tymczasowego aresztowania wobec</w:t>
      </w:r>
      <w:r w:rsidR="0053112B" w:rsidRPr="00FD65C9">
        <w:rPr>
          <w:rFonts w:eastAsia="Times New Roman"/>
          <w:lang w:val="pl-PL"/>
        </w:rPr>
        <w:t xml:space="preserve"> </w:t>
      </w:r>
      <w:r w:rsidR="00E95B67" w:rsidRPr="00FD65C9">
        <w:rPr>
          <w:rFonts w:eastAsia="Times New Roman"/>
          <w:lang w:val="pl-PL"/>
        </w:rPr>
        <w:t xml:space="preserve">członka TK, pod warunkiem przestrzegania gwarancji Konstytucji i ustawy nr 6216. </w:t>
      </w:r>
      <w:r w:rsidR="0053112B">
        <w:rPr>
          <w:rFonts w:eastAsia="Times New Roman"/>
          <w:lang w:val="pl-PL"/>
        </w:rPr>
        <w:t>I</w:t>
      </w:r>
      <w:r w:rsidR="00E95B67" w:rsidRPr="00FD65C9">
        <w:rPr>
          <w:rFonts w:eastAsia="Times New Roman"/>
          <w:lang w:val="pl-PL"/>
        </w:rPr>
        <w:t xml:space="preserve">mmunitet sędziowski może </w:t>
      </w:r>
      <w:r w:rsidR="0053112B">
        <w:rPr>
          <w:rFonts w:eastAsia="Times New Roman"/>
          <w:lang w:val="pl-PL"/>
        </w:rPr>
        <w:t xml:space="preserve">bowiem </w:t>
      </w:r>
      <w:r w:rsidR="00E95B67" w:rsidRPr="00FD65C9">
        <w:rPr>
          <w:rFonts w:eastAsia="Times New Roman"/>
          <w:lang w:val="pl-PL"/>
        </w:rPr>
        <w:t xml:space="preserve">zostać uchylony przez sam TK i może zostać wszczęte postępowanie karne oraz zarządzone środki zapobiegawcze, takie jak </w:t>
      </w:r>
      <w:r w:rsidR="0053112B">
        <w:rPr>
          <w:rFonts w:eastAsia="Times New Roman"/>
          <w:lang w:val="pl-PL"/>
        </w:rPr>
        <w:t>tymczasowe aresztowanie</w:t>
      </w:r>
      <w:r w:rsidR="00E95B67" w:rsidRPr="00FD65C9">
        <w:rPr>
          <w:rFonts w:eastAsia="Times New Roman"/>
          <w:lang w:val="pl-PL"/>
        </w:rPr>
        <w:t xml:space="preserve">, </w:t>
      </w:r>
      <w:r w:rsidR="0053112B">
        <w:rPr>
          <w:rFonts w:eastAsia="Times New Roman"/>
          <w:lang w:val="pl-PL"/>
        </w:rPr>
        <w:t>w trybie</w:t>
      </w:r>
      <w:r w:rsidR="00E95B67" w:rsidRPr="00FD65C9">
        <w:rPr>
          <w:rFonts w:eastAsia="Times New Roman"/>
          <w:lang w:val="pl-PL"/>
        </w:rPr>
        <w:t xml:space="preserve"> opisa</w:t>
      </w:r>
      <w:r w:rsidR="00F76D6B" w:rsidRPr="00FD65C9">
        <w:rPr>
          <w:rFonts w:eastAsia="Times New Roman"/>
          <w:lang w:val="pl-PL"/>
        </w:rPr>
        <w:t>n</w:t>
      </w:r>
      <w:r w:rsidR="0053112B">
        <w:rPr>
          <w:rFonts w:eastAsia="Times New Roman"/>
          <w:lang w:val="pl-PL"/>
        </w:rPr>
        <w:t>ym</w:t>
      </w:r>
      <w:r w:rsidR="00F76D6B" w:rsidRPr="00FD65C9">
        <w:rPr>
          <w:rFonts w:eastAsia="Times New Roman"/>
          <w:lang w:val="pl-PL"/>
        </w:rPr>
        <w:t xml:space="preserve"> w art. 16 i </w:t>
      </w:r>
      <w:r w:rsidR="00E95B67" w:rsidRPr="00FD65C9">
        <w:rPr>
          <w:rFonts w:eastAsia="Times New Roman"/>
          <w:lang w:val="pl-PL"/>
        </w:rPr>
        <w:t>17 wspomnianej ustawy.</w:t>
      </w:r>
    </w:p>
    <w:p w14:paraId="419943ED" w14:textId="58E2E802" w:rsidR="00675E41"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114</w:t>
      </w:r>
      <w:r w:rsidRPr="00FD65C9">
        <w:rPr>
          <w:lang w:val="pl-PL"/>
        </w:rPr>
        <w:fldChar w:fldCharType="end"/>
      </w:r>
      <w:r w:rsidR="00E95B67" w:rsidRPr="00FD65C9">
        <w:rPr>
          <w:lang w:val="pl-PL"/>
        </w:rPr>
        <w:t xml:space="preserve">.  Ponadto przy </w:t>
      </w:r>
      <w:r w:rsidR="0053112B">
        <w:rPr>
          <w:lang w:val="pl-PL"/>
        </w:rPr>
        <w:t>analizie treści</w:t>
      </w:r>
      <w:r w:rsidR="0053112B" w:rsidRPr="00FD65C9">
        <w:rPr>
          <w:lang w:val="pl-PL"/>
        </w:rPr>
        <w:t xml:space="preserve"> </w:t>
      </w:r>
      <w:r w:rsidR="00E95B67" w:rsidRPr="00FD65C9">
        <w:rPr>
          <w:lang w:val="pl-PL"/>
        </w:rPr>
        <w:t>wy</w:t>
      </w:r>
      <w:r w:rsidR="00F76D6B" w:rsidRPr="00FD65C9">
        <w:rPr>
          <w:lang w:val="pl-PL"/>
        </w:rPr>
        <w:t>roku sądu kasacyjnego z dnia 10 </w:t>
      </w:r>
      <w:r w:rsidR="00E95B67" w:rsidRPr="00FD65C9">
        <w:rPr>
          <w:lang w:val="pl-PL"/>
        </w:rPr>
        <w:t xml:space="preserve">października 2017 r. (zob. paragraf 63 powyżej) Trybunał nie dostrzega, w jaki sposób utrwalone orzecznictwo sądu kasacyjnego, które odnosiło się do pojęcia </w:t>
      </w:r>
      <w:r w:rsidR="0053112B">
        <w:rPr>
          <w:lang w:val="pl-PL"/>
        </w:rPr>
        <w:t>czynu</w:t>
      </w:r>
      <w:r w:rsidR="0053112B" w:rsidRPr="00FD65C9">
        <w:rPr>
          <w:lang w:val="pl-PL"/>
        </w:rPr>
        <w:t xml:space="preserve"> </w:t>
      </w:r>
      <w:r w:rsidR="00E95B67" w:rsidRPr="00FD65C9">
        <w:rPr>
          <w:lang w:val="pl-PL"/>
        </w:rPr>
        <w:t>o charakterze ciągłym, mogłoby uzasadniać rozszerzenie zakresu pojęcia</w:t>
      </w:r>
      <w:r w:rsidR="00E95B67" w:rsidRPr="00FD65C9">
        <w:rPr>
          <w:i/>
          <w:iCs/>
          <w:lang w:val="pl-PL"/>
        </w:rPr>
        <w:t xml:space="preserve"> </w:t>
      </w:r>
      <w:r w:rsidR="00AD4D3A">
        <w:rPr>
          <w:i/>
          <w:iCs/>
          <w:lang w:val="pl-PL"/>
        </w:rPr>
        <w:t xml:space="preserve">in </w:t>
      </w:r>
      <w:proofErr w:type="spellStart"/>
      <w:r w:rsidR="00AD4D3A">
        <w:rPr>
          <w:i/>
          <w:iCs/>
          <w:lang w:val="pl-PL"/>
        </w:rPr>
        <w:t>flagrante</w:t>
      </w:r>
      <w:proofErr w:type="spellEnd"/>
      <w:r w:rsidR="00E95B67" w:rsidRPr="00FD65C9">
        <w:rPr>
          <w:i/>
          <w:iCs/>
          <w:lang w:val="pl-PL"/>
        </w:rPr>
        <w:t xml:space="preserve"> </w:t>
      </w:r>
      <w:proofErr w:type="spellStart"/>
      <w:r w:rsidR="00E95B67" w:rsidRPr="00FD65C9">
        <w:rPr>
          <w:i/>
          <w:iCs/>
          <w:lang w:val="pl-PL"/>
        </w:rPr>
        <w:t>delicto</w:t>
      </w:r>
      <w:proofErr w:type="spellEnd"/>
      <w:r w:rsidR="00F76D6B" w:rsidRPr="00FD65C9">
        <w:rPr>
          <w:lang w:val="pl-PL"/>
        </w:rPr>
        <w:t>, które jest związane z </w:t>
      </w:r>
      <w:r w:rsidR="00E95B67" w:rsidRPr="00FD65C9">
        <w:rPr>
          <w:lang w:val="pl-PL"/>
        </w:rPr>
        <w:t xml:space="preserve">istnieniem czynu zabronionego, w rozumieniu art. 2 kpk (zob. paragraf 52 powyżej). Z poprzednich wyroków jasno wynika, że sąd </w:t>
      </w:r>
      <w:r w:rsidR="0053112B">
        <w:rPr>
          <w:lang w:val="pl-PL"/>
        </w:rPr>
        <w:t>najwyższej</w:t>
      </w:r>
      <w:r w:rsidR="0053112B" w:rsidRPr="00FD65C9">
        <w:rPr>
          <w:lang w:val="pl-PL"/>
        </w:rPr>
        <w:t xml:space="preserve"> </w:t>
      </w:r>
      <w:r w:rsidR="00E95B67" w:rsidRPr="00FD65C9">
        <w:rPr>
          <w:lang w:val="pl-PL"/>
        </w:rPr>
        <w:t xml:space="preserve">instancji </w:t>
      </w:r>
      <w:r w:rsidR="0053112B">
        <w:rPr>
          <w:lang w:val="pl-PL"/>
        </w:rPr>
        <w:t>wy</w:t>
      </w:r>
      <w:r w:rsidR="00E95B67" w:rsidRPr="00FD65C9">
        <w:rPr>
          <w:lang w:val="pl-PL"/>
        </w:rPr>
        <w:t xml:space="preserve">pracował to orzecznictwo w celu określenia cech </w:t>
      </w:r>
      <w:r w:rsidR="0053112B">
        <w:rPr>
          <w:lang w:val="pl-PL"/>
        </w:rPr>
        <w:t>czynów</w:t>
      </w:r>
      <w:r w:rsidR="0053112B" w:rsidRPr="00FD65C9">
        <w:rPr>
          <w:lang w:val="pl-PL"/>
        </w:rPr>
        <w:t xml:space="preserve"> </w:t>
      </w:r>
      <w:r w:rsidR="00E95B67" w:rsidRPr="00FD65C9">
        <w:rPr>
          <w:lang w:val="pl-PL"/>
        </w:rPr>
        <w:t xml:space="preserve">o charakterze ciągłym, właściwości sądów karnych oraz możliwości zastosowania przedawnienia w tym </w:t>
      </w:r>
      <w:r w:rsidR="0053112B">
        <w:rPr>
          <w:lang w:val="pl-PL"/>
        </w:rPr>
        <w:t>zakresie</w:t>
      </w:r>
      <w:r w:rsidR="0053112B" w:rsidRPr="00FD65C9">
        <w:rPr>
          <w:lang w:val="pl-PL"/>
        </w:rPr>
        <w:t xml:space="preserve"> </w:t>
      </w:r>
      <w:r w:rsidR="00E95B67" w:rsidRPr="00FD65C9">
        <w:rPr>
          <w:lang w:val="pl-PL"/>
        </w:rPr>
        <w:t xml:space="preserve">(zob. paragraf </w:t>
      </w:r>
      <w:r w:rsidR="00E95B67" w:rsidRPr="00FD65C9">
        <w:rPr>
          <w:color w:val="000000"/>
          <w:lang w:val="pl-PL"/>
        </w:rPr>
        <w:t>60–62</w:t>
      </w:r>
      <w:r w:rsidR="00E95B67" w:rsidRPr="00FD65C9">
        <w:rPr>
          <w:lang w:val="pl-PL"/>
        </w:rPr>
        <w:t xml:space="preserve"> powyżej).</w:t>
      </w:r>
    </w:p>
    <w:p w14:paraId="2FCFBCCE" w14:textId="4C2289A5" w:rsidR="00E95B67" w:rsidRPr="00FD65C9" w:rsidRDefault="00DA7597" w:rsidP="00622760">
      <w:pPr>
        <w:pStyle w:val="ECHRPara"/>
        <w:rPr>
          <w:rFonts w:eastAsia="Times New Roman"/>
          <w:lang w:val="pl-PL"/>
        </w:rPr>
      </w:pPr>
      <w:r w:rsidRPr="00FD65C9">
        <w:rPr>
          <w:rFonts w:eastAsia="Times New Roman"/>
          <w:lang w:val="pl-PL"/>
        </w:rPr>
        <w:fldChar w:fldCharType="begin"/>
      </w:r>
      <w:r w:rsidR="00E95B67" w:rsidRPr="00FD65C9">
        <w:rPr>
          <w:rFonts w:eastAsia="Times New Roman"/>
          <w:lang w:val="pl-PL"/>
        </w:rPr>
        <w:instrText xml:space="preserve"> SEQ level0 \*arabic </w:instrText>
      </w:r>
      <w:r w:rsidRPr="00FD65C9">
        <w:rPr>
          <w:rFonts w:eastAsia="Times New Roman"/>
          <w:lang w:val="pl-PL"/>
        </w:rPr>
        <w:fldChar w:fldCharType="separate"/>
      </w:r>
      <w:r w:rsidR="00E95B67" w:rsidRPr="00FD65C9">
        <w:rPr>
          <w:rFonts w:eastAsia="Times New Roman"/>
          <w:noProof/>
          <w:lang w:val="pl-PL"/>
        </w:rPr>
        <w:t>115</w:t>
      </w:r>
      <w:r w:rsidRPr="00FD65C9">
        <w:rPr>
          <w:rFonts w:eastAsia="Times New Roman"/>
          <w:lang w:val="pl-PL"/>
        </w:rPr>
        <w:fldChar w:fldCharType="end"/>
      </w:r>
      <w:r w:rsidR="00E95B67" w:rsidRPr="00FD65C9">
        <w:rPr>
          <w:rFonts w:eastAsia="Times New Roman"/>
          <w:lang w:val="pl-PL"/>
        </w:rPr>
        <w:t xml:space="preserve">.  W świetle powyższego Trybunał stwierdza, że rozszerzenie zakresu pojęcia </w:t>
      </w:r>
      <w:r w:rsidR="00AD4D3A">
        <w:rPr>
          <w:rFonts w:eastAsia="Times New Roman"/>
          <w:i/>
          <w:iCs/>
          <w:lang w:val="pl-PL"/>
        </w:rPr>
        <w:t xml:space="preserve">in </w:t>
      </w:r>
      <w:proofErr w:type="spellStart"/>
      <w:r w:rsidR="00AD4D3A">
        <w:rPr>
          <w:rFonts w:eastAsia="Times New Roman"/>
          <w:i/>
          <w:iCs/>
          <w:lang w:val="pl-PL"/>
        </w:rPr>
        <w:t>flagrante</w:t>
      </w:r>
      <w:proofErr w:type="spellEnd"/>
      <w:r w:rsidR="00E95B67" w:rsidRPr="00FD65C9">
        <w:rPr>
          <w:rFonts w:eastAsia="Times New Roman"/>
          <w:i/>
          <w:iCs/>
          <w:lang w:val="pl-PL"/>
        </w:rPr>
        <w:t xml:space="preserve"> </w:t>
      </w:r>
      <w:proofErr w:type="spellStart"/>
      <w:r w:rsidR="00E95B67" w:rsidRPr="00FD65C9">
        <w:rPr>
          <w:rFonts w:eastAsia="Times New Roman"/>
          <w:i/>
          <w:iCs/>
          <w:lang w:val="pl-PL"/>
        </w:rPr>
        <w:t>delicto</w:t>
      </w:r>
      <w:proofErr w:type="spellEnd"/>
      <w:r w:rsidR="00E95B67" w:rsidRPr="00FD65C9">
        <w:rPr>
          <w:rFonts w:eastAsia="Times New Roman"/>
          <w:lang w:val="pl-PL"/>
        </w:rPr>
        <w:t xml:space="preserve"> w drodze orzecznictwa oraz zastosowanie prawa krajowego przez sądy krajowe w niniejszej sprawie są nie tylko problematyczne z punktu widzenia zasady pewności prawa (zob. paragraf 103 powyżej), ale również wydają się w sposób oczywisty nieadekwatne.</w:t>
      </w:r>
    </w:p>
    <w:p w14:paraId="4F8AFF48" w14:textId="58FB8610" w:rsidR="00675E41" w:rsidRPr="00FD65C9" w:rsidRDefault="00E95B67" w:rsidP="00622760">
      <w:pPr>
        <w:pStyle w:val="ECHRPara"/>
        <w:rPr>
          <w:lang w:val="pl-PL"/>
        </w:rPr>
      </w:pPr>
      <w:r w:rsidRPr="00FD65C9">
        <w:rPr>
          <w:lang w:val="pl-PL"/>
        </w:rPr>
        <w:t xml:space="preserve">Wynika z tego, że </w:t>
      </w:r>
      <w:r w:rsidR="0053112B">
        <w:rPr>
          <w:lang w:val="pl-PL"/>
        </w:rPr>
        <w:t>tymczasowe aresztowanie</w:t>
      </w:r>
      <w:r w:rsidR="0053112B" w:rsidRPr="00FD65C9">
        <w:rPr>
          <w:lang w:val="pl-PL"/>
        </w:rPr>
        <w:t xml:space="preserve"> </w:t>
      </w:r>
      <w:r w:rsidRPr="00FD65C9">
        <w:rPr>
          <w:lang w:val="pl-PL"/>
        </w:rPr>
        <w:t>skarżącego, które zostało zarządzone na podstawie art. 100 kpk w warunkach, które pozbawiły go możliwości skorzystania z gwarancji proceduralnych przyznanych członkom TK, nie zostało przeprowadzone w trybie ustalonym przez prawo w rozumieniu art. 5 ust. 1 Konwencji.</w:t>
      </w:r>
    </w:p>
    <w:p w14:paraId="22703BD5" w14:textId="77777777" w:rsidR="00E95B67" w:rsidRPr="00FD65C9" w:rsidRDefault="0075254D" w:rsidP="00622760">
      <w:pPr>
        <w:pStyle w:val="ECHRHeading5"/>
        <w:rPr>
          <w:lang w:val="pl-PL"/>
        </w:rPr>
      </w:pPr>
      <w:r w:rsidRPr="00FD65C9">
        <w:rPr>
          <w:bCs w:val="0"/>
          <w:iCs/>
          <w:lang w:val="pl-PL"/>
        </w:rPr>
        <w:t>ii.  W przedmiocie art. 15 Konwencji</w:t>
      </w:r>
    </w:p>
    <w:p w14:paraId="46B42994" w14:textId="77777777"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116</w:t>
      </w:r>
      <w:r w:rsidRPr="00FD65C9">
        <w:rPr>
          <w:lang w:val="pl-PL"/>
        </w:rPr>
        <w:fldChar w:fldCharType="end"/>
      </w:r>
      <w:r w:rsidR="00E95B67" w:rsidRPr="00FD65C9">
        <w:rPr>
          <w:lang w:val="pl-PL"/>
        </w:rPr>
        <w:t>.  Kiedy Trybunał zostaje wezwany do zbadania uchylenia stosowania zobowiązań ustanowionego na mocy art. 15, przyznaje on państwom szeroki margines oceny przy określaniu charakteru i zakresu środków stanowiących odstępstwo, które uznają one za konieczne do zapobieżenia niebezpieczeństwu, na jakie się powołują. Jednak to do niego należy ostateczna decyzja, czy podjęte środki „ściśle odpowiadają wymogom” danej sytuacji. W szczególności, gdy środek stanowiący odstępstwo narusza podstawowe prawo traktatowe – takie jak prawo do wolności – Trybunał musi upewnić się, że stanowi on rzeczywistą reakcję na stan wyjątkowy, że jest w pełni uzasadniony w świetle szczególnych okoliczności danej sytuacji oraz że istnieją zabezpieczenia przed nadużyciami (</w:t>
      </w:r>
      <w:r w:rsidR="00E95B67" w:rsidRPr="00FD65C9">
        <w:rPr>
          <w:i/>
          <w:iCs/>
          <w:lang w:val="pl-PL"/>
        </w:rPr>
        <w:t>A. i Inni przeciwko Zjednoczonemu Królestwu</w:t>
      </w:r>
      <w:r w:rsidR="00F76D6B" w:rsidRPr="00FD65C9">
        <w:rPr>
          <w:lang w:val="pl-PL"/>
        </w:rPr>
        <w:t xml:space="preserve"> [WI], nr </w:t>
      </w:r>
      <w:r w:rsidR="00E95B67" w:rsidRPr="00FD65C9">
        <w:rPr>
          <w:lang w:val="pl-PL"/>
        </w:rPr>
        <w:t>3455/05, § 184, ETPC 2009).</w:t>
      </w:r>
    </w:p>
    <w:p w14:paraId="08ABEC62" w14:textId="3002F665" w:rsidR="00675E41"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117</w:t>
      </w:r>
      <w:r w:rsidRPr="00FD65C9">
        <w:rPr>
          <w:lang w:val="pl-PL"/>
        </w:rPr>
        <w:fldChar w:fldCharType="end"/>
      </w:r>
      <w:r w:rsidR="00E95B67" w:rsidRPr="00FD65C9">
        <w:rPr>
          <w:lang w:val="pl-PL"/>
        </w:rPr>
        <w:t xml:space="preserve">.  Trybunał zauważa na wstępie, że </w:t>
      </w:r>
      <w:r w:rsidR="00F76D6B" w:rsidRPr="00FD65C9">
        <w:rPr>
          <w:lang w:val="pl-PL"/>
        </w:rPr>
        <w:t>niniejsza skarga nie dotyczy, w </w:t>
      </w:r>
      <w:r w:rsidR="00E95B67" w:rsidRPr="00FD65C9">
        <w:rPr>
          <w:lang w:val="pl-PL"/>
        </w:rPr>
        <w:t xml:space="preserve">ścisłym sensie, środków derogacyjnych podjętych w czasie stanu wyjątkowego i że odnosi się przede wszystkim do </w:t>
      </w:r>
      <w:r w:rsidR="006F4C50">
        <w:rPr>
          <w:lang w:val="pl-PL"/>
        </w:rPr>
        <w:t>tymczasowego aresztowania</w:t>
      </w:r>
      <w:r w:rsidR="006F4C50" w:rsidRPr="00FD65C9">
        <w:rPr>
          <w:lang w:val="pl-PL"/>
        </w:rPr>
        <w:t xml:space="preserve"> </w:t>
      </w:r>
      <w:r w:rsidR="00E95B67" w:rsidRPr="00FD65C9">
        <w:rPr>
          <w:lang w:val="pl-PL"/>
        </w:rPr>
        <w:t>skarżącego w dniu 20 lipca 2016 r., które nastąpiło</w:t>
      </w:r>
      <w:r w:rsidR="00F76D6B" w:rsidRPr="00FD65C9">
        <w:rPr>
          <w:lang w:val="pl-PL"/>
        </w:rPr>
        <w:t xml:space="preserve"> po jego </w:t>
      </w:r>
      <w:r w:rsidR="006F4C50">
        <w:rPr>
          <w:lang w:val="pl-PL"/>
        </w:rPr>
        <w:t>zatrzymaniu</w:t>
      </w:r>
      <w:r w:rsidR="006F4C50" w:rsidRPr="00FD65C9">
        <w:rPr>
          <w:lang w:val="pl-PL"/>
        </w:rPr>
        <w:t xml:space="preserve"> </w:t>
      </w:r>
      <w:r w:rsidR="00F76D6B" w:rsidRPr="00FD65C9">
        <w:rPr>
          <w:lang w:val="pl-PL"/>
        </w:rPr>
        <w:t>w dniu 16 </w:t>
      </w:r>
      <w:r w:rsidR="00E95B67" w:rsidRPr="00FD65C9">
        <w:rPr>
          <w:lang w:val="pl-PL"/>
        </w:rPr>
        <w:t xml:space="preserve">lipca 2016 r. Należy bowiem zauważyć, że w czasie trwania stanu wyjątkowego Rada Ministrów, obradująca pod przewodnictwem prezydenta Republiki i działająca zgodnie z art. 121 Konstytucji, przyjęła trzydzieści siedem dekretów z mocą ustawy (nr 667–703). W dokumentach tych wprowadzono istotne ograniczenia gwarancji proceduralnych przyznanych na mocy prawa krajowego osobom przebywającym w </w:t>
      </w:r>
      <w:r w:rsidR="006F4C50" w:rsidRPr="00FD65C9">
        <w:rPr>
          <w:lang w:val="pl-PL"/>
        </w:rPr>
        <w:t>policyjn</w:t>
      </w:r>
      <w:r w:rsidR="006F4C50">
        <w:rPr>
          <w:lang w:val="pl-PL"/>
        </w:rPr>
        <w:t>ej izbie zatrzymań</w:t>
      </w:r>
      <w:r w:rsidR="006F4C50" w:rsidRPr="00FD65C9">
        <w:rPr>
          <w:lang w:val="pl-PL"/>
        </w:rPr>
        <w:t xml:space="preserve"> </w:t>
      </w:r>
      <w:r w:rsidR="00E95B67" w:rsidRPr="00FD65C9">
        <w:rPr>
          <w:lang w:val="pl-PL"/>
        </w:rPr>
        <w:t xml:space="preserve">lub w areszcie </w:t>
      </w:r>
      <w:r w:rsidR="006F4C50">
        <w:rPr>
          <w:lang w:val="pl-PL"/>
        </w:rPr>
        <w:t>śledczym</w:t>
      </w:r>
      <w:r w:rsidR="006F4C50" w:rsidRPr="00FD65C9">
        <w:rPr>
          <w:lang w:val="pl-PL"/>
        </w:rPr>
        <w:t xml:space="preserve"> </w:t>
      </w:r>
      <w:r w:rsidR="00E95B67" w:rsidRPr="00FD65C9">
        <w:rPr>
          <w:lang w:val="pl-PL"/>
        </w:rPr>
        <w:t xml:space="preserve">(np. przedłużenie czasu </w:t>
      </w:r>
      <w:r w:rsidR="006F4C50">
        <w:rPr>
          <w:lang w:val="pl-PL"/>
        </w:rPr>
        <w:t>przebywania w policyjnej izbie zatrzymań</w:t>
      </w:r>
      <w:r w:rsidR="00E95B67" w:rsidRPr="00FD65C9">
        <w:rPr>
          <w:lang w:val="pl-PL"/>
        </w:rPr>
        <w:t xml:space="preserve"> i ograniczenia w dostępie do akt oraz w rozp</w:t>
      </w:r>
      <w:r w:rsidR="006F4C50">
        <w:rPr>
          <w:lang w:val="pl-PL"/>
        </w:rPr>
        <w:t>oznawaniu zażaleń na zastosowane środki izolacyjne</w:t>
      </w:r>
      <w:r w:rsidR="00F76D6B" w:rsidRPr="00FD65C9">
        <w:rPr>
          <w:lang w:val="pl-PL"/>
        </w:rPr>
        <w:t>; zob. paragraf 13 powyżej). W </w:t>
      </w:r>
      <w:r w:rsidR="00E95B67" w:rsidRPr="00FD65C9">
        <w:rPr>
          <w:lang w:val="pl-PL"/>
        </w:rPr>
        <w:t xml:space="preserve">niniejszej sprawie skarżący został zatrzymany, a następnie </w:t>
      </w:r>
      <w:r w:rsidR="006F4C50">
        <w:rPr>
          <w:lang w:val="pl-PL"/>
        </w:rPr>
        <w:t xml:space="preserve">tymczasowo </w:t>
      </w:r>
      <w:r w:rsidR="00E95B67" w:rsidRPr="00FD65C9">
        <w:rPr>
          <w:lang w:val="pl-PL"/>
        </w:rPr>
        <w:t xml:space="preserve">aresztowany zasadniczo </w:t>
      </w:r>
      <w:r w:rsidR="006F4C50">
        <w:rPr>
          <w:lang w:val="pl-PL"/>
        </w:rPr>
        <w:t>w związku z</w:t>
      </w:r>
      <w:r w:rsidR="006F4C50" w:rsidRPr="00FD65C9">
        <w:rPr>
          <w:lang w:val="pl-PL"/>
        </w:rPr>
        <w:t xml:space="preserve"> </w:t>
      </w:r>
      <w:r w:rsidR="00E95B67" w:rsidRPr="00FD65C9">
        <w:rPr>
          <w:lang w:val="pl-PL"/>
        </w:rPr>
        <w:t>przynależnoś</w:t>
      </w:r>
      <w:r w:rsidR="006F4C50">
        <w:rPr>
          <w:lang w:val="pl-PL"/>
        </w:rPr>
        <w:t>cią</w:t>
      </w:r>
      <w:r w:rsidR="00E95B67" w:rsidRPr="00FD65C9">
        <w:rPr>
          <w:lang w:val="pl-PL"/>
        </w:rPr>
        <w:t xml:space="preserve"> do zbrojnej organizacji terrorystycznej, co stanowi przestępstwo </w:t>
      </w:r>
      <w:r w:rsidR="006F4C50">
        <w:rPr>
          <w:lang w:val="pl-PL"/>
        </w:rPr>
        <w:t>zagrożone karą z</w:t>
      </w:r>
      <w:r w:rsidR="00E95B67" w:rsidRPr="00FD65C9">
        <w:rPr>
          <w:lang w:val="pl-PL"/>
        </w:rPr>
        <w:t xml:space="preserve"> art. 314 kk. W szczególności należy zauważyć, że </w:t>
      </w:r>
      <w:r w:rsidR="006F4C50" w:rsidRPr="00AE1B4D">
        <w:rPr>
          <w:lang w:val="pl-PL"/>
        </w:rPr>
        <w:t>w czasie trwania stanu wyjątkowego</w:t>
      </w:r>
      <w:r w:rsidR="006F4C50" w:rsidRPr="006F4C50">
        <w:rPr>
          <w:lang w:val="pl-PL"/>
        </w:rPr>
        <w:t xml:space="preserve"> </w:t>
      </w:r>
      <w:r w:rsidR="006F4C50">
        <w:rPr>
          <w:lang w:val="pl-PL"/>
        </w:rPr>
        <w:t xml:space="preserve">nie zmieniono </w:t>
      </w:r>
      <w:r w:rsidR="00E95B67" w:rsidRPr="00FD65C9">
        <w:rPr>
          <w:lang w:val="pl-PL"/>
        </w:rPr>
        <w:t>przepis</w:t>
      </w:r>
      <w:r w:rsidR="006F4C50">
        <w:rPr>
          <w:lang w:val="pl-PL"/>
        </w:rPr>
        <w:t>ów</w:t>
      </w:r>
      <w:r w:rsidR="00E95B67" w:rsidRPr="00FD65C9">
        <w:rPr>
          <w:lang w:val="pl-PL"/>
        </w:rPr>
        <w:t xml:space="preserve"> mając</w:t>
      </w:r>
      <w:r w:rsidR="006F4C50">
        <w:rPr>
          <w:lang w:val="pl-PL"/>
        </w:rPr>
        <w:t>ych</w:t>
      </w:r>
      <w:r w:rsidR="00E95B67" w:rsidRPr="00FD65C9">
        <w:rPr>
          <w:lang w:val="pl-PL"/>
        </w:rPr>
        <w:t xml:space="preserve"> zasto</w:t>
      </w:r>
      <w:r w:rsidR="00F76D6B" w:rsidRPr="00FD65C9">
        <w:rPr>
          <w:lang w:val="pl-PL"/>
        </w:rPr>
        <w:t>sowanie w niniejszej sprawie, a </w:t>
      </w:r>
      <w:r w:rsidR="00E95B67" w:rsidRPr="00FD65C9">
        <w:rPr>
          <w:lang w:val="pl-PL"/>
        </w:rPr>
        <w:t>mianowicie art. 100 kpk oraz przepisy regulujące status sędziów TK. Środki, na które powołano się w niniejszej sprawie, zostały przyjęte na podstawie przepisów</w:t>
      </w:r>
      <w:r w:rsidR="006F4C50">
        <w:rPr>
          <w:lang w:val="pl-PL"/>
        </w:rPr>
        <w:t>, które</w:t>
      </w:r>
      <w:r w:rsidR="00E95B67" w:rsidRPr="00FD65C9">
        <w:rPr>
          <w:lang w:val="pl-PL"/>
        </w:rPr>
        <w:t xml:space="preserve"> </w:t>
      </w:r>
      <w:r w:rsidR="006F4C50" w:rsidRPr="00FD65C9">
        <w:rPr>
          <w:lang w:val="pl-PL"/>
        </w:rPr>
        <w:t>obowiąz</w:t>
      </w:r>
      <w:r w:rsidR="006F4C50">
        <w:rPr>
          <w:lang w:val="pl-PL"/>
        </w:rPr>
        <w:t>ywały</w:t>
      </w:r>
      <w:r w:rsidR="006F4C50" w:rsidRPr="00FD65C9">
        <w:rPr>
          <w:lang w:val="pl-PL"/>
        </w:rPr>
        <w:t xml:space="preserve"> </w:t>
      </w:r>
      <w:r w:rsidR="00E95B67" w:rsidRPr="00FD65C9">
        <w:rPr>
          <w:lang w:val="pl-PL"/>
        </w:rPr>
        <w:t>przed ogłoszeniem stanu wyjątkowego, a nawet po jego ogłoszeniu, które to przepisy nadal obowiązują.</w:t>
      </w:r>
    </w:p>
    <w:p w14:paraId="4698285E" w14:textId="0B9A832A"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118</w:t>
      </w:r>
      <w:r w:rsidRPr="00FD65C9">
        <w:rPr>
          <w:lang w:val="pl-PL"/>
        </w:rPr>
        <w:fldChar w:fldCharType="end"/>
      </w:r>
      <w:r w:rsidR="00E95B67" w:rsidRPr="00FD65C9">
        <w:rPr>
          <w:lang w:val="pl-PL"/>
        </w:rPr>
        <w:t xml:space="preserve">.  W tym względzie dla Trybunału jest jasne, że szeroka interpretacja pojęcia </w:t>
      </w:r>
      <w:r w:rsidR="00AD4D3A">
        <w:rPr>
          <w:i/>
          <w:iCs/>
          <w:lang w:val="pl-PL"/>
        </w:rPr>
        <w:t xml:space="preserve">in </w:t>
      </w:r>
      <w:proofErr w:type="spellStart"/>
      <w:r w:rsidR="00AD4D3A">
        <w:rPr>
          <w:i/>
          <w:iCs/>
          <w:lang w:val="pl-PL"/>
        </w:rPr>
        <w:t>flagrante</w:t>
      </w:r>
      <w:proofErr w:type="spellEnd"/>
      <w:r w:rsidR="00E95B67" w:rsidRPr="00FD65C9">
        <w:rPr>
          <w:i/>
          <w:iCs/>
          <w:lang w:val="pl-PL"/>
        </w:rPr>
        <w:t xml:space="preserve"> </w:t>
      </w:r>
      <w:proofErr w:type="spellStart"/>
      <w:r w:rsidR="00E95B67" w:rsidRPr="00FD65C9">
        <w:rPr>
          <w:i/>
          <w:iCs/>
          <w:lang w:val="pl-PL"/>
        </w:rPr>
        <w:t>delicto</w:t>
      </w:r>
      <w:proofErr w:type="spellEnd"/>
      <w:r w:rsidR="00E95B67" w:rsidRPr="00FD65C9">
        <w:rPr>
          <w:lang w:val="pl-PL"/>
        </w:rPr>
        <w:t xml:space="preserve"> nie może być uznana za reakcję dostosowaną do warunków stanu wyjątkowego. Wykładnia ta, której ponadto nie dokonano w celu spełnienia wymogów stanu wyjątkowego, jest nie tylko problematyczna z punktu widzenia zasady pewności prawa, ale również, jak wskazano powyżej (paragraf 112), podważa gwarancje proceduralne przyznane władzy sądowniczej w celu ochrony władzy sądowniczej przed ingerencją władzy wykonawczej. Ponadto ma ona konsekwencje prawne, które wykraczają daleko poza ramy prawne stanu wyjątkowego. W związku z tym nie jest ona uzasadniona w szczególnych okolicznościach stanu wyjątkowego.</w:t>
      </w:r>
    </w:p>
    <w:p w14:paraId="565183E6" w14:textId="5941474C"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119</w:t>
      </w:r>
      <w:r w:rsidRPr="00FD65C9">
        <w:rPr>
          <w:lang w:val="pl-PL"/>
        </w:rPr>
        <w:fldChar w:fldCharType="end"/>
      </w:r>
      <w:r w:rsidR="00E95B67" w:rsidRPr="00FD65C9">
        <w:rPr>
          <w:lang w:val="pl-PL"/>
        </w:rPr>
        <w:t>.  W świetle powyższego Trybunał stwierdza, że tymczasowe</w:t>
      </w:r>
      <w:r w:rsidR="006F4C50">
        <w:rPr>
          <w:lang w:val="pl-PL"/>
        </w:rPr>
        <w:t>go</w:t>
      </w:r>
      <w:r w:rsidR="00E95B67" w:rsidRPr="00FD65C9">
        <w:rPr>
          <w:lang w:val="pl-PL"/>
        </w:rPr>
        <w:t xml:space="preserve"> aresztowani</w:t>
      </w:r>
      <w:r w:rsidR="006F4C50">
        <w:rPr>
          <w:lang w:val="pl-PL"/>
        </w:rPr>
        <w:t>a</w:t>
      </w:r>
      <w:r w:rsidR="00E95B67" w:rsidRPr="00FD65C9">
        <w:rPr>
          <w:lang w:val="pl-PL"/>
        </w:rPr>
        <w:t xml:space="preserve"> skarżącego, które nie zostało przeprowadzone „w trybie ustalonym przez prawo”, nie </w:t>
      </w:r>
      <w:r w:rsidR="006F4C50">
        <w:rPr>
          <w:lang w:val="pl-PL"/>
        </w:rPr>
        <w:t>można</w:t>
      </w:r>
      <w:r w:rsidR="00E95B67" w:rsidRPr="00FD65C9">
        <w:rPr>
          <w:lang w:val="pl-PL"/>
        </w:rPr>
        <w:t xml:space="preserve"> </w:t>
      </w:r>
      <w:r w:rsidR="006F4C50" w:rsidRPr="00FD65C9">
        <w:rPr>
          <w:lang w:val="pl-PL"/>
        </w:rPr>
        <w:t>uzna</w:t>
      </w:r>
      <w:r w:rsidR="006F4C50">
        <w:rPr>
          <w:lang w:val="pl-PL"/>
        </w:rPr>
        <w:t>ć</w:t>
      </w:r>
      <w:r w:rsidR="006F4C50" w:rsidRPr="00FD65C9">
        <w:rPr>
          <w:lang w:val="pl-PL"/>
        </w:rPr>
        <w:t xml:space="preserve"> </w:t>
      </w:r>
      <w:r w:rsidR="00E95B67" w:rsidRPr="00FD65C9">
        <w:rPr>
          <w:lang w:val="pl-PL"/>
        </w:rPr>
        <w:t xml:space="preserve">za środek ściśle odpowiadający wymogom sytuacji (zob. odpowiednio </w:t>
      </w:r>
      <w:proofErr w:type="spellStart"/>
      <w:r w:rsidR="00E95B67" w:rsidRPr="00FD65C9">
        <w:rPr>
          <w:i/>
          <w:iCs/>
          <w:lang w:val="pl-PL"/>
        </w:rPr>
        <w:t>Mehmet</w:t>
      </w:r>
      <w:proofErr w:type="spellEnd"/>
      <w:r w:rsidR="00E95B67" w:rsidRPr="00FD65C9">
        <w:rPr>
          <w:i/>
          <w:iCs/>
          <w:lang w:val="pl-PL"/>
        </w:rPr>
        <w:t xml:space="preserve"> </w:t>
      </w:r>
      <w:proofErr w:type="spellStart"/>
      <w:r w:rsidR="00E95B67" w:rsidRPr="00FD65C9">
        <w:rPr>
          <w:i/>
          <w:iCs/>
          <w:lang w:val="pl-PL"/>
        </w:rPr>
        <w:t>Hasan</w:t>
      </w:r>
      <w:proofErr w:type="spellEnd"/>
      <w:r w:rsidR="00E95B67" w:rsidRPr="00FD65C9">
        <w:rPr>
          <w:i/>
          <w:iCs/>
          <w:lang w:val="pl-PL"/>
        </w:rPr>
        <w:t xml:space="preserve"> Altan</w:t>
      </w:r>
      <w:r w:rsidR="00E95B67" w:rsidRPr="00FD65C9">
        <w:rPr>
          <w:lang w:val="pl-PL"/>
        </w:rPr>
        <w:t>, cyt. powyżej, § 140).</w:t>
      </w:r>
    </w:p>
    <w:p w14:paraId="103E0206" w14:textId="77777777" w:rsidR="00E95B67" w:rsidRPr="00FD65C9" w:rsidRDefault="00E95B67" w:rsidP="00622760">
      <w:pPr>
        <w:pStyle w:val="ECHRPara"/>
        <w:rPr>
          <w:lang w:val="pl-PL"/>
        </w:rPr>
      </w:pPr>
      <w:r w:rsidRPr="00FD65C9">
        <w:rPr>
          <w:lang w:val="pl-PL"/>
        </w:rPr>
        <w:t>Doszło zatem do naruszenia art. 5 ust. 1 Konwencji, ponieważ tymczasowe aresztowanie skarżącego nie było zgodne z prawem.</w:t>
      </w:r>
    </w:p>
    <w:p w14:paraId="35E05022" w14:textId="4B4CADF3" w:rsidR="00675E41" w:rsidRPr="00FD65C9" w:rsidRDefault="00E95B67" w:rsidP="00622760">
      <w:pPr>
        <w:pStyle w:val="ECHRHeading2"/>
        <w:rPr>
          <w:lang w:val="pl-PL"/>
        </w:rPr>
      </w:pPr>
      <w:r w:rsidRPr="00FD65C9">
        <w:rPr>
          <w:lang w:val="pl-PL"/>
        </w:rPr>
        <w:t xml:space="preserve">B. W przedmiocie </w:t>
      </w:r>
      <w:r w:rsidR="006F4C50">
        <w:rPr>
          <w:lang w:val="pl-PL"/>
        </w:rPr>
        <w:t>zarzucanego</w:t>
      </w:r>
      <w:r w:rsidR="006F4C50" w:rsidRPr="00FD65C9">
        <w:rPr>
          <w:lang w:val="pl-PL"/>
        </w:rPr>
        <w:t xml:space="preserve"> </w:t>
      </w:r>
      <w:r w:rsidRPr="00FD65C9">
        <w:rPr>
          <w:lang w:val="pl-PL"/>
        </w:rPr>
        <w:t>braku uzasadnionych podejrzeń popełnienie przestępstwa</w:t>
      </w:r>
      <w:r w:rsidR="006F4C50">
        <w:rPr>
          <w:lang w:val="pl-PL"/>
        </w:rPr>
        <w:t xml:space="preserve"> przez skarżącego</w:t>
      </w:r>
    </w:p>
    <w:p w14:paraId="796F0BC7" w14:textId="77777777" w:rsidR="00E95B67" w:rsidRPr="00FD65C9" w:rsidRDefault="00E95B67" w:rsidP="00622760">
      <w:pPr>
        <w:pStyle w:val="ECHRHeading3"/>
        <w:rPr>
          <w:lang w:val="pl-PL"/>
        </w:rPr>
      </w:pPr>
      <w:r w:rsidRPr="00FD65C9">
        <w:rPr>
          <w:bCs w:val="0"/>
          <w:iCs/>
          <w:lang w:val="pl-PL"/>
        </w:rPr>
        <w:t>1.  Argumenty stron</w:t>
      </w:r>
    </w:p>
    <w:p w14:paraId="3423D2EC" w14:textId="77777777" w:rsidR="00E95B67" w:rsidRPr="00FD65C9" w:rsidRDefault="00E95B67" w:rsidP="00622760">
      <w:pPr>
        <w:pStyle w:val="ECHRHeading4"/>
        <w:rPr>
          <w:lang w:val="pl-PL"/>
        </w:rPr>
      </w:pPr>
      <w:r w:rsidRPr="00FD65C9">
        <w:rPr>
          <w:iCs w:val="0"/>
          <w:lang w:val="pl-PL"/>
        </w:rPr>
        <w:t>a) Skarżący</w:t>
      </w:r>
    </w:p>
    <w:p w14:paraId="5D5F6480" w14:textId="73A3E924"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120</w:t>
      </w:r>
      <w:r w:rsidRPr="00FD65C9">
        <w:rPr>
          <w:lang w:val="pl-PL"/>
        </w:rPr>
        <w:fldChar w:fldCharType="end"/>
      </w:r>
      <w:r w:rsidR="00E95B67" w:rsidRPr="00FD65C9">
        <w:rPr>
          <w:lang w:val="pl-PL"/>
        </w:rPr>
        <w:t xml:space="preserve">.  Skarżący podnosi, że nie istniały żadne okoliczności faktyczne ani informacje, które </w:t>
      </w:r>
      <w:r w:rsidR="00175EA1">
        <w:rPr>
          <w:lang w:val="pl-PL"/>
        </w:rPr>
        <w:t xml:space="preserve">mogłyby </w:t>
      </w:r>
      <w:r w:rsidR="00175EA1" w:rsidRPr="00FD65C9">
        <w:rPr>
          <w:lang w:val="pl-PL"/>
        </w:rPr>
        <w:t>przekona</w:t>
      </w:r>
      <w:r w:rsidR="00175EA1">
        <w:rPr>
          <w:lang w:val="pl-PL"/>
        </w:rPr>
        <w:t>ć</w:t>
      </w:r>
      <w:r w:rsidR="00175EA1" w:rsidRPr="00FD65C9">
        <w:rPr>
          <w:lang w:val="pl-PL"/>
        </w:rPr>
        <w:t xml:space="preserve"> </w:t>
      </w:r>
      <w:r w:rsidR="00E95B67" w:rsidRPr="00FD65C9">
        <w:rPr>
          <w:lang w:val="pl-PL"/>
        </w:rPr>
        <w:t xml:space="preserve">obiektywnego obserwatora, że popełnił on zarzucane mu przestępstwo. W szczególności twierdzi, że w czasie, gdy </w:t>
      </w:r>
      <w:r w:rsidR="003504FB" w:rsidRPr="00FD65C9">
        <w:rPr>
          <w:lang w:val="pl-PL"/>
        </w:rPr>
        <w:t>sędzi</w:t>
      </w:r>
      <w:r w:rsidR="003504FB">
        <w:rPr>
          <w:lang w:val="pl-PL"/>
        </w:rPr>
        <w:t>a</w:t>
      </w:r>
      <w:r w:rsidR="003504FB" w:rsidRPr="00FD65C9">
        <w:rPr>
          <w:lang w:val="pl-PL"/>
        </w:rPr>
        <w:t xml:space="preserve"> </w:t>
      </w:r>
      <w:r w:rsidR="00E95B67" w:rsidRPr="00FD65C9">
        <w:rPr>
          <w:lang w:val="pl-PL"/>
        </w:rPr>
        <w:t>pokoju</w:t>
      </w:r>
      <w:r w:rsidR="003504FB">
        <w:rPr>
          <w:lang w:val="pl-PL"/>
        </w:rPr>
        <w:t xml:space="preserve"> wydał postanowienie o zastosowaniu wobec niego tymczasowego aresztowania</w:t>
      </w:r>
      <w:r w:rsidR="00E95B67" w:rsidRPr="00FD65C9">
        <w:rPr>
          <w:lang w:val="pl-PL"/>
        </w:rPr>
        <w:t xml:space="preserve">, organy śledcze i sądowe nie dysponowały żadnymi dowodami, które mogłyby je uzasadnić. Zdaniem skarżącego jego sytuacja w dniu 16 lipca 2016 r. nie różniła się </w:t>
      </w:r>
      <w:r w:rsidR="003504FB">
        <w:rPr>
          <w:lang w:val="pl-PL"/>
        </w:rPr>
        <w:t>znacznie</w:t>
      </w:r>
      <w:r w:rsidR="003504FB" w:rsidRPr="00FD65C9">
        <w:rPr>
          <w:lang w:val="pl-PL"/>
        </w:rPr>
        <w:t xml:space="preserve"> </w:t>
      </w:r>
      <w:r w:rsidR="00E95B67" w:rsidRPr="00FD65C9">
        <w:rPr>
          <w:lang w:val="pl-PL"/>
        </w:rPr>
        <w:t xml:space="preserve">od </w:t>
      </w:r>
      <w:r w:rsidR="003504FB">
        <w:rPr>
          <w:lang w:val="pl-PL"/>
        </w:rPr>
        <w:t>sytuacji</w:t>
      </w:r>
      <w:r w:rsidR="003504FB" w:rsidRPr="00FD65C9">
        <w:rPr>
          <w:lang w:val="pl-PL"/>
        </w:rPr>
        <w:t xml:space="preserve"> </w:t>
      </w:r>
      <w:r w:rsidR="00E95B67" w:rsidRPr="00FD65C9">
        <w:rPr>
          <w:lang w:val="pl-PL"/>
        </w:rPr>
        <w:t xml:space="preserve">z dnia 14 lipca 2016 r., czyli w przeddzień próby zamachu stanu. Skarżący twierdzi ponadto, że </w:t>
      </w:r>
      <w:r w:rsidR="00F76D6B" w:rsidRPr="00FD65C9">
        <w:rPr>
          <w:lang w:val="pl-PL"/>
        </w:rPr>
        <w:t>dowody, na które powołano się w </w:t>
      </w:r>
      <w:r w:rsidR="00E95B67" w:rsidRPr="00FD65C9">
        <w:rPr>
          <w:lang w:val="pl-PL"/>
        </w:rPr>
        <w:t xml:space="preserve">sprawozdaniu podsumowującym oraz w wyroku TK </w:t>
      </w:r>
      <w:r w:rsidR="003504FB">
        <w:rPr>
          <w:lang w:val="pl-PL"/>
        </w:rPr>
        <w:t>uzyskano</w:t>
      </w:r>
      <w:r w:rsidR="00E95B67" w:rsidRPr="00FD65C9">
        <w:rPr>
          <w:lang w:val="pl-PL"/>
        </w:rPr>
        <w:t xml:space="preserve"> po tym jak został on tymczasowo aresztowany i że w żadnym razie nie </w:t>
      </w:r>
      <w:r w:rsidR="003504FB">
        <w:rPr>
          <w:lang w:val="pl-PL"/>
        </w:rPr>
        <w:t>wynikało z nich</w:t>
      </w:r>
      <w:r w:rsidR="00E95B67" w:rsidRPr="00FD65C9">
        <w:rPr>
          <w:lang w:val="pl-PL"/>
        </w:rPr>
        <w:t xml:space="preserve">, że został on zatrzymany na gorącym uczynku lub </w:t>
      </w:r>
      <w:r w:rsidR="003504FB">
        <w:rPr>
          <w:lang w:val="pl-PL"/>
        </w:rPr>
        <w:t>zatrzymany</w:t>
      </w:r>
      <w:r w:rsidR="003504FB" w:rsidRPr="00FD65C9">
        <w:rPr>
          <w:lang w:val="pl-PL"/>
        </w:rPr>
        <w:t xml:space="preserve"> </w:t>
      </w:r>
      <w:r w:rsidR="00E95B67" w:rsidRPr="00FD65C9">
        <w:rPr>
          <w:lang w:val="pl-PL"/>
        </w:rPr>
        <w:t xml:space="preserve">i </w:t>
      </w:r>
      <w:r w:rsidR="003504FB">
        <w:rPr>
          <w:lang w:val="pl-PL"/>
        </w:rPr>
        <w:t>tymczasowo aresztowany</w:t>
      </w:r>
      <w:r w:rsidR="003504FB" w:rsidRPr="00FD65C9">
        <w:rPr>
          <w:lang w:val="pl-PL"/>
        </w:rPr>
        <w:t xml:space="preserve"> </w:t>
      </w:r>
      <w:r w:rsidR="00E95B67" w:rsidRPr="00FD65C9">
        <w:rPr>
          <w:lang w:val="pl-PL"/>
        </w:rPr>
        <w:t>na podstawie uzasadnionego podejrzenia popełnienia przestępstwa.</w:t>
      </w:r>
    </w:p>
    <w:p w14:paraId="2F9F6841" w14:textId="6544F159"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121</w:t>
      </w:r>
      <w:r w:rsidRPr="00FD65C9">
        <w:rPr>
          <w:lang w:val="pl-PL"/>
        </w:rPr>
        <w:fldChar w:fldCharType="end"/>
      </w:r>
      <w:r w:rsidR="00E95B67" w:rsidRPr="00FD65C9">
        <w:rPr>
          <w:lang w:val="pl-PL"/>
        </w:rPr>
        <w:t>.  Ponadto skarżący kwestionuje wagę wszystkich dowodów</w:t>
      </w:r>
      <w:r w:rsidR="003504FB">
        <w:rPr>
          <w:lang w:val="pl-PL"/>
        </w:rPr>
        <w:t>, które</w:t>
      </w:r>
      <w:r w:rsidR="00E95B67" w:rsidRPr="00FD65C9">
        <w:rPr>
          <w:lang w:val="pl-PL"/>
        </w:rPr>
        <w:t xml:space="preserve"> </w:t>
      </w:r>
      <w:r w:rsidR="003504FB" w:rsidRPr="00FD65C9">
        <w:rPr>
          <w:lang w:val="pl-PL"/>
        </w:rPr>
        <w:t>uzyskan</w:t>
      </w:r>
      <w:r w:rsidR="003504FB">
        <w:rPr>
          <w:lang w:val="pl-PL"/>
        </w:rPr>
        <w:t>o</w:t>
      </w:r>
      <w:r w:rsidR="003504FB" w:rsidRPr="00FD65C9">
        <w:rPr>
          <w:lang w:val="pl-PL"/>
        </w:rPr>
        <w:t xml:space="preserve"> </w:t>
      </w:r>
      <w:r w:rsidR="00E95B67" w:rsidRPr="00FD65C9">
        <w:rPr>
          <w:lang w:val="pl-PL"/>
        </w:rPr>
        <w:t xml:space="preserve">po jego </w:t>
      </w:r>
      <w:r w:rsidR="003504FB">
        <w:rPr>
          <w:lang w:val="pl-PL"/>
        </w:rPr>
        <w:t>tymczasowym aresztowaniu</w:t>
      </w:r>
      <w:r w:rsidR="00E95B67" w:rsidRPr="00FD65C9">
        <w:rPr>
          <w:lang w:val="pl-PL"/>
        </w:rPr>
        <w:t xml:space="preserve">. </w:t>
      </w:r>
      <w:r w:rsidR="003504FB">
        <w:rPr>
          <w:lang w:val="pl-PL"/>
        </w:rPr>
        <w:t>Twierdzi</w:t>
      </w:r>
      <w:r w:rsidR="00E95B67" w:rsidRPr="00FD65C9">
        <w:rPr>
          <w:lang w:val="pl-PL"/>
        </w:rPr>
        <w:t>, że</w:t>
      </w:r>
      <w:r w:rsidR="003504FB">
        <w:rPr>
          <w:lang w:val="pl-PL"/>
        </w:rPr>
        <w:t xml:space="preserve"> wyjaśnienia</w:t>
      </w:r>
      <w:r w:rsidR="003504FB" w:rsidRPr="00FD65C9">
        <w:rPr>
          <w:lang w:val="pl-PL"/>
        </w:rPr>
        <w:t xml:space="preserve"> </w:t>
      </w:r>
      <w:r w:rsidR="00F76D6B" w:rsidRPr="00FD65C9">
        <w:rPr>
          <w:lang w:val="pl-PL"/>
        </w:rPr>
        <w:t>podejrzanego i </w:t>
      </w:r>
      <w:r w:rsidR="003504FB">
        <w:rPr>
          <w:lang w:val="pl-PL"/>
        </w:rPr>
        <w:t xml:space="preserve">zeznania </w:t>
      </w:r>
      <w:r w:rsidR="00E95B67" w:rsidRPr="00FD65C9">
        <w:rPr>
          <w:lang w:val="pl-PL"/>
        </w:rPr>
        <w:t xml:space="preserve">dwóch anonimowych </w:t>
      </w:r>
      <w:r w:rsidR="003504FB">
        <w:rPr>
          <w:lang w:val="pl-PL"/>
        </w:rPr>
        <w:t xml:space="preserve">świadków </w:t>
      </w:r>
      <w:r w:rsidR="00E95B67" w:rsidRPr="00FD65C9">
        <w:rPr>
          <w:lang w:val="pl-PL"/>
        </w:rPr>
        <w:t>wykorzystane jako dowody przeciwko niemu nie uzasadniały podejrzeń wobec niego, ponieważ były to głównie subiektywne spostrzeżenia lub oceny. Jeśli chodzi o dowody cyfrowe, skarżący kategorycznie je odrzuca.</w:t>
      </w:r>
    </w:p>
    <w:p w14:paraId="116F52B8" w14:textId="77777777" w:rsidR="00E95B67" w:rsidRPr="00FD65C9" w:rsidRDefault="00E95B67" w:rsidP="00622760">
      <w:pPr>
        <w:pStyle w:val="ECHRHeading4"/>
        <w:rPr>
          <w:lang w:val="pl-PL"/>
        </w:rPr>
      </w:pPr>
      <w:r w:rsidRPr="00FD65C9">
        <w:rPr>
          <w:iCs w:val="0"/>
          <w:lang w:val="pl-PL"/>
        </w:rPr>
        <w:t>b) Rząd</w:t>
      </w:r>
    </w:p>
    <w:p w14:paraId="76C50CCB" w14:textId="351F53DE"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122</w:t>
      </w:r>
      <w:r w:rsidRPr="00FD65C9">
        <w:rPr>
          <w:lang w:val="pl-PL"/>
        </w:rPr>
        <w:fldChar w:fldCharType="end"/>
      </w:r>
      <w:r w:rsidR="00E95B67" w:rsidRPr="00FD65C9">
        <w:rPr>
          <w:lang w:val="pl-PL"/>
        </w:rPr>
        <w:t xml:space="preserve">.  Rząd twierdzi, że organizacja FETÖ/PDY jest nietypową organizacją terrorystyczną, która pod pozorami legalności przeniknęła głęboko do wpływowych instytucji państwowych i sądownictwa. W opinii Rządu organizacja ta stworzyła swoją strukturę, tworząc własną sieć we wszystkich dziedzinach, w tym w mediach, związkach zawodowych, finansach i edukacji. </w:t>
      </w:r>
      <w:r w:rsidR="003504FB">
        <w:rPr>
          <w:lang w:val="pl-PL"/>
        </w:rPr>
        <w:t xml:space="preserve">Ponadto </w:t>
      </w:r>
      <w:r w:rsidR="00E95B67" w:rsidRPr="00FD65C9">
        <w:rPr>
          <w:lang w:val="pl-PL"/>
        </w:rPr>
        <w:t>Rząd</w:t>
      </w:r>
      <w:r w:rsidR="003504FB">
        <w:rPr>
          <w:lang w:val="pl-PL"/>
        </w:rPr>
        <w:t xml:space="preserve"> jest zdania</w:t>
      </w:r>
      <w:r w:rsidR="00E95B67" w:rsidRPr="00FD65C9">
        <w:rPr>
          <w:lang w:val="pl-PL"/>
        </w:rPr>
        <w:t xml:space="preserve">, </w:t>
      </w:r>
      <w:r w:rsidR="003504FB">
        <w:rPr>
          <w:lang w:val="pl-PL"/>
        </w:rPr>
        <w:t xml:space="preserve">że </w:t>
      </w:r>
      <w:r w:rsidR="00E95B67" w:rsidRPr="00FD65C9">
        <w:rPr>
          <w:lang w:val="pl-PL"/>
        </w:rPr>
        <w:t>organizacja ta starała się kierować mediami, aby zapewnić prowadzenie przez nie działalności zgodnej z jej celami i w związku z ty</w:t>
      </w:r>
      <w:r w:rsidR="00F76D6B" w:rsidRPr="00FD65C9">
        <w:rPr>
          <w:lang w:val="pl-PL"/>
        </w:rPr>
        <w:t>m umieszczała swoich członków w </w:t>
      </w:r>
      <w:r w:rsidR="00E95B67" w:rsidRPr="00FD65C9">
        <w:rPr>
          <w:lang w:val="pl-PL"/>
        </w:rPr>
        <w:t>mediach, instytucjach i organizacjach, któ</w:t>
      </w:r>
      <w:r w:rsidR="00F76D6B" w:rsidRPr="00FD65C9">
        <w:rPr>
          <w:lang w:val="pl-PL"/>
        </w:rPr>
        <w:t>re nie były pod jej kontrolą. W </w:t>
      </w:r>
      <w:r w:rsidR="00E95B67" w:rsidRPr="00FD65C9">
        <w:rPr>
          <w:lang w:val="pl-PL"/>
        </w:rPr>
        <w:t>ten sposób wspomniana organizacja miała manipulować opinią publiczną zgodnie ze swoimi celami, wysyłając od czasu do czasu „podprogowe” komunikaty.</w:t>
      </w:r>
    </w:p>
    <w:p w14:paraId="0088D18B" w14:textId="0E2A4390"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123</w:t>
      </w:r>
      <w:r w:rsidRPr="00FD65C9">
        <w:rPr>
          <w:lang w:val="pl-PL"/>
        </w:rPr>
        <w:fldChar w:fldCharType="end"/>
      </w:r>
      <w:r w:rsidR="00E95B67" w:rsidRPr="00FD65C9">
        <w:rPr>
          <w:lang w:val="pl-PL"/>
        </w:rPr>
        <w:t xml:space="preserve">.  W </w:t>
      </w:r>
      <w:r w:rsidR="003504FB">
        <w:rPr>
          <w:lang w:val="pl-PL"/>
        </w:rPr>
        <w:t>kontekście</w:t>
      </w:r>
      <w:r w:rsidR="00E95B67" w:rsidRPr="00FD65C9">
        <w:rPr>
          <w:lang w:val="pl-PL"/>
        </w:rPr>
        <w:t xml:space="preserve"> niniejszej sprawy Rząd stwierdził przede wszystkim, że z </w:t>
      </w:r>
      <w:r w:rsidR="003504FB">
        <w:rPr>
          <w:lang w:val="pl-PL"/>
        </w:rPr>
        <w:t>postanowienia</w:t>
      </w:r>
      <w:r w:rsidR="003504FB" w:rsidRPr="00FD65C9">
        <w:rPr>
          <w:lang w:val="pl-PL"/>
        </w:rPr>
        <w:t xml:space="preserve"> </w:t>
      </w:r>
      <w:r w:rsidR="00E95B67" w:rsidRPr="00FD65C9">
        <w:rPr>
          <w:lang w:val="pl-PL"/>
        </w:rPr>
        <w:t xml:space="preserve">o </w:t>
      </w:r>
      <w:r w:rsidR="003504FB" w:rsidRPr="00FD65C9">
        <w:rPr>
          <w:lang w:val="pl-PL"/>
        </w:rPr>
        <w:t>za</w:t>
      </w:r>
      <w:r w:rsidR="003504FB">
        <w:rPr>
          <w:lang w:val="pl-PL"/>
        </w:rPr>
        <w:t>stosowaniu wobec</w:t>
      </w:r>
      <w:r w:rsidR="003504FB" w:rsidRPr="00FD65C9">
        <w:rPr>
          <w:lang w:val="pl-PL"/>
        </w:rPr>
        <w:t xml:space="preserve"> </w:t>
      </w:r>
      <w:r w:rsidR="00E95B67" w:rsidRPr="00FD65C9">
        <w:rPr>
          <w:lang w:val="pl-PL"/>
        </w:rPr>
        <w:t xml:space="preserve">skarżącego </w:t>
      </w:r>
      <w:r w:rsidR="003504FB">
        <w:rPr>
          <w:lang w:val="pl-PL"/>
        </w:rPr>
        <w:t>tymczasowego aresztowania</w:t>
      </w:r>
      <w:r w:rsidR="00E95B67" w:rsidRPr="00FD65C9">
        <w:rPr>
          <w:lang w:val="pl-PL"/>
        </w:rPr>
        <w:t xml:space="preserve"> wynikało, iż istniały konkretne dowody świadczące o silnych podejrzeniach wobec niego. Dalej Rząd stwierdza, że w sprawozdaniu podsumowującym z dnia 25 października 2017 r. sporządzonym przez prokuraturę w Ankarze odniesiono się do zeznań anonimowych świadków i </w:t>
      </w:r>
      <w:r w:rsidR="003504FB">
        <w:rPr>
          <w:lang w:val="pl-PL"/>
        </w:rPr>
        <w:t xml:space="preserve">wyjaśnień </w:t>
      </w:r>
      <w:r w:rsidR="00E95B67" w:rsidRPr="00FD65C9">
        <w:rPr>
          <w:lang w:val="pl-PL"/>
        </w:rPr>
        <w:t xml:space="preserve">podejrzanych, treści wiadomości wymienianych między osobami trzecimi za pośrednictwem </w:t>
      </w:r>
      <w:proofErr w:type="spellStart"/>
      <w:r w:rsidR="00E95B67" w:rsidRPr="00FD65C9">
        <w:rPr>
          <w:lang w:val="pl-PL"/>
        </w:rPr>
        <w:t>ByLock</w:t>
      </w:r>
      <w:proofErr w:type="spellEnd"/>
      <w:r w:rsidR="00E95B67" w:rsidRPr="00FD65C9">
        <w:rPr>
          <w:lang w:val="pl-PL"/>
        </w:rPr>
        <w:t xml:space="preserve"> oraz informacji o sygnałach telefonów komórkowych jako dowodów </w:t>
      </w:r>
      <w:r w:rsidR="003504FB">
        <w:rPr>
          <w:lang w:val="pl-PL"/>
        </w:rPr>
        <w:t>świadczących o tym</w:t>
      </w:r>
      <w:r w:rsidR="00E95B67" w:rsidRPr="00FD65C9">
        <w:rPr>
          <w:lang w:val="pl-PL"/>
        </w:rPr>
        <w:t>, że skarżący popełnił przestępstwo przynależności do zbrojnej organizacji terrorystycznej.</w:t>
      </w:r>
    </w:p>
    <w:p w14:paraId="1BDB7679" w14:textId="25C05386"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124</w:t>
      </w:r>
      <w:r w:rsidRPr="00FD65C9">
        <w:rPr>
          <w:lang w:val="pl-PL"/>
        </w:rPr>
        <w:fldChar w:fldCharType="end"/>
      </w:r>
      <w:r w:rsidR="00E95B67" w:rsidRPr="00FD65C9">
        <w:rPr>
          <w:lang w:val="pl-PL"/>
        </w:rPr>
        <w:t xml:space="preserve">.  Po podsumowaniu </w:t>
      </w:r>
      <w:r w:rsidR="002A6B54">
        <w:rPr>
          <w:lang w:val="pl-PL"/>
        </w:rPr>
        <w:t>materiału dowodowego</w:t>
      </w:r>
      <w:r w:rsidR="002A6B54" w:rsidRPr="00FD65C9">
        <w:rPr>
          <w:lang w:val="pl-PL"/>
        </w:rPr>
        <w:t xml:space="preserve"> zawart</w:t>
      </w:r>
      <w:r w:rsidR="002A6B54">
        <w:rPr>
          <w:lang w:val="pl-PL"/>
        </w:rPr>
        <w:t>ego</w:t>
      </w:r>
      <w:r w:rsidR="002A6B54" w:rsidRPr="00FD65C9">
        <w:rPr>
          <w:lang w:val="pl-PL"/>
        </w:rPr>
        <w:t xml:space="preserve"> </w:t>
      </w:r>
      <w:r w:rsidR="00F76D6B" w:rsidRPr="00FD65C9">
        <w:rPr>
          <w:lang w:val="pl-PL"/>
        </w:rPr>
        <w:t>w aktach sprawy i </w:t>
      </w:r>
      <w:r w:rsidR="00E95B67" w:rsidRPr="00FD65C9">
        <w:rPr>
          <w:lang w:val="pl-PL"/>
        </w:rPr>
        <w:t xml:space="preserve">streszczeniu wyroku TK uznającego indywidualną skargę skarżącego za niedopuszczalną, Rząd stwierdził, że ze względu na bardzo szczególne okoliczności towarzyszące próbie zamachu stanu, poziom infiltracji organizacji FETÖ/PDY do administracji i sądownictwa oraz fakt, że </w:t>
      </w:r>
      <w:r w:rsidR="002A6B54">
        <w:rPr>
          <w:lang w:val="pl-PL"/>
        </w:rPr>
        <w:t xml:space="preserve">zarzucane </w:t>
      </w:r>
      <w:r w:rsidR="00E95B67" w:rsidRPr="00FD65C9">
        <w:rPr>
          <w:lang w:val="pl-PL"/>
        </w:rPr>
        <w:t>przestępstwo było przestępstwem „</w:t>
      </w:r>
      <w:r w:rsidR="00175EA1" w:rsidRPr="00FD65C9">
        <w:rPr>
          <w:lang w:val="pl-PL"/>
        </w:rPr>
        <w:t>s</w:t>
      </w:r>
      <w:r w:rsidR="00175EA1">
        <w:rPr>
          <w:lang w:val="pl-PL"/>
        </w:rPr>
        <w:t>typizowanym</w:t>
      </w:r>
      <w:r w:rsidR="00E95B67" w:rsidRPr="00FD65C9">
        <w:rPr>
          <w:lang w:val="pl-PL"/>
        </w:rPr>
        <w:t xml:space="preserve">”, </w:t>
      </w:r>
      <w:r w:rsidR="00175EA1">
        <w:rPr>
          <w:lang w:val="pl-PL"/>
        </w:rPr>
        <w:t xml:space="preserve">zastosowane wobec </w:t>
      </w:r>
      <w:r w:rsidR="00E95B67" w:rsidRPr="00FD65C9">
        <w:rPr>
          <w:lang w:val="pl-PL"/>
        </w:rPr>
        <w:t xml:space="preserve">skarżącego </w:t>
      </w:r>
      <w:r w:rsidR="00175EA1">
        <w:rPr>
          <w:lang w:val="pl-PL"/>
        </w:rPr>
        <w:t xml:space="preserve">tymczasowe aresztowanie </w:t>
      </w:r>
      <w:r w:rsidR="00E95B67" w:rsidRPr="00FD65C9">
        <w:rPr>
          <w:lang w:val="pl-PL"/>
        </w:rPr>
        <w:t>mo</w:t>
      </w:r>
      <w:r w:rsidR="00175EA1">
        <w:rPr>
          <w:lang w:val="pl-PL"/>
        </w:rPr>
        <w:t>żna</w:t>
      </w:r>
      <w:r w:rsidR="00E95B67" w:rsidRPr="00FD65C9">
        <w:rPr>
          <w:lang w:val="pl-PL"/>
        </w:rPr>
        <w:t xml:space="preserve"> </w:t>
      </w:r>
      <w:r w:rsidR="00175EA1" w:rsidRPr="00FD65C9">
        <w:rPr>
          <w:lang w:val="pl-PL"/>
        </w:rPr>
        <w:t>uzna</w:t>
      </w:r>
      <w:r w:rsidR="00175EA1">
        <w:rPr>
          <w:lang w:val="pl-PL"/>
        </w:rPr>
        <w:t>ć</w:t>
      </w:r>
      <w:r w:rsidR="00175EA1" w:rsidRPr="00FD65C9">
        <w:rPr>
          <w:lang w:val="pl-PL"/>
        </w:rPr>
        <w:t xml:space="preserve"> </w:t>
      </w:r>
      <w:r w:rsidR="00E95B67" w:rsidRPr="00FD65C9">
        <w:rPr>
          <w:lang w:val="pl-PL"/>
        </w:rPr>
        <w:t xml:space="preserve">za środek oparty na uzasadnionych i proporcjonalnych podstawach. W opinii Rządu osoby </w:t>
      </w:r>
      <w:r w:rsidR="00175EA1">
        <w:rPr>
          <w:lang w:val="pl-PL"/>
        </w:rPr>
        <w:t xml:space="preserve">biorące udział </w:t>
      </w:r>
      <w:r w:rsidR="00E95B67" w:rsidRPr="00FD65C9">
        <w:rPr>
          <w:lang w:val="pl-PL"/>
        </w:rPr>
        <w:t>w prób</w:t>
      </w:r>
      <w:r w:rsidR="00175EA1">
        <w:rPr>
          <w:lang w:val="pl-PL"/>
        </w:rPr>
        <w:t>ie</w:t>
      </w:r>
      <w:r w:rsidR="00E95B67" w:rsidRPr="00FD65C9">
        <w:rPr>
          <w:lang w:val="pl-PL"/>
        </w:rPr>
        <w:t xml:space="preserve"> zamachu stanu oraz osoby </w:t>
      </w:r>
      <w:r w:rsidR="00175EA1">
        <w:rPr>
          <w:lang w:val="pl-PL"/>
        </w:rPr>
        <w:t>niebiorące w nim</w:t>
      </w:r>
      <w:r w:rsidR="00175EA1" w:rsidRPr="00FD65C9">
        <w:rPr>
          <w:lang w:val="pl-PL"/>
        </w:rPr>
        <w:t xml:space="preserve"> </w:t>
      </w:r>
      <w:r w:rsidR="00175EA1">
        <w:rPr>
          <w:lang w:val="pl-PL"/>
        </w:rPr>
        <w:t xml:space="preserve">udziału </w:t>
      </w:r>
      <w:r w:rsidR="00E95B67" w:rsidRPr="00FD65C9">
        <w:rPr>
          <w:lang w:val="pl-PL"/>
        </w:rPr>
        <w:t xml:space="preserve">bezpośrednio, ale powiązane z organizacją FETÖ/PDY – określaną jako inicjator próby zamachu stanu – mogły zbiec, manipulować dowodami lub wykorzystać zamieszanie, które powstało w trakcie próby zamachu stanu lub po niej. </w:t>
      </w:r>
      <w:r w:rsidR="00175EA1">
        <w:rPr>
          <w:lang w:val="pl-PL"/>
        </w:rPr>
        <w:t>Zdaniem</w:t>
      </w:r>
      <w:r w:rsidR="00175EA1" w:rsidRPr="00FD65C9">
        <w:rPr>
          <w:lang w:val="pl-PL"/>
        </w:rPr>
        <w:t xml:space="preserve"> </w:t>
      </w:r>
      <w:r w:rsidR="00E95B67" w:rsidRPr="00FD65C9">
        <w:rPr>
          <w:lang w:val="pl-PL"/>
        </w:rPr>
        <w:t xml:space="preserve">Rządu – który na poparcie swojej tezy </w:t>
      </w:r>
      <w:r w:rsidR="00175EA1">
        <w:rPr>
          <w:lang w:val="pl-PL"/>
        </w:rPr>
        <w:t>przytacza</w:t>
      </w:r>
      <w:r w:rsidR="00E95B67" w:rsidRPr="00FD65C9">
        <w:rPr>
          <w:lang w:val="pl-PL"/>
        </w:rPr>
        <w:t xml:space="preserve"> stanowisko TK (zob. paragraf 42 powyżej) – sytuacja ta wiązała się z wyższym ryzykiem niż to, które mogłoby powstać w tak zwanych „zwykłych” okolicznościach, i było oczywiste, że skarżący, jako członek TK, mógł łatwiej manipulować dowodami niż inne osoby.</w:t>
      </w:r>
    </w:p>
    <w:p w14:paraId="4D5CC38B" w14:textId="7C8FBC55"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125</w:t>
      </w:r>
      <w:r w:rsidRPr="00FD65C9">
        <w:rPr>
          <w:lang w:val="pl-PL"/>
        </w:rPr>
        <w:fldChar w:fldCharType="end"/>
      </w:r>
      <w:r w:rsidR="00E95B67" w:rsidRPr="00FD65C9">
        <w:rPr>
          <w:lang w:val="pl-PL"/>
        </w:rPr>
        <w:t>.  W konsekwencji, zdaniem Rządu, zważywszy na ogólny kontekst, w którym wydano zaskarżon</w:t>
      </w:r>
      <w:r w:rsidR="00175EA1">
        <w:rPr>
          <w:lang w:val="pl-PL"/>
        </w:rPr>
        <w:t>e</w:t>
      </w:r>
      <w:r w:rsidR="00E95B67" w:rsidRPr="00FD65C9">
        <w:rPr>
          <w:lang w:val="pl-PL"/>
        </w:rPr>
        <w:t xml:space="preserve"> </w:t>
      </w:r>
      <w:r w:rsidR="00175EA1">
        <w:rPr>
          <w:lang w:val="pl-PL"/>
        </w:rPr>
        <w:t xml:space="preserve">postanowienie </w:t>
      </w:r>
      <w:r w:rsidR="00E95B67" w:rsidRPr="00FD65C9">
        <w:rPr>
          <w:lang w:val="pl-PL"/>
        </w:rPr>
        <w:t xml:space="preserve">o </w:t>
      </w:r>
      <w:r w:rsidR="00175EA1" w:rsidRPr="00FD65C9">
        <w:rPr>
          <w:lang w:val="pl-PL"/>
        </w:rPr>
        <w:t>za</w:t>
      </w:r>
      <w:r w:rsidR="00175EA1">
        <w:rPr>
          <w:lang w:val="pl-PL"/>
        </w:rPr>
        <w:t>stosowaniu tymczasowego aresztowania</w:t>
      </w:r>
      <w:r w:rsidR="00E95B67" w:rsidRPr="00FD65C9">
        <w:rPr>
          <w:lang w:val="pl-PL"/>
        </w:rPr>
        <w:t xml:space="preserve">, szczególne okoliczności niniejszej sprawy, o których mowa powyżej, oraz treść </w:t>
      </w:r>
      <w:r w:rsidR="00175EA1">
        <w:rPr>
          <w:lang w:val="pl-PL"/>
        </w:rPr>
        <w:t>postanowienia</w:t>
      </w:r>
      <w:r w:rsidR="00E95B67" w:rsidRPr="00FD65C9">
        <w:rPr>
          <w:lang w:val="pl-PL"/>
        </w:rPr>
        <w:t>, nie można stwierdzić, że uzasadnienie przedmiotowego środka było pozbawione podstaw faktycznych, ponieważ podstawą zastosowania przedmiotowego środka był</w:t>
      </w:r>
      <w:r w:rsidR="00175EA1">
        <w:rPr>
          <w:lang w:val="pl-PL"/>
        </w:rPr>
        <w:t>a obawa</w:t>
      </w:r>
      <w:r w:rsidR="00E95B67" w:rsidRPr="00FD65C9">
        <w:rPr>
          <w:lang w:val="pl-PL"/>
        </w:rPr>
        <w:t xml:space="preserve"> ucieczki i manipulowania dowodami.</w:t>
      </w:r>
    </w:p>
    <w:p w14:paraId="7AC68AB0" w14:textId="77777777" w:rsidR="00E95B67" w:rsidRPr="00FD65C9" w:rsidRDefault="00E95B67" w:rsidP="00622760">
      <w:pPr>
        <w:pStyle w:val="ECHRHeading3"/>
        <w:rPr>
          <w:lang w:val="pl-PL"/>
        </w:rPr>
      </w:pPr>
      <w:r w:rsidRPr="00FD65C9">
        <w:rPr>
          <w:bCs w:val="0"/>
          <w:iCs/>
          <w:lang w:val="pl-PL"/>
        </w:rPr>
        <w:t>2.  Ocena Trybunału</w:t>
      </w:r>
    </w:p>
    <w:p w14:paraId="2DC38CB5" w14:textId="77777777" w:rsidR="00E95B67" w:rsidRPr="00FD65C9" w:rsidRDefault="00E95B67" w:rsidP="00622760">
      <w:pPr>
        <w:pStyle w:val="ECHRHeading4"/>
        <w:rPr>
          <w:lang w:val="pl-PL"/>
        </w:rPr>
      </w:pPr>
      <w:r w:rsidRPr="00FD65C9">
        <w:rPr>
          <w:iCs w:val="0"/>
          <w:lang w:val="pl-PL"/>
        </w:rPr>
        <w:t>a) Odpowiednie zasady</w:t>
      </w:r>
    </w:p>
    <w:p w14:paraId="41F9BE84" w14:textId="1EB9FBE0"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126</w:t>
      </w:r>
      <w:r w:rsidRPr="00FD65C9">
        <w:rPr>
          <w:lang w:val="pl-PL"/>
        </w:rPr>
        <w:fldChar w:fldCharType="end"/>
      </w:r>
      <w:r w:rsidR="00E95B67" w:rsidRPr="00FD65C9">
        <w:rPr>
          <w:lang w:val="pl-PL"/>
        </w:rPr>
        <w:t xml:space="preserve">.  Trybunał przypomina, że art. 5 ust. 1 lit. c Konwencji </w:t>
      </w:r>
      <w:r w:rsidR="00175EA1">
        <w:rPr>
          <w:lang w:val="pl-PL"/>
        </w:rPr>
        <w:t>po</w:t>
      </w:r>
      <w:r w:rsidR="00175EA1" w:rsidRPr="00FD65C9">
        <w:rPr>
          <w:lang w:val="pl-PL"/>
        </w:rPr>
        <w:t xml:space="preserve">zwala </w:t>
      </w:r>
      <w:r w:rsidR="00E95B67" w:rsidRPr="00FD65C9">
        <w:rPr>
          <w:lang w:val="pl-PL"/>
        </w:rPr>
        <w:t xml:space="preserve">na </w:t>
      </w:r>
      <w:r w:rsidR="00175EA1" w:rsidRPr="00FD65C9">
        <w:rPr>
          <w:lang w:val="pl-PL"/>
        </w:rPr>
        <w:t>za</w:t>
      </w:r>
      <w:r w:rsidR="00175EA1">
        <w:rPr>
          <w:lang w:val="pl-PL"/>
        </w:rPr>
        <w:t>stosowanie wobec</w:t>
      </w:r>
      <w:r w:rsidR="00175EA1" w:rsidRPr="00FD65C9">
        <w:rPr>
          <w:lang w:val="pl-PL"/>
        </w:rPr>
        <w:t xml:space="preserve"> </w:t>
      </w:r>
      <w:r w:rsidR="00E95B67" w:rsidRPr="00FD65C9">
        <w:rPr>
          <w:lang w:val="pl-PL"/>
        </w:rPr>
        <w:t xml:space="preserve">osoby </w:t>
      </w:r>
      <w:r w:rsidR="00175EA1">
        <w:rPr>
          <w:lang w:val="pl-PL"/>
        </w:rPr>
        <w:t>tymczasowego aresztowania wyłącznie w ramach</w:t>
      </w:r>
      <w:r w:rsidR="00E95B67" w:rsidRPr="00FD65C9">
        <w:rPr>
          <w:lang w:val="pl-PL"/>
        </w:rPr>
        <w:t xml:space="preserve"> postępowania karnego, w celu postawienia jej przed właściwym organem sądowym, gdy istnieją uzasadnione podejrzenia, że osoba ta popełniła przestępstwo (zob. </w:t>
      </w:r>
      <w:proofErr w:type="spellStart"/>
      <w:r w:rsidR="00E95B67" w:rsidRPr="00FD65C9">
        <w:rPr>
          <w:i/>
          <w:iCs/>
          <w:lang w:val="pl-PL"/>
        </w:rPr>
        <w:t>Jėčius</w:t>
      </w:r>
      <w:proofErr w:type="spellEnd"/>
      <w:r w:rsidR="00E95B67" w:rsidRPr="00FD65C9">
        <w:rPr>
          <w:i/>
          <w:iCs/>
          <w:lang w:val="pl-PL"/>
        </w:rPr>
        <w:t xml:space="preserve"> przeciwko Litwie</w:t>
      </w:r>
      <w:r w:rsidR="00E95B67" w:rsidRPr="00FD65C9">
        <w:rPr>
          <w:lang w:val="pl-PL"/>
        </w:rPr>
        <w:t xml:space="preserve">, nr 34578/97, § 50, ETPC 2000-IX, oraz </w:t>
      </w:r>
      <w:proofErr w:type="spellStart"/>
      <w:r w:rsidR="00E95B67" w:rsidRPr="00FD65C9">
        <w:rPr>
          <w:i/>
          <w:iCs/>
          <w:lang w:val="pl-PL"/>
        </w:rPr>
        <w:t>Mehmet</w:t>
      </w:r>
      <w:proofErr w:type="spellEnd"/>
      <w:r w:rsidR="00E95B67" w:rsidRPr="00FD65C9">
        <w:rPr>
          <w:i/>
          <w:iCs/>
          <w:lang w:val="pl-PL"/>
        </w:rPr>
        <w:t xml:space="preserve"> </w:t>
      </w:r>
      <w:proofErr w:type="spellStart"/>
      <w:r w:rsidR="00E95B67" w:rsidRPr="00FD65C9">
        <w:rPr>
          <w:i/>
          <w:iCs/>
          <w:lang w:val="pl-PL"/>
        </w:rPr>
        <w:t>Hasan</w:t>
      </w:r>
      <w:proofErr w:type="spellEnd"/>
      <w:r w:rsidR="00E95B67" w:rsidRPr="00FD65C9">
        <w:rPr>
          <w:i/>
          <w:iCs/>
          <w:lang w:val="pl-PL"/>
        </w:rPr>
        <w:t xml:space="preserve"> Altan</w:t>
      </w:r>
      <w:r w:rsidR="00E95B67" w:rsidRPr="00FD65C9">
        <w:rPr>
          <w:lang w:val="pl-PL"/>
        </w:rPr>
        <w:t xml:space="preserve">, </w:t>
      </w:r>
      <w:r w:rsidR="00175EA1" w:rsidRPr="00FD65C9">
        <w:rPr>
          <w:i/>
          <w:iCs/>
          <w:lang w:val="pl-PL"/>
        </w:rPr>
        <w:t>op. cit</w:t>
      </w:r>
      <w:r w:rsidR="00175EA1">
        <w:rPr>
          <w:lang w:val="pl-PL"/>
        </w:rPr>
        <w:t>.</w:t>
      </w:r>
      <w:r w:rsidR="00E95B67" w:rsidRPr="00FD65C9">
        <w:rPr>
          <w:lang w:val="pl-PL"/>
        </w:rPr>
        <w:t xml:space="preserve">, § 124). „Uzasadniony” charakter podejrzeń, </w:t>
      </w:r>
      <w:r w:rsidR="00175EA1">
        <w:rPr>
          <w:lang w:val="pl-PL"/>
        </w:rPr>
        <w:t>które mają być podstawą zastosowania tymczasowego aresztowania</w:t>
      </w:r>
      <w:r w:rsidR="00E95B67" w:rsidRPr="00FD65C9">
        <w:rPr>
          <w:lang w:val="pl-PL"/>
        </w:rPr>
        <w:t>, jest istotnym elementem ochrony przyznanej przez art. 5 ust. 1 lit. c.</w:t>
      </w:r>
    </w:p>
    <w:p w14:paraId="250EA1BA" w14:textId="4628C6CA" w:rsidR="00E95B67" w:rsidRPr="00FD65C9" w:rsidRDefault="00E95B67" w:rsidP="00622760">
      <w:pPr>
        <w:pStyle w:val="ECHRPara"/>
        <w:rPr>
          <w:lang w:val="pl-PL"/>
        </w:rPr>
      </w:pPr>
      <w:r w:rsidRPr="00FD65C9">
        <w:rPr>
          <w:lang w:val="pl-PL"/>
        </w:rPr>
        <w:t xml:space="preserve">Uzasadnione podejrzenie zakłada istnienie okoliczności faktycznych lub informacji, które </w:t>
      </w:r>
      <w:r w:rsidR="00175EA1">
        <w:rPr>
          <w:lang w:val="pl-PL"/>
        </w:rPr>
        <w:t>mog</w:t>
      </w:r>
      <w:r w:rsidR="00175EA1" w:rsidRPr="00FD65C9">
        <w:rPr>
          <w:lang w:val="pl-PL"/>
        </w:rPr>
        <w:t xml:space="preserve">łyby </w:t>
      </w:r>
      <w:r w:rsidR="00175EA1">
        <w:rPr>
          <w:lang w:val="pl-PL"/>
        </w:rPr>
        <w:t xml:space="preserve">przekonać </w:t>
      </w:r>
      <w:r w:rsidRPr="00FD65C9">
        <w:rPr>
          <w:lang w:val="pl-PL"/>
        </w:rPr>
        <w:t xml:space="preserve">obiektywnego obserwatora, że dana osoba mogła popełnić zarzucane jej przestępstwo. To, co można uznać za uzasadnione, zależy jednak od </w:t>
      </w:r>
      <w:r w:rsidR="00175EA1">
        <w:rPr>
          <w:lang w:val="pl-PL"/>
        </w:rPr>
        <w:t>całokształtu</w:t>
      </w:r>
      <w:r w:rsidR="00175EA1" w:rsidRPr="00FD65C9">
        <w:rPr>
          <w:lang w:val="pl-PL"/>
        </w:rPr>
        <w:t xml:space="preserve"> </w:t>
      </w:r>
      <w:r w:rsidRPr="00FD65C9">
        <w:rPr>
          <w:lang w:val="pl-PL"/>
        </w:rPr>
        <w:t xml:space="preserve">okoliczności (zob. </w:t>
      </w:r>
      <w:r w:rsidR="00F76D6B" w:rsidRPr="00FD65C9">
        <w:rPr>
          <w:i/>
          <w:iCs/>
          <w:lang w:val="pl-PL"/>
        </w:rPr>
        <w:t>Fox, Campbell i </w:t>
      </w:r>
      <w:r w:rsidRPr="00FD65C9">
        <w:rPr>
          <w:i/>
          <w:iCs/>
          <w:lang w:val="pl-PL"/>
        </w:rPr>
        <w:t>Hartley przeciwko Zjednoczonemu Królestwu</w:t>
      </w:r>
      <w:r w:rsidRPr="00FD65C9">
        <w:rPr>
          <w:lang w:val="pl-PL"/>
        </w:rPr>
        <w:t xml:space="preserve">, 30 sierpnia 1990 r., § 32, Seria A nr 182, </w:t>
      </w:r>
      <w:r w:rsidRPr="00FD65C9">
        <w:rPr>
          <w:i/>
          <w:iCs/>
          <w:lang w:val="pl-PL"/>
        </w:rPr>
        <w:t>O'Hara przeciwko Zjednoczonemu Królestwu</w:t>
      </w:r>
      <w:r w:rsidRPr="00FD65C9">
        <w:rPr>
          <w:lang w:val="pl-PL"/>
        </w:rPr>
        <w:t xml:space="preserve">, nr 37555/97, § 34, ETPC 2001-X, oraz </w:t>
      </w:r>
      <w:proofErr w:type="spellStart"/>
      <w:r w:rsidRPr="00FD65C9">
        <w:rPr>
          <w:i/>
          <w:iCs/>
          <w:lang w:val="pl-PL"/>
        </w:rPr>
        <w:t>Mehmet</w:t>
      </w:r>
      <w:proofErr w:type="spellEnd"/>
      <w:r w:rsidRPr="00FD65C9">
        <w:rPr>
          <w:i/>
          <w:iCs/>
          <w:lang w:val="pl-PL"/>
        </w:rPr>
        <w:t xml:space="preserve"> </w:t>
      </w:r>
      <w:proofErr w:type="spellStart"/>
      <w:r w:rsidRPr="00FD65C9">
        <w:rPr>
          <w:i/>
          <w:iCs/>
          <w:lang w:val="pl-PL"/>
        </w:rPr>
        <w:t>Hasan</w:t>
      </w:r>
      <w:proofErr w:type="spellEnd"/>
      <w:r w:rsidRPr="00FD65C9">
        <w:rPr>
          <w:i/>
          <w:iCs/>
          <w:lang w:val="pl-PL"/>
        </w:rPr>
        <w:t xml:space="preserve"> Altan</w:t>
      </w:r>
      <w:r w:rsidRPr="00FD65C9">
        <w:rPr>
          <w:lang w:val="pl-PL"/>
        </w:rPr>
        <w:t xml:space="preserve">, </w:t>
      </w:r>
      <w:r w:rsidR="00175EA1">
        <w:rPr>
          <w:lang w:val="pl-PL"/>
        </w:rPr>
        <w:t>op. cit.</w:t>
      </w:r>
      <w:r w:rsidRPr="00FD65C9">
        <w:rPr>
          <w:lang w:val="pl-PL"/>
        </w:rPr>
        <w:t>, § 125).</w:t>
      </w:r>
    </w:p>
    <w:p w14:paraId="3D5F12E5" w14:textId="4696EE35"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127</w:t>
      </w:r>
      <w:r w:rsidRPr="00FD65C9">
        <w:rPr>
          <w:lang w:val="pl-PL"/>
        </w:rPr>
        <w:fldChar w:fldCharType="end"/>
      </w:r>
      <w:r w:rsidR="00E95B67" w:rsidRPr="00FD65C9">
        <w:rPr>
          <w:lang w:val="pl-PL"/>
        </w:rPr>
        <w:t xml:space="preserve">.  Trybunał przypomina ponadto, że art. 5 ust. 1 lit. c Konwencji nie zakłada, że organy śledcze </w:t>
      </w:r>
      <w:r w:rsidR="002209C9">
        <w:rPr>
          <w:lang w:val="pl-PL"/>
        </w:rPr>
        <w:t>mają zebrać</w:t>
      </w:r>
      <w:r w:rsidR="002209C9" w:rsidRPr="00FD65C9">
        <w:rPr>
          <w:lang w:val="pl-PL"/>
        </w:rPr>
        <w:t xml:space="preserve"> </w:t>
      </w:r>
      <w:r w:rsidR="00E95B67" w:rsidRPr="00FD65C9">
        <w:rPr>
          <w:lang w:val="pl-PL"/>
        </w:rPr>
        <w:t>wystarczające dowody do p</w:t>
      </w:r>
      <w:r w:rsidR="002209C9">
        <w:rPr>
          <w:lang w:val="pl-PL"/>
        </w:rPr>
        <w:t>rzed</w:t>
      </w:r>
      <w:r w:rsidR="00E95B67" w:rsidRPr="00FD65C9">
        <w:rPr>
          <w:lang w:val="pl-PL"/>
        </w:rPr>
        <w:t xml:space="preserve">stawienia zarzutów w chwili zatrzymania. Celem przesłuchania podczas zatrzymania na podstawie tego ustępu jest uzupełnienie </w:t>
      </w:r>
      <w:r w:rsidR="002209C9">
        <w:rPr>
          <w:lang w:val="pl-PL"/>
        </w:rPr>
        <w:t>postępowania przygotowawczego</w:t>
      </w:r>
      <w:r w:rsidR="002209C9" w:rsidRPr="00FD65C9">
        <w:rPr>
          <w:lang w:val="pl-PL"/>
        </w:rPr>
        <w:t xml:space="preserve"> </w:t>
      </w:r>
      <w:r w:rsidR="00E95B67" w:rsidRPr="00FD65C9">
        <w:rPr>
          <w:lang w:val="pl-PL"/>
        </w:rPr>
        <w:t>w sprawie karnej poprzez potwierdzenie lub odrzucenie konkretnych podejrzeń</w:t>
      </w:r>
      <w:r w:rsidR="002209C9">
        <w:rPr>
          <w:lang w:val="pl-PL"/>
        </w:rPr>
        <w:t xml:space="preserve"> będących podstawą zatrzymania</w:t>
      </w:r>
      <w:r w:rsidR="00E95B67" w:rsidRPr="00FD65C9">
        <w:rPr>
          <w:lang w:val="pl-PL"/>
        </w:rPr>
        <w:t xml:space="preserve">. Tym samym </w:t>
      </w:r>
      <w:r w:rsidR="002209C9">
        <w:rPr>
          <w:lang w:val="pl-PL"/>
        </w:rPr>
        <w:t xml:space="preserve">okoliczności </w:t>
      </w:r>
      <w:r w:rsidR="00E95B67" w:rsidRPr="00FD65C9">
        <w:rPr>
          <w:lang w:val="pl-PL"/>
        </w:rPr>
        <w:t xml:space="preserve">dające podstawę do podejrzeń nie mogą </w:t>
      </w:r>
      <w:r w:rsidR="002209C9">
        <w:rPr>
          <w:lang w:val="pl-PL"/>
        </w:rPr>
        <w:t>utożsamiane z</w:t>
      </w:r>
      <w:r w:rsidR="00E95B67" w:rsidRPr="00FD65C9">
        <w:rPr>
          <w:lang w:val="pl-PL"/>
        </w:rPr>
        <w:t xml:space="preserve"> </w:t>
      </w:r>
      <w:r w:rsidR="002209C9">
        <w:rPr>
          <w:lang w:val="pl-PL"/>
        </w:rPr>
        <w:t>okolicznościami</w:t>
      </w:r>
      <w:r w:rsidR="002209C9" w:rsidRPr="00FD65C9">
        <w:rPr>
          <w:lang w:val="pl-PL"/>
        </w:rPr>
        <w:t xml:space="preserve"> </w:t>
      </w:r>
      <w:r w:rsidR="00E95B67" w:rsidRPr="00FD65C9">
        <w:rPr>
          <w:lang w:val="pl-PL"/>
        </w:rPr>
        <w:t>niezbędn</w:t>
      </w:r>
      <w:r w:rsidR="002209C9">
        <w:rPr>
          <w:lang w:val="pl-PL"/>
        </w:rPr>
        <w:t>ymi</w:t>
      </w:r>
      <w:r w:rsidR="00E95B67" w:rsidRPr="00FD65C9">
        <w:rPr>
          <w:lang w:val="pl-PL"/>
        </w:rPr>
        <w:t xml:space="preserve"> do uzasadnienia wyroku skazującego </w:t>
      </w:r>
      <w:r w:rsidR="002209C9">
        <w:rPr>
          <w:lang w:val="pl-PL"/>
        </w:rPr>
        <w:t>czy</w:t>
      </w:r>
      <w:r w:rsidR="002209C9" w:rsidRPr="00FD65C9">
        <w:rPr>
          <w:lang w:val="pl-PL"/>
        </w:rPr>
        <w:t xml:space="preserve"> </w:t>
      </w:r>
      <w:r w:rsidR="00E95B67" w:rsidRPr="00FD65C9">
        <w:rPr>
          <w:lang w:val="pl-PL"/>
        </w:rPr>
        <w:t>nawet do p</w:t>
      </w:r>
      <w:r w:rsidR="002209C9">
        <w:rPr>
          <w:lang w:val="pl-PL"/>
        </w:rPr>
        <w:t>rzed</w:t>
      </w:r>
      <w:r w:rsidR="00E95B67" w:rsidRPr="00FD65C9">
        <w:rPr>
          <w:lang w:val="pl-PL"/>
        </w:rPr>
        <w:t xml:space="preserve">stawienia zarzutów, co następuje </w:t>
      </w:r>
      <w:r w:rsidR="002209C9">
        <w:rPr>
          <w:lang w:val="pl-PL"/>
        </w:rPr>
        <w:t>na kolejnym etapie</w:t>
      </w:r>
      <w:r w:rsidR="00E95B67" w:rsidRPr="00FD65C9">
        <w:rPr>
          <w:lang w:val="pl-PL"/>
        </w:rPr>
        <w:t xml:space="preserve"> postępowania karnego (</w:t>
      </w:r>
      <w:r w:rsidR="00E95B67" w:rsidRPr="00FD65C9">
        <w:rPr>
          <w:i/>
          <w:iCs/>
          <w:lang w:val="pl-PL"/>
        </w:rPr>
        <w:t>Murray przeciwko Zjednoczonemu Królestwu</w:t>
      </w:r>
      <w:r w:rsidR="00F76D6B" w:rsidRPr="00FD65C9">
        <w:rPr>
          <w:lang w:val="pl-PL"/>
        </w:rPr>
        <w:t>, 28 października 1994 r., § </w:t>
      </w:r>
      <w:r w:rsidR="00E95B67" w:rsidRPr="00FD65C9">
        <w:rPr>
          <w:lang w:val="pl-PL"/>
        </w:rPr>
        <w:t xml:space="preserve">55, Seria A nr 300-A, oraz </w:t>
      </w:r>
      <w:proofErr w:type="spellStart"/>
      <w:r w:rsidR="00E95B67" w:rsidRPr="00FD65C9">
        <w:rPr>
          <w:i/>
          <w:iCs/>
          <w:lang w:val="pl-PL"/>
        </w:rPr>
        <w:t>Yüksel</w:t>
      </w:r>
      <w:proofErr w:type="spellEnd"/>
      <w:r w:rsidR="00E95B67" w:rsidRPr="00FD65C9">
        <w:rPr>
          <w:i/>
          <w:iCs/>
          <w:lang w:val="pl-PL"/>
        </w:rPr>
        <w:t xml:space="preserve"> i Inni przeciwko Turcji</w:t>
      </w:r>
      <w:r w:rsidR="00E95B67" w:rsidRPr="00FD65C9">
        <w:rPr>
          <w:lang w:val="pl-PL"/>
        </w:rPr>
        <w:t>, nr 55835/09 i 2 inne, § 52, 31 maja 2016 r.).</w:t>
      </w:r>
    </w:p>
    <w:p w14:paraId="0364A91F" w14:textId="672A594B"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128</w:t>
      </w:r>
      <w:r w:rsidRPr="00FD65C9">
        <w:rPr>
          <w:lang w:val="pl-PL"/>
        </w:rPr>
        <w:fldChar w:fldCharType="end"/>
      </w:r>
      <w:r w:rsidR="00E95B67" w:rsidRPr="00FD65C9">
        <w:rPr>
          <w:lang w:val="pl-PL"/>
        </w:rPr>
        <w:t>.  Zadaniem Trybunału jest ustalenie,</w:t>
      </w:r>
      <w:r w:rsidR="00F76D6B" w:rsidRPr="00FD65C9">
        <w:rPr>
          <w:lang w:val="pl-PL"/>
        </w:rPr>
        <w:t xml:space="preserve"> czy </w:t>
      </w:r>
      <w:r w:rsidR="002209C9">
        <w:rPr>
          <w:lang w:val="pl-PL"/>
        </w:rPr>
        <w:t>przesłanki</w:t>
      </w:r>
      <w:r w:rsidR="002209C9" w:rsidRPr="00FD65C9">
        <w:rPr>
          <w:lang w:val="pl-PL"/>
        </w:rPr>
        <w:t xml:space="preserve"> </w:t>
      </w:r>
      <w:r w:rsidR="00F76D6B" w:rsidRPr="00FD65C9">
        <w:rPr>
          <w:lang w:val="pl-PL"/>
        </w:rPr>
        <w:t>określone w art. 5 </w:t>
      </w:r>
      <w:r w:rsidR="00E95B67" w:rsidRPr="00FD65C9">
        <w:rPr>
          <w:lang w:val="pl-PL"/>
        </w:rPr>
        <w:t xml:space="preserve">ust. 1 lit. c Konwencji, w tym dążenie do osiągnięcia zamierzonego uzasadnionego celu, zostały spełnione w rozpatrywanej przez niego sprawie. W tym kontekście do Trybunału co do zasady nie należy zastępowanie własną oceną faktów oceny dokonanej przez sądy krajowe, które mają lepszą możliwość oceny przedstawionych im dowodów (zob. </w:t>
      </w:r>
      <w:proofErr w:type="spellStart"/>
      <w:r w:rsidR="00E95B67" w:rsidRPr="00FD65C9">
        <w:rPr>
          <w:i/>
          <w:iCs/>
          <w:lang w:val="pl-PL"/>
        </w:rPr>
        <w:t>Mergen</w:t>
      </w:r>
      <w:proofErr w:type="spellEnd"/>
      <w:r w:rsidR="00E95B67" w:rsidRPr="00FD65C9">
        <w:rPr>
          <w:i/>
          <w:iCs/>
          <w:lang w:val="pl-PL"/>
        </w:rPr>
        <w:t xml:space="preserve"> i Inni przeciwko Turcji,</w:t>
      </w:r>
      <w:r w:rsidR="00E95B67" w:rsidRPr="00FD65C9">
        <w:rPr>
          <w:lang w:val="pl-PL"/>
        </w:rPr>
        <w:t xml:space="preserve"> nr 44062/09 i 4 inne, § 48, 31 maja 2016 r., oraz </w:t>
      </w:r>
      <w:proofErr w:type="spellStart"/>
      <w:r w:rsidR="00E95B67" w:rsidRPr="00FD65C9">
        <w:rPr>
          <w:i/>
          <w:iCs/>
          <w:lang w:val="pl-PL"/>
        </w:rPr>
        <w:t>Mehmet</w:t>
      </w:r>
      <w:proofErr w:type="spellEnd"/>
      <w:r w:rsidR="00E95B67" w:rsidRPr="00FD65C9">
        <w:rPr>
          <w:i/>
          <w:iCs/>
          <w:lang w:val="pl-PL"/>
        </w:rPr>
        <w:t xml:space="preserve"> </w:t>
      </w:r>
      <w:proofErr w:type="spellStart"/>
      <w:r w:rsidR="00E95B67" w:rsidRPr="00FD65C9">
        <w:rPr>
          <w:i/>
          <w:iCs/>
          <w:lang w:val="pl-PL"/>
        </w:rPr>
        <w:t>Hasan</w:t>
      </w:r>
      <w:proofErr w:type="spellEnd"/>
      <w:r w:rsidR="00E95B67" w:rsidRPr="00FD65C9">
        <w:rPr>
          <w:i/>
          <w:iCs/>
          <w:lang w:val="pl-PL"/>
        </w:rPr>
        <w:t xml:space="preserve"> Altan</w:t>
      </w:r>
      <w:r w:rsidR="00E95B67" w:rsidRPr="00FD65C9">
        <w:rPr>
          <w:lang w:val="pl-PL"/>
        </w:rPr>
        <w:t xml:space="preserve">, </w:t>
      </w:r>
      <w:r w:rsidR="002209C9" w:rsidRPr="00FD65C9">
        <w:rPr>
          <w:i/>
          <w:iCs/>
          <w:lang w:val="pl-PL"/>
        </w:rPr>
        <w:t>op. cit</w:t>
      </w:r>
      <w:r w:rsidR="002209C9">
        <w:rPr>
          <w:lang w:val="pl-PL"/>
        </w:rPr>
        <w:t>.</w:t>
      </w:r>
      <w:r w:rsidR="00E95B67" w:rsidRPr="00FD65C9">
        <w:rPr>
          <w:lang w:val="pl-PL"/>
        </w:rPr>
        <w:t>, § 126).</w:t>
      </w:r>
    </w:p>
    <w:p w14:paraId="47B8BA24" w14:textId="0522C74D" w:rsidR="00E95B67" w:rsidRPr="00FD65C9" w:rsidRDefault="00DA7597" w:rsidP="00622760">
      <w:pPr>
        <w:pStyle w:val="ECHRPara"/>
        <w:rPr>
          <w:rFonts w:eastAsia="Times New Roman"/>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129</w:t>
      </w:r>
      <w:r w:rsidRPr="00FD65C9">
        <w:rPr>
          <w:lang w:val="pl-PL"/>
        </w:rPr>
        <w:fldChar w:fldCharType="end"/>
      </w:r>
      <w:r w:rsidR="00E95B67" w:rsidRPr="00FD65C9">
        <w:rPr>
          <w:lang w:val="pl-PL"/>
        </w:rPr>
        <w:t xml:space="preserve">.  Zgodnie z utrwalonym orzecznictwem, oceniając „uzasadniony” charakter podejrzeń, Trybunał musi być w stanie określić, czy </w:t>
      </w:r>
      <w:r w:rsidR="002209C9">
        <w:rPr>
          <w:lang w:val="pl-PL"/>
        </w:rPr>
        <w:t>nie doszło do naruszenia</w:t>
      </w:r>
      <w:r w:rsidR="002209C9" w:rsidRPr="00FD65C9">
        <w:rPr>
          <w:lang w:val="pl-PL"/>
        </w:rPr>
        <w:t xml:space="preserve"> </w:t>
      </w:r>
      <w:r w:rsidR="00E95B67" w:rsidRPr="00FD65C9">
        <w:rPr>
          <w:lang w:val="pl-PL"/>
        </w:rPr>
        <w:t xml:space="preserve">gwarancji </w:t>
      </w:r>
      <w:r w:rsidR="002209C9">
        <w:rPr>
          <w:lang w:val="pl-PL"/>
        </w:rPr>
        <w:t>wynikającej z</w:t>
      </w:r>
      <w:r w:rsidR="00E95B67" w:rsidRPr="00FD65C9">
        <w:rPr>
          <w:lang w:val="pl-PL"/>
        </w:rPr>
        <w:t xml:space="preserve"> art. 5 ust. 1 li</w:t>
      </w:r>
      <w:r w:rsidR="00F76D6B" w:rsidRPr="00FD65C9">
        <w:rPr>
          <w:lang w:val="pl-PL"/>
        </w:rPr>
        <w:t>t. c. W </w:t>
      </w:r>
      <w:r w:rsidR="00E95B67" w:rsidRPr="00FD65C9">
        <w:rPr>
          <w:lang w:val="pl-PL"/>
        </w:rPr>
        <w:t xml:space="preserve">tym względzie na pozwanym Rządzie spoczywa obowiązek przedstawienia Trybunałowi przynajmniej pewnych faktów lub informacji mogących przekonać go, że istniały uzasadnione podstawy do podejrzewania osoby </w:t>
      </w:r>
      <w:r w:rsidR="002209C9">
        <w:rPr>
          <w:lang w:val="pl-PL"/>
        </w:rPr>
        <w:t>zatrzymanej</w:t>
      </w:r>
      <w:r w:rsidR="002209C9" w:rsidRPr="00FD65C9">
        <w:rPr>
          <w:lang w:val="pl-PL"/>
        </w:rPr>
        <w:t xml:space="preserve"> </w:t>
      </w:r>
      <w:r w:rsidR="00E95B67" w:rsidRPr="00FD65C9">
        <w:rPr>
          <w:lang w:val="pl-PL"/>
        </w:rPr>
        <w:t xml:space="preserve">o popełnienie zarzucanego jej przestępstwa (zob. </w:t>
      </w:r>
      <w:r w:rsidR="00E95B67" w:rsidRPr="00FD65C9">
        <w:rPr>
          <w:i/>
          <w:iCs/>
          <w:lang w:val="pl-PL"/>
        </w:rPr>
        <w:t>Fox, Campbell i Hartley</w:t>
      </w:r>
      <w:r w:rsidR="00E95B67" w:rsidRPr="00FD65C9">
        <w:rPr>
          <w:lang w:val="pl-PL"/>
        </w:rPr>
        <w:t xml:space="preserve">, </w:t>
      </w:r>
      <w:r w:rsidR="002209C9" w:rsidRPr="00FD65C9">
        <w:rPr>
          <w:i/>
          <w:iCs/>
          <w:lang w:val="pl-PL"/>
        </w:rPr>
        <w:t>op. cit</w:t>
      </w:r>
      <w:r w:rsidR="002209C9">
        <w:rPr>
          <w:lang w:val="pl-PL"/>
        </w:rPr>
        <w:t>.</w:t>
      </w:r>
      <w:r w:rsidR="00E95B67" w:rsidRPr="00FD65C9">
        <w:rPr>
          <w:lang w:val="pl-PL"/>
        </w:rPr>
        <w:t xml:space="preserve">, § 34 in fine, </w:t>
      </w:r>
      <w:r w:rsidR="00E95B67" w:rsidRPr="00FD65C9">
        <w:rPr>
          <w:i/>
          <w:iCs/>
          <w:lang w:val="pl-PL"/>
        </w:rPr>
        <w:t>O'Hara</w:t>
      </w:r>
      <w:r w:rsidR="00E95B67" w:rsidRPr="00FD65C9">
        <w:rPr>
          <w:lang w:val="pl-PL"/>
        </w:rPr>
        <w:t xml:space="preserve">, </w:t>
      </w:r>
      <w:r w:rsidR="002209C9" w:rsidRPr="00FD65C9">
        <w:rPr>
          <w:i/>
          <w:iCs/>
          <w:lang w:val="pl-PL"/>
        </w:rPr>
        <w:t>op. cit</w:t>
      </w:r>
      <w:r w:rsidR="002209C9">
        <w:rPr>
          <w:lang w:val="pl-PL"/>
        </w:rPr>
        <w:t>.</w:t>
      </w:r>
      <w:r w:rsidR="00E95B67" w:rsidRPr="00FD65C9">
        <w:rPr>
          <w:lang w:val="pl-PL"/>
        </w:rPr>
        <w:t xml:space="preserve">, § 35, oraz </w:t>
      </w:r>
      <w:proofErr w:type="spellStart"/>
      <w:r w:rsidR="00E95B67" w:rsidRPr="00FD65C9">
        <w:rPr>
          <w:i/>
          <w:iCs/>
          <w:lang w:val="pl-PL"/>
        </w:rPr>
        <w:t>Ilgar</w:t>
      </w:r>
      <w:proofErr w:type="spellEnd"/>
      <w:r w:rsidR="00E95B67" w:rsidRPr="00FD65C9">
        <w:rPr>
          <w:i/>
          <w:iCs/>
          <w:lang w:val="pl-PL"/>
        </w:rPr>
        <w:t xml:space="preserve"> </w:t>
      </w:r>
      <w:proofErr w:type="spellStart"/>
      <w:r w:rsidR="00E95B67" w:rsidRPr="00FD65C9">
        <w:rPr>
          <w:i/>
          <w:iCs/>
          <w:lang w:val="pl-PL"/>
        </w:rPr>
        <w:t>Mammadov</w:t>
      </w:r>
      <w:proofErr w:type="spellEnd"/>
      <w:r w:rsidR="00E95B67" w:rsidRPr="00FD65C9">
        <w:rPr>
          <w:i/>
          <w:iCs/>
          <w:lang w:val="pl-PL"/>
        </w:rPr>
        <w:t xml:space="preserve"> przeciwko Azerbejdżanowi,</w:t>
      </w:r>
      <w:r w:rsidR="00E95B67" w:rsidRPr="00FD65C9">
        <w:rPr>
          <w:lang w:val="pl-PL"/>
        </w:rPr>
        <w:t xml:space="preserve"> nr 15172/13, § 89, 22 maja 2014 r.).</w:t>
      </w:r>
    </w:p>
    <w:p w14:paraId="14C9D38B" w14:textId="5EB08B2E" w:rsidR="00E95B67" w:rsidRPr="00FD65C9" w:rsidRDefault="00DA7597" w:rsidP="00622760">
      <w:pPr>
        <w:pStyle w:val="ECHRPara"/>
        <w:rPr>
          <w:rFonts w:eastAsia="Times New Roman"/>
          <w:lang w:val="pl-PL"/>
        </w:rPr>
      </w:pPr>
      <w:r w:rsidRPr="00FD65C9">
        <w:rPr>
          <w:rFonts w:eastAsia="Times New Roman"/>
          <w:lang w:val="pl-PL"/>
        </w:rPr>
        <w:fldChar w:fldCharType="begin"/>
      </w:r>
      <w:r w:rsidR="00E95B67" w:rsidRPr="00FD65C9">
        <w:rPr>
          <w:rFonts w:eastAsia="Times New Roman"/>
          <w:lang w:val="pl-PL"/>
        </w:rPr>
        <w:instrText xml:space="preserve"> SEQ level0 \*arabic </w:instrText>
      </w:r>
      <w:r w:rsidRPr="00FD65C9">
        <w:rPr>
          <w:rFonts w:eastAsia="Times New Roman"/>
          <w:lang w:val="pl-PL"/>
        </w:rPr>
        <w:fldChar w:fldCharType="separate"/>
      </w:r>
      <w:r w:rsidR="00E95B67" w:rsidRPr="00FD65C9">
        <w:rPr>
          <w:rFonts w:eastAsia="Times New Roman"/>
          <w:noProof/>
          <w:lang w:val="pl-PL"/>
        </w:rPr>
        <w:t>130</w:t>
      </w:r>
      <w:r w:rsidRPr="00FD65C9">
        <w:rPr>
          <w:rFonts w:eastAsia="Times New Roman"/>
          <w:lang w:val="pl-PL"/>
        </w:rPr>
        <w:fldChar w:fldCharType="end"/>
      </w:r>
      <w:r w:rsidR="00E95B67" w:rsidRPr="00FD65C9">
        <w:rPr>
          <w:rFonts w:eastAsia="Times New Roman"/>
          <w:lang w:val="pl-PL"/>
        </w:rPr>
        <w:t xml:space="preserve">.  Trybunał pragnie również przypomnieć, że podejrzenia </w:t>
      </w:r>
      <w:r w:rsidR="002209C9">
        <w:rPr>
          <w:rFonts w:eastAsia="Times New Roman"/>
          <w:lang w:val="pl-PL"/>
        </w:rPr>
        <w:t xml:space="preserve">wobec </w:t>
      </w:r>
      <w:r w:rsidR="00E95B67" w:rsidRPr="00FD65C9">
        <w:rPr>
          <w:rFonts w:eastAsia="Times New Roman"/>
          <w:lang w:val="pl-PL"/>
        </w:rPr>
        <w:t xml:space="preserve">danej osoby w </w:t>
      </w:r>
      <w:r w:rsidR="002209C9">
        <w:rPr>
          <w:rFonts w:eastAsia="Times New Roman"/>
          <w:lang w:val="pl-PL"/>
        </w:rPr>
        <w:t>chwili zatrzymania</w:t>
      </w:r>
      <w:r w:rsidR="00E95B67" w:rsidRPr="00FD65C9">
        <w:rPr>
          <w:rFonts w:eastAsia="Times New Roman"/>
          <w:lang w:val="pl-PL"/>
        </w:rPr>
        <w:t xml:space="preserve"> muszą być „uzasadnione” (</w:t>
      </w:r>
      <w:r w:rsidR="00F76D6B" w:rsidRPr="00FD65C9">
        <w:rPr>
          <w:rFonts w:eastAsia="Times New Roman"/>
          <w:i/>
          <w:iCs/>
          <w:lang w:val="pl-PL"/>
        </w:rPr>
        <w:t>Fox, Campbell i </w:t>
      </w:r>
      <w:r w:rsidR="00E95B67" w:rsidRPr="00FD65C9">
        <w:rPr>
          <w:rFonts w:eastAsia="Times New Roman"/>
          <w:i/>
          <w:iCs/>
          <w:lang w:val="pl-PL"/>
        </w:rPr>
        <w:t>Hartley</w:t>
      </w:r>
      <w:r w:rsidR="00E95B67" w:rsidRPr="00FD65C9">
        <w:rPr>
          <w:rFonts w:eastAsia="Times New Roman"/>
          <w:lang w:val="pl-PL"/>
        </w:rPr>
        <w:t xml:space="preserve">, </w:t>
      </w:r>
      <w:r w:rsidR="002209C9" w:rsidRPr="00FD65C9">
        <w:rPr>
          <w:rFonts w:eastAsia="Times New Roman"/>
          <w:i/>
          <w:iCs/>
          <w:lang w:val="pl-PL"/>
        </w:rPr>
        <w:t>op. cit</w:t>
      </w:r>
      <w:r w:rsidR="002209C9">
        <w:rPr>
          <w:rFonts w:eastAsia="Times New Roman"/>
          <w:lang w:val="pl-PL"/>
        </w:rPr>
        <w:t>.</w:t>
      </w:r>
      <w:r w:rsidR="00E95B67" w:rsidRPr="00FD65C9">
        <w:rPr>
          <w:rFonts w:eastAsia="Times New Roman"/>
          <w:lang w:val="pl-PL"/>
        </w:rPr>
        <w:t>, § 33). To samo odnosi się</w:t>
      </w:r>
      <w:r w:rsidR="00E95B67" w:rsidRPr="00FD65C9">
        <w:rPr>
          <w:rFonts w:eastAsia="Times New Roman"/>
          <w:i/>
          <w:iCs/>
          <w:lang w:val="pl-PL"/>
        </w:rPr>
        <w:t xml:space="preserve"> a </w:t>
      </w:r>
      <w:proofErr w:type="spellStart"/>
      <w:r w:rsidR="00E95B67" w:rsidRPr="00FD65C9">
        <w:rPr>
          <w:rFonts w:eastAsia="Times New Roman"/>
          <w:i/>
          <w:iCs/>
          <w:lang w:val="pl-PL"/>
        </w:rPr>
        <w:t>fortiori</w:t>
      </w:r>
      <w:proofErr w:type="spellEnd"/>
      <w:r w:rsidR="00E95B67" w:rsidRPr="00FD65C9">
        <w:rPr>
          <w:rFonts w:eastAsia="Times New Roman"/>
          <w:lang w:val="pl-PL"/>
        </w:rPr>
        <w:t xml:space="preserve"> do </w:t>
      </w:r>
      <w:r w:rsidR="002209C9" w:rsidRPr="00FD65C9">
        <w:rPr>
          <w:rFonts w:eastAsia="Times New Roman"/>
          <w:lang w:val="pl-PL"/>
        </w:rPr>
        <w:t>za</w:t>
      </w:r>
      <w:r w:rsidR="002209C9">
        <w:rPr>
          <w:rFonts w:eastAsia="Times New Roman"/>
          <w:lang w:val="pl-PL"/>
        </w:rPr>
        <w:t>stosowania tymczasowego aresztowania wobec</w:t>
      </w:r>
      <w:r w:rsidR="002209C9" w:rsidRPr="00FD65C9">
        <w:rPr>
          <w:rFonts w:eastAsia="Times New Roman"/>
          <w:lang w:val="pl-PL"/>
        </w:rPr>
        <w:t xml:space="preserve"> </w:t>
      </w:r>
      <w:r w:rsidR="00E95B67" w:rsidRPr="00FD65C9">
        <w:rPr>
          <w:rFonts w:eastAsia="Times New Roman"/>
          <w:lang w:val="pl-PL"/>
        </w:rPr>
        <w:t xml:space="preserve">podejrzanego. </w:t>
      </w:r>
      <w:r w:rsidR="002209C9">
        <w:rPr>
          <w:rFonts w:eastAsia="Times New Roman"/>
          <w:lang w:val="pl-PL"/>
        </w:rPr>
        <w:t>U</w:t>
      </w:r>
      <w:r w:rsidR="00E95B67" w:rsidRPr="00FD65C9">
        <w:rPr>
          <w:rFonts w:eastAsia="Times New Roman"/>
          <w:lang w:val="pl-PL"/>
        </w:rPr>
        <w:t xml:space="preserve">zasadnione podejrzenie musi </w:t>
      </w:r>
      <w:r w:rsidR="002209C9">
        <w:rPr>
          <w:rFonts w:eastAsia="Times New Roman"/>
          <w:lang w:val="pl-PL"/>
        </w:rPr>
        <w:t xml:space="preserve">bowiem </w:t>
      </w:r>
      <w:r w:rsidR="00E95B67" w:rsidRPr="00FD65C9">
        <w:rPr>
          <w:rFonts w:eastAsia="Times New Roman"/>
          <w:lang w:val="pl-PL"/>
        </w:rPr>
        <w:t xml:space="preserve">istnieć w </w:t>
      </w:r>
      <w:r w:rsidR="002209C9">
        <w:rPr>
          <w:rFonts w:eastAsia="Times New Roman"/>
          <w:lang w:val="pl-PL"/>
        </w:rPr>
        <w:t>chwili</w:t>
      </w:r>
      <w:r w:rsidR="002209C9" w:rsidRPr="00FD65C9">
        <w:rPr>
          <w:rFonts w:eastAsia="Times New Roman"/>
          <w:lang w:val="pl-PL"/>
        </w:rPr>
        <w:t xml:space="preserve"> </w:t>
      </w:r>
      <w:r w:rsidR="00E95B67" w:rsidRPr="00FD65C9">
        <w:rPr>
          <w:rFonts w:eastAsia="Times New Roman"/>
          <w:lang w:val="pl-PL"/>
        </w:rPr>
        <w:t xml:space="preserve">zatrzymania i </w:t>
      </w:r>
      <w:r w:rsidR="002209C9">
        <w:rPr>
          <w:rFonts w:eastAsia="Times New Roman"/>
          <w:lang w:val="pl-PL"/>
        </w:rPr>
        <w:t>zastosowania tymczasowego aresztowania po raz pierwszy</w:t>
      </w:r>
      <w:r w:rsidR="00E95B67" w:rsidRPr="00FD65C9">
        <w:rPr>
          <w:rFonts w:eastAsia="Times New Roman"/>
          <w:lang w:val="pl-PL"/>
        </w:rPr>
        <w:t xml:space="preserve"> (</w:t>
      </w:r>
      <w:proofErr w:type="spellStart"/>
      <w:r w:rsidR="00E95B67" w:rsidRPr="00FD65C9">
        <w:rPr>
          <w:rFonts w:eastAsia="Times New Roman"/>
          <w:i/>
          <w:iCs/>
          <w:lang w:val="pl-PL"/>
        </w:rPr>
        <w:t>Ilgar</w:t>
      </w:r>
      <w:proofErr w:type="spellEnd"/>
      <w:r w:rsidR="00E95B67" w:rsidRPr="00FD65C9">
        <w:rPr>
          <w:rFonts w:eastAsia="Times New Roman"/>
          <w:i/>
          <w:iCs/>
          <w:lang w:val="pl-PL"/>
        </w:rPr>
        <w:t xml:space="preserve"> </w:t>
      </w:r>
      <w:proofErr w:type="spellStart"/>
      <w:r w:rsidR="00E95B67" w:rsidRPr="00FD65C9">
        <w:rPr>
          <w:rFonts w:eastAsia="Times New Roman"/>
          <w:i/>
          <w:iCs/>
          <w:lang w:val="pl-PL"/>
        </w:rPr>
        <w:t>Mammadov</w:t>
      </w:r>
      <w:proofErr w:type="spellEnd"/>
      <w:r w:rsidR="00F76D6B" w:rsidRPr="00FD65C9">
        <w:rPr>
          <w:rFonts w:eastAsia="Times New Roman"/>
          <w:lang w:val="pl-PL"/>
        </w:rPr>
        <w:t xml:space="preserve">, </w:t>
      </w:r>
      <w:r w:rsidR="002209C9" w:rsidRPr="00FD65C9">
        <w:rPr>
          <w:rFonts w:eastAsia="Times New Roman"/>
          <w:i/>
          <w:iCs/>
          <w:lang w:val="pl-PL"/>
        </w:rPr>
        <w:t>op. cit</w:t>
      </w:r>
      <w:r w:rsidR="002209C9">
        <w:rPr>
          <w:rFonts w:eastAsia="Times New Roman"/>
          <w:lang w:val="pl-PL"/>
        </w:rPr>
        <w:t>.</w:t>
      </w:r>
      <w:r w:rsidR="00F76D6B" w:rsidRPr="00FD65C9">
        <w:rPr>
          <w:rFonts w:eastAsia="Times New Roman"/>
          <w:lang w:val="pl-PL"/>
        </w:rPr>
        <w:t>, § </w:t>
      </w:r>
      <w:r w:rsidR="00E95B67" w:rsidRPr="00FD65C9">
        <w:rPr>
          <w:rFonts w:eastAsia="Times New Roman"/>
          <w:lang w:val="pl-PL"/>
        </w:rPr>
        <w:t>90). Ponadto wymóg</w:t>
      </w:r>
      <w:r w:rsidR="002209C9">
        <w:rPr>
          <w:rFonts w:eastAsia="Times New Roman"/>
          <w:lang w:val="pl-PL"/>
        </w:rPr>
        <w:t xml:space="preserve"> przedstawienia przez</w:t>
      </w:r>
      <w:r w:rsidR="00E95B67" w:rsidRPr="00FD65C9">
        <w:rPr>
          <w:rFonts w:eastAsia="Times New Roman"/>
          <w:lang w:val="pl-PL"/>
        </w:rPr>
        <w:t xml:space="preserve"> sędzi</w:t>
      </w:r>
      <w:r w:rsidR="002209C9">
        <w:rPr>
          <w:rFonts w:eastAsia="Times New Roman"/>
          <w:lang w:val="pl-PL"/>
        </w:rPr>
        <w:t>ego</w:t>
      </w:r>
      <w:r w:rsidR="00E95B67" w:rsidRPr="00FD65C9">
        <w:rPr>
          <w:rFonts w:eastAsia="Times New Roman"/>
          <w:lang w:val="pl-PL"/>
        </w:rPr>
        <w:t xml:space="preserve"> istotn</w:t>
      </w:r>
      <w:r w:rsidR="00A40AC5">
        <w:rPr>
          <w:rFonts w:eastAsia="Times New Roman"/>
          <w:lang w:val="pl-PL"/>
        </w:rPr>
        <w:t>ych</w:t>
      </w:r>
      <w:r w:rsidR="00E95B67" w:rsidRPr="00FD65C9">
        <w:rPr>
          <w:rFonts w:eastAsia="Times New Roman"/>
          <w:lang w:val="pl-PL"/>
        </w:rPr>
        <w:t xml:space="preserve"> i wystarczając</w:t>
      </w:r>
      <w:r w:rsidR="00A40AC5">
        <w:rPr>
          <w:rFonts w:eastAsia="Times New Roman"/>
          <w:lang w:val="pl-PL"/>
        </w:rPr>
        <w:t>ych</w:t>
      </w:r>
      <w:r w:rsidR="00E95B67" w:rsidRPr="00FD65C9">
        <w:rPr>
          <w:rFonts w:eastAsia="Times New Roman"/>
          <w:lang w:val="pl-PL"/>
        </w:rPr>
        <w:t xml:space="preserve"> podstaw do pozbawienia wolności</w:t>
      </w:r>
      <w:r w:rsidR="00876A0E">
        <w:rPr>
          <w:rFonts w:eastAsia="Times New Roman"/>
          <w:lang w:val="pl-PL"/>
        </w:rPr>
        <w:t xml:space="preserve"> </w:t>
      </w:r>
      <w:r w:rsidR="00E95B67" w:rsidRPr="00FD65C9">
        <w:rPr>
          <w:rFonts w:eastAsia="Times New Roman"/>
          <w:lang w:val="pl-PL"/>
        </w:rPr>
        <w:t>– oprócz utrzymywania się uzasadnionych podejrzeń popełnieni</w:t>
      </w:r>
      <w:r w:rsidR="002209C9">
        <w:rPr>
          <w:rFonts w:eastAsia="Times New Roman"/>
          <w:lang w:val="pl-PL"/>
        </w:rPr>
        <w:t>a</w:t>
      </w:r>
      <w:r w:rsidR="00E95B67" w:rsidRPr="00FD65C9">
        <w:rPr>
          <w:rFonts w:eastAsia="Times New Roman"/>
          <w:lang w:val="pl-PL"/>
        </w:rPr>
        <w:t xml:space="preserve"> przestępstwa </w:t>
      </w:r>
      <w:r w:rsidR="002209C9">
        <w:rPr>
          <w:rFonts w:eastAsia="Times New Roman"/>
          <w:lang w:val="pl-PL"/>
        </w:rPr>
        <w:t xml:space="preserve">przez zatrzymanego </w:t>
      </w:r>
      <w:r w:rsidR="00E95B67" w:rsidRPr="00FD65C9">
        <w:rPr>
          <w:rFonts w:eastAsia="Times New Roman"/>
          <w:lang w:val="pl-PL"/>
        </w:rPr>
        <w:t xml:space="preserve">– </w:t>
      </w:r>
      <w:r w:rsidR="00A40AC5">
        <w:rPr>
          <w:rFonts w:eastAsia="Times New Roman"/>
          <w:lang w:val="pl-PL"/>
        </w:rPr>
        <w:t>obowiązuje</w:t>
      </w:r>
      <w:r w:rsidR="00E95B67" w:rsidRPr="00FD65C9">
        <w:rPr>
          <w:rFonts w:eastAsia="Times New Roman"/>
          <w:lang w:val="pl-PL"/>
        </w:rPr>
        <w:t xml:space="preserve"> od pierwsze</w:t>
      </w:r>
      <w:r w:rsidR="00A40AC5">
        <w:rPr>
          <w:rFonts w:eastAsia="Times New Roman"/>
          <w:lang w:val="pl-PL"/>
        </w:rPr>
        <w:t>go</w:t>
      </w:r>
      <w:r w:rsidR="00E95B67" w:rsidRPr="00FD65C9">
        <w:rPr>
          <w:rFonts w:eastAsia="Times New Roman"/>
          <w:lang w:val="pl-PL"/>
        </w:rPr>
        <w:t xml:space="preserve"> </w:t>
      </w:r>
      <w:r w:rsidR="00A40AC5">
        <w:rPr>
          <w:rFonts w:eastAsia="Times New Roman"/>
          <w:lang w:val="pl-PL"/>
        </w:rPr>
        <w:t>postanowienia</w:t>
      </w:r>
      <w:r w:rsidR="00A40AC5" w:rsidRPr="00FD65C9">
        <w:rPr>
          <w:rFonts w:eastAsia="Times New Roman"/>
          <w:lang w:val="pl-PL"/>
        </w:rPr>
        <w:t xml:space="preserve"> </w:t>
      </w:r>
      <w:r w:rsidR="00A40AC5">
        <w:rPr>
          <w:rFonts w:eastAsia="Times New Roman"/>
          <w:lang w:val="pl-PL"/>
        </w:rPr>
        <w:t>o zastosowaniu</w:t>
      </w:r>
      <w:r w:rsidR="00A40AC5" w:rsidRPr="00FD65C9">
        <w:rPr>
          <w:rFonts w:eastAsia="Times New Roman"/>
          <w:lang w:val="pl-PL"/>
        </w:rPr>
        <w:t xml:space="preserve"> </w:t>
      </w:r>
      <w:r w:rsidR="00E95B67" w:rsidRPr="00FD65C9">
        <w:rPr>
          <w:rFonts w:eastAsia="Times New Roman"/>
          <w:lang w:val="pl-PL"/>
        </w:rPr>
        <w:t>tymczasowe</w:t>
      </w:r>
      <w:r w:rsidR="00A40AC5">
        <w:rPr>
          <w:rFonts w:eastAsia="Times New Roman"/>
          <w:lang w:val="pl-PL"/>
        </w:rPr>
        <w:t>go</w:t>
      </w:r>
      <w:r w:rsidR="00E95B67" w:rsidRPr="00FD65C9">
        <w:rPr>
          <w:rFonts w:eastAsia="Times New Roman"/>
          <w:lang w:val="pl-PL"/>
        </w:rPr>
        <w:t xml:space="preserve"> aresztowani</w:t>
      </w:r>
      <w:r w:rsidR="00A40AC5">
        <w:rPr>
          <w:rFonts w:eastAsia="Times New Roman"/>
          <w:lang w:val="pl-PL"/>
        </w:rPr>
        <w:t>a</w:t>
      </w:r>
      <w:r w:rsidR="00E95B67" w:rsidRPr="00FD65C9">
        <w:rPr>
          <w:rFonts w:eastAsia="Times New Roman"/>
          <w:lang w:val="pl-PL"/>
        </w:rPr>
        <w:t>, czyli „</w:t>
      </w:r>
      <w:r w:rsidR="00A40AC5" w:rsidRPr="00FD65C9">
        <w:rPr>
          <w:rFonts w:eastAsia="Times New Roman"/>
          <w:lang w:val="pl-PL"/>
        </w:rPr>
        <w:t>n</w:t>
      </w:r>
      <w:r w:rsidR="00A40AC5">
        <w:rPr>
          <w:rFonts w:eastAsia="Times New Roman"/>
          <w:lang w:val="pl-PL"/>
        </w:rPr>
        <w:t>iezwłocznie</w:t>
      </w:r>
      <w:r w:rsidR="00E95B67" w:rsidRPr="00FD65C9">
        <w:rPr>
          <w:rFonts w:eastAsia="Times New Roman"/>
          <w:lang w:val="pl-PL"/>
        </w:rPr>
        <w:t>” po zatrzymaniu (</w:t>
      </w:r>
      <w:proofErr w:type="spellStart"/>
      <w:r w:rsidR="00E95B67" w:rsidRPr="00FD65C9">
        <w:rPr>
          <w:rFonts w:eastAsia="Times New Roman"/>
          <w:i/>
          <w:iCs/>
          <w:lang w:val="pl-PL"/>
        </w:rPr>
        <w:t>Buzadji</w:t>
      </w:r>
      <w:proofErr w:type="spellEnd"/>
      <w:r w:rsidR="00E95B67" w:rsidRPr="00FD65C9">
        <w:rPr>
          <w:rFonts w:eastAsia="Times New Roman"/>
          <w:lang w:val="pl-PL"/>
        </w:rPr>
        <w:t xml:space="preserve">, </w:t>
      </w:r>
      <w:r w:rsidR="00A40AC5">
        <w:rPr>
          <w:rFonts w:eastAsia="Times New Roman"/>
          <w:lang w:val="pl-PL"/>
        </w:rPr>
        <w:t>op. cit.</w:t>
      </w:r>
      <w:r w:rsidR="00E95B67" w:rsidRPr="00FD65C9">
        <w:rPr>
          <w:rFonts w:eastAsia="Times New Roman"/>
          <w:lang w:val="pl-PL"/>
        </w:rPr>
        <w:t>, § 102).</w:t>
      </w:r>
    </w:p>
    <w:p w14:paraId="1DC53485" w14:textId="77777777" w:rsidR="00E95B67" w:rsidRPr="00FD65C9" w:rsidRDefault="00E95B67" w:rsidP="00622760">
      <w:pPr>
        <w:pStyle w:val="ECHRHeading4"/>
        <w:rPr>
          <w:rFonts w:eastAsia="Times New Roman"/>
          <w:lang w:val="pl-PL"/>
        </w:rPr>
      </w:pPr>
      <w:r w:rsidRPr="00FD65C9">
        <w:rPr>
          <w:rFonts w:eastAsia="Times New Roman"/>
          <w:iCs w:val="0"/>
          <w:lang w:val="pl-PL"/>
        </w:rPr>
        <w:t>b) Zastosowanie tych zasad w niniejszej sprawie</w:t>
      </w:r>
    </w:p>
    <w:p w14:paraId="317C8E8F" w14:textId="77777777" w:rsidR="00E95B67" w:rsidRPr="00FD65C9" w:rsidRDefault="0075254D" w:rsidP="00622760">
      <w:pPr>
        <w:pStyle w:val="ECHRHeading5"/>
        <w:rPr>
          <w:rFonts w:eastAsia="Times New Roman"/>
          <w:lang w:val="pl-PL"/>
        </w:rPr>
      </w:pPr>
      <w:r w:rsidRPr="00FD65C9">
        <w:rPr>
          <w:bCs w:val="0"/>
          <w:iCs/>
          <w:lang w:val="pl-PL"/>
        </w:rPr>
        <w:t>i.  W przedmiocie art. 5 ust. 1 Konwencji</w:t>
      </w:r>
    </w:p>
    <w:p w14:paraId="1275DF4A" w14:textId="1090BFD2" w:rsidR="00E95B67" w:rsidRPr="00FD65C9" w:rsidRDefault="00DA7597" w:rsidP="00622760">
      <w:pPr>
        <w:pStyle w:val="ECHRPara"/>
        <w:rPr>
          <w:rFonts w:eastAsia="Times New Roman"/>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131</w:t>
      </w:r>
      <w:r w:rsidRPr="00FD65C9">
        <w:rPr>
          <w:lang w:val="pl-PL"/>
        </w:rPr>
        <w:fldChar w:fldCharType="end"/>
      </w:r>
      <w:r w:rsidR="00E95B67" w:rsidRPr="00FD65C9">
        <w:rPr>
          <w:lang w:val="pl-PL"/>
        </w:rPr>
        <w:t>.  W niniejszej sprawie Trybunał zauw</w:t>
      </w:r>
      <w:r w:rsidR="00F76D6B" w:rsidRPr="00FD65C9">
        <w:rPr>
          <w:lang w:val="pl-PL"/>
        </w:rPr>
        <w:t>ażył, że skarżący, podejrzany o </w:t>
      </w:r>
      <w:r w:rsidR="00E95B67" w:rsidRPr="00FD65C9">
        <w:rPr>
          <w:lang w:val="pl-PL"/>
        </w:rPr>
        <w:t>przynależność do organizacji terrorystyczn</w:t>
      </w:r>
      <w:r w:rsidR="00F76D6B" w:rsidRPr="00FD65C9">
        <w:rPr>
          <w:lang w:val="pl-PL"/>
        </w:rPr>
        <w:t>ej, został zatrzymany w dniu 16 </w:t>
      </w:r>
      <w:r w:rsidR="00E95B67" w:rsidRPr="00FD65C9">
        <w:rPr>
          <w:lang w:val="pl-PL"/>
        </w:rPr>
        <w:t xml:space="preserve">lipca 2016 r., tj. dzień po próbie dokonania zamachu stanu, i został tymczasowo aresztowany w dniu 20 lipca 2016 r. Następnie Trybunał zauważa, że w akcie oskarżenia z dnia 15 stycznia 2018 r. </w:t>
      </w:r>
      <w:r w:rsidR="007F65D3" w:rsidRPr="00FD65C9">
        <w:rPr>
          <w:lang w:val="pl-PL"/>
        </w:rPr>
        <w:t>prokurat</w:t>
      </w:r>
      <w:r w:rsidR="007F65D3">
        <w:rPr>
          <w:lang w:val="pl-PL"/>
        </w:rPr>
        <w:t>or</w:t>
      </w:r>
      <w:r w:rsidR="007F65D3" w:rsidRPr="00FD65C9">
        <w:rPr>
          <w:lang w:val="pl-PL"/>
        </w:rPr>
        <w:t xml:space="preserve"> </w:t>
      </w:r>
      <w:r w:rsidR="00E95B67" w:rsidRPr="00FD65C9">
        <w:rPr>
          <w:lang w:val="pl-PL"/>
        </w:rPr>
        <w:t xml:space="preserve">przy sądzie kasacyjnym </w:t>
      </w:r>
      <w:r w:rsidR="007F65D3" w:rsidRPr="00FD65C9">
        <w:rPr>
          <w:lang w:val="pl-PL"/>
        </w:rPr>
        <w:t>wni</w:t>
      </w:r>
      <w:r w:rsidR="007F65D3">
        <w:rPr>
          <w:lang w:val="pl-PL"/>
        </w:rPr>
        <w:t>ósł</w:t>
      </w:r>
      <w:r w:rsidR="007F65D3" w:rsidRPr="00FD65C9">
        <w:rPr>
          <w:lang w:val="pl-PL"/>
        </w:rPr>
        <w:t xml:space="preserve"> </w:t>
      </w:r>
      <w:r w:rsidR="00E95B67" w:rsidRPr="00FD65C9">
        <w:rPr>
          <w:lang w:val="pl-PL"/>
        </w:rPr>
        <w:t>o skazanie zainteresowanego za przynależność do organizacji FETÖ/PDY na podstawie a</w:t>
      </w:r>
      <w:r w:rsidR="00F76D6B" w:rsidRPr="00FD65C9">
        <w:rPr>
          <w:lang w:val="pl-PL"/>
        </w:rPr>
        <w:t>rt. 314 kk. W dniu 6 marca 2019 </w:t>
      </w:r>
      <w:r w:rsidR="00E95B67" w:rsidRPr="00FD65C9">
        <w:rPr>
          <w:lang w:val="pl-PL"/>
        </w:rPr>
        <w:t xml:space="preserve">r. </w:t>
      </w:r>
      <w:r w:rsidR="007F65D3">
        <w:rPr>
          <w:lang w:val="pl-PL"/>
        </w:rPr>
        <w:t xml:space="preserve">skarżący </w:t>
      </w:r>
      <w:r w:rsidR="00E95B67" w:rsidRPr="00FD65C9">
        <w:rPr>
          <w:lang w:val="pl-PL"/>
        </w:rPr>
        <w:t xml:space="preserve">został skazany przez dziewiątą izbę karną sądu kasacyjnego, która została powołana do </w:t>
      </w:r>
      <w:r w:rsidR="007F65D3">
        <w:rPr>
          <w:lang w:val="pl-PL"/>
        </w:rPr>
        <w:t xml:space="preserve">rozpoznania i rozstrzygnięcia </w:t>
      </w:r>
      <w:r w:rsidR="00E95B67" w:rsidRPr="00FD65C9">
        <w:rPr>
          <w:lang w:val="pl-PL"/>
        </w:rPr>
        <w:t xml:space="preserve">sprawy </w:t>
      </w:r>
      <w:r w:rsidR="007F65D3">
        <w:rPr>
          <w:lang w:val="pl-PL"/>
        </w:rPr>
        <w:t>w</w:t>
      </w:r>
      <w:r w:rsidR="00E95B67" w:rsidRPr="00FD65C9">
        <w:rPr>
          <w:lang w:val="pl-PL"/>
        </w:rPr>
        <w:t xml:space="preserve"> pierwszej instancji.</w:t>
      </w:r>
    </w:p>
    <w:p w14:paraId="4F03DD78" w14:textId="62CE7B78"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132</w:t>
      </w:r>
      <w:r w:rsidRPr="00FD65C9">
        <w:rPr>
          <w:lang w:val="pl-PL"/>
        </w:rPr>
        <w:fldChar w:fldCharType="end"/>
      </w:r>
      <w:r w:rsidR="00E95B67" w:rsidRPr="00FD65C9">
        <w:rPr>
          <w:lang w:val="pl-PL"/>
        </w:rPr>
        <w:t>.  Trybunał odnotowuje stanowisko skarżącego, który podnosi, że nie istniały żadne okoliczności faktyczne ani informacje, które</w:t>
      </w:r>
      <w:r w:rsidR="007F65D3">
        <w:rPr>
          <w:lang w:val="pl-PL"/>
        </w:rPr>
        <w:t xml:space="preserve"> mogłyby</w:t>
      </w:r>
      <w:r w:rsidR="00E95B67" w:rsidRPr="00FD65C9">
        <w:rPr>
          <w:lang w:val="pl-PL"/>
        </w:rPr>
        <w:t xml:space="preserve"> </w:t>
      </w:r>
      <w:r w:rsidR="007F65D3" w:rsidRPr="00FD65C9">
        <w:rPr>
          <w:lang w:val="pl-PL"/>
        </w:rPr>
        <w:t>przekona</w:t>
      </w:r>
      <w:r w:rsidR="007F65D3">
        <w:rPr>
          <w:lang w:val="pl-PL"/>
        </w:rPr>
        <w:t>ć</w:t>
      </w:r>
      <w:r w:rsidR="007F65D3" w:rsidRPr="00FD65C9">
        <w:rPr>
          <w:lang w:val="pl-PL"/>
        </w:rPr>
        <w:t xml:space="preserve"> </w:t>
      </w:r>
      <w:r w:rsidR="00E95B67" w:rsidRPr="00FD65C9">
        <w:rPr>
          <w:lang w:val="pl-PL"/>
        </w:rPr>
        <w:t xml:space="preserve">obiektywnego obserwatora, że </w:t>
      </w:r>
      <w:r w:rsidR="007F65D3">
        <w:rPr>
          <w:lang w:val="pl-PL"/>
        </w:rPr>
        <w:t xml:space="preserve">skarżący </w:t>
      </w:r>
      <w:r w:rsidR="00E95B67" w:rsidRPr="00FD65C9">
        <w:rPr>
          <w:lang w:val="pl-PL"/>
        </w:rPr>
        <w:t xml:space="preserve">popełnił </w:t>
      </w:r>
      <w:r w:rsidR="00F76D6B" w:rsidRPr="00FD65C9">
        <w:rPr>
          <w:lang w:val="pl-PL"/>
        </w:rPr>
        <w:t>zarzucane mu przestępstwo. W </w:t>
      </w:r>
      <w:r w:rsidR="00E95B67" w:rsidRPr="00FD65C9">
        <w:rPr>
          <w:lang w:val="pl-PL"/>
        </w:rPr>
        <w:t xml:space="preserve">szczególności skarżący twierdzi, że </w:t>
      </w:r>
      <w:r w:rsidR="007F65D3">
        <w:rPr>
          <w:lang w:val="pl-PL"/>
        </w:rPr>
        <w:t xml:space="preserve">przytoczone </w:t>
      </w:r>
      <w:r w:rsidR="00E95B67" w:rsidRPr="00FD65C9">
        <w:rPr>
          <w:lang w:val="pl-PL"/>
        </w:rPr>
        <w:t xml:space="preserve">przez Rząd </w:t>
      </w:r>
      <w:r w:rsidR="007F65D3">
        <w:rPr>
          <w:lang w:val="pl-PL"/>
        </w:rPr>
        <w:t xml:space="preserve">dowody </w:t>
      </w:r>
      <w:r w:rsidR="00E95B67" w:rsidRPr="00FD65C9">
        <w:rPr>
          <w:lang w:val="pl-PL"/>
        </w:rPr>
        <w:t xml:space="preserve">uzyskano po zatrzymaniu </w:t>
      </w:r>
      <w:r w:rsidR="007F65D3">
        <w:rPr>
          <w:lang w:val="pl-PL"/>
        </w:rPr>
        <w:t xml:space="preserve">i tymczasowym aresztowaniu </w:t>
      </w:r>
      <w:r w:rsidR="00E95B67" w:rsidRPr="00FD65C9">
        <w:rPr>
          <w:lang w:val="pl-PL"/>
        </w:rPr>
        <w:t xml:space="preserve">skarżącego, i – jak podnosi skarżący – </w:t>
      </w:r>
      <w:r w:rsidR="007F65D3">
        <w:rPr>
          <w:lang w:val="pl-PL"/>
        </w:rPr>
        <w:t>w chwili wydania postanowienia o zastosowaniu tymczasowego aresztowania wobec skarżącego</w:t>
      </w:r>
      <w:r w:rsidR="00E95B67" w:rsidRPr="00FD65C9">
        <w:rPr>
          <w:lang w:val="pl-PL"/>
        </w:rPr>
        <w:t xml:space="preserve"> organy śledcze i sądowe nie dysponowały żadnymi dowodami, które mogłyby uzasadnić</w:t>
      </w:r>
      <w:r w:rsidR="007F65D3">
        <w:rPr>
          <w:lang w:val="pl-PL"/>
        </w:rPr>
        <w:t xml:space="preserve"> zastosowanie tego środka</w:t>
      </w:r>
      <w:r w:rsidR="00E95B67" w:rsidRPr="00FD65C9">
        <w:rPr>
          <w:lang w:val="pl-PL"/>
        </w:rPr>
        <w:t>.</w:t>
      </w:r>
    </w:p>
    <w:p w14:paraId="62541849" w14:textId="0F211B24" w:rsidR="00E95B67" w:rsidRPr="00FD65C9" w:rsidRDefault="00DA7597" w:rsidP="00622760">
      <w:pPr>
        <w:pStyle w:val="ECHRPara"/>
        <w:rPr>
          <w:rFonts w:eastAsia="Times New Roman"/>
          <w:lang w:val="pl-PL"/>
        </w:rPr>
      </w:pPr>
      <w:r w:rsidRPr="00FD65C9">
        <w:rPr>
          <w:rFonts w:eastAsia="Times New Roman"/>
          <w:lang w:val="pl-PL"/>
        </w:rPr>
        <w:fldChar w:fldCharType="begin"/>
      </w:r>
      <w:r w:rsidR="00E95B67" w:rsidRPr="00FD65C9">
        <w:rPr>
          <w:rFonts w:eastAsia="Times New Roman"/>
          <w:lang w:val="pl-PL"/>
        </w:rPr>
        <w:instrText xml:space="preserve"> SEQ level0 \*arabic </w:instrText>
      </w:r>
      <w:r w:rsidRPr="00FD65C9">
        <w:rPr>
          <w:rFonts w:eastAsia="Times New Roman"/>
          <w:lang w:val="pl-PL"/>
        </w:rPr>
        <w:fldChar w:fldCharType="separate"/>
      </w:r>
      <w:r w:rsidR="00E95B67" w:rsidRPr="00FD65C9">
        <w:rPr>
          <w:rFonts w:eastAsia="Times New Roman"/>
          <w:noProof/>
          <w:lang w:val="pl-PL"/>
        </w:rPr>
        <w:t>133</w:t>
      </w:r>
      <w:r w:rsidRPr="00FD65C9">
        <w:rPr>
          <w:rFonts w:eastAsia="Times New Roman"/>
          <w:lang w:val="pl-PL"/>
        </w:rPr>
        <w:fldChar w:fldCharType="end"/>
      </w:r>
      <w:r w:rsidR="00E95B67" w:rsidRPr="00FD65C9">
        <w:rPr>
          <w:rFonts w:eastAsia="Times New Roman"/>
          <w:lang w:val="pl-PL"/>
        </w:rPr>
        <w:t xml:space="preserve">.  Trybunał musi wziąć pod uwagę wszystkie istotne okoliczności, aby ustalić, czy istniały obiektywne informacje wskazujące, że podejrzenia wobec skarżącego były „uzasadnione” w </w:t>
      </w:r>
      <w:r w:rsidR="008C0D7C">
        <w:rPr>
          <w:rFonts w:eastAsia="Times New Roman"/>
          <w:lang w:val="pl-PL"/>
        </w:rPr>
        <w:t>chwili zastosowania wobec niego</w:t>
      </w:r>
      <w:r w:rsidR="00E95B67" w:rsidRPr="00FD65C9">
        <w:rPr>
          <w:rFonts w:eastAsia="Times New Roman"/>
          <w:lang w:val="pl-PL"/>
        </w:rPr>
        <w:t xml:space="preserve"> tymczasowego aresztowania. Trybunał zauważył, że w opinii Rządu, biorąc pod uwagę bardzo szczególne okoliczności próby zamachu stanu, poziom infiltracji organizacji FETÖ/PDY do administracji i sądownictwa oraz fakt, że zarzucane przestępstwo było tak zwanym przestępstwem „</w:t>
      </w:r>
      <w:r w:rsidR="008C0D7C" w:rsidRPr="00FD65C9">
        <w:rPr>
          <w:rFonts w:eastAsia="Times New Roman"/>
          <w:lang w:val="pl-PL"/>
        </w:rPr>
        <w:t>s</w:t>
      </w:r>
      <w:r w:rsidR="008C0D7C">
        <w:rPr>
          <w:rFonts w:eastAsia="Times New Roman"/>
          <w:lang w:val="pl-PL"/>
        </w:rPr>
        <w:t>typizowanym</w:t>
      </w:r>
      <w:r w:rsidR="00E95B67" w:rsidRPr="00FD65C9">
        <w:rPr>
          <w:rFonts w:eastAsia="Times New Roman"/>
          <w:lang w:val="pl-PL"/>
        </w:rPr>
        <w:t xml:space="preserve">”, </w:t>
      </w:r>
      <w:r w:rsidR="008C0D7C">
        <w:rPr>
          <w:rFonts w:eastAsia="Times New Roman"/>
          <w:lang w:val="pl-PL"/>
        </w:rPr>
        <w:t>tymczasowe aresztowanie</w:t>
      </w:r>
      <w:r w:rsidR="008C0D7C" w:rsidRPr="00FD65C9">
        <w:rPr>
          <w:rFonts w:eastAsia="Times New Roman"/>
          <w:lang w:val="pl-PL"/>
        </w:rPr>
        <w:t xml:space="preserve"> </w:t>
      </w:r>
      <w:r w:rsidR="00E95B67" w:rsidRPr="00FD65C9">
        <w:rPr>
          <w:rFonts w:eastAsia="Times New Roman"/>
          <w:lang w:val="pl-PL"/>
        </w:rPr>
        <w:t xml:space="preserve">skarżącego </w:t>
      </w:r>
      <w:r w:rsidR="008C0D7C">
        <w:rPr>
          <w:rFonts w:eastAsia="Times New Roman"/>
          <w:lang w:val="pl-PL"/>
        </w:rPr>
        <w:t>można uznać</w:t>
      </w:r>
      <w:r w:rsidR="00E95B67" w:rsidRPr="00FD65C9">
        <w:rPr>
          <w:rFonts w:eastAsia="Times New Roman"/>
          <w:lang w:val="pl-PL"/>
        </w:rPr>
        <w:t xml:space="preserve"> za uzasadniony i proporcjonalny środek. Zau</w:t>
      </w:r>
      <w:r w:rsidR="00F76D6B" w:rsidRPr="00FD65C9">
        <w:rPr>
          <w:rFonts w:eastAsia="Times New Roman"/>
          <w:lang w:val="pl-PL"/>
        </w:rPr>
        <w:t>ważył również, że – ponownie, w </w:t>
      </w:r>
      <w:r w:rsidR="00E95B67" w:rsidRPr="00FD65C9">
        <w:rPr>
          <w:rFonts w:eastAsia="Times New Roman"/>
          <w:lang w:val="pl-PL"/>
        </w:rPr>
        <w:t xml:space="preserve">opinii Rządu – z </w:t>
      </w:r>
      <w:r w:rsidR="008C0D7C">
        <w:rPr>
          <w:rFonts w:eastAsia="Times New Roman"/>
          <w:lang w:val="pl-PL"/>
        </w:rPr>
        <w:t xml:space="preserve">postanowienia </w:t>
      </w:r>
      <w:r w:rsidR="00E95B67" w:rsidRPr="00FD65C9">
        <w:rPr>
          <w:rFonts w:eastAsia="Times New Roman"/>
          <w:lang w:val="pl-PL"/>
        </w:rPr>
        <w:t xml:space="preserve">o </w:t>
      </w:r>
      <w:r w:rsidR="008C0D7C" w:rsidRPr="00FD65C9">
        <w:rPr>
          <w:rFonts w:eastAsia="Times New Roman"/>
          <w:lang w:val="pl-PL"/>
        </w:rPr>
        <w:t>za</w:t>
      </w:r>
      <w:r w:rsidR="008C0D7C">
        <w:rPr>
          <w:rFonts w:eastAsia="Times New Roman"/>
          <w:lang w:val="pl-PL"/>
        </w:rPr>
        <w:t>stosowaniu tymczasowego aresztowania wobec</w:t>
      </w:r>
      <w:r w:rsidR="008C0D7C" w:rsidRPr="00FD65C9">
        <w:rPr>
          <w:rFonts w:eastAsia="Times New Roman"/>
          <w:lang w:val="pl-PL"/>
        </w:rPr>
        <w:t xml:space="preserve"> </w:t>
      </w:r>
      <w:r w:rsidR="00E95B67" w:rsidRPr="00FD65C9">
        <w:rPr>
          <w:rFonts w:eastAsia="Times New Roman"/>
          <w:lang w:val="pl-PL"/>
        </w:rPr>
        <w:t>skarżącego wynikało, iż istniały konkretne dowody świadczące o silnych podejrzeniach wobec niego. Wreszcie Trybunał zauważa, że pozwany rząd na poparcie swoich twierdzeń powołuje się na spraw</w:t>
      </w:r>
      <w:r w:rsidR="00F76D6B" w:rsidRPr="00FD65C9">
        <w:rPr>
          <w:rFonts w:eastAsia="Times New Roman"/>
          <w:lang w:val="pl-PL"/>
        </w:rPr>
        <w:t>ozdanie podsumowujące z dnia 25 </w:t>
      </w:r>
      <w:r w:rsidR="00E95B67" w:rsidRPr="00FD65C9">
        <w:rPr>
          <w:rFonts w:eastAsia="Times New Roman"/>
          <w:lang w:val="pl-PL"/>
        </w:rPr>
        <w:t>października 2017 r. sporządzone przez prokuraturę w Ankarze.</w:t>
      </w:r>
    </w:p>
    <w:p w14:paraId="4F34A49A" w14:textId="032DB27D" w:rsidR="00675E41" w:rsidRPr="00FD65C9" w:rsidRDefault="00DA7597" w:rsidP="00622760">
      <w:pPr>
        <w:pStyle w:val="ECHRPara"/>
        <w:rPr>
          <w:rFonts w:eastAsia="Times New Roman"/>
          <w:lang w:val="pl-PL"/>
        </w:rPr>
      </w:pPr>
      <w:r w:rsidRPr="00FD65C9">
        <w:rPr>
          <w:rFonts w:eastAsia="Times New Roman"/>
          <w:lang w:val="pl-PL"/>
        </w:rPr>
        <w:fldChar w:fldCharType="begin"/>
      </w:r>
      <w:r w:rsidR="00E95B67" w:rsidRPr="00FD65C9">
        <w:rPr>
          <w:rFonts w:eastAsia="Times New Roman"/>
          <w:lang w:val="pl-PL"/>
        </w:rPr>
        <w:instrText xml:space="preserve"> SEQ level0 \*arabic </w:instrText>
      </w:r>
      <w:r w:rsidRPr="00FD65C9">
        <w:rPr>
          <w:rFonts w:eastAsia="Times New Roman"/>
          <w:lang w:val="pl-PL"/>
        </w:rPr>
        <w:fldChar w:fldCharType="separate"/>
      </w:r>
      <w:r w:rsidR="00E95B67" w:rsidRPr="00FD65C9">
        <w:rPr>
          <w:rFonts w:eastAsia="Times New Roman"/>
          <w:noProof/>
          <w:lang w:val="pl-PL"/>
        </w:rPr>
        <w:t>134</w:t>
      </w:r>
      <w:r w:rsidRPr="00FD65C9">
        <w:rPr>
          <w:rFonts w:eastAsia="Times New Roman"/>
          <w:lang w:val="pl-PL"/>
        </w:rPr>
        <w:fldChar w:fldCharType="end"/>
      </w:r>
      <w:r w:rsidR="00E95B67" w:rsidRPr="00FD65C9">
        <w:rPr>
          <w:rFonts w:eastAsia="Times New Roman"/>
          <w:lang w:val="pl-PL"/>
        </w:rPr>
        <w:t>.  Trybunał jest zdania, że bardzo specyficzny kontekst niniejszej sprawy powoduje konieczność zbadania stanu</w:t>
      </w:r>
      <w:r w:rsidR="00F76D6B" w:rsidRPr="00FD65C9">
        <w:rPr>
          <w:rFonts w:eastAsia="Times New Roman"/>
          <w:lang w:val="pl-PL"/>
        </w:rPr>
        <w:t xml:space="preserve"> faktycznego sprawy z </w:t>
      </w:r>
      <w:r w:rsidR="00E95B67" w:rsidRPr="00FD65C9">
        <w:rPr>
          <w:rFonts w:eastAsia="Times New Roman"/>
          <w:lang w:val="pl-PL"/>
        </w:rPr>
        <w:t xml:space="preserve">najwyższą starannością. W tym względzie jest </w:t>
      </w:r>
      <w:r w:rsidR="008C0D7C">
        <w:rPr>
          <w:rFonts w:eastAsia="Times New Roman"/>
          <w:lang w:val="pl-PL"/>
        </w:rPr>
        <w:t>liczy się on z</w:t>
      </w:r>
      <w:r w:rsidR="008C0D7C" w:rsidRPr="00FD65C9">
        <w:rPr>
          <w:rFonts w:eastAsia="Times New Roman"/>
          <w:lang w:val="pl-PL"/>
        </w:rPr>
        <w:t xml:space="preserve"> </w:t>
      </w:r>
      <w:r w:rsidR="00E95B67" w:rsidRPr="00FD65C9">
        <w:rPr>
          <w:rFonts w:eastAsia="Times New Roman"/>
          <w:lang w:val="pl-PL"/>
        </w:rPr>
        <w:t>uwzględnieni</w:t>
      </w:r>
      <w:r w:rsidR="008C0D7C">
        <w:rPr>
          <w:rFonts w:eastAsia="Times New Roman"/>
          <w:lang w:val="pl-PL"/>
        </w:rPr>
        <w:t>em</w:t>
      </w:r>
      <w:r w:rsidR="00E95B67" w:rsidRPr="00FD65C9">
        <w:rPr>
          <w:rFonts w:eastAsia="Times New Roman"/>
          <w:lang w:val="pl-PL"/>
        </w:rPr>
        <w:t xml:space="preserve"> trudności, z jakim</w:t>
      </w:r>
      <w:r w:rsidR="00F76D6B" w:rsidRPr="00FD65C9">
        <w:rPr>
          <w:rFonts w:eastAsia="Times New Roman"/>
          <w:lang w:val="pl-PL"/>
        </w:rPr>
        <w:t>i Turcja musiała się zmierzyć w </w:t>
      </w:r>
      <w:r w:rsidR="00E95B67" w:rsidRPr="00FD65C9">
        <w:rPr>
          <w:rFonts w:eastAsia="Times New Roman"/>
          <w:lang w:val="pl-PL"/>
        </w:rPr>
        <w:t>następstwie próby wojskowego zamachu stanu z 15 lipca 2016 r. (</w:t>
      </w:r>
      <w:proofErr w:type="spellStart"/>
      <w:r w:rsidR="00E95B67" w:rsidRPr="00FD65C9">
        <w:rPr>
          <w:rFonts w:eastAsia="Times New Roman"/>
          <w:i/>
          <w:iCs/>
          <w:lang w:val="pl-PL"/>
        </w:rPr>
        <w:t>Mehmet</w:t>
      </w:r>
      <w:proofErr w:type="spellEnd"/>
      <w:r w:rsidR="00E95B67" w:rsidRPr="00FD65C9">
        <w:rPr>
          <w:rFonts w:eastAsia="Times New Roman"/>
          <w:i/>
          <w:iCs/>
          <w:lang w:val="pl-PL"/>
        </w:rPr>
        <w:t xml:space="preserve"> </w:t>
      </w:r>
      <w:proofErr w:type="spellStart"/>
      <w:r w:rsidR="00E95B67" w:rsidRPr="00FD65C9">
        <w:rPr>
          <w:rFonts w:eastAsia="Times New Roman"/>
          <w:i/>
          <w:iCs/>
          <w:lang w:val="pl-PL"/>
        </w:rPr>
        <w:t>Hasan</w:t>
      </w:r>
      <w:proofErr w:type="spellEnd"/>
      <w:r w:rsidR="00E95B67" w:rsidRPr="00FD65C9">
        <w:rPr>
          <w:rFonts w:eastAsia="Times New Roman"/>
          <w:i/>
          <w:iCs/>
          <w:lang w:val="pl-PL"/>
        </w:rPr>
        <w:t xml:space="preserve"> Altan</w:t>
      </w:r>
      <w:r w:rsidR="00E95B67" w:rsidRPr="00FD65C9">
        <w:rPr>
          <w:rFonts w:eastAsia="Times New Roman"/>
          <w:lang w:val="pl-PL"/>
        </w:rPr>
        <w:t xml:space="preserve">, </w:t>
      </w:r>
      <w:r w:rsidR="008C0D7C" w:rsidRPr="00FD65C9">
        <w:rPr>
          <w:rFonts w:eastAsia="Times New Roman"/>
          <w:i/>
          <w:iCs/>
          <w:lang w:val="pl-PL"/>
        </w:rPr>
        <w:t>op. cit</w:t>
      </w:r>
      <w:r w:rsidR="008C0D7C">
        <w:rPr>
          <w:rFonts w:eastAsia="Times New Roman"/>
          <w:lang w:val="pl-PL"/>
        </w:rPr>
        <w:t>.</w:t>
      </w:r>
      <w:r w:rsidR="00E95B67" w:rsidRPr="00FD65C9">
        <w:rPr>
          <w:rFonts w:eastAsia="Times New Roman"/>
          <w:lang w:val="pl-PL"/>
        </w:rPr>
        <w:t>, § 210).</w:t>
      </w:r>
    </w:p>
    <w:p w14:paraId="319B79FE" w14:textId="5FB9818A" w:rsidR="00E95B67" w:rsidRPr="00FD65C9" w:rsidRDefault="00DA7597" w:rsidP="00622760">
      <w:pPr>
        <w:pStyle w:val="ECHRPara"/>
        <w:rPr>
          <w:rFonts w:eastAsia="Times New Roman"/>
          <w:lang w:val="pl-PL"/>
        </w:rPr>
      </w:pPr>
      <w:r w:rsidRPr="00FD65C9">
        <w:rPr>
          <w:rFonts w:eastAsia="Times New Roman"/>
          <w:lang w:val="pl-PL"/>
        </w:rPr>
        <w:fldChar w:fldCharType="begin"/>
      </w:r>
      <w:r w:rsidR="00E95B67" w:rsidRPr="00FD65C9">
        <w:rPr>
          <w:rFonts w:eastAsia="Times New Roman"/>
          <w:lang w:val="pl-PL"/>
        </w:rPr>
        <w:instrText xml:space="preserve"> SEQ level0 \*arabic </w:instrText>
      </w:r>
      <w:r w:rsidRPr="00FD65C9">
        <w:rPr>
          <w:rFonts w:eastAsia="Times New Roman"/>
          <w:lang w:val="pl-PL"/>
        </w:rPr>
        <w:fldChar w:fldCharType="separate"/>
      </w:r>
      <w:r w:rsidR="00E95B67" w:rsidRPr="00FD65C9">
        <w:rPr>
          <w:rFonts w:eastAsia="Times New Roman"/>
          <w:noProof/>
          <w:lang w:val="pl-PL"/>
        </w:rPr>
        <w:t>135</w:t>
      </w:r>
      <w:r w:rsidRPr="00FD65C9">
        <w:rPr>
          <w:rFonts w:eastAsia="Times New Roman"/>
          <w:lang w:val="pl-PL"/>
        </w:rPr>
        <w:fldChar w:fldCharType="end"/>
      </w:r>
      <w:r w:rsidR="00E95B67" w:rsidRPr="00FD65C9">
        <w:rPr>
          <w:rFonts w:eastAsia="Times New Roman"/>
          <w:lang w:val="pl-PL"/>
        </w:rPr>
        <w:t>.  Rząd podkreślił nietypowy charakter przedmiotowej organizacji – wobec której tureckie sądy uznały, że</w:t>
      </w:r>
      <w:r w:rsidR="00F76D6B" w:rsidRPr="00FD65C9">
        <w:rPr>
          <w:rFonts w:eastAsia="Times New Roman"/>
          <w:lang w:val="pl-PL"/>
        </w:rPr>
        <w:t xml:space="preserve"> dokonała próby zamachu stanu w </w:t>
      </w:r>
      <w:r w:rsidR="00E95B67" w:rsidRPr="00FD65C9">
        <w:rPr>
          <w:rFonts w:eastAsia="Times New Roman"/>
          <w:lang w:val="pl-PL"/>
        </w:rPr>
        <w:t xml:space="preserve">dniu 15 lipca 2016 r. – która </w:t>
      </w:r>
      <w:r w:rsidR="008C0D7C">
        <w:rPr>
          <w:rFonts w:eastAsia="Times New Roman"/>
          <w:lang w:val="pl-PL"/>
        </w:rPr>
        <w:t>miała</w:t>
      </w:r>
      <w:r w:rsidR="008C0D7C" w:rsidRPr="00FD65C9">
        <w:rPr>
          <w:rFonts w:eastAsia="Times New Roman"/>
          <w:lang w:val="pl-PL"/>
        </w:rPr>
        <w:t xml:space="preserve"> przenikn</w:t>
      </w:r>
      <w:r w:rsidR="008C0D7C">
        <w:rPr>
          <w:rFonts w:eastAsia="Times New Roman"/>
          <w:lang w:val="pl-PL"/>
        </w:rPr>
        <w:t>ąć</w:t>
      </w:r>
      <w:r w:rsidR="008C0D7C" w:rsidRPr="00FD65C9">
        <w:rPr>
          <w:rFonts w:eastAsia="Times New Roman"/>
          <w:lang w:val="pl-PL"/>
        </w:rPr>
        <w:t xml:space="preserve"> </w:t>
      </w:r>
      <w:r w:rsidR="00E95B67" w:rsidRPr="00FD65C9">
        <w:rPr>
          <w:rFonts w:eastAsia="Times New Roman"/>
          <w:lang w:val="pl-PL"/>
        </w:rPr>
        <w:t xml:space="preserve">głęboko do wpływowych instytucji państwowych i sądownictwa pod legalną przykrywką (zob. paragraf 122 powyżej). Takie domniemane okoliczności mogą wykluczać ocenę „uzasadnionego” charakteru podejrzeń stanowiących podstawę zastosowania środków </w:t>
      </w:r>
      <w:r w:rsidR="008C0D7C">
        <w:rPr>
          <w:rFonts w:eastAsia="Times New Roman"/>
          <w:lang w:val="pl-PL"/>
        </w:rPr>
        <w:t>izolacyjnych</w:t>
      </w:r>
      <w:r w:rsidR="00E95B67" w:rsidRPr="00FD65C9">
        <w:rPr>
          <w:rFonts w:eastAsia="Times New Roman"/>
          <w:lang w:val="pl-PL"/>
        </w:rPr>
        <w:t xml:space="preserve"> według tych samych kryteriów, co w przypadku przestępstw konwencjonalnych (zob. podobne rozumowanie w sprawie </w:t>
      </w:r>
      <w:r w:rsidR="00F76D6B" w:rsidRPr="00FD65C9">
        <w:rPr>
          <w:rFonts w:eastAsia="Times New Roman"/>
          <w:i/>
          <w:iCs/>
          <w:lang w:val="pl-PL"/>
        </w:rPr>
        <w:t>Fox, Campbell i </w:t>
      </w:r>
      <w:r w:rsidR="00E95B67" w:rsidRPr="00FD65C9">
        <w:rPr>
          <w:rFonts w:eastAsia="Times New Roman"/>
          <w:i/>
          <w:iCs/>
          <w:lang w:val="pl-PL"/>
        </w:rPr>
        <w:t>Hartley</w:t>
      </w:r>
      <w:r w:rsidR="00E95B67" w:rsidRPr="00FD65C9">
        <w:rPr>
          <w:rFonts w:eastAsia="Times New Roman"/>
          <w:lang w:val="pl-PL"/>
        </w:rPr>
        <w:t xml:space="preserve">, </w:t>
      </w:r>
      <w:r w:rsidR="008C0D7C" w:rsidRPr="00FD65C9">
        <w:rPr>
          <w:rFonts w:eastAsia="Times New Roman"/>
          <w:i/>
          <w:iCs/>
          <w:lang w:val="pl-PL"/>
        </w:rPr>
        <w:t>op. cit</w:t>
      </w:r>
      <w:r w:rsidR="008C0D7C">
        <w:rPr>
          <w:rFonts w:eastAsia="Times New Roman"/>
          <w:lang w:val="pl-PL"/>
        </w:rPr>
        <w:t>.</w:t>
      </w:r>
      <w:r w:rsidR="00E95B67" w:rsidRPr="00FD65C9">
        <w:rPr>
          <w:rFonts w:eastAsia="Times New Roman"/>
          <w:lang w:val="pl-PL"/>
        </w:rPr>
        <w:t>, § 32).</w:t>
      </w:r>
    </w:p>
    <w:p w14:paraId="34A3DB24" w14:textId="569B5E2E" w:rsidR="00E95B67" w:rsidRPr="00FD65C9" w:rsidRDefault="00DA7597" w:rsidP="00622760">
      <w:pPr>
        <w:pStyle w:val="ECHRPara"/>
        <w:rPr>
          <w:rFonts w:eastAsia="Times New Roman"/>
          <w:lang w:val="pl-PL"/>
        </w:rPr>
      </w:pPr>
      <w:r w:rsidRPr="00FD65C9">
        <w:rPr>
          <w:rFonts w:eastAsia="Times New Roman"/>
          <w:lang w:val="pl-PL"/>
        </w:rPr>
        <w:fldChar w:fldCharType="begin"/>
      </w:r>
      <w:r w:rsidR="00E95B67" w:rsidRPr="00FD65C9">
        <w:rPr>
          <w:rFonts w:eastAsia="Times New Roman"/>
          <w:lang w:val="pl-PL"/>
        </w:rPr>
        <w:instrText xml:space="preserve"> SEQ level0 \*arabic </w:instrText>
      </w:r>
      <w:r w:rsidRPr="00FD65C9">
        <w:rPr>
          <w:rFonts w:eastAsia="Times New Roman"/>
          <w:lang w:val="pl-PL"/>
        </w:rPr>
        <w:fldChar w:fldCharType="separate"/>
      </w:r>
      <w:r w:rsidR="00E95B67" w:rsidRPr="00FD65C9">
        <w:rPr>
          <w:rFonts w:eastAsia="Times New Roman"/>
          <w:noProof/>
          <w:lang w:val="pl-PL"/>
        </w:rPr>
        <w:t>136</w:t>
      </w:r>
      <w:r w:rsidRPr="00FD65C9">
        <w:rPr>
          <w:rFonts w:eastAsia="Times New Roman"/>
          <w:lang w:val="pl-PL"/>
        </w:rPr>
        <w:fldChar w:fldCharType="end"/>
      </w:r>
      <w:r w:rsidR="00E95B67" w:rsidRPr="00FD65C9">
        <w:rPr>
          <w:rFonts w:eastAsia="Times New Roman"/>
          <w:lang w:val="pl-PL"/>
        </w:rPr>
        <w:t>.  Niemniej w opinii Trybunału, potrzeba zwalczania przestępczości zorganizowanej nie może uzasadniać rozszerzenia pojęcia „uzasadnionego” charakteru do tego stopnia, by podważyć i</w:t>
      </w:r>
      <w:r w:rsidR="00F76D6B" w:rsidRPr="00FD65C9">
        <w:rPr>
          <w:rFonts w:eastAsia="Times New Roman"/>
          <w:lang w:val="pl-PL"/>
        </w:rPr>
        <w:t xml:space="preserve">stotę gwarancji przewidzianej w art. 5 ust. 1 lit. </w:t>
      </w:r>
      <w:r w:rsidR="00E95B67" w:rsidRPr="00FD65C9">
        <w:rPr>
          <w:rFonts w:eastAsia="Times New Roman"/>
          <w:lang w:val="pl-PL"/>
        </w:rPr>
        <w:t>c Konwencji (</w:t>
      </w:r>
      <w:r w:rsidR="00F76D6B" w:rsidRPr="00FD65C9">
        <w:rPr>
          <w:rFonts w:eastAsia="Times New Roman"/>
          <w:lang w:val="pl-PL"/>
        </w:rPr>
        <w:t>por.</w:t>
      </w:r>
      <w:r w:rsidR="00E95B67" w:rsidRPr="00FD65C9">
        <w:rPr>
          <w:rFonts w:eastAsia="Times New Roman"/>
          <w:lang w:val="pl-PL"/>
        </w:rPr>
        <w:t xml:space="preserve"> </w:t>
      </w:r>
      <w:r w:rsidR="00E95B67" w:rsidRPr="00FD65C9">
        <w:rPr>
          <w:rFonts w:eastAsia="Times New Roman"/>
          <w:i/>
          <w:lang w:val="pl-PL"/>
        </w:rPr>
        <w:t>Fox, Campbell i Hartley</w:t>
      </w:r>
      <w:r w:rsidR="00E95B67" w:rsidRPr="00FD65C9">
        <w:rPr>
          <w:rFonts w:eastAsia="Times New Roman"/>
          <w:lang w:val="pl-PL"/>
        </w:rPr>
        <w:t xml:space="preserve">, </w:t>
      </w:r>
      <w:r w:rsidR="008C0D7C" w:rsidRPr="00FD65C9">
        <w:rPr>
          <w:rFonts w:eastAsia="Times New Roman"/>
          <w:i/>
          <w:iCs/>
          <w:lang w:val="pl-PL"/>
        </w:rPr>
        <w:t>op. cit</w:t>
      </w:r>
      <w:r w:rsidR="008C0D7C">
        <w:rPr>
          <w:rFonts w:eastAsia="Times New Roman"/>
          <w:lang w:val="pl-PL"/>
        </w:rPr>
        <w:t>.</w:t>
      </w:r>
      <w:r w:rsidR="00E95B67" w:rsidRPr="00FD65C9">
        <w:rPr>
          <w:rFonts w:eastAsia="Times New Roman"/>
          <w:lang w:val="pl-PL"/>
        </w:rPr>
        <w:t xml:space="preserve">, § 32). Dlatego też, zadaniem Trybunału jest ustalenie, czy w niniejszej sprawie istniały wystarczające obiektywne dowody w czasie </w:t>
      </w:r>
      <w:r w:rsidR="008C0D7C">
        <w:rPr>
          <w:rFonts w:eastAsia="Times New Roman"/>
          <w:lang w:val="pl-PL"/>
        </w:rPr>
        <w:t>tymczasowego aresztowania</w:t>
      </w:r>
      <w:r w:rsidR="008C0D7C" w:rsidRPr="00FD65C9">
        <w:rPr>
          <w:rFonts w:eastAsia="Times New Roman"/>
          <w:lang w:val="pl-PL"/>
        </w:rPr>
        <w:t xml:space="preserve"> </w:t>
      </w:r>
      <w:r w:rsidR="00E95B67" w:rsidRPr="00FD65C9">
        <w:rPr>
          <w:rFonts w:eastAsia="Times New Roman"/>
          <w:lang w:val="pl-PL"/>
        </w:rPr>
        <w:t xml:space="preserve">skarżącego, aby przekonać obiektywnego obserwatora, że skarżący mógł popełnić przestępstwo zarzucane przez </w:t>
      </w:r>
      <w:r w:rsidR="008C0D7C" w:rsidRPr="00FD65C9">
        <w:rPr>
          <w:rFonts w:eastAsia="Times New Roman"/>
          <w:lang w:val="pl-PL"/>
        </w:rPr>
        <w:t>prokurat</w:t>
      </w:r>
      <w:r w:rsidR="008C0D7C">
        <w:rPr>
          <w:rFonts w:eastAsia="Times New Roman"/>
          <w:lang w:val="pl-PL"/>
        </w:rPr>
        <w:t>ora</w:t>
      </w:r>
      <w:r w:rsidR="00E95B67" w:rsidRPr="00FD65C9">
        <w:rPr>
          <w:rFonts w:eastAsia="Times New Roman"/>
          <w:lang w:val="pl-PL"/>
        </w:rPr>
        <w:t>. W tym celu należy ocenić, czy środek był uzasadniony w świetle dostępnych w danym czasie faktów i informacji, na które zwróciły uwagę organy sądowe</w:t>
      </w:r>
      <w:r w:rsidR="008C0D7C">
        <w:rPr>
          <w:rFonts w:eastAsia="Times New Roman"/>
          <w:lang w:val="pl-PL"/>
        </w:rPr>
        <w:t xml:space="preserve">, które wydały postanowienie o zastosowaniu tego </w:t>
      </w:r>
      <w:r w:rsidR="008C0D7C" w:rsidRPr="00FD65C9">
        <w:rPr>
          <w:rFonts w:eastAsia="Times New Roman"/>
          <w:lang w:val="pl-PL"/>
        </w:rPr>
        <w:t>środ</w:t>
      </w:r>
      <w:r w:rsidR="008C0D7C">
        <w:rPr>
          <w:rFonts w:eastAsia="Times New Roman"/>
          <w:lang w:val="pl-PL"/>
        </w:rPr>
        <w:t>ka</w:t>
      </w:r>
      <w:r w:rsidR="00E95B67" w:rsidRPr="00FD65C9">
        <w:rPr>
          <w:rFonts w:eastAsia="Times New Roman"/>
          <w:lang w:val="pl-PL"/>
        </w:rPr>
        <w:t xml:space="preserve">. Należy pamiętać, że względy te mają szczególne znaczenie dla członków wymiaru sprawiedliwości oraz, w niniejszej sprawie, dla skarżącego, który był członkiem TK w czasie </w:t>
      </w:r>
      <w:r w:rsidR="008C0D7C">
        <w:rPr>
          <w:rFonts w:eastAsia="Times New Roman"/>
          <w:lang w:val="pl-PL"/>
        </w:rPr>
        <w:t>zastosowania wobec niego tymczasowego aresztowania</w:t>
      </w:r>
      <w:r w:rsidR="00E95B67" w:rsidRPr="00FD65C9">
        <w:rPr>
          <w:rFonts w:eastAsia="Times New Roman"/>
          <w:lang w:val="pl-PL"/>
        </w:rPr>
        <w:t xml:space="preserve"> (zob. paragraf 102 powyżej).</w:t>
      </w:r>
    </w:p>
    <w:p w14:paraId="0D1AD411" w14:textId="3A207624" w:rsidR="00E95B67" w:rsidRPr="00FD65C9" w:rsidRDefault="00DA7597" w:rsidP="00622760">
      <w:pPr>
        <w:pStyle w:val="ECHRPara"/>
        <w:rPr>
          <w:rFonts w:eastAsia="Times New Roman"/>
          <w:lang w:val="pl-PL"/>
        </w:rPr>
      </w:pPr>
      <w:r w:rsidRPr="00FD65C9">
        <w:rPr>
          <w:rFonts w:eastAsia="Times New Roman"/>
          <w:lang w:val="pl-PL"/>
        </w:rPr>
        <w:fldChar w:fldCharType="begin"/>
      </w:r>
      <w:r w:rsidR="00E95B67" w:rsidRPr="00FD65C9">
        <w:rPr>
          <w:rFonts w:eastAsia="Times New Roman"/>
          <w:lang w:val="pl-PL"/>
        </w:rPr>
        <w:instrText xml:space="preserve"> SEQ level0 \*arabic </w:instrText>
      </w:r>
      <w:r w:rsidRPr="00FD65C9">
        <w:rPr>
          <w:rFonts w:eastAsia="Times New Roman"/>
          <w:lang w:val="pl-PL"/>
        </w:rPr>
        <w:fldChar w:fldCharType="separate"/>
      </w:r>
      <w:r w:rsidR="00E95B67" w:rsidRPr="00FD65C9">
        <w:rPr>
          <w:rFonts w:eastAsia="Times New Roman"/>
          <w:noProof/>
          <w:lang w:val="pl-PL"/>
        </w:rPr>
        <w:t>137</w:t>
      </w:r>
      <w:r w:rsidRPr="00FD65C9">
        <w:rPr>
          <w:rFonts w:eastAsia="Times New Roman"/>
          <w:lang w:val="pl-PL"/>
        </w:rPr>
        <w:fldChar w:fldCharType="end"/>
      </w:r>
      <w:r w:rsidR="00E95B67" w:rsidRPr="00FD65C9">
        <w:rPr>
          <w:rFonts w:eastAsia="Times New Roman"/>
          <w:lang w:val="pl-PL"/>
        </w:rPr>
        <w:t>.  Trybunał zauważa, że po wezwaniu do zbadania kwestionowanego środka, TK, po opisaniu cech organizacji FETÖ/PDY i jej ukrytej struktury w sądownictwie, oparł się na następujących dowodach: zezna</w:t>
      </w:r>
      <w:r w:rsidR="00A21EF4">
        <w:rPr>
          <w:rFonts w:eastAsia="Times New Roman"/>
          <w:lang w:val="pl-PL"/>
        </w:rPr>
        <w:t>niach</w:t>
      </w:r>
      <w:r w:rsidR="00E95B67" w:rsidRPr="00FD65C9">
        <w:rPr>
          <w:rFonts w:eastAsia="Times New Roman"/>
          <w:lang w:val="pl-PL"/>
        </w:rPr>
        <w:t xml:space="preserve"> dwóch anonimowych świadków; </w:t>
      </w:r>
      <w:r w:rsidR="00A21EF4">
        <w:rPr>
          <w:rFonts w:eastAsia="Times New Roman"/>
          <w:lang w:val="pl-PL"/>
        </w:rPr>
        <w:t>wyjaśnieniach</w:t>
      </w:r>
      <w:r w:rsidR="00A21EF4" w:rsidRPr="00FD65C9">
        <w:rPr>
          <w:rFonts w:eastAsia="Times New Roman"/>
          <w:lang w:val="pl-PL"/>
        </w:rPr>
        <w:t xml:space="preserve"> </w:t>
      </w:r>
      <w:r w:rsidR="00E95B67" w:rsidRPr="00FD65C9">
        <w:rPr>
          <w:rFonts w:eastAsia="Times New Roman"/>
          <w:lang w:val="pl-PL"/>
        </w:rPr>
        <w:t>byłeg</w:t>
      </w:r>
      <w:r w:rsidR="0028321A" w:rsidRPr="00FD65C9">
        <w:rPr>
          <w:rFonts w:eastAsia="Times New Roman"/>
          <w:lang w:val="pl-PL"/>
        </w:rPr>
        <w:t>o sprawozdawcy TK oskarżonego o </w:t>
      </w:r>
      <w:r w:rsidR="00E95B67" w:rsidRPr="00FD65C9">
        <w:rPr>
          <w:rFonts w:eastAsia="Times New Roman"/>
          <w:lang w:val="pl-PL"/>
        </w:rPr>
        <w:t xml:space="preserve">przynależność do organizacji FETÖ/PDY; wymianie wiadomości za pośrednictwem </w:t>
      </w:r>
      <w:proofErr w:type="spellStart"/>
      <w:r w:rsidR="00E95B67" w:rsidRPr="00FD65C9">
        <w:rPr>
          <w:rFonts w:eastAsia="Times New Roman"/>
          <w:lang w:val="pl-PL"/>
        </w:rPr>
        <w:t>ByLock</w:t>
      </w:r>
      <w:proofErr w:type="spellEnd"/>
      <w:r w:rsidR="00E95B67" w:rsidRPr="00FD65C9">
        <w:rPr>
          <w:rFonts w:eastAsia="Times New Roman"/>
          <w:lang w:val="pl-PL"/>
        </w:rPr>
        <w:t xml:space="preserve"> i innych okoliczno</w:t>
      </w:r>
      <w:r w:rsidR="0028321A" w:rsidRPr="00FD65C9">
        <w:rPr>
          <w:rFonts w:eastAsia="Times New Roman"/>
          <w:lang w:val="pl-PL"/>
        </w:rPr>
        <w:t>ściach faktycznych (w związku z </w:t>
      </w:r>
      <w:r w:rsidR="00E95B67" w:rsidRPr="00FD65C9">
        <w:rPr>
          <w:rFonts w:eastAsia="Times New Roman"/>
          <w:lang w:val="pl-PL"/>
        </w:rPr>
        <w:t>informacjami o liniach telefonicznych i rejestrami podróży zagranicznych) (paragrafy 32–40 powyżej).</w:t>
      </w:r>
    </w:p>
    <w:p w14:paraId="59463770" w14:textId="658D9F44" w:rsidR="00E95B67" w:rsidRPr="00FD65C9" w:rsidRDefault="00DA7597" w:rsidP="00622760">
      <w:pPr>
        <w:pStyle w:val="ECHRPara"/>
        <w:rPr>
          <w:rFonts w:eastAsia="Times New Roman"/>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138</w:t>
      </w:r>
      <w:r w:rsidRPr="00FD65C9">
        <w:rPr>
          <w:lang w:val="pl-PL"/>
        </w:rPr>
        <w:fldChar w:fldCharType="end"/>
      </w:r>
      <w:r w:rsidR="00E95B67" w:rsidRPr="00FD65C9">
        <w:rPr>
          <w:lang w:val="pl-PL"/>
        </w:rPr>
        <w:t xml:space="preserve">.  Należy jednak zauważyć, że dowody te zostały zebrane długo po </w:t>
      </w:r>
      <w:r w:rsidR="00A21EF4">
        <w:rPr>
          <w:lang w:val="pl-PL"/>
        </w:rPr>
        <w:t>tymczasowym aresztowaniu</w:t>
      </w:r>
      <w:r w:rsidR="00A21EF4" w:rsidRPr="00FD65C9">
        <w:rPr>
          <w:lang w:val="pl-PL"/>
        </w:rPr>
        <w:t xml:space="preserve"> </w:t>
      </w:r>
      <w:r w:rsidR="00E95B67" w:rsidRPr="00FD65C9">
        <w:rPr>
          <w:lang w:val="pl-PL"/>
        </w:rPr>
        <w:t>skarżącego</w:t>
      </w:r>
      <w:r w:rsidR="00A21EF4">
        <w:rPr>
          <w:lang w:val="pl-PL"/>
        </w:rPr>
        <w:t xml:space="preserve">, bowiem </w:t>
      </w:r>
      <w:r w:rsidR="00E95B67" w:rsidRPr="00FD65C9">
        <w:rPr>
          <w:lang w:val="pl-PL"/>
        </w:rPr>
        <w:t>pi</w:t>
      </w:r>
      <w:r w:rsidR="0028321A" w:rsidRPr="00FD65C9">
        <w:rPr>
          <w:lang w:val="pl-PL"/>
        </w:rPr>
        <w:t>erwszy dowód, który uzyskano, a </w:t>
      </w:r>
      <w:r w:rsidR="00E95B67" w:rsidRPr="00FD65C9">
        <w:rPr>
          <w:lang w:val="pl-PL"/>
        </w:rPr>
        <w:t>mianowicie zeznanie anonimowego świad</w:t>
      </w:r>
      <w:r w:rsidR="0028321A" w:rsidRPr="00FD65C9">
        <w:rPr>
          <w:lang w:val="pl-PL"/>
        </w:rPr>
        <w:t>ka, który oskarżył skarżącego o </w:t>
      </w:r>
      <w:r w:rsidR="00E95B67" w:rsidRPr="00FD65C9">
        <w:rPr>
          <w:lang w:val="pl-PL"/>
        </w:rPr>
        <w:t>bycie członkiem organizacji FETÖ/PDY,</w:t>
      </w:r>
      <w:r w:rsidR="0028321A" w:rsidRPr="00FD65C9">
        <w:rPr>
          <w:lang w:val="pl-PL"/>
        </w:rPr>
        <w:t xml:space="preserve"> został zarejestrowany w dniu 4 </w:t>
      </w:r>
      <w:r w:rsidR="00E95B67" w:rsidRPr="00FD65C9">
        <w:rPr>
          <w:lang w:val="pl-PL"/>
        </w:rPr>
        <w:t xml:space="preserve">sierpnia 2016 r., tj. ponad dwa tygodnie po </w:t>
      </w:r>
      <w:r w:rsidR="00A21EF4">
        <w:rPr>
          <w:lang w:val="pl-PL"/>
        </w:rPr>
        <w:t>tymczasowym aresztowaniu</w:t>
      </w:r>
      <w:r w:rsidR="00E95B67" w:rsidRPr="00FD65C9">
        <w:rPr>
          <w:lang w:val="pl-PL"/>
        </w:rPr>
        <w:t xml:space="preserve"> skarżącego. Pozostałe zeznania i dowody zostały uzyskane znacznie później. Skarżący zawsze zwracał uwagę sądów krajowych na tę okoliczność, argumentując w szczególności, że nie było konkretnych dowodów uzasadniających zastosowanie środka zapobiegawczego w postaci tymczasowego aresztowania (zob. paragrafy 19, 22 i 29 powyżej), a także powtórzył swoje twierdzenie w tym względzie przed Trybunałem. W swoim uzasadnieniu, które doprowadziło do odrzucenia skargi skarżącego, TK nie odniósł się jednak do tego argumentu. Rząd również milczał w tej kwestii </w:t>
      </w:r>
      <w:r w:rsidR="0028321A" w:rsidRPr="00FD65C9">
        <w:rPr>
          <w:lang w:val="pl-PL"/>
        </w:rPr>
        <w:t>i </w:t>
      </w:r>
      <w:r w:rsidR="00E95B67" w:rsidRPr="00FD65C9">
        <w:rPr>
          <w:lang w:val="pl-PL"/>
        </w:rPr>
        <w:t>nie przedstawił żadnych konkretnych argumentów, aby obalić twierdzenie skarżącego w tym zakresie, mimo że analiza dokumentów udostępnionych Trybunałowi potwierdziła twierdzenia skarżącego.</w:t>
      </w:r>
    </w:p>
    <w:p w14:paraId="75C9A46B" w14:textId="2B1923EF" w:rsidR="00E95B67" w:rsidRPr="00FD65C9" w:rsidRDefault="00DA7597" w:rsidP="00622760">
      <w:pPr>
        <w:pStyle w:val="ECHRPara"/>
        <w:rPr>
          <w:rFonts w:ascii="Times New Roman" w:eastAsia="Times New Roman" w:hAnsi="Times New Roman" w:cs="Times New Roman"/>
          <w:lang w:val="pl-PL"/>
        </w:rPr>
      </w:pPr>
      <w:r w:rsidRPr="00FD65C9">
        <w:rPr>
          <w:lang w:val="pl-PL"/>
        </w:rPr>
        <w:fldChar w:fldCharType="begin"/>
      </w:r>
      <w:r w:rsidR="00E95B67" w:rsidRPr="00FD65C9">
        <w:rPr>
          <w:rFonts w:ascii="Times New Roman" w:hAnsi="Times New Roman"/>
          <w:lang w:val="pl-PL"/>
        </w:rPr>
        <w:instrText xml:space="preserve"> SEQ level0 \*arabic </w:instrText>
      </w:r>
      <w:r w:rsidRPr="00FD65C9">
        <w:rPr>
          <w:lang w:val="pl-PL"/>
        </w:rPr>
        <w:fldChar w:fldCharType="separate"/>
      </w:r>
      <w:r w:rsidR="00E95B67" w:rsidRPr="00FD65C9">
        <w:rPr>
          <w:rFonts w:ascii="Times New Roman" w:hAnsi="Times New Roman"/>
          <w:noProof/>
          <w:lang w:val="pl-PL"/>
        </w:rPr>
        <w:t>139</w:t>
      </w:r>
      <w:r w:rsidRPr="00FD65C9">
        <w:rPr>
          <w:lang w:val="pl-PL"/>
        </w:rPr>
        <w:fldChar w:fldCharType="end"/>
      </w:r>
      <w:r w:rsidR="00E95B67" w:rsidRPr="00FD65C9">
        <w:rPr>
          <w:rFonts w:ascii="Times New Roman" w:hAnsi="Times New Roman"/>
          <w:lang w:val="pl-PL"/>
        </w:rPr>
        <w:t>.  </w:t>
      </w:r>
      <w:r w:rsidR="00A21EF4">
        <w:rPr>
          <w:lang w:val="pl-PL"/>
        </w:rPr>
        <w:t>Z tego też względu</w:t>
      </w:r>
      <w:r w:rsidR="00E95B67" w:rsidRPr="00FD65C9">
        <w:rPr>
          <w:lang w:val="pl-PL"/>
        </w:rPr>
        <w:t xml:space="preserve">, w przeciwieństwie do TK (zob. paragraf 42 powyżej), Trybunał uważa, że nie jest konieczne badanie tych dowodów, które uzyskano długo po </w:t>
      </w:r>
      <w:r w:rsidR="00A21EF4">
        <w:rPr>
          <w:lang w:val="pl-PL"/>
        </w:rPr>
        <w:t>tymczasowym aresztowaniu</w:t>
      </w:r>
      <w:r w:rsidR="00A21EF4" w:rsidRPr="00FD65C9">
        <w:rPr>
          <w:lang w:val="pl-PL"/>
        </w:rPr>
        <w:t xml:space="preserve"> </w:t>
      </w:r>
      <w:r w:rsidR="00E95B67" w:rsidRPr="00FD65C9">
        <w:rPr>
          <w:lang w:val="pl-PL"/>
        </w:rPr>
        <w:t>skarżącego, w celu ustalenia „uzasadnionego” charakteru podejrzeń, któ</w:t>
      </w:r>
      <w:r w:rsidR="0028321A" w:rsidRPr="00FD65C9">
        <w:rPr>
          <w:lang w:val="pl-PL"/>
        </w:rPr>
        <w:t xml:space="preserve">re stanowiły podstawę </w:t>
      </w:r>
      <w:r w:rsidR="00A21EF4">
        <w:rPr>
          <w:lang w:val="pl-PL"/>
        </w:rPr>
        <w:t>postanowienia</w:t>
      </w:r>
      <w:r w:rsidR="00A21EF4" w:rsidRPr="00FD65C9">
        <w:rPr>
          <w:lang w:val="pl-PL"/>
        </w:rPr>
        <w:t xml:space="preserve"> </w:t>
      </w:r>
      <w:r w:rsidR="0028321A" w:rsidRPr="00FD65C9">
        <w:rPr>
          <w:lang w:val="pl-PL"/>
        </w:rPr>
        <w:t>o </w:t>
      </w:r>
      <w:r w:rsidR="00A21EF4">
        <w:rPr>
          <w:lang w:val="pl-PL"/>
        </w:rPr>
        <w:t>zastosowaniu wobec niego tymczasowego aresztowania</w:t>
      </w:r>
      <w:r w:rsidR="00E95B67" w:rsidRPr="00FD65C9">
        <w:rPr>
          <w:lang w:val="pl-PL"/>
        </w:rPr>
        <w:t xml:space="preserve">. W związku z tym należy zauważyć, że w niniejszej sprawie Trybunał został wezwany do zbadania kwestii, czy </w:t>
      </w:r>
      <w:r w:rsidR="00A21EF4">
        <w:rPr>
          <w:lang w:val="pl-PL"/>
        </w:rPr>
        <w:t>tymczasowe aresztowanie</w:t>
      </w:r>
      <w:r w:rsidR="00A21EF4" w:rsidRPr="00FD65C9">
        <w:rPr>
          <w:lang w:val="pl-PL"/>
        </w:rPr>
        <w:t xml:space="preserve"> </w:t>
      </w:r>
      <w:r w:rsidR="00E95B67" w:rsidRPr="00FD65C9">
        <w:rPr>
          <w:lang w:val="pl-PL"/>
        </w:rPr>
        <w:t xml:space="preserve">skarżącego w dniu 20 lipca 2016 r. było oparte na istnieniu wiarygodnych powodów, a nie w celu zbadania kwestii utrzymywania się powodów dalszego </w:t>
      </w:r>
      <w:r w:rsidR="00A21EF4">
        <w:rPr>
          <w:lang w:val="pl-PL"/>
        </w:rPr>
        <w:t>stosowania wobec niego tymczasowego aresztowania</w:t>
      </w:r>
      <w:r w:rsidR="00E95B67" w:rsidRPr="00FD65C9">
        <w:rPr>
          <w:lang w:val="pl-PL"/>
        </w:rPr>
        <w:t>. W tym względzie</w:t>
      </w:r>
      <w:r w:rsidR="00E95B67" w:rsidRPr="00FD65C9">
        <w:rPr>
          <w:rFonts w:ascii="Times New Roman" w:hAnsi="Times New Roman"/>
          <w:lang w:val="pl-PL"/>
        </w:rPr>
        <w:t xml:space="preserve">, zgodnie z utrwalonym orzecznictwem Trybunału, późniejsze uzyskanie obciążających dowodów dotyczących zarzutów niewątpliwie mogło wzmocnić podejrzenia wiążące skarżącego z przestępstwami o charakterze terrorystycznym, ale nie mogło stanowić wyłącznej podstawy podejrzeń uzasadniających jego </w:t>
      </w:r>
      <w:r w:rsidR="00A21EF4">
        <w:rPr>
          <w:rFonts w:ascii="Times New Roman" w:hAnsi="Times New Roman"/>
          <w:lang w:val="pl-PL"/>
        </w:rPr>
        <w:t>tymczasowe aresztowanie</w:t>
      </w:r>
      <w:r w:rsidR="00A21EF4" w:rsidRPr="00FD65C9">
        <w:rPr>
          <w:rFonts w:ascii="Times New Roman" w:hAnsi="Times New Roman"/>
          <w:lang w:val="pl-PL"/>
        </w:rPr>
        <w:t xml:space="preserve"> </w:t>
      </w:r>
      <w:r w:rsidR="00E95B67" w:rsidRPr="00FD65C9">
        <w:rPr>
          <w:rFonts w:ascii="Times New Roman" w:hAnsi="Times New Roman"/>
          <w:lang w:val="pl-PL"/>
        </w:rPr>
        <w:t xml:space="preserve">(zob. podobnie </w:t>
      </w:r>
      <w:r w:rsidR="00E95B67" w:rsidRPr="00FD65C9">
        <w:rPr>
          <w:rFonts w:ascii="Times New Roman" w:hAnsi="Times New Roman"/>
          <w:i/>
          <w:iCs/>
          <w:lang w:val="pl-PL"/>
        </w:rPr>
        <w:t>Fox, Campbell i Hartley</w:t>
      </w:r>
      <w:r w:rsidR="00E95B67" w:rsidRPr="00FD65C9">
        <w:rPr>
          <w:rFonts w:ascii="Times New Roman" w:hAnsi="Times New Roman"/>
          <w:lang w:val="pl-PL"/>
        </w:rPr>
        <w:t xml:space="preserve">, </w:t>
      </w:r>
      <w:r w:rsidR="00A21EF4" w:rsidRPr="00FD65C9">
        <w:rPr>
          <w:rFonts w:ascii="Times New Roman" w:hAnsi="Times New Roman"/>
          <w:i/>
          <w:iCs/>
          <w:lang w:val="pl-PL"/>
        </w:rPr>
        <w:t>op. cit</w:t>
      </w:r>
      <w:r w:rsidR="00A21EF4">
        <w:rPr>
          <w:rFonts w:ascii="Times New Roman" w:hAnsi="Times New Roman"/>
          <w:lang w:val="pl-PL"/>
        </w:rPr>
        <w:t>.</w:t>
      </w:r>
      <w:r w:rsidR="00E95B67" w:rsidRPr="00FD65C9">
        <w:rPr>
          <w:rFonts w:ascii="Times New Roman" w:hAnsi="Times New Roman"/>
          <w:lang w:val="pl-PL"/>
        </w:rPr>
        <w:t>, § 35).</w:t>
      </w:r>
      <w:r w:rsidR="00E95B67" w:rsidRPr="00FD65C9">
        <w:rPr>
          <w:lang w:val="pl-PL"/>
        </w:rPr>
        <w:t xml:space="preserve"> </w:t>
      </w:r>
      <w:r w:rsidR="00E95B67" w:rsidRPr="00FD65C9">
        <w:rPr>
          <w:rFonts w:ascii="Times New Roman" w:hAnsi="Times New Roman"/>
          <w:lang w:val="pl-PL"/>
        </w:rPr>
        <w:t xml:space="preserve">W każdym razie w rozumieniu Trybunału późniejsze uzyskanie takich dowodów nie zwalnia władz krajowych z obowiązku przedstawienia wystarczającej podstawy faktycznej dla </w:t>
      </w:r>
      <w:r w:rsidR="00A21EF4">
        <w:rPr>
          <w:rFonts w:ascii="Times New Roman" w:hAnsi="Times New Roman"/>
          <w:lang w:val="pl-PL"/>
        </w:rPr>
        <w:t>tymczasowego aresztowania</w:t>
      </w:r>
      <w:r w:rsidR="00A21EF4" w:rsidRPr="00FD65C9">
        <w:rPr>
          <w:rFonts w:ascii="Times New Roman" w:hAnsi="Times New Roman"/>
          <w:lang w:val="pl-PL"/>
        </w:rPr>
        <w:t xml:space="preserve"> </w:t>
      </w:r>
      <w:r w:rsidR="00E95B67" w:rsidRPr="00FD65C9">
        <w:rPr>
          <w:rFonts w:ascii="Times New Roman" w:hAnsi="Times New Roman"/>
          <w:lang w:val="pl-PL"/>
        </w:rPr>
        <w:t>skarżącego. Przyjęcie odmiennego wniosku byłoby sprzeczne z celem art. 5 Konwencji, jakim jest ochrona jednostki przed arbitralnym lub nieuzasadnionym pozbawieniem wolności.</w:t>
      </w:r>
    </w:p>
    <w:p w14:paraId="53B589D1" w14:textId="2F3AF4EB" w:rsidR="00E95B67" w:rsidRPr="00FD65C9" w:rsidRDefault="00DA7597" w:rsidP="00622760">
      <w:pPr>
        <w:pStyle w:val="ECHRPara"/>
        <w:rPr>
          <w:rFonts w:eastAsia="Times New Roman"/>
          <w:lang w:val="pl-PL"/>
        </w:rPr>
      </w:pPr>
      <w:r w:rsidRPr="00FD65C9">
        <w:rPr>
          <w:rFonts w:eastAsia="Times New Roman"/>
          <w:lang w:val="pl-PL"/>
        </w:rPr>
        <w:fldChar w:fldCharType="begin"/>
      </w:r>
      <w:r w:rsidR="00E95B67" w:rsidRPr="00FD65C9">
        <w:rPr>
          <w:rFonts w:eastAsia="Times New Roman"/>
          <w:lang w:val="pl-PL"/>
        </w:rPr>
        <w:instrText xml:space="preserve"> SEQ level0 \*arabic </w:instrText>
      </w:r>
      <w:r w:rsidRPr="00FD65C9">
        <w:rPr>
          <w:rFonts w:eastAsia="Times New Roman"/>
          <w:lang w:val="pl-PL"/>
        </w:rPr>
        <w:fldChar w:fldCharType="separate"/>
      </w:r>
      <w:r w:rsidR="00E95B67" w:rsidRPr="00FD65C9">
        <w:rPr>
          <w:rFonts w:eastAsia="Times New Roman"/>
          <w:noProof/>
          <w:lang w:val="pl-PL"/>
        </w:rPr>
        <w:t>140</w:t>
      </w:r>
      <w:r w:rsidRPr="00FD65C9">
        <w:rPr>
          <w:rFonts w:eastAsia="Times New Roman"/>
          <w:lang w:val="pl-PL"/>
        </w:rPr>
        <w:fldChar w:fldCharType="end"/>
      </w:r>
      <w:r w:rsidR="00E95B67" w:rsidRPr="00FD65C9">
        <w:rPr>
          <w:rFonts w:eastAsia="Times New Roman"/>
          <w:lang w:val="pl-PL"/>
        </w:rPr>
        <w:t>.  Trybunał zauważa, że skarżący – z całą pewnością – nie był podejrzany o udział w wydarzeniach z dnia 15 lipca 2016 r. Prawdą jest, że w dniu 16 lipca 2016 r., tj. dzień po prób</w:t>
      </w:r>
      <w:r w:rsidR="0028321A" w:rsidRPr="00FD65C9">
        <w:rPr>
          <w:rFonts w:eastAsia="Times New Roman"/>
          <w:lang w:val="pl-PL"/>
        </w:rPr>
        <w:t>ie zamachu stanu, prokuratura w </w:t>
      </w:r>
      <w:r w:rsidR="00E95B67" w:rsidRPr="00FD65C9">
        <w:rPr>
          <w:rFonts w:eastAsia="Times New Roman"/>
          <w:lang w:val="pl-PL"/>
        </w:rPr>
        <w:t>Ankarze wydała nakaz</w:t>
      </w:r>
      <w:r w:rsidR="00A21EF4">
        <w:rPr>
          <w:rFonts w:eastAsia="Times New Roman"/>
          <w:lang w:val="pl-PL"/>
        </w:rPr>
        <w:t>, w którym uznała</w:t>
      </w:r>
      <w:r w:rsidR="00E95B67" w:rsidRPr="00FD65C9">
        <w:rPr>
          <w:rFonts w:eastAsia="Times New Roman"/>
          <w:lang w:val="pl-PL"/>
        </w:rPr>
        <w:t xml:space="preserve"> skarżącego </w:t>
      </w:r>
      <w:r w:rsidR="00A21EF4">
        <w:rPr>
          <w:rFonts w:eastAsia="Times New Roman"/>
          <w:lang w:val="pl-PL"/>
        </w:rPr>
        <w:t xml:space="preserve">za </w:t>
      </w:r>
      <w:r w:rsidR="00E95B67" w:rsidRPr="00FD65C9">
        <w:rPr>
          <w:rFonts w:eastAsia="Times New Roman"/>
          <w:lang w:val="pl-PL"/>
        </w:rPr>
        <w:t xml:space="preserve">członka organizacji terrorystycznej FETÖ/PDY i zarządziła jego </w:t>
      </w:r>
      <w:r w:rsidR="00A21EF4">
        <w:rPr>
          <w:rFonts w:eastAsia="Times New Roman"/>
          <w:lang w:val="pl-PL"/>
        </w:rPr>
        <w:t>tymczasowe aresztowanie</w:t>
      </w:r>
      <w:r w:rsidR="00E95B67" w:rsidRPr="00FD65C9">
        <w:rPr>
          <w:rFonts w:eastAsia="Times New Roman"/>
          <w:lang w:val="pl-PL"/>
        </w:rPr>
        <w:t xml:space="preserve"> (zob. paragraf 16 powyżej). Jednakże Rząd nie przedstawił żadnych „okoliczności faktycznych” ani „informacji”, które mogłyby służyć jako podstawa faktyczna dla tego naka</w:t>
      </w:r>
      <w:r w:rsidR="0028321A" w:rsidRPr="00FD65C9">
        <w:rPr>
          <w:rFonts w:eastAsia="Times New Roman"/>
          <w:lang w:val="pl-PL"/>
        </w:rPr>
        <w:t>zu wydanego przez prokuraturę w </w:t>
      </w:r>
      <w:r w:rsidR="00E95B67" w:rsidRPr="00FD65C9">
        <w:rPr>
          <w:rFonts w:eastAsia="Times New Roman"/>
          <w:lang w:val="pl-PL"/>
        </w:rPr>
        <w:t>Ankarze.</w:t>
      </w:r>
    </w:p>
    <w:p w14:paraId="7674F4F5" w14:textId="4B858D22" w:rsidR="00E95B67" w:rsidRPr="00FD65C9" w:rsidRDefault="00DA7597" w:rsidP="00622760">
      <w:pPr>
        <w:pStyle w:val="ECHRPara"/>
        <w:rPr>
          <w:rFonts w:eastAsia="Times New Roman"/>
          <w:lang w:val="pl-PL"/>
        </w:rPr>
      </w:pPr>
      <w:r w:rsidRPr="00FD65C9">
        <w:rPr>
          <w:rFonts w:eastAsia="Times New Roman"/>
          <w:lang w:val="pl-PL"/>
        </w:rPr>
        <w:fldChar w:fldCharType="begin"/>
      </w:r>
      <w:r w:rsidR="00E95B67" w:rsidRPr="00FD65C9">
        <w:rPr>
          <w:rFonts w:eastAsia="Times New Roman"/>
          <w:lang w:val="pl-PL"/>
        </w:rPr>
        <w:instrText xml:space="preserve"> SEQ level0 \*arabic </w:instrText>
      </w:r>
      <w:r w:rsidRPr="00FD65C9">
        <w:rPr>
          <w:rFonts w:eastAsia="Times New Roman"/>
          <w:lang w:val="pl-PL"/>
        </w:rPr>
        <w:fldChar w:fldCharType="separate"/>
      </w:r>
      <w:r w:rsidR="00E95B67" w:rsidRPr="00FD65C9">
        <w:rPr>
          <w:rFonts w:eastAsia="Times New Roman"/>
          <w:noProof/>
          <w:lang w:val="pl-PL"/>
        </w:rPr>
        <w:t>141</w:t>
      </w:r>
      <w:r w:rsidRPr="00FD65C9">
        <w:rPr>
          <w:rFonts w:eastAsia="Times New Roman"/>
          <w:lang w:val="pl-PL"/>
        </w:rPr>
        <w:fldChar w:fldCharType="end"/>
      </w:r>
      <w:r w:rsidR="00E95B67" w:rsidRPr="00FD65C9">
        <w:rPr>
          <w:rFonts w:eastAsia="Times New Roman"/>
          <w:lang w:val="pl-PL"/>
        </w:rPr>
        <w:t xml:space="preserve">.  Fakt, że skarżący został przesłuchany w dniu 20 lipca 2016 r., przed </w:t>
      </w:r>
      <w:r w:rsidR="00F54EE8">
        <w:rPr>
          <w:rFonts w:eastAsia="Times New Roman"/>
          <w:lang w:val="pl-PL"/>
        </w:rPr>
        <w:t>zastosowaniem wobec niego tymczasowego aresztowania</w:t>
      </w:r>
      <w:r w:rsidR="00E95B67" w:rsidRPr="00FD65C9">
        <w:rPr>
          <w:rFonts w:eastAsia="Times New Roman"/>
          <w:lang w:val="pl-PL"/>
        </w:rPr>
        <w:t xml:space="preserve">, pod zarzutem przynależności do nielegalnej organizacji, wskazuje co najwyżej na to, że policja rzeczywiście podejrzewała go o popełnienie </w:t>
      </w:r>
      <w:r w:rsidR="00F54EE8">
        <w:rPr>
          <w:rFonts w:eastAsia="Times New Roman"/>
          <w:lang w:val="pl-PL"/>
        </w:rPr>
        <w:t>przedmiotowego</w:t>
      </w:r>
      <w:r w:rsidR="00F54EE8" w:rsidRPr="00FD65C9">
        <w:rPr>
          <w:rFonts w:eastAsia="Times New Roman"/>
          <w:lang w:val="pl-PL"/>
        </w:rPr>
        <w:t xml:space="preserve"> </w:t>
      </w:r>
      <w:r w:rsidR="00E95B67" w:rsidRPr="00FD65C9">
        <w:rPr>
          <w:rFonts w:eastAsia="Times New Roman"/>
          <w:lang w:val="pl-PL"/>
        </w:rPr>
        <w:t xml:space="preserve">przestępstwa; sama ta okoliczność nie przekonałaby obiektywnego obserwatora, że skarżący mógł popełnić </w:t>
      </w:r>
      <w:r w:rsidR="00F54EE8">
        <w:rPr>
          <w:rFonts w:eastAsia="Times New Roman"/>
          <w:lang w:val="pl-PL"/>
        </w:rPr>
        <w:t>przedmiotowe</w:t>
      </w:r>
      <w:r w:rsidR="00F54EE8" w:rsidRPr="00FD65C9">
        <w:rPr>
          <w:rFonts w:eastAsia="Times New Roman"/>
          <w:lang w:val="pl-PL"/>
        </w:rPr>
        <w:t xml:space="preserve"> </w:t>
      </w:r>
      <w:r w:rsidR="00E95B67" w:rsidRPr="00FD65C9">
        <w:rPr>
          <w:rFonts w:eastAsia="Times New Roman"/>
          <w:lang w:val="pl-PL"/>
        </w:rPr>
        <w:t>przestępstwo.</w:t>
      </w:r>
    </w:p>
    <w:p w14:paraId="7FE659A1" w14:textId="376FD705" w:rsidR="00E95B67" w:rsidRPr="00FD65C9" w:rsidRDefault="00DA7597" w:rsidP="00622760">
      <w:pPr>
        <w:pStyle w:val="ECHRPara"/>
        <w:rPr>
          <w:rFonts w:eastAsia="Times New Roman"/>
          <w:lang w:val="pl-PL"/>
        </w:rPr>
      </w:pPr>
      <w:r w:rsidRPr="00FD65C9">
        <w:rPr>
          <w:rFonts w:eastAsia="Times New Roman"/>
          <w:lang w:val="pl-PL"/>
        </w:rPr>
        <w:fldChar w:fldCharType="begin"/>
      </w:r>
      <w:r w:rsidR="00E95B67" w:rsidRPr="00FD65C9">
        <w:rPr>
          <w:rFonts w:eastAsia="Times New Roman"/>
          <w:lang w:val="pl-PL"/>
        </w:rPr>
        <w:instrText xml:space="preserve"> SEQ level0 \*arabic </w:instrText>
      </w:r>
      <w:r w:rsidRPr="00FD65C9">
        <w:rPr>
          <w:rFonts w:eastAsia="Times New Roman"/>
          <w:lang w:val="pl-PL"/>
        </w:rPr>
        <w:fldChar w:fldCharType="separate"/>
      </w:r>
      <w:r w:rsidR="00E95B67" w:rsidRPr="00FD65C9">
        <w:rPr>
          <w:rFonts w:eastAsia="Times New Roman"/>
          <w:noProof/>
          <w:lang w:val="pl-PL"/>
        </w:rPr>
        <w:t>142</w:t>
      </w:r>
      <w:r w:rsidRPr="00FD65C9">
        <w:rPr>
          <w:rFonts w:eastAsia="Times New Roman"/>
          <w:lang w:val="pl-PL"/>
        </w:rPr>
        <w:fldChar w:fldCharType="end"/>
      </w:r>
      <w:r w:rsidR="00E95B67" w:rsidRPr="00FD65C9">
        <w:rPr>
          <w:rFonts w:eastAsia="Times New Roman"/>
          <w:lang w:val="pl-PL"/>
        </w:rPr>
        <w:t xml:space="preserve">.  Trybunał w szczególności zauważa, że z </w:t>
      </w:r>
      <w:r w:rsidR="00F54EE8">
        <w:rPr>
          <w:rFonts w:eastAsia="Times New Roman"/>
          <w:lang w:val="pl-PL"/>
        </w:rPr>
        <w:t>postanowienia</w:t>
      </w:r>
      <w:r w:rsidR="00F54EE8" w:rsidRPr="00FD65C9">
        <w:rPr>
          <w:rFonts w:eastAsia="Times New Roman"/>
          <w:lang w:val="pl-PL"/>
        </w:rPr>
        <w:t xml:space="preserve"> </w:t>
      </w:r>
      <w:r w:rsidR="00E95B67" w:rsidRPr="00FD65C9">
        <w:rPr>
          <w:rFonts w:eastAsia="Times New Roman"/>
          <w:lang w:val="pl-PL"/>
        </w:rPr>
        <w:t xml:space="preserve">sędziego pokoju </w:t>
      </w:r>
      <w:r w:rsidR="00F54EE8">
        <w:rPr>
          <w:rFonts w:eastAsia="Times New Roman"/>
          <w:lang w:val="pl-PL"/>
        </w:rPr>
        <w:t>o zastosowaniu tymczasowego aresztowania wobec</w:t>
      </w:r>
      <w:r w:rsidR="00E95B67" w:rsidRPr="00FD65C9">
        <w:rPr>
          <w:rFonts w:eastAsia="Times New Roman"/>
          <w:lang w:val="pl-PL"/>
        </w:rPr>
        <w:t xml:space="preserve"> skarżącego nie wynika, aby środek ten był oparty na jakimkolwiek elemencie faktycznym wskazującym na istnienie silnych podejrzeń, takim jak zeznania świadków </w:t>
      </w:r>
      <w:r w:rsidR="00F54EE8">
        <w:rPr>
          <w:rFonts w:eastAsia="Times New Roman"/>
          <w:lang w:val="pl-PL"/>
        </w:rPr>
        <w:t>czy</w:t>
      </w:r>
      <w:r w:rsidR="00F54EE8" w:rsidRPr="00FD65C9">
        <w:rPr>
          <w:rFonts w:eastAsia="Times New Roman"/>
          <w:lang w:val="pl-PL"/>
        </w:rPr>
        <w:t xml:space="preserve"> </w:t>
      </w:r>
      <w:r w:rsidR="00E95B67" w:rsidRPr="00FD65C9">
        <w:rPr>
          <w:rFonts w:eastAsia="Times New Roman"/>
          <w:lang w:val="pl-PL"/>
        </w:rPr>
        <w:t>jaki</w:t>
      </w:r>
      <w:r w:rsidR="00F54EE8">
        <w:rPr>
          <w:rFonts w:eastAsia="Times New Roman"/>
          <w:lang w:val="pl-PL"/>
        </w:rPr>
        <w:t>m</w:t>
      </w:r>
      <w:r w:rsidR="00E95B67" w:rsidRPr="00FD65C9">
        <w:rPr>
          <w:rFonts w:eastAsia="Times New Roman"/>
          <w:lang w:val="pl-PL"/>
        </w:rPr>
        <w:t>kolwiek inny</w:t>
      </w:r>
      <w:r w:rsidR="00F54EE8">
        <w:rPr>
          <w:rFonts w:eastAsia="Times New Roman"/>
          <w:lang w:val="pl-PL"/>
        </w:rPr>
        <w:t>m</w:t>
      </w:r>
      <w:r w:rsidR="00E95B67" w:rsidRPr="00FD65C9">
        <w:rPr>
          <w:rFonts w:eastAsia="Times New Roman"/>
          <w:lang w:val="pl-PL"/>
        </w:rPr>
        <w:t xml:space="preserve"> elemen</w:t>
      </w:r>
      <w:r w:rsidR="00F54EE8">
        <w:rPr>
          <w:rFonts w:eastAsia="Times New Roman"/>
          <w:lang w:val="pl-PL"/>
        </w:rPr>
        <w:t>cie</w:t>
      </w:r>
      <w:r w:rsidR="00E95B67" w:rsidRPr="00FD65C9">
        <w:rPr>
          <w:rFonts w:eastAsia="Times New Roman"/>
          <w:lang w:val="pl-PL"/>
        </w:rPr>
        <w:t xml:space="preserve"> lub informacj</w:t>
      </w:r>
      <w:r w:rsidR="00F54EE8">
        <w:rPr>
          <w:rFonts w:eastAsia="Times New Roman"/>
          <w:lang w:val="pl-PL"/>
        </w:rPr>
        <w:t>i</w:t>
      </w:r>
      <w:r w:rsidR="00E95B67" w:rsidRPr="00FD65C9">
        <w:rPr>
          <w:rFonts w:eastAsia="Times New Roman"/>
          <w:lang w:val="pl-PL"/>
        </w:rPr>
        <w:t xml:space="preserve">, które dałyby </w:t>
      </w:r>
      <w:r w:rsidR="00F54EE8">
        <w:rPr>
          <w:rFonts w:eastAsia="Times New Roman"/>
          <w:lang w:val="pl-PL"/>
        </w:rPr>
        <w:t xml:space="preserve">podstawy, by </w:t>
      </w:r>
      <w:r w:rsidR="00F54EE8" w:rsidRPr="00FD65C9">
        <w:rPr>
          <w:rFonts w:eastAsia="Times New Roman"/>
          <w:lang w:val="pl-PL"/>
        </w:rPr>
        <w:t>podejrze</w:t>
      </w:r>
      <w:r w:rsidR="00F54EE8">
        <w:rPr>
          <w:rFonts w:eastAsia="Times New Roman"/>
          <w:lang w:val="pl-PL"/>
        </w:rPr>
        <w:t>wać</w:t>
      </w:r>
      <w:r w:rsidR="00F54EE8" w:rsidRPr="00FD65C9">
        <w:rPr>
          <w:rFonts w:eastAsia="Times New Roman"/>
          <w:lang w:val="pl-PL"/>
        </w:rPr>
        <w:t xml:space="preserve"> </w:t>
      </w:r>
      <w:r w:rsidR="0028321A" w:rsidRPr="00FD65C9">
        <w:rPr>
          <w:rFonts w:eastAsia="Times New Roman"/>
          <w:lang w:val="pl-PL"/>
        </w:rPr>
        <w:t>skarżącego o </w:t>
      </w:r>
      <w:r w:rsidR="00E95B67" w:rsidRPr="00FD65C9">
        <w:rPr>
          <w:rFonts w:eastAsia="Times New Roman"/>
          <w:lang w:val="pl-PL"/>
        </w:rPr>
        <w:t>popełnienie przedmiotowego przestępstwa</w:t>
      </w:r>
      <w:r w:rsidR="0028321A" w:rsidRPr="00FD65C9">
        <w:rPr>
          <w:rFonts w:eastAsia="Times New Roman"/>
          <w:lang w:val="pl-PL"/>
        </w:rPr>
        <w:t xml:space="preserve"> (zob. paragraf 20 powyżej). </w:t>
      </w:r>
      <w:r w:rsidR="00F54EE8">
        <w:rPr>
          <w:rFonts w:eastAsia="Times New Roman"/>
          <w:lang w:val="pl-PL"/>
        </w:rPr>
        <w:t>Wprawdzie</w:t>
      </w:r>
      <w:r w:rsidR="00E95B67" w:rsidRPr="00FD65C9">
        <w:rPr>
          <w:rFonts w:eastAsia="Times New Roman"/>
          <w:lang w:val="pl-PL"/>
        </w:rPr>
        <w:t xml:space="preserve"> sędzia pokoju próbował uzasadnić </w:t>
      </w:r>
      <w:r w:rsidR="00F54EE8">
        <w:rPr>
          <w:rFonts w:eastAsia="Times New Roman"/>
          <w:lang w:val="pl-PL"/>
        </w:rPr>
        <w:t>swoje rozstrzygnięcie</w:t>
      </w:r>
      <w:r w:rsidR="00E95B67" w:rsidRPr="00FD65C9">
        <w:rPr>
          <w:rFonts w:eastAsia="Times New Roman"/>
          <w:lang w:val="pl-PL"/>
        </w:rPr>
        <w:t>, powołując się na art. 100 kpk i dokumenty znajdujące się w aktach sprawy, niemniej przytoczył jedynie treść przedmiotowego przepisu i wymienił dokumenty znajdujące się w aktach (tj. zestawienie dowodów, protokoły znajdujące się w aktach</w:t>
      </w:r>
      <w:r w:rsidR="00F54EE8">
        <w:rPr>
          <w:rFonts w:eastAsia="Times New Roman"/>
          <w:lang w:val="pl-PL"/>
        </w:rPr>
        <w:t xml:space="preserve"> sprawy</w:t>
      </w:r>
      <w:r w:rsidR="00E95B67" w:rsidRPr="00FD65C9">
        <w:rPr>
          <w:rFonts w:eastAsia="Times New Roman"/>
          <w:lang w:val="pl-PL"/>
        </w:rPr>
        <w:t xml:space="preserve">, decyzje z dnia 17 lipca 2016 r. wydane przez </w:t>
      </w:r>
      <w:r w:rsidR="00F54EE8" w:rsidRPr="00FD65C9">
        <w:rPr>
          <w:rFonts w:eastAsia="Times New Roman"/>
          <w:lang w:val="pl-PL"/>
        </w:rPr>
        <w:t>prez</w:t>
      </w:r>
      <w:r w:rsidR="00F54EE8">
        <w:rPr>
          <w:rFonts w:eastAsia="Times New Roman"/>
          <w:lang w:val="pl-PL"/>
        </w:rPr>
        <w:t xml:space="preserve">esów </w:t>
      </w:r>
      <w:r w:rsidR="00E95B67" w:rsidRPr="00FD65C9">
        <w:rPr>
          <w:rFonts w:eastAsia="Times New Roman"/>
          <w:lang w:val="pl-PL"/>
        </w:rPr>
        <w:t xml:space="preserve">sądu kasacyjnego i Rady Stanu, protokoły przeszukania i </w:t>
      </w:r>
      <w:r w:rsidR="00F54EE8" w:rsidRPr="00FD65C9">
        <w:rPr>
          <w:rFonts w:eastAsia="Times New Roman"/>
          <w:lang w:val="pl-PL"/>
        </w:rPr>
        <w:t>za</w:t>
      </w:r>
      <w:r w:rsidR="00F54EE8">
        <w:rPr>
          <w:rFonts w:eastAsia="Times New Roman"/>
          <w:lang w:val="pl-PL"/>
        </w:rPr>
        <w:t>trzymania</w:t>
      </w:r>
      <w:r w:rsidR="00F54EE8" w:rsidRPr="00FD65C9">
        <w:rPr>
          <w:rFonts w:eastAsia="Times New Roman"/>
          <w:lang w:val="pl-PL"/>
        </w:rPr>
        <w:t xml:space="preserve"> </w:t>
      </w:r>
      <w:r w:rsidR="00E95B67" w:rsidRPr="00FD65C9">
        <w:rPr>
          <w:rFonts w:eastAsia="Times New Roman"/>
          <w:lang w:val="pl-PL"/>
        </w:rPr>
        <w:t xml:space="preserve">oraz </w:t>
      </w:r>
      <w:r w:rsidR="00F54EE8">
        <w:rPr>
          <w:rFonts w:eastAsia="Times New Roman"/>
          <w:lang w:val="pl-PL"/>
        </w:rPr>
        <w:t>całokształt</w:t>
      </w:r>
      <w:r w:rsidR="00E95B67" w:rsidRPr="00FD65C9">
        <w:rPr>
          <w:rFonts w:eastAsia="Times New Roman"/>
          <w:lang w:val="pl-PL"/>
        </w:rPr>
        <w:t xml:space="preserve"> akt</w:t>
      </w:r>
      <w:r w:rsidR="00F54EE8">
        <w:rPr>
          <w:rFonts w:eastAsia="Times New Roman"/>
          <w:lang w:val="pl-PL"/>
        </w:rPr>
        <w:t xml:space="preserve"> sprawy</w:t>
      </w:r>
      <w:r w:rsidR="00E95B67" w:rsidRPr="00FD65C9">
        <w:rPr>
          <w:rFonts w:eastAsia="Times New Roman"/>
          <w:lang w:val="pl-PL"/>
        </w:rPr>
        <w:t>), nie zadając sob</w:t>
      </w:r>
      <w:r w:rsidR="0028321A" w:rsidRPr="00FD65C9">
        <w:rPr>
          <w:rFonts w:eastAsia="Times New Roman"/>
          <w:lang w:val="pl-PL"/>
        </w:rPr>
        <w:t>ie trudu ich wyszczególnienia i </w:t>
      </w:r>
      <w:r w:rsidR="00E95B67" w:rsidRPr="00FD65C9">
        <w:rPr>
          <w:rFonts w:eastAsia="Times New Roman"/>
          <w:lang w:val="pl-PL"/>
        </w:rPr>
        <w:t>zindywidualizowania, mimo że dokumenty te dotyczyły nie tylko skarżącego, lecz także trzynastu innych podejrzanych. Zdaniem Trybunału,</w:t>
      </w:r>
      <w:r w:rsidR="004E19F1">
        <w:rPr>
          <w:rFonts w:eastAsia="Times New Roman"/>
          <w:lang w:val="pl-PL"/>
        </w:rPr>
        <w:t xml:space="preserve"> </w:t>
      </w:r>
      <w:r w:rsidR="00E95B67" w:rsidRPr="00FD65C9">
        <w:rPr>
          <w:rFonts w:eastAsia="Times New Roman"/>
          <w:lang w:val="pl-PL"/>
        </w:rPr>
        <w:t>niejasn</w:t>
      </w:r>
      <w:r w:rsidR="00CA78F5">
        <w:rPr>
          <w:rFonts w:eastAsia="Times New Roman"/>
          <w:lang w:val="pl-PL"/>
        </w:rPr>
        <w:t>ych</w:t>
      </w:r>
      <w:r w:rsidR="00E95B67" w:rsidRPr="00FD65C9">
        <w:rPr>
          <w:rFonts w:eastAsia="Times New Roman"/>
          <w:lang w:val="pl-PL"/>
        </w:rPr>
        <w:t xml:space="preserve"> i ogóln</w:t>
      </w:r>
      <w:r w:rsidR="00F54EE8">
        <w:rPr>
          <w:rFonts w:eastAsia="Times New Roman"/>
          <w:lang w:val="pl-PL"/>
        </w:rPr>
        <w:t>ikow</w:t>
      </w:r>
      <w:r w:rsidR="00CA78F5">
        <w:rPr>
          <w:rFonts w:eastAsia="Times New Roman"/>
          <w:lang w:val="pl-PL"/>
        </w:rPr>
        <w:t>ych</w:t>
      </w:r>
      <w:r w:rsidR="00E95B67" w:rsidRPr="00FD65C9">
        <w:rPr>
          <w:rFonts w:eastAsia="Times New Roman"/>
          <w:lang w:val="pl-PL"/>
        </w:rPr>
        <w:t xml:space="preserve"> </w:t>
      </w:r>
      <w:r w:rsidR="00F54EE8" w:rsidRPr="00FD65C9">
        <w:rPr>
          <w:rFonts w:eastAsia="Times New Roman"/>
          <w:lang w:val="pl-PL"/>
        </w:rPr>
        <w:t>odniesie</w:t>
      </w:r>
      <w:r w:rsidR="00CA78F5">
        <w:rPr>
          <w:rFonts w:eastAsia="Times New Roman"/>
          <w:lang w:val="pl-PL"/>
        </w:rPr>
        <w:t>ń</w:t>
      </w:r>
      <w:r w:rsidR="00F54EE8" w:rsidRPr="00FD65C9">
        <w:rPr>
          <w:rFonts w:eastAsia="Times New Roman"/>
          <w:lang w:val="pl-PL"/>
        </w:rPr>
        <w:t xml:space="preserve"> </w:t>
      </w:r>
      <w:r w:rsidR="00E95B67" w:rsidRPr="00FD65C9">
        <w:rPr>
          <w:rFonts w:eastAsia="Times New Roman"/>
          <w:lang w:val="pl-PL"/>
        </w:rPr>
        <w:t xml:space="preserve">do </w:t>
      </w:r>
      <w:r w:rsidR="004E19F1">
        <w:rPr>
          <w:rFonts w:eastAsia="Times New Roman"/>
          <w:lang w:val="pl-PL"/>
        </w:rPr>
        <w:t>treści</w:t>
      </w:r>
      <w:r w:rsidR="00F54EE8" w:rsidRPr="00FD65C9">
        <w:rPr>
          <w:rFonts w:eastAsia="Times New Roman"/>
          <w:lang w:val="pl-PL"/>
        </w:rPr>
        <w:t xml:space="preserve"> </w:t>
      </w:r>
      <w:r w:rsidR="00E95B67" w:rsidRPr="00FD65C9">
        <w:rPr>
          <w:rFonts w:eastAsia="Times New Roman"/>
          <w:lang w:val="pl-PL"/>
        </w:rPr>
        <w:t xml:space="preserve">art. 100 kpk oraz do dokumentów znajdujących się w aktach sprawy nie </w:t>
      </w:r>
      <w:r w:rsidR="00F54EE8">
        <w:rPr>
          <w:rFonts w:eastAsia="Times New Roman"/>
          <w:lang w:val="pl-PL"/>
        </w:rPr>
        <w:t>można</w:t>
      </w:r>
      <w:r w:rsidR="00E95B67" w:rsidRPr="00FD65C9">
        <w:rPr>
          <w:rFonts w:eastAsia="Times New Roman"/>
          <w:lang w:val="pl-PL"/>
        </w:rPr>
        <w:t xml:space="preserve"> </w:t>
      </w:r>
      <w:r w:rsidR="00F54EE8" w:rsidRPr="00FD65C9">
        <w:rPr>
          <w:rFonts w:eastAsia="Times New Roman"/>
          <w:lang w:val="pl-PL"/>
        </w:rPr>
        <w:t>uzna</w:t>
      </w:r>
      <w:r w:rsidR="00F54EE8">
        <w:rPr>
          <w:rFonts w:eastAsia="Times New Roman"/>
          <w:lang w:val="pl-PL"/>
        </w:rPr>
        <w:t>ć</w:t>
      </w:r>
      <w:r w:rsidR="00F54EE8" w:rsidRPr="00FD65C9">
        <w:rPr>
          <w:rFonts w:eastAsia="Times New Roman"/>
          <w:lang w:val="pl-PL"/>
        </w:rPr>
        <w:t xml:space="preserve"> </w:t>
      </w:r>
      <w:r w:rsidR="00E95B67" w:rsidRPr="00FD65C9">
        <w:rPr>
          <w:rFonts w:eastAsia="Times New Roman"/>
          <w:lang w:val="pl-PL"/>
        </w:rPr>
        <w:t>za wystarczające dla przedstawienia „uzasadnionego” charakteru podejrzeń, na których opierało się tymczasowe aresztowanie skarżącego, wobec braku zindywidualizowanej i konkretnej oce</w:t>
      </w:r>
      <w:r w:rsidR="0028321A" w:rsidRPr="00FD65C9">
        <w:rPr>
          <w:rFonts w:eastAsia="Times New Roman"/>
          <w:lang w:val="pl-PL"/>
        </w:rPr>
        <w:t xml:space="preserve">ny </w:t>
      </w:r>
      <w:r w:rsidR="00F54EE8">
        <w:rPr>
          <w:rFonts w:eastAsia="Times New Roman"/>
          <w:lang w:val="pl-PL"/>
        </w:rPr>
        <w:t>dowodów</w:t>
      </w:r>
      <w:r w:rsidR="00F54EE8" w:rsidRPr="00FD65C9">
        <w:rPr>
          <w:rFonts w:eastAsia="Times New Roman"/>
          <w:lang w:val="pl-PL"/>
        </w:rPr>
        <w:t xml:space="preserve"> </w:t>
      </w:r>
      <w:r w:rsidR="0028321A" w:rsidRPr="00FD65C9">
        <w:rPr>
          <w:rFonts w:eastAsia="Times New Roman"/>
          <w:lang w:val="pl-PL"/>
        </w:rPr>
        <w:t>znajdujących się w </w:t>
      </w:r>
      <w:r w:rsidR="00E95B67" w:rsidRPr="00FD65C9">
        <w:rPr>
          <w:rFonts w:eastAsia="Times New Roman"/>
          <w:lang w:val="pl-PL"/>
        </w:rPr>
        <w:t xml:space="preserve">aktach sprawy oraz informacji, które mogłyby potwierdzić podejrzenia </w:t>
      </w:r>
      <w:r w:rsidR="00F54EE8">
        <w:rPr>
          <w:rFonts w:eastAsia="Times New Roman"/>
          <w:lang w:val="pl-PL"/>
        </w:rPr>
        <w:t xml:space="preserve">wobec </w:t>
      </w:r>
      <w:r w:rsidR="00E95B67" w:rsidRPr="00FD65C9">
        <w:rPr>
          <w:rFonts w:eastAsia="Times New Roman"/>
          <w:lang w:val="pl-PL"/>
        </w:rPr>
        <w:t xml:space="preserve">skarżącego lub innego rodzaju weryfikowalnych elementów lub faktów (zob., odpowiednio, </w:t>
      </w:r>
      <w:proofErr w:type="spellStart"/>
      <w:r w:rsidR="00E95B67" w:rsidRPr="00FD65C9">
        <w:rPr>
          <w:rFonts w:eastAsia="Times New Roman"/>
          <w:i/>
          <w:iCs/>
          <w:lang w:val="pl-PL"/>
        </w:rPr>
        <w:t>Lazoroski</w:t>
      </w:r>
      <w:proofErr w:type="spellEnd"/>
      <w:r w:rsidR="00E95B67" w:rsidRPr="00FD65C9">
        <w:rPr>
          <w:rFonts w:eastAsia="Times New Roman"/>
          <w:i/>
          <w:iCs/>
          <w:lang w:val="pl-PL"/>
        </w:rPr>
        <w:t xml:space="preserve"> przeciwko Byłej Jugosłowiańskiej Republice Macedonii</w:t>
      </w:r>
      <w:r w:rsidR="00E95B67" w:rsidRPr="00FD65C9">
        <w:rPr>
          <w:rFonts w:eastAsia="Times New Roman"/>
          <w:lang w:val="pl-PL"/>
        </w:rPr>
        <w:t xml:space="preserve">, nr 4922/04, § 48, 8 października 2009 r., oraz </w:t>
      </w:r>
      <w:proofErr w:type="spellStart"/>
      <w:r w:rsidR="00E95B67" w:rsidRPr="00FD65C9">
        <w:rPr>
          <w:rFonts w:eastAsia="Times New Roman"/>
          <w:i/>
          <w:iCs/>
          <w:lang w:val="pl-PL"/>
        </w:rPr>
        <w:t>Ilgar</w:t>
      </w:r>
      <w:proofErr w:type="spellEnd"/>
      <w:r w:rsidR="00E95B67" w:rsidRPr="00FD65C9">
        <w:rPr>
          <w:rFonts w:eastAsia="Times New Roman"/>
          <w:i/>
          <w:iCs/>
          <w:lang w:val="pl-PL"/>
        </w:rPr>
        <w:t xml:space="preserve"> </w:t>
      </w:r>
      <w:proofErr w:type="spellStart"/>
      <w:r w:rsidR="00E95B67" w:rsidRPr="00FD65C9">
        <w:rPr>
          <w:rFonts w:eastAsia="Times New Roman"/>
          <w:i/>
          <w:iCs/>
          <w:lang w:val="pl-PL"/>
        </w:rPr>
        <w:t>Mammadov</w:t>
      </w:r>
      <w:proofErr w:type="spellEnd"/>
      <w:r w:rsidR="00E95B67" w:rsidRPr="00FD65C9">
        <w:rPr>
          <w:rFonts w:eastAsia="Times New Roman"/>
          <w:lang w:val="pl-PL"/>
        </w:rPr>
        <w:t xml:space="preserve">, </w:t>
      </w:r>
      <w:r w:rsidR="00F54EE8" w:rsidRPr="00FD65C9">
        <w:rPr>
          <w:rFonts w:eastAsia="Times New Roman"/>
          <w:i/>
          <w:iCs/>
          <w:lang w:val="pl-PL"/>
        </w:rPr>
        <w:t>op. cit</w:t>
      </w:r>
      <w:r w:rsidR="00F54EE8">
        <w:rPr>
          <w:rFonts w:eastAsia="Times New Roman"/>
          <w:lang w:val="pl-PL"/>
        </w:rPr>
        <w:t>.</w:t>
      </w:r>
      <w:r w:rsidR="00E95B67" w:rsidRPr="00FD65C9">
        <w:rPr>
          <w:rFonts w:eastAsia="Times New Roman"/>
          <w:lang w:val="pl-PL"/>
        </w:rPr>
        <w:t>, § 97).</w:t>
      </w:r>
    </w:p>
    <w:p w14:paraId="430974CB" w14:textId="3E052AD8" w:rsidR="00E95B67" w:rsidRPr="00FD65C9" w:rsidRDefault="00DA7597" w:rsidP="00622760">
      <w:pPr>
        <w:pStyle w:val="ECHRPara"/>
        <w:rPr>
          <w:rFonts w:eastAsia="Times New Roman"/>
          <w:lang w:val="pl-PL"/>
        </w:rPr>
      </w:pPr>
      <w:r w:rsidRPr="00FD65C9">
        <w:rPr>
          <w:rFonts w:eastAsia="Times New Roman"/>
          <w:lang w:val="pl-PL"/>
        </w:rPr>
        <w:fldChar w:fldCharType="begin"/>
      </w:r>
      <w:r w:rsidR="00E95B67" w:rsidRPr="00FD65C9">
        <w:rPr>
          <w:rFonts w:eastAsia="Times New Roman"/>
          <w:lang w:val="pl-PL"/>
        </w:rPr>
        <w:instrText xml:space="preserve"> SEQ level0 \*arabic </w:instrText>
      </w:r>
      <w:r w:rsidRPr="00FD65C9">
        <w:rPr>
          <w:rFonts w:eastAsia="Times New Roman"/>
          <w:lang w:val="pl-PL"/>
        </w:rPr>
        <w:fldChar w:fldCharType="separate"/>
      </w:r>
      <w:r w:rsidR="00E95B67" w:rsidRPr="00FD65C9">
        <w:rPr>
          <w:rFonts w:eastAsia="Times New Roman"/>
          <w:noProof/>
          <w:lang w:val="pl-PL"/>
        </w:rPr>
        <w:t>143</w:t>
      </w:r>
      <w:r w:rsidRPr="00FD65C9">
        <w:rPr>
          <w:rFonts w:eastAsia="Times New Roman"/>
          <w:lang w:val="pl-PL"/>
        </w:rPr>
        <w:fldChar w:fldCharType="end"/>
      </w:r>
      <w:r w:rsidR="00E95B67" w:rsidRPr="00FD65C9">
        <w:rPr>
          <w:rFonts w:eastAsia="Times New Roman"/>
          <w:lang w:val="pl-PL"/>
        </w:rPr>
        <w:t xml:space="preserve">.  Z powodów przedstawionych powyżej Trybunał uważa, że żadne konkretne okoliczności faktyczne lub informacje o takim charakterze, które mogłyby wzbudzić podejrzenia uzasadniające </w:t>
      </w:r>
      <w:r w:rsidR="00F54EE8">
        <w:rPr>
          <w:rFonts w:eastAsia="Times New Roman"/>
          <w:lang w:val="pl-PL"/>
        </w:rPr>
        <w:t>tymczasowe aresztowanie</w:t>
      </w:r>
      <w:r w:rsidR="00F54EE8" w:rsidRPr="00FD65C9">
        <w:rPr>
          <w:rFonts w:eastAsia="Times New Roman"/>
          <w:lang w:val="pl-PL"/>
        </w:rPr>
        <w:t xml:space="preserve"> </w:t>
      </w:r>
      <w:r w:rsidR="00E95B67" w:rsidRPr="00FD65C9">
        <w:rPr>
          <w:rFonts w:eastAsia="Times New Roman"/>
          <w:lang w:val="pl-PL"/>
        </w:rPr>
        <w:t xml:space="preserve">skarżącego, nie zostały wspomniane ani przedstawione w trakcie postępowania wstępnego, co </w:t>
      </w:r>
      <w:r w:rsidR="00F54EE8">
        <w:rPr>
          <w:rFonts w:eastAsia="Times New Roman"/>
          <w:lang w:val="pl-PL"/>
        </w:rPr>
        <w:t>mimo wszystko</w:t>
      </w:r>
      <w:r w:rsidR="00F54EE8" w:rsidRPr="00FD65C9">
        <w:rPr>
          <w:rFonts w:eastAsia="Times New Roman"/>
          <w:lang w:val="pl-PL"/>
        </w:rPr>
        <w:t xml:space="preserve"> </w:t>
      </w:r>
      <w:r w:rsidR="00E95B67" w:rsidRPr="00FD65C9">
        <w:rPr>
          <w:rFonts w:eastAsia="Times New Roman"/>
          <w:lang w:val="pl-PL"/>
        </w:rPr>
        <w:t>doprowadziło do zastosowania tego środka wobec skarżącego.</w:t>
      </w:r>
    </w:p>
    <w:p w14:paraId="5CD25A99" w14:textId="465FF757" w:rsidR="00E95B67" w:rsidRPr="00FD65C9" w:rsidRDefault="00DA7597" w:rsidP="00622760">
      <w:pPr>
        <w:pStyle w:val="ECHRPara"/>
        <w:rPr>
          <w:rFonts w:eastAsia="Times New Roman"/>
          <w:lang w:val="pl-PL"/>
        </w:rPr>
      </w:pPr>
      <w:r w:rsidRPr="00FD65C9">
        <w:rPr>
          <w:rFonts w:eastAsia="Times New Roman"/>
          <w:lang w:val="pl-PL"/>
        </w:rPr>
        <w:fldChar w:fldCharType="begin"/>
      </w:r>
      <w:r w:rsidR="00E95B67" w:rsidRPr="00FD65C9">
        <w:rPr>
          <w:rFonts w:eastAsia="Times New Roman"/>
          <w:lang w:val="pl-PL"/>
        </w:rPr>
        <w:instrText xml:space="preserve"> SEQ level0 \*arabic </w:instrText>
      </w:r>
      <w:r w:rsidRPr="00FD65C9">
        <w:rPr>
          <w:rFonts w:eastAsia="Times New Roman"/>
          <w:lang w:val="pl-PL"/>
        </w:rPr>
        <w:fldChar w:fldCharType="separate"/>
      </w:r>
      <w:r w:rsidR="00E95B67" w:rsidRPr="00FD65C9">
        <w:rPr>
          <w:rFonts w:eastAsia="Times New Roman"/>
          <w:noProof/>
          <w:lang w:val="pl-PL"/>
        </w:rPr>
        <w:t>144</w:t>
      </w:r>
      <w:r w:rsidRPr="00FD65C9">
        <w:rPr>
          <w:rFonts w:eastAsia="Times New Roman"/>
          <w:lang w:val="pl-PL"/>
        </w:rPr>
        <w:fldChar w:fldCharType="end"/>
      </w:r>
      <w:r w:rsidR="00E95B67" w:rsidRPr="00FD65C9">
        <w:rPr>
          <w:rFonts w:eastAsia="Times New Roman"/>
          <w:lang w:val="pl-PL"/>
        </w:rPr>
        <w:t xml:space="preserve">.  Trybunał ma na uwadze fakt, że sprawa skarżącego została </w:t>
      </w:r>
      <w:r w:rsidR="00F54EE8">
        <w:rPr>
          <w:rFonts w:eastAsia="Times New Roman"/>
          <w:lang w:val="pl-PL"/>
        </w:rPr>
        <w:t>skierowana</w:t>
      </w:r>
      <w:r w:rsidR="00F54EE8" w:rsidRPr="00FD65C9">
        <w:rPr>
          <w:rFonts w:eastAsia="Times New Roman"/>
          <w:lang w:val="pl-PL"/>
        </w:rPr>
        <w:t xml:space="preserve"> </w:t>
      </w:r>
      <w:r w:rsidR="00E95B67" w:rsidRPr="00FD65C9">
        <w:rPr>
          <w:rFonts w:eastAsia="Times New Roman"/>
          <w:lang w:val="pl-PL"/>
        </w:rPr>
        <w:t xml:space="preserve">do sądu. Zauważa jednak, że </w:t>
      </w:r>
      <w:r w:rsidR="00F54EE8">
        <w:rPr>
          <w:rFonts w:eastAsia="Times New Roman"/>
          <w:lang w:val="pl-PL"/>
        </w:rPr>
        <w:t>skarga</w:t>
      </w:r>
      <w:r w:rsidR="00E95B67" w:rsidRPr="00FD65C9">
        <w:rPr>
          <w:rFonts w:eastAsia="Times New Roman"/>
          <w:lang w:val="pl-PL"/>
        </w:rPr>
        <w:t xml:space="preserve"> dotyczy wyłącznie </w:t>
      </w:r>
      <w:r w:rsidR="00F54EE8">
        <w:rPr>
          <w:rFonts w:eastAsia="Times New Roman"/>
          <w:lang w:val="pl-PL"/>
        </w:rPr>
        <w:t>jego tymczasowego aresztowania</w:t>
      </w:r>
      <w:r w:rsidR="00E95B67" w:rsidRPr="00FD65C9">
        <w:rPr>
          <w:rFonts w:eastAsia="Times New Roman"/>
          <w:lang w:val="pl-PL"/>
        </w:rPr>
        <w:t xml:space="preserve">. Ponadto </w:t>
      </w:r>
      <w:r w:rsidR="00F54EE8">
        <w:rPr>
          <w:rFonts w:eastAsia="Times New Roman"/>
          <w:lang w:val="pl-PL"/>
        </w:rPr>
        <w:t>podkreśla</w:t>
      </w:r>
      <w:r w:rsidR="00E95B67" w:rsidRPr="00FD65C9">
        <w:rPr>
          <w:rFonts w:eastAsia="Times New Roman"/>
          <w:lang w:val="pl-PL"/>
        </w:rPr>
        <w:t xml:space="preserve">, że fakt, iż skarżący został skazany przez sąd kasacyjny, </w:t>
      </w:r>
      <w:r w:rsidR="00F54EE8">
        <w:rPr>
          <w:rFonts w:eastAsia="Times New Roman"/>
          <w:lang w:val="pl-PL"/>
        </w:rPr>
        <w:t>który rozpoznawał sprawę</w:t>
      </w:r>
      <w:r w:rsidR="00A367D9">
        <w:rPr>
          <w:rFonts w:eastAsia="Times New Roman"/>
          <w:lang w:val="pl-PL"/>
        </w:rPr>
        <w:t xml:space="preserve"> </w:t>
      </w:r>
      <w:r w:rsidR="00F54EE8">
        <w:rPr>
          <w:rFonts w:eastAsia="Times New Roman"/>
          <w:lang w:val="pl-PL"/>
        </w:rPr>
        <w:t>w</w:t>
      </w:r>
      <w:r w:rsidR="00E95B67" w:rsidRPr="00FD65C9">
        <w:rPr>
          <w:rFonts w:eastAsia="Times New Roman"/>
          <w:lang w:val="pl-PL"/>
        </w:rPr>
        <w:t xml:space="preserve"> pierwszej instancji (zob. paragraf 44 powyżej), nie ma wpływu na ustalenia Trybunału w odnies</w:t>
      </w:r>
      <w:r w:rsidR="0028321A" w:rsidRPr="00FD65C9">
        <w:rPr>
          <w:rFonts w:eastAsia="Times New Roman"/>
          <w:lang w:val="pl-PL"/>
        </w:rPr>
        <w:t xml:space="preserve">ieniu do </w:t>
      </w:r>
      <w:r w:rsidR="00A367D9">
        <w:rPr>
          <w:rFonts w:eastAsia="Times New Roman"/>
          <w:lang w:val="pl-PL"/>
        </w:rPr>
        <w:t>skargi</w:t>
      </w:r>
      <w:r w:rsidR="0028321A" w:rsidRPr="00FD65C9">
        <w:rPr>
          <w:rFonts w:eastAsia="Times New Roman"/>
          <w:lang w:val="pl-PL"/>
        </w:rPr>
        <w:t xml:space="preserve">, </w:t>
      </w:r>
      <w:r w:rsidR="00A367D9">
        <w:rPr>
          <w:rFonts w:eastAsia="Times New Roman"/>
          <w:lang w:val="pl-PL"/>
        </w:rPr>
        <w:t>wskutek której ma on</w:t>
      </w:r>
      <w:r w:rsidR="00E95B67" w:rsidRPr="00FD65C9">
        <w:rPr>
          <w:rFonts w:eastAsia="Times New Roman"/>
          <w:lang w:val="pl-PL"/>
        </w:rPr>
        <w:t xml:space="preserve"> </w:t>
      </w:r>
      <w:r w:rsidR="00A367D9" w:rsidRPr="00FD65C9">
        <w:rPr>
          <w:rFonts w:eastAsia="Times New Roman"/>
          <w:lang w:val="pl-PL"/>
        </w:rPr>
        <w:t>ustal</w:t>
      </w:r>
      <w:r w:rsidR="00A367D9">
        <w:rPr>
          <w:rFonts w:eastAsia="Times New Roman"/>
          <w:lang w:val="pl-PL"/>
        </w:rPr>
        <w:t>ić</w:t>
      </w:r>
      <w:r w:rsidR="00E95B67" w:rsidRPr="00FD65C9">
        <w:rPr>
          <w:rFonts w:eastAsia="Times New Roman"/>
          <w:lang w:val="pl-PL"/>
        </w:rPr>
        <w:t xml:space="preserve">, czy zaskarżony środek był uzasadniony w świetle faktów i informacji dostępnych w czasie </w:t>
      </w:r>
      <w:r w:rsidR="00A367D9">
        <w:rPr>
          <w:rFonts w:eastAsia="Times New Roman"/>
          <w:lang w:val="pl-PL"/>
        </w:rPr>
        <w:t>mającym znaczenie</w:t>
      </w:r>
      <w:r w:rsidR="00A367D9" w:rsidRPr="00FD65C9">
        <w:rPr>
          <w:rFonts w:eastAsia="Times New Roman"/>
          <w:lang w:val="pl-PL"/>
        </w:rPr>
        <w:t xml:space="preserve"> </w:t>
      </w:r>
      <w:r w:rsidR="00E95B67" w:rsidRPr="00FD65C9">
        <w:rPr>
          <w:rFonts w:eastAsia="Times New Roman"/>
          <w:lang w:val="pl-PL"/>
        </w:rPr>
        <w:t>dla okoliczności sprawy, tj. dnia 20 lipca 2016 r.</w:t>
      </w:r>
    </w:p>
    <w:p w14:paraId="0CEA8B08" w14:textId="08C832D8" w:rsidR="00E95B67" w:rsidRPr="00FD65C9" w:rsidRDefault="00DA7597" w:rsidP="00622760">
      <w:pPr>
        <w:pStyle w:val="ECHRPara"/>
        <w:rPr>
          <w:rFonts w:eastAsia="Times New Roman"/>
          <w:lang w:val="pl-PL"/>
        </w:rPr>
      </w:pPr>
      <w:r w:rsidRPr="00FD65C9">
        <w:rPr>
          <w:rFonts w:eastAsia="Times New Roman"/>
          <w:lang w:val="pl-PL"/>
        </w:rPr>
        <w:fldChar w:fldCharType="begin"/>
      </w:r>
      <w:r w:rsidR="00E95B67" w:rsidRPr="00FD65C9">
        <w:rPr>
          <w:rFonts w:eastAsia="Times New Roman"/>
          <w:lang w:val="pl-PL"/>
        </w:rPr>
        <w:instrText xml:space="preserve"> SEQ level0 \*arabic </w:instrText>
      </w:r>
      <w:r w:rsidRPr="00FD65C9">
        <w:rPr>
          <w:rFonts w:eastAsia="Times New Roman"/>
          <w:lang w:val="pl-PL"/>
        </w:rPr>
        <w:fldChar w:fldCharType="separate"/>
      </w:r>
      <w:r w:rsidR="00E95B67" w:rsidRPr="00FD65C9">
        <w:rPr>
          <w:rFonts w:eastAsia="Times New Roman"/>
          <w:noProof/>
          <w:lang w:val="pl-PL"/>
        </w:rPr>
        <w:t>145</w:t>
      </w:r>
      <w:r w:rsidRPr="00FD65C9">
        <w:rPr>
          <w:rFonts w:eastAsia="Times New Roman"/>
          <w:lang w:val="pl-PL"/>
        </w:rPr>
        <w:fldChar w:fldCharType="end"/>
      </w:r>
      <w:r w:rsidR="00E95B67" w:rsidRPr="00FD65C9">
        <w:rPr>
          <w:rFonts w:eastAsia="Times New Roman"/>
          <w:lang w:val="pl-PL"/>
        </w:rPr>
        <w:t xml:space="preserve">.  W świetle powyższej analizy Trybunał uznał, że przedstawiony mu materiał nie pozwala na stwierdzenie, że w chwili </w:t>
      </w:r>
      <w:r w:rsidR="00A367D9">
        <w:rPr>
          <w:rFonts w:eastAsia="Times New Roman"/>
          <w:lang w:val="pl-PL"/>
        </w:rPr>
        <w:t>tymczasowego aresztowania</w:t>
      </w:r>
      <w:r w:rsidR="00A367D9" w:rsidRPr="00FD65C9">
        <w:rPr>
          <w:rFonts w:eastAsia="Times New Roman"/>
          <w:lang w:val="pl-PL"/>
        </w:rPr>
        <w:t xml:space="preserve"> </w:t>
      </w:r>
      <w:r w:rsidR="00E95B67" w:rsidRPr="00FD65C9">
        <w:rPr>
          <w:rFonts w:eastAsia="Times New Roman"/>
          <w:lang w:val="pl-PL"/>
        </w:rPr>
        <w:t xml:space="preserve">skarżącego istniały wobec niego uzasadnione podejrzenia.  Rząd nie przedstawił żadnych dalszych dowodów ani żadnych „okoliczności faktycznych” ani „informacji” mogących przekonać Trybunał, że </w:t>
      </w:r>
      <w:r w:rsidR="00A367D9">
        <w:rPr>
          <w:rFonts w:eastAsia="Times New Roman"/>
          <w:lang w:val="pl-PL"/>
        </w:rPr>
        <w:t xml:space="preserve">w chwili zastosowania tymczasowego aresztowania wobec skarżącego </w:t>
      </w:r>
      <w:r w:rsidR="00E95B67" w:rsidRPr="00FD65C9">
        <w:rPr>
          <w:rFonts w:eastAsia="Times New Roman"/>
          <w:lang w:val="pl-PL"/>
        </w:rPr>
        <w:t>istniały „uzasadnione” podejrzenia popełnieni</w:t>
      </w:r>
      <w:r w:rsidR="00A367D9">
        <w:rPr>
          <w:rFonts w:eastAsia="Times New Roman"/>
          <w:lang w:val="pl-PL"/>
        </w:rPr>
        <w:t>a</w:t>
      </w:r>
      <w:r w:rsidR="00E95B67" w:rsidRPr="00FD65C9">
        <w:rPr>
          <w:rFonts w:eastAsia="Times New Roman"/>
          <w:lang w:val="pl-PL"/>
        </w:rPr>
        <w:t xml:space="preserve"> prze</w:t>
      </w:r>
      <w:r w:rsidR="0028321A" w:rsidRPr="00FD65C9">
        <w:rPr>
          <w:rFonts w:eastAsia="Times New Roman"/>
          <w:lang w:val="pl-PL"/>
        </w:rPr>
        <w:t xml:space="preserve">dmiotowego przestępstwa </w:t>
      </w:r>
      <w:r w:rsidR="00A367D9">
        <w:rPr>
          <w:rFonts w:eastAsia="Times New Roman"/>
          <w:lang w:val="pl-PL"/>
        </w:rPr>
        <w:t>przez skarżącego</w:t>
      </w:r>
      <w:r w:rsidR="00E95B67" w:rsidRPr="00FD65C9">
        <w:rPr>
          <w:rFonts w:eastAsia="Times New Roman"/>
          <w:lang w:val="pl-PL"/>
        </w:rPr>
        <w:t xml:space="preserve">, </w:t>
      </w:r>
      <w:r w:rsidR="00A367D9">
        <w:rPr>
          <w:rFonts w:eastAsia="Times New Roman"/>
          <w:lang w:val="pl-PL"/>
        </w:rPr>
        <w:t>a zatem</w:t>
      </w:r>
      <w:r w:rsidR="00A367D9" w:rsidRPr="00FD65C9">
        <w:rPr>
          <w:rFonts w:eastAsia="Times New Roman"/>
          <w:lang w:val="pl-PL"/>
        </w:rPr>
        <w:t xml:space="preserve"> </w:t>
      </w:r>
      <w:r w:rsidR="00E95B67" w:rsidRPr="00FD65C9">
        <w:rPr>
          <w:rFonts w:eastAsia="Times New Roman"/>
          <w:lang w:val="pl-PL"/>
        </w:rPr>
        <w:t xml:space="preserve">Trybunał uznał, że wyjaśnienia Rządu nie spełniały wymogów art. 5 ust. 1 lit. c co do „uzasadnionego” charakteru podejrzeń, które doprowadziły do </w:t>
      </w:r>
      <w:r w:rsidR="00A367D9">
        <w:rPr>
          <w:rFonts w:eastAsia="Times New Roman"/>
          <w:lang w:val="pl-PL"/>
        </w:rPr>
        <w:t>tymczasowego aresztowania</w:t>
      </w:r>
      <w:r w:rsidR="00A367D9" w:rsidRPr="00FD65C9">
        <w:rPr>
          <w:rFonts w:eastAsia="Times New Roman"/>
          <w:lang w:val="pl-PL"/>
        </w:rPr>
        <w:t xml:space="preserve"> </w:t>
      </w:r>
      <w:r w:rsidR="00E95B67" w:rsidRPr="00FD65C9">
        <w:rPr>
          <w:rFonts w:eastAsia="Times New Roman"/>
          <w:lang w:val="pl-PL"/>
        </w:rPr>
        <w:t>danej osoby.</w:t>
      </w:r>
    </w:p>
    <w:p w14:paraId="1CE47784" w14:textId="77777777" w:rsidR="00E95B67" w:rsidRPr="00FD65C9" w:rsidRDefault="0075254D" w:rsidP="00622760">
      <w:pPr>
        <w:pStyle w:val="ECHRHeading5"/>
        <w:rPr>
          <w:rFonts w:eastAsia="Times New Roman"/>
          <w:lang w:val="pl-PL"/>
        </w:rPr>
      </w:pPr>
      <w:r w:rsidRPr="00FD65C9">
        <w:rPr>
          <w:bCs w:val="0"/>
          <w:iCs/>
          <w:lang w:val="pl-PL"/>
        </w:rPr>
        <w:t>ii.  W przedmiocie art. 15 Konwencji</w:t>
      </w:r>
    </w:p>
    <w:p w14:paraId="03C9D2FB" w14:textId="6D209985" w:rsidR="00E95B67" w:rsidRPr="00FD65C9" w:rsidRDefault="00DA7597" w:rsidP="00622760">
      <w:pPr>
        <w:pStyle w:val="ECHRPara"/>
        <w:rPr>
          <w:rFonts w:eastAsia="Calibri"/>
          <w:lang w:val="pl-PL"/>
        </w:rPr>
      </w:pPr>
      <w:r w:rsidRPr="00FD65C9">
        <w:rPr>
          <w:rFonts w:eastAsia="Calibri"/>
          <w:lang w:val="pl-PL"/>
        </w:rPr>
        <w:fldChar w:fldCharType="begin"/>
      </w:r>
      <w:r w:rsidR="00E95B67" w:rsidRPr="00FD65C9">
        <w:rPr>
          <w:rFonts w:eastAsia="Calibri"/>
          <w:lang w:val="pl-PL"/>
        </w:rPr>
        <w:instrText xml:space="preserve"> SEQ level0 \*arabic </w:instrText>
      </w:r>
      <w:r w:rsidRPr="00FD65C9">
        <w:rPr>
          <w:rFonts w:eastAsia="Calibri"/>
          <w:lang w:val="pl-PL"/>
        </w:rPr>
        <w:fldChar w:fldCharType="separate"/>
      </w:r>
      <w:r w:rsidR="00E95B67" w:rsidRPr="00FD65C9">
        <w:rPr>
          <w:rFonts w:eastAsia="Calibri"/>
          <w:noProof/>
          <w:lang w:val="pl-PL"/>
        </w:rPr>
        <w:t>146</w:t>
      </w:r>
      <w:r w:rsidRPr="00FD65C9">
        <w:rPr>
          <w:rFonts w:eastAsia="Calibri"/>
          <w:lang w:val="pl-PL"/>
        </w:rPr>
        <w:fldChar w:fldCharType="end"/>
      </w:r>
      <w:r w:rsidR="00E95B67" w:rsidRPr="00FD65C9">
        <w:rPr>
          <w:rFonts w:eastAsia="Calibri"/>
          <w:lang w:val="pl-PL"/>
        </w:rPr>
        <w:t xml:space="preserve">.  W odniesieniu do pojęcia „uzasadnionego” charakteru podejrzeń, </w:t>
      </w:r>
      <w:r w:rsidR="00B50005">
        <w:rPr>
          <w:rFonts w:eastAsia="Calibri"/>
          <w:lang w:val="pl-PL"/>
        </w:rPr>
        <w:t>które musi stanowić podstawę</w:t>
      </w:r>
      <w:r w:rsidR="00E95B67" w:rsidRPr="00FD65C9">
        <w:rPr>
          <w:rFonts w:eastAsia="Calibri"/>
          <w:lang w:val="pl-PL"/>
        </w:rPr>
        <w:t xml:space="preserve"> zatrzymani</w:t>
      </w:r>
      <w:r w:rsidR="00B50005">
        <w:rPr>
          <w:rFonts w:eastAsia="Calibri"/>
          <w:lang w:val="pl-PL"/>
        </w:rPr>
        <w:t>a lub tymczasowego aresztowania</w:t>
      </w:r>
      <w:r w:rsidR="00E95B67" w:rsidRPr="00FD65C9">
        <w:rPr>
          <w:rFonts w:eastAsia="Calibri"/>
          <w:lang w:val="pl-PL"/>
        </w:rPr>
        <w:t xml:space="preserve"> w czasie stanu wyjątkowego, Trybunał przypomniał, że Trybunał Konstytucyjny orzekł już o możliwości zastosowania art. 15 Konstytucji Turcji do środka </w:t>
      </w:r>
      <w:r w:rsidR="00B50005">
        <w:rPr>
          <w:rFonts w:eastAsia="Calibri"/>
          <w:lang w:val="pl-PL"/>
        </w:rPr>
        <w:t>izolacyjnego</w:t>
      </w:r>
      <w:r w:rsidR="00E95B67" w:rsidRPr="00FD65C9">
        <w:rPr>
          <w:rFonts w:eastAsia="Calibri"/>
          <w:lang w:val="pl-PL"/>
        </w:rPr>
        <w:t>, którego legalność została zakwestionowana. Trybunał uznał w szczególności, ż</w:t>
      </w:r>
      <w:r w:rsidR="0028321A" w:rsidRPr="00FD65C9">
        <w:rPr>
          <w:rFonts w:eastAsia="Calibri"/>
          <w:lang w:val="pl-PL"/>
        </w:rPr>
        <w:t>e gwarancje prawa do wolności i </w:t>
      </w:r>
      <w:r w:rsidR="00E95B67" w:rsidRPr="00FD65C9">
        <w:rPr>
          <w:rFonts w:eastAsia="Calibri"/>
          <w:lang w:val="pl-PL"/>
        </w:rPr>
        <w:t xml:space="preserve">bezpieczeństwa straciłyby na znaczeniu, gdyby przyjęto, że osoby mogą być </w:t>
      </w:r>
      <w:r w:rsidR="00B50005">
        <w:rPr>
          <w:rFonts w:eastAsia="Calibri"/>
          <w:lang w:val="pl-PL"/>
        </w:rPr>
        <w:t>tymczasowo aresztowane</w:t>
      </w:r>
      <w:r w:rsidR="00E95B67" w:rsidRPr="00FD65C9">
        <w:rPr>
          <w:rFonts w:eastAsia="Calibri"/>
          <w:lang w:val="pl-PL"/>
        </w:rPr>
        <w:t xml:space="preserve"> bez </w:t>
      </w:r>
      <w:r w:rsidR="00B50005">
        <w:rPr>
          <w:rFonts w:eastAsia="Calibri"/>
          <w:lang w:val="pl-PL"/>
        </w:rPr>
        <w:t xml:space="preserve">zaistnienia </w:t>
      </w:r>
      <w:r w:rsidR="00E95B67" w:rsidRPr="00FD65C9">
        <w:rPr>
          <w:rFonts w:eastAsia="Calibri"/>
          <w:lang w:val="pl-PL"/>
        </w:rPr>
        <w:t xml:space="preserve">poważnych przesłanek popełnienia przestępstwa (paragraf 64 powyżej). Ten sam wniosek odnosi się do </w:t>
      </w:r>
      <w:r w:rsidR="00B50005">
        <w:rPr>
          <w:rFonts w:eastAsia="Calibri"/>
          <w:lang w:val="pl-PL"/>
        </w:rPr>
        <w:t>oceny</w:t>
      </w:r>
      <w:r w:rsidR="00E95B67" w:rsidRPr="00FD65C9">
        <w:rPr>
          <w:rFonts w:eastAsia="Calibri"/>
          <w:lang w:val="pl-PL"/>
        </w:rPr>
        <w:t xml:space="preserve"> Trybunał</w:t>
      </w:r>
      <w:r w:rsidR="00B50005">
        <w:rPr>
          <w:rFonts w:eastAsia="Calibri"/>
          <w:lang w:val="pl-PL"/>
        </w:rPr>
        <w:t>u</w:t>
      </w:r>
      <w:r w:rsidR="00E95B67" w:rsidRPr="00FD65C9">
        <w:rPr>
          <w:rFonts w:eastAsia="Calibri"/>
          <w:lang w:val="pl-PL"/>
        </w:rPr>
        <w:t xml:space="preserve"> (</w:t>
      </w:r>
      <w:proofErr w:type="spellStart"/>
      <w:r w:rsidR="00E95B67" w:rsidRPr="00FD65C9">
        <w:rPr>
          <w:rFonts w:eastAsia="Calibri"/>
          <w:i/>
          <w:iCs/>
          <w:lang w:val="pl-PL"/>
        </w:rPr>
        <w:t>Mehmet</w:t>
      </w:r>
      <w:proofErr w:type="spellEnd"/>
      <w:r w:rsidR="00E95B67" w:rsidRPr="00FD65C9">
        <w:rPr>
          <w:rFonts w:eastAsia="Calibri"/>
          <w:i/>
          <w:iCs/>
          <w:lang w:val="pl-PL"/>
        </w:rPr>
        <w:t xml:space="preserve"> </w:t>
      </w:r>
      <w:proofErr w:type="spellStart"/>
      <w:r w:rsidR="00E95B67" w:rsidRPr="00FD65C9">
        <w:rPr>
          <w:rFonts w:eastAsia="Calibri"/>
          <w:i/>
          <w:iCs/>
          <w:lang w:val="pl-PL"/>
        </w:rPr>
        <w:t>Hasan</w:t>
      </w:r>
      <w:proofErr w:type="spellEnd"/>
      <w:r w:rsidR="00E95B67" w:rsidRPr="00FD65C9">
        <w:rPr>
          <w:rFonts w:eastAsia="Calibri"/>
          <w:i/>
          <w:iCs/>
          <w:lang w:val="pl-PL"/>
        </w:rPr>
        <w:t xml:space="preserve"> Altan</w:t>
      </w:r>
      <w:r w:rsidR="00E95B67" w:rsidRPr="00FD65C9">
        <w:rPr>
          <w:rFonts w:eastAsia="Calibri"/>
          <w:lang w:val="pl-PL"/>
        </w:rPr>
        <w:t xml:space="preserve">, </w:t>
      </w:r>
      <w:r w:rsidR="00B50005" w:rsidRPr="00FD65C9">
        <w:rPr>
          <w:rFonts w:eastAsia="Calibri"/>
          <w:i/>
          <w:iCs/>
          <w:lang w:val="pl-PL"/>
        </w:rPr>
        <w:t>op. cit</w:t>
      </w:r>
      <w:r w:rsidR="00B50005">
        <w:rPr>
          <w:rFonts w:eastAsia="Calibri"/>
          <w:lang w:val="pl-PL"/>
        </w:rPr>
        <w:t>.</w:t>
      </w:r>
      <w:r w:rsidR="00E95B67" w:rsidRPr="00FD65C9">
        <w:rPr>
          <w:rFonts w:eastAsia="Calibri"/>
          <w:lang w:val="pl-PL"/>
        </w:rPr>
        <w:t>, § 140).</w:t>
      </w:r>
    </w:p>
    <w:p w14:paraId="70AF9A5B" w14:textId="0DACBA32" w:rsidR="00675E41" w:rsidRPr="00FD65C9" w:rsidRDefault="00DA7597" w:rsidP="00622760">
      <w:pPr>
        <w:pStyle w:val="ECHRPara"/>
        <w:rPr>
          <w:rFonts w:ascii="Times New Roman" w:eastAsia="Calibri" w:hAnsi="Times New Roman" w:cs="Times New Roman"/>
          <w:szCs w:val="24"/>
          <w:lang w:val="pl-PL"/>
        </w:rPr>
      </w:pPr>
      <w:r w:rsidRPr="00FD65C9">
        <w:rPr>
          <w:rFonts w:ascii="Times New Roman" w:eastAsia="Calibri" w:hAnsi="Times New Roman" w:cs="Times New Roman"/>
          <w:szCs w:val="24"/>
          <w:lang w:val="pl-PL"/>
        </w:rPr>
        <w:fldChar w:fldCharType="begin"/>
      </w:r>
      <w:r w:rsidR="00E95B67" w:rsidRPr="00FD65C9">
        <w:rPr>
          <w:rFonts w:ascii="Times New Roman" w:eastAsia="Calibri" w:hAnsi="Times New Roman" w:cs="Times New Roman"/>
          <w:szCs w:val="24"/>
          <w:lang w:val="pl-PL"/>
        </w:rPr>
        <w:instrText xml:space="preserve"> SEQ level0 \*arabic </w:instrText>
      </w:r>
      <w:r w:rsidRPr="00FD65C9">
        <w:rPr>
          <w:rFonts w:ascii="Times New Roman" w:eastAsia="Calibri" w:hAnsi="Times New Roman" w:cs="Times New Roman"/>
          <w:szCs w:val="24"/>
          <w:lang w:val="pl-PL"/>
        </w:rPr>
        <w:fldChar w:fldCharType="separate"/>
      </w:r>
      <w:r w:rsidR="00E95B67" w:rsidRPr="00FD65C9">
        <w:rPr>
          <w:rFonts w:ascii="Times New Roman" w:eastAsia="Calibri" w:hAnsi="Times New Roman" w:cs="Times New Roman"/>
          <w:noProof/>
          <w:szCs w:val="24"/>
          <w:lang w:val="pl-PL"/>
        </w:rPr>
        <w:t>147</w:t>
      </w:r>
      <w:r w:rsidRPr="00FD65C9">
        <w:rPr>
          <w:rFonts w:ascii="Times New Roman" w:eastAsia="Calibri" w:hAnsi="Times New Roman" w:cs="Times New Roman"/>
          <w:szCs w:val="24"/>
          <w:lang w:val="pl-PL"/>
        </w:rPr>
        <w:fldChar w:fldCharType="end"/>
      </w:r>
      <w:r w:rsidR="00E95B67" w:rsidRPr="00FD65C9">
        <w:rPr>
          <w:rFonts w:ascii="Times New Roman" w:eastAsia="Calibri" w:hAnsi="Times New Roman" w:cs="Times New Roman"/>
          <w:szCs w:val="24"/>
          <w:lang w:val="pl-PL"/>
        </w:rPr>
        <w:t xml:space="preserve">.  Ponadto, jak stwierdzono powyżej (zob. paragraf 135), trudności, przed którymi stanęła Turcja w następstwie próby wojskowego zamachu stanu z </w:t>
      </w:r>
      <w:r w:rsidR="00B50005">
        <w:rPr>
          <w:rFonts w:ascii="Times New Roman" w:eastAsia="Calibri" w:hAnsi="Times New Roman" w:cs="Times New Roman"/>
          <w:szCs w:val="24"/>
          <w:lang w:val="pl-PL"/>
        </w:rPr>
        <w:t xml:space="preserve">dnia </w:t>
      </w:r>
      <w:r w:rsidR="00E95B67" w:rsidRPr="00FD65C9">
        <w:rPr>
          <w:rFonts w:ascii="Times New Roman" w:eastAsia="Calibri" w:hAnsi="Times New Roman" w:cs="Times New Roman"/>
          <w:szCs w:val="24"/>
          <w:lang w:val="pl-PL"/>
        </w:rPr>
        <w:t xml:space="preserve">15 lipca 2016 r., z pewnością </w:t>
      </w:r>
      <w:r w:rsidR="00B50005">
        <w:rPr>
          <w:rFonts w:ascii="Times New Roman" w:eastAsia="Calibri" w:hAnsi="Times New Roman" w:cs="Times New Roman"/>
          <w:szCs w:val="24"/>
          <w:lang w:val="pl-PL"/>
        </w:rPr>
        <w:t xml:space="preserve">stanowią </w:t>
      </w:r>
      <w:r w:rsidR="00E95B67" w:rsidRPr="00FD65C9">
        <w:rPr>
          <w:rFonts w:ascii="Times New Roman" w:eastAsia="Calibri" w:hAnsi="Times New Roman" w:cs="Times New Roman"/>
          <w:szCs w:val="24"/>
          <w:lang w:val="pl-PL"/>
        </w:rPr>
        <w:t xml:space="preserve">element kontekstowy, który Trybunał musi w pełni uwzględnić przy dokonywaniu wykładni </w:t>
      </w:r>
      <w:r w:rsidR="0028321A" w:rsidRPr="00FD65C9">
        <w:rPr>
          <w:rFonts w:ascii="Times New Roman" w:eastAsia="Calibri" w:hAnsi="Times New Roman" w:cs="Times New Roman"/>
          <w:szCs w:val="24"/>
          <w:lang w:val="pl-PL"/>
        </w:rPr>
        <w:t>i </w:t>
      </w:r>
      <w:r w:rsidR="00E95B67" w:rsidRPr="00FD65C9">
        <w:rPr>
          <w:rFonts w:ascii="Times New Roman" w:eastAsia="Calibri" w:hAnsi="Times New Roman" w:cs="Times New Roman"/>
          <w:szCs w:val="24"/>
          <w:lang w:val="pl-PL"/>
        </w:rPr>
        <w:t>stosowaniu art. 5 Konwencji w niniejszej sprawie. Ta kwestia odegrała również istotną rolę w powyższej analizie</w:t>
      </w:r>
      <w:r w:rsidR="0028321A" w:rsidRPr="00FD65C9">
        <w:rPr>
          <w:rFonts w:ascii="Times New Roman" w:eastAsia="Calibri" w:hAnsi="Times New Roman" w:cs="Times New Roman"/>
          <w:szCs w:val="24"/>
          <w:lang w:val="pl-PL"/>
        </w:rPr>
        <w:t xml:space="preserve"> Trybunału (paragrafy 134–136 i </w:t>
      </w:r>
      <w:r w:rsidR="00E95B67" w:rsidRPr="00FD65C9">
        <w:rPr>
          <w:rFonts w:ascii="Times New Roman" w:eastAsia="Calibri" w:hAnsi="Times New Roman" w:cs="Times New Roman"/>
          <w:szCs w:val="24"/>
          <w:lang w:val="pl-PL"/>
        </w:rPr>
        <w:t xml:space="preserve">140). Nie oznacza to </w:t>
      </w:r>
      <w:r w:rsidR="00B50005">
        <w:rPr>
          <w:rFonts w:ascii="Times New Roman" w:eastAsia="Calibri" w:hAnsi="Times New Roman" w:cs="Times New Roman"/>
          <w:szCs w:val="24"/>
          <w:lang w:val="pl-PL"/>
        </w:rPr>
        <w:t>bynajmniej</w:t>
      </w:r>
      <w:r w:rsidR="00E95B67" w:rsidRPr="00FD65C9">
        <w:rPr>
          <w:rFonts w:ascii="Times New Roman" w:eastAsia="Calibri" w:hAnsi="Times New Roman" w:cs="Times New Roman"/>
          <w:szCs w:val="24"/>
          <w:lang w:val="pl-PL"/>
        </w:rPr>
        <w:t xml:space="preserve">, że na podstawie art. 5 władze </w:t>
      </w:r>
      <w:r w:rsidR="00B50005">
        <w:rPr>
          <w:rFonts w:ascii="Times New Roman" w:eastAsia="Calibri" w:hAnsi="Times New Roman" w:cs="Times New Roman"/>
          <w:szCs w:val="24"/>
          <w:lang w:val="pl-PL"/>
        </w:rPr>
        <w:t>dysponują</w:t>
      </w:r>
      <w:r w:rsidR="00B50005">
        <w:rPr>
          <w:rFonts w:ascii="Times New Roman" w:eastAsia="Calibri" w:hAnsi="Times New Roman" w:cs="Times New Roman"/>
          <w:i/>
          <w:iCs/>
          <w:szCs w:val="24"/>
          <w:lang w:val="pl-PL"/>
        </w:rPr>
        <w:t xml:space="preserve"> </w:t>
      </w:r>
      <w:r w:rsidR="00B50005" w:rsidRPr="00FD65C9">
        <w:rPr>
          <w:rFonts w:ascii="Times New Roman" w:eastAsia="Calibri" w:hAnsi="Times New Roman" w:cs="Times New Roman"/>
          <w:szCs w:val="24"/>
          <w:lang w:val="pl-PL"/>
        </w:rPr>
        <w:t>swobodą w</w:t>
      </w:r>
      <w:r w:rsidR="00B50005">
        <w:rPr>
          <w:rFonts w:ascii="Times New Roman" w:eastAsia="Calibri" w:hAnsi="Times New Roman" w:cs="Times New Roman"/>
          <w:i/>
          <w:iCs/>
          <w:szCs w:val="24"/>
          <w:lang w:val="pl-PL"/>
        </w:rPr>
        <w:t xml:space="preserve"> </w:t>
      </w:r>
      <w:r w:rsidR="00E95B67" w:rsidRPr="00FD65C9">
        <w:rPr>
          <w:rFonts w:ascii="Times New Roman" w:eastAsia="Calibri" w:hAnsi="Times New Roman" w:cs="Times New Roman"/>
          <w:szCs w:val="24"/>
          <w:lang w:val="pl-PL"/>
        </w:rPr>
        <w:t xml:space="preserve"> </w:t>
      </w:r>
      <w:r w:rsidR="00B50005">
        <w:rPr>
          <w:rFonts w:ascii="Times New Roman" w:eastAsia="Calibri" w:hAnsi="Times New Roman" w:cs="Times New Roman"/>
          <w:szCs w:val="24"/>
          <w:lang w:val="pl-PL"/>
        </w:rPr>
        <w:t>zakresie stosowania tymczasowego aresztowania wobec</w:t>
      </w:r>
      <w:r w:rsidR="00B50005" w:rsidRPr="00FD65C9">
        <w:rPr>
          <w:rFonts w:ascii="Times New Roman" w:eastAsia="Calibri" w:hAnsi="Times New Roman" w:cs="Times New Roman"/>
          <w:szCs w:val="24"/>
          <w:lang w:val="pl-PL"/>
        </w:rPr>
        <w:t xml:space="preserve"> os</w:t>
      </w:r>
      <w:r w:rsidR="00B50005">
        <w:rPr>
          <w:rFonts w:ascii="Times New Roman" w:eastAsia="Calibri" w:hAnsi="Times New Roman" w:cs="Times New Roman"/>
          <w:szCs w:val="24"/>
          <w:lang w:val="pl-PL"/>
        </w:rPr>
        <w:t>ób</w:t>
      </w:r>
      <w:r w:rsidR="00B50005" w:rsidRPr="00FD65C9">
        <w:rPr>
          <w:rFonts w:ascii="Times New Roman" w:eastAsia="Calibri" w:hAnsi="Times New Roman" w:cs="Times New Roman"/>
          <w:szCs w:val="24"/>
          <w:lang w:val="pl-PL"/>
        </w:rPr>
        <w:t xml:space="preserve"> </w:t>
      </w:r>
      <w:r w:rsidR="00E95B67" w:rsidRPr="00FD65C9">
        <w:rPr>
          <w:rFonts w:ascii="Times New Roman" w:eastAsia="Calibri" w:hAnsi="Times New Roman" w:cs="Times New Roman"/>
          <w:szCs w:val="24"/>
          <w:lang w:val="pl-PL"/>
        </w:rPr>
        <w:t>w czasie stanu wyjątkowego bez żadnych weryfikowalnych elementów, okoliczności faktycznych lub bez wystarczającej podstawy faktycznej, która spełnia minimalne wymogi</w:t>
      </w:r>
      <w:r w:rsidR="0028321A" w:rsidRPr="00FD65C9">
        <w:rPr>
          <w:rFonts w:ascii="Times New Roman" w:eastAsia="Calibri" w:hAnsi="Times New Roman" w:cs="Times New Roman"/>
          <w:szCs w:val="24"/>
          <w:lang w:val="pl-PL"/>
        </w:rPr>
        <w:t> </w:t>
      </w:r>
      <w:r w:rsidR="00E95B67" w:rsidRPr="00FD65C9">
        <w:rPr>
          <w:rFonts w:ascii="Times New Roman" w:eastAsia="Calibri" w:hAnsi="Times New Roman" w:cs="Times New Roman"/>
          <w:szCs w:val="24"/>
          <w:lang w:val="pl-PL"/>
        </w:rPr>
        <w:t>art.</w:t>
      </w:r>
      <w:r w:rsidR="0028321A" w:rsidRPr="00FD65C9">
        <w:rPr>
          <w:rFonts w:ascii="Times New Roman" w:eastAsia="Calibri" w:hAnsi="Times New Roman" w:cs="Times New Roman"/>
          <w:szCs w:val="24"/>
          <w:lang w:val="pl-PL"/>
        </w:rPr>
        <w:t> </w:t>
      </w:r>
      <w:r w:rsidR="00E95B67" w:rsidRPr="00FD65C9">
        <w:rPr>
          <w:rFonts w:ascii="Times New Roman" w:eastAsia="Calibri" w:hAnsi="Times New Roman" w:cs="Times New Roman"/>
          <w:szCs w:val="24"/>
          <w:lang w:val="pl-PL"/>
        </w:rPr>
        <w:t>5</w:t>
      </w:r>
      <w:r w:rsidR="0028321A" w:rsidRPr="00FD65C9">
        <w:rPr>
          <w:rFonts w:ascii="Times New Roman" w:eastAsia="Calibri" w:hAnsi="Times New Roman" w:cs="Times New Roman"/>
          <w:szCs w:val="24"/>
          <w:lang w:val="pl-PL"/>
        </w:rPr>
        <w:t> </w:t>
      </w:r>
      <w:r w:rsidR="00E95B67" w:rsidRPr="00FD65C9">
        <w:rPr>
          <w:rFonts w:ascii="Times New Roman" w:eastAsia="Calibri" w:hAnsi="Times New Roman" w:cs="Times New Roman"/>
          <w:szCs w:val="24"/>
          <w:lang w:val="pl-PL"/>
        </w:rPr>
        <w:t xml:space="preserve">ust. 1 c w odniesieniu do wiarygodności </w:t>
      </w:r>
      <w:r w:rsidR="00B50005" w:rsidRPr="00FD65C9">
        <w:rPr>
          <w:rFonts w:ascii="Times New Roman" w:eastAsia="Calibri" w:hAnsi="Times New Roman" w:cs="Times New Roman"/>
          <w:szCs w:val="24"/>
          <w:lang w:val="pl-PL"/>
        </w:rPr>
        <w:t>podejrze</w:t>
      </w:r>
      <w:r w:rsidR="00B50005">
        <w:rPr>
          <w:rFonts w:ascii="Times New Roman" w:eastAsia="Calibri" w:hAnsi="Times New Roman" w:cs="Times New Roman"/>
          <w:szCs w:val="24"/>
          <w:lang w:val="pl-PL"/>
        </w:rPr>
        <w:t>ń</w:t>
      </w:r>
      <w:r w:rsidR="00E95B67" w:rsidRPr="00FD65C9">
        <w:rPr>
          <w:rFonts w:ascii="Times New Roman" w:eastAsia="Calibri" w:hAnsi="Times New Roman" w:cs="Times New Roman"/>
          <w:szCs w:val="24"/>
          <w:lang w:val="pl-PL"/>
        </w:rPr>
        <w:t>. „</w:t>
      </w:r>
      <w:r w:rsidR="00B50005">
        <w:rPr>
          <w:rFonts w:ascii="Times New Roman" w:eastAsia="Calibri" w:hAnsi="Times New Roman" w:cs="Times New Roman"/>
          <w:szCs w:val="24"/>
          <w:lang w:val="pl-PL"/>
        </w:rPr>
        <w:t>U</w:t>
      </w:r>
      <w:r w:rsidR="00E95B67" w:rsidRPr="00FD65C9">
        <w:rPr>
          <w:rFonts w:ascii="Times New Roman" w:eastAsia="Calibri" w:hAnsi="Times New Roman" w:cs="Times New Roman"/>
          <w:szCs w:val="24"/>
          <w:lang w:val="pl-PL"/>
        </w:rPr>
        <w:t xml:space="preserve">zasadniony” charakter podejrzeń, </w:t>
      </w:r>
      <w:r w:rsidR="00B50005">
        <w:rPr>
          <w:rFonts w:ascii="Times New Roman" w:eastAsia="Calibri" w:hAnsi="Times New Roman" w:cs="Times New Roman"/>
          <w:szCs w:val="24"/>
          <w:lang w:val="pl-PL"/>
        </w:rPr>
        <w:t>który ma stanowić podstawę zastosowania</w:t>
      </w:r>
      <w:r w:rsidR="00E95B67" w:rsidRPr="00FD65C9">
        <w:rPr>
          <w:rFonts w:ascii="Times New Roman" w:eastAsia="Calibri" w:hAnsi="Times New Roman" w:cs="Times New Roman"/>
          <w:szCs w:val="24"/>
          <w:lang w:val="pl-PL"/>
        </w:rPr>
        <w:t xml:space="preserve"> </w:t>
      </w:r>
      <w:r w:rsidR="00B50005">
        <w:rPr>
          <w:rFonts w:ascii="Times New Roman" w:eastAsia="Calibri" w:hAnsi="Times New Roman" w:cs="Times New Roman"/>
          <w:szCs w:val="24"/>
          <w:lang w:val="pl-PL"/>
        </w:rPr>
        <w:t xml:space="preserve">izolacyjnego </w:t>
      </w:r>
      <w:r w:rsidR="00B50005" w:rsidRPr="00FD65C9">
        <w:rPr>
          <w:rFonts w:ascii="Times New Roman" w:eastAsia="Calibri" w:hAnsi="Times New Roman" w:cs="Times New Roman"/>
          <w:szCs w:val="24"/>
          <w:lang w:val="pl-PL"/>
        </w:rPr>
        <w:t>środ</w:t>
      </w:r>
      <w:r w:rsidR="00B50005">
        <w:rPr>
          <w:rFonts w:ascii="Times New Roman" w:eastAsia="Calibri" w:hAnsi="Times New Roman" w:cs="Times New Roman"/>
          <w:szCs w:val="24"/>
          <w:lang w:val="pl-PL"/>
        </w:rPr>
        <w:t>ka</w:t>
      </w:r>
      <w:r w:rsidR="00B50005" w:rsidRPr="00FD65C9">
        <w:rPr>
          <w:rFonts w:ascii="Times New Roman" w:eastAsia="Calibri" w:hAnsi="Times New Roman" w:cs="Times New Roman"/>
          <w:szCs w:val="24"/>
          <w:lang w:val="pl-PL"/>
        </w:rPr>
        <w:t xml:space="preserve"> </w:t>
      </w:r>
      <w:r w:rsidR="00E95B67" w:rsidRPr="00FD65C9">
        <w:rPr>
          <w:rFonts w:ascii="Times New Roman" w:eastAsia="Calibri" w:hAnsi="Times New Roman" w:cs="Times New Roman"/>
          <w:szCs w:val="24"/>
          <w:lang w:val="pl-PL"/>
        </w:rPr>
        <w:t>zapobiegawcz</w:t>
      </w:r>
      <w:r w:rsidR="00B50005">
        <w:rPr>
          <w:rFonts w:ascii="Times New Roman" w:eastAsia="Calibri" w:hAnsi="Times New Roman" w:cs="Times New Roman"/>
          <w:szCs w:val="24"/>
          <w:lang w:val="pl-PL"/>
        </w:rPr>
        <w:t>ego,</w:t>
      </w:r>
      <w:r w:rsidR="00E95B67" w:rsidRPr="00FD65C9">
        <w:rPr>
          <w:rFonts w:ascii="Times New Roman" w:eastAsia="Calibri" w:hAnsi="Times New Roman" w:cs="Times New Roman"/>
          <w:szCs w:val="24"/>
          <w:lang w:val="pl-PL"/>
        </w:rPr>
        <w:t xml:space="preserve"> jest </w:t>
      </w:r>
      <w:r w:rsidR="00B50005">
        <w:rPr>
          <w:rFonts w:ascii="Times New Roman" w:eastAsia="Calibri" w:hAnsi="Times New Roman" w:cs="Times New Roman"/>
          <w:szCs w:val="24"/>
          <w:lang w:val="pl-PL"/>
        </w:rPr>
        <w:t xml:space="preserve">bowiem </w:t>
      </w:r>
      <w:r w:rsidR="00E95B67" w:rsidRPr="00FD65C9">
        <w:rPr>
          <w:rFonts w:ascii="Times New Roman" w:eastAsia="Calibri" w:hAnsi="Times New Roman" w:cs="Times New Roman"/>
          <w:szCs w:val="24"/>
          <w:lang w:val="pl-PL"/>
        </w:rPr>
        <w:t>zasadniczym elementem ochrony przyznanej przez art. 5 ust. 1 lit. c (zob., odpowiednio,</w:t>
      </w:r>
      <w:r w:rsidR="00E95B67" w:rsidRPr="00FD65C9">
        <w:rPr>
          <w:rFonts w:ascii="Times New Roman" w:eastAsia="Calibri" w:hAnsi="Times New Roman" w:cs="Times New Roman"/>
          <w:i/>
          <w:iCs/>
          <w:szCs w:val="24"/>
          <w:lang w:val="pl-PL"/>
        </w:rPr>
        <w:t xml:space="preserve"> O'Hara</w:t>
      </w:r>
      <w:r w:rsidR="00E95B67" w:rsidRPr="00FD65C9">
        <w:rPr>
          <w:rFonts w:ascii="Times New Roman" w:eastAsia="Calibri" w:hAnsi="Times New Roman" w:cs="Times New Roman"/>
          <w:szCs w:val="24"/>
          <w:lang w:val="pl-PL"/>
        </w:rPr>
        <w:t xml:space="preserve">, </w:t>
      </w:r>
      <w:r w:rsidR="00B50005" w:rsidRPr="00FD65C9">
        <w:rPr>
          <w:rFonts w:ascii="Times New Roman" w:eastAsia="Calibri" w:hAnsi="Times New Roman" w:cs="Times New Roman"/>
          <w:i/>
          <w:iCs/>
          <w:szCs w:val="24"/>
          <w:lang w:val="pl-PL"/>
        </w:rPr>
        <w:t>op. cit</w:t>
      </w:r>
      <w:r w:rsidR="00B50005">
        <w:rPr>
          <w:rFonts w:ascii="Times New Roman" w:eastAsia="Calibri" w:hAnsi="Times New Roman" w:cs="Times New Roman"/>
          <w:szCs w:val="24"/>
          <w:lang w:val="pl-PL"/>
        </w:rPr>
        <w:t>.</w:t>
      </w:r>
      <w:r w:rsidR="00E95B67" w:rsidRPr="00FD65C9">
        <w:rPr>
          <w:rFonts w:ascii="Times New Roman" w:eastAsia="Calibri" w:hAnsi="Times New Roman" w:cs="Times New Roman"/>
          <w:szCs w:val="24"/>
          <w:lang w:val="pl-PL"/>
        </w:rPr>
        <w:t>, § 34).</w:t>
      </w:r>
    </w:p>
    <w:p w14:paraId="1BC19796" w14:textId="04F8D49E" w:rsidR="00E95B67" w:rsidRPr="00FD65C9" w:rsidRDefault="00DA7597" w:rsidP="00622760">
      <w:pPr>
        <w:pStyle w:val="ECHRPara"/>
        <w:rPr>
          <w:rFonts w:ascii="Times New Roman" w:eastAsia="Calibri" w:hAnsi="Times New Roman" w:cs="Times New Roman"/>
          <w:szCs w:val="24"/>
          <w:lang w:val="pl-PL"/>
        </w:rPr>
      </w:pPr>
      <w:r w:rsidRPr="00FD65C9">
        <w:rPr>
          <w:rFonts w:ascii="Times New Roman" w:eastAsia="Calibri" w:hAnsi="Times New Roman" w:cs="Times New Roman"/>
          <w:szCs w:val="24"/>
          <w:lang w:val="pl-PL"/>
        </w:rPr>
        <w:fldChar w:fldCharType="begin"/>
      </w:r>
      <w:r w:rsidR="00E95B67" w:rsidRPr="00FD65C9">
        <w:rPr>
          <w:rFonts w:ascii="Times New Roman" w:eastAsia="Calibri" w:hAnsi="Times New Roman" w:cs="Times New Roman"/>
          <w:szCs w:val="24"/>
          <w:lang w:val="pl-PL"/>
        </w:rPr>
        <w:instrText xml:space="preserve"> SEQ level0 \*arabic </w:instrText>
      </w:r>
      <w:r w:rsidRPr="00FD65C9">
        <w:rPr>
          <w:rFonts w:ascii="Times New Roman" w:eastAsia="Calibri" w:hAnsi="Times New Roman" w:cs="Times New Roman"/>
          <w:szCs w:val="24"/>
          <w:lang w:val="pl-PL"/>
        </w:rPr>
        <w:fldChar w:fldCharType="separate"/>
      </w:r>
      <w:r w:rsidR="00E95B67" w:rsidRPr="00FD65C9">
        <w:rPr>
          <w:rFonts w:ascii="Times New Roman" w:eastAsia="Calibri" w:hAnsi="Times New Roman" w:cs="Times New Roman"/>
          <w:noProof/>
          <w:szCs w:val="24"/>
          <w:lang w:val="pl-PL"/>
        </w:rPr>
        <w:t>148</w:t>
      </w:r>
      <w:r w:rsidRPr="00FD65C9">
        <w:rPr>
          <w:rFonts w:ascii="Times New Roman" w:eastAsia="Calibri" w:hAnsi="Times New Roman" w:cs="Times New Roman"/>
          <w:szCs w:val="24"/>
          <w:lang w:val="pl-PL"/>
        </w:rPr>
        <w:fldChar w:fldCharType="end"/>
      </w:r>
      <w:r w:rsidR="00E95B67" w:rsidRPr="00FD65C9">
        <w:rPr>
          <w:rFonts w:ascii="Times New Roman" w:eastAsia="Calibri" w:hAnsi="Times New Roman" w:cs="Times New Roman"/>
          <w:szCs w:val="24"/>
          <w:lang w:val="pl-PL"/>
        </w:rPr>
        <w:t>.  Ściślej</w:t>
      </w:r>
      <w:r w:rsidR="00B50005">
        <w:rPr>
          <w:rFonts w:ascii="Times New Roman" w:eastAsia="Calibri" w:hAnsi="Times New Roman" w:cs="Times New Roman"/>
          <w:szCs w:val="24"/>
          <w:lang w:val="pl-PL"/>
        </w:rPr>
        <w:t xml:space="preserve"> rzecz ujmując</w:t>
      </w:r>
      <w:r w:rsidR="00E95B67" w:rsidRPr="00FD65C9">
        <w:rPr>
          <w:rFonts w:ascii="Times New Roman" w:eastAsia="Calibri" w:hAnsi="Times New Roman" w:cs="Times New Roman"/>
          <w:szCs w:val="24"/>
          <w:lang w:val="pl-PL"/>
        </w:rPr>
        <w:t xml:space="preserve">, w odniesieniu do </w:t>
      </w:r>
      <w:r w:rsidR="00B50005">
        <w:rPr>
          <w:rFonts w:ascii="Times New Roman" w:eastAsia="Calibri" w:hAnsi="Times New Roman" w:cs="Times New Roman"/>
          <w:szCs w:val="24"/>
          <w:lang w:val="pl-PL"/>
        </w:rPr>
        <w:t xml:space="preserve">zastosowania </w:t>
      </w:r>
      <w:r w:rsidR="00E95B67" w:rsidRPr="00FD65C9">
        <w:rPr>
          <w:rFonts w:ascii="Times New Roman" w:eastAsia="Calibri" w:hAnsi="Times New Roman" w:cs="Times New Roman"/>
          <w:szCs w:val="24"/>
          <w:lang w:val="pl-PL"/>
        </w:rPr>
        <w:t>tymczasowego aresztowania</w:t>
      </w:r>
      <w:r w:rsidR="00B50005">
        <w:rPr>
          <w:rFonts w:ascii="Times New Roman" w:eastAsia="Calibri" w:hAnsi="Times New Roman" w:cs="Times New Roman"/>
          <w:szCs w:val="24"/>
          <w:lang w:val="pl-PL"/>
        </w:rPr>
        <w:t xml:space="preserve"> wobec</w:t>
      </w:r>
      <w:r w:rsidR="00E95B67" w:rsidRPr="00FD65C9">
        <w:rPr>
          <w:rFonts w:ascii="Times New Roman" w:eastAsia="Calibri" w:hAnsi="Times New Roman" w:cs="Times New Roman"/>
          <w:szCs w:val="24"/>
          <w:lang w:val="pl-PL"/>
        </w:rPr>
        <w:t xml:space="preserve"> skarżącego w dniu 20 lipca 2016 r., Trybunał przypomina, że stwierdził powyżej, iż materiał, którym dysponował, nie pozwalał na stwierdzenie</w:t>
      </w:r>
      <w:r w:rsidR="00B50005">
        <w:rPr>
          <w:rFonts w:ascii="Times New Roman" w:eastAsia="Calibri" w:hAnsi="Times New Roman" w:cs="Times New Roman"/>
          <w:szCs w:val="24"/>
          <w:lang w:val="pl-PL"/>
        </w:rPr>
        <w:t xml:space="preserve"> istnienia</w:t>
      </w:r>
      <w:r w:rsidR="00E95B67" w:rsidRPr="00FD65C9">
        <w:rPr>
          <w:rFonts w:ascii="Times New Roman" w:eastAsia="Calibri" w:hAnsi="Times New Roman" w:cs="Times New Roman"/>
          <w:szCs w:val="24"/>
          <w:lang w:val="pl-PL"/>
        </w:rPr>
        <w:t xml:space="preserve"> wiarygodne</w:t>
      </w:r>
      <w:r w:rsidR="00B50005">
        <w:rPr>
          <w:rFonts w:ascii="Times New Roman" w:eastAsia="Calibri" w:hAnsi="Times New Roman" w:cs="Times New Roman"/>
          <w:szCs w:val="24"/>
          <w:lang w:val="pl-PL"/>
        </w:rPr>
        <w:t>go</w:t>
      </w:r>
      <w:r w:rsidR="00E95B67" w:rsidRPr="00FD65C9">
        <w:rPr>
          <w:rFonts w:ascii="Times New Roman" w:eastAsia="Calibri" w:hAnsi="Times New Roman" w:cs="Times New Roman"/>
          <w:szCs w:val="24"/>
          <w:lang w:val="pl-PL"/>
        </w:rPr>
        <w:t xml:space="preserve"> podejrzeni</w:t>
      </w:r>
      <w:r w:rsidR="00B50005">
        <w:rPr>
          <w:rFonts w:ascii="Times New Roman" w:eastAsia="Calibri" w:hAnsi="Times New Roman" w:cs="Times New Roman"/>
          <w:szCs w:val="24"/>
          <w:lang w:val="pl-PL"/>
        </w:rPr>
        <w:t>a</w:t>
      </w:r>
      <w:r w:rsidR="00E95B67" w:rsidRPr="00FD65C9">
        <w:rPr>
          <w:rFonts w:ascii="Times New Roman" w:eastAsia="Calibri" w:hAnsi="Times New Roman" w:cs="Times New Roman"/>
          <w:szCs w:val="24"/>
          <w:lang w:val="pl-PL"/>
        </w:rPr>
        <w:t xml:space="preserve"> co do skarżącego w chwili jego </w:t>
      </w:r>
      <w:r w:rsidR="00B50005">
        <w:rPr>
          <w:rFonts w:ascii="Times New Roman" w:eastAsia="Calibri" w:hAnsi="Times New Roman" w:cs="Times New Roman"/>
          <w:szCs w:val="24"/>
          <w:lang w:val="pl-PL"/>
        </w:rPr>
        <w:t>tymczasowego aresztowania</w:t>
      </w:r>
      <w:r w:rsidR="00B50005" w:rsidRPr="00FD65C9">
        <w:rPr>
          <w:rFonts w:ascii="Times New Roman" w:eastAsia="Calibri" w:hAnsi="Times New Roman" w:cs="Times New Roman"/>
          <w:szCs w:val="24"/>
          <w:lang w:val="pl-PL"/>
        </w:rPr>
        <w:t xml:space="preserve"> </w:t>
      </w:r>
      <w:r w:rsidR="00E95B67" w:rsidRPr="00FD65C9">
        <w:rPr>
          <w:rFonts w:ascii="Times New Roman" w:eastAsia="Calibri" w:hAnsi="Times New Roman" w:cs="Times New Roman"/>
          <w:szCs w:val="24"/>
          <w:lang w:val="pl-PL"/>
        </w:rPr>
        <w:t xml:space="preserve">(paragraf 145). W związku z tym podejrzenia </w:t>
      </w:r>
      <w:r w:rsidR="005700B9">
        <w:rPr>
          <w:rFonts w:ascii="Times New Roman" w:eastAsia="Calibri" w:hAnsi="Times New Roman" w:cs="Times New Roman"/>
          <w:szCs w:val="24"/>
          <w:lang w:val="pl-PL"/>
        </w:rPr>
        <w:t>wobec</w:t>
      </w:r>
      <w:r w:rsidR="00E95B67" w:rsidRPr="00FD65C9">
        <w:rPr>
          <w:rFonts w:ascii="Times New Roman" w:eastAsia="Calibri" w:hAnsi="Times New Roman" w:cs="Times New Roman"/>
          <w:szCs w:val="24"/>
          <w:lang w:val="pl-PL"/>
        </w:rPr>
        <w:t xml:space="preserve"> </w:t>
      </w:r>
      <w:r w:rsidR="005700B9" w:rsidRPr="00FD65C9">
        <w:rPr>
          <w:rFonts w:ascii="Times New Roman" w:eastAsia="Calibri" w:hAnsi="Times New Roman" w:cs="Times New Roman"/>
          <w:szCs w:val="24"/>
          <w:lang w:val="pl-PL"/>
        </w:rPr>
        <w:t>skarżąc</w:t>
      </w:r>
      <w:r w:rsidR="005700B9">
        <w:rPr>
          <w:rFonts w:ascii="Times New Roman" w:eastAsia="Calibri" w:hAnsi="Times New Roman" w:cs="Times New Roman"/>
          <w:szCs w:val="24"/>
          <w:lang w:val="pl-PL"/>
        </w:rPr>
        <w:t xml:space="preserve">ego </w:t>
      </w:r>
      <w:r w:rsidR="00E95B67" w:rsidRPr="00FD65C9">
        <w:rPr>
          <w:rFonts w:ascii="Times New Roman" w:eastAsia="Calibri" w:hAnsi="Times New Roman" w:cs="Times New Roman"/>
          <w:szCs w:val="24"/>
          <w:lang w:val="pl-PL"/>
        </w:rPr>
        <w:t xml:space="preserve">nie osiągnęły minimalnego wymaganego poziomu wiarygodności. </w:t>
      </w:r>
      <w:r w:rsidR="005700B9">
        <w:rPr>
          <w:rFonts w:ascii="Times New Roman" w:eastAsia="Calibri" w:hAnsi="Times New Roman" w:cs="Times New Roman"/>
          <w:szCs w:val="24"/>
          <w:lang w:val="pl-PL"/>
        </w:rPr>
        <w:t>Tymczasowe aresztowanie</w:t>
      </w:r>
      <w:r w:rsidR="00E95B67" w:rsidRPr="00FD65C9">
        <w:rPr>
          <w:rFonts w:ascii="Times New Roman" w:eastAsia="Calibri" w:hAnsi="Times New Roman" w:cs="Times New Roman"/>
          <w:szCs w:val="24"/>
          <w:lang w:val="pl-PL"/>
        </w:rPr>
        <w:t xml:space="preserve">, </w:t>
      </w:r>
      <w:r w:rsidR="005700B9">
        <w:rPr>
          <w:rFonts w:ascii="Times New Roman" w:eastAsia="Calibri" w:hAnsi="Times New Roman" w:cs="Times New Roman"/>
          <w:szCs w:val="24"/>
          <w:lang w:val="pl-PL"/>
        </w:rPr>
        <w:t xml:space="preserve">wprawdzie </w:t>
      </w:r>
      <w:r w:rsidR="00E95B67" w:rsidRPr="00FD65C9">
        <w:rPr>
          <w:rFonts w:ascii="Times New Roman" w:eastAsia="Calibri" w:hAnsi="Times New Roman" w:cs="Times New Roman"/>
          <w:szCs w:val="24"/>
          <w:lang w:val="pl-PL"/>
        </w:rPr>
        <w:t xml:space="preserve">zastosowane pod kontrolą wymiaru sprawiedliwości, opierało się jedynie na podejrzeniu o przynależność do organizacji przestępczej. Taki poziom podejrzeń nie jest wystarczający do uzasadnienia </w:t>
      </w:r>
      <w:r w:rsidR="005700B9">
        <w:rPr>
          <w:rFonts w:ascii="Times New Roman" w:eastAsia="Calibri" w:hAnsi="Times New Roman" w:cs="Times New Roman"/>
          <w:szCs w:val="24"/>
          <w:lang w:val="pl-PL"/>
        </w:rPr>
        <w:t xml:space="preserve">zastosowania tymczasowego aresztowania wobec </w:t>
      </w:r>
      <w:r w:rsidR="00E95B67" w:rsidRPr="00FD65C9">
        <w:rPr>
          <w:rFonts w:ascii="Times New Roman" w:eastAsia="Calibri" w:hAnsi="Times New Roman" w:cs="Times New Roman"/>
          <w:szCs w:val="24"/>
          <w:lang w:val="pl-PL"/>
        </w:rPr>
        <w:t>osoby. W takich okol</w:t>
      </w:r>
      <w:r w:rsidR="0028321A" w:rsidRPr="00FD65C9">
        <w:rPr>
          <w:rFonts w:ascii="Times New Roman" w:eastAsia="Calibri" w:hAnsi="Times New Roman" w:cs="Times New Roman"/>
          <w:szCs w:val="24"/>
          <w:lang w:val="pl-PL"/>
        </w:rPr>
        <w:t>icznościach nie można uznać, że </w:t>
      </w:r>
      <w:r w:rsidR="00E95B67" w:rsidRPr="00FD65C9">
        <w:rPr>
          <w:rFonts w:ascii="Times New Roman" w:eastAsia="Calibri" w:hAnsi="Times New Roman" w:cs="Times New Roman"/>
          <w:szCs w:val="24"/>
          <w:lang w:val="pl-PL"/>
        </w:rPr>
        <w:t>kwestionowany środek był zgodny ze środkiem ściśle odpowiadającym wymogom danej sytuacji. Przyjęcie odmiennego wniosku przeczyłoby minimalnym wymogom art. 5 ust. 1 lit. c co do wiarygodności podejrzeń uzasadniających zastosowanie środków zapobiegawczych i byłoby sprzeczne z celem art. 5 Konwencji.</w:t>
      </w:r>
    </w:p>
    <w:p w14:paraId="6CE11926" w14:textId="7FE74974" w:rsidR="00E95B67" w:rsidRPr="00FD65C9" w:rsidRDefault="00E95B67" w:rsidP="00622760">
      <w:pPr>
        <w:pStyle w:val="ECHRPara"/>
        <w:rPr>
          <w:lang w:val="pl-PL"/>
        </w:rPr>
      </w:pPr>
      <w:r w:rsidRPr="00FD65C9">
        <w:rPr>
          <w:lang w:val="pl-PL"/>
        </w:rPr>
        <w:t xml:space="preserve">Dla Trybunału względy te mają szczególne znaczenie w niniejszej sprawie, ponieważ dotyczy ona </w:t>
      </w:r>
      <w:r w:rsidR="005700B9">
        <w:rPr>
          <w:lang w:val="pl-PL"/>
        </w:rPr>
        <w:t>tymczasowego aresztowania</w:t>
      </w:r>
      <w:r w:rsidR="005700B9" w:rsidRPr="00FD65C9">
        <w:rPr>
          <w:lang w:val="pl-PL"/>
        </w:rPr>
        <w:t xml:space="preserve"> </w:t>
      </w:r>
      <w:r w:rsidR="0028321A" w:rsidRPr="00FD65C9">
        <w:rPr>
          <w:lang w:val="pl-PL"/>
        </w:rPr>
        <w:t>sędziego zasiadającego w </w:t>
      </w:r>
      <w:r w:rsidRPr="00FD65C9">
        <w:rPr>
          <w:lang w:val="pl-PL"/>
        </w:rPr>
        <w:t xml:space="preserve">sądzie </w:t>
      </w:r>
      <w:r w:rsidR="005700B9">
        <w:rPr>
          <w:lang w:val="pl-PL"/>
        </w:rPr>
        <w:t>wyższego rzędu</w:t>
      </w:r>
      <w:r w:rsidRPr="00FD65C9">
        <w:rPr>
          <w:lang w:val="pl-PL"/>
        </w:rPr>
        <w:t>, w tym przypadku w Trybunale Konstytucyjnym.</w:t>
      </w:r>
    </w:p>
    <w:p w14:paraId="128EC7D6" w14:textId="6461597B" w:rsidR="00E95B67" w:rsidRPr="00FD65C9" w:rsidRDefault="00DA7597" w:rsidP="00622760">
      <w:pPr>
        <w:pStyle w:val="ECHRPara"/>
        <w:rPr>
          <w:rFonts w:ascii="Times New Roman" w:eastAsia="Calibri" w:hAnsi="Times New Roman" w:cs="Times New Roman"/>
          <w:szCs w:val="24"/>
          <w:lang w:val="pl-PL"/>
        </w:rPr>
      </w:pPr>
      <w:r w:rsidRPr="00FD65C9">
        <w:rPr>
          <w:rFonts w:ascii="Times New Roman" w:eastAsia="Calibri" w:hAnsi="Times New Roman" w:cs="Times New Roman"/>
          <w:szCs w:val="24"/>
          <w:lang w:val="pl-PL"/>
        </w:rPr>
        <w:fldChar w:fldCharType="begin"/>
      </w:r>
      <w:r w:rsidR="00E95B67" w:rsidRPr="00FD65C9">
        <w:rPr>
          <w:rFonts w:ascii="Times New Roman" w:eastAsia="Calibri" w:hAnsi="Times New Roman" w:cs="Times New Roman"/>
          <w:szCs w:val="24"/>
          <w:lang w:val="pl-PL"/>
        </w:rPr>
        <w:instrText xml:space="preserve"> SEQ level0 \*arabic </w:instrText>
      </w:r>
      <w:r w:rsidRPr="00FD65C9">
        <w:rPr>
          <w:rFonts w:ascii="Times New Roman" w:eastAsia="Calibri" w:hAnsi="Times New Roman" w:cs="Times New Roman"/>
          <w:szCs w:val="24"/>
          <w:lang w:val="pl-PL"/>
        </w:rPr>
        <w:fldChar w:fldCharType="separate"/>
      </w:r>
      <w:r w:rsidR="00E95B67" w:rsidRPr="00FD65C9">
        <w:rPr>
          <w:rFonts w:ascii="Times New Roman" w:eastAsia="Calibri" w:hAnsi="Times New Roman" w:cs="Times New Roman"/>
          <w:noProof/>
          <w:szCs w:val="24"/>
          <w:lang w:val="pl-PL"/>
        </w:rPr>
        <w:t>149</w:t>
      </w:r>
      <w:r w:rsidRPr="00FD65C9">
        <w:rPr>
          <w:rFonts w:ascii="Times New Roman" w:eastAsia="Calibri" w:hAnsi="Times New Roman" w:cs="Times New Roman"/>
          <w:szCs w:val="24"/>
          <w:lang w:val="pl-PL"/>
        </w:rPr>
        <w:fldChar w:fldCharType="end"/>
      </w:r>
      <w:r w:rsidR="00E95B67" w:rsidRPr="00FD65C9">
        <w:rPr>
          <w:rFonts w:ascii="Times New Roman" w:eastAsia="Calibri" w:hAnsi="Times New Roman" w:cs="Times New Roman"/>
          <w:szCs w:val="24"/>
          <w:lang w:val="pl-PL"/>
        </w:rPr>
        <w:t>.  Trybunał stwierdza zatem, że w niniejszej sprawie doszło do naruszenia art. 5 ust. 1 Konwencji z uwagi na brak uzasadnionych podejrzeń popełnieni</w:t>
      </w:r>
      <w:r w:rsidR="005700B9">
        <w:rPr>
          <w:rFonts w:ascii="Times New Roman" w:eastAsia="Calibri" w:hAnsi="Times New Roman" w:cs="Times New Roman"/>
          <w:szCs w:val="24"/>
          <w:lang w:val="pl-PL"/>
        </w:rPr>
        <w:t>a</w:t>
      </w:r>
      <w:r w:rsidR="00E95B67" w:rsidRPr="00FD65C9">
        <w:rPr>
          <w:rFonts w:ascii="Times New Roman" w:eastAsia="Calibri" w:hAnsi="Times New Roman" w:cs="Times New Roman"/>
          <w:szCs w:val="24"/>
          <w:lang w:val="pl-PL"/>
        </w:rPr>
        <w:t xml:space="preserve"> przestępstwa w </w:t>
      </w:r>
      <w:r w:rsidR="005700B9">
        <w:rPr>
          <w:rFonts w:ascii="Times New Roman" w:eastAsia="Calibri" w:hAnsi="Times New Roman" w:cs="Times New Roman"/>
          <w:szCs w:val="24"/>
          <w:lang w:val="pl-PL"/>
        </w:rPr>
        <w:t>chwili zastosowania tymczasowego</w:t>
      </w:r>
      <w:r w:rsidR="005700B9" w:rsidRPr="00FD65C9">
        <w:rPr>
          <w:rFonts w:ascii="Times New Roman" w:eastAsia="Calibri" w:hAnsi="Times New Roman" w:cs="Times New Roman"/>
          <w:szCs w:val="24"/>
          <w:lang w:val="pl-PL"/>
        </w:rPr>
        <w:t xml:space="preserve"> </w:t>
      </w:r>
      <w:r w:rsidR="005700B9">
        <w:rPr>
          <w:rFonts w:ascii="Times New Roman" w:eastAsia="Calibri" w:hAnsi="Times New Roman" w:cs="Times New Roman"/>
          <w:szCs w:val="24"/>
          <w:lang w:val="pl-PL"/>
        </w:rPr>
        <w:t xml:space="preserve">aresztowania wobec </w:t>
      </w:r>
      <w:r w:rsidR="00E95B67" w:rsidRPr="00FD65C9">
        <w:rPr>
          <w:rFonts w:ascii="Times New Roman" w:eastAsia="Calibri" w:hAnsi="Times New Roman" w:cs="Times New Roman"/>
          <w:szCs w:val="24"/>
          <w:lang w:val="pl-PL"/>
        </w:rPr>
        <w:t>skarżącego.</w:t>
      </w:r>
    </w:p>
    <w:p w14:paraId="0A950821" w14:textId="183F454D" w:rsidR="00675E41" w:rsidRPr="00FD65C9" w:rsidRDefault="00E95B67" w:rsidP="00622760">
      <w:pPr>
        <w:pStyle w:val="ECHRHeading2"/>
        <w:rPr>
          <w:lang w:val="pl-PL"/>
        </w:rPr>
      </w:pPr>
      <w:r w:rsidRPr="00FD65C9">
        <w:rPr>
          <w:lang w:val="pl-PL"/>
        </w:rPr>
        <w:t xml:space="preserve">C.  W przedmiocie </w:t>
      </w:r>
      <w:r w:rsidR="005700B9">
        <w:rPr>
          <w:lang w:val="pl-PL"/>
        </w:rPr>
        <w:t>zarzucanego</w:t>
      </w:r>
      <w:r w:rsidR="005700B9" w:rsidRPr="00FD65C9">
        <w:rPr>
          <w:lang w:val="pl-PL"/>
        </w:rPr>
        <w:t xml:space="preserve"> </w:t>
      </w:r>
      <w:r w:rsidR="0028321A" w:rsidRPr="00FD65C9">
        <w:rPr>
          <w:lang w:val="pl-PL"/>
        </w:rPr>
        <w:t xml:space="preserve">braku uzasadnienia </w:t>
      </w:r>
      <w:r w:rsidR="005700B9">
        <w:rPr>
          <w:lang w:val="pl-PL"/>
        </w:rPr>
        <w:t>postanowienia</w:t>
      </w:r>
      <w:r w:rsidR="005700B9" w:rsidRPr="00FD65C9">
        <w:rPr>
          <w:lang w:val="pl-PL"/>
        </w:rPr>
        <w:t xml:space="preserve"> </w:t>
      </w:r>
      <w:r w:rsidR="0028321A" w:rsidRPr="00FD65C9">
        <w:rPr>
          <w:lang w:val="pl-PL"/>
        </w:rPr>
        <w:t>o </w:t>
      </w:r>
      <w:r w:rsidR="005700B9" w:rsidRPr="00FD65C9">
        <w:rPr>
          <w:lang w:val="pl-PL"/>
        </w:rPr>
        <w:t>za</w:t>
      </w:r>
      <w:r w:rsidR="005700B9">
        <w:rPr>
          <w:lang w:val="pl-PL"/>
        </w:rPr>
        <w:t>stosowaniu tymczasowego aresztowania</w:t>
      </w:r>
    </w:p>
    <w:p w14:paraId="126593FC" w14:textId="243ADC69"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150</w:t>
      </w:r>
      <w:r w:rsidRPr="00FD65C9">
        <w:rPr>
          <w:lang w:val="pl-PL"/>
        </w:rPr>
        <w:fldChar w:fldCharType="end"/>
      </w:r>
      <w:r w:rsidR="00E95B67" w:rsidRPr="00FD65C9">
        <w:rPr>
          <w:lang w:val="pl-PL"/>
        </w:rPr>
        <w:t>.  Uwzględniając ustalenie na podstawie art. 5 ust. 1 Konwencji (zob. paragraf 149 powyżej), Trybunał uważa, że nie jest konieczne badanie, czy władze wywiązały się z obowi</w:t>
      </w:r>
      <w:r w:rsidR="0028321A" w:rsidRPr="00FD65C9">
        <w:rPr>
          <w:lang w:val="pl-PL"/>
        </w:rPr>
        <w:t>ązku przedstawienia istotnych i </w:t>
      </w:r>
      <w:r w:rsidR="00E95B67" w:rsidRPr="00FD65C9">
        <w:rPr>
          <w:lang w:val="pl-PL"/>
        </w:rPr>
        <w:t>wystarczających podstaw pozbawienia wolności – poza utrzymywaniem się uzasadnionych podejrzeń popełnieni</w:t>
      </w:r>
      <w:r w:rsidR="005700B9">
        <w:rPr>
          <w:lang w:val="pl-PL"/>
        </w:rPr>
        <w:t>a</w:t>
      </w:r>
      <w:r w:rsidR="00E95B67" w:rsidRPr="00FD65C9">
        <w:rPr>
          <w:lang w:val="pl-PL"/>
        </w:rPr>
        <w:t xml:space="preserve"> przestępstwa </w:t>
      </w:r>
      <w:r w:rsidR="005700B9">
        <w:rPr>
          <w:lang w:val="pl-PL"/>
        </w:rPr>
        <w:t xml:space="preserve">przez zatrzymanego </w:t>
      </w:r>
      <w:r w:rsidR="00E95B67" w:rsidRPr="00FD65C9">
        <w:rPr>
          <w:lang w:val="pl-PL"/>
        </w:rPr>
        <w:t>– już przy pierwsz</w:t>
      </w:r>
      <w:r w:rsidR="005700B9">
        <w:rPr>
          <w:lang w:val="pl-PL"/>
        </w:rPr>
        <w:t xml:space="preserve">ym postanowieniu o zastosowaniu </w:t>
      </w:r>
      <w:r w:rsidR="00E95B67" w:rsidRPr="00FD65C9">
        <w:rPr>
          <w:lang w:val="pl-PL"/>
        </w:rPr>
        <w:t>tymczasowe</w:t>
      </w:r>
      <w:r w:rsidR="005700B9">
        <w:rPr>
          <w:lang w:val="pl-PL"/>
        </w:rPr>
        <w:t>go</w:t>
      </w:r>
      <w:r w:rsidR="00E95B67" w:rsidRPr="00FD65C9">
        <w:rPr>
          <w:lang w:val="pl-PL"/>
        </w:rPr>
        <w:t xml:space="preserve"> aresztowani</w:t>
      </w:r>
      <w:r w:rsidR="005700B9">
        <w:rPr>
          <w:lang w:val="pl-PL"/>
        </w:rPr>
        <w:t>a</w:t>
      </w:r>
      <w:r w:rsidR="00E95B67" w:rsidRPr="00FD65C9">
        <w:rPr>
          <w:lang w:val="pl-PL"/>
        </w:rPr>
        <w:t>, czyli „</w:t>
      </w:r>
      <w:r w:rsidR="005700B9" w:rsidRPr="00FD65C9">
        <w:rPr>
          <w:lang w:val="pl-PL"/>
        </w:rPr>
        <w:t>n</w:t>
      </w:r>
      <w:r w:rsidR="005700B9">
        <w:rPr>
          <w:lang w:val="pl-PL"/>
        </w:rPr>
        <w:t>iezwłocznie</w:t>
      </w:r>
      <w:r w:rsidR="00E95B67" w:rsidRPr="00FD65C9">
        <w:rPr>
          <w:lang w:val="pl-PL"/>
        </w:rPr>
        <w:t>” po zatrzymaniu.</w:t>
      </w:r>
    </w:p>
    <w:p w14:paraId="5DEAF4A6" w14:textId="77777777" w:rsidR="00E95B67" w:rsidRPr="00FD65C9" w:rsidRDefault="00E95B67" w:rsidP="00622760">
      <w:pPr>
        <w:pStyle w:val="ECHRHeading1"/>
        <w:rPr>
          <w:lang w:val="pl-PL"/>
        </w:rPr>
      </w:pPr>
      <w:r w:rsidRPr="00FD65C9">
        <w:rPr>
          <w:bCs w:val="0"/>
          <w:lang w:val="pl-PL"/>
        </w:rPr>
        <w:t>IV.  W PRZEDMIOCIE ZASTOSOWANIA ART. 41 KONWENCJI</w:t>
      </w:r>
    </w:p>
    <w:p w14:paraId="19B876CC" w14:textId="01266990"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151</w:t>
      </w:r>
      <w:r w:rsidRPr="00FD65C9">
        <w:rPr>
          <w:lang w:val="pl-PL"/>
        </w:rPr>
        <w:fldChar w:fldCharType="end"/>
      </w:r>
      <w:r w:rsidR="00E95B67" w:rsidRPr="00FD65C9">
        <w:rPr>
          <w:lang w:val="pl-PL"/>
        </w:rPr>
        <w:t>.  Zgodnie z art. 41 Konwencji</w:t>
      </w:r>
      <w:r w:rsidR="005700B9">
        <w:rPr>
          <w:lang w:val="pl-PL"/>
        </w:rPr>
        <w:t>:</w:t>
      </w:r>
    </w:p>
    <w:p w14:paraId="54B23890" w14:textId="77777777" w:rsidR="00E95B67" w:rsidRPr="00FD65C9" w:rsidRDefault="00E95B67" w:rsidP="00622760">
      <w:pPr>
        <w:pStyle w:val="ECHRParaQuote"/>
        <w:rPr>
          <w:lang w:val="pl-PL"/>
        </w:rPr>
      </w:pPr>
      <w:r w:rsidRPr="00FD65C9">
        <w:rPr>
          <w:lang w:val="p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5430DEF4" w14:textId="77777777" w:rsidR="00E95B67" w:rsidRPr="00FD65C9" w:rsidRDefault="00E95B67" w:rsidP="00622760">
      <w:pPr>
        <w:pStyle w:val="ECHRHeading2"/>
        <w:rPr>
          <w:lang w:val="pl-PL"/>
        </w:rPr>
      </w:pPr>
      <w:r w:rsidRPr="00FD65C9">
        <w:rPr>
          <w:lang w:val="pl-PL"/>
        </w:rPr>
        <w:t>B.  Odszkodowania, koszty i wydatki</w:t>
      </w:r>
    </w:p>
    <w:p w14:paraId="71E60D08" w14:textId="12AFD8D9"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152</w:t>
      </w:r>
      <w:r w:rsidRPr="00FD65C9">
        <w:rPr>
          <w:lang w:val="pl-PL"/>
        </w:rPr>
        <w:fldChar w:fldCharType="end"/>
      </w:r>
      <w:r w:rsidR="00E95B67" w:rsidRPr="00FD65C9">
        <w:rPr>
          <w:lang w:val="pl-PL"/>
        </w:rPr>
        <w:t xml:space="preserve">.  Skarżący podniósł, że poniósł szkodę </w:t>
      </w:r>
      <w:r w:rsidR="00E948F6" w:rsidRPr="00FD65C9">
        <w:rPr>
          <w:lang w:val="pl-PL"/>
        </w:rPr>
        <w:t>ma</w:t>
      </w:r>
      <w:r w:rsidR="00E948F6">
        <w:rPr>
          <w:lang w:val="pl-PL"/>
        </w:rPr>
        <w:t>jątkową</w:t>
      </w:r>
      <w:r w:rsidR="00E948F6" w:rsidRPr="00FD65C9">
        <w:rPr>
          <w:lang w:val="pl-PL"/>
        </w:rPr>
        <w:t xml:space="preserve"> </w:t>
      </w:r>
      <w:r w:rsidR="00E95B67" w:rsidRPr="00FD65C9">
        <w:rPr>
          <w:lang w:val="pl-PL"/>
        </w:rPr>
        <w:t xml:space="preserve">odpowiadającą kwotom, które otrzymałby </w:t>
      </w:r>
      <w:r w:rsidR="005700B9">
        <w:rPr>
          <w:lang w:val="pl-PL"/>
        </w:rPr>
        <w:t xml:space="preserve">tytułem uposażenia </w:t>
      </w:r>
      <w:r w:rsidR="00E95B67" w:rsidRPr="00FD65C9">
        <w:rPr>
          <w:lang w:val="pl-PL"/>
        </w:rPr>
        <w:t xml:space="preserve">jako sędzia, gdyby nie został usunięty z urzędu oraz utracie </w:t>
      </w:r>
      <w:r w:rsidR="0028321A" w:rsidRPr="00FD65C9">
        <w:rPr>
          <w:lang w:val="pl-PL"/>
        </w:rPr>
        <w:t>zarobków, która miała wynikać z</w:t>
      </w:r>
      <w:r w:rsidR="002709A2">
        <w:rPr>
          <w:lang w:val="pl-PL"/>
        </w:rPr>
        <w:t xml:space="preserve"> </w:t>
      </w:r>
      <w:r w:rsidR="00E95B67" w:rsidRPr="00FD65C9">
        <w:rPr>
          <w:lang w:val="pl-PL"/>
        </w:rPr>
        <w:t xml:space="preserve">ograniczenia jego praw obywatelskich. Z tego tytułu </w:t>
      </w:r>
      <w:r w:rsidR="005700B9">
        <w:rPr>
          <w:lang w:val="pl-PL"/>
        </w:rPr>
        <w:t>dochodzi</w:t>
      </w:r>
      <w:r w:rsidR="005700B9" w:rsidRPr="00FD65C9">
        <w:rPr>
          <w:lang w:val="pl-PL"/>
        </w:rPr>
        <w:t xml:space="preserve"> </w:t>
      </w:r>
      <w:r w:rsidR="00E95B67" w:rsidRPr="00FD65C9">
        <w:rPr>
          <w:lang w:val="pl-PL"/>
        </w:rPr>
        <w:t>on kwoty 1</w:t>
      </w:r>
      <w:r w:rsidR="002709A2">
        <w:rPr>
          <w:lang w:val="pl-PL"/>
        </w:rPr>
        <w:t> </w:t>
      </w:r>
      <w:r w:rsidR="00E95B67" w:rsidRPr="00FD65C9">
        <w:rPr>
          <w:lang w:val="pl-PL"/>
        </w:rPr>
        <w:t>000</w:t>
      </w:r>
      <w:r w:rsidR="002709A2">
        <w:rPr>
          <w:lang w:val="pl-PL"/>
        </w:rPr>
        <w:t> </w:t>
      </w:r>
      <w:r w:rsidR="00E95B67" w:rsidRPr="00FD65C9">
        <w:rPr>
          <w:lang w:val="pl-PL"/>
        </w:rPr>
        <w:t>000</w:t>
      </w:r>
      <w:r w:rsidR="002709A2">
        <w:rPr>
          <w:lang w:val="pl-PL"/>
        </w:rPr>
        <w:t xml:space="preserve"> </w:t>
      </w:r>
      <w:r w:rsidR="00E95B67" w:rsidRPr="00FD65C9">
        <w:rPr>
          <w:lang w:val="pl-PL"/>
        </w:rPr>
        <w:t xml:space="preserve"> euro (EUR). Ponadto domaga się on </w:t>
      </w:r>
      <w:r w:rsidR="005700B9">
        <w:rPr>
          <w:lang w:val="pl-PL"/>
        </w:rPr>
        <w:t xml:space="preserve">kwoty </w:t>
      </w:r>
      <w:r w:rsidR="00E95B67" w:rsidRPr="00FD65C9">
        <w:rPr>
          <w:lang w:val="pl-PL"/>
        </w:rPr>
        <w:t xml:space="preserve">200 000 EUR tytułem zadośćuczynienia za krzywdę. Żąda również </w:t>
      </w:r>
      <w:r w:rsidR="005700B9">
        <w:rPr>
          <w:lang w:val="pl-PL"/>
        </w:rPr>
        <w:t xml:space="preserve">kwoty </w:t>
      </w:r>
      <w:r w:rsidR="005700B9" w:rsidRPr="00810639">
        <w:rPr>
          <w:lang w:val="pl-PL"/>
        </w:rPr>
        <w:t>9 500 EUR</w:t>
      </w:r>
      <w:r w:rsidR="005700B9" w:rsidRPr="005700B9">
        <w:rPr>
          <w:lang w:val="pl-PL"/>
        </w:rPr>
        <w:t xml:space="preserve"> </w:t>
      </w:r>
      <w:r w:rsidR="005700B9">
        <w:rPr>
          <w:lang w:val="pl-PL"/>
        </w:rPr>
        <w:t xml:space="preserve">tytułem </w:t>
      </w:r>
      <w:r w:rsidR="00E95B67" w:rsidRPr="00FD65C9">
        <w:rPr>
          <w:lang w:val="pl-PL"/>
        </w:rPr>
        <w:t>zwrotu kosztów i wydatków poniesionych przed Trybunałem, nie przedstawiając żadnych dowodów</w:t>
      </w:r>
      <w:r w:rsidR="005700B9">
        <w:rPr>
          <w:lang w:val="pl-PL"/>
        </w:rPr>
        <w:t xml:space="preserve"> ich poniesienia</w:t>
      </w:r>
      <w:r w:rsidR="00E95B67" w:rsidRPr="00FD65C9">
        <w:rPr>
          <w:lang w:val="pl-PL"/>
        </w:rPr>
        <w:t>.</w:t>
      </w:r>
    </w:p>
    <w:p w14:paraId="218ED64E" w14:textId="0E62FD7A"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153</w:t>
      </w:r>
      <w:r w:rsidRPr="00FD65C9">
        <w:rPr>
          <w:lang w:val="pl-PL"/>
        </w:rPr>
        <w:fldChar w:fldCharType="end"/>
      </w:r>
      <w:r w:rsidR="00E95B67" w:rsidRPr="00FD65C9">
        <w:rPr>
          <w:lang w:val="pl-PL"/>
        </w:rPr>
        <w:t xml:space="preserve">.  Rząd kwestionuje te </w:t>
      </w:r>
      <w:r w:rsidR="005700B9">
        <w:rPr>
          <w:lang w:val="pl-PL"/>
        </w:rPr>
        <w:t>żądania</w:t>
      </w:r>
      <w:r w:rsidR="00E95B67" w:rsidRPr="00FD65C9">
        <w:rPr>
          <w:lang w:val="pl-PL"/>
        </w:rPr>
        <w:t>.</w:t>
      </w:r>
    </w:p>
    <w:p w14:paraId="7FC04579" w14:textId="0A689115"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154</w:t>
      </w:r>
      <w:r w:rsidRPr="00FD65C9">
        <w:rPr>
          <w:lang w:val="pl-PL"/>
        </w:rPr>
        <w:fldChar w:fldCharType="end"/>
      </w:r>
      <w:r w:rsidR="00E95B67" w:rsidRPr="00FD65C9">
        <w:rPr>
          <w:lang w:val="pl-PL"/>
        </w:rPr>
        <w:t xml:space="preserve">.  Trybunał zauważa, że niniejszy wyrok dotyczy </w:t>
      </w:r>
      <w:r w:rsidR="005700B9">
        <w:rPr>
          <w:lang w:val="pl-PL"/>
        </w:rPr>
        <w:t>tymczasowego aresztowania</w:t>
      </w:r>
      <w:r w:rsidR="005700B9" w:rsidRPr="00FD65C9">
        <w:rPr>
          <w:lang w:val="pl-PL"/>
        </w:rPr>
        <w:t xml:space="preserve"> </w:t>
      </w:r>
      <w:r w:rsidR="00E95B67" w:rsidRPr="00FD65C9">
        <w:rPr>
          <w:lang w:val="pl-PL"/>
        </w:rPr>
        <w:t xml:space="preserve">skarżącego, a nie jego </w:t>
      </w:r>
      <w:r w:rsidR="005700B9">
        <w:rPr>
          <w:lang w:val="pl-PL"/>
        </w:rPr>
        <w:t>usunięcia z urzędu, które miało miejsce</w:t>
      </w:r>
      <w:r w:rsidR="0028321A" w:rsidRPr="00FD65C9">
        <w:rPr>
          <w:lang w:val="pl-PL"/>
        </w:rPr>
        <w:t xml:space="preserve"> w </w:t>
      </w:r>
      <w:r w:rsidR="00E95B67" w:rsidRPr="00FD65C9">
        <w:rPr>
          <w:lang w:val="pl-PL"/>
        </w:rPr>
        <w:t xml:space="preserve">dniu 4 sierpnia 2016 r. W związku z tym Trybunał nie </w:t>
      </w:r>
      <w:r w:rsidR="00E948F6">
        <w:rPr>
          <w:lang w:val="pl-PL"/>
        </w:rPr>
        <w:t>dostrzega</w:t>
      </w:r>
      <w:r w:rsidR="00E948F6" w:rsidRPr="00FD65C9">
        <w:rPr>
          <w:lang w:val="pl-PL"/>
        </w:rPr>
        <w:t xml:space="preserve"> </w:t>
      </w:r>
      <w:r w:rsidR="00E95B67" w:rsidRPr="00FD65C9">
        <w:rPr>
          <w:lang w:val="pl-PL"/>
        </w:rPr>
        <w:t xml:space="preserve">związku przyczynowego między stwierdzonym naruszeniem a </w:t>
      </w:r>
      <w:r w:rsidR="00E948F6">
        <w:rPr>
          <w:lang w:val="pl-PL"/>
        </w:rPr>
        <w:t>dochodzonym odszkodowaniem za</w:t>
      </w:r>
      <w:r w:rsidR="00E948F6" w:rsidRPr="00FD65C9">
        <w:rPr>
          <w:lang w:val="pl-PL"/>
        </w:rPr>
        <w:t xml:space="preserve"> </w:t>
      </w:r>
      <w:r w:rsidR="00E95B67" w:rsidRPr="00FD65C9">
        <w:rPr>
          <w:lang w:val="pl-PL"/>
        </w:rPr>
        <w:t>szkod</w:t>
      </w:r>
      <w:r w:rsidR="00E948F6">
        <w:rPr>
          <w:lang w:val="pl-PL"/>
        </w:rPr>
        <w:t>ę</w:t>
      </w:r>
      <w:r w:rsidR="00E95B67" w:rsidRPr="00FD65C9">
        <w:rPr>
          <w:lang w:val="pl-PL"/>
        </w:rPr>
        <w:t xml:space="preserve"> </w:t>
      </w:r>
      <w:r w:rsidR="00E948F6" w:rsidRPr="00FD65C9">
        <w:rPr>
          <w:lang w:val="pl-PL"/>
        </w:rPr>
        <w:t>ma</w:t>
      </w:r>
      <w:r w:rsidR="00E948F6">
        <w:rPr>
          <w:lang w:val="pl-PL"/>
        </w:rPr>
        <w:t>jątkową</w:t>
      </w:r>
      <w:r w:rsidR="00E948F6" w:rsidRPr="00FD65C9">
        <w:rPr>
          <w:lang w:val="pl-PL"/>
        </w:rPr>
        <w:t xml:space="preserve"> </w:t>
      </w:r>
      <w:r w:rsidR="00E95B67" w:rsidRPr="00FD65C9">
        <w:rPr>
          <w:lang w:val="pl-PL"/>
        </w:rPr>
        <w:t xml:space="preserve">i oddala </w:t>
      </w:r>
      <w:r w:rsidR="00E948F6">
        <w:rPr>
          <w:lang w:val="pl-PL"/>
        </w:rPr>
        <w:t>związane z nią</w:t>
      </w:r>
      <w:r w:rsidR="00E948F6" w:rsidRPr="00FD65C9">
        <w:rPr>
          <w:lang w:val="pl-PL"/>
        </w:rPr>
        <w:t xml:space="preserve"> </w:t>
      </w:r>
      <w:r w:rsidR="00E948F6">
        <w:rPr>
          <w:lang w:val="pl-PL"/>
        </w:rPr>
        <w:t>żądanie</w:t>
      </w:r>
      <w:r w:rsidR="00E95B67" w:rsidRPr="00FD65C9">
        <w:rPr>
          <w:lang w:val="pl-PL"/>
        </w:rPr>
        <w:t>.</w:t>
      </w:r>
    </w:p>
    <w:p w14:paraId="0E363CAE" w14:textId="1382513B"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155</w:t>
      </w:r>
      <w:r w:rsidRPr="00FD65C9">
        <w:rPr>
          <w:lang w:val="pl-PL"/>
        </w:rPr>
        <w:fldChar w:fldCharType="end"/>
      </w:r>
      <w:r w:rsidR="00E95B67" w:rsidRPr="00FD65C9">
        <w:rPr>
          <w:lang w:val="pl-PL"/>
        </w:rPr>
        <w:t xml:space="preserve">.  W odniesieniu do szkody niemajątkowej Trybunał przypomniał swoje powyższe ustalenie, że skarżący, </w:t>
      </w:r>
      <w:r w:rsidR="00E948F6">
        <w:rPr>
          <w:lang w:val="pl-PL"/>
        </w:rPr>
        <w:t xml:space="preserve">którym był </w:t>
      </w:r>
      <w:r w:rsidR="00E95B67" w:rsidRPr="00FD65C9">
        <w:rPr>
          <w:lang w:val="pl-PL"/>
        </w:rPr>
        <w:t xml:space="preserve">sędzia zasiadający w TK w okresie </w:t>
      </w:r>
      <w:r w:rsidR="00E948F6">
        <w:rPr>
          <w:lang w:val="pl-PL"/>
        </w:rPr>
        <w:t>mającym znaczenie</w:t>
      </w:r>
      <w:r w:rsidR="00E948F6" w:rsidRPr="00FD65C9">
        <w:rPr>
          <w:lang w:val="pl-PL"/>
        </w:rPr>
        <w:t xml:space="preserve"> </w:t>
      </w:r>
      <w:r w:rsidR="00E95B67" w:rsidRPr="00FD65C9">
        <w:rPr>
          <w:lang w:val="pl-PL"/>
        </w:rPr>
        <w:t>dla okoliczności faktyczn</w:t>
      </w:r>
      <w:r w:rsidR="0028321A" w:rsidRPr="00FD65C9">
        <w:rPr>
          <w:lang w:val="pl-PL"/>
        </w:rPr>
        <w:t xml:space="preserve">ych sprawy, został </w:t>
      </w:r>
      <w:r w:rsidR="00E948F6">
        <w:rPr>
          <w:lang w:val="pl-PL"/>
        </w:rPr>
        <w:t>tymczasowo aresztowany</w:t>
      </w:r>
      <w:r w:rsidR="00E95B67" w:rsidRPr="00FD65C9">
        <w:rPr>
          <w:lang w:val="pl-PL"/>
        </w:rPr>
        <w:t xml:space="preserve"> bez możliwości skorzystania z ochrony przyznanej sędziom </w:t>
      </w:r>
      <w:r w:rsidR="00E948F6">
        <w:rPr>
          <w:lang w:val="pl-PL"/>
        </w:rPr>
        <w:t>w świetle</w:t>
      </w:r>
      <w:r w:rsidR="00E95B67" w:rsidRPr="00FD65C9">
        <w:rPr>
          <w:lang w:val="pl-PL"/>
        </w:rPr>
        <w:t xml:space="preserve"> prawa tureckiego i przy br</w:t>
      </w:r>
      <w:r w:rsidR="0028321A" w:rsidRPr="00FD65C9">
        <w:rPr>
          <w:lang w:val="pl-PL"/>
        </w:rPr>
        <w:t>aku</w:t>
      </w:r>
      <w:r w:rsidR="002709A2">
        <w:rPr>
          <w:lang w:val="pl-PL"/>
        </w:rPr>
        <w:t xml:space="preserve"> </w:t>
      </w:r>
      <w:r w:rsidR="0028321A" w:rsidRPr="00FD65C9">
        <w:rPr>
          <w:lang w:val="pl-PL"/>
        </w:rPr>
        <w:t>– w</w:t>
      </w:r>
      <w:r w:rsidR="002709A2">
        <w:rPr>
          <w:lang w:val="pl-PL"/>
        </w:rPr>
        <w:t xml:space="preserve"> </w:t>
      </w:r>
      <w:r w:rsidR="00E948F6">
        <w:rPr>
          <w:lang w:val="pl-PL"/>
        </w:rPr>
        <w:t>chwili zastosowania tymczasowego aresztowania</w:t>
      </w:r>
      <w:r w:rsidR="00E95B67" w:rsidRPr="00FD65C9">
        <w:rPr>
          <w:lang w:val="pl-PL"/>
        </w:rPr>
        <w:t xml:space="preserve"> – </w:t>
      </w:r>
      <w:r w:rsidR="00E948F6" w:rsidRPr="00810639">
        <w:rPr>
          <w:lang w:val="pl-PL"/>
        </w:rPr>
        <w:t xml:space="preserve">uzasadnionych podejrzeń </w:t>
      </w:r>
      <w:r w:rsidR="00E95B67" w:rsidRPr="00FD65C9">
        <w:rPr>
          <w:lang w:val="pl-PL"/>
        </w:rPr>
        <w:t>popełnieni</w:t>
      </w:r>
      <w:r w:rsidR="00E948F6">
        <w:rPr>
          <w:lang w:val="pl-PL"/>
        </w:rPr>
        <w:t>a</w:t>
      </w:r>
      <w:r w:rsidR="00E95B67" w:rsidRPr="00FD65C9">
        <w:rPr>
          <w:lang w:val="pl-PL"/>
        </w:rPr>
        <w:t xml:space="preserve"> przestępstwa. W tym względzie Trybunał uważa, że skarżący musiał</w:t>
      </w:r>
      <w:r w:rsidR="0028321A" w:rsidRPr="00FD65C9">
        <w:rPr>
          <w:lang w:val="pl-PL"/>
        </w:rPr>
        <w:t xml:space="preserve"> ponieść szkodę niemajątkową, w</w:t>
      </w:r>
      <w:r w:rsidR="002709A2">
        <w:rPr>
          <w:lang w:val="pl-PL"/>
        </w:rPr>
        <w:t xml:space="preserve"> </w:t>
      </w:r>
      <w:r w:rsidR="00E95B67" w:rsidRPr="00FD65C9">
        <w:rPr>
          <w:lang w:val="pl-PL"/>
        </w:rPr>
        <w:t>odniesieniu do której samo stwi</w:t>
      </w:r>
      <w:r w:rsidR="0028321A" w:rsidRPr="00FD65C9">
        <w:rPr>
          <w:lang w:val="pl-PL"/>
        </w:rPr>
        <w:t>erdzenie naruszenia Konwencji w</w:t>
      </w:r>
      <w:r w:rsidR="002709A2">
        <w:rPr>
          <w:lang w:val="pl-PL"/>
        </w:rPr>
        <w:t xml:space="preserve"> </w:t>
      </w:r>
      <w:r w:rsidR="00E95B67" w:rsidRPr="00FD65C9">
        <w:rPr>
          <w:lang w:val="pl-PL"/>
        </w:rPr>
        <w:t>niniejszym wyroku nie stanowi wyst</w:t>
      </w:r>
      <w:r w:rsidR="0028321A" w:rsidRPr="00FD65C9">
        <w:rPr>
          <w:lang w:val="pl-PL"/>
        </w:rPr>
        <w:t>arczającego zadośćuczynienia. W </w:t>
      </w:r>
      <w:r w:rsidR="00E95B67" w:rsidRPr="00FD65C9">
        <w:rPr>
          <w:lang w:val="pl-PL"/>
        </w:rPr>
        <w:t>związku z tym zasądza na rzecz skarżącego kwotę 10 000 EUR tytułem zadośćuczynienia za doznaną krzywdę.</w:t>
      </w:r>
    </w:p>
    <w:p w14:paraId="51C28D4B" w14:textId="3A90C2B7" w:rsidR="00E95B67" w:rsidRPr="00FD65C9" w:rsidRDefault="00DA7597" w:rsidP="00622760">
      <w:pPr>
        <w:pStyle w:val="ECHRPara"/>
        <w:rPr>
          <w:i/>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156</w:t>
      </w:r>
      <w:r w:rsidRPr="00FD65C9">
        <w:rPr>
          <w:lang w:val="pl-PL"/>
        </w:rPr>
        <w:fldChar w:fldCharType="end"/>
      </w:r>
      <w:r w:rsidR="00E95B67" w:rsidRPr="00FD65C9">
        <w:rPr>
          <w:lang w:val="pl-PL"/>
        </w:rPr>
        <w:t xml:space="preserve">.  W przedmiocie żądania zwrotu kosztów i wydatków Trybunał przypomniał, że skarżący może uzyskać zwrot poniesionych przez siebie kosztów i wydatków jedynie w zakresie, w jakim zostanie wykazane, że zostały one rzeczywiście poniesione, że były niezbędne i że ich stawka była rozsądna. Przypomina również, że zgodnie z </w:t>
      </w:r>
      <w:r w:rsidR="00E948F6">
        <w:rPr>
          <w:lang w:val="pl-PL"/>
        </w:rPr>
        <w:t>R</w:t>
      </w:r>
      <w:r w:rsidR="00E95B67" w:rsidRPr="00FD65C9">
        <w:rPr>
          <w:lang w:val="pl-PL"/>
        </w:rPr>
        <w:t>egułą 60 §§ 2 i 3 Regulaminu Trybunału, zainteresowany musi przedłożyć roszczenia w rozbiciu na poszczególne pozycje wraz z odpowiednimi dokumentami potwierdzającymi</w:t>
      </w:r>
      <w:r w:rsidR="00E948F6">
        <w:rPr>
          <w:lang w:val="pl-PL"/>
        </w:rPr>
        <w:t xml:space="preserve"> pod rygorem oddalenia przez</w:t>
      </w:r>
      <w:r w:rsidR="00E95B67" w:rsidRPr="00FD65C9">
        <w:rPr>
          <w:lang w:val="pl-PL"/>
        </w:rPr>
        <w:t xml:space="preserve"> Trybunał </w:t>
      </w:r>
      <w:r w:rsidR="00E948F6">
        <w:rPr>
          <w:lang w:val="pl-PL"/>
        </w:rPr>
        <w:t>wszystkich żądań lub niektórych z nich</w:t>
      </w:r>
      <w:r w:rsidR="00E95B67" w:rsidRPr="00FD65C9">
        <w:rPr>
          <w:lang w:val="pl-PL"/>
        </w:rPr>
        <w:t xml:space="preserve">. W niniejszej sprawie zauważając, że skarżący nie przedstawił żadnych dowodów na poparcie swojego </w:t>
      </w:r>
      <w:r w:rsidR="00E948F6">
        <w:rPr>
          <w:lang w:val="pl-PL"/>
        </w:rPr>
        <w:t>żądani</w:t>
      </w:r>
      <w:r w:rsidR="00E948F6" w:rsidRPr="00FD65C9">
        <w:rPr>
          <w:lang w:val="pl-PL"/>
        </w:rPr>
        <w:t>a</w:t>
      </w:r>
      <w:r w:rsidR="00E95B67" w:rsidRPr="00FD65C9">
        <w:rPr>
          <w:lang w:val="pl-PL"/>
        </w:rPr>
        <w:t xml:space="preserve">, Trybunał postanowił </w:t>
      </w:r>
      <w:r w:rsidR="00E948F6" w:rsidRPr="00FD65C9">
        <w:rPr>
          <w:lang w:val="pl-PL"/>
        </w:rPr>
        <w:t>od</w:t>
      </w:r>
      <w:r w:rsidR="00E948F6">
        <w:rPr>
          <w:lang w:val="pl-PL"/>
        </w:rPr>
        <w:t>dalić</w:t>
      </w:r>
      <w:r w:rsidR="00E948F6" w:rsidRPr="00FD65C9">
        <w:rPr>
          <w:lang w:val="pl-PL"/>
        </w:rPr>
        <w:t xml:space="preserve"> </w:t>
      </w:r>
      <w:r w:rsidR="00E95B67" w:rsidRPr="00FD65C9">
        <w:rPr>
          <w:lang w:val="pl-PL"/>
        </w:rPr>
        <w:t>j</w:t>
      </w:r>
      <w:r w:rsidR="00E948F6">
        <w:rPr>
          <w:lang w:val="pl-PL"/>
        </w:rPr>
        <w:t>e</w:t>
      </w:r>
      <w:r w:rsidR="00E95B67" w:rsidRPr="00FD65C9">
        <w:rPr>
          <w:lang w:val="pl-PL"/>
        </w:rPr>
        <w:t xml:space="preserve"> w całości (</w:t>
      </w:r>
      <w:r w:rsidR="00E95B67" w:rsidRPr="00FD65C9">
        <w:rPr>
          <w:i/>
          <w:iCs/>
          <w:lang w:val="pl-PL"/>
        </w:rPr>
        <w:t>Paksas przeciwko Litwie</w:t>
      </w:r>
      <w:r w:rsidR="0028321A" w:rsidRPr="00FD65C9">
        <w:rPr>
          <w:lang w:val="pl-PL"/>
        </w:rPr>
        <w:t xml:space="preserve"> [WI], nr </w:t>
      </w:r>
      <w:r w:rsidR="00E95B67" w:rsidRPr="00FD65C9">
        <w:rPr>
          <w:lang w:val="pl-PL"/>
        </w:rPr>
        <w:t>34932/04, § 122, ETPC 2011 (fragmenty)).</w:t>
      </w:r>
    </w:p>
    <w:p w14:paraId="2FB344EC" w14:textId="77777777" w:rsidR="00E95B67" w:rsidRPr="00FD65C9" w:rsidRDefault="00E95B67" w:rsidP="00622760">
      <w:pPr>
        <w:pStyle w:val="ECHRHeading2"/>
        <w:rPr>
          <w:lang w:val="pl-PL"/>
        </w:rPr>
      </w:pPr>
      <w:r w:rsidRPr="00FD65C9">
        <w:rPr>
          <w:lang w:val="pl-PL"/>
        </w:rPr>
        <w:t>B. Odsetki za zwłokę</w:t>
      </w:r>
    </w:p>
    <w:p w14:paraId="0B67E0F0" w14:textId="77777777" w:rsidR="00E95B67" w:rsidRPr="00FD65C9" w:rsidRDefault="00DA7597" w:rsidP="00622760">
      <w:pPr>
        <w:pStyle w:val="ECHRPara"/>
        <w:rPr>
          <w:lang w:val="pl-PL"/>
        </w:rPr>
      </w:pPr>
      <w:r w:rsidRPr="00FD65C9">
        <w:rPr>
          <w:lang w:val="pl-PL"/>
        </w:rPr>
        <w:fldChar w:fldCharType="begin"/>
      </w:r>
      <w:r w:rsidR="00E95B67" w:rsidRPr="00FD65C9">
        <w:rPr>
          <w:lang w:val="pl-PL"/>
        </w:rPr>
        <w:instrText xml:space="preserve"> SEQ level0 \*arabic </w:instrText>
      </w:r>
      <w:r w:rsidRPr="00FD65C9">
        <w:rPr>
          <w:lang w:val="pl-PL"/>
        </w:rPr>
        <w:fldChar w:fldCharType="separate"/>
      </w:r>
      <w:r w:rsidR="00E95B67" w:rsidRPr="00FD65C9">
        <w:rPr>
          <w:noProof/>
          <w:lang w:val="pl-PL"/>
        </w:rPr>
        <w:t>157</w:t>
      </w:r>
      <w:r w:rsidRPr="00FD65C9">
        <w:rPr>
          <w:lang w:val="pl-PL"/>
        </w:rPr>
        <w:fldChar w:fldCharType="end"/>
      </w:r>
      <w:r w:rsidR="00E95B67" w:rsidRPr="00FD65C9">
        <w:rPr>
          <w:lang w:val="pl-PL"/>
        </w:rPr>
        <w:t>.  Trybunał za słuszne uznaje obliczenie odsetek za zwłokę na podstawie stopy procentowej kredytu Europejskiego Banku Centralnego powiększonej o trzy punkty procentowe.</w:t>
      </w:r>
    </w:p>
    <w:p w14:paraId="2B2D0A71" w14:textId="77777777" w:rsidR="00E95B67" w:rsidRPr="00FD65C9" w:rsidRDefault="00E95B67" w:rsidP="00622760">
      <w:pPr>
        <w:pStyle w:val="ECHRTitle1"/>
        <w:rPr>
          <w:lang w:val="pl-PL"/>
        </w:rPr>
      </w:pPr>
      <w:r w:rsidRPr="00FD65C9">
        <w:rPr>
          <w:lang w:val="pl-PL"/>
        </w:rPr>
        <w:t>Z POWYŻSZYCH WZGLĘDÓW, TRYBUNAŁ,</w:t>
      </w:r>
    </w:p>
    <w:p w14:paraId="79F64DD0" w14:textId="4D9A8DBC" w:rsidR="00E95B67" w:rsidRPr="00FD65C9" w:rsidRDefault="00E95B67" w:rsidP="00622760">
      <w:pPr>
        <w:pStyle w:val="JuList"/>
        <w:rPr>
          <w:b/>
          <w:lang w:val="pl-PL"/>
        </w:rPr>
      </w:pPr>
      <w:r w:rsidRPr="00FD65C9">
        <w:rPr>
          <w:lang w:val="pl-PL"/>
        </w:rPr>
        <w:t>1.  </w:t>
      </w:r>
      <w:r w:rsidRPr="00FD65C9">
        <w:rPr>
          <w:i/>
          <w:iCs/>
          <w:lang w:val="pl-PL"/>
        </w:rPr>
        <w:t>Uznaje</w:t>
      </w:r>
      <w:r w:rsidR="002709A2">
        <w:rPr>
          <w:lang w:val="pl-PL"/>
        </w:rPr>
        <w:t>,</w:t>
      </w:r>
      <w:r w:rsidR="00E948F6">
        <w:rPr>
          <w:lang w:val="pl-PL"/>
        </w:rPr>
        <w:t xml:space="preserve"> </w:t>
      </w:r>
      <w:r w:rsidRPr="00FD65C9">
        <w:rPr>
          <w:lang w:val="pl-PL"/>
        </w:rPr>
        <w:t>jednogłośnie</w:t>
      </w:r>
      <w:r w:rsidR="002709A2">
        <w:rPr>
          <w:lang w:val="pl-PL"/>
        </w:rPr>
        <w:t>,</w:t>
      </w:r>
      <w:r w:rsidR="00E948F6">
        <w:rPr>
          <w:lang w:val="pl-PL"/>
        </w:rPr>
        <w:t xml:space="preserve"> </w:t>
      </w:r>
      <w:r w:rsidRPr="00FD65C9">
        <w:rPr>
          <w:lang w:val="pl-PL"/>
        </w:rPr>
        <w:t xml:space="preserve">skargę za dopuszczalną w odniesieniu do zarzutów dotyczących </w:t>
      </w:r>
      <w:r w:rsidR="00E948F6">
        <w:rPr>
          <w:lang w:val="pl-PL"/>
        </w:rPr>
        <w:t>legalności</w:t>
      </w:r>
      <w:r w:rsidRPr="00FD65C9">
        <w:rPr>
          <w:lang w:val="pl-PL"/>
        </w:rPr>
        <w:t xml:space="preserve"> tymczasowego aresztowania, </w:t>
      </w:r>
      <w:r w:rsidR="00E948F6">
        <w:rPr>
          <w:lang w:val="pl-PL"/>
        </w:rPr>
        <w:t>zarzutu</w:t>
      </w:r>
      <w:r w:rsidR="00E948F6" w:rsidRPr="00FD65C9">
        <w:rPr>
          <w:lang w:val="pl-PL"/>
        </w:rPr>
        <w:t xml:space="preserve"> </w:t>
      </w:r>
      <w:r w:rsidRPr="00FD65C9">
        <w:rPr>
          <w:lang w:val="pl-PL"/>
        </w:rPr>
        <w:t>braku uzasadnionych podstaw, by podejrzewać skarżąceg</w:t>
      </w:r>
      <w:r w:rsidR="0028321A" w:rsidRPr="00FD65C9">
        <w:rPr>
          <w:lang w:val="pl-PL"/>
        </w:rPr>
        <w:t>o o </w:t>
      </w:r>
      <w:r w:rsidRPr="00FD65C9">
        <w:rPr>
          <w:lang w:val="pl-PL"/>
        </w:rPr>
        <w:t xml:space="preserve">popełnienie przestępstwa oraz </w:t>
      </w:r>
      <w:r w:rsidR="00E948F6">
        <w:rPr>
          <w:lang w:val="pl-PL"/>
        </w:rPr>
        <w:t>zarzutu</w:t>
      </w:r>
      <w:r w:rsidR="00E948F6" w:rsidRPr="00FD65C9">
        <w:rPr>
          <w:lang w:val="pl-PL"/>
        </w:rPr>
        <w:t xml:space="preserve"> </w:t>
      </w:r>
      <w:r w:rsidRPr="00FD65C9">
        <w:rPr>
          <w:lang w:val="pl-PL"/>
        </w:rPr>
        <w:t xml:space="preserve">braku uzasadnienia </w:t>
      </w:r>
      <w:r w:rsidR="00E948F6">
        <w:rPr>
          <w:lang w:val="pl-PL"/>
        </w:rPr>
        <w:t>postanowienia</w:t>
      </w:r>
      <w:r w:rsidR="00E948F6" w:rsidRPr="00FD65C9">
        <w:rPr>
          <w:lang w:val="pl-PL"/>
        </w:rPr>
        <w:t xml:space="preserve"> </w:t>
      </w:r>
      <w:r w:rsidRPr="00FD65C9">
        <w:rPr>
          <w:lang w:val="pl-PL"/>
        </w:rPr>
        <w:t xml:space="preserve">o </w:t>
      </w:r>
      <w:r w:rsidR="00E948F6" w:rsidRPr="00FD65C9">
        <w:rPr>
          <w:lang w:val="pl-PL"/>
        </w:rPr>
        <w:t>za</w:t>
      </w:r>
      <w:r w:rsidR="00E948F6">
        <w:rPr>
          <w:lang w:val="pl-PL"/>
        </w:rPr>
        <w:t>stosowaniu tymczasowego aresztowania wobec</w:t>
      </w:r>
      <w:r w:rsidR="00E948F6" w:rsidRPr="00FD65C9">
        <w:rPr>
          <w:lang w:val="pl-PL"/>
        </w:rPr>
        <w:t xml:space="preserve"> </w:t>
      </w:r>
      <w:r w:rsidRPr="00FD65C9">
        <w:rPr>
          <w:lang w:val="pl-PL"/>
        </w:rPr>
        <w:t>skarżącego, a w pozostałym zakresie uznaje skargę za niedopuszczalną;</w:t>
      </w:r>
    </w:p>
    <w:p w14:paraId="791430AD" w14:textId="77777777" w:rsidR="00E95B67" w:rsidRPr="00FD65C9" w:rsidRDefault="00E95B67" w:rsidP="00622760">
      <w:pPr>
        <w:pStyle w:val="JuList"/>
        <w:rPr>
          <w:lang w:val="pl-PL"/>
        </w:rPr>
      </w:pPr>
    </w:p>
    <w:p w14:paraId="169C5077" w14:textId="1A9D88F7" w:rsidR="00E95B67" w:rsidRPr="00FD65C9" w:rsidRDefault="00E95B67" w:rsidP="00622760">
      <w:pPr>
        <w:pStyle w:val="JuList"/>
        <w:rPr>
          <w:lang w:val="pl-PL"/>
        </w:rPr>
      </w:pPr>
      <w:r w:rsidRPr="00FD65C9">
        <w:rPr>
          <w:lang w:val="pl-PL"/>
        </w:rPr>
        <w:t>2.  </w:t>
      </w:r>
      <w:r w:rsidRPr="00FD65C9">
        <w:rPr>
          <w:i/>
          <w:iCs/>
          <w:lang w:val="pl-PL"/>
        </w:rPr>
        <w:t>Orzeka</w:t>
      </w:r>
      <w:r w:rsidR="002709A2">
        <w:rPr>
          <w:i/>
          <w:iCs/>
          <w:lang w:val="pl-PL"/>
        </w:rPr>
        <w:t>,</w:t>
      </w:r>
      <w:r w:rsidR="00E948F6">
        <w:rPr>
          <w:lang w:val="pl-PL"/>
        </w:rPr>
        <w:t xml:space="preserve"> </w:t>
      </w:r>
      <w:r w:rsidRPr="00FD65C9">
        <w:rPr>
          <w:lang w:val="pl-PL"/>
        </w:rPr>
        <w:t>sześcioma głosami do jednego</w:t>
      </w:r>
      <w:r w:rsidR="002709A2">
        <w:rPr>
          <w:lang w:val="pl-PL"/>
        </w:rPr>
        <w:t>,</w:t>
      </w:r>
      <w:r w:rsidRPr="00FD65C9">
        <w:rPr>
          <w:lang w:val="pl-PL"/>
        </w:rPr>
        <w:t xml:space="preserve"> że d</w:t>
      </w:r>
      <w:r w:rsidR="0028321A" w:rsidRPr="00FD65C9">
        <w:rPr>
          <w:lang w:val="pl-PL"/>
        </w:rPr>
        <w:t>oszło do naruszenia art. 5 ust. </w:t>
      </w:r>
      <w:r w:rsidRPr="00FD65C9">
        <w:rPr>
          <w:lang w:val="pl-PL"/>
        </w:rPr>
        <w:t>1 Konwencji z powodu braku legalności aresztu tymczasowego;</w:t>
      </w:r>
    </w:p>
    <w:p w14:paraId="05C7A333" w14:textId="77777777" w:rsidR="00E95B67" w:rsidRPr="00FD65C9" w:rsidRDefault="00E95B67" w:rsidP="00622760">
      <w:pPr>
        <w:pStyle w:val="JuList"/>
        <w:rPr>
          <w:lang w:val="pl-PL"/>
        </w:rPr>
      </w:pPr>
    </w:p>
    <w:p w14:paraId="56CC9752" w14:textId="5D75AFB6" w:rsidR="00E95B67" w:rsidRPr="00FD65C9" w:rsidRDefault="00E95B67" w:rsidP="00622760">
      <w:pPr>
        <w:pStyle w:val="JuList"/>
        <w:rPr>
          <w:lang w:val="pl-PL"/>
        </w:rPr>
      </w:pPr>
      <w:r w:rsidRPr="00FD65C9">
        <w:rPr>
          <w:lang w:val="pl-PL"/>
        </w:rPr>
        <w:t>3.  </w:t>
      </w:r>
      <w:r w:rsidRPr="00FD65C9">
        <w:rPr>
          <w:i/>
          <w:iCs/>
          <w:lang w:val="pl-PL"/>
        </w:rPr>
        <w:t xml:space="preserve">Orzeka, </w:t>
      </w:r>
      <w:r w:rsidRPr="00FD65C9">
        <w:rPr>
          <w:lang w:val="pl-PL"/>
        </w:rPr>
        <w:t>sześcioma głosami do jednego,</w:t>
      </w:r>
      <w:r w:rsidR="0028321A" w:rsidRPr="00FD65C9">
        <w:rPr>
          <w:lang w:val="pl-PL"/>
        </w:rPr>
        <w:t xml:space="preserve"> że doszło do naruszenia art. 5 </w:t>
      </w:r>
      <w:r w:rsidRPr="00FD65C9">
        <w:rPr>
          <w:lang w:val="pl-PL"/>
        </w:rPr>
        <w:t>ust. 1 Konwencji z uwagi na</w:t>
      </w:r>
      <w:r w:rsidR="0028321A" w:rsidRPr="00FD65C9">
        <w:rPr>
          <w:lang w:val="pl-PL"/>
        </w:rPr>
        <w:t xml:space="preserve"> brak uzasadnionych podejrzeń </w:t>
      </w:r>
      <w:r w:rsidRPr="00FD65C9">
        <w:rPr>
          <w:lang w:val="pl-PL"/>
        </w:rPr>
        <w:t>popełnieni</w:t>
      </w:r>
      <w:r w:rsidR="00E948F6">
        <w:rPr>
          <w:lang w:val="pl-PL"/>
        </w:rPr>
        <w:t>a</w:t>
      </w:r>
      <w:r w:rsidRPr="00FD65C9">
        <w:rPr>
          <w:lang w:val="pl-PL"/>
        </w:rPr>
        <w:t xml:space="preserve"> przestępstwa w </w:t>
      </w:r>
      <w:r w:rsidR="00E948F6">
        <w:rPr>
          <w:lang w:val="pl-PL"/>
        </w:rPr>
        <w:t>chwili zastosowania tymczasowego aresztowania wobec</w:t>
      </w:r>
      <w:r w:rsidRPr="00FD65C9">
        <w:rPr>
          <w:lang w:val="pl-PL"/>
        </w:rPr>
        <w:t xml:space="preserve"> skarżącego;</w:t>
      </w:r>
    </w:p>
    <w:p w14:paraId="01D5FCAF" w14:textId="77777777" w:rsidR="00E95B67" w:rsidRPr="00FD65C9" w:rsidRDefault="00E95B67" w:rsidP="00622760">
      <w:pPr>
        <w:pStyle w:val="JuList"/>
        <w:rPr>
          <w:lang w:val="pl-PL"/>
        </w:rPr>
      </w:pPr>
    </w:p>
    <w:p w14:paraId="094B7B87" w14:textId="7B38BB7C" w:rsidR="00E95B67" w:rsidRPr="00FD65C9" w:rsidRDefault="00E95B67" w:rsidP="00622760">
      <w:pPr>
        <w:pStyle w:val="JuList"/>
        <w:rPr>
          <w:lang w:val="pl-PL"/>
        </w:rPr>
      </w:pPr>
      <w:r w:rsidRPr="00FD65C9">
        <w:rPr>
          <w:lang w:val="pl-PL"/>
        </w:rPr>
        <w:t>4.  </w:t>
      </w:r>
      <w:r w:rsidRPr="00FD65C9">
        <w:rPr>
          <w:i/>
          <w:iCs/>
          <w:lang w:val="pl-PL"/>
        </w:rPr>
        <w:t>Stwierdza</w:t>
      </w:r>
      <w:r w:rsidR="00E948F6">
        <w:rPr>
          <w:lang w:val="pl-PL"/>
        </w:rPr>
        <w:t xml:space="preserve"> </w:t>
      </w:r>
      <w:r w:rsidRPr="00FD65C9">
        <w:rPr>
          <w:lang w:val="pl-PL"/>
        </w:rPr>
        <w:t>jednogłośnie</w:t>
      </w:r>
      <w:r w:rsidR="002709A2">
        <w:rPr>
          <w:lang w:val="pl-PL"/>
        </w:rPr>
        <w:t>,</w:t>
      </w:r>
      <w:r w:rsidRPr="00FD65C9">
        <w:rPr>
          <w:lang w:val="pl-PL"/>
        </w:rPr>
        <w:t xml:space="preserve"> że nie ma potrzeby rozpatrywania zarzutu na podstawie art. 5 ust. 1 lit. c i ust. 3 Konwencji w zakresie zarzucanego braku uzasadnienia </w:t>
      </w:r>
      <w:r w:rsidR="00E948F6">
        <w:rPr>
          <w:lang w:val="pl-PL"/>
        </w:rPr>
        <w:t xml:space="preserve">postanowienia </w:t>
      </w:r>
      <w:r w:rsidRPr="00FD65C9">
        <w:rPr>
          <w:lang w:val="pl-PL"/>
        </w:rPr>
        <w:t xml:space="preserve">o </w:t>
      </w:r>
      <w:r w:rsidR="00E948F6" w:rsidRPr="00FD65C9">
        <w:rPr>
          <w:lang w:val="pl-PL"/>
        </w:rPr>
        <w:t>za</w:t>
      </w:r>
      <w:r w:rsidR="00E948F6">
        <w:rPr>
          <w:lang w:val="pl-PL"/>
        </w:rPr>
        <w:t>stosowaniu tymczasowego aresztowania wobec</w:t>
      </w:r>
      <w:r w:rsidR="00E948F6" w:rsidRPr="00FD65C9">
        <w:rPr>
          <w:lang w:val="pl-PL"/>
        </w:rPr>
        <w:t xml:space="preserve"> </w:t>
      </w:r>
      <w:r w:rsidRPr="00FD65C9">
        <w:rPr>
          <w:lang w:val="pl-PL"/>
        </w:rPr>
        <w:t>skarżącego;</w:t>
      </w:r>
    </w:p>
    <w:p w14:paraId="2FCE9521" w14:textId="77777777" w:rsidR="00E95B67" w:rsidRPr="00FD65C9" w:rsidRDefault="00E95B67" w:rsidP="00622760">
      <w:pPr>
        <w:pStyle w:val="JuList"/>
        <w:rPr>
          <w:lang w:val="pl-PL"/>
        </w:rPr>
      </w:pPr>
    </w:p>
    <w:p w14:paraId="233BEE78" w14:textId="77777777" w:rsidR="00E95B67" w:rsidRPr="00FD65C9" w:rsidRDefault="00E95B67" w:rsidP="00622760">
      <w:pPr>
        <w:pStyle w:val="JuList"/>
        <w:rPr>
          <w:lang w:val="pl-PL"/>
        </w:rPr>
      </w:pPr>
      <w:r w:rsidRPr="00FD65C9">
        <w:rPr>
          <w:lang w:val="pl-PL"/>
        </w:rPr>
        <w:t>5.  </w:t>
      </w:r>
      <w:r w:rsidRPr="00FD65C9">
        <w:rPr>
          <w:i/>
          <w:iCs/>
          <w:lang w:val="pl-PL"/>
        </w:rPr>
        <w:t>Orzeka</w:t>
      </w:r>
      <w:r w:rsidRPr="00FD65C9">
        <w:rPr>
          <w:lang w:val="pl-PL"/>
        </w:rPr>
        <w:t>, sześcioma głosami do jednego,</w:t>
      </w:r>
    </w:p>
    <w:p w14:paraId="4D3833DE" w14:textId="4E2632AB" w:rsidR="00E95B67" w:rsidRPr="00FD65C9" w:rsidRDefault="00E95B67" w:rsidP="00622760">
      <w:pPr>
        <w:pStyle w:val="JuLista"/>
        <w:rPr>
          <w:lang w:val="pl-PL"/>
        </w:rPr>
      </w:pPr>
      <w:r w:rsidRPr="00FD65C9">
        <w:rPr>
          <w:lang w:val="pl-PL"/>
        </w:rPr>
        <w:t>a) że pozwane państwo musi wypłacić skarżącemu, w terminie trzech miesięcy od daty uprawomocnienia się wyroku zgodnie z art. 44 ust. 2 Konwencji, kwotę dziesięciu tysięcy euro (10</w:t>
      </w:r>
      <w:r w:rsidR="002709A2">
        <w:rPr>
          <w:lang w:val="pl-PL"/>
        </w:rPr>
        <w:t xml:space="preserve"> </w:t>
      </w:r>
      <w:r w:rsidRPr="00FD65C9">
        <w:rPr>
          <w:lang w:val="pl-PL"/>
        </w:rPr>
        <w:t>000 EUR), plus wszelkie kwoty, które mogą być należne z tytułu podatku, kosztów i wydatków, w przeliczeniu na liry tureckie, według kursu obowiązującego w dniu rozliczenia,</w:t>
      </w:r>
    </w:p>
    <w:p w14:paraId="002AABAC" w14:textId="77777777" w:rsidR="00E95B67" w:rsidRPr="00FD65C9" w:rsidRDefault="00E95B67" w:rsidP="00622760">
      <w:pPr>
        <w:pStyle w:val="JuLista"/>
        <w:rPr>
          <w:lang w:val="pl-PL"/>
        </w:rPr>
      </w:pPr>
      <w:r w:rsidRPr="00FD65C9">
        <w:rPr>
          <w:lang w:val="pl-PL"/>
        </w:rPr>
        <w:t>b) że od upływu wspomnianego okresu do chwili zapłaty od kwoty tej należne są odsetki proste według stopy równej stopie procentowej kredytu Europejskiego Banku Centralnego, obowiązującej w tym okresie, powiększonej o trzy punkty procentowe;</w:t>
      </w:r>
    </w:p>
    <w:p w14:paraId="0008A361" w14:textId="77777777" w:rsidR="003B2620" w:rsidRPr="00FD65C9" w:rsidRDefault="003B2620" w:rsidP="00622760">
      <w:pPr>
        <w:pStyle w:val="JuLista"/>
        <w:rPr>
          <w:lang w:val="pl-PL"/>
        </w:rPr>
      </w:pPr>
    </w:p>
    <w:p w14:paraId="66707510" w14:textId="265A3BBD" w:rsidR="00675E41" w:rsidRPr="00FD65C9" w:rsidRDefault="00E95B67" w:rsidP="00622760">
      <w:pPr>
        <w:pStyle w:val="JuList"/>
        <w:rPr>
          <w:lang w:val="pl-PL"/>
        </w:rPr>
      </w:pPr>
      <w:r w:rsidRPr="00FD65C9">
        <w:rPr>
          <w:lang w:val="pl-PL"/>
        </w:rPr>
        <w:t>6.  </w:t>
      </w:r>
      <w:r w:rsidRPr="00FD65C9">
        <w:rPr>
          <w:i/>
          <w:iCs/>
          <w:lang w:val="pl-PL"/>
        </w:rPr>
        <w:t>Oddala</w:t>
      </w:r>
      <w:r w:rsidR="00E948F6">
        <w:rPr>
          <w:lang w:val="pl-PL"/>
        </w:rPr>
        <w:t xml:space="preserve"> </w:t>
      </w:r>
      <w:r w:rsidR="00E948F6" w:rsidRPr="00FD65C9">
        <w:rPr>
          <w:lang w:val="pl-PL"/>
        </w:rPr>
        <w:t>jedno</w:t>
      </w:r>
      <w:r w:rsidR="00E948F6">
        <w:rPr>
          <w:lang w:val="pl-PL"/>
        </w:rPr>
        <w:t xml:space="preserve">głośnie </w:t>
      </w:r>
      <w:r w:rsidRPr="00FD65C9">
        <w:rPr>
          <w:lang w:val="pl-PL"/>
        </w:rPr>
        <w:t>żądanie słusznego zadośćuczynienia w pozostałym zakresie.</w:t>
      </w:r>
    </w:p>
    <w:p w14:paraId="0347D134" w14:textId="77777777" w:rsidR="00E95B67" w:rsidRPr="00FD65C9" w:rsidRDefault="00E95B67" w:rsidP="00622760">
      <w:pPr>
        <w:pStyle w:val="JuParaLast"/>
        <w:rPr>
          <w:lang w:val="pl-PL"/>
        </w:rPr>
      </w:pPr>
      <w:r w:rsidRPr="00FD65C9">
        <w:rPr>
          <w:lang w:val="pl-PL"/>
        </w:rPr>
        <w:t>Sporządzono w języku francuskim i</w:t>
      </w:r>
      <w:r w:rsidR="0028321A" w:rsidRPr="00FD65C9">
        <w:rPr>
          <w:lang w:val="pl-PL"/>
        </w:rPr>
        <w:t xml:space="preserve"> przekazano w formie pisemnej w </w:t>
      </w:r>
      <w:r w:rsidRPr="00FD65C9">
        <w:rPr>
          <w:lang w:val="pl-PL"/>
        </w:rPr>
        <w:t>dniu 16 kwietnia 2019 r., zgodnie z Regułą 77 §§ 2 i 3 Regulaminu Trybunału.</w:t>
      </w:r>
    </w:p>
    <w:p w14:paraId="7531624C" w14:textId="77777777" w:rsidR="00E95B67" w:rsidRPr="00FD65C9" w:rsidRDefault="00E95B67" w:rsidP="00622760">
      <w:pPr>
        <w:pStyle w:val="JuSigned"/>
        <w:rPr>
          <w:lang w:val="pl-PL"/>
        </w:rPr>
      </w:pPr>
      <w:r w:rsidRPr="00FD65C9">
        <w:rPr>
          <w:lang w:val="pl-PL"/>
        </w:rPr>
        <w:t xml:space="preserve">Stanley </w:t>
      </w:r>
      <w:proofErr w:type="spellStart"/>
      <w:r w:rsidRPr="00FD65C9">
        <w:rPr>
          <w:lang w:val="pl-PL"/>
        </w:rPr>
        <w:t>Naismith</w:t>
      </w:r>
      <w:proofErr w:type="spellEnd"/>
      <w:r w:rsidRPr="00FD65C9">
        <w:rPr>
          <w:lang w:val="pl-PL"/>
        </w:rPr>
        <w:tab/>
      </w:r>
      <w:r w:rsidRPr="00FD65C9">
        <w:rPr>
          <w:szCs w:val="24"/>
          <w:lang w:val="pl-PL"/>
        </w:rPr>
        <w:t>Robert Spano</w:t>
      </w:r>
      <w:r w:rsidRPr="00FD65C9">
        <w:rPr>
          <w:lang w:val="pl-PL"/>
        </w:rPr>
        <w:br/>
      </w:r>
      <w:r w:rsidRPr="00FD65C9">
        <w:rPr>
          <w:lang w:val="pl-PL"/>
        </w:rPr>
        <w:tab/>
        <w:t>Kanclerz</w:t>
      </w:r>
      <w:r w:rsidRPr="00FD65C9">
        <w:rPr>
          <w:lang w:val="pl-PL"/>
        </w:rPr>
        <w:tab/>
        <w:t>Przewodniczący</w:t>
      </w:r>
    </w:p>
    <w:p w14:paraId="0294F67A" w14:textId="77777777" w:rsidR="00BE5E04" w:rsidRPr="00FD65C9" w:rsidRDefault="00BE5E04" w:rsidP="00622760">
      <w:pPr>
        <w:pStyle w:val="JuParaLast"/>
        <w:rPr>
          <w:lang w:val="pl-PL"/>
        </w:rPr>
      </w:pPr>
      <w:r w:rsidRPr="00FD65C9">
        <w:rPr>
          <w:lang w:val="pl-PL"/>
        </w:rPr>
        <w:t>Do niniejszego wyroku, zgodnie z art. 45</w:t>
      </w:r>
      <w:r w:rsidR="0028321A" w:rsidRPr="00FD65C9">
        <w:rPr>
          <w:lang w:val="pl-PL"/>
        </w:rPr>
        <w:t xml:space="preserve"> ust. 2 Konwencji i Regułą 74 § </w:t>
      </w:r>
      <w:r w:rsidRPr="00FD65C9">
        <w:rPr>
          <w:lang w:val="pl-PL"/>
        </w:rPr>
        <w:t xml:space="preserve">2 Regulaminu Trybunału, załączona jest opinia odrębna sędziego </w:t>
      </w:r>
      <w:r w:rsidRPr="00FD65C9">
        <w:rPr>
          <w:i/>
          <w:iCs/>
          <w:lang w:val="pl-PL"/>
        </w:rPr>
        <w:t>ad hoc,</w:t>
      </w:r>
      <w:r w:rsidRPr="00FD65C9">
        <w:rPr>
          <w:lang w:val="pl-PL"/>
        </w:rPr>
        <w:t xml:space="preserve"> </w:t>
      </w:r>
      <w:proofErr w:type="spellStart"/>
      <w:r w:rsidRPr="00FD65C9">
        <w:rPr>
          <w:lang w:val="pl-PL"/>
        </w:rPr>
        <w:t>Haruna</w:t>
      </w:r>
      <w:proofErr w:type="spellEnd"/>
      <w:r w:rsidRPr="00FD65C9">
        <w:rPr>
          <w:lang w:val="pl-PL"/>
        </w:rPr>
        <w:t xml:space="preserve"> Merta.</w:t>
      </w:r>
    </w:p>
    <w:p w14:paraId="27C049EA" w14:textId="77777777" w:rsidR="00BE5E04" w:rsidRPr="00FD65C9" w:rsidRDefault="00BE5E04" w:rsidP="00622760">
      <w:pPr>
        <w:pStyle w:val="JuInitialled"/>
        <w:rPr>
          <w:lang w:val="pl-PL"/>
        </w:rPr>
      </w:pPr>
      <w:r w:rsidRPr="00FD65C9">
        <w:rPr>
          <w:lang w:val="pl-PL"/>
        </w:rPr>
        <w:t>R.S.</w:t>
      </w:r>
      <w:r w:rsidRPr="00FD65C9">
        <w:rPr>
          <w:lang w:val="pl-PL"/>
        </w:rPr>
        <w:br/>
        <w:t>S.H.N.</w:t>
      </w:r>
    </w:p>
    <w:p w14:paraId="16E05434" w14:textId="77777777" w:rsidR="00057AEF" w:rsidRPr="00FD65C9" w:rsidRDefault="00057AEF" w:rsidP="00622760">
      <w:pPr>
        <w:rPr>
          <w:lang w:val="pl-PL"/>
        </w:rPr>
        <w:sectPr w:rsidR="00057AEF" w:rsidRPr="00FD65C9">
          <w:headerReference w:type="even" r:id="rId13"/>
          <w:headerReference w:type="default" r:id="rId14"/>
          <w:footerReference w:type="even" r:id="rId15"/>
          <w:footerReference w:type="default" r:id="rId16"/>
          <w:footnotePr>
            <w:numRestart w:val="eachSect"/>
          </w:footnotePr>
          <w:pgSz w:w="11906" w:h="16838" w:code="9"/>
          <w:pgMar w:top="2274" w:right="2274" w:bottom="2274" w:left="2274" w:header="1701" w:footer="720" w:gutter="0"/>
          <w:pgNumType w:start="1"/>
          <w:cols w:space="720"/>
          <w:noEndnote/>
        </w:sectPr>
      </w:pPr>
    </w:p>
    <w:p w14:paraId="370B103B" w14:textId="77777777" w:rsidR="00057AEF" w:rsidRPr="00FD65C9" w:rsidRDefault="00057AEF" w:rsidP="00622760">
      <w:pPr>
        <w:pStyle w:val="ECHRTitleCentre1"/>
        <w:rPr>
          <w:lang w:val="pl-PL"/>
        </w:rPr>
      </w:pPr>
      <w:r w:rsidRPr="00FD65C9">
        <w:rPr>
          <w:lang w:val="pl-PL"/>
        </w:rPr>
        <w:t>CZĘŚCIOWO ROZBIEŻNA OPINIA SĘDZIEGO MERTA</w:t>
      </w:r>
    </w:p>
    <w:p w14:paraId="3E7A69E5" w14:textId="5FDBA5E6" w:rsidR="00675E41" w:rsidRPr="00FD65C9" w:rsidRDefault="00E079C6" w:rsidP="00622760">
      <w:pPr>
        <w:pStyle w:val="OpiPara"/>
        <w:rPr>
          <w:lang w:val="pl-PL"/>
        </w:rPr>
      </w:pPr>
      <w:r w:rsidRPr="00FD65C9">
        <w:rPr>
          <w:lang w:val="pl-PL"/>
        </w:rPr>
        <w:t xml:space="preserve">1.  Z całym szacunkiem nie </w:t>
      </w:r>
      <w:r w:rsidR="0050628C">
        <w:rPr>
          <w:lang w:val="pl-PL"/>
        </w:rPr>
        <w:t>podzielam stanowiska</w:t>
      </w:r>
      <w:r w:rsidR="0028321A" w:rsidRPr="00FD65C9">
        <w:rPr>
          <w:lang w:val="pl-PL"/>
        </w:rPr>
        <w:t xml:space="preserve"> większości</w:t>
      </w:r>
      <w:r w:rsidR="0050628C">
        <w:rPr>
          <w:lang w:val="pl-PL"/>
        </w:rPr>
        <w:t xml:space="preserve"> składu orzekającego</w:t>
      </w:r>
      <w:r w:rsidR="0028321A" w:rsidRPr="00FD65C9">
        <w:rPr>
          <w:lang w:val="pl-PL"/>
        </w:rPr>
        <w:t xml:space="preserve">, </w:t>
      </w:r>
      <w:r w:rsidR="0050628C">
        <w:rPr>
          <w:lang w:val="pl-PL"/>
        </w:rPr>
        <w:t>zgodnie z którym</w:t>
      </w:r>
      <w:r w:rsidR="0050628C" w:rsidRPr="00FD65C9">
        <w:rPr>
          <w:lang w:val="pl-PL"/>
        </w:rPr>
        <w:t> </w:t>
      </w:r>
      <w:r w:rsidRPr="00FD65C9">
        <w:rPr>
          <w:lang w:val="pl-PL"/>
        </w:rPr>
        <w:t>w niniejszej sprawie doszło do naruszenia a</w:t>
      </w:r>
      <w:r w:rsidR="0028321A" w:rsidRPr="00FD65C9">
        <w:rPr>
          <w:lang w:val="pl-PL"/>
        </w:rPr>
        <w:t>rt. 5 ust. 1 oraz art. 5 ust. 1 </w:t>
      </w:r>
      <w:r w:rsidRPr="00FD65C9">
        <w:rPr>
          <w:lang w:val="pl-PL"/>
        </w:rPr>
        <w:t xml:space="preserve">lit. c Konwencji z uwagi na bezprawność </w:t>
      </w:r>
      <w:r w:rsidR="0050628C">
        <w:rPr>
          <w:lang w:val="pl-PL"/>
        </w:rPr>
        <w:t>zastosowania</w:t>
      </w:r>
      <w:r w:rsidR="0050628C" w:rsidRPr="00FD65C9">
        <w:rPr>
          <w:lang w:val="pl-PL"/>
        </w:rPr>
        <w:t xml:space="preserve"> </w:t>
      </w:r>
      <w:r w:rsidRPr="00FD65C9">
        <w:rPr>
          <w:lang w:val="pl-PL"/>
        </w:rPr>
        <w:t xml:space="preserve">tymczasowego aresztowania </w:t>
      </w:r>
      <w:r w:rsidR="0050628C">
        <w:rPr>
          <w:lang w:val="pl-PL"/>
        </w:rPr>
        <w:t xml:space="preserve">wobec </w:t>
      </w:r>
      <w:r w:rsidRPr="00FD65C9">
        <w:rPr>
          <w:lang w:val="pl-PL"/>
        </w:rPr>
        <w:t>skarżącego oraz b</w:t>
      </w:r>
      <w:r w:rsidR="0028321A" w:rsidRPr="00FD65C9">
        <w:rPr>
          <w:lang w:val="pl-PL"/>
        </w:rPr>
        <w:t xml:space="preserve">rak uzasadnionego podejrzenia </w:t>
      </w:r>
      <w:r w:rsidRPr="00FD65C9">
        <w:rPr>
          <w:lang w:val="pl-PL"/>
        </w:rPr>
        <w:t xml:space="preserve">popełnienie przestępstwa w </w:t>
      </w:r>
      <w:r w:rsidR="0050628C">
        <w:rPr>
          <w:lang w:val="pl-PL"/>
        </w:rPr>
        <w:t xml:space="preserve">chwili wydania </w:t>
      </w:r>
      <w:r w:rsidRPr="00FD65C9">
        <w:rPr>
          <w:lang w:val="pl-PL"/>
        </w:rPr>
        <w:t xml:space="preserve">pierwszego </w:t>
      </w:r>
      <w:r w:rsidR="0050628C">
        <w:rPr>
          <w:lang w:val="pl-PL"/>
        </w:rPr>
        <w:t xml:space="preserve">postanowienia o zastosowaniu </w:t>
      </w:r>
      <w:r w:rsidRPr="00FD65C9">
        <w:rPr>
          <w:lang w:val="pl-PL"/>
        </w:rPr>
        <w:t>tymczasowego aresztowania.</w:t>
      </w:r>
    </w:p>
    <w:p w14:paraId="793D5473" w14:textId="77777777" w:rsidR="00E079C6" w:rsidRPr="00FD65C9" w:rsidRDefault="00E079C6" w:rsidP="00622760">
      <w:pPr>
        <w:pStyle w:val="OpiHA"/>
        <w:jc w:val="center"/>
        <w:rPr>
          <w:lang w:val="pl-PL"/>
        </w:rPr>
      </w:pPr>
      <w:r w:rsidRPr="00FD65C9">
        <w:rPr>
          <w:lang w:val="pl-PL"/>
        </w:rPr>
        <w:t>I</w:t>
      </w:r>
    </w:p>
    <w:p w14:paraId="40DDACF3" w14:textId="2EBBA26E" w:rsidR="00E079C6" w:rsidRPr="00FD65C9" w:rsidRDefault="00E079C6" w:rsidP="00622760">
      <w:pPr>
        <w:pStyle w:val="OpiPara"/>
        <w:rPr>
          <w:lang w:val="pl-PL"/>
        </w:rPr>
      </w:pPr>
      <w:r w:rsidRPr="00FD65C9">
        <w:rPr>
          <w:lang w:val="pl-PL"/>
        </w:rPr>
        <w:t xml:space="preserve">2.  Większość </w:t>
      </w:r>
      <w:r w:rsidR="0050628C">
        <w:rPr>
          <w:lang w:val="pl-PL"/>
        </w:rPr>
        <w:t>składu orzekającego uznała</w:t>
      </w:r>
      <w:r w:rsidRPr="00FD65C9">
        <w:rPr>
          <w:lang w:val="pl-PL"/>
        </w:rPr>
        <w:t xml:space="preserve">, że doszło do naruszenia art. 5 ust. 1 Konwencji z uwagi na bezprawność </w:t>
      </w:r>
      <w:r w:rsidR="0050628C">
        <w:rPr>
          <w:lang w:val="pl-PL"/>
        </w:rPr>
        <w:t>pierwsze</w:t>
      </w:r>
      <w:r w:rsidR="00143087">
        <w:rPr>
          <w:lang w:val="pl-PL"/>
        </w:rPr>
        <w:t>go</w:t>
      </w:r>
      <w:r w:rsidR="0050628C">
        <w:rPr>
          <w:lang w:val="pl-PL"/>
        </w:rPr>
        <w:t xml:space="preserve"> zastosowani</w:t>
      </w:r>
      <w:r w:rsidR="00143087">
        <w:rPr>
          <w:lang w:val="pl-PL"/>
        </w:rPr>
        <w:t>a</w:t>
      </w:r>
      <w:r w:rsidR="0050628C" w:rsidRPr="00FD65C9">
        <w:rPr>
          <w:lang w:val="pl-PL"/>
        </w:rPr>
        <w:t xml:space="preserve"> </w:t>
      </w:r>
      <w:r w:rsidRPr="00FD65C9">
        <w:rPr>
          <w:lang w:val="pl-PL"/>
        </w:rPr>
        <w:t xml:space="preserve">tymczasowego aresztowania </w:t>
      </w:r>
      <w:r w:rsidR="0050628C">
        <w:rPr>
          <w:lang w:val="pl-PL"/>
        </w:rPr>
        <w:t xml:space="preserve">wobec </w:t>
      </w:r>
      <w:r w:rsidRPr="00FD65C9">
        <w:rPr>
          <w:lang w:val="pl-PL"/>
        </w:rPr>
        <w:t>skarżącego.</w:t>
      </w:r>
    </w:p>
    <w:p w14:paraId="1340B2C8" w14:textId="4C499B5B" w:rsidR="00E079C6" w:rsidRPr="00FD65C9" w:rsidRDefault="00E079C6" w:rsidP="00622760">
      <w:pPr>
        <w:pStyle w:val="OpiPara"/>
        <w:rPr>
          <w:lang w:val="pl-PL"/>
        </w:rPr>
      </w:pPr>
      <w:r w:rsidRPr="00FD65C9">
        <w:rPr>
          <w:lang w:val="pl-PL"/>
        </w:rPr>
        <w:t xml:space="preserve">3.  Skarżący został zatrzymany w dniu 16 lipca 2016 r., bezpośrednio po próbie zamachu stanu, i tego samego dnia został </w:t>
      </w:r>
      <w:r w:rsidR="0050628C">
        <w:rPr>
          <w:lang w:val="pl-PL"/>
        </w:rPr>
        <w:t>umieszczony w</w:t>
      </w:r>
      <w:r w:rsidRPr="00FD65C9">
        <w:rPr>
          <w:lang w:val="pl-PL"/>
        </w:rPr>
        <w:t xml:space="preserve"> </w:t>
      </w:r>
      <w:r w:rsidR="0050628C" w:rsidRPr="00FD65C9">
        <w:rPr>
          <w:lang w:val="pl-PL"/>
        </w:rPr>
        <w:t>policyjne</w:t>
      </w:r>
      <w:r w:rsidR="0050628C">
        <w:rPr>
          <w:lang w:val="pl-PL"/>
        </w:rPr>
        <w:t>j izbie zatrzymań</w:t>
      </w:r>
      <w:r w:rsidRPr="00FD65C9">
        <w:rPr>
          <w:lang w:val="pl-PL"/>
        </w:rPr>
        <w:t xml:space="preserve">. </w:t>
      </w:r>
      <w:r w:rsidR="0050628C">
        <w:rPr>
          <w:lang w:val="pl-PL"/>
        </w:rPr>
        <w:t xml:space="preserve">W dniu </w:t>
      </w:r>
      <w:r w:rsidR="0028321A" w:rsidRPr="00FD65C9">
        <w:rPr>
          <w:lang w:val="pl-PL"/>
        </w:rPr>
        <w:t>20 </w:t>
      </w:r>
      <w:r w:rsidRPr="00FD65C9">
        <w:rPr>
          <w:lang w:val="pl-PL"/>
        </w:rPr>
        <w:t>lipc</w:t>
      </w:r>
      <w:r w:rsidR="0028321A" w:rsidRPr="00FD65C9">
        <w:rPr>
          <w:lang w:val="pl-PL"/>
        </w:rPr>
        <w:t>a 2016 </w:t>
      </w:r>
      <w:r w:rsidRPr="00FD65C9">
        <w:rPr>
          <w:lang w:val="pl-PL"/>
        </w:rPr>
        <w:t>r.</w:t>
      </w:r>
      <w:r w:rsidR="0050628C">
        <w:rPr>
          <w:lang w:val="pl-PL"/>
        </w:rPr>
        <w:t xml:space="preserve"> umieszczono go w areszcie śledczym</w:t>
      </w:r>
      <w:r w:rsidRPr="00FD65C9">
        <w:rPr>
          <w:lang w:val="pl-PL"/>
        </w:rPr>
        <w:t xml:space="preserve"> w związku z podejrzeniem o przynależność do zbrojnej organizacji terrorystycznej FETÖ/PDY, która jest uważana za inicjatora próby zamachu stanu z </w:t>
      </w:r>
      <w:r w:rsidR="0050628C">
        <w:rPr>
          <w:lang w:val="pl-PL"/>
        </w:rPr>
        <w:t xml:space="preserve">dnia </w:t>
      </w:r>
      <w:r w:rsidRPr="00FD65C9">
        <w:rPr>
          <w:lang w:val="pl-PL"/>
        </w:rPr>
        <w:t>15 lipca 2016 r.</w:t>
      </w:r>
    </w:p>
    <w:p w14:paraId="34176797" w14:textId="397701E8" w:rsidR="00E079C6" w:rsidRPr="00FD65C9" w:rsidRDefault="00E079C6" w:rsidP="00622760">
      <w:pPr>
        <w:pStyle w:val="OpiPara"/>
        <w:rPr>
          <w:lang w:val="pl-PL"/>
        </w:rPr>
      </w:pPr>
      <w:r w:rsidRPr="00FD65C9">
        <w:rPr>
          <w:lang w:val="pl-PL"/>
        </w:rPr>
        <w:t xml:space="preserve">4.  Skarżący twierdził, że zgodnie z art. 16 ustawy nr 6216 wszczęcie </w:t>
      </w:r>
      <w:r w:rsidR="0050628C">
        <w:rPr>
          <w:lang w:val="pl-PL"/>
        </w:rPr>
        <w:t>postepowania przygotowawczego</w:t>
      </w:r>
      <w:r w:rsidR="0050628C" w:rsidRPr="00FD65C9">
        <w:rPr>
          <w:lang w:val="pl-PL"/>
        </w:rPr>
        <w:t xml:space="preserve"> </w:t>
      </w:r>
      <w:r w:rsidRPr="00FD65C9">
        <w:rPr>
          <w:lang w:val="pl-PL"/>
        </w:rPr>
        <w:t xml:space="preserve">w sprawie karnej </w:t>
      </w:r>
      <w:r w:rsidR="0050628C">
        <w:rPr>
          <w:lang w:val="pl-PL"/>
        </w:rPr>
        <w:t>wobec</w:t>
      </w:r>
      <w:r w:rsidRPr="00FD65C9">
        <w:rPr>
          <w:lang w:val="pl-PL"/>
        </w:rPr>
        <w:t xml:space="preserve"> członków Trybunału Konstytucyjnego zależało od decyzji sądu w pełnym składzie, oraz że skoro zarzucono mu przynależność do organizacji terrorystycznej, nie mogło być mowy o</w:t>
      </w:r>
      <w:r w:rsidR="0050628C">
        <w:rPr>
          <w:lang w:val="pl-PL"/>
        </w:rPr>
        <w:t xml:space="preserve"> przypadku</w:t>
      </w:r>
      <w:r w:rsidRPr="00FD65C9">
        <w:rPr>
          <w:lang w:val="pl-PL"/>
        </w:rPr>
        <w:t xml:space="preserve"> </w:t>
      </w:r>
      <w:r w:rsidR="00AD4D3A">
        <w:rPr>
          <w:i/>
          <w:iCs/>
          <w:lang w:val="pl-PL"/>
        </w:rPr>
        <w:t xml:space="preserve">in </w:t>
      </w:r>
      <w:proofErr w:type="spellStart"/>
      <w:r w:rsidR="00AD4D3A">
        <w:rPr>
          <w:i/>
          <w:iCs/>
          <w:lang w:val="pl-PL"/>
        </w:rPr>
        <w:t>flagrante</w:t>
      </w:r>
      <w:proofErr w:type="spellEnd"/>
      <w:r w:rsidRPr="00FD65C9">
        <w:rPr>
          <w:i/>
          <w:iCs/>
          <w:lang w:val="pl-PL"/>
        </w:rPr>
        <w:t xml:space="preserve"> </w:t>
      </w:r>
      <w:proofErr w:type="spellStart"/>
      <w:r w:rsidRPr="00FD65C9">
        <w:rPr>
          <w:i/>
          <w:iCs/>
          <w:lang w:val="pl-PL"/>
        </w:rPr>
        <w:t>delicto</w:t>
      </w:r>
      <w:proofErr w:type="spellEnd"/>
      <w:r w:rsidRPr="00FD65C9">
        <w:rPr>
          <w:lang w:val="pl-PL"/>
        </w:rPr>
        <w:t xml:space="preserve">. </w:t>
      </w:r>
      <w:r w:rsidR="0050628C">
        <w:rPr>
          <w:lang w:val="pl-PL"/>
        </w:rPr>
        <w:t>A</w:t>
      </w:r>
      <w:r w:rsidRPr="00FD65C9">
        <w:rPr>
          <w:lang w:val="pl-PL"/>
        </w:rPr>
        <w:t>rt. 16</w:t>
      </w:r>
      <w:r w:rsidR="0050628C">
        <w:rPr>
          <w:lang w:val="pl-PL"/>
        </w:rPr>
        <w:t xml:space="preserve"> ust. 1</w:t>
      </w:r>
      <w:r w:rsidRPr="00FD65C9">
        <w:rPr>
          <w:lang w:val="pl-PL"/>
        </w:rPr>
        <w:t xml:space="preserve"> ustawy nr 6216 stanowi, co następuje:</w:t>
      </w:r>
    </w:p>
    <w:p w14:paraId="00EDE9E5" w14:textId="471E1900" w:rsidR="00E079C6" w:rsidRPr="00FD65C9" w:rsidRDefault="00E079C6" w:rsidP="00622760">
      <w:pPr>
        <w:pStyle w:val="OpiQuot"/>
        <w:rPr>
          <w:lang w:val="pl-PL"/>
        </w:rPr>
      </w:pPr>
      <w:r w:rsidRPr="00FD65C9">
        <w:rPr>
          <w:lang w:val="pl-PL"/>
        </w:rPr>
        <w:t xml:space="preserve">„Wszczęcie </w:t>
      </w:r>
      <w:r w:rsidR="0050628C">
        <w:rPr>
          <w:lang w:val="pl-PL"/>
        </w:rPr>
        <w:t>postępowania przygotowawczego</w:t>
      </w:r>
      <w:r w:rsidR="0050628C" w:rsidRPr="00FD65C9">
        <w:rPr>
          <w:lang w:val="pl-PL"/>
        </w:rPr>
        <w:t xml:space="preserve"> </w:t>
      </w:r>
      <w:r w:rsidRPr="00FD65C9">
        <w:rPr>
          <w:lang w:val="pl-PL"/>
        </w:rPr>
        <w:t xml:space="preserve">przeciwko prezesowi i członkom [Trybunału Konstytucyjnego] w sprawie przestępstw rzekomo popełnionych </w:t>
      </w:r>
      <w:r w:rsidR="0050628C">
        <w:rPr>
          <w:lang w:val="pl-PL"/>
        </w:rPr>
        <w:t xml:space="preserve">w ramach </w:t>
      </w:r>
      <w:r w:rsidRPr="00FD65C9">
        <w:rPr>
          <w:lang w:val="pl-PL"/>
        </w:rPr>
        <w:t xml:space="preserve">sprawowania urzędu lub w trakcie wykonywania obowiązków służbowych, przestępstw o charakterze niepolitycznym i przewinień dyscyplinarnych jest uzależnione od decyzji sądu orzekającego w pełnym składzie. Jednakże w sprawach </w:t>
      </w:r>
      <w:r w:rsidR="00AD4D3A">
        <w:rPr>
          <w:i/>
          <w:iCs/>
          <w:lang w:val="pl-PL"/>
        </w:rPr>
        <w:t xml:space="preserve">in </w:t>
      </w:r>
      <w:proofErr w:type="spellStart"/>
      <w:r w:rsidR="00AD4D3A">
        <w:rPr>
          <w:i/>
          <w:iCs/>
          <w:lang w:val="pl-PL"/>
        </w:rPr>
        <w:t>flagrante</w:t>
      </w:r>
      <w:proofErr w:type="spellEnd"/>
      <w:r w:rsidRPr="00FD65C9">
        <w:rPr>
          <w:i/>
          <w:iCs/>
          <w:lang w:val="pl-PL"/>
        </w:rPr>
        <w:t xml:space="preserve"> </w:t>
      </w:r>
      <w:proofErr w:type="spellStart"/>
      <w:r w:rsidRPr="00FD65C9">
        <w:rPr>
          <w:i/>
          <w:iCs/>
          <w:lang w:val="pl-PL"/>
        </w:rPr>
        <w:t>delicto</w:t>
      </w:r>
      <w:proofErr w:type="spellEnd"/>
      <w:r w:rsidRPr="00FD65C9">
        <w:rPr>
          <w:lang w:val="pl-PL"/>
        </w:rPr>
        <w:t xml:space="preserve"> podlegających </w:t>
      </w:r>
      <w:r w:rsidR="0050628C">
        <w:rPr>
          <w:lang w:val="pl-PL"/>
        </w:rPr>
        <w:t xml:space="preserve">właściwości </w:t>
      </w:r>
      <w:r w:rsidRPr="00FD65C9">
        <w:rPr>
          <w:lang w:val="pl-PL"/>
        </w:rPr>
        <w:t xml:space="preserve">sądów przysięgłych </w:t>
      </w:r>
      <w:r w:rsidR="0050628C">
        <w:rPr>
          <w:lang w:val="pl-PL"/>
        </w:rPr>
        <w:t>postępowanie przygotowawcze</w:t>
      </w:r>
      <w:r w:rsidR="0050628C" w:rsidRPr="00FD65C9">
        <w:rPr>
          <w:lang w:val="pl-PL"/>
        </w:rPr>
        <w:t xml:space="preserve"> </w:t>
      </w:r>
      <w:r w:rsidR="0028321A" w:rsidRPr="00FD65C9">
        <w:rPr>
          <w:lang w:val="pl-PL"/>
        </w:rPr>
        <w:t>prowadzi się zgodnie z </w:t>
      </w:r>
      <w:r w:rsidRPr="00FD65C9">
        <w:rPr>
          <w:lang w:val="pl-PL"/>
        </w:rPr>
        <w:t>przepisami prawa powszechnego”.</w:t>
      </w:r>
    </w:p>
    <w:p w14:paraId="4232A818" w14:textId="0CB4852D" w:rsidR="00675E41" w:rsidRPr="00FD65C9" w:rsidRDefault="00E079C6" w:rsidP="00622760">
      <w:pPr>
        <w:pStyle w:val="OpiPara"/>
        <w:rPr>
          <w:lang w:val="pl-PL"/>
        </w:rPr>
      </w:pPr>
      <w:r w:rsidRPr="00FD65C9">
        <w:rPr>
          <w:lang w:val="pl-PL"/>
        </w:rPr>
        <w:t xml:space="preserve">5.  Argument skarżącego, że przysługiwał mu status przyznany członkom Trybunału Konstytucyjnego przez ustawę nr 6216 nie </w:t>
      </w:r>
      <w:r w:rsidR="0050628C">
        <w:rPr>
          <w:lang w:val="pl-PL"/>
        </w:rPr>
        <w:t>znalazł uznania w oczach</w:t>
      </w:r>
      <w:r w:rsidRPr="00FD65C9">
        <w:rPr>
          <w:lang w:val="pl-PL"/>
        </w:rPr>
        <w:t xml:space="preserve"> sędziego </w:t>
      </w:r>
      <w:r w:rsidR="00143087">
        <w:rPr>
          <w:lang w:val="pl-PL"/>
        </w:rPr>
        <w:t>pokoju</w:t>
      </w:r>
      <w:r w:rsidRPr="00FD65C9">
        <w:rPr>
          <w:lang w:val="pl-PL"/>
        </w:rPr>
        <w:t xml:space="preserve">, który </w:t>
      </w:r>
      <w:r w:rsidR="0050628C">
        <w:rPr>
          <w:lang w:val="pl-PL"/>
        </w:rPr>
        <w:t>wydał postanowienie o zastosowaniu</w:t>
      </w:r>
      <w:r w:rsidR="0050628C" w:rsidRPr="00FD65C9">
        <w:rPr>
          <w:lang w:val="pl-PL"/>
        </w:rPr>
        <w:t xml:space="preserve"> </w:t>
      </w:r>
      <w:r w:rsidRPr="00FD65C9">
        <w:rPr>
          <w:lang w:val="pl-PL"/>
        </w:rPr>
        <w:t>tymczasowe</w:t>
      </w:r>
      <w:r w:rsidR="0050628C">
        <w:rPr>
          <w:lang w:val="pl-PL"/>
        </w:rPr>
        <w:t>go</w:t>
      </w:r>
      <w:r w:rsidRPr="00FD65C9">
        <w:rPr>
          <w:lang w:val="pl-PL"/>
        </w:rPr>
        <w:t xml:space="preserve"> aresztowani</w:t>
      </w:r>
      <w:r w:rsidR="0050628C">
        <w:rPr>
          <w:lang w:val="pl-PL"/>
        </w:rPr>
        <w:t>a wobec</w:t>
      </w:r>
      <w:r w:rsidRPr="00FD65C9">
        <w:rPr>
          <w:lang w:val="pl-PL"/>
        </w:rPr>
        <w:t xml:space="preserve"> skarżącego. Sędzia uznał, że </w:t>
      </w:r>
      <w:r w:rsidR="0050628C">
        <w:rPr>
          <w:lang w:val="pl-PL"/>
        </w:rPr>
        <w:t>postępowanie przygotowawcze</w:t>
      </w:r>
      <w:r w:rsidR="0050628C" w:rsidRPr="00FD65C9">
        <w:rPr>
          <w:lang w:val="pl-PL"/>
        </w:rPr>
        <w:t xml:space="preserve"> </w:t>
      </w:r>
      <w:r w:rsidRPr="00FD65C9">
        <w:rPr>
          <w:lang w:val="pl-PL"/>
        </w:rPr>
        <w:t xml:space="preserve">w sprawie karnej podlega przepisom prawa powszechnego, ponieważ zarzucane podejrzanemu przestępstwo – przynależność do zbrojnej organizacji terrorystycznej – </w:t>
      </w:r>
      <w:r w:rsidR="0050628C">
        <w:rPr>
          <w:lang w:val="pl-PL"/>
        </w:rPr>
        <w:t>stanowi</w:t>
      </w:r>
      <w:r w:rsidR="0050628C" w:rsidRPr="00FD65C9">
        <w:rPr>
          <w:lang w:val="pl-PL"/>
        </w:rPr>
        <w:t xml:space="preserve"> </w:t>
      </w:r>
      <w:r w:rsidRPr="00FD65C9">
        <w:rPr>
          <w:lang w:val="pl-PL"/>
        </w:rPr>
        <w:t>„</w:t>
      </w:r>
      <w:r w:rsidR="0050628C">
        <w:rPr>
          <w:lang w:val="pl-PL"/>
        </w:rPr>
        <w:t>czyn</w:t>
      </w:r>
      <w:r w:rsidR="0050628C" w:rsidRPr="00FD65C9">
        <w:rPr>
          <w:lang w:val="pl-PL"/>
        </w:rPr>
        <w:t xml:space="preserve"> </w:t>
      </w:r>
      <w:r w:rsidRPr="00FD65C9">
        <w:rPr>
          <w:lang w:val="pl-PL"/>
        </w:rPr>
        <w:t xml:space="preserve">o charakterze ciągłym” oraz że mamy do czynienia z </w:t>
      </w:r>
      <w:r w:rsidR="0050628C">
        <w:rPr>
          <w:lang w:val="pl-PL"/>
        </w:rPr>
        <w:t>przypadkiem</w:t>
      </w:r>
      <w:r w:rsidR="0050628C" w:rsidRPr="00FD65C9">
        <w:rPr>
          <w:lang w:val="pl-PL"/>
        </w:rPr>
        <w:t xml:space="preserve"> </w:t>
      </w:r>
      <w:r w:rsidR="00AD4D3A">
        <w:rPr>
          <w:i/>
          <w:iCs/>
          <w:lang w:val="pl-PL"/>
        </w:rPr>
        <w:t xml:space="preserve">in </w:t>
      </w:r>
      <w:proofErr w:type="spellStart"/>
      <w:r w:rsidR="00AD4D3A">
        <w:rPr>
          <w:i/>
          <w:iCs/>
          <w:lang w:val="pl-PL"/>
        </w:rPr>
        <w:t>flagrante</w:t>
      </w:r>
      <w:proofErr w:type="spellEnd"/>
      <w:r w:rsidRPr="00FD65C9">
        <w:rPr>
          <w:i/>
          <w:iCs/>
          <w:lang w:val="pl-PL"/>
        </w:rPr>
        <w:t xml:space="preserve"> </w:t>
      </w:r>
      <w:proofErr w:type="spellStart"/>
      <w:r w:rsidRPr="00FD65C9">
        <w:rPr>
          <w:i/>
          <w:iCs/>
          <w:lang w:val="pl-PL"/>
        </w:rPr>
        <w:t>delicto</w:t>
      </w:r>
      <w:proofErr w:type="spellEnd"/>
      <w:r w:rsidRPr="00FD65C9">
        <w:rPr>
          <w:lang w:val="pl-PL"/>
        </w:rPr>
        <w:t>.</w:t>
      </w:r>
    </w:p>
    <w:p w14:paraId="2C677983" w14:textId="3DB1AC93" w:rsidR="00E079C6" w:rsidRPr="00FD65C9" w:rsidRDefault="00E079C6" w:rsidP="00622760">
      <w:pPr>
        <w:pStyle w:val="OpiPara"/>
        <w:rPr>
          <w:lang w:val="pl-PL"/>
        </w:rPr>
      </w:pPr>
      <w:r w:rsidRPr="00FD65C9">
        <w:rPr>
          <w:lang w:val="pl-PL"/>
        </w:rPr>
        <w:t xml:space="preserve">6.  Decyzja ta opierała się na utrwalonym orzecznictwie sądu kasacyjnego, zgodnie z którym przestępstwo przynależności do organizacji zbrojnej </w:t>
      </w:r>
      <w:r w:rsidR="0050628C">
        <w:rPr>
          <w:lang w:val="pl-PL"/>
        </w:rPr>
        <w:t>stanowi</w:t>
      </w:r>
      <w:r w:rsidR="0050628C" w:rsidRPr="00FD65C9">
        <w:rPr>
          <w:lang w:val="pl-PL"/>
        </w:rPr>
        <w:t xml:space="preserve"> </w:t>
      </w:r>
      <w:r w:rsidRPr="00FD65C9">
        <w:rPr>
          <w:lang w:val="pl-PL"/>
        </w:rPr>
        <w:t>„</w:t>
      </w:r>
      <w:r w:rsidR="0050628C">
        <w:rPr>
          <w:lang w:val="pl-PL"/>
        </w:rPr>
        <w:t>czyn</w:t>
      </w:r>
      <w:r w:rsidR="0050628C" w:rsidRPr="00FD65C9">
        <w:rPr>
          <w:lang w:val="pl-PL"/>
        </w:rPr>
        <w:t xml:space="preserve"> </w:t>
      </w:r>
      <w:r w:rsidRPr="00FD65C9">
        <w:rPr>
          <w:lang w:val="pl-PL"/>
        </w:rPr>
        <w:t xml:space="preserve">o charakterze ciągłym” podlegającym </w:t>
      </w:r>
      <w:bookmarkStart w:id="0" w:name="__UnoMark__240_1244185392"/>
      <w:bookmarkEnd w:id="0"/>
      <w:r w:rsidR="0050628C">
        <w:rPr>
          <w:lang w:val="pl-PL"/>
        </w:rPr>
        <w:t>właściwości</w:t>
      </w:r>
      <w:r w:rsidR="0050628C" w:rsidRPr="00FD65C9">
        <w:rPr>
          <w:lang w:val="pl-PL"/>
        </w:rPr>
        <w:t xml:space="preserve"> </w:t>
      </w:r>
      <w:r w:rsidRPr="00FD65C9">
        <w:rPr>
          <w:lang w:val="pl-PL"/>
        </w:rPr>
        <w:t xml:space="preserve">sądów przysięgłych. </w:t>
      </w:r>
      <w:r w:rsidR="0050628C">
        <w:rPr>
          <w:lang w:val="pl-PL"/>
        </w:rPr>
        <w:t>Przy wydawaniu postanowienia s</w:t>
      </w:r>
      <w:r w:rsidR="0050628C" w:rsidRPr="00FD65C9">
        <w:rPr>
          <w:lang w:val="pl-PL"/>
        </w:rPr>
        <w:t xml:space="preserve">ędzia </w:t>
      </w:r>
      <w:r w:rsidRPr="00FD65C9">
        <w:rPr>
          <w:lang w:val="pl-PL"/>
        </w:rPr>
        <w:t xml:space="preserve">wziął również pod uwagę stan dowodów i inne okoliczności (zob. </w:t>
      </w:r>
      <w:r w:rsidR="0050628C" w:rsidRPr="00FD65C9">
        <w:rPr>
          <w:lang w:val="pl-PL"/>
        </w:rPr>
        <w:t>p</w:t>
      </w:r>
      <w:r w:rsidR="0050628C">
        <w:rPr>
          <w:lang w:val="pl-PL"/>
        </w:rPr>
        <w:t>aragraf</w:t>
      </w:r>
      <w:r w:rsidR="0050628C" w:rsidRPr="00FD65C9">
        <w:rPr>
          <w:lang w:val="pl-PL"/>
        </w:rPr>
        <w:t xml:space="preserve"> </w:t>
      </w:r>
      <w:r w:rsidRPr="00FD65C9">
        <w:rPr>
          <w:lang w:val="pl-PL"/>
        </w:rPr>
        <w:t>20 wyroku).</w:t>
      </w:r>
    </w:p>
    <w:p w14:paraId="18AD5EE6" w14:textId="1B19CCDD" w:rsidR="00E079C6" w:rsidRPr="00FD65C9" w:rsidRDefault="00E079C6" w:rsidP="00622760">
      <w:pPr>
        <w:pStyle w:val="OpiPara"/>
        <w:rPr>
          <w:lang w:val="pl-PL"/>
        </w:rPr>
      </w:pPr>
      <w:r w:rsidRPr="00FD65C9">
        <w:rPr>
          <w:lang w:val="pl-PL"/>
        </w:rPr>
        <w:t xml:space="preserve">7.  Orzekające w </w:t>
      </w:r>
      <w:r w:rsidR="00143087">
        <w:rPr>
          <w:lang w:val="pl-PL"/>
        </w:rPr>
        <w:t>połączonym</w:t>
      </w:r>
      <w:r w:rsidRPr="00FD65C9">
        <w:rPr>
          <w:lang w:val="pl-PL"/>
        </w:rPr>
        <w:t xml:space="preserve"> składzie </w:t>
      </w:r>
      <w:r w:rsidR="00143087">
        <w:rPr>
          <w:lang w:val="pl-PL"/>
        </w:rPr>
        <w:t>izby</w:t>
      </w:r>
      <w:r w:rsidRPr="00FD65C9">
        <w:rPr>
          <w:lang w:val="pl-PL"/>
        </w:rPr>
        <w:t xml:space="preserve"> karne sądu kasacyjnego potwierdziły następnie powyższe utrwalone orzecznictwo w swoim wiodącym </w:t>
      </w:r>
      <w:r w:rsidR="0050628C">
        <w:rPr>
          <w:lang w:val="pl-PL"/>
        </w:rPr>
        <w:t>orzeczeniu</w:t>
      </w:r>
      <w:r w:rsidR="0050628C" w:rsidRPr="00FD65C9">
        <w:rPr>
          <w:lang w:val="pl-PL"/>
        </w:rPr>
        <w:t xml:space="preserve"> </w:t>
      </w:r>
      <w:r w:rsidRPr="00FD65C9">
        <w:rPr>
          <w:lang w:val="pl-PL"/>
        </w:rPr>
        <w:t xml:space="preserve">z dnia 10 października 2017 r., przyjmując, że „mamy do czynienia z </w:t>
      </w:r>
      <w:r w:rsidR="0050628C">
        <w:rPr>
          <w:lang w:val="pl-PL"/>
        </w:rPr>
        <w:t>przypadkiem</w:t>
      </w:r>
      <w:r w:rsidR="0050628C" w:rsidRPr="00FD65C9">
        <w:rPr>
          <w:lang w:val="pl-PL"/>
        </w:rPr>
        <w:t xml:space="preserve"> </w:t>
      </w:r>
      <w:r w:rsidR="00AD4D3A">
        <w:rPr>
          <w:i/>
          <w:iCs/>
          <w:lang w:val="pl-PL"/>
        </w:rPr>
        <w:t xml:space="preserve">in </w:t>
      </w:r>
      <w:proofErr w:type="spellStart"/>
      <w:r w:rsidR="00AD4D3A">
        <w:rPr>
          <w:i/>
          <w:iCs/>
          <w:lang w:val="pl-PL"/>
        </w:rPr>
        <w:t>flagrante</w:t>
      </w:r>
      <w:proofErr w:type="spellEnd"/>
      <w:r w:rsidRPr="00FD65C9">
        <w:rPr>
          <w:i/>
          <w:iCs/>
          <w:lang w:val="pl-PL"/>
        </w:rPr>
        <w:t xml:space="preserve"> </w:t>
      </w:r>
      <w:proofErr w:type="spellStart"/>
      <w:r w:rsidRPr="00FD65C9">
        <w:rPr>
          <w:i/>
          <w:iCs/>
          <w:lang w:val="pl-PL"/>
        </w:rPr>
        <w:t>delicto</w:t>
      </w:r>
      <w:proofErr w:type="spellEnd"/>
      <w:r w:rsidRPr="00FD65C9">
        <w:rPr>
          <w:lang w:val="pl-PL"/>
        </w:rPr>
        <w:t xml:space="preserve"> w chwili zatrzymania sędziów podejrzanych o przestępstwo przynależności do organizacji zbrojnej, a [w konsekwencji] </w:t>
      </w:r>
      <w:r w:rsidR="0050628C">
        <w:rPr>
          <w:lang w:val="pl-PL"/>
        </w:rPr>
        <w:t>postępowanie przygotowawcze</w:t>
      </w:r>
      <w:r w:rsidR="0050628C" w:rsidRPr="00FD65C9">
        <w:rPr>
          <w:lang w:val="pl-PL"/>
        </w:rPr>
        <w:t xml:space="preserve"> </w:t>
      </w:r>
      <w:r w:rsidR="0028321A" w:rsidRPr="00FD65C9">
        <w:rPr>
          <w:lang w:val="pl-PL"/>
        </w:rPr>
        <w:t>musi być prowadzone zgodnie z </w:t>
      </w:r>
      <w:r w:rsidRPr="00FD65C9">
        <w:rPr>
          <w:lang w:val="pl-PL"/>
        </w:rPr>
        <w:t>przepisami prawa powszechnego” (zob. paragraf 63 wyroku).</w:t>
      </w:r>
    </w:p>
    <w:p w14:paraId="4E1E5BE5" w14:textId="13BAA43F" w:rsidR="00E079C6" w:rsidRPr="00FD65C9" w:rsidRDefault="00E079C6" w:rsidP="00622760">
      <w:pPr>
        <w:pStyle w:val="OpiPara"/>
        <w:rPr>
          <w:rFonts w:eastAsia="Times New Roman"/>
          <w:lang w:val="pl-PL"/>
        </w:rPr>
      </w:pPr>
      <w:r w:rsidRPr="00FD65C9">
        <w:rPr>
          <w:lang w:val="pl-PL"/>
        </w:rPr>
        <w:t xml:space="preserve">8.  Większość </w:t>
      </w:r>
      <w:r w:rsidR="0050628C">
        <w:rPr>
          <w:lang w:val="pl-PL"/>
        </w:rPr>
        <w:t xml:space="preserve">składu orzekającego </w:t>
      </w:r>
      <w:r w:rsidR="00FF2893">
        <w:rPr>
          <w:lang w:val="pl-PL"/>
        </w:rPr>
        <w:t>zarzuca, że</w:t>
      </w:r>
      <w:r w:rsidR="00FF2893" w:rsidRPr="00FD65C9">
        <w:rPr>
          <w:lang w:val="pl-PL"/>
        </w:rPr>
        <w:t xml:space="preserve"> </w:t>
      </w:r>
      <w:r w:rsidRPr="00FD65C9">
        <w:rPr>
          <w:lang w:val="pl-PL"/>
        </w:rPr>
        <w:t xml:space="preserve">orzecznictwo sądu kasacyjnego sprowadza się do „rozszerzającej wykładni” pojęcia </w:t>
      </w:r>
      <w:r w:rsidR="00AD4D3A">
        <w:rPr>
          <w:i/>
          <w:iCs/>
          <w:lang w:val="pl-PL"/>
        </w:rPr>
        <w:t xml:space="preserve">in </w:t>
      </w:r>
      <w:proofErr w:type="spellStart"/>
      <w:r w:rsidR="00AD4D3A">
        <w:rPr>
          <w:i/>
          <w:iCs/>
          <w:lang w:val="pl-PL"/>
        </w:rPr>
        <w:t>flagrante</w:t>
      </w:r>
      <w:proofErr w:type="spellEnd"/>
      <w:r w:rsidRPr="00FD65C9">
        <w:rPr>
          <w:i/>
          <w:iCs/>
          <w:lang w:val="pl-PL"/>
        </w:rPr>
        <w:t xml:space="preserve"> </w:t>
      </w:r>
      <w:proofErr w:type="spellStart"/>
      <w:r w:rsidRPr="00FD65C9">
        <w:rPr>
          <w:i/>
          <w:iCs/>
          <w:lang w:val="pl-PL"/>
        </w:rPr>
        <w:t>delicto</w:t>
      </w:r>
      <w:proofErr w:type="spellEnd"/>
      <w:r w:rsidRPr="00FD65C9">
        <w:rPr>
          <w:lang w:val="pl-PL"/>
        </w:rPr>
        <w:t xml:space="preserve">, która neguje gwarancje proceduralne, jakie przysługują członkom wymiaru sprawiedliwości w celu ich ochrony przed ingerencją władzy wykonawczej. W opinii większości art. 2 kodeksu postępowania karnego (kpk) zawiera konwencjonalną definicję pojęcia </w:t>
      </w:r>
      <w:r w:rsidR="00AD4D3A">
        <w:rPr>
          <w:i/>
          <w:iCs/>
          <w:lang w:val="pl-PL"/>
        </w:rPr>
        <w:t xml:space="preserve">in </w:t>
      </w:r>
      <w:proofErr w:type="spellStart"/>
      <w:r w:rsidR="00AD4D3A">
        <w:rPr>
          <w:i/>
          <w:iCs/>
          <w:lang w:val="pl-PL"/>
        </w:rPr>
        <w:t>flagrante</w:t>
      </w:r>
      <w:proofErr w:type="spellEnd"/>
      <w:r w:rsidRPr="00FD65C9">
        <w:rPr>
          <w:i/>
          <w:iCs/>
          <w:lang w:val="pl-PL"/>
        </w:rPr>
        <w:t xml:space="preserve"> </w:t>
      </w:r>
      <w:proofErr w:type="spellStart"/>
      <w:r w:rsidRPr="00FD65C9">
        <w:rPr>
          <w:i/>
          <w:iCs/>
          <w:lang w:val="pl-PL"/>
        </w:rPr>
        <w:t>delicto</w:t>
      </w:r>
      <w:proofErr w:type="spellEnd"/>
      <w:r w:rsidRPr="00FD65C9">
        <w:rPr>
          <w:lang w:val="pl-PL"/>
        </w:rPr>
        <w:t xml:space="preserve">, ale </w:t>
      </w:r>
      <w:r w:rsidR="00FF2893">
        <w:rPr>
          <w:lang w:val="pl-PL"/>
        </w:rPr>
        <w:t>wykładnia</w:t>
      </w:r>
      <w:r w:rsidR="00FF2893" w:rsidRPr="00FD65C9">
        <w:rPr>
          <w:lang w:val="pl-PL"/>
        </w:rPr>
        <w:t xml:space="preserve"> </w:t>
      </w:r>
      <w:r w:rsidRPr="00FD65C9">
        <w:rPr>
          <w:lang w:val="pl-PL"/>
        </w:rPr>
        <w:t>dokonana przez sądy krajowe w ich</w:t>
      </w:r>
      <w:r w:rsidR="0028321A" w:rsidRPr="00FD65C9">
        <w:rPr>
          <w:lang w:val="pl-PL"/>
        </w:rPr>
        <w:t xml:space="preserve"> orzecznictwie była sprzeczna z </w:t>
      </w:r>
      <w:r w:rsidRPr="00FD65C9">
        <w:rPr>
          <w:lang w:val="pl-PL"/>
        </w:rPr>
        <w:t xml:space="preserve">brzmieniem obowiązującego prawa (zob. </w:t>
      </w:r>
      <w:r w:rsidR="00FF2893" w:rsidRPr="00FD65C9">
        <w:rPr>
          <w:lang w:val="pl-PL"/>
        </w:rPr>
        <w:t>p</w:t>
      </w:r>
      <w:r w:rsidR="00FF2893">
        <w:rPr>
          <w:lang w:val="pl-PL"/>
        </w:rPr>
        <w:t>aragrafy</w:t>
      </w:r>
      <w:r w:rsidR="00FF2893" w:rsidRPr="00FD65C9">
        <w:rPr>
          <w:lang w:val="pl-PL"/>
        </w:rPr>
        <w:t xml:space="preserve"> </w:t>
      </w:r>
      <w:r w:rsidRPr="00FD65C9">
        <w:rPr>
          <w:lang w:val="pl-PL"/>
        </w:rPr>
        <w:t>111 i 112 wyroku).</w:t>
      </w:r>
    </w:p>
    <w:p w14:paraId="7DB83ED3" w14:textId="52CE342D" w:rsidR="00E079C6" w:rsidRPr="00FD65C9" w:rsidRDefault="00E079C6" w:rsidP="00622760">
      <w:pPr>
        <w:pStyle w:val="OpiPara"/>
        <w:rPr>
          <w:lang w:val="pl-PL"/>
        </w:rPr>
      </w:pPr>
      <w:r w:rsidRPr="00FD65C9">
        <w:rPr>
          <w:lang w:val="pl-PL"/>
        </w:rPr>
        <w:t>9.  </w:t>
      </w:r>
      <w:r w:rsidR="00FF2893">
        <w:rPr>
          <w:lang w:val="pl-PL"/>
        </w:rPr>
        <w:t>W art. 2 kpk p</w:t>
      </w:r>
      <w:r w:rsidR="00FF2893" w:rsidRPr="00FD65C9">
        <w:rPr>
          <w:lang w:val="pl-PL"/>
        </w:rPr>
        <w:t xml:space="preserve">rzypadki </w:t>
      </w:r>
      <w:r w:rsidRPr="00FD65C9">
        <w:rPr>
          <w:lang w:val="pl-PL"/>
        </w:rPr>
        <w:t xml:space="preserve">ujawnienia </w:t>
      </w:r>
      <w:r w:rsidR="00AD4D3A">
        <w:rPr>
          <w:i/>
          <w:iCs/>
          <w:lang w:val="pl-PL"/>
        </w:rPr>
        <w:t xml:space="preserve">in </w:t>
      </w:r>
      <w:proofErr w:type="spellStart"/>
      <w:r w:rsidR="00AD4D3A">
        <w:rPr>
          <w:i/>
          <w:iCs/>
          <w:lang w:val="pl-PL"/>
        </w:rPr>
        <w:t>flagrante</w:t>
      </w:r>
      <w:proofErr w:type="spellEnd"/>
      <w:r w:rsidRPr="00FD65C9">
        <w:rPr>
          <w:i/>
          <w:iCs/>
          <w:lang w:val="pl-PL"/>
        </w:rPr>
        <w:t xml:space="preserve"> </w:t>
      </w:r>
      <w:proofErr w:type="spellStart"/>
      <w:r w:rsidRPr="00FD65C9">
        <w:rPr>
          <w:i/>
          <w:iCs/>
          <w:lang w:val="pl-PL"/>
        </w:rPr>
        <w:t>delicto</w:t>
      </w:r>
      <w:proofErr w:type="spellEnd"/>
      <w:r w:rsidR="0028321A" w:rsidRPr="00FD65C9">
        <w:rPr>
          <w:lang w:val="pl-PL"/>
        </w:rPr>
        <w:t xml:space="preserve"> są zdefiniowane </w:t>
      </w:r>
      <w:r w:rsidRPr="00FD65C9">
        <w:rPr>
          <w:lang w:val="pl-PL"/>
        </w:rPr>
        <w:t xml:space="preserve"> w następujący sposób:</w:t>
      </w:r>
    </w:p>
    <w:p w14:paraId="204F0E4E" w14:textId="77777777" w:rsidR="00E079C6" w:rsidRPr="00FD65C9" w:rsidRDefault="00E079C6" w:rsidP="00622760">
      <w:pPr>
        <w:pStyle w:val="OpiQuot"/>
        <w:rPr>
          <w:lang w:val="pl-PL"/>
        </w:rPr>
      </w:pPr>
      <w:r w:rsidRPr="00FD65C9">
        <w:rPr>
          <w:lang w:val="pl-PL"/>
        </w:rPr>
        <w:t>„[...]</w:t>
      </w:r>
    </w:p>
    <w:p w14:paraId="13E47E4F" w14:textId="47D5092F" w:rsidR="00E079C6" w:rsidRPr="00FD65C9" w:rsidRDefault="00E079C6" w:rsidP="00622760">
      <w:pPr>
        <w:pStyle w:val="OpiQuot"/>
        <w:rPr>
          <w:lang w:val="pl-PL"/>
        </w:rPr>
      </w:pPr>
      <w:r w:rsidRPr="00FD65C9">
        <w:rPr>
          <w:lang w:val="pl-PL"/>
        </w:rPr>
        <w:t xml:space="preserve">j) za przypadki ujawnienia </w:t>
      </w:r>
      <w:r w:rsidR="00AD4D3A">
        <w:rPr>
          <w:i/>
          <w:iCs/>
          <w:lang w:val="pl-PL"/>
        </w:rPr>
        <w:t xml:space="preserve">in </w:t>
      </w:r>
      <w:proofErr w:type="spellStart"/>
      <w:r w:rsidR="00AD4D3A">
        <w:rPr>
          <w:i/>
          <w:iCs/>
          <w:lang w:val="pl-PL"/>
        </w:rPr>
        <w:t>flagrante</w:t>
      </w:r>
      <w:proofErr w:type="spellEnd"/>
      <w:r w:rsidRPr="00FD65C9">
        <w:rPr>
          <w:i/>
          <w:iCs/>
          <w:lang w:val="pl-PL"/>
        </w:rPr>
        <w:t xml:space="preserve"> </w:t>
      </w:r>
      <w:proofErr w:type="spellStart"/>
      <w:r w:rsidRPr="00FD65C9">
        <w:rPr>
          <w:i/>
          <w:iCs/>
          <w:lang w:val="pl-PL"/>
        </w:rPr>
        <w:t>delicto</w:t>
      </w:r>
      <w:proofErr w:type="spellEnd"/>
      <w:r w:rsidRPr="00FD65C9">
        <w:rPr>
          <w:lang w:val="pl-PL"/>
        </w:rPr>
        <w:t xml:space="preserve"> uznaje się</w:t>
      </w:r>
      <w:r w:rsidR="00FF2893">
        <w:rPr>
          <w:lang w:val="pl-PL"/>
        </w:rPr>
        <w:t xml:space="preserve"> następujące sytuacje</w:t>
      </w:r>
      <w:r w:rsidRPr="00FD65C9">
        <w:rPr>
          <w:lang w:val="pl-PL"/>
        </w:rPr>
        <w:t>:</w:t>
      </w:r>
    </w:p>
    <w:p w14:paraId="3FCE6A7A" w14:textId="1A1B23AE" w:rsidR="00E079C6" w:rsidRPr="00FD65C9" w:rsidRDefault="00E079C6" w:rsidP="00622760">
      <w:pPr>
        <w:pStyle w:val="OpiQuotSub"/>
        <w:rPr>
          <w:lang w:val="pl-PL"/>
        </w:rPr>
      </w:pPr>
      <w:r w:rsidRPr="00FD65C9">
        <w:rPr>
          <w:lang w:val="pl-PL"/>
        </w:rPr>
        <w:t xml:space="preserve">1. przestępstwo w trakcie </w:t>
      </w:r>
      <w:r w:rsidR="00FF2893">
        <w:rPr>
          <w:lang w:val="pl-PL"/>
        </w:rPr>
        <w:t xml:space="preserve">jego </w:t>
      </w:r>
      <w:r w:rsidRPr="00FD65C9">
        <w:rPr>
          <w:lang w:val="pl-PL"/>
        </w:rPr>
        <w:t>popełniania;</w:t>
      </w:r>
    </w:p>
    <w:p w14:paraId="6CD792A0" w14:textId="6B4350A6" w:rsidR="00E079C6" w:rsidRPr="00FD65C9" w:rsidRDefault="00E079C6" w:rsidP="00622760">
      <w:pPr>
        <w:pStyle w:val="OpiQuotSub"/>
        <w:rPr>
          <w:lang w:val="pl-PL"/>
        </w:rPr>
      </w:pPr>
      <w:r w:rsidRPr="00FD65C9">
        <w:rPr>
          <w:lang w:val="pl-PL"/>
        </w:rPr>
        <w:t xml:space="preserve">2. przestępstwo, które właśnie </w:t>
      </w:r>
      <w:r w:rsidR="00FF2893">
        <w:rPr>
          <w:lang w:val="pl-PL"/>
        </w:rPr>
        <w:t xml:space="preserve">zostało </w:t>
      </w:r>
      <w:r w:rsidRPr="00FD65C9">
        <w:rPr>
          <w:lang w:val="pl-PL"/>
        </w:rPr>
        <w:t xml:space="preserve">popełnione, oraz przestępstwo popełnione przez osobę, która była ścigana bezpośrednio po dokonaniu czynu i została </w:t>
      </w:r>
      <w:r w:rsidR="00FF2893">
        <w:rPr>
          <w:lang w:val="pl-PL"/>
        </w:rPr>
        <w:t>ujęta</w:t>
      </w:r>
      <w:r w:rsidR="00FF2893" w:rsidRPr="00FD65C9">
        <w:rPr>
          <w:lang w:val="pl-PL"/>
        </w:rPr>
        <w:t xml:space="preserve"> </w:t>
      </w:r>
      <w:r w:rsidRPr="00FD65C9">
        <w:rPr>
          <w:lang w:val="pl-PL"/>
        </w:rPr>
        <w:t xml:space="preserve">przez policję, </w:t>
      </w:r>
      <w:r w:rsidR="00FF2893">
        <w:rPr>
          <w:lang w:val="pl-PL"/>
        </w:rPr>
        <w:t xml:space="preserve">pokrzywdzonego </w:t>
      </w:r>
      <w:r w:rsidRPr="00FD65C9">
        <w:rPr>
          <w:lang w:val="pl-PL"/>
        </w:rPr>
        <w:t>lub inne osoby;</w:t>
      </w:r>
    </w:p>
    <w:p w14:paraId="2520E8D5" w14:textId="2F1B336C" w:rsidR="00E079C6" w:rsidRPr="00FD65C9" w:rsidRDefault="00E079C6" w:rsidP="00622760">
      <w:pPr>
        <w:pStyle w:val="OpiQuotSub"/>
        <w:rPr>
          <w:lang w:val="pl-PL"/>
        </w:rPr>
      </w:pPr>
      <w:r w:rsidRPr="00FD65C9">
        <w:rPr>
          <w:lang w:val="pl-PL"/>
        </w:rPr>
        <w:t xml:space="preserve">3. przestępstwo popełnione przez osobę, która </w:t>
      </w:r>
      <w:r w:rsidR="00FF2893">
        <w:rPr>
          <w:lang w:val="pl-PL"/>
        </w:rPr>
        <w:t>w chwili ujęcia</w:t>
      </w:r>
      <w:r w:rsidRPr="00FD65C9">
        <w:rPr>
          <w:lang w:val="pl-PL"/>
        </w:rPr>
        <w:t xml:space="preserve"> </w:t>
      </w:r>
      <w:r w:rsidR="00FF2893">
        <w:rPr>
          <w:lang w:val="pl-PL"/>
        </w:rPr>
        <w:t xml:space="preserve">była </w:t>
      </w:r>
      <w:r w:rsidRPr="00FD65C9">
        <w:rPr>
          <w:lang w:val="pl-PL"/>
        </w:rPr>
        <w:t>w posiadaniu przedmiotów lub dowodów wskazujących na to, że czyn został popełniony bardzo niedawno.</w:t>
      </w:r>
    </w:p>
    <w:p w14:paraId="7A90EBA6" w14:textId="77777777" w:rsidR="00E079C6" w:rsidRPr="00FD65C9" w:rsidRDefault="00E079C6" w:rsidP="00622760">
      <w:pPr>
        <w:pStyle w:val="OpiQuot"/>
        <w:rPr>
          <w:lang w:val="pl-PL"/>
        </w:rPr>
      </w:pPr>
      <w:r w:rsidRPr="00FD65C9">
        <w:rPr>
          <w:lang w:val="pl-PL"/>
        </w:rPr>
        <w:t>[...]”</w:t>
      </w:r>
    </w:p>
    <w:p w14:paraId="24AD28F5" w14:textId="4BB495F6" w:rsidR="00E079C6" w:rsidRPr="00FD65C9" w:rsidRDefault="00E079C6" w:rsidP="00622760">
      <w:pPr>
        <w:pStyle w:val="OpiPara"/>
        <w:rPr>
          <w:lang w:val="pl-PL"/>
        </w:rPr>
      </w:pPr>
      <w:r w:rsidRPr="00FD65C9">
        <w:rPr>
          <w:lang w:val="pl-PL"/>
        </w:rPr>
        <w:t xml:space="preserve">10.  Jak widać, w kpk określono trzy różne przypadki ujawnienia </w:t>
      </w:r>
      <w:r w:rsidR="00AD4D3A">
        <w:rPr>
          <w:i/>
          <w:iCs/>
          <w:lang w:val="pl-PL"/>
        </w:rPr>
        <w:t xml:space="preserve">in </w:t>
      </w:r>
      <w:proofErr w:type="spellStart"/>
      <w:r w:rsidR="00AD4D3A">
        <w:rPr>
          <w:i/>
          <w:iCs/>
          <w:lang w:val="pl-PL"/>
        </w:rPr>
        <w:t>flagrante</w:t>
      </w:r>
      <w:proofErr w:type="spellEnd"/>
      <w:r w:rsidRPr="00FD65C9">
        <w:rPr>
          <w:i/>
          <w:iCs/>
          <w:lang w:val="pl-PL"/>
        </w:rPr>
        <w:t xml:space="preserve"> </w:t>
      </w:r>
      <w:proofErr w:type="spellStart"/>
      <w:r w:rsidRPr="00FD65C9">
        <w:rPr>
          <w:i/>
          <w:iCs/>
          <w:lang w:val="pl-PL"/>
        </w:rPr>
        <w:t>delicto</w:t>
      </w:r>
      <w:proofErr w:type="spellEnd"/>
      <w:r w:rsidRPr="00FD65C9">
        <w:rPr>
          <w:lang w:val="pl-PL"/>
        </w:rPr>
        <w:t xml:space="preserve">. Sytuacja skarżącego </w:t>
      </w:r>
      <w:r w:rsidR="00FF2893">
        <w:rPr>
          <w:lang w:val="pl-PL"/>
        </w:rPr>
        <w:t>mieści się w</w:t>
      </w:r>
      <w:r w:rsidRPr="00FD65C9">
        <w:rPr>
          <w:lang w:val="pl-PL"/>
        </w:rPr>
        <w:t xml:space="preserve"> pierwszej kategorii tych przypadków, </w:t>
      </w:r>
      <w:r w:rsidR="00FF2893">
        <w:rPr>
          <w:lang w:val="pl-PL"/>
        </w:rPr>
        <w:t>co</w:t>
      </w:r>
      <w:r w:rsidRPr="00FD65C9">
        <w:rPr>
          <w:lang w:val="pl-PL"/>
        </w:rPr>
        <w:t xml:space="preserve"> wynika z orzecznictwa sądu kasacyjnego. Ponieważ przestępstwo przynależności do organizacji terrorystycznej jest przestępstwem „o charakterze ciągłym”, </w:t>
      </w:r>
      <w:r w:rsidR="0028321A" w:rsidRPr="00FD65C9">
        <w:rPr>
          <w:lang w:val="pl-PL"/>
        </w:rPr>
        <w:t>uważa się je za „przestępstwo w </w:t>
      </w:r>
      <w:r w:rsidRPr="00FD65C9">
        <w:rPr>
          <w:lang w:val="pl-PL"/>
        </w:rPr>
        <w:t>trakcie popełniania”.</w:t>
      </w:r>
    </w:p>
    <w:p w14:paraId="2208F6FA" w14:textId="6326C90B" w:rsidR="00E079C6" w:rsidRPr="00FD65C9" w:rsidRDefault="00E079C6" w:rsidP="00622760">
      <w:pPr>
        <w:pStyle w:val="OpiPara"/>
        <w:rPr>
          <w:lang w:val="pl-PL"/>
        </w:rPr>
      </w:pPr>
      <w:r w:rsidRPr="00FD65C9">
        <w:rPr>
          <w:lang w:val="pl-PL"/>
        </w:rPr>
        <w:t xml:space="preserve">11.  Innymi słowy, jak </w:t>
      </w:r>
      <w:r w:rsidR="00FF2893">
        <w:rPr>
          <w:lang w:val="pl-PL"/>
        </w:rPr>
        <w:t>przyjęto</w:t>
      </w:r>
      <w:r w:rsidR="00FF2893" w:rsidRPr="00FD65C9">
        <w:rPr>
          <w:lang w:val="pl-PL"/>
        </w:rPr>
        <w:t xml:space="preserve"> </w:t>
      </w:r>
      <w:r w:rsidRPr="00FD65C9">
        <w:rPr>
          <w:lang w:val="pl-PL"/>
        </w:rPr>
        <w:t>w o</w:t>
      </w:r>
      <w:r w:rsidR="0028321A" w:rsidRPr="00FD65C9">
        <w:rPr>
          <w:lang w:val="pl-PL"/>
        </w:rPr>
        <w:t>rzecznictwie sądu kasacyjnego i </w:t>
      </w:r>
      <w:r w:rsidRPr="00FD65C9">
        <w:rPr>
          <w:lang w:val="pl-PL"/>
        </w:rPr>
        <w:t xml:space="preserve">w </w:t>
      </w:r>
      <w:r w:rsidR="00FF2893">
        <w:rPr>
          <w:lang w:val="pl-PL"/>
        </w:rPr>
        <w:t>doktrynie</w:t>
      </w:r>
      <w:r w:rsidRPr="00FD65C9">
        <w:rPr>
          <w:lang w:val="pl-PL"/>
        </w:rPr>
        <w:t xml:space="preserve">, przystąpienie do organizacji przestępczej, przynależność do niej i podporządkowanie się władzy hierarchicznej panującej w </w:t>
      </w:r>
      <w:r w:rsidR="00FF2893">
        <w:rPr>
          <w:lang w:val="pl-PL"/>
        </w:rPr>
        <w:t xml:space="preserve">ramach </w:t>
      </w:r>
      <w:r w:rsidRPr="00FD65C9">
        <w:rPr>
          <w:lang w:val="pl-PL"/>
        </w:rPr>
        <w:t xml:space="preserve">organizacji </w:t>
      </w:r>
      <w:r w:rsidR="00FF2893" w:rsidRPr="00FD65C9">
        <w:rPr>
          <w:lang w:val="pl-PL"/>
        </w:rPr>
        <w:t>u</w:t>
      </w:r>
      <w:r w:rsidR="00FF2893">
        <w:rPr>
          <w:lang w:val="pl-PL"/>
        </w:rPr>
        <w:t>znaje</w:t>
      </w:r>
      <w:r w:rsidR="00FF2893" w:rsidRPr="00FD65C9">
        <w:rPr>
          <w:lang w:val="pl-PL"/>
        </w:rPr>
        <w:t xml:space="preserve"> </w:t>
      </w:r>
      <w:r w:rsidRPr="00FD65C9">
        <w:rPr>
          <w:lang w:val="pl-PL"/>
        </w:rPr>
        <w:t xml:space="preserve">się za przynależność do organizacji. Przystąpienie do organizacji jest możliwe również na podstawie jednostronnej woli, a zgoda kierownictwa organizacji nie jest konieczna. Przestępstwo przynależności do organizacji terrorystycznej </w:t>
      </w:r>
      <w:r w:rsidR="00FF2893">
        <w:rPr>
          <w:lang w:val="pl-PL"/>
        </w:rPr>
        <w:t>należy odróżnić</w:t>
      </w:r>
      <w:r w:rsidRPr="00FD65C9">
        <w:rPr>
          <w:lang w:val="pl-PL"/>
        </w:rPr>
        <w:t xml:space="preserve"> od przestępstw </w:t>
      </w:r>
      <w:r w:rsidR="00FF2893">
        <w:rPr>
          <w:lang w:val="pl-PL"/>
        </w:rPr>
        <w:t xml:space="preserve">takich </w:t>
      </w:r>
      <w:r w:rsidRPr="00FD65C9">
        <w:rPr>
          <w:lang w:val="pl-PL"/>
        </w:rPr>
        <w:t>jak zabójstwo czy kradzież, które popełnia się czyn</w:t>
      </w:r>
      <w:r w:rsidR="00FF2893">
        <w:rPr>
          <w:lang w:val="pl-PL"/>
        </w:rPr>
        <w:t>em</w:t>
      </w:r>
      <w:r w:rsidRPr="00FD65C9">
        <w:rPr>
          <w:lang w:val="pl-PL"/>
        </w:rPr>
        <w:t xml:space="preserve"> ograniczony</w:t>
      </w:r>
      <w:r w:rsidR="00FF2893">
        <w:rPr>
          <w:lang w:val="pl-PL"/>
        </w:rPr>
        <w:t>m</w:t>
      </w:r>
      <w:r w:rsidRPr="00FD65C9">
        <w:rPr>
          <w:lang w:val="pl-PL"/>
        </w:rPr>
        <w:t xml:space="preserve"> w czasie i </w:t>
      </w:r>
      <w:r w:rsidR="00FF2893">
        <w:rPr>
          <w:lang w:val="pl-PL"/>
        </w:rPr>
        <w:t>zrealizowanym</w:t>
      </w:r>
      <w:r w:rsidR="00FF2893" w:rsidRPr="00FD65C9">
        <w:rPr>
          <w:lang w:val="pl-PL"/>
        </w:rPr>
        <w:t xml:space="preserve"> </w:t>
      </w:r>
      <w:r w:rsidRPr="00FD65C9">
        <w:rPr>
          <w:lang w:val="pl-PL"/>
        </w:rPr>
        <w:t>z chwilą jego popełnienia. Z tego powodu członkostwo w organizacji jest czynem popełnianym tak długo, jak długo istnieje sama organizacja i przynależność do jej struktury hierarchicznej.</w:t>
      </w:r>
    </w:p>
    <w:p w14:paraId="4CF7A298" w14:textId="24399843" w:rsidR="00E079C6" w:rsidRPr="00FD65C9" w:rsidRDefault="00E079C6" w:rsidP="00622760">
      <w:pPr>
        <w:pStyle w:val="OpiPara"/>
        <w:rPr>
          <w:lang w:val="pl-PL"/>
        </w:rPr>
      </w:pPr>
      <w:r w:rsidRPr="00FD65C9">
        <w:rPr>
          <w:lang w:val="pl-PL"/>
        </w:rPr>
        <w:t xml:space="preserve">12.  W ramach definicji ujawnienia </w:t>
      </w:r>
      <w:r w:rsidR="00AD4D3A">
        <w:rPr>
          <w:i/>
          <w:iCs/>
          <w:lang w:val="pl-PL"/>
        </w:rPr>
        <w:t xml:space="preserve">in </w:t>
      </w:r>
      <w:proofErr w:type="spellStart"/>
      <w:r w:rsidR="00AD4D3A">
        <w:rPr>
          <w:i/>
          <w:iCs/>
          <w:lang w:val="pl-PL"/>
        </w:rPr>
        <w:t>flagrante</w:t>
      </w:r>
      <w:proofErr w:type="spellEnd"/>
      <w:r w:rsidRPr="00FD65C9">
        <w:rPr>
          <w:i/>
          <w:iCs/>
          <w:lang w:val="pl-PL"/>
        </w:rPr>
        <w:t xml:space="preserve"> </w:t>
      </w:r>
      <w:proofErr w:type="spellStart"/>
      <w:r w:rsidRPr="00FD65C9">
        <w:rPr>
          <w:i/>
          <w:iCs/>
          <w:lang w:val="pl-PL"/>
        </w:rPr>
        <w:t>delicto</w:t>
      </w:r>
      <w:proofErr w:type="spellEnd"/>
      <w:r w:rsidRPr="00FD65C9">
        <w:rPr>
          <w:lang w:val="pl-PL"/>
        </w:rPr>
        <w:t xml:space="preserve"> z art. 2 lit. j-1 kpk, dopóki dana osoba świadomie i dobrowolnie pozostaje członkiem organizacji terrorystycznej, charakter ciągły utrzymuje się, a przestępstwo uważa się za przestępstwo ciągłe. W związku z tym, biorąc pod uwagę to wyjaśnienie, można stwierdzić, że dokonana przez sąd kasacyjny w jego orzecznictwie wykładnia pojęcia ujawnienia </w:t>
      </w:r>
      <w:r w:rsidR="00AD4D3A">
        <w:rPr>
          <w:i/>
          <w:iCs/>
          <w:lang w:val="pl-PL"/>
        </w:rPr>
        <w:t xml:space="preserve">in </w:t>
      </w:r>
      <w:proofErr w:type="spellStart"/>
      <w:r w:rsidR="00AD4D3A">
        <w:rPr>
          <w:i/>
          <w:iCs/>
          <w:lang w:val="pl-PL"/>
        </w:rPr>
        <w:t>flagrante</w:t>
      </w:r>
      <w:proofErr w:type="spellEnd"/>
      <w:r w:rsidRPr="00FD65C9">
        <w:rPr>
          <w:i/>
          <w:iCs/>
          <w:lang w:val="pl-PL"/>
        </w:rPr>
        <w:t xml:space="preserve"> </w:t>
      </w:r>
      <w:proofErr w:type="spellStart"/>
      <w:r w:rsidRPr="00FD65C9">
        <w:rPr>
          <w:i/>
          <w:iCs/>
          <w:lang w:val="pl-PL"/>
        </w:rPr>
        <w:t>delicto</w:t>
      </w:r>
      <w:proofErr w:type="spellEnd"/>
      <w:r w:rsidRPr="00FD65C9">
        <w:rPr>
          <w:lang w:val="pl-PL"/>
        </w:rPr>
        <w:t xml:space="preserve"> jest zgodna z art. 2 kpk.</w:t>
      </w:r>
    </w:p>
    <w:p w14:paraId="53258FE3" w14:textId="6C4B6A4A" w:rsidR="00E079C6" w:rsidRPr="00FD65C9" w:rsidRDefault="00E079C6" w:rsidP="00622760">
      <w:pPr>
        <w:pStyle w:val="OpiPara"/>
        <w:rPr>
          <w:lang w:val="pl-PL"/>
        </w:rPr>
      </w:pPr>
      <w:r w:rsidRPr="00FD65C9">
        <w:rPr>
          <w:rFonts w:eastAsia="Times New Roman"/>
          <w:lang w:val="pl-PL"/>
        </w:rPr>
        <w:t>13.  Z drugiej strony, Trybunał</w:t>
      </w:r>
      <w:r w:rsidR="0028321A" w:rsidRPr="00FD65C9">
        <w:rPr>
          <w:rFonts w:eastAsia="Times New Roman"/>
          <w:lang w:val="pl-PL"/>
        </w:rPr>
        <w:t xml:space="preserve"> stwierdza, że „[...] zgodnie z </w:t>
      </w:r>
      <w:r w:rsidRPr="00FD65C9">
        <w:rPr>
          <w:rFonts w:eastAsia="Times New Roman"/>
          <w:lang w:val="pl-PL"/>
        </w:rPr>
        <w:t>orzecznictwem sądu kasacyjnego [...] pode</w:t>
      </w:r>
      <w:r w:rsidR="0028321A" w:rsidRPr="00FD65C9">
        <w:rPr>
          <w:rFonts w:eastAsia="Times New Roman"/>
          <w:lang w:val="pl-PL"/>
        </w:rPr>
        <w:t>jrzenie – w rozumieniu art. 100 </w:t>
      </w:r>
      <w:r w:rsidRPr="00FD65C9">
        <w:rPr>
          <w:rFonts w:eastAsia="Times New Roman"/>
          <w:lang w:val="pl-PL"/>
        </w:rPr>
        <w:t xml:space="preserve">kpk – przynależności do organizacji przestępczej może być wystarczające do uznania przypadku ujawnienia </w:t>
      </w:r>
      <w:r w:rsidR="00AD4D3A">
        <w:rPr>
          <w:rFonts w:eastAsia="Times New Roman"/>
          <w:i/>
          <w:iCs/>
          <w:lang w:val="pl-PL"/>
        </w:rPr>
        <w:t xml:space="preserve">in </w:t>
      </w:r>
      <w:proofErr w:type="spellStart"/>
      <w:r w:rsidR="00AD4D3A">
        <w:rPr>
          <w:rFonts w:eastAsia="Times New Roman"/>
          <w:i/>
          <w:iCs/>
          <w:lang w:val="pl-PL"/>
        </w:rPr>
        <w:t>flagrante</w:t>
      </w:r>
      <w:proofErr w:type="spellEnd"/>
      <w:r w:rsidRPr="00FD65C9">
        <w:rPr>
          <w:rFonts w:eastAsia="Times New Roman"/>
          <w:i/>
          <w:iCs/>
          <w:lang w:val="pl-PL"/>
        </w:rPr>
        <w:t xml:space="preserve"> </w:t>
      </w:r>
      <w:proofErr w:type="spellStart"/>
      <w:r w:rsidRPr="00FD65C9">
        <w:rPr>
          <w:rFonts w:eastAsia="Times New Roman"/>
          <w:i/>
          <w:iCs/>
          <w:lang w:val="pl-PL"/>
        </w:rPr>
        <w:t>delicto</w:t>
      </w:r>
      <w:proofErr w:type="spellEnd"/>
      <w:r w:rsidRPr="00FD65C9">
        <w:rPr>
          <w:rFonts w:eastAsia="Times New Roman"/>
          <w:lang w:val="pl-PL"/>
        </w:rPr>
        <w:t xml:space="preserve"> bez konieczności ustalenia jakiegokolwiek aktualnego elementu faktycznego lub jakiejkolwiek innej przesłanki trwającej dział</w:t>
      </w:r>
      <w:r w:rsidR="0028321A" w:rsidRPr="00FD65C9">
        <w:rPr>
          <w:rFonts w:eastAsia="Times New Roman"/>
          <w:lang w:val="pl-PL"/>
        </w:rPr>
        <w:t xml:space="preserve">alności przestępczej” (zob. </w:t>
      </w:r>
      <w:r w:rsidR="00FF2893" w:rsidRPr="00FD65C9">
        <w:rPr>
          <w:rFonts w:eastAsia="Times New Roman"/>
          <w:lang w:val="pl-PL"/>
        </w:rPr>
        <w:t>p</w:t>
      </w:r>
      <w:r w:rsidR="00FF2893">
        <w:rPr>
          <w:rFonts w:eastAsia="Times New Roman"/>
          <w:lang w:val="pl-PL"/>
        </w:rPr>
        <w:t>aragraf</w:t>
      </w:r>
      <w:r w:rsidR="00FF2893" w:rsidRPr="00FD65C9">
        <w:rPr>
          <w:rFonts w:eastAsia="Times New Roman"/>
          <w:lang w:val="pl-PL"/>
        </w:rPr>
        <w:t> </w:t>
      </w:r>
      <w:r w:rsidRPr="00FD65C9">
        <w:rPr>
          <w:rFonts w:eastAsia="Times New Roman"/>
          <w:lang w:val="pl-PL"/>
        </w:rPr>
        <w:t>111 wyroku). W wyroku stwierdzono również, że „[w] opinii Trybunału rozszerzenie przez sądy krajowe zakresu pojęcia</w:t>
      </w:r>
      <w:r w:rsidRPr="00FD65C9">
        <w:rPr>
          <w:rFonts w:eastAsia="Times New Roman"/>
          <w:i/>
          <w:iCs/>
          <w:lang w:val="pl-PL"/>
        </w:rPr>
        <w:t xml:space="preserve"> </w:t>
      </w:r>
      <w:r w:rsidR="00AD4D3A">
        <w:rPr>
          <w:rFonts w:eastAsia="Times New Roman"/>
          <w:i/>
          <w:iCs/>
          <w:lang w:val="pl-PL"/>
        </w:rPr>
        <w:t xml:space="preserve">in </w:t>
      </w:r>
      <w:proofErr w:type="spellStart"/>
      <w:r w:rsidR="00AD4D3A">
        <w:rPr>
          <w:rFonts w:eastAsia="Times New Roman"/>
          <w:i/>
          <w:iCs/>
          <w:lang w:val="pl-PL"/>
        </w:rPr>
        <w:t>flagrante</w:t>
      </w:r>
      <w:proofErr w:type="spellEnd"/>
      <w:r w:rsidRPr="00FD65C9">
        <w:rPr>
          <w:rFonts w:eastAsia="Times New Roman"/>
          <w:i/>
          <w:iCs/>
          <w:lang w:val="pl-PL"/>
        </w:rPr>
        <w:t xml:space="preserve"> </w:t>
      </w:r>
      <w:proofErr w:type="spellStart"/>
      <w:r w:rsidRPr="00FD65C9">
        <w:rPr>
          <w:rFonts w:eastAsia="Times New Roman"/>
          <w:i/>
          <w:iCs/>
          <w:lang w:val="pl-PL"/>
        </w:rPr>
        <w:t>delicto</w:t>
      </w:r>
      <w:proofErr w:type="spellEnd"/>
      <w:r w:rsidRPr="00FD65C9">
        <w:rPr>
          <w:rFonts w:eastAsia="Times New Roman"/>
          <w:lang w:val="pl-PL"/>
        </w:rPr>
        <w:t xml:space="preserve"> oraz zastosowanie przez nie prawa krajowego w niniejszej sprawie [...] wydają się w sposób oczywisty nieuzasadnione” (zob. paragraf 115).</w:t>
      </w:r>
    </w:p>
    <w:p w14:paraId="630DDC2B" w14:textId="73819DC5" w:rsidR="00675E41" w:rsidRPr="00FD65C9" w:rsidRDefault="00E079C6" w:rsidP="00622760">
      <w:pPr>
        <w:pStyle w:val="OpiPara"/>
        <w:rPr>
          <w:rFonts w:eastAsia="Times New Roman"/>
          <w:lang w:val="pl-PL"/>
        </w:rPr>
      </w:pPr>
      <w:r w:rsidRPr="00FD65C9">
        <w:rPr>
          <w:lang w:val="pl-PL"/>
        </w:rPr>
        <w:t>14.  Uważam, że w tej kwestii Trybunał dokonał błędnej interpretacji. Kluczowym aspektem jest tu konieczność rozróżnienia między przepisami proceduralnymi dotyczącymi tymczasowego</w:t>
      </w:r>
      <w:r w:rsidR="0028321A" w:rsidRPr="00FD65C9">
        <w:rPr>
          <w:lang w:val="pl-PL"/>
        </w:rPr>
        <w:t xml:space="preserve"> aresztowania za przestępstwo a </w:t>
      </w:r>
      <w:r w:rsidRPr="00FD65C9">
        <w:rPr>
          <w:lang w:val="pl-PL"/>
        </w:rPr>
        <w:t xml:space="preserve">poziomem dowodu wymaganego do </w:t>
      </w:r>
      <w:r w:rsidR="00E03948">
        <w:rPr>
          <w:lang w:val="pl-PL"/>
        </w:rPr>
        <w:t>zastosowania tego środka</w:t>
      </w:r>
      <w:r w:rsidRPr="00FD65C9">
        <w:rPr>
          <w:lang w:val="pl-PL"/>
        </w:rPr>
        <w:t>. Z tego punktu widzenia orzecznictwo sądu kasacyjnego ustanawia zasadę, że przynależność do organizacji przestępczej jest przestępstwem o charakterze ciągłym, które jest popełniane w trakcie trwania przynależności do tej organizacji. Z orzecznictwa nie wynika</w:t>
      </w:r>
      <w:r w:rsidR="00E03948">
        <w:rPr>
          <w:lang w:val="pl-PL"/>
        </w:rPr>
        <w:t xml:space="preserve"> brak konieczności</w:t>
      </w:r>
      <w:r w:rsidRPr="00FD65C9">
        <w:rPr>
          <w:lang w:val="pl-PL"/>
        </w:rPr>
        <w:t xml:space="preserve"> ustalania jakichkolwiek dowodów lub przesłanek popełnienia przestępstwa. Obecność podstawy faktycznej w odniesieniu do naruszenia o charakterze ciągłym jest inną kwestią, którą należy </w:t>
      </w:r>
      <w:r w:rsidR="00E03948">
        <w:rPr>
          <w:lang w:val="pl-PL"/>
        </w:rPr>
        <w:t>poddać odrębnej ocenie</w:t>
      </w:r>
      <w:r w:rsidRPr="00FD65C9">
        <w:rPr>
          <w:lang w:val="pl-PL"/>
        </w:rPr>
        <w:t>.</w:t>
      </w:r>
    </w:p>
    <w:p w14:paraId="25C43C42" w14:textId="4E8E7717" w:rsidR="00675E41" w:rsidRPr="00FD65C9" w:rsidRDefault="00E079C6" w:rsidP="00622760">
      <w:pPr>
        <w:pStyle w:val="OpiPara"/>
        <w:rPr>
          <w:lang w:val="pl-PL"/>
        </w:rPr>
      </w:pPr>
      <w:r w:rsidRPr="00FD65C9">
        <w:rPr>
          <w:lang w:val="pl-PL"/>
        </w:rPr>
        <w:t xml:space="preserve">15.  Argument skarżącego, że jego tymczasowe aresztowanie nie przebiegało „w trybie ustalonym przez prawo” został również podniesiony przed Trybunałem Konstytucyjnym i po szczegółowej analizie </w:t>
      </w:r>
      <w:r w:rsidR="00E03948">
        <w:rPr>
          <w:lang w:val="pl-PL"/>
        </w:rPr>
        <w:t>organ</w:t>
      </w:r>
      <w:r w:rsidR="00E03948" w:rsidRPr="00FD65C9">
        <w:rPr>
          <w:lang w:val="pl-PL"/>
        </w:rPr>
        <w:t xml:space="preserve"> </w:t>
      </w:r>
      <w:r w:rsidRPr="00FD65C9">
        <w:rPr>
          <w:lang w:val="pl-PL"/>
        </w:rPr>
        <w:t>ten uznał, z powołaniem się na orzecznictwo sądu kasacyjnego, że przedmiotowy środek, zarządzony zgodnie z zasadami prawa powszechnego, był zgodny z właściwymi przepisami.</w:t>
      </w:r>
    </w:p>
    <w:p w14:paraId="74487342" w14:textId="66348DF2" w:rsidR="00E079C6" w:rsidRPr="00FD65C9" w:rsidRDefault="00E079C6" w:rsidP="00622760">
      <w:pPr>
        <w:pStyle w:val="OpiPara"/>
        <w:rPr>
          <w:lang w:val="pl-PL"/>
        </w:rPr>
      </w:pPr>
      <w:r w:rsidRPr="00FD65C9">
        <w:rPr>
          <w:rFonts w:eastAsia="Times New Roman"/>
          <w:lang w:val="pl-PL"/>
        </w:rPr>
        <w:t xml:space="preserve">16.  Z tych względów uważam, że wykładnia dokonana przez sąd kasacyjny i stosowanie przez sądy krajowe pojęcia </w:t>
      </w:r>
      <w:r w:rsidR="00AD4D3A">
        <w:rPr>
          <w:rFonts w:eastAsia="Times New Roman"/>
          <w:i/>
          <w:iCs/>
          <w:lang w:val="pl-PL"/>
        </w:rPr>
        <w:t xml:space="preserve">in </w:t>
      </w:r>
      <w:proofErr w:type="spellStart"/>
      <w:r w:rsidR="00AD4D3A">
        <w:rPr>
          <w:rFonts w:eastAsia="Times New Roman"/>
          <w:i/>
          <w:iCs/>
          <w:lang w:val="pl-PL"/>
        </w:rPr>
        <w:t>flagrante</w:t>
      </w:r>
      <w:proofErr w:type="spellEnd"/>
      <w:r w:rsidRPr="00FD65C9">
        <w:rPr>
          <w:rFonts w:eastAsia="Times New Roman"/>
          <w:i/>
          <w:iCs/>
          <w:lang w:val="pl-PL"/>
        </w:rPr>
        <w:t xml:space="preserve"> </w:t>
      </w:r>
      <w:proofErr w:type="spellStart"/>
      <w:r w:rsidRPr="00FD65C9">
        <w:rPr>
          <w:rFonts w:eastAsia="Times New Roman"/>
          <w:i/>
          <w:iCs/>
          <w:lang w:val="pl-PL"/>
        </w:rPr>
        <w:t>delicto</w:t>
      </w:r>
      <w:proofErr w:type="spellEnd"/>
      <w:r w:rsidRPr="00FD65C9">
        <w:rPr>
          <w:rFonts w:eastAsia="Times New Roman"/>
          <w:lang w:val="pl-PL"/>
        </w:rPr>
        <w:t xml:space="preserve"> mają uzasadnioną podstawę prawną.</w:t>
      </w:r>
    </w:p>
    <w:p w14:paraId="1A7AAF87" w14:textId="260A9822" w:rsidR="00675E41" w:rsidRPr="00FD65C9" w:rsidRDefault="00E079C6" w:rsidP="00622760">
      <w:pPr>
        <w:pStyle w:val="OpiPara"/>
        <w:rPr>
          <w:rFonts w:eastAsia="Times New Roman"/>
          <w:color w:val="000000" w:themeColor="text1"/>
          <w:lang w:val="pl-PL"/>
        </w:rPr>
      </w:pPr>
      <w:r w:rsidRPr="00FD65C9">
        <w:rPr>
          <w:rFonts w:eastAsia="Times New Roman"/>
          <w:lang w:val="pl-PL"/>
        </w:rPr>
        <w:t>17.  Oceniając tę kwestię, musimy również w pełni uwzględnić powagę zagrożenia, jakie dla Turcji stanowiła prób</w:t>
      </w:r>
      <w:r w:rsidR="0028321A" w:rsidRPr="00FD65C9">
        <w:rPr>
          <w:rFonts w:eastAsia="Times New Roman"/>
          <w:lang w:val="pl-PL"/>
        </w:rPr>
        <w:t>a zamachu stanu z </w:t>
      </w:r>
      <w:r w:rsidR="00E03948">
        <w:rPr>
          <w:rFonts w:eastAsia="Times New Roman"/>
          <w:lang w:val="pl-PL"/>
        </w:rPr>
        <w:t xml:space="preserve">dnia </w:t>
      </w:r>
      <w:r w:rsidR="0028321A" w:rsidRPr="00FD65C9">
        <w:rPr>
          <w:rFonts w:eastAsia="Times New Roman"/>
          <w:lang w:val="pl-PL"/>
        </w:rPr>
        <w:t>15 lipca 2016 </w:t>
      </w:r>
      <w:r w:rsidRPr="00FD65C9">
        <w:rPr>
          <w:rFonts w:eastAsia="Times New Roman"/>
          <w:lang w:val="pl-PL"/>
        </w:rPr>
        <w:t>r. Ponadto należy pamiętać o</w:t>
      </w:r>
      <w:r w:rsidR="00E03948">
        <w:rPr>
          <w:rFonts w:eastAsia="Times New Roman"/>
          <w:lang w:val="pl-PL"/>
        </w:rPr>
        <w:t xml:space="preserve"> charakterze</w:t>
      </w:r>
      <w:r w:rsidRPr="00FD65C9">
        <w:rPr>
          <w:rFonts w:eastAsia="Times New Roman"/>
          <w:lang w:val="pl-PL"/>
        </w:rPr>
        <w:t xml:space="preserve"> </w:t>
      </w:r>
      <w:proofErr w:type="spellStart"/>
      <w:r w:rsidRPr="00FD65C9">
        <w:rPr>
          <w:rFonts w:eastAsia="Times New Roman"/>
          <w:i/>
          <w:iCs/>
          <w:lang w:val="pl-PL"/>
        </w:rPr>
        <w:t>sui</w:t>
      </w:r>
      <w:proofErr w:type="spellEnd"/>
      <w:r w:rsidRPr="00FD65C9">
        <w:rPr>
          <w:rFonts w:eastAsia="Times New Roman"/>
          <w:i/>
          <w:iCs/>
          <w:lang w:val="pl-PL"/>
        </w:rPr>
        <w:t xml:space="preserve"> </w:t>
      </w:r>
      <w:proofErr w:type="spellStart"/>
      <w:r w:rsidRPr="00FD65C9">
        <w:rPr>
          <w:rFonts w:eastAsia="Times New Roman"/>
          <w:i/>
          <w:iCs/>
          <w:lang w:val="pl-PL"/>
        </w:rPr>
        <w:t>generis</w:t>
      </w:r>
      <w:proofErr w:type="spellEnd"/>
      <w:r w:rsidRPr="00FD65C9">
        <w:rPr>
          <w:rFonts w:eastAsia="Times New Roman"/>
          <w:i/>
          <w:iCs/>
          <w:lang w:val="pl-PL"/>
        </w:rPr>
        <w:t xml:space="preserve"> </w:t>
      </w:r>
      <w:r w:rsidRPr="00FD65C9">
        <w:rPr>
          <w:rFonts w:eastAsia="Times New Roman"/>
          <w:lang w:val="pl-PL"/>
        </w:rPr>
        <w:t xml:space="preserve">tajnej </w:t>
      </w:r>
      <w:r w:rsidR="00E03948" w:rsidRPr="00FD65C9">
        <w:rPr>
          <w:rFonts w:eastAsia="Times New Roman"/>
          <w:lang w:val="pl-PL"/>
        </w:rPr>
        <w:t>struktur</w:t>
      </w:r>
      <w:r w:rsidR="00E03948">
        <w:rPr>
          <w:rFonts w:eastAsia="Times New Roman"/>
          <w:lang w:val="pl-PL"/>
        </w:rPr>
        <w:t>y</w:t>
      </w:r>
      <w:r w:rsidR="00E03948" w:rsidRPr="00FD65C9">
        <w:rPr>
          <w:rFonts w:eastAsia="Times New Roman"/>
          <w:lang w:val="pl-PL"/>
        </w:rPr>
        <w:t xml:space="preserve"> </w:t>
      </w:r>
      <w:r w:rsidRPr="00FD65C9">
        <w:rPr>
          <w:rFonts w:eastAsia="Times New Roman"/>
          <w:lang w:val="pl-PL"/>
        </w:rPr>
        <w:t>organizacji FETÖ/PDY, która szeroko infiltrowała wpływowe instytucje państwowe i sądownicze pod pozorem legalności (w celu uzyskania ogólnych informacji na temat wydarzeń, które miały miejsce podczas próby zamachu stanu oraz na potrzeby celów i struktury organizacji FETÖ/PDY, zob. paragrafy 11–15 i 18 częściowo od</w:t>
      </w:r>
      <w:r w:rsidR="0028321A" w:rsidRPr="00FD65C9">
        <w:rPr>
          <w:rFonts w:eastAsia="Times New Roman"/>
          <w:lang w:val="pl-PL"/>
        </w:rPr>
        <w:t xml:space="preserve">rębnej opinii sędziego </w:t>
      </w:r>
      <w:proofErr w:type="spellStart"/>
      <w:r w:rsidR="0028321A" w:rsidRPr="00FD65C9">
        <w:rPr>
          <w:rFonts w:eastAsia="Times New Roman"/>
          <w:lang w:val="pl-PL"/>
        </w:rPr>
        <w:t>Ergüla</w:t>
      </w:r>
      <w:proofErr w:type="spellEnd"/>
      <w:r w:rsidR="0028321A" w:rsidRPr="00FD65C9">
        <w:rPr>
          <w:rFonts w:eastAsia="Times New Roman"/>
          <w:lang w:val="pl-PL"/>
        </w:rPr>
        <w:t xml:space="preserve"> w </w:t>
      </w:r>
      <w:r w:rsidRPr="00FD65C9">
        <w:rPr>
          <w:rFonts w:eastAsia="Times New Roman"/>
          <w:lang w:val="pl-PL"/>
        </w:rPr>
        <w:t xml:space="preserve">sprawie </w:t>
      </w:r>
      <w:proofErr w:type="spellStart"/>
      <w:r w:rsidRPr="00FD65C9">
        <w:rPr>
          <w:rFonts w:eastAsia="Times New Roman"/>
          <w:i/>
          <w:iCs/>
          <w:lang w:val="pl-PL"/>
        </w:rPr>
        <w:t>Mehmet</w:t>
      </w:r>
      <w:proofErr w:type="spellEnd"/>
      <w:r w:rsidRPr="00FD65C9">
        <w:rPr>
          <w:rFonts w:eastAsia="Times New Roman"/>
          <w:i/>
          <w:iCs/>
          <w:lang w:val="pl-PL"/>
        </w:rPr>
        <w:t xml:space="preserve"> </w:t>
      </w:r>
      <w:proofErr w:type="spellStart"/>
      <w:r w:rsidRPr="00FD65C9">
        <w:rPr>
          <w:rFonts w:eastAsia="Times New Roman"/>
          <w:i/>
          <w:iCs/>
          <w:lang w:val="pl-PL"/>
        </w:rPr>
        <w:t>Hasan</w:t>
      </w:r>
      <w:proofErr w:type="spellEnd"/>
      <w:r w:rsidRPr="00FD65C9">
        <w:rPr>
          <w:rFonts w:eastAsia="Times New Roman"/>
          <w:i/>
          <w:iCs/>
          <w:lang w:val="pl-PL"/>
        </w:rPr>
        <w:t xml:space="preserve"> Altan przeciwko Turcji</w:t>
      </w:r>
      <w:r w:rsidR="0028321A" w:rsidRPr="00FD65C9">
        <w:rPr>
          <w:rFonts w:eastAsia="Times New Roman"/>
          <w:lang w:val="pl-PL"/>
        </w:rPr>
        <w:t>, nr 13237/17, 20 marca </w:t>
      </w:r>
      <w:r w:rsidRPr="00FD65C9">
        <w:rPr>
          <w:rFonts w:eastAsia="Times New Roman"/>
          <w:lang w:val="pl-PL"/>
        </w:rPr>
        <w:t xml:space="preserve">2018 r.). </w:t>
      </w:r>
      <w:r w:rsidR="00E03948">
        <w:rPr>
          <w:rFonts w:eastAsia="Times New Roman"/>
          <w:color w:val="000000" w:themeColor="text1"/>
          <w:lang w:val="pl-PL"/>
        </w:rPr>
        <w:t>Zarzuty</w:t>
      </w:r>
      <w:r w:rsidR="00E03948" w:rsidRPr="00FD65C9">
        <w:rPr>
          <w:rFonts w:eastAsia="Times New Roman"/>
          <w:color w:val="000000" w:themeColor="text1"/>
          <w:lang w:val="pl-PL"/>
        </w:rPr>
        <w:t xml:space="preserve"> </w:t>
      </w:r>
      <w:r w:rsidRPr="00FD65C9">
        <w:rPr>
          <w:rFonts w:eastAsia="Times New Roman"/>
          <w:color w:val="000000" w:themeColor="text1"/>
          <w:lang w:val="pl-PL"/>
        </w:rPr>
        <w:t xml:space="preserve">skarżącego </w:t>
      </w:r>
      <w:r w:rsidR="00E03948">
        <w:rPr>
          <w:rFonts w:eastAsia="Times New Roman"/>
          <w:color w:val="000000" w:themeColor="text1"/>
          <w:lang w:val="pl-PL"/>
        </w:rPr>
        <w:t xml:space="preserve">należy </w:t>
      </w:r>
      <w:r w:rsidRPr="00FD65C9">
        <w:rPr>
          <w:rFonts w:eastAsia="Times New Roman"/>
          <w:color w:val="000000" w:themeColor="text1"/>
          <w:lang w:val="pl-PL"/>
        </w:rPr>
        <w:t xml:space="preserve">również </w:t>
      </w:r>
      <w:r w:rsidR="00E03948">
        <w:rPr>
          <w:rFonts w:eastAsia="Times New Roman"/>
          <w:color w:val="000000" w:themeColor="text1"/>
          <w:lang w:val="pl-PL"/>
        </w:rPr>
        <w:t xml:space="preserve">oceniać </w:t>
      </w:r>
      <w:r w:rsidR="0028321A" w:rsidRPr="00FD65C9">
        <w:rPr>
          <w:rFonts w:eastAsia="Times New Roman"/>
          <w:color w:val="000000" w:themeColor="text1"/>
          <w:lang w:val="pl-PL"/>
        </w:rPr>
        <w:t>w </w:t>
      </w:r>
      <w:r w:rsidRPr="00FD65C9">
        <w:rPr>
          <w:rFonts w:eastAsia="Times New Roman"/>
          <w:color w:val="000000" w:themeColor="text1"/>
          <w:lang w:val="pl-PL"/>
        </w:rPr>
        <w:t>świetle powiadomienia o uchyleniu s</w:t>
      </w:r>
      <w:r w:rsidR="0028321A" w:rsidRPr="00FD65C9">
        <w:rPr>
          <w:rFonts w:eastAsia="Times New Roman"/>
          <w:color w:val="000000" w:themeColor="text1"/>
          <w:lang w:val="pl-PL"/>
        </w:rPr>
        <w:t>tosowania zobowiązań wydanego w </w:t>
      </w:r>
      <w:r w:rsidRPr="00FD65C9">
        <w:rPr>
          <w:rFonts w:eastAsia="Times New Roman"/>
          <w:color w:val="000000" w:themeColor="text1"/>
          <w:lang w:val="pl-PL"/>
        </w:rPr>
        <w:t>dniu 21 lipca 2016 r. na podstawie art. 15 Konwencji, dzień po ogłoszeniu przez Rząd stanu wyjątkowego.</w:t>
      </w:r>
    </w:p>
    <w:p w14:paraId="6FAC8DF4" w14:textId="4BAEE061" w:rsidR="00E079C6" w:rsidRPr="00FD65C9" w:rsidRDefault="00E079C6" w:rsidP="00622760">
      <w:pPr>
        <w:pStyle w:val="OpiPara"/>
        <w:rPr>
          <w:lang w:val="pl-PL"/>
        </w:rPr>
      </w:pPr>
      <w:r w:rsidRPr="00FD65C9">
        <w:rPr>
          <w:rFonts w:eastAsia="Times New Roman"/>
          <w:lang w:val="pl-PL"/>
        </w:rPr>
        <w:t xml:space="preserve">18.  W tym względzie </w:t>
      </w:r>
      <w:r w:rsidR="00E03948">
        <w:rPr>
          <w:rFonts w:eastAsia="Times New Roman"/>
          <w:lang w:val="pl-PL"/>
        </w:rPr>
        <w:t>podzielam</w:t>
      </w:r>
      <w:r w:rsidRPr="00FD65C9">
        <w:rPr>
          <w:rFonts w:eastAsia="Times New Roman"/>
          <w:lang w:val="pl-PL"/>
        </w:rPr>
        <w:t xml:space="preserve"> </w:t>
      </w:r>
      <w:r w:rsidR="00E03948">
        <w:rPr>
          <w:rFonts w:eastAsia="Times New Roman"/>
          <w:lang w:val="pl-PL"/>
        </w:rPr>
        <w:t xml:space="preserve">stanowisko </w:t>
      </w:r>
      <w:r w:rsidR="00E03948" w:rsidRPr="00FD65C9">
        <w:rPr>
          <w:rFonts w:eastAsia="Times New Roman"/>
          <w:lang w:val="pl-PL"/>
        </w:rPr>
        <w:t>wyrażon</w:t>
      </w:r>
      <w:r w:rsidR="00E03948">
        <w:rPr>
          <w:rFonts w:eastAsia="Times New Roman"/>
          <w:lang w:val="pl-PL"/>
        </w:rPr>
        <w:t>e</w:t>
      </w:r>
      <w:r w:rsidR="00E03948" w:rsidRPr="00FD65C9">
        <w:rPr>
          <w:rFonts w:eastAsia="Times New Roman"/>
          <w:lang w:val="pl-PL"/>
        </w:rPr>
        <w:t xml:space="preserve"> </w:t>
      </w:r>
      <w:r w:rsidRPr="00FD65C9">
        <w:rPr>
          <w:rFonts w:eastAsia="Times New Roman"/>
          <w:lang w:val="pl-PL"/>
        </w:rPr>
        <w:t xml:space="preserve">w wyroku, </w:t>
      </w:r>
      <w:r w:rsidR="00E03948">
        <w:rPr>
          <w:rFonts w:eastAsia="Times New Roman"/>
          <w:lang w:val="pl-PL"/>
        </w:rPr>
        <w:t>zgodnie z którym</w:t>
      </w:r>
      <w:r w:rsidR="00E03948" w:rsidRPr="00FD65C9">
        <w:rPr>
          <w:rFonts w:eastAsia="Times New Roman"/>
          <w:lang w:val="pl-PL"/>
        </w:rPr>
        <w:t xml:space="preserve"> </w:t>
      </w:r>
      <w:r w:rsidRPr="00FD65C9">
        <w:rPr>
          <w:rFonts w:eastAsia="Times New Roman"/>
          <w:lang w:val="pl-PL"/>
        </w:rPr>
        <w:t xml:space="preserve">„próba wojskowego zamachu stanu ujawniła istnienie »stanu wyjątkowego zagrażającego życiu narodu« w rozumieniu Konwencji” (zob. paragraf 73) oraz że „[w] każdym razie Trybunał zauważa, że </w:t>
      </w:r>
      <w:r w:rsidR="00E03948">
        <w:rPr>
          <w:rFonts w:eastAsia="Times New Roman"/>
          <w:lang w:val="pl-PL"/>
        </w:rPr>
        <w:t>tymczasowe aresztowanie</w:t>
      </w:r>
      <w:r w:rsidR="00E03948" w:rsidRPr="00FD65C9">
        <w:rPr>
          <w:rFonts w:eastAsia="Times New Roman"/>
          <w:lang w:val="pl-PL"/>
        </w:rPr>
        <w:t xml:space="preserve"> </w:t>
      </w:r>
      <w:r w:rsidRPr="00FD65C9">
        <w:rPr>
          <w:rFonts w:eastAsia="Times New Roman"/>
          <w:lang w:val="pl-PL"/>
        </w:rPr>
        <w:t>skarżącego [...] nastąpiło w bardzo krótkim czasie po próbie zamachu stanu, czyli wydarzeniu, które doprowadziło do ogłoszenia stanu wyjątkowego. Jest to niewątpliwie czynnik kontekstowy, który należy w pełni uwzględnić przy dokonywaniu wykładni i stosowaniu art. 5 Konwencji w niniejszej sprawie” (zob. paragraf 75). Z przykrością stwierdzam jednak, że w wyroku nie uwzględniono w wystarczającym stopniu szczególnych okoliczności, które wystąpiły w Turcji bezpośrednio po próbie zamachu stanu, ani powiadomienia o uchyleniu stosowania zobowiązań.</w:t>
      </w:r>
    </w:p>
    <w:p w14:paraId="49CEC785" w14:textId="49AE8BCE" w:rsidR="00675E41" w:rsidRPr="00FD65C9" w:rsidRDefault="00E079C6" w:rsidP="00622760">
      <w:pPr>
        <w:pStyle w:val="OpiPara"/>
        <w:rPr>
          <w:color w:val="0070C0"/>
          <w:lang w:val="pl-PL"/>
        </w:rPr>
      </w:pPr>
      <w:r w:rsidRPr="00FD65C9">
        <w:rPr>
          <w:color w:val="000000" w:themeColor="text1"/>
          <w:lang w:val="pl-PL"/>
        </w:rPr>
        <w:t>19.  Oczywiście wymiar sprawiedli</w:t>
      </w:r>
      <w:r w:rsidR="0028321A" w:rsidRPr="00FD65C9">
        <w:rPr>
          <w:color w:val="000000" w:themeColor="text1"/>
          <w:lang w:val="pl-PL"/>
        </w:rPr>
        <w:t>wości odgrywa szczególną rolę w </w:t>
      </w:r>
      <w:r w:rsidRPr="00FD65C9">
        <w:rPr>
          <w:color w:val="000000" w:themeColor="text1"/>
          <w:lang w:val="pl-PL"/>
        </w:rPr>
        <w:t xml:space="preserve">społeczeństwie demokratycznym (zob. </w:t>
      </w:r>
      <w:r w:rsidR="00E03948" w:rsidRPr="00FD65C9">
        <w:rPr>
          <w:color w:val="000000" w:themeColor="text1"/>
          <w:lang w:val="pl-PL"/>
        </w:rPr>
        <w:t>p</w:t>
      </w:r>
      <w:r w:rsidR="00E03948">
        <w:rPr>
          <w:color w:val="000000" w:themeColor="text1"/>
          <w:lang w:val="pl-PL"/>
        </w:rPr>
        <w:t>aragraf</w:t>
      </w:r>
      <w:r w:rsidR="00E03948" w:rsidRPr="00FD65C9">
        <w:rPr>
          <w:color w:val="000000" w:themeColor="text1"/>
          <w:lang w:val="pl-PL"/>
        </w:rPr>
        <w:t xml:space="preserve"> </w:t>
      </w:r>
      <w:r w:rsidRPr="00FD65C9">
        <w:rPr>
          <w:color w:val="000000" w:themeColor="text1"/>
          <w:lang w:val="pl-PL"/>
        </w:rPr>
        <w:t xml:space="preserve">102 wyroku) i konieczne jest pełne poszanowanie niezawisłości sędziów. Niemniej </w:t>
      </w:r>
      <w:r w:rsidRPr="00FD65C9">
        <w:rPr>
          <w:lang w:val="pl-PL"/>
        </w:rPr>
        <w:t xml:space="preserve">rozważając tę kwestię, należy pamiętać o niezgodnych z prawem celach organizacji FETÖ/PDY i jej ukrytej strukturze w sądownictwie, w tym w Trybunale Konstytucyjnym. Powszechnie wiadomo, że członkowie tej organizacji terrorystycznej w sądownictwie </w:t>
      </w:r>
      <w:r w:rsidR="00E03948">
        <w:rPr>
          <w:lang w:val="pl-PL"/>
        </w:rPr>
        <w:t>realizowali wyłącznie postulaty tej</w:t>
      </w:r>
      <w:r w:rsidRPr="00FD65C9">
        <w:rPr>
          <w:lang w:val="pl-PL"/>
        </w:rPr>
        <w:t xml:space="preserve"> organizacji, nie zważając na żadne zasady czy </w:t>
      </w:r>
      <w:r w:rsidR="00E03948">
        <w:rPr>
          <w:lang w:val="pl-PL"/>
        </w:rPr>
        <w:t>normy prawne</w:t>
      </w:r>
      <w:r w:rsidRPr="00FD65C9">
        <w:rPr>
          <w:lang w:val="pl-PL"/>
        </w:rPr>
        <w:t xml:space="preserve">. </w:t>
      </w:r>
      <w:r w:rsidRPr="00FD65C9">
        <w:rPr>
          <w:color w:val="000000" w:themeColor="text1"/>
          <w:lang w:val="pl-PL"/>
        </w:rPr>
        <w:t>W związku</w:t>
      </w:r>
      <w:r w:rsidR="0028321A" w:rsidRPr="00FD65C9">
        <w:rPr>
          <w:color w:val="000000" w:themeColor="text1"/>
          <w:lang w:val="pl-PL"/>
        </w:rPr>
        <w:t xml:space="preserve"> z </w:t>
      </w:r>
      <w:r w:rsidRPr="00FD65C9">
        <w:rPr>
          <w:color w:val="000000" w:themeColor="text1"/>
          <w:lang w:val="pl-PL"/>
        </w:rPr>
        <w:t>tym nadużywanie uprawnień i gwarancji sądowych – przyznanych członkom wymiaru sprawiedliwości w celu pełnienia funkcji w sposób niezawisły i bezstronny – poprzez działanie zgodnie z instrukcjami organizacji terrorystycznej nie powinno być objęte szeroko interpretowaną formą ochrony prawnej.</w:t>
      </w:r>
    </w:p>
    <w:p w14:paraId="1CC91927" w14:textId="50931416" w:rsidR="00675E41" w:rsidRPr="00FD65C9" w:rsidRDefault="00E079C6" w:rsidP="00622760">
      <w:pPr>
        <w:pStyle w:val="OpiPara"/>
        <w:rPr>
          <w:lang w:val="pl-PL"/>
        </w:rPr>
      </w:pPr>
      <w:r w:rsidRPr="00FD65C9">
        <w:rPr>
          <w:lang w:val="pl-PL"/>
        </w:rPr>
        <w:t xml:space="preserve">20.  Jak wspomniano w wyroku, „[w] orzecznictwie Trybunału dotyczącym art. 5 ust. 1 [...] [w] odniesieniu do »zgodności [pozbawienia wolności] z prawem« [...] Konwencja zasadniczo odwołuje się do ustawodawstwa krajowego i nakłada obowiązek przestrzegania </w:t>
      </w:r>
      <w:r w:rsidR="00E03948">
        <w:rPr>
          <w:lang w:val="pl-PL"/>
        </w:rPr>
        <w:t xml:space="preserve">wynikających z </w:t>
      </w:r>
      <w:r w:rsidR="003B1621">
        <w:rPr>
          <w:lang w:val="pl-PL"/>
        </w:rPr>
        <w:t>j</w:t>
      </w:r>
      <w:r w:rsidRPr="00FD65C9">
        <w:rPr>
          <w:lang w:val="pl-PL"/>
        </w:rPr>
        <w:t xml:space="preserve">ego </w:t>
      </w:r>
      <w:r w:rsidR="00E03948">
        <w:rPr>
          <w:lang w:val="pl-PL"/>
        </w:rPr>
        <w:t>norm</w:t>
      </w:r>
      <w:r w:rsidR="00E03948" w:rsidRPr="00FD65C9">
        <w:rPr>
          <w:lang w:val="pl-PL"/>
        </w:rPr>
        <w:t xml:space="preserve"> </w:t>
      </w:r>
      <w:r w:rsidRPr="00FD65C9">
        <w:rPr>
          <w:lang w:val="pl-PL"/>
        </w:rPr>
        <w:t xml:space="preserve">materialnych i </w:t>
      </w:r>
      <w:r w:rsidR="00E03948" w:rsidRPr="00FD65C9">
        <w:rPr>
          <w:lang w:val="pl-PL"/>
        </w:rPr>
        <w:t>proce</w:t>
      </w:r>
      <w:r w:rsidR="00E03948">
        <w:rPr>
          <w:lang w:val="pl-PL"/>
        </w:rPr>
        <w:t>sowych</w:t>
      </w:r>
      <w:r w:rsidR="0028321A" w:rsidRPr="00FD65C9">
        <w:rPr>
          <w:lang w:val="pl-PL"/>
        </w:rPr>
        <w:t>” (zob. paragraf 101). W </w:t>
      </w:r>
      <w:r w:rsidRPr="00FD65C9">
        <w:rPr>
          <w:lang w:val="pl-PL"/>
        </w:rPr>
        <w:t xml:space="preserve">niniejszej sprawie </w:t>
      </w:r>
      <w:r w:rsidR="00E03948">
        <w:rPr>
          <w:lang w:val="pl-PL"/>
        </w:rPr>
        <w:t>postępowanie przygotowawcze</w:t>
      </w:r>
      <w:r w:rsidR="00E03948" w:rsidRPr="00FD65C9">
        <w:rPr>
          <w:lang w:val="pl-PL"/>
        </w:rPr>
        <w:t xml:space="preserve"> </w:t>
      </w:r>
      <w:r w:rsidRPr="00FD65C9">
        <w:rPr>
          <w:lang w:val="pl-PL"/>
        </w:rPr>
        <w:t xml:space="preserve">w stosunku do skarżącego zostało przeprowadzone zgodnie z przepisami prawa powszechnego, na podstawie art. 16 ust. 1 ustawy nr 6216, ponieważ był to przypadek ujawnienia </w:t>
      </w:r>
      <w:r w:rsidR="00AD4D3A">
        <w:rPr>
          <w:i/>
          <w:iCs/>
          <w:lang w:val="pl-PL"/>
        </w:rPr>
        <w:t xml:space="preserve">in </w:t>
      </w:r>
      <w:proofErr w:type="spellStart"/>
      <w:r w:rsidR="00AD4D3A">
        <w:rPr>
          <w:i/>
          <w:iCs/>
          <w:lang w:val="pl-PL"/>
        </w:rPr>
        <w:t>flagrante</w:t>
      </w:r>
      <w:proofErr w:type="spellEnd"/>
      <w:r w:rsidRPr="00FD65C9">
        <w:rPr>
          <w:i/>
          <w:iCs/>
          <w:lang w:val="pl-PL"/>
        </w:rPr>
        <w:t xml:space="preserve"> </w:t>
      </w:r>
      <w:proofErr w:type="spellStart"/>
      <w:r w:rsidRPr="00FD65C9">
        <w:rPr>
          <w:i/>
          <w:iCs/>
          <w:lang w:val="pl-PL"/>
        </w:rPr>
        <w:t>delicto</w:t>
      </w:r>
      <w:proofErr w:type="spellEnd"/>
      <w:r w:rsidRPr="00FD65C9">
        <w:rPr>
          <w:lang w:val="pl-PL"/>
        </w:rPr>
        <w:t xml:space="preserve"> podlegający </w:t>
      </w:r>
      <w:r w:rsidR="00E03948">
        <w:rPr>
          <w:lang w:val="pl-PL"/>
        </w:rPr>
        <w:t xml:space="preserve">właściwości </w:t>
      </w:r>
      <w:r w:rsidRPr="00FD65C9">
        <w:rPr>
          <w:lang w:val="pl-PL"/>
        </w:rPr>
        <w:t xml:space="preserve">sądów przysięgłych; postanowienie o </w:t>
      </w:r>
      <w:r w:rsidR="00544919">
        <w:rPr>
          <w:lang w:val="pl-PL"/>
        </w:rPr>
        <w:t xml:space="preserve">zastosowaniu </w:t>
      </w:r>
      <w:r w:rsidR="00544919" w:rsidRPr="00FD65C9">
        <w:rPr>
          <w:lang w:val="pl-PL"/>
        </w:rPr>
        <w:t>tymczasow</w:t>
      </w:r>
      <w:r w:rsidR="00544919">
        <w:rPr>
          <w:lang w:val="pl-PL"/>
        </w:rPr>
        <w:t>ego</w:t>
      </w:r>
      <w:r w:rsidR="00544919" w:rsidRPr="00FD65C9">
        <w:rPr>
          <w:lang w:val="pl-PL"/>
        </w:rPr>
        <w:t xml:space="preserve"> </w:t>
      </w:r>
      <w:r w:rsidRPr="00FD65C9">
        <w:rPr>
          <w:lang w:val="pl-PL"/>
        </w:rPr>
        <w:t>aresztowani</w:t>
      </w:r>
      <w:r w:rsidR="00544919">
        <w:rPr>
          <w:lang w:val="pl-PL"/>
        </w:rPr>
        <w:t>a</w:t>
      </w:r>
      <w:r w:rsidRPr="00FD65C9">
        <w:rPr>
          <w:lang w:val="pl-PL"/>
        </w:rPr>
        <w:t xml:space="preserve"> zostało wydane przez właściwego sędziego; a warunki </w:t>
      </w:r>
      <w:r w:rsidR="00544919">
        <w:rPr>
          <w:lang w:val="pl-PL"/>
        </w:rPr>
        <w:t>izolacji</w:t>
      </w:r>
      <w:r w:rsidR="00544919" w:rsidRPr="00FD65C9">
        <w:rPr>
          <w:lang w:val="pl-PL"/>
        </w:rPr>
        <w:t xml:space="preserve"> </w:t>
      </w:r>
      <w:r w:rsidRPr="00FD65C9">
        <w:rPr>
          <w:lang w:val="pl-PL"/>
        </w:rPr>
        <w:t>określone w art. 100 kpk zostały spełnione. Zastosowan</w:t>
      </w:r>
      <w:r w:rsidR="0028321A" w:rsidRPr="00FD65C9">
        <w:rPr>
          <w:lang w:val="pl-PL"/>
        </w:rPr>
        <w:t>a praktyka sądowa była zgodna z </w:t>
      </w:r>
      <w:r w:rsidR="00544919">
        <w:rPr>
          <w:lang w:val="pl-PL"/>
        </w:rPr>
        <w:t xml:space="preserve">normami tureckiego prawa </w:t>
      </w:r>
      <w:r w:rsidR="00544919" w:rsidRPr="00FD65C9">
        <w:rPr>
          <w:lang w:val="pl-PL"/>
        </w:rPr>
        <w:t>materialn</w:t>
      </w:r>
      <w:r w:rsidR="00544919">
        <w:rPr>
          <w:lang w:val="pl-PL"/>
        </w:rPr>
        <w:t>ego</w:t>
      </w:r>
      <w:r w:rsidR="00544919" w:rsidRPr="00FD65C9">
        <w:rPr>
          <w:lang w:val="pl-PL"/>
        </w:rPr>
        <w:t xml:space="preserve"> </w:t>
      </w:r>
      <w:r w:rsidRPr="00FD65C9">
        <w:rPr>
          <w:lang w:val="pl-PL"/>
        </w:rPr>
        <w:t xml:space="preserve">i </w:t>
      </w:r>
      <w:r w:rsidR="00544919" w:rsidRPr="00FD65C9">
        <w:rPr>
          <w:lang w:val="pl-PL"/>
        </w:rPr>
        <w:t>proce</w:t>
      </w:r>
      <w:r w:rsidR="00544919">
        <w:rPr>
          <w:lang w:val="pl-PL"/>
        </w:rPr>
        <w:t xml:space="preserve">sowego. </w:t>
      </w:r>
      <w:r w:rsidRPr="00FD65C9">
        <w:rPr>
          <w:lang w:val="pl-PL"/>
        </w:rPr>
        <w:t xml:space="preserve">Ponadto odpowiednie przepisy – </w:t>
      </w:r>
      <w:r w:rsidRPr="00FD65C9">
        <w:rPr>
          <w:i/>
          <w:iCs/>
          <w:lang w:val="pl-PL"/>
        </w:rPr>
        <w:t xml:space="preserve">przedstawione w </w:t>
      </w:r>
      <w:r w:rsidR="00544919">
        <w:rPr>
          <w:i/>
          <w:iCs/>
          <w:lang w:val="pl-PL"/>
        </w:rPr>
        <w:t>paragrafach</w:t>
      </w:r>
      <w:r w:rsidR="00544919" w:rsidRPr="00FD65C9">
        <w:rPr>
          <w:i/>
          <w:iCs/>
          <w:lang w:val="pl-PL"/>
        </w:rPr>
        <w:t xml:space="preserve"> </w:t>
      </w:r>
      <w:r w:rsidRPr="00FD65C9">
        <w:rPr>
          <w:i/>
          <w:iCs/>
          <w:lang w:val="pl-PL"/>
        </w:rPr>
        <w:t>45–57 wyroku</w:t>
      </w:r>
      <w:r w:rsidRPr="00FD65C9">
        <w:rPr>
          <w:lang w:val="pl-PL"/>
        </w:rPr>
        <w:t xml:space="preserve"> – były możliwe do przewidzenia</w:t>
      </w:r>
      <w:r w:rsidR="00544919">
        <w:rPr>
          <w:lang w:val="pl-PL"/>
        </w:rPr>
        <w:t xml:space="preserve">, a </w:t>
      </w:r>
      <w:r w:rsidR="0051360B" w:rsidRPr="00FD65C9">
        <w:rPr>
          <w:lang w:val="pl-PL"/>
        </w:rPr>
        <w:t>zasad</w:t>
      </w:r>
      <w:r w:rsidR="00544919">
        <w:rPr>
          <w:lang w:val="pl-PL"/>
        </w:rPr>
        <w:t>a</w:t>
      </w:r>
      <w:r w:rsidR="0051360B" w:rsidRPr="00FD65C9">
        <w:rPr>
          <w:lang w:val="pl-PL"/>
        </w:rPr>
        <w:t xml:space="preserve"> pewności prawa</w:t>
      </w:r>
      <w:r w:rsidR="00544919">
        <w:rPr>
          <w:lang w:val="pl-PL"/>
        </w:rPr>
        <w:t xml:space="preserve"> nie budziła wątpliwości</w:t>
      </w:r>
      <w:r w:rsidR="0051360B" w:rsidRPr="00FD65C9">
        <w:rPr>
          <w:lang w:val="pl-PL"/>
        </w:rPr>
        <w:t>. W </w:t>
      </w:r>
      <w:r w:rsidRPr="00FD65C9">
        <w:rPr>
          <w:lang w:val="pl-PL"/>
        </w:rPr>
        <w:t>tych</w:t>
      </w:r>
      <w:r w:rsidR="0051360B" w:rsidRPr="00FD65C9">
        <w:rPr>
          <w:lang w:val="pl-PL"/>
        </w:rPr>
        <w:t> </w:t>
      </w:r>
      <w:r w:rsidRPr="00FD65C9">
        <w:rPr>
          <w:lang w:val="pl-PL"/>
        </w:rPr>
        <w:t>okolicznościach mogę zatem</w:t>
      </w:r>
      <w:r w:rsidR="0051360B" w:rsidRPr="00FD65C9">
        <w:rPr>
          <w:lang w:val="pl-PL"/>
        </w:rPr>
        <w:t xml:space="preserve"> </w:t>
      </w:r>
      <w:r w:rsidR="00544919">
        <w:rPr>
          <w:lang w:val="pl-PL"/>
        </w:rPr>
        <w:t>powiedzieć</w:t>
      </w:r>
      <w:r w:rsidR="0051360B" w:rsidRPr="00FD65C9">
        <w:rPr>
          <w:lang w:val="pl-PL"/>
        </w:rPr>
        <w:t>, że postanowienie o </w:t>
      </w:r>
      <w:r w:rsidR="00544919">
        <w:rPr>
          <w:lang w:val="pl-PL"/>
        </w:rPr>
        <w:t xml:space="preserve">zastosowaniu </w:t>
      </w:r>
      <w:r w:rsidR="00544919" w:rsidRPr="00FD65C9">
        <w:rPr>
          <w:lang w:val="pl-PL"/>
        </w:rPr>
        <w:t>tymczasow</w:t>
      </w:r>
      <w:r w:rsidR="00544919">
        <w:rPr>
          <w:lang w:val="pl-PL"/>
        </w:rPr>
        <w:t xml:space="preserve">ego </w:t>
      </w:r>
      <w:r w:rsidRPr="00FD65C9">
        <w:rPr>
          <w:lang w:val="pl-PL"/>
        </w:rPr>
        <w:t>aresztowani</w:t>
      </w:r>
      <w:r w:rsidR="00544919">
        <w:rPr>
          <w:lang w:val="pl-PL"/>
        </w:rPr>
        <w:t>a</w:t>
      </w:r>
      <w:r w:rsidRPr="00FD65C9">
        <w:rPr>
          <w:lang w:val="pl-PL"/>
        </w:rPr>
        <w:t xml:space="preserve"> skarżącego nie było arbitralne i zostało wydane „w trybie ustalonym przez prawo”.</w:t>
      </w:r>
    </w:p>
    <w:p w14:paraId="69D6ACDB" w14:textId="53ED47DF" w:rsidR="00E079C6" w:rsidRPr="00FD65C9" w:rsidRDefault="00E079C6" w:rsidP="00622760">
      <w:pPr>
        <w:pStyle w:val="OpiPara"/>
        <w:rPr>
          <w:lang w:val="pl-PL"/>
        </w:rPr>
      </w:pPr>
      <w:r w:rsidRPr="00FD65C9">
        <w:rPr>
          <w:lang w:val="pl-PL"/>
        </w:rPr>
        <w:t xml:space="preserve">21.  Dlatego nie zgadzam się z </w:t>
      </w:r>
      <w:r w:rsidR="00544919">
        <w:rPr>
          <w:lang w:val="pl-PL"/>
        </w:rPr>
        <w:t>wyrażonym</w:t>
      </w:r>
      <w:r w:rsidR="00544919" w:rsidRPr="00FD65C9">
        <w:rPr>
          <w:lang w:val="pl-PL"/>
        </w:rPr>
        <w:t xml:space="preserve"> </w:t>
      </w:r>
      <w:r w:rsidR="0051360B" w:rsidRPr="00FD65C9">
        <w:rPr>
          <w:lang w:val="pl-PL"/>
        </w:rPr>
        <w:t>w wyroku</w:t>
      </w:r>
      <w:r w:rsidR="00544919">
        <w:rPr>
          <w:lang w:val="pl-PL"/>
        </w:rPr>
        <w:t xml:space="preserve"> wnioskiem</w:t>
      </w:r>
      <w:r w:rsidR="0051360B" w:rsidRPr="00FD65C9">
        <w:rPr>
          <w:lang w:val="pl-PL"/>
        </w:rPr>
        <w:t>, że </w:t>
      </w:r>
      <w:r w:rsidRPr="00FD65C9">
        <w:rPr>
          <w:lang w:val="pl-PL"/>
        </w:rPr>
        <w:t>doszło do naruszenia art. 5 ust. 1 Konwencji ze względu na nielegalność tymczasowego aresztowania skarżącego.</w:t>
      </w:r>
    </w:p>
    <w:p w14:paraId="6BB23688" w14:textId="77777777" w:rsidR="00E079C6" w:rsidRPr="00FD65C9" w:rsidRDefault="00E079C6" w:rsidP="00622760">
      <w:pPr>
        <w:pStyle w:val="OpiHA"/>
        <w:jc w:val="center"/>
        <w:rPr>
          <w:lang w:val="pl-PL"/>
        </w:rPr>
      </w:pPr>
      <w:r w:rsidRPr="00FD65C9">
        <w:rPr>
          <w:lang w:val="pl-PL"/>
        </w:rPr>
        <w:t>II</w:t>
      </w:r>
    </w:p>
    <w:p w14:paraId="2EE2EB9B" w14:textId="0F1ABDBD" w:rsidR="00E079C6" w:rsidRPr="00FD65C9" w:rsidRDefault="00E079C6" w:rsidP="00622760">
      <w:pPr>
        <w:pStyle w:val="OpiPara"/>
        <w:rPr>
          <w:rFonts w:eastAsia="Times New Roman"/>
          <w:lang w:val="pl-PL"/>
        </w:rPr>
      </w:pPr>
      <w:r w:rsidRPr="00FD65C9">
        <w:rPr>
          <w:lang w:val="pl-PL"/>
        </w:rPr>
        <w:t xml:space="preserve">22.  Większość </w:t>
      </w:r>
      <w:r w:rsidR="00544919">
        <w:rPr>
          <w:lang w:val="pl-PL"/>
        </w:rPr>
        <w:t xml:space="preserve">składu orzekającego </w:t>
      </w:r>
      <w:r w:rsidRPr="00FD65C9">
        <w:rPr>
          <w:lang w:val="pl-PL"/>
        </w:rPr>
        <w:t>wysnuła wniosek, że doszło d</w:t>
      </w:r>
      <w:r w:rsidR="0028321A" w:rsidRPr="00FD65C9">
        <w:rPr>
          <w:lang w:val="pl-PL"/>
        </w:rPr>
        <w:t>o naruszenia art. 5 ust. 1 lit. </w:t>
      </w:r>
      <w:r w:rsidRPr="00FD65C9">
        <w:rPr>
          <w:lang w:val="pl-PL"/>
        </w:rPr>
        <w:t xml:space="preserve">c Konwencji z powodu braku uzasadnionego podejrzenia popełnienia przestępstwa w </w:t>
      </w:r>
      <w:r w:rsidR="00544919" w:rsidRPr="00FD65C9">
        <w:rPr>
          <w:lang w:val="pl-PL"/>
        </w:rPr>
        <w:t>c</w:t>
      </w:r>
      <w:r w:rsidR="00544919">
        <w:rPr>
          <w:lang w:val="pl-PL"/>
        </w:rPr>
        <w:t>hwili</w:t>
      </w:r>
      <w:r w:rsidR="00544919" w:rsidRPr="00FD65C9">
        <w:rPr>
          <w:lang w:val="pl-PL"/>
        </w:rPr>
        <w:t xml:space="preserve"> </w:t>
      </w:r>
      <w:r w:rsidR="00544919">
        <w:rPr>
          <w:lang w:val="pl-PL"/>
        </w:rPr>
        <w:t xml:space="preserve">wydania </w:t>
      </w:r>
      <w:r w:rsidR="00544919" w:rsidRPr="00FD65C9">
        <w:rPr>
          <w:lang w:val="pl-PL"/>
        </w:rPr>
        <w:t>p</w:t>
      </w:r>
      <w:r w:rsidR="00544919">
        <w:rPr>
          <w:lang w:val="pl-PL"/>
        </w:rPr>
        <w:t>ierwszego postanowienia o zastosowaniu</w:t>
      </w:r>
      <w:r w:rsidR="00544919" w:rsidRPr="00FD65C9">
        <w:rPr>
          <w:lang w:val="pl-PL"/>
        </w:rPr>
        <w:t xml:space="preserve"> </w:t>
      </w:r>
      <w:r w:rsidRPr="00FD65C9">
        <w:rPr>
          <w:lang w:val="pl-PL"/>
        </w:rPr>
        <w:t xml:space="preserve">tymczasowego aresztowania </w:t>
      </w:r>
      <w:r w:rsidR="00544919">
        <w:rPr>
          <w:lang w:val="pl-PL"/>
        </w:rPr>
        <w:t xml:space="preserve">wobec </w:t>
      </w:r>
      <w:r w:rsidRPr="00FD65C9">
        <w:rPr>
          <w:lang w:val="pl-PL"/>
        </w:rPr>
        <w:t>skarżącego.</w:t>
      </w:r>
    </w:p>
    <w:p w14:paraId="527557DF" w14:textId="54A887A4" w:rsidR="00E079C6" w:rsidRPr="00FD65C9" w:rsidRDefault="00E079C6" w:rsidP="00622760">
      <w:pPr>
        <w:pStyle w:val="OpiPara"/>
        <w:rPr>
          <w:lang w:val="pl-PL"/>
        </w:rPr>
      </w:pPr>
      <w:r w:rsidRPr="00FD65C9">
        <w:rPr>
          <w:lang w:val="pl-PL"/>
        </w:rPr>
        <w:t xml:space="preserve">23.  Można zauważyć, że właściwy sędzia pokoju </w:t>
      </w:r>
      <w:r w:rsidR="00544919">
        <w:rPr>
          <w:lang w:val="pl-PL"/>
        </w:rPr>
        <w:t>wydał przedmiotowe postanowienie</w:t>
      </w:r>
      <w:r w:rsidRPr="00FD65C9">
        <w:rPr>
          <w:lang w:val="pl-PL"/>
        </w:rPr>
        <w:t xml:space="preserve"> ze względu na </w:t>
      </w:r>
      <w:r w:rsidR="00544919">
        <w:rPr>
          <w:lang w:val="pl-PL"/>
        </w:rPr>
        <w:t>istnienie</w:t>
      </w:r>
      <w:r w:rsidR="00544919" w:rsidRPr="00FD65C9">
        <w:rPr>
          <w:lang w:val="pl-PL"/>
        </w:rPr>
        <w:t xml:space="preserve"> </w:t>
      </w:r>
      <w:r w:rsidRPr="00FD65C9">
        <w:rPr>
          <w:lang w:val="pl-PL"/>
        </w:rPr>
        <w:t xml:space="preserve">silnego podejrzenia, że </w:t>
      </w:r>
      <w:r w:rsidR="00544919">
        <w:rPr>
          <w:lang w:val="pl-PL"/>
        </w:rPr>
        <w:t xml:space="preserve">skarżący </w:t>
      </w:r>
      <w:r w:rsidRPr="00FD65C9">
        <w:rPr>
          <w:lang w:val="pl-PL"/>
        </w:rPr>
        <w:t xml:space="preserve">był członkiem organizacji terrorystycznej, </w:t>
      </w:r>
      <w:r w:rsidR="00544919">
        <w:rPr>
          <w:lang w:val="pl-PL"/>
        </w:rPr>
        <w:t>na podstawie</w:t>
      </w:r>
      <w:r w:rsidRPr="00FD65C9">
        <w:rPr>
          <w:lang w:val="pl-PL"/>
        </w:rPr>
        <w:t xml:space="preserve"> art. 100 kpk i dowodów znajdujących się w aktach sprawy. Opr</w:t>
      </w:r>
      <w:r w:rsidR="0028321A" w:rsidRPr="00FD65C9">
        <w:rPr>
          <w:lang w:val="pl-PL"/>
        </w:rPr>
        <w:t>ócz innych dokumentów, sędzia w </w:t>
      </w:r>
      <w:r w:rsidRPr="00FD65C9">
        <w:rPr>
          <w:lang w:val="pl-PL"/>
        </w:rPr>
        <w:t xml:space="preserve">szczególności odniósł się do </w:t>
      </w:r>
      <w:r w:rsidR="00544919">
        <w:rPr>
          <w:lang w:val="pl-PL"/>
        </w:rPr>
        <w:t>protokołów</w:t>
      </w:r>
      <w:r w:rsidR="00544919" w:rsidRPr="00FD65C9">
        <w:rPr>
          <w:lang w:val="pl-PL"/>
        </w:rPr>
        <w:t xml:space="preserve"> </w:t>
      </w:r>
      <w:r w:rsidRPr="00FD65C9">
        <w:rPr>
          <w:lang w:val="pl-PL"/>
        </w:rPr>
        <w:t>z przeszuka</w:t>
      </w:r>
      <w:r w:rsidR="00544919">
        <w:rPr>
          <w:lang w:val="pl-PL"/>
        </w:rPr>
        <w:t>nia</w:t>
      </w:r>
      <w:r w:rsidRPr="00FD65C9">
        <w:rPr>
          <w:lang w:val="pl-PL"/>
        </w:rPr>
        <w:t xml:space="preserve"> i </w:t>
      </w:r>
      <w:r w:rsidR="00544919">
        <w:rPr>
          <w:lang w:val="pl-PL"/>
        </w:rPr>
        <w:t>zatrzymania</w:t>
      </w:r>
      <w:r w:rsidRPr="00FD65C9">
        <w:rPr>
          <w:lang w:val="pl-PL"/>
        </w:rPr>
        <w:t xml:space="preserve">, </w:t>
      </w:r>
      <w:r w:rsidR="00544919">
        <w:rPr>
          <w:lang w:val="pl-PL"/>
        </w:rPr>
        <w:t xml:space="preserve">które </w:t>
      </w:r>
      <w:r w:rsidR="00544919" w:rsidRPr="00FD65C9">
        <w:rPr>
          <w:lang w:val="pl-PL"/>
        </w:rPr>
        <w:t>znajd</w:t>
      </w:r>
      <w:r w:rsidR="00544919">
        <w:rPr>
          <w:lang w:val="pl-PL"/>
        </w:rPr>
        <w:t>owały</w:t>
      </w:r>
      <w:r w:rsidR="00544919" w:rsidRPr="00FD65C9">
        <w:rPr>
          <w:lang w:val="pl-PL"/>
        </w:rPr>
        <w:t xml:space="preserve"> </w:t>
      </w:r>
      <w:r w:rsidRPr="00FD65C9">
        <w:rPr>
          <w:lang w:val="pl-PL"/>
        </w:rPr>
        <w:t xml:space="preserve">się w aktach sprawy. Sędzia wskazał również, że </w:t>
      </w:r>
      <w:r w:rsidR="00544919">
        <w:rPr>
          <w:lang w:val="pl-PL"/>
        </w:rPr>
        <w:t>zachodzi obawa</w:t>
      </w:r>
      <w:r w:rsidRPr="00FD65C9">
        <w:rPr>
          <w:lang w:val="pl-PL"/>
        </w:rPr>
        <w:t xml:space="preserve">, iż osoby mające powiązania z organizacją FETÖ/PDY mogą zbiec, manipulować dowodami lub wykorzystać </w:t>
      </w:r>
      <w:r w:rsidR="00544919">
        <w:rPr>
          <w:lang w:val="pl-PL"/>
        </w:rPr>
        <w:t>zamieszanie</w:t>
      </w:r>
      <w:r w:rsidRPr="00FD65C9">
        <w:rPr>
          <w:lang w:val="pl-PL"/>
        </w:rPr>
        <w:t>, jaki</w:t>
      </w:r>
      <w:r w:rsidR="00544919">
        <w:rPr>
          <w:lang w:val="pl-PL"/>
        </w:rPr>
        <w:t>e</w:t>
      </w:r>
      <w:r w:rsidRPr="00FD65C9">
        <w:rPr>
          <w:lang w:val="pl-PL"/>
        </w:rPr>
        <w:t xml:space="preserve"> </w:t>
      </w:r>
      <w:r w:rsidR="00544919">
        <w:rPr>
          <w:lang w:val="pl-PL"/>
        </w:rPr>
        <w:t>miało miejsce</w:t>
      </w:r>
      <w:r w:rsidR="00544919" w:rsidRPr="00FD65C9">
        <w:rPr>
          <w:lang w:val="pl-PL"/>
        </w:rPr>
        <w:t xml:space="preserve"> </w:t>
      </w:r>
      <w:r w:rsidRPr="00FD65C9">
        <w:rPr>
          <w:lang w:val="pl-PL"/>
        </w:rPr>
        <w:t>po próbie zamachu stanu.</w:t>
      </w:r>
    </w:p>
    <w:p w14:paraId="7AB8F98C" w14:textId="52E51874" w:rsidR="00E079C6" w:rsidRPr="00FD65C9" w:rsidRDefault="00E079C6" w:rsidP="00622760">
      <w:pPr>
        <w:pStyle w:val="OpiPara"/>
        <w:rPr>
          <w:lang w:val="pl-PL"/>
        </w:rPr>
      </w:pPr>
      <w:r w:rsidRPr="00FD65C9">
        <w:rPr>
          <w:lang w:val="pl-PL"/>
        </w:rPr>
        <w:t xml:space="preserve">24.  We wspomnianych </w:t>
      </w:r>
      <w:r w:rsidR="00544919">
        <w:rPr>
          <w:lang w:val="pl-PL"/>
        </w:rPr>
        <w:t>protokołach</w:t>
      </w:r>
      <w:r w:rsidR="00544919" w:rsidRPr="00FD65C9">
        <w:rPr>
          <w:lang w:val="pl-PL"/>
        </w:rPr>
        <w:t xml:space="preserve"> </w:t>
      </w:r>
      <w:r w:rsidRPr="00FD65C9">
        <w:rPr>
          <w:lang w:val="pl-PL"/>
        </w:rPr>
        <w:t>z p</w:t>
      </w:r>
      <w:r w:rsidR="0028321A" w:rsidRPr="00FD65C9">
        <w:rPr>
          <w:lang w:val="pl-PL"/>
        </w:rPr>
        <w:t>rzeszuka</w:t>
      </w:r>
      <w:r w:rsidR="00544919">
        <w:rPr>
          <w:lang w:val="pl-PL"/>
        </w:rPr>
        <w:t>nia</w:t>
      </w:r>
      <w:r w:rsidR="0028321A" w:rsidRPr="00FD65C9">
        <w:rPr>
          <w:lang w:val="pl-PL"/>
        </w:rPr>
        <w:t xml:space="preserve"> i </w:t>
      </w:r>
      <w:r w:rsidR="00544919">
        <w:rPr>
          <w:lang w:val="pl-PL"/>
        </w:rPr>
        <w:t>zatrzymania</w:t>
      </w:r>
      <w:r w:rsidR="00544919" w:rsidRPr="00FD65C9">
        <w:rPr>
          <w:lang w:val="pl-PL"/>
        </w:rPr>
        <w:t xml:space="preserve"> </w:t>
      </w:r>
      <w:r w:rsidR="0028321A" w:rsidRPr="00FD65C9">
        <w:rPr>
          <w:lang w:val="pl-PL"/>
        </w:rPr>
        <w:t>z dnia 16 </w:t>
      </w:r>
      <w:r w:rsidRPr="00FD65C9">
        <w:rPr>
          <w:lang w:val="pl-PL"/>
        </w:rPr>
        <w:t xml:space="preserve">lipca 2016 r., czyli z dnia, w którym skarżący został zatrzymany, </w:t>
      </w:r>
      <w:r w:rsidR="00544919">
        <w:rPr>
          <w:lang w:val="pl-PL"/>
        </w:rPr>
        <w:t>pojawiła się wzmianka o</w:t>
      </w:r>
      <w:r w:rsidRPr="00FD65C9">
        <w:rPr>
          <w:lang w:val="pl-PL"/>
        </w:rPr>
        <w:t xml:space="preserve"> </w:t>
      </w:r>
      <w:r w:rsidR="00544919">
        <w:rPr>
          <w:lang w:val="pl-PL"/>
        </w:rPr>
        <w:t>liście</w:t>
      </w:r>
      <w:r w:rsidRPr="00FD65C9">
        <w:rPr>
          <w:lang w:val="pl-PL"/>
        </w:rPr>
        <w:t xml:space="preserve"> członków Trybunału Konstytucyjnego powiązanych z organizacją FETÖ/PDY (o których </w:t>
      </w:r>
      <w:r w:rsidR="00544919">
        <w:rPr>
          <w:lang w:val="pl-PL"/>
        </w:rPr>
        <w:t xml:space="preserve">to </w:t>
      </w:r>
      <w:r w:rsidRPr="00FD65C9">
        <w:rPr>
          <w:lang w:val="pl-PL"/>
        </w:rPr>
        <w:t>powiązaniach władze wiedziały).  Przyjmuje się, że nazwisko skarżącego znajdowało się na tej liście. Na podstawie tych informacji i innych dowodów właściwe organy sądowe podjęły odpowiednie kroki.</w:t>
      </w:r>
    </w:p>
    <w:p w14:paraId="254A7383" w14:textId="1BF6BD8A" w:rsidR="00E079C6" w:rsidRPr="00FD65C9" w:rsidRDefault="00E079C6" w:rsidP="00622760">
      <w:pPr>
        <w:pStyle w:val="OpiPara"/>
        <w:rPr>
          <w:lang w:val="en-US"/>
        </w:rPr>
      </w:pPr>
      <w:r w:rsidRPr="00FD65C9">
        <w:rPr>
          <w:lang w:val="pl-PL"/>
        </w:rPr>
        <w:t>25.  Jak stwierdzono w wyroku,</w:t>
      </w:r>
      <w:r w:rsidR="00544919">
        <w:rPr>
          <w:lang w:val="pl-PL"/>
        </w:rPr>
        <w:t xml:space="preserve"> „</w:t>
      </w:r>
      <w:r w:rsidRPr="00FD65C9">
        <w:rPr>
          <w:lang w:val="pl-PL"/>
        </w:rPr>
        <w:t>art. 5 ust. 1 lit. c Konwencji nie zakłada, że organy śledcze zebrały wystarczające dowody do p</w:t>
      </w:r>
      <w:r w:rsidR="00544919">
        <w:rPr>
          <w:lang w:val="pl-PL"/>
        </w:rPr>
        <w:t>rzed</w:t>
      </w:r>
      <w:r w:rsidRPr="00FD65C9">
        <w:rPr>
          <w:lang w:val="pl-PL"/>
        </w:rPr>
        <w:t xml:space="preserve">stawienia zarzutów w chwili zatrzymania. Celem przesłuchania [...] jest uzupełnienie </w:t>
      </w:r>
      <w:r w:rsidR="00544919">
        <w:rPr>
          <w:lang w:val="pl-PL"/>
        </w:rPr>
        <w:t>postępowania przygotowawczego</w:t>
      </w:r>
      <w:r w:rsidR="00544919" w:rsidRPr="00FD65C9">
        <w:rPr>
          <w:lang w:val="pl-PL"/>
        </w:rPr>
        <w:t xml:space="preserve"> </w:t>
      </w:r>
      <w:r w:rsidRPr="00FD65C9">
        <w:rPr>
          <w:lang w:val="pl-PL"/>
        </w:rPr>
        <w:t>w sprawie karnej poprzez potwierdzenie lub odrzucenie konkretnych podejrzeń</w:t>
      </w:r>
      <w:r w:rsidR="00544919" w:rsidRPr="00544919">
        <w:rPr>
          <w:lang w:val="pl-PL"/>
        </w:rPr>
        <w:t xml:space="preserve"> </w:t>
      </w:r>
      <w:r w:rsidR="00544919">
        <w:rPr>
          <w:lang w:val="pl-PL"/>
        </w:rPr>
        <w:t>będących podstawą zatrzymania</w:t>
      </w:r>
      <w:r w:rsidR="00544919" w:rsidRPr="00810639">
        <w:rPr>
          <w:lang w:val="pl-PL"/>
        </w:rPr>
        <w:t xml:space="preserve">. Tym samym </w:t>
      </w:r>
      <w:r w:rsidR="00544919">
        <w:rPr>
          <w:lang w:val="pl-PL"/>
        </w:rPr>
        <w:t xml:space="preserve">okoliczności </w:t>
      </w:r>
      <w:r w:rsidR="00544919" w:rsidRPr="00810639">
        <w:rPr>
          <w:lang w:val="pl-PL"/>
        </w:rPr>
        <w:t xml:space="preserve">dające podstawę do podejrzeń nie mogą </w:t>
      </w:r>
      <w:r w:rsidR="00544919">
        <w:rPr>
          <w:lang w:val="pl-PL"/>
        </w:rPr>
        <w:t>utożsamiane z</w:t>
      </w:r>
      <w:r w:rsidR="00544919" w:rsidRPr="00810639">
        <w:rPr>
          <w:lang w:val="pl-PL"/>
        </w:rPr>
        <w:t xml:space="preserve"> </w:t>
      </w:r>
      <w:r w:rsidR="00544919">
        <w:rPr>
          <w:lang w:val="pl-PL"/>
        </w:rPr>
        <w:t>okolicznościami</w:t>
      </w:r>
      <w:r w:rsidR="00544919" w:rsidRPr="00810639">
        <w:rPr>
          <w:lang w:val="pl-PL"/>
        </w:rPr>
        <w:t xml:space="preserve"> niezbędn</w:t>
      </w:r>
      <w:r w:rsidR="00544919">
        <w:rPr>
          <w:lang w:val="pl-PL"/>
        </w:rPr>
        <w:t>ymi</w:t>
      </w:r>
      <w:r w:rsidR="00544919" w:rsidRPr="00810639">
        <w:rPr>
          <w:lang w:val="pl-PL"/>
        </w:rPr>
        <w:t xml:space="preserve"> do uzasadnienia wyroku skazującego </w:t>
      </w:r>
      <w:r w:rsidR="00544919">
        <w:rPr>
          <w:lang w:val="pl-PL"/>
        </w:rPr>
        <w:t>czy</w:t>
      </w:r>
      <w:r w:rsidR="00544919" w:rsidRPr="00810639">
        <w:rPr>
          <w:lang w:val="pl-PL"/>
        </w:rPr>
        <w:t xml:space="preserve"> nawet do p</w:t>
      </w:r>
      <w:r w:rsidR="00544919">
        <w:rPr>
          <w:lang w:val="pl-PL"/>
        </w:rPr>
        <w:t>rzed</w:t>
      </w:r>
      <w:r w:rsidR="00544919" w:rsidRPr="00810639">
        <w:rPr>
          <w:lang w:val="pl-PL"/>
        </w:rPr>
        <w:t xml:space="preserve">stawienia zarzutów, co następuje </w:t>
      </w:r>
      <w:r w:rsidR="00544919">
        <w:rPr>
          <w:lang w:val="pl-PL"/>
        </w:rPr>
        <w:t>na kolejnym etapie</w:t>
      </w:r>
      <w:r w:rsidR="00544919" w:rsidRPr="00810639">
        <w:rPr>
          <w:lang w:val="pl-PL"/>
        </w:rPr>
        <w:t xml:space="preserve"> postępowania karnego</w:t>
      </w:r>
      <w:r w:rsidRPr="00FD65C9">
        <w:rPr>
          <w:lang w:val="pl-PL"/>
        </w:rPr>
        <w:t xml:space="preserve">” (zob. paragraf 127). Inaczej mówiąc, „standard dowodowy wymagany do </w:t>
      </w:r>
      <w:r w:rsidR="00544919">
        <w:rPr>
          <w:lang w:val="pl-PL"/>
        </w:rPr>
        <w:t>zatrzymania</w:t>
      </w:r>
      <w:r w:rsidRPr="00FD65C9">
        <w:rPr>
          <w:lang w:val="pl-PL"/>
        </w:rPr>
        <w:t xml:space="preserve"> [i </w:t>
      </w:r>
      <w:r w:rsidR="00544919" w:rsidRPr="00FD65C9">
        <w:rPr>
          <w:lang w:val="pl-PL"/>
        </w:rPr>
        <w:t>za</w:t>
      </w:r>
      <w:r w:rsidR="00544919">
        <w:rPr>
          <w:lang w:val="pl-PL"/>
        </w:rPr>
        <w:t>stosowania</w:t>
      </w:r>
      <w:r w:rsidR="00544919" w:rsidRPr="00FD65C9">
        <w:rPr>
          <w:lang w:val="pl-PL"/>
        </w:rPr>
        <w:t xml:space="preserve"> </w:t>
      </w:r>
      <w:r w:rsidRPr="00FD65C9">
        <w:rPr>
          <w:lang w:val="pl-PL"/>
        </w:rPr>
        <w:t>tymczasowego</w:t>
      </w:r>
      <w:r w:rsidR="00544919">
        <w:rPr>
          <w:lang w:val="pl-PL"/>
        </w:rPr>
        <w:t xml:space="preserve"> aresztowania</w:t>
      </w:r>
      <w:r w:rsidRPr="00FD65C9">
        <w:rPr>
          <w:lang w:val="pl-PL"/>
        </w:rPr>
        <w:t xml:space="preserve">] jest niższy niż </w:t>
      </w:r>
      <w:r w:rsidR="00544919">
        <w:rPr>
          <w:lang w:val="pl-PL"/>
        </w:rPr>
        <w:t>standard</w:t>
      </w:r>
      <w:r w:rsidR="00544919" w:rsidRPr="00FD65C9">
        <w:rPr>
          <w:lang w:val="pl-PL"/>
        </w:rPr>
        <w:t xml:space="preserve"> </w:t>
      </w:r>
      <w:r w:rsidRPr="00FD65C9">
        <w:rPr>
          <w:lang w:val="pl-PL"/>
        </w:rPr>
        <w:t>wymagany do p</w:t>
      </w:r>
      <w:r w:rsidR="00544919">
        <w:rPr>
          <w:lang w:val="pl-PL"/>
        </w:rPr>
        <w:t>rzed</w:t>
      </w:r>
      <w:r w:rsidRPr="00FD65C9">
        <w:rPr>
          <w:lang w:val="pl-PL"/>
        </w:rPr>
        <w:t xml:space="preserve">stawienia zarzutów </w:t>
      </w:r>
      <w:r w:rsidR="00544919">
        <w:rPr>
          <w:lang w:val="pl-PL"/>
        </w:rPr>
        <w:t xml:space="preserve">w sprawie </w:t>
      </w:r>
      <w:r w:rsidR="00544919" w:rsidRPr="00FD65C9">
        <w:rPr>
          <w:lang w:val="pl-PL"/>
        </w:rPr>
        <w:t>karn</w:t>
      </w:r>
      <w:r w:rsidR="00544919">
        <w:rPr>
          <w:lang w:val="pl-PL"/>
        </w:rPr>
        <w:t>ej</w:t>
      </w:r>
      <w:r w:rsidRPr="00FD65C9">
        <w:rPr>
          <w:lang w:val="pl-PL"/>
        </w:rPr>
        <w:t xml:space="preserve">, a następnie skazania” (zob. </w:t>
      </w:r>
      <w:r w:rsidRPr="00FD65C9">
        <w:rPr>
          <w:lang w:val="en-US"/>
        </w:rPr>
        <w:t xml:space="preserve">B. Rainey, E. Wicks, and C. </w:t>
      </w:r>
      <w:proofErr w:type="spellStart"/>
      <w:r w:rsidRPr="00FD65C9">
        <w:rPr>
          <w:lang w:val="en-US"/>
        </w:rPr>
        <w:t>Ovey</w:t>
      </w:r>
      <w:proofErr w:type="spellEnd"/>
      <w:r w:rsidRPr="00FD65C9">
        <w:rPr>
          <w:i/>
          <w:iCs/>
          <w:lang w:val="en-US"/>
        </w:rPr>
        <w:t xml:space="preserve">, Jacobs, White, and </w:t>
      </w:r>
      <w:proofErr w:type="spellStart"/>
      <w:r w:rsidRPr="00FD65C9">
        <w:rPr>
          <w:i/>
          <w:iCs/>
          <w:lang w:val="en-US"/>
        </w:rPr>
        <w:t>Ovey</w:t>
      </w:r>
      <w:proofErr w:type="spellEnd"/>
      <w:r w:rsidRPr="00FD65C9">
        <w:rPr>
          <w:lang w:val="en-US"/>
        </w:rPr>
        <w:t>:</w:t>
      </w:r>
      <w:r w:rsidRPr="00FD65C9">
        <w:rPr>
          <w:i/>
          <w:iCs/>
          <w:lang w:val="en-US"/>
        </w:rPr>
        <w:t xml:space="preserve"> The European Convention on Human Rights,</w:t>
      </w:r>
      <w:r w:rsidRPr="00FD65C9">
        <w:rPr>
          <w:lang w:val="en-US"/>
        </w:rPr>
        <w:t xml:space="preserve"> </w:t>
      </w:r>
      <w:proofErr w:type="spellStart"/>
      <w:r w:rsidRPr="00FD65C9">
        <w:rPr>
          <w:lang w:val="en-US"/>
        </w:rPr>
        <w:t>wydanie</w:t>
      </w:r>
      <w:proofErr w:type="spellEnd"/>
      <w:r w:rsidRPr="00FD65C9">
        <w:rPr>
          <w:lang w:val="en-US"/>
        </w:rPr>
        <w:t xml:space="preserve"> </w:t>
      </w:r>
      <w:proofErr w:type="spellStart"/>
      <w:r w:rsidRPr="00FD65C9">
        <w:rPr>
          <w:lang w:val="en-US"/>
        </w:rPr>
        <w:t>siódme</w:t>
      </w:r>
      <w:proofErr w:type="spellEnd"/>
      <w:r w:rsidRPr="00FD65C9">
        <w:rPr>
          <w:lang w:val="en-US"/>
        </w:rPr>
        <w:t>, 2017, s. 246).</w:t>
      </w:r>
    </w:p>
    <w:p w14:paraId="343E219C" w14:textId="02B78850" w:rsidR="00E079C6" w:rsidRPr="00FD65C9" w:rsidRDefault="00E079C6" w:rsidP="00622760">
      <w:pPr>
        <w:pStyle w:val="OpiPara"/>
        <w:rPr>
          <w:lang w:val="pl-PL"/>
        </w:rPr>
      </w:pPr>
      <w:r w:rsidRPr="00FD65C9">
        <w:rPr>
          <w:color w:val="000000" w:themeColor="text1"/>
          <w:lang w:val="pl-PL"/>
        </w:rPr>
        <w:t xml:space="preserve">26.  Takie </w:t>
      </w:r>
      <w:r w:rsidR="002B50FF">
        <w:rPr>
          <w:color w:val="000000" w:themeColor="text1"/>
          <w:lang w:val="pl-PL"/>
        </w:rPr>
        <w:t xml:space="preserve">stanowisko mogłoby odpowiednio </w:t>
      </w:r>
      <w:r w:rsidR="0051360B" w:rsidRPr="00FD65C9">
        <w:rPr>
          <w:color w:val="000000" w:themeColor="text1"/>
          <w:lang w:val="pl-PL"/>
        </w:rPr>
        <w:t xml:space="preserve"> </w:t>
      </w:r>
      <w:r w:rsidR="002B50FF" w:rsidRPr="00FD65C9">
        <w:rPr>
          <w:color w:val="000000" w:themeColor="text1"/>
          <w:lang w:val="pl-PL"/>
        </w:rPr>
        <w:t>uzasadni</w:t>
      </w:r>
      <w:r w:rsidR="002B50FF">
        <w:rPr>
          <w:color w:val="000000" w:themeColor="text1"/>
          <w:lang w:val="pl-PL"/>
        </w:rPr>
        <w:t>ć</w:t>
      </w:r>
      <w:r w:rsidR="0051360B" w:rsidRPr="00FD65C9">
        <w:rPr>
          <w:color w:val="000000" w:themeColor="text1"/>
          <w:lang w:val="pl-PL"/>
        </w:rPr>
        <w:t>, że w </w:t>
      </w:r>
      <w:r w:rsidRPr="00FD65C9">
        <w:rPr>
          <w:color w:val="000000" w:themeColor="text1"/>
          <w:lang w:val="pl-PL"/>
        </w:rPr>
        <w:t>niniejszej sprawie podstawa faktyczna była wystarczająca do zastosowania tymczasowego aresztowania</w:t>
      </w:r>
      <w:r w:rsidR="002B50FF">
        <w:rPr>
          <w:color w:val="000000" w:themeColor="text1"/>
          <w:lang w:val="pl-PL"/>
        </w:rPr>
        <w:t>, bowiem</w:t>
      </w:r>
      <w:r w:rsidRPr="00FD65C9">
        <w:rPr>
          <w:color w:val="000000" w:themeColor="text1"/>
          <w:lang w:val="pl-PL"/>
        </w:rPr>
        <w:t xml:space="preserve"> </w:t>
      </w:r>
      <w:r w:rsidRPr="00FD65C9">
        <w:rPr>
          <w:lang w:val="pl-PL"/>
        </w:rPr>
        <w:t xml:space="preserve">dowody </w:t>
      </w:r>
      <w:r w:rsidR="002B50FF">
        <w:rPr>
          <w:lang w:val="pl-PL"/>
        </w:rPr>
        <w:t>będące przedmiotem oceny</w:t>
      </w:r>
      <w:r w:rsidR="002B50FF" w:rsidRPr="00FD65C9">
        <w:rPr>
          <w:lang w:val="pl-PL"/>
        </w:rPr>
        <w:t xml:space="preserve"> </w:t>
      </w:r>
      <w:r w:rsidR="002B50FF">
        <w:rPr>
          <w:lang w:val="pl-PL"/>
        </w:rPr>
        <w:t xml:space="preserve">przeprowadzonej </w:t>
      </w:r>
      <w:r w:rsidRPr="00FD65C9">
        <w:rPr>
          <w:lang w:val="pl-PL"/>
        </w:rPr>
        <w:t xml:space="preserve">przez władze w </w:t>
      </w:r>
      <w:r w:rsidR="002B50FF">
        <w:rPr>
          <w:lang w:val="pl-PL"/>
        </w:rPr>
        <w:t>ramach postępowania przygotowawczego</w:t>
      </w:r>
      <w:r w:rsidRPr="00FD65C9">
        <w:rPr>
          <w:lang w:val="pl-PL"/>
        </w:rPr>
        <w:t xml:space="preserve">, takie jak zeznania świadków, wiadomości </w:t>
      </w:r>
      <w:proofErr w:type="spellStart"/>
      <w:r w:rsidRPr="00FD65C9">
        <w:rPr>
          <w:lang w:val="pl-PL"/>
        </w:rPr>
        <w:t>ByLock</w:t>
      </w:r>
      <w:proofErr w:type="spellEnd"/>
      <w:r w:rsidRPr="00FD65C9">
        <w:rPr>
          <w:lang w:val="pl-PL"/>
        </w:rPr>
        <w:t xml:space="preserve"> i inne okoliczności faktyczne, potwierdziły początkowe podejrzenie, że skarżący popełnił zarzucane mu przestępstwo. </w:t>
      </w:r>
      <w:r w:rsidR="002B50FF">
        <w:rPr>
          <w:lang w:val="pl-PL"/>
        </w:rPr>
        <w:t>Po przeprowadzeniu</w:t>
      </w:r>
      <w:r w:rsidRPr="00FD65C9">
        <w:rPr>
          <w:lang w:val="pl-PL"/>
        </w:rPr>
        <w:t xml:space="preserve"> </w:t>
      </w:r>
      <w:r w:rsidR="002B50FF">
        <w:rPr>
          <w:lang w:val="pl-PL"/>
        </w:rPr>
        <w:t>rozprawy</w:t>
      </w:r>
      <w:r w:rsidR="002B50FF" w:rsidRPr="00FD65C9">
        <w:rPr>
          <w:lang w:val="pl-PL"/>
        </w:rPr>
        <w:t xml:space="preserve"> </w:t>
      </w:r>
      <w:r w:rsidRPr="00FD65C9">
        <w:rPr>
          <w:lang w:val="pl-PL"/>
        </w:rPr>
        <w:t>przed sądem kasacyjnym skarżący został skazany w dniu 6 marca 2019 r. na karę jedenastu lat i trzech miesięcy pozbawienia wolności za przestępstwo przynależności do zbrojnej organizacji terrorystycznej.</w:t>
      </w:r>
    </w:p>
    <w:p w14:paraId="4E9C4047" w14:textId="3642943C" w:rsidR="00675E41" w:rsidRPr="00FD65C9" w:rsidRDefault="00E079C6" w:rsidP="00622760">
      <w:pPr>
        <w:pStyle w:val="OpiPara"/>
        <w:rPr>
          <w:color w:val="0070C0"/>
          <w:lang w:val="pl-PL"/>
        </w:rPr>
      </w:pPr>
      <w:r w:rsidRPr="00FD65C9">
        <w:rPr>
          <w:color w:val="000000" w:themeColor="text1"/>
          <w:lang w:val="pl-PL"/>
        </w:rPr>
        <w:t>27.  W tym kontekście należy również zwrócić należytą uwagę na wspomniane wyżej szczególne okoliczności próby zamachu stanu, nielegalnej działalności organizacji</w:t>
      </w:r>
      <w:r w:rsidR="0051360B" w:rsidRPr="00FD65C9">
        <w:rPr>
          <w:color w:val="000000" w:themeColor="text1"/>
          <w:lang w:val="pl-PL"/>
        </w:rPr>
        <w:t xml:space="preserve"> FETÖ/PDY oraz </w:t>
      </w:r>
      <w:r w:rsidR="002B50FF" w:rsidRPr="00FD65C9">
        <w:rPr>
          <w:color w:val="000000" w:themeColor="text1"/>
          <w:lang w:val="pl-PL"/>
        </w:rPr>
        <w:t>po</w:t>
      </w:r>
      <w:r w:rsidR="002B50FF">
        <w:rPr>
          <w:color w:val="000000" w:themeColor="text1"/>
          <w:lang w:val="pl-PL"/>
        </w:rPr>
        <w:t xml:space="preserve">wiadomienie </w:t>
      </w:r>
      <w:r w:rsidR="0051360B" w:rsidRPr="00FD65C9">
        <w:rPr>
          <w:color w:val="000000" w:themeColor="text1"/>
          <w:lang w:val="pl-PL"/>
        </w:rPr>
        <w:t>o </w:t>
      </w:r>
      <w:r w:rsidRPr="00FD65C9">
        <w:rPr>
          <w:color w:val="000000" w:themeColor="text1"/>
          <w:lang w:val="pl-PL"/>
        </w:rPr>
        <w:t>uchyleniu stosowania zobowiązań</w:t>
      </w:r>
      <w:r w:rsidRPr="00FD65C9">
        <w:rPr>
          <w:lang w:val="pl-PL"/>
        </w:rPr>
        <w:t>.</w:t>
      </w:r>
      <w:r w:rsidRPr="00FD65C9">
        <w:rPr>
          <w:color w:val="C00000"/>
          <w:lang w:val="pl-PL"/>
        </w:rPr>
        <w:t xml:space="preserve"> </w:t>
      </w:r>
      <w:r w:rsidRPr="00FD65C9">
        <w:rPr>
          <w:lang w:val="pl-PL"/>
        </w:rPr>
        <w:t xml:space="preserve">W tej kwestii uwaga, że „takie [...] okoliczności mogą oznaczać, że »uzasadniony« charakter podejrzenia będącego podstawą zatrzymania nie może być oceniany zgodnie z tymi samymi standardami, które są stosowane w przypadku przestępstw konwencjonalnych” (zob. </w:t>
      </w:r>
      <w:r w:rsidR="002B50FF" w:rsidRPr="00FD65C9">
        <w:rPr>
          <w:lang w:val="pl-PL"/>
        </w:rPr>
        <w:t>p</w:t>
      </w:r>
      <w:r w:rsidR="002B50FF">
        <w:rPr>
          <w:lang w:val="pl-PL"/>
        </w:rPr>
        <w:t>aragraf</w:t>
      </w:r>
      <w:r w:rsidR="002B50FF" w:rsidRPr="00FD65C9">
        <w:rPr>
          <w:lang w:val="pl-PL"/>
        </w:rPr>
        <w:t xml:space="preserve"> </w:t>
      </w:r>
      <w:r w:rsidRPr="00FD65C9">
        <w:rPr>
          <w:lang w:val="pl-PL"/>
        </w:rPr>
        <w:t xml:space="preserve">135 wyroku) jest bardzo ważna. </w:t>
      </w:r>
      <w:r w:rsidRPr="00FD65C9">
        <w:rPr>
          <w:color w:val="000000" w:themeColor="text1"/>
          <w:lang w:val="pl-PL"/>
        </w:rPr>
        <w:t>Innymi słowy, w przypadku walki z terroryzmem, zwłaszcza w czasach nadzwyczajnych, poziom „uzasadnionego podejrzenia” musi być niższy niż w przypadku zwykłych przestępstw.</w:t>
      </w:r>
    </w:p>
    <w:p w14:paraId="5B5ABF21" w14:textId="11CBBD40" w:rsidR="00E079C6" w:rsidRPr="00FD65C9" w:rsidRDefault="00E079C6" w:rsidP="00622760">
      <w:pPr>
        <w:pStyle w:val="OpiPara"/>
        <w:rPr>
          <w:color w:val="000000" w:themeColor="text1"/>
          <w:lang w:val="pl-PL"/>
        </w:rPr>
      </w:pPr>
      <w:r w:rsidRPr="00FD65C9">
        <w:rPr>
          <w:lang w:val="pl-PL"/>
        </w:rPr>
        <w:t xml:space="preserve">28.  Trybunał, co do zasady, </w:t>
      </w:r>
      <w:r w:rsidR="002B50FF">
        <w:rPr>
          <w:lang w:val="pl-PL"/>
        </w:rPr>
        <w:t xml:space="preserve">„uważa, </w:t>
      </w:r>
      <w:r w:rsidRPr="00FD65C9">
        <w:rPr>
          <w:lang w:val="pl-PL"/>
        </w:rPr>
        <w:t>że bardzo specyficzny kontekst niniejszej sprawy powoduje konieczność zbad</w:t>
      </w:r>
      <w:r w:rsidR="0051360B" w:rsidRPr="00FD65C9">
        <w:rPr>
          <w:lang w:val="pl-PL"/>
        </w:rPr>
        <w:t>ania stanu faktycznego sprawy z </w:t>
      </w:r>
      <w:r w:rsidRPr="00FD65C9">
        <w:rPr>
          <w:lang w:val="pl-PL"/>
        </w:rPr>
        <w:t xml:space="preserve">najwyższą starannością. W tym względzie </w:t>
      </w:r>
      <w:r w:rsidR="002B50FF">
        <w:rPr>
          <w:rFonts w:eastAsia="Times New Roman"/>
          <w:lang w:val="pl-PL"/>
        </w:rPr>
        <w:t>liczy się on z</w:t>
      </w:r>
      <w:r w:rsidR="002B50FF" w:rsidRPr="00810639">
        <w:rPr>
          <w:rFonts w:eastAsia="Times New Roman"/>
          <w:lang w:val="pl-PL"/>
        </w:rPr>
        <w:t xml:space="preserve"> uwzględnieni</w:t>
      </w:r>
      <w:r w:rsidR="002B50FF">
        <w:rPr>
          <w:rFonts w:eastAsia="Times New Roman"/>
          <w:lang w:val="pl-PL"/>
        </w:rPr>
        <w:t>em</w:t>
      </w:r>
      <w:r w:rsidR="002B50FF" w:rsidRPr="00810639">
        <w:rPr>
          <w:rFonts w:eastAsia="Times New Roman"/>
          <w:lang w:val="pl-PL"/>
        </w:rPr>
        <w:t xml:space="preserve"> trudności</w:t>
      </w:r>
      <w:r w:rsidRPr="00FD65C9">
        <w:rPr>
          <w:lang w:val="pl-PL"/>
        </w:rPr>
        <w:t>, z jakim</w:t>
      </w:r>
      <w:r w:rsidR="0051360B" w:rsidRPr="00FD65C9">
        <w:rPr>
          <w:lang w:val="pl-PL"/>
        </w:rPr>
        <w:t>i Turcja musiała się zmierzyć w </w:t>
      </w:r>
      <w:r w:rsidRPr="00FD65C9">
        <w:rPr>
          <w:lang w:val="pl-PL"/>
        </w:rPr>
        <w:t xml:space="preserve">następstwie próby wojskowego zamachu stanu z 15 lipca 2016 r.” (zob. </w:t>
      </w:r>
      <w:r w:rsidR="002B50FF" w:rsidRPr="00FD65C9">
        <w:rPr>
          <w:lang w:val="pl-PL"/>
        </w:rPr>
        <w:t>p</w:t>
      </w:r>
      <w:r w:rsidR="002B50FF">
        <w:rPr>
          <w:lang w:val="pl-PL"/>
        </w:rPr>
        <w:t>aragraf</w:t>
      </w:r>
      <w:r w:rsidR="002B50FF" w:rsidRPr="00FD65C9">
        <w:rPr>
          <w:lang w:val="pl-PL"/>
        </w:rPr>
        <w:t xml:space="preserve"> </w:t>
      </w:r>
      <w:r w:rsidRPr="00FD65C9">
        <w:rPr>
          <w:lang w:val="pl-PL"/>
        </w:rPr>
        <w:t>134 wyroku). Nie dostrzegam</w:t>
      </w:r>
      <w:r w:rsidRPr="00FD65C9">
        <w:rPr>
          <w:color w:val="7030A0"/>
          <w:lang w:val="pl-PL"/>
        </w:rPr>
        <w:t xml:space="preserve"> </w:t>
      </w:r>
      <w:r w:rsidRPr="00FD65C9">
        <w:rPr>
          <w:color w:val="000000" w:themeColor="text1"/>
          <w:lang w:val="pl-PL"/>
        </w:rPr>
        <w:t xml:space="preserve">jednak, aby istotne okoliczności zostały starannie uwzględnione w wyroku </w:t>
      </w:r>
      <w:r w:rsidR="002B50FF">
        <w:rPr>
          <w:color w:val="000000" w:themeColor="text1"/>
          <w:lang w:val="pl-PL"/>
        </w:rPr>
        <w:t xml:space="preserve">wydanym </w:t>
      </w:r>
      <w:r w:rsidRPr="00FD65C9">
        <w:rPr>
          <w:color w:val="000000" w:themeColor="text1"/>
          <w:lang w:val="pl-PL"/>
        </w:rPr>
        <w:t>w niniejszej sprawie.</w:t>
      </w:r>
    </w:p>
    <w:p w14:paraId="43633EF0" w14:textId="06E361BB" w:rsidR="00E079C6" w:rsidRPr="00FD65C9" w:rsidRDefault="00E079C6" w:rsidP="00622760">
      <w:pPr>
        <w:pStyle w:val="OpiPara"/>
        <w:rPr>
          <w:lang w:val="pl-PL"/>
        </w:rPr>
      </w:pPr>
      <w:r w:rsidRPr="00FD65C9">
        <w:rPr>
          <w:lang w:val="pl-PL"/>
        </w:rPr>
        <w:t xml:space="preserve">29.  Z drugiej strony, </w:t>
      </w:r>
      <w:r w:rsidR="002B50FF">
        <w:rPr>
          <w:lang w:val="pl-PL"/>
        </w:rPr>
        <w:t xml:space="preserve">wskutek </w:t>
      </w:r>
      <w:r w:rsidRPr="00FD65C9">
        <w:rPr>
          <w:lang w:val="pl-PL"/>
        </w:rPr>
        <w:t xml:space="preserve">indywidualnej skargi złożonej przez skarżącego, dowody i szczególne okoliczności tej sprawy zostały </w:t>
      </w:r>
      <w:r w:rsidR="002B50FF">
        <w:rPr>
          <w:lang w:val="pl-PL"/>
        </w:rPr>
        <w:t>poddane</w:t>
      </w:r>
      <w:r w:rsidRPr="00FD65C9">
        <w:rPr>
          <w:lang w:val="pl-PL"/>
        </w:rPr>
        <w:t xml:space="preserve"> przez Trybunał Konstytucyjny </w:t>
      </w:r>
      <w:r w:rsidR="002B50FF">
        <w:rPr>
          <w:lang w:val="pl-PL"/>
        </w:rPr>
        <w:t xml:space="preserve">szczegółowej ocenie </w:t>
      </w:r>
      <w:r w:rsidRPr="00FD65C9">
        <w:rPr>
          <w:lang w:val="pl-PL"/>
        </w:rPr>
        <w:t>w wydanym przezeń orzeczeniu. Trybunał Konstytucyjny zauważył, że „biorąc pod uwagę bardzo szczególne okoliczności próby zamachu stanu, poziom infiltracji organizacji FETÖ/PDY do administracji i sądownictwa oraz fakt, że zarzucane przestępstwo było tak zwanym przestępstwem »</w:t>
      </w:r>
      <w:r w:rsidR="002B50FF" w:rsidRPr="00FD65C9">
        <w:rPr>
          <w:lang w:val="pl-PL"/>
        </w:rPr>
        <w:t>s</w:t>
      </w:r>
      <w:r w:rsidR="002B50FF">
        <w:rPr>
          <w:lang w:val="pl-PL"/>
        </w:rPr>
        <w:t>typizowanym</w:t>
      </w:r>
      <w:r w:rsidRPr="00FD65C9">
        <w:rPr>
          <w:lang w:val="pl-PL"/>
        </w:rPr>
        <w:t xml:space="preserve">«, </w:t>
      </w:r>
      <w:r w:rsidR="002B50FF">
        <w:rPr>
          <w:lang w:val="pl-PL"/>
        </w:rPr>
        <w:t>tymczasowe aresztowanie skarżącego</w:t>
      </w:r>
      <w:r w:rsidRPr="00FD65C9">
        <w:rPr>
          <w:lang w:val="pl-PL"/>
        </w:rPr>
        <w:t xml:space="preserve"> moż</w:t>
      </w:r>
      <w:r w:rsidR="002B50FF">
        <w:rPr>
          <w:lang w:val="pl-PL"/>
        </w:rPr>
        <w:t>na</w:t>
      </w:r>
      <w:r w:rsidRPr="00FD65C9">
        <w:rPr>
          <w:lang w:val="pl-PL"/>
        </w:rPr>
        <w:t xml:space="preserve"> </w:t>
      </w:r>
      <w:r w:rsidR="002B50FF" w:rsidRPr="00FD65C9">
        <w:rPr>
          <w:lang w:val="pl-PL"/>
        </w:rPr>
        <w:t>uzna</w:t>
      </w:r>
      <w:r w:rsidR="002B50FF">
        <w:rPr>
          <w:lang w:val="pl-PL"/>
        </w:rPr>
        <w:t>ć</w:t>
      </w:r>
      <w:r w:rsidR="002B50FF" w:rsidRPr="00FD65C9">
        <w:rPr>
          <w:lang w:val="pl-PL"/>
        </w:rPr>
        <w:t xml:space="preserve"> </w:t>
      </w:r>
      <w:r w:rsidRPr="00FD65C9">
        <w:rPr>
          <w:lang w:val="pl-PL"/>
        </w:rPr>
        <w:t xml:space="preserve">za uzasadniony i proporcjonalny środek” (zob. paragraf 42 wyroku). W opinii Trybunału Konstytucyjnego </w:t>
      </w:r>
      <w:r w:rsidR="00BA768F">
        <w:rPr>
          <w:lang w:val="pl-PL"/>
        </w:rPr>
        <w:t>zachodziła obawa</w:t>
      </w:r>
      <w:r w:rsidR="0051360B" w:rsidRPr="00FD65C9">
        <w:rPr>
          <w:lang w:val="pl-PL"/>
        </w:rPr>
        <w:t xml:space="preserve">, że „osoby </w:t>
      </w:r>
      <w:r w:rsidR="00BA768F">
        <w:rPr>
          <w:lang w:val="pl-PL"/>
        </w:rPr>
        <w:t>biorące udział</w:t>
      </w:r>
      <w:r w:rsidR="00BA768F" w:rsidRPr="00FD65C9">
        <w:rPr>
          <w:lang w:val="pl-PL"/>
        </w:rPr>
        <w:t xml:space="preserve"> </w:t>
      </w:r>
      <w:r w:rsidR="00BA768F" w:rsidRPr="00810639">
        <w:rPr>
          <w:lang w:val="pl-PL"/>
        </w:rPr>
        <w:t>w prób</w:t>
      </w:r>
      <w:r w:rsidR="00BA768F">
        <w:rPr>
          <w:lang w:val="pl-PL"/>
        </w:rPr>
        <w:t>ie</w:t>
      </w:r>
      <w:r w:rsidR="00BA768F" w:rsidRPr="00810639">
        <w:rPr>
          <w:lang w:val="pl-PL"/>
        </w:rPr>
        <w:t xml:space="preserve"> zamachu stanu oraz osoby </w:t>
      </w:r>
      <w:r w:rsidR="00BA768F">
        <w:rPr>
          <w:lang w:val="pl-PL"/>
        </w:rPr>
        <w:t>niebiorące w niej bezpośredniego udziału</w:t>
      </w:r>
      <w:r w:rsidRPr="00FD65C9">
        <w:rPr>
          <w:lang w:val="pl-PL"/>
        </w:rPr>
        <w:t>, ale powiązane z organizacją FETÖ/PDY – określaną jako inicjator próby zamachu stanu – mogły zbiec, manipulować dowodami lub wykorzystać zamieszanie, które powstało w trakcie próby zamachu stanu lub po niej [...] Te szczególne okoliczności wiązały się z wyższym ryzykiem niż to, które może wystąpić w tak zwanych »zwykłych« okolicznościach. [...] [B]</w:t>
      </w:r>
      <w:proofErr w:type="spellStart"/>
      <w:r w:rsidRPr="00FD65C9">
        <w:rPr>
          <w:lang w:val="pl-PL"/>
        </w:rPr>
        <w:t>yło</w:t>
      </w:r>
      <w:proofErr w:type="spellEnd"/>
      <w:r w:rsidRPr="00FD65C9">
        <w:rPr>
          <w:lang w:val="pl-PL"/>
        </w:rPr>
        <w:t xml:space="preserve"> jasne, że </w:t>
      </w:r>
      <w:r w:rsidR="00BA768F" w:rsidRPr="00810639">
        <w:rPr>
          <w:lang w:val="pl-PL"/>
        </w:rPr>
        <w:t>skarżąc</w:t>
      </w:r>
      <w:r w:rsidR="00BA768F">
        <w:rPr>
          <w:lang w:val="pl-PL"/>
        </w:rPr>
        <w:t>emu</w:t>
      </w:r>
      <w:r w:rsidR="00BA768F" w:rsidRPr="00810639">
        <w:rPr>
          <w:lang w:val="pl-PL"/>
        </w:rPr>
        <w:t>, jako człon</w:t>
      </w:r>
      <w:r w:rsidR="00BA768F">
        <w:rPr>
          <w:lang w:val="pl-PL"/>
        </w:rPr>
        <w:t>kowi</w:t>
      </w:r>
      <w:r w:rsidR="00BA768F" w:rsidRPr="00810639">
        <w:rPr>
          <w:lang w:val="pl-PL"/>
        </w:rPr>
        <w:t xml:space="preserve"> tego sądu, łatwiej </w:t>
      </w:r>
      <w:r w:rsidR="00BA768F">
        <w:rPr>
          <w:lang w:val="pl-PL"/>
        </w:rPr>
        <w:t xml:space="preserve">było </w:t>
      </w:r>
      <w:r w:rsidR="00BA768F" w:rsidRPr="00810639">
        <w:rPr>
          <w:lang w:val="pl-PL"/>
        </w:rPr>
        <w:t>manipulować dowodami niż inn</w:t>
      </w:r>
      <w:r w:rsidR="00BA768F">
        <w:rPr>
          <w:lang w:val="pl-PL"/>
        </w:rPr>
        <w:t>ym</w:t>
      </w:r>
      <w:r w:rsidR="00BA768F" w:rsidRPr="00810639">
        <w:rPr>
          <w:lang w:val="pl-PL"/>
        </w:rPr>
        <w:t xml:space="preserve"> osob</w:t>
      </w:r>
      <w:r w:rsidR="00BA768F">
        <w:rPr>
          <w:lang w:val="pl-PL"/>
        </w:rPr>
        <w:t>om</w:t>
      </w:r>
      <w:r w:rsidRPr="00FD65C9">
        <w:rPr>
          <w:lang w:val="pl-PL"/>
        </w:rPr>
        <w:t>” (ibid.).</w:t>
      </w:r>
    </w:p>
    <w:p w14:paraId="517250E2" w14:textId="5C28F8CE" w:rsidR="00E079C6" w:rsidRPr="00FD65C9" w:rsidRDefault="00E079C6" w:rsidP="00622760">
      <w:pPr>
        <w:pStyle w:val="OpiPara"/>
        <w:rPr>
          <w:color w:val="000000" w:themeColor="text1"/>
          <w:lang w:val="pl-PL"/>
        </w:rPr>
      </w:pPr>
      <w:r w:rsidRPr="00FD65C9">
        <w:rPr>
          <w:color w:val="000000" w:themeColor="text1"/>
          <w:lang w:val="pl-PL"/>
        </w:rPr>
        <w:t xml:space="preserve">30.  Moim zdaniem ustalenia zawarte w orzeczeniu Trybunału Konstytucyjnego są bardziej adekwatne do niniejszej sprawy. W świetle powyższych wyjaśnień nie można stwierdzić, że w </w:t>
      </w:r>
      <w:r w:rsidR="00BA768F">
        <w:rPr>
          <w:color w:val="000000" w:themeColor="text1"/>
          <w:lang w:val="pl-PL"/>
        </w:rPr>
        <w:t>chwili</w:t>
      </w:r>
      <w:r w:rsidR="00BA768F" w:rsidRPr="00FD65C9">
        <w:rPr>
          <w:color w:val="000000" w:themeColor="text1"/>
          <w:lang w:val="pl-PL"/>
        </w:rPr>
        <w:t xml:space="preserve"> </w:t>
      </w:r>
      <w:r w:rsidRPr="00FD65C9">
        <w:rPr>
          <w:color w:val="000000" w:themeColor="text1"/>
          <w:lang w:val="pl-PL"/>
        </w:rPr>
        <w:t>tymczasowego aresztowania skarżącego nie istniało uzasadnione podejrzenie.</w:t>
      </w:r>
    </w:p>
    <w:p w14:paraId="2995C3D2" w14:textId="1E0DC6D2" w:rsidR="00E079C6" w:rsidRPr="00FD65C9" w:rsidRDefault="00E079C6" w:rsidP="00622760">
      <w:pPr>
        <w:pStyle w:val="OpiPara"/>
        <w:rPr>
          <w:color w:val="000000" w:themeColor="text1"/>
          <w:lang w:val="pl-PL"/>
        </w:rPr>
      </w:pPr>
      <w:r w:rsidRPr="00FD65C9">
        <w:rPr>
          <w:color w:val="000000" w:themeColor="text1"/>
          <w:lang w:val="pl-PL"/>
        </w:rPr>
        <w:t xml:space="preserve">31.  Dlatego nie podpisuję się pod wnioskiem zawartym w wyroku, </w:t>
      </w:r>
      <w:r w:rsidR="00BA768F">
        <w:rPr>
          <w:color w:val="000000" w:themeColor="text1"/>
          <w:lang w:val="pl-PL"/>
        </w:rPr>
        <w:t>w którym stwierdzono, że</w:t>
      </w:r>
      <w:r w:rsidRPr="00FD65C9">
        <w:rPr>
          <w:color w:val="000000" w:themeColor="text1"/>
          <w:lang w:val="pl-PL"/>
        </w:rPr>
        <w:t xml:space="preserve"> doszło do naruszenia art. 5 ust. 1 lit. c Konwencji.</w:t>
      </w:r>
    </w:p>
    <w:sectPr w:rsidR="00E079C6" w:rsidRPr="00FD65C9" w:rsidSect="00E079C6">
      <w:headerReference w:type="even" r:id="rId17"/>
      <w:headerReference w:type="default" r:id="rId18"/>
      <w:footnotePr>
        <w:numRestart w:val="eachSect"/>
      </w:footnotePr>
      <w:pgSz w:w="11906" w:h="16838" w:code="9"/>
      <w:pgMar w:top="2274" w:right="2274" w:bottom="2274" w:left="2274" w:header="1701"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4EB5B" w14:textId="77777777" w:rsidR="00D60362" w:rsidRPr="001D19C3" w:rsidRDefault="00D60362" w:rsidP="002D2C99">
      <w:r>
        <w:separator/>
      </w:r>
    </w:p>
  </w:endnote>
  <w:endnote w:type="continuationSeparator" w:id="0">
    <w:p w14:paraId="108ACEDD" w14:textId="77777777" w:rsidR="00D60362" w:rsidRPr="001D19C3" w:rsidRDefault="00D60362" w:rsidP="002D2C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legreya">
    <w:altName w:val="Times New Roman"/>
    <w:charset w:val="00"/>
    <w:family w:val="auto"/>
    <w:pitch w:val="default"/>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83253" w14:textId="77777777" w:rsidR="00D60362" w:rsidRPr="00150BFA" w:rsidRDefault="00D60362" w:rsidP="003259A8">
    <w:pPr>
      <w:jc w:val="center"/>
    </w:pPr>
    <w:r>
      <w:rPr>
        <w:noProof/>
        <w:lang w:val="pl-PL" w:eastAsia="pl-PL"/>
      </w:rPr>
      <w:drawing>
        <wp:inline distT="0" distB="0" distL="0" distR="0" wp14:anchorId="490AF199" wp14:editId="43E358EB">
          <wp:extent cx="771525" cy="619125"/>
          <wp:effectExtent l="0" t="0" r="9525" b="9525"/>
          <wp:docPr id="2"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69F6814" w14:textId="77777777" w:rsidR="00D60362" w:rsidRPr="001D19C3" w:rsidRDefault="00D60362" w:rsidP="003259A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6637D" w14:textId="77777777" w:rsidR="00D60362" w:rsidRDefault="00D60362" w:rsidP="003259A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C4D4F" w14:textId="77777777" w:rsidR="00D60362" w:rsidRDefault="00D60362" w:rsidP="003259A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E13DB" w14:textId="77777777" w:rsidR="00D60362" w:rsidRPr="001D19C3" w:rsidRDefault="00D60362" w:rsidP="002D2C99">
      <w:r>
        <w:separator/>
      </w:r>
    </w:p>
  </w:footnote>
  <w:footnote w:type="continuationSeparator" w:id="0">
    <w:p w14:paraId="75730DF6" w14:textId="77777777" w:rsidR="00D60362" w:rsidRPr="001D19C3" w:rsidRDefault="00D60362" w:rsidP="002D2C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FEFCA" w14:textId="77777777" w:rsidR="00D60362" w:rsidRPr="00A45145" w:rsidRDefault="00D60362" w:rsidP="003259A8">
    <w:pPr>
      <w:jc w:val="center"/>
    </w:pPr>
    <w:r>
      <w:rPr>
        <w:noProof/>
        <w:lang w:val="pl-PL" w:eastAsia="pl-PL"/>
      </w:rPr>
      <w:drawing>
        <wp:inline distT="0" distB="0" distL="0" distR="0" wp14:anchorId="1EF5F5BE" wp14:editId="5CE1446D">
          <wp:extent cx="2962275" cy="1219200"/>
          <wp:effectExtent l="0" t="0" r="9525" b="0"/>
          <wp:docPr id="1" name="Picture 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6AF0182" w14:textId="77777777" w:rsidR="00D60362" w:rsidRPr="001D19C3" w:rsidRDefault="00D60362" w:rsidP="00F5432B">
    <w:pP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F60B1" w14:textId="77777777" w:rsidR="00D60362" w:rsidRPr="00FD65C9" w:rsidRDefault="00D60362" w:rsidP="00F5432B">
    <w:pPr>
      <w:pStyle w:val="ECHRHeader"/>
      <w:rPr>
        <w:lang w:val="pl-PL"/>
      </w:rPr>
    </w:pPr>
    <w:r>
      <w:rPr>
        <w:rStyle w:val="Numerstrony"/>
      </w:rPr>
      <w:fldChar w:fldCharType="begin"/>
    </w:r>
    <w:r w:rsidRPr="00FD65C9">
      <w:rPr>
        <w:rStyle w:val="Numerstrony"/>
        <w:lang w:val="pl-PL"/>
      </w:rPr>
      <w:instrText xml:space="preserve"> PAGE </w:instrText>
    </w:r>
    <w:r>
      <w:rPr>
        <w:rStyle w:val="Numerstrony"/>
      </w:rPr>
      <w:fldChar w:fldCharType="separate"/>
    </w:r>
    <w:r w:rsidRPr="00FD65C9">
      <w:rPr>
        <w:rStyle w:val="Numerstrony"/>
        <w:noProof/>
        <w:lang w:val="pl-PL"/>
      </w:rPr>
      <w:t>46</w:t>
    </w:r>
    <w:r>
      <w:rPr>
        <w:rStyle w:val="Numerstrony"/>
      </w:rPr>
      <w:fldChar w:fldCharType="end"/>
    </w:r>
    <w:r w:rsidRPr="00FD65C9">
      <w:rPr>
        <w:lang w:val="pl-PL"/>
      </w:rPr>
      <w:tab/>
      <w:t xml:space="preserve">WYROK W SPRAWIE ALPARSLAN ALTAN przeciwko TURCJI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76F65" w14:textId="77777777" w:rsidR="00D60362" w:rsidRPr="00FD65C9" w:rsidRDefault="00D60362" w:rsidP="00420F04">
    <w:pPr>
      <w:pStyle w:val="ECHRHeader"/>
      <w:rPr>
        <w:lang w:val="pl-PL"/>
      </w:rPr>
    </w:pPr>
    <w:r>
      <w:tab/>
    </w:r>
    <w:r w:rsidRPr="00FD65C9">
      <w:rPr>
        <w:lang w:val="pl-PL"/>
      </w:rPr>
      <w:t>WYROK W SPRAWIE ALPARSLAN ALTAN przeciwko TURCJI</w:t>
    </w:r>
    <w:r w:rsidRPr="00FD65C9">
      <w:rPr>
        <w:lang w:val="pl-PL"/>
      </w:rPr>
      <w:tab/>
    </w:r>
    <w:r>
      <w:rPr>
        <w:rStyle w:val="Numerstrony"/>
      </w:rPr>
      <w:fldChar w:fldCharType="begin"/>
    </w:r>
    <w:r w:rsidRPr="00FD65C9">
      <w:rPr>
        <w:rStyle w:val="Numerstrony"/>
        <w:lang w:val="pl-PL"/>
      </w:rPr>
      <w:instrText xml:space="preserve"> PAGE </w:instrText>
    </w:r>
    <w:r>
      <w:rPr>
        <w:rStyle w:val="Numerstrony"/>
      </w:rPr>
      <w:fldChar w:fldCharType="separate"/>
    </w:r>
    <w:r w:rsidRPr="00FD65C9">
      <w:rPr>
        <w:rStyle w:val="Numerstrony"/>
        <w:noProof/>
        <w:lang w:val="pl-PL"/>
      </w:rPr>
      <w:t>45</w:t>
    </w:r>
    <w:r>
      <w:rPr>
        <w:rStyle w:val="Numerstrony"/>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FB00A" w14:textId="77777777" w:rsidR="00D60362" w:rsidRPr="00FD65C9" w:rsidRDefault="00D60362" w:rsidP="00F5432B">
    <w:pPr>
      <w:pStyle w:val="ECHRHeader"/>
      <w:rPr>
        <w:lang w:val="pl-PL"/>
      </w:rPr>
    </w:pPr>
    <w:r>
      <w:rPr>
        <w:rStyle w:val="Numerstrony"/>
      </w:rPr>
      <w:fldChar w:fldCharType="begin"/>
    </w:r>
    <w:r w:rsidRPr="00FD65C9">
      <w:rPr>
        <w:rStyle w:val="Numerstrony"/>
        <w:lang w:val="pl-PL"/>
      </w:rPr>
      <w:instrText xml:space="preserve"> PAGE </w:instrText>
    </w:r>
    <w:r>
      <w:rPr>
        <w:rStyle w:val="Numerstrony"/>
      </w:rPr>
      <w:fldChar w:fldCharType="separate"/>
    </w:r>
    <w:r w:rsidRPr="00FD65C9">
      <w:rPr>
        <w:rStyle w:val="Numerstrony"/>
        <w:noProof/>
        <w:lang w:val="pl-PL"/>
      </w:rPr>
      <w:t>52</w:t>
    </w:r>
    <w:r>
      <w:rPr>
        <w:rStyle w:val="Numerstrony"/>
      </w:rPr>
      <w:fldChar w:fldCharType="end"/>
    </w:r>
    <w:r w:rsidRPr="00FD65C9">
      <w:rPr>
        <w:lang w:val="pl-PL"/>
      </w:rPr>
      <w:tab/>
      <w:t>WYROK W SPRAWIE ALPARSLAN ALTAN przeciwko TURCJI – OPINIA ODRĘBNA</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82E06" w14:textId="77777777" w:rsidR="00D60362" w:rsidRPr="00FD65C9" w:rsidRDefault="00D60362" w:rsidP="00420F04">
    <w:pPr>
      <w:pStyle w:val="ECHRHeader"/>
      <w:rPr>
        <w:lang w:val="pl-PL"/>
      </w:rPr>
    </w:pPr>
    <w:r>
      <w:tab/>
    </w:r>
    <w:r w:rsidRPr="00FD65C9">
      <w:rPr>
        <w:lang w:val="pl-PL"/>
      </w:rPr>
      <w:t>WYROK W SPRAWIE ALPARSLAN ALTAN przeciwko TURCJI – OPINIA ODRĘBNA</w:t>
    </w:r>
    <w:r w:rsidRPr="00FD65C9">
      <w:rPr>
        <w:lang w:val="pl-PL"/>
      </w:rPr>
      <w:tab/>
    </w:r>
    <w:r>
      <w:rPr>
        <w:rStyle w:val="Numerstrony"/>
      </w:rPr>
      <w:fldChar w:fldCharType="begin"/>
    </w:r>
    <w:r w:rsidRPr="00FD65C9">
      <w:rPr>
        <w:rStyle w:val="Numerstrony"/>
        <w:lang w:val="pl-PL"/>
      </w:rPr>
      <w:instrText xml:space="preserve"> PAGE </w:instrText>
    </w:r>
    <w:r>
      <w:rPr>
        <w:rStyle w:val="Numerstrony"/>
      </w:rPr>
      <w:fldChar w:fldCharType="separate"/>
    </w:r>
    <w:r w:rsidRPr="00FD65C9">
      <w:rPr>
        <w:rStyle w:val="Numerstrony"/>
        <w:noProof/>
        <w:lang w:val="pl-PL"/>
      </w:rPr>
      <w:t>53</w:t>
    </w:r>
    <w:r>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A08B0C2"/>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3CF25AF4"/>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5B02EDC2"/>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C1E60D70"/>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D2AA4F54"/>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9E2214A"/>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DDCF244"/>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04BE7E"/>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2A84908"/>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88CC5F40"/>
    <w:lvl w:ilvl="0">
      <w:start w:val="1"/>
      <w:numFmt w:val="bullet"/>
      <w:pStyle w:val="Listapunktowana"/>
      <w:lvlText w:val=""/>
      <w:lvlJc w:val="left"/>
      <w:pPr>
        <w:tabs>
          <w:tab w:val="num" w:pos="360"/>
        </w:tabs>
        <w:ind w:left="360" w:hanging="360"/>
      </w:pPr>
      <w:rPr>
        <w:rFonts w:ascii="Symbol" w:hAnsi="Symbol" w:hint="default"/>
      </w:rPr>
    </w:lvl>
  </w:abstractNum>
  <w:abstractNum w:abstractNumId="10" w15:restartNumberingAfterBreak="0">
    <w:nsid w:val="054260D6"/>
    <w:multiLevelType w:val="multilevel"/>
    <w:tmpl w:val="040C0023"/>
    <w:lvl w:ilvl="0">
      <w:start w:val="1"/>
      <w:numFmt w:val="upperRoman"/>
      <w:lvlText w:val="Artykuł %1."/>
      <w:lvlJc w:val="left"/>
      <w:pPr>
        <w:ind w:left="0" w:firstLine="0"/>
      </w:pPr>
    </w:lvl>
    <w:lvl w:ilvl="1">
      <w:start w:val="1"/>
      <w:numFmt w:val="decimalZero"/>
      <w:isLgl/>
      <w:lvlText w:val="Sekcja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7363396"/>
    <w:multiLevelType w:val="multilevel"/>
    <w:tmpl w:val="040C0023"/>
    <w:styleLink w:val="Artykusekcja"/>
    <w:lvl w:ilvl="0">
      <w:start w:val="1"/>
      <w:numFmt w:val="upperRoman"/>
      <w:lvlText w:val="Artykuł %1."/>
      <w:lvlJc w:val="left"/>
      <w:pPr>
        <w:ind w:left="0" w:firstLine="0"/>
      </w:pPr>
    </w:lvl>
    <w:lvl w:ilvl="1">
      <w:start w:val="1"/>
      <w:numFmt w:val="decimalZero"/>
      <w:isLgl/>
      <w:lvlText w:val="Sekcja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F4B36E4"/>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3" w15:restartNumberingAfterBreak="0">
    <w:nsid w:val="2DD171AA"/>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39818AE"/>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0201130"/>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B4233A6"/>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0152ADB"/>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5"/>
  </w:num>
  <w:num w:numId="2">
    <w:abstractNumId w:val="16"/>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12"/>
  </w:num>
  <w:num w:numId="6">
    <w:abstractNumId w:val="16"/>
  </w:num>
  <w:num w:numId="7">
    <w:abstractNumId w:val="12"/>
  </w:num>
  <w:num w:numId="8">
    <w:abstractNumId w:val="7"/>
  </w:num>
  <w:num w:numId="9">
    <w:abstractNumId w:val="18"/>
  </w:num>
  <w:num w:numId="10">
    <w:abstractNumId w:val="17"/>
  </w:num>
  <w:num w:numId="11">
    <w:abstractNumId w:val="11"/>
  </w:num>
  <w:num w:numId="12">
    <w:abstractNumId w:val="9"/>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9"/>
  </w:num>
  <w:num w:numId="22">
    <w:abstractNumId w:val="19"/>
  </w:num>
  <w:num w:numId="23">
    <w:abstractNumId w:val="13"/>
  </w:num>
  <w:num w:numId="24">
    <w:abstractNumId w:val="14"/>
  </w:num>
  <w:num w:numId="25">
    <w:abstractNumId w:val="10"/>
  </w:num>
  <w:num w:numId="26">
    <w:abstractNumId w:val="19"/>
  </w:num>
  <w:num w:numId="27">
    <w:abstractNumId w:val="19"/>
  </w:num>
  <w:num w:numId="28">
    <w:abstractNumId w:val="19"/>
  </w:num>
  <w:num w:numId="29">
    <w:abstractNumId w:val="19"/>
  </w:num>
  <w:num w:numId="30">
    <w:abstractNumId w:val="19"/>
  </w:num>
  <w:num w:numId="31">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LW_DocType" w:val="NORMAL"/>
    <w:docVar w:name="NBEMMDOC" w:val="0"/>
  </w:docVars>
  <w:rsids>
    <w:rsidRoot w:val="001005D7"/>
    <w:rsid w:val="00002637"/>
    <w:rsid w:val="000041F8"/>
    <w:rsid w:val="000042A8"/>
    <w:rsid w:val="00004308"/>
    <w:rsid w:val="00005BF0"/>
    <w:rsid w:val="00007154"/>
    <w:rsid w:val="000103AE"/>
    <w:rsid w:val="00011D69"/>
    <w:rsid w:val="00012AD3"/>
    <w:rsid w:val="00015C2D"/>
    <w:rsid w:val="00015F00"/>
    <w:rsid w:val="00020520"/>
    <w:rsid w:val="00022C1D"/>
    <w:rsid w:val="00026798"/>
    <w:rsid w:val="00031B8B"/>
    <w:rsid w:val="00034987"/>
    <w:rsid w:val="00043BC2"/>
    <w:rsid w:val="00057AEF"/>
    <w:rsid w:val="000602DF"/>
    <w:rsid w:val="00061B05"/>
    <w:rsid w:val="000632D5"/>
    <w:rsid w:val="000644EE"/>
    <w:rsid w:val="00080DD0"/>
    <w:rsid w:val="00082665"/>
    <w:rsid w:val="000869FF"/>
    <w:rsid w:val="000925AD"/>
    <w:rsid w:val="00097A4D"/>
    <w:rsid w:val="000A24EB"/>
    <w:rsid w:val="000A29BA"/>
    <w:rsid w:val="000A4822"/>
    <w:rsid w:val="000B1224"/>
    <w:rsid w:val="000B6923"/>
    <w:rsid w:val="000C5F3C"/>
    <w:rsid w:val="000C6DCC"/>
    <w:rsid w:val="000D47AA"/>
    <w:rsid w:val="000D721F"/>
    <w:rsid w:val="000E069B"/>
    <w:rsid w:val="000E0E82"/>
    <w:rsid w:val="000E1DC5"/>
    <w:rsid w:val="000E223F"/>
    <w:rsid w:val="000E5DD7"/>
    <w:rsid w:val="000E7D45"/>
    <w:rsid w:val="000F7851"/>
    <w:rsid w:val="001005D7"/>
    <w:rsid w:val="00104E23"/>
    <w:rsid w:val="00111B0C"/>
    <w:rsid w:val="00117BBF"/>
    <w:rsid w:val="00120D6C"/>
    <w:rsid w:val="001257EC"/>
    <w:rsid w:val="00126E4C"/>
    <w:rsid w:val="00127B42"/>
    <w:rsid w:val="00133D33"/>
    <w:rsid w:val="00134D64"/>
    <w:rsid w:val="00135A30"/>
    <w:rsid w:val="0013612C"/>
    <w:rsid w:val="00137FF6"/>
    <w:rsid w:val="00141650"/>
    <w:rsid w:val="00143087"/>
    <w:rsid w:val="00151672"/>
    <w:rsid w:val="0015366F"/>
    <w:rsid w:val="00157F0B"/>
    <w:rsid w:val="00162A12"/>
    <w:rsid w:val="00166530"/>
    <w:rsid w:val="00175EA1"/>
    <w:rsid w:val="00182FC0"/>
    <w:rsid w:val="001832BD"/>
    <w:rsid w:val="001943B5"/>
    <w:rsid w:val="00195134"/>
    <w:rsid w:val="001A07B1"/>
    <w:rsid w:val="001A145B"/>
    <w:rsid w:val="001A674C"/>
    <w:rsid w:val="001B3B24"/>
    <w:rsid w:val="001B4802"/>
    <w:rsid w:val="001C0F98"/>
    <w:rsid w:val="001C2A42"/>
    <w:rsid w:val="001D19C3"/>
    <w:rsid w:val="001D63ED"/>
    <w:rsid w:val="001D7348"/>
    <w:rsid w:val="001E035B"/>
    <w:rsid w:val="001E0961"/>
    <w:rsid w:val="001E3EAE"/>
    <w:rsid w:val="001E6495"/>
    <w:rsid w:val="001E6F32"/>
    <w:rsid w:val="001F2145"/>
    <w:rsid w:val="001F6262"/>
    <w:rsid w:val="001F67B0"/>
    <w:rsid w:val="001F7B3D"/>
    <w:rsid w:val="002025FA"/>
    <w:rsid w:val="00205F9F"/>
    <w:rsid w:val="002074F7"/>
    <w:rsid w:val="00210338"/>
    <w:rsid w:val="002115FC"/>
    <w:rsid w:val="0021423C"/>
    <w:rsid w:val="002209C9"/>
    <w:rsid w:val="002258CD"/>
    <w:rsid w:val="00230D00"/>
    <w:rsid w:val="00231DF7"/>
    <w:rsid w:val="00231FD1"/>
    <w:rsid w:val="002339E0"/>
    <w:rsid w:val="00233CF8"/>
    <w:rsid w:val="0023575D"/>
    <w:rsid w:val="00237148"/>
    <w:rsid w:val="0024222D"/>
    <w:rsid w:val="002444A3"/>
    <w:rsid w:val="00244B0E"/>
    <w:rsid w:val="00244F6C"/>
    <w:rsid w:val="00250117"/>
    <w:rsid w:val="002532C5"/>
    <w:rsid w:val="00253CC2"/>
    <w:rsid w:val="00254B52"/>
    <w:rsid w:val="00254ED6"/>
    <w:rsid w:val="0025751A"/>
    <w:rsid w:val="00257986"/>
    <w:rsid w:val="00260C03"/>
    <w:rsid w:val="0026540E"/>
    <w:rsid w:val="002709A2"/>
    <w:rsid w:val="00275123"/>
    <w:rsid w:val="00282007"/>
    <w:rsid w:val="00282240"/>
    <w:rsid w:val="0028321A"/>
    <w:rsid w:val="002854E5"/>
    <w:rsid w:val="002948AD"/>
    <w:rsid w:val="002964AD"/>
    <w:rsid w:val="002A01CC"/>
    <w:rsid w:val="002A61B1"/>
    <w:rsid w:val="002A663C"/>
    <w:rsid w:val="002A6B54"/>
    <w:rsid w:val="002B444B"/>
    <w:rsid w:val="002B50FF"/>
    <w:rsid w:val="002B5887"/>
    <w:rsid w:val="002C0E27"/>
    <w:rsid w:val="002C3040"/>
    <w:rsid w:val="002D022D"/>
    <w:rsid w:val="002D24BB"/>
    <w:rsid w:val="002D2C99"/>
    <w:rsid w:val="002E0C17"/>
    <w:rsid w:val="002E7277"/>
    <w:rsid w:val="002F2AF7"/>
    <w:rsid w:val="002F7E1C"/>
    <w:rsid w:val="00301A75"/>
    <w:rsid w:val="00302F70"/>
    <w:rsid w:val="0030336F"/>
    <w:rsid w:val="0030375E"/>
    <w:rsid w:val="0030699F"/>
    <w:rsid w:val="00307437"/>
    <w:rsid w:val="00312A30"/>
    <w:rsid w:val="00315AF6"/>
    <w:rsid w:val="00320F72"/>
    <w:rsid w:val="0032463E"/>
    <w:rsid w:val="003259A8"/>
    <w:rsid w:val="00326224"/>
    <w:rsid w:val="00336456"/>
    <w:rsid w:val="00337EE4"/>
    <w:rsid w:val="00340FFD"/>
    <w:rsid w:val="003504FB"/>
    <w:rsid w:val="003506B1"/>
    <w:rsid w:val="00355CD5"/>
    <w:rsid w:val="00356AC7"/>
    <w:rsid w:val="003609FA"/>
    <w:rsid w:val="003630D7"/>
    <w:rsid w:val="003710C8"/>
    <w:rsid w:val="003750BE"/>
    <w:rsid w:val="00387B9D"/>
    <w:rsid w:val="0039364F"/>
    <w:rsid w:val="00396686"/>
    <w:rsid w:val="0039778E"/>
    <w:rsid w:val="003A4190"/>
    <w:rsid w:val="003B1621"/>
    <w:rsid w:val="003B2620"/>
    <w:rsid w:val="003B4941"/>
    <w:rsid w:val="003C36F1"/>
    <w:rsid w:val="003C5714"/>
    <w:rsid w:val="003C6B9F"/>
    <w:rsid w:val="003C6E2A"/>
    <w:rsid w:val="003D0299"/>
    <w:rsid w:val="003E046F"/>
    <w:rsid w:val="003E07D1"/>
    <w:rsid w:val="003E6D80"/>
    <w:rsid w:val="003F05FA"/>
    <w:rsid w:val="003F081C"/>
    <w:rsid w:val="003F244A"/>
    <w:rsid w:val="003F30B8"/>
    <w:rsid w:val="003F4C45"/>
    <w:rsid w:val="003F5F7B"/>
    <w:rsid w:val="003F7D64"/>
    <w:rsid w:val="00405F3B"/>
    <w:rsid w:val="00406370"/>
    <w:rsid w:val="00414300"/>
    <w:rsid w:val="00420F04"/>
    <w:rsid w:val="00421612"/>
    <w:rsid w:val="0042198F"/>
    <w:rsid w:val="00425C67"/>
    <w:rsid w:val="00427E7A"/>
    <w:rsid w:val="00436C49"/>
    <w:rsid w:val="00445366"/>
    <w:rsid w:val="00447F5B"/>
    <w:rsid w:val="00451BE6"/>
    <w:rsid w:val="00453A65"/>
    <w:rsid w:val="00456BE8"/>
    <w:rsid w:val="00460EAB"/>
    <w:rsid w:val="00461DB0"/>
    <w:rsid w:val="00462B38"/>
    <w:rsid w:val="00463926"/>
    <w:rsid w:val="00464C9A"/>
    <w:rsid w:val="00474F3D"/>
    <w:rsid w:val="00477E3A"/>
    <w:rsid w:val="00483E5F"/>
    <w:rsid w:val="00485FF9"/>
    <w:rsid w:val="004907F0"/>
    <w:rsid w:val="0049140B"/>
    <w:rsid w:val="004923A5"/>
    <w:rsid w:val="00496BFB"/>
    <w:rsid w:val="004A15C7"/>
    <w:rsid w:val="004B013B"/>
    <w:rsid w:val="004B112B"/>
    <w:rsid w:val="004B51BC"/>
    <w:rsid w:val="004C01E4"/>
    <w:rsid w:val="004C086C"/>
    <w:rsid w:val="004C1F56"/>
    <w:rsid w:val="004C27BC"/>
    <w:rsid w:val="004D15F3"/>
    <w:rsid w:val="004D5311"/>
    <w:rsid w:val="004D5DCC"/>
    <w:rsid w:val="004E0ABC"/>
    <w:rsid w:val="004E19F1"/>
    <w:rsid w:val="004F10AF"/>
    <w:rsid w:val="004F11A4"/>
    <w:rsid w:val="004F2389"/>
    <w:rsid w:val="004F304D"/>
    <w:rsid w:val="004F61BE"/>
    <w:rsid w:val="004F66B1"/>
    <w:rsid w:val="0050628C"/>
    <w:rsid w:val="00506486"/>
    <w:rsid w:val="00511C07"/>
    <w:rsid w:val="0051360B"/>
    <w:rsid w:val="005173A6"/>
    <w:rsid w:val="00520BAA"/>
    <w:rsid w:val="005236D5"/>
    <w:rsid w:val="00525208"/>
    <w:rsid w:val="005257A5"/>
    <w:rsid w:val="005264C0"/>
    <w:rsid w:val="00526A8A"/>
    <w:rsid w:val="0053112B"/>
    <w:rsid w:val="00531DF2"/>
    <w:rsid w:val="005442EE"/>
    <w:rsid w:val="00544919"/>
    <w:rsid w:val="00547353"/>
    <w:rsid w:val="005474E7"/>
    <w:rsid w:val="005512A3"/>
    <w:rsid w:val="005570B2"/>
    <w:rsid w:val="005578CE"/>
    <w:rsid w:val="00562781"/>
    <w:rsid w:val="0056377A"/>
    <w:rsid w:val="00564075"/>
    <w:rsid w:val="005700B9"/>
    <w:rsid w:val="0057271C"/>
    <w:rsid w:val="00572845"/>
    <w:rsid w:val="00585C45"/>
    <w:rsid w:val="00592772"/>
    <w:rsid w:val="0059574A"/>
    <w:rsid w:val="005A0DE1"/>
    <w:rsid w:val="005A1B9B"/>
    <w:rsid w:val="005A6751"/>
    <w:rsid w:val="005A77EB"/>
    <w:rsid w:val="005B092E"/>
    <w:rsid w:val="005B152C"/>
    <w:rsid w:val="005B1EE0"/>
    <w:rsid w:val="005B2B24"/>
    <w:rsid w:val="005B41C7"/>
    <w:rsid w:val="005B4425"/>
    <w:rsid w:val="005B4B94"/>
    <w:rsid w:val="005C3EE8"/>
    <w:rsid w:val="005D34F9"/>
    <w:rsid w:val="005D4190"/>
    <w:rsid w:val="005D67A3"/>
    <w:rsid w:val="005E2988"/>
    <w:rsid w:val="005E3085"/>
    <w:rsid w:val="005E703A"/>
    <w:rsid w:val="005F51E1"/>
    <w:rsid w:val="00605A89"/>
    <w:rsid w:val="00611C80"/>
    <w:rsid w:val="00614666"/>
    <w:rsid w:val="00620692"/>
    <w:rsid w:val="00622760"/>
    <w:rsid w:val="006242CA"/>
    <w:rsid w:val="00627507"/>
    <w:rsid w:val="00632681"/>
    <w:rsid w:val="00633717"/>
    <w:rsid w:val="006344E1"/>
    <w:rsid w:val="006545C4"/>
    <w:rsid w:val="00661971"/>
    <w:rsid w:val="00661CE8"/>
    <w:rsid w:val="006623D9"/>
    <w:rsid w:val="00665310"/>
    <w:rsid w:val="0066550C"/>
    <w:rsid w:val="006716F2"/>
    <w:rsid w:val="00675E41"/>
    <w:rsid w:val="00682BF2"/>
    <w:rsid w:val="006859CE"/>
    <w:rsid w:val="00691270"/>
    <w:rsid w:val="00694BA8"/>
    <w:rsid w:val="006A037C"/>
    <w:rsid w:val="006A36F4"/>
    <w:rsid w:val="006A406F"/>
    <w:rsid w:val="006A5D3A"/>
    <w:rsid w:val="006C23D4"/>
    <w:rsid w:val="006C7BB0"/>
    <w:rsid w:val="006D3237"/>
    <w:rsid w:val="006E2E37"/>
    <w:rsid w:val="006E3CF1"/>
    <w:rsid w:val="006E40B5"/>
    <w:rsid w:val="006E7E80"/>
    <w:rsid w:val="006F48CA"/>
    <w:rsid w:val="006F4C50"/>
    <w:rsid w:val="006F64DD"/>
    <w:rsid w:val="007025C6"/>
    <w:rsid w:val="00715127"/>
    <w:rsid w:val="00715E8E"/>
    <w:rsid w:val="00723580"/>
    <w:rsid w:val="00723755"/>
    <w:rsid w:val="0073136C"/>
    <w:rsid w:val="00731F0F"/>
    <w:rsid w:val="00733250"/>
    <w:rsid w:val="007404A1"/>
    <w:rsid w:val="00741404"/>
    <w:rsid w:val="007449E5"/>
    <w:rsid w:val="00747FF0"/>
    <w:rsid w:val="0075254D"/>
    <w:rsid w:val="00764D4E"/>
    <w:rsid w:val="007658EE"/>
    <w:rsid w:val="00765A1F"/>
    <w:rsid w:val="00773050"/>
    <w:rsid w:val="00775B6D"/>
    <w:rsid w:val="00776D68"/>
    <w:rsid w:val="0078120B"/>
    <w:rsid w:val="00783E0E"/>
    <w:rsid w:val="0078505D"/>
    <w:rsid w:val="007850EE"/>
    <w:rsid w:val="00785B95"/>
    <w:rsid w:val="00790C69"/>
    <w:rsid w:val="00790E96"/>
    <w:rsid w:val="00793366"/>
    <w:rsid w:val="007A716F"/>
    <w:rsid w:val="007B270A"/>
    <w:rsid w:val="007B74D3"/>
    <w:rsid w:val="007C0695"/>
    <w:rsid w:val="007C419A"/>
    <w:rsid w:val="007C4CC8"/>
    <w:rsid w:val="007C5426"/>
    <w:rsid w:val="007C5798"/>
    <w:rsid w:val="007D4832"/>
    <w:rsid w:val="007E21B2"/>
    <w:rsid w:val="007E2C4E"/>
    <w:rsid w:val="007F1905"/>
    <w:rsid w:val="007F65D3"/>
    <w:rsid w:val="00801300"/>
    <w:rsid w:val="00802C64"/>
    <w:rsid w:val="00805E52"/>
    <w:rsid w:val="008061D0"/>
    <w:rsid w:val="00810B38"/>
    <w:rsid w:val="008152F6"/>
    <w:rsid w:val="008204C7"/>
    <w:rsid w:val="00820992"/>
    <w:rsid w:val="00823602"/>
    <w:rsid w:val="008255F5"/>
    <w:rsid w:val="0083014E"/>
    <w:rsid w:val="0083214A"/>
    <w:rsid w:val="00834220"/>
    <w:rsid w:val="00836C95"/>
    <w:rsid w:val="00845723"/>
    <w:rsid w:val="00846052"/>
    <w:rsid w:val="0084744D"/>
    <w:rsid w:val="00851EF9"/>
    <w:rsid w:val="008577FD"/>
    <w:rsid w:val="00860B03"/>
    <w:rsid w:val="0086497A"/>
    <w:rsid w:val="008713A1"/>
    <w:rsid w:val="00871F32"/>
    <w:rsid w:val="008754AB"/>
    <w:rsid w:val="00876A0E"/>
    <w:rsid w:val="008802A9"/>
    <w:rsid w:val="0088060C"/>
    <w:rsid w:val="0089136E"/>
    <w:rsid w:val="00893576"/>
    <w:rsid w:val="00893E73"/>
    <w:rsid w:val="008970B5"/>
    <w:rsid w:val="008B02DC"/>
    <w:rsid w:val="008B57CE"/>
    <w:rsid w:val="008C0D7C"/>
    <w:rsid w:val="008C26DE"/>
    <w:rsid w:val="008C3CF2"/>
    <w:rsid w:val="008D2225"/>
    <w:rsid w:val="008D4752"/>
    <w:rsid w:val="008D7992"/>
    <w:rsid w:val="008E271C"/>
    <w:rsid w:val="008E418E"/>
    <w:rsid w:val="008E5BC6"/>
    <w:rsid w:val="008E6A25"/>
    <w:rsid w:val="008F5193"/>
    <w:rsid w:val="008F55F5"/>
    <w:rsid w:val="008F5D4A"/>
    <w:rsid w:val="009013A7"/>
    <w:rsid w:val="009017FB"/>
    <w:rsid w:val="009017FC"/>
    <w:rsid w:val="0090506B"/>
    <w:rsid w:val="009050C9"/>
    <w:rsid w:val="009066FC"/>
    <w:rsid w:val="009123A1"/>
    <w:rsid w:val="009140A3"/>
    <w:rsid w:val="009144A2"/>
    <w:rsid w:val="0091510C"/>
    <w:rsid w:val="0092116F"/>
    <w:rsid w:val="009259AC"/>
    <w:rsid w:val="00926F38"/>
    <w:rsid w:val="00934301"/>
    <w:rsid w:val="00936CD1"/>
    <w:rsid w:val="00941747"/>
    <w:rsid w:val="00941EFB"/>
    <w:rsid w:val="00942F18"/>
    <w:rsid w:val="00947AFB"/>
    <w:rsid w:val="00950436"/>
    <w:rsid w:val="00951D7D"/>
    <w:rsid w:val="009630C7"/>
    <w:rsid w:val="00972B55"/>
    <w:rsid w:val="009743B7"/>
    <w:rsid w:val="0097789C"/>
    <w:rsid w:val="0098228B"/>
    <w:rsid w:val="009828DA"/>
    <w:rsid w:val="00985127"/>
    <w:rsid w:val="00985BAB"/>
    <w:rsid w:val="009A6089"/>
    <w:rsid w:val="009B1B5F"/>
    <w:rsid w:val="009B6673"/>
    <w:rsid w:val="009C191B"/>
    <w:rsid w:val="009C2BD6"/>
    <w:rsid w:val="009C5B53"/>
    <w:rsid w:val="009D5E95"/>
    <w:rsid w:val="009E1F32"/>
    <w:rsid w:val="009E776C"/>
    <w:rsid w:val="009F65DC"/>
    <w:rsid w:val="009F70E1"/>
    <w:rsid w:val="00A1726E"/>
    <w:rsid w:val="00A204CF"/>
    <w:rsid w:val="00A21EF4"/>
    <w:rsid w:val="00A23D49"/>
    <w:rsid w:val="00A242AC"/>
    <w:rsid w:val="00A27004"/>
    <w:rsid w:val="00A30C29"/>
    <w:rsid w:val="00A34DD6"/>
    <w:rsid w:val="00A367D9"/>
    <w:rsid w:val="00A36819"/>
    <w:rsid w:val="00A36989"/>
    <w:rsid w:val="00A40AC5"/>
    <w:rsid w:val="00A43628"/>
    <w:rsid w:val="00A53AC7"/>
    <w:rsid w:val="00A54192"/>
    <w:rsid w:val="00A6035E"/>
    <w:rsid w:val="00A6144C"/>
    <w:rsid w:val="00A66617"/>
    <w:rsid w:val="00A66C39"/>
    <w:rsid w:val="00A671F8"/>
    <w:rsid w:val="00A673A4"/>
    <w:rsid w:val="00A724AE"/>
    <w:rsid w:val="00A73329"/>
    <w:rsid w:val="00A82359"/>
    <w:rsid w:val="00A827D8"/>
    <w:rsid w:val="00A8286A"/>
    <w:rsid w:val="00A865D2"/>
    <w:rsid w:val="00A94C20"/>
    <w:rsid w:val="00A954CC"/>
    <w:rsid w:val="00AA227F"/>
    <w:rsid w:val="00AA3BC7"/>
    <w:rsid w:val="00AA6F2C"/>
    <w:rsid w:val="00AA754A"/>
    <w:rsid w:val="00AB099E"/>
    <w:rsid w:val="00AB4328"/>
    <w:rsid w:val="00AC3ABA"/>
    <w:rsid w:val="00AD2FCF"/>
    <w:rsid w:val="00AD4891"/>
    <w:rsid w:val="00AD4D3A"/>
    <w:rsid w:val="00AE0A2E"/>
    <w:rsid w:val="00AE354C"/>
    <w:rsid w:val="00AE6926"/>
    <w:rsid w:val="00AF4B07"/>
    <w:rsid w:val="00AF5E2B"/>
    <w:rsid w:val="00AF6186"/>
    <w:rsid w:val="00AF7A3A"/>
    <w:rsid w:val="00B160DB"/>
    <w:rsid w:val="00B20836"/>
    <w:rsid w:val="00B235BB"/>
    <w:rsid w:val="00B27A44"/>
    <w:rsid w:val="00B27EE8"/>
    <w:rsid w:val="00B30BBF"/>
    <w:rsid w:val="00B33C03"/>
    <w:rsid w:val="00B372F9"/>
    <w:rsid w:val="00B44E56"/>
    <w:rsid w:val="00B46543"/>
    <w:rsid w:val="00B47D33"/>
    <w:rsid w:val="00B50005"/>
    <w:rsid w:val="00B52585"/>
    <w:rsid w:val="00B52BE0"/>
    <w:rsid w:val="00B52EDE"/>
    <w:rsid w:val="00B54133"/>
    <w:rsid w:val="00B701ED"/>
    <w:rsid w:val="00B8086C"/>
    <w:rsid w:val="00B861B4"/>
    <w:rsid w:val="00B86DFE"/>
    <w:rsid w:val="00B90990"/>
    <w:rsid w:val="00B922FF"/>
    <w:rsid w:val="00B9281E"/>
    <w:rsid w:val="00B93925"/>
    <w:rsid w:val="00B95187"/>
    <w:rsid w:val="00B9617A"/>
    <w:rsid w:val="00B9694A"/>
    <w:rsid w:val="00BA2D55"/>
    <w:rsid w:val="00BA71B1"/>
    <w:rsid w:val="00BA768F"/>
    <w:rsid w:val="00BB0637"/>
    <w:rsid w:val="00BB345F"/>
    <w:rsid w:val="00BB68EA"/>
    <w:rsid w:val="00BC0E02"/>
    <w:rsid w:val="00BC1C27"/>
    <w:rsid w:val="00BC6BBF"/>
    <w:rsid w:val="00BD1572"/>
    <w:rsid w:val="00BE14E3"/>
    <w:rsid w:val="00BE1BD0"/>
    <w:rsid w:val="00BE3774"/>
    <w:rsid w:val="00BE41E5"/>
    <w:rsid w:val="00BE5E04"/>
    <w:rsid w:val="00BF4109"/>
    <w:rsid w:val="00BF4CC3"/>
    <w:rsid w:val="00BF539C"/>
    <w:rsid w:val="00C03843"/>
    <w:rsid w:val="00C054C7"/>
    <w:rsid w:val="00C057B5"/>
    <w:rsid w:val="00C12FA0"/>
    <w:rsid w:val="00C22687"/>
    <w:rsid w:val="00C25A3E"/>
    <w:rsid w:val="00C2746F"/>
    <w:rsid w:val="00C32E4D"/>
    <w:rsid w:val="00C333A0"/>
    <w:rsid w:val="00C36408"/>
    <w:rsid w:val="00C36A81"/>
    <w:rsid w:val="00C41226"/>
    <w:rsid w:val="00C41974"/>
    <w:rsid w:val="00C41981"/>
    <w:rsid w:val="00C535F5"/>
    <w:rsid w:val="00C53F4A"/>
    <w:rsid w:val="00C54125"/>
    <w:rsid w:val="00C55B54"/>
    <w:rsid w:val="00C6098E"/>
    <w:rsid w:val="00C6152C"/>
    <w:rsid w:val="00C65AF1"/>
    <w:rsid w:val="00C72C5B"/>
    <w:rsid w:val="00C74810"/>
    <w:rsid w:val="00C80034"/>
    <w:rsid w:val="00C823EB"/>
    <w:rsid w:val="00C90D68"/>
    <w:rsid w:val="00C92D66"/>
    <w:rsid w:val="00C92EA1"/>
    <w:rsid w:val="00C939FE"/>
    <w:rsid w:val="00CA4BDA"/>
    <w:rsid w:val="00CA7210"/>
    <w:rsid w:val="00CA78F5"/>
    <w:rsid w:val="00CB1F66"/>
    <w:rsid w:val="00CB25E5"/>
    <w:rsid w:val="00CB2951"/>
    <w:rsid w:val="00CC295A"/>
    <w:rsid w:val="00CD0BBD"/>
    <w:rsid w:val="00CD282B"/>
    <w:rsid w:val="00CD4C35"/>
    <w:rsid w:val="00CD7369"/>
    <w:rsid w:val="00CE0B0E"/>
    <w:rsid w:val="00CE3831"/>
    <w:rsid w:val="00D00ABB"/>
    <w:rsid w:val="00D02EEC"/>
    <w:rsid w:val="00D03551"/>
    <w:rsid w:val="00D06A63"/>
    <w:rsid w:val="00D07E0E"/>
    <w:rsid w:val="00D11478"/>
    <w:rsid w:val="00D11BB3"/>
    <w:rsid w:val="00D15ED0"/>
    <w:rsid w:val="00D20A92"/>
    <w:rsid w:val="00D21B3E"/>
    <w:rsid w:val="00D21FED"/>
    <w:rsid w:val="00D22C8C"/>
    <w:rsid w:val="00D24251"/>
    <w:rsid w:val="00D343E2"/>
    <w:rsid w:val="00D361A2"/>
    <w:rsid w:val="00D44C2E"/>
    <w:rsid w:val="00D45414"/>
    <w:rsid w:val="00D47891"/>
    <w:rsid w:val="00D51DCE"/>
    <w:rsid w:val="00D566BD"/>
    <w:rsid w:val="00D57A4D"/>
    <w:rsid w:val="00D60362"/>
    <w:rsid w:val="00D60AA7"/>
    <w:rsid w:val="00D6435F"/>
    <w:rsid w:val="00D7248A"/>
    <w:rsid w:val="00D75E28"/>
    <w:rsid w:val="00D76879"/>
    <w:rsid w:val="00D772C2"/>
    <w:rsid w:val="00D8008E"/>
    <w:rsid w:val="00D82C45"/>
    <w:rsid w:val="00D908A8"/>
    <w:rsid w:val="00D977B6"/>
    <w:rsid w:val="00DA4A31"/>
    <w:rsid w:val="00DA7597"/>
    <w:rsid w:val="00DA7B04"/>
    <w:rsid w:val="00DB36C2"/>
    <w:rsid w:val="00DC169B"/>
    <w:rsid w:val="00DC2641"/>
    <w:rsid w:val="00DC2AB9"/>
    <w:rsid w:val="00DC63F0"/>
    <w:rsid w:val="00DC78CE"/>
    <w:rsid w:val="00DD6EE5"/>
    <w:rsid w:val="00DE1B80"/>
    <w:rsid w:val="00DE386C"/>
    <w:rsid w:val="00DE4D35"/>
    <w:rsid w:val="00DF098B"/>
    <w:rsid w:val="00DF11C4"/>
    <w:rsid w:val="00DF210C"/>
    <w:rsid w:val="00DF4B6A"/>
    <w:rsid w:val="00E02C09"/>
    <w:rsid w:val="00E03948"/>
    <w:rsid w:val="00E04D59"/>
    <w:rsid w:val="00E058B4"/>
    <w:rsid w:val="00E079C6"/>
    <w:rsid w:val="00E07DA1"/>
    <w:rsid w:val="00E123CB"/>
    <w:rsid w:val="00E157B0"/>
    <w:rsid w:val="00E20E13"/>
    <w:rsid w:val="00E21DBC"/>
    <w:rsid w:val="00E275D7"/>
    <w:rsid w:val="00E27DBE"/>
    <w:rsid w:val="00E32AB1"/>
    <w:rsid w:val="00E36C71"/>
    <w:rsid w:val="00E37CB1"/>
    <w:rsid w:val="00E40404"/>
    <w:rsid w:val="00E42590"/>
    <w:rsid w:val="00E459C6"/>
    <w:rsid w:val="00E45ED8"/>
    <w:rsid w:val="00E47589"/>
    <w:rsid w:val="00E6466C"/>
    <w:rsid w:val="00E64915"/>
    <w:rsid w:val="00E65567"/>
    <w:rsid w:val="00E661D4"/>
    <w:rsid w:val="00E70091"/>
    <w:rsid w:val="00E720F5"/>
    <w:rsid w:val="00E76D47"/>
    <w:rsid w:val="00E849F7"/>
    <w:rsid w:val="00E90302"/>
    <w:rsid w:val="00E91570"/>
    <w:rsid w:val="00E948F6"/>
    <w:rsid w:val="00E95B67"/>
    <w:rsid w:val="00E97396"/>
    <w:rsid w:val="00E9793E"/>
    <w:rsid w:val="00EA185E"/>
    <w:rsid w:val="00EA4BD7"/>
    <w:rsid w:val="00EA592A"/>
    <w:rsid w:val="00EB14E4"/>
    <w:rsid w:val="00EB32A5"/>
    <w:rsid w:val="00EB34ED"/>
    <w:rsid w:val="00EB5F31"/>
    <w:rsid w:val="00EB7BE0"/>
    <w:rsid w:val="00EC315E"/>
    <w:rsid w:val="00EC69C0"/>
    <w:rsid w:val="00ED077C"/>
    <w:rsid w:val="00ED1190"/>
    <w:rsid w:val="00ED21B7"/>
    <w:rsid w:val="00ED64CB"/>
    <w:rsid w:val="00ED6544"/>
    <w:rsid w:val="00EE0277"/>
    <w:rsid w:val="00EE3E00"/>
    <w:rsid w:val="00EE5DD2"/>
    <w:rsid w:val="00F00A79"/>
    <w:rsid w:val="00F00E86"/>
    <w:rsid w:val="00F06A15"/>
    <w:rsid w:val="00F07C1E"/>
    <w:rsid w:val="00F105DB"/>
    <w:rsid w:val="00F132BC"/>
    <w:rsid w:val="00F13D80"/>
    <w:rsid w:val="00F16AAA"/>
    <w:rsid w:val="00F17984"/>
    <w:rsid w:val="00F21161"/>
    <w:rsid w:val="00F218EF"/>
    <w:rsid w:val="00F21BC7"/>
    <w:rsid w:val="00F266A2"/>
    <w:rsid w:val="00F26714"/>
    <w:rsid w:val="00F32269"/>
    <w:rsid w:val="00F5432B"/>
    <w:rsid w:val="00F54EE8"/>
    <w:rsid w:val="00F56A6F"/>
    <w:rsid w:val="00F5709C"/>
    <w:rsid w:val="00F64EF1"/>
    <w:rsid w:val="00F76D6B"/>
    <w:rsid w:val="00F8765F"/>
    <w:rsid w:val="00F90767"/>
    <w:rsid w:val="00FA685B"/>
    <w:rsid w:val="00FB0C01"/>
    <w:rsid w:val="00FB7E69"/>
    <w:rsid w:val="00FC1671"/>
    <w:rsid w:val="00FC18F2"/>
    <w:rsid w:val="00FC39E5"/>
    <w:rsid w:val="00FC3A78"/>
    <w:rsid w:val="00FD1005"/>
    <w:rsid w:val="00FD65C9"/>
    <w:rsid w:val="00FD6C75"/>
    <w:rsid w:val="00FE28CA"/>
    <w:rsid w:val="00FE5050"/>
    <w:rsid w:val="00FE71B3"/>
    <w:rsid w:val="00FF2893"/>
    <w:rsid w:val="00FF4195"/>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9BA6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622760"/>
    <w:pPr>
      <w:jc w:val="both"/>
    </w:pPr>
    <w:rPr>
      <w:rFonts w:eastAsiaTheme="minorEastAsia"/>
      <w:sz w:val="24"/>
      <w:lang w:val="en-GB"/>
    </w:rPr>
  </w:style>
  <w:style w:type="paragraph" w:styleId="Nagwek1">
    <w:name w:val="heading 1"/>
    <w:basedOn w:val="Normalny"/>
    <w:next w:val="Normalny"/>
    <w:link w:val="Nagwek1Znak"/>
    <w:uiPriority w:val="99"/>
    <w:semiHidden/>
    <w:rsid w:val="00622760"/>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622760"/>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622760"/>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622760"/>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22760"/>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62276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22760"/>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622760"/>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622760"/>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622760"/>
    <w:rPr>
      <w:rFonts w:ascii="Tahoma" w:hAnsi="Tahoma" w:cs="Tahoma"/>
      <w:sz w:val="16"/>
      <w:szCs w:val="16"/>
    </w:rPr>
  </w:style>
  <w:style w:type="character" w:customStyle="1" w:styleId="TekstdymkaZnak">
    <w:name w:val="Tekst dymka Znak"/>
    <w:basedOn w:val="Domylnaczcionkaakapitu"/>
    <w:link w:val="Tekstdymka"/>
    <w:uiPriority w:val="99"/>
    <w:semiHidden/>
    <w:rsid w:val="00622760"/>
    <w:rPr>
      <w:rFonts w:ascii="Tahoma" w:eastAsiaTheme="minorEastAsia" w:hAnsi="Tahoma" w:cs="Tahoma"/>
      <w:sz w:val="16"/>
      <w:szCs w:val="16"/>
      <w:lang w:val="en-GB"/>
    </w:rPr>
  </w:style>
  <w:style w:type="character" w:styleId="Tytuksiki">
    <w:name w:val="Book Title"/>
    <w:uiPriority w:val="99"/>
    <w:semiHidden/>
    <w:qFormat/>
    <w:rsid w:val="00622760"/>
    <w:rPr>
      <w:i/>
      <w:iCs/>
      <w:smallCaps/>
      <w:spacing w:val="5"/>
    </w:rPr>
  </w:style>
  <w:style w:type="paragraph" w:customStyle="1" w:styleId="ECHRHeader">
    <w:name w:val="ECHR_Header"/>
    <w:aliases w:val="Ju_Header"/>
    <w:basedOn w:val="Nagwek"/>
    <w:uiPriority w:val="4"/>
    <w:qFormat/>
    <w:rsid w:val="00622760"/>
    <w:pPr>
      <w:tabs>
        <w:tab w:val="clear" w:pos="4536"/>
        <w:tab w:val="clear" w:pos="9072"/>
        <w:tab w:val="center" w:pos="3686"/>
        <w:tab w:val="right" w:pos="7371"/>
      </w:tabs>
      <w:jc w:val="left"/>
    </w:pPr>
    <w:rPr>
      <w:sz w:val="18"/>
    </w:rPr>
  </w:style>
  <w:style w:type="paragraph" w:customStyle="1" w:styleId="DecHTitle">
    <w:name w:val="Dec_H_Title"/>
    <w:basedOn w:val="ECHRTitleCentre1"/>
    <w:uiPriority w:val="7"/>
    <w:semiHidden/>
    <w:qFormat/>
    <w:rsid w:val="00622760"/>
  </w:style>
  <w:style w:type="character" w:styleId="Pogrubienie">
    <w:name w:val="Strong"/>
    <w:uiPriority w:val="99"/>
    <w:semiHidden/>
    <w:qFormat/>
    <w:rsid w:val="00622760"/>
    <w:rPr>
      <w:b/>
      <w:bCs/>
    </w:rPr>
  </w:style>
  <w:style w:type="paragraph" w:styleId="Bezodstpw">
    <w:name w:val="No Spacing"/>
    <w:basedOn w:val="Normalny"/>
    <w:link w:val="BezodstpwZnak"/>
    <w:semiHidden/>
    <w:qFormat/>
    <w:rsid w:val="00622760"/>
    <w:rPr>
      <w:sz w:val="22"/>
      <w:lang w:val="en-US"/>
    </w:rPr>
  </w:style>
  <w:style w:type="character" w:customStyle="1" w:styleId="BezodstpwZnak">
    <w:name w:val="Bez odstępów Znak"/>
    <w:basedOn w:val="Domylnaczcionkaakapitu"/>
    <w:link w:val="Bezodstpw"/>
    <w:semiHidden/>
    <w:rsid w:val="00622760"/>
    <w:rPr>
      <w:rFonts w:eastAsiaTheme="minorEastAsia"/>
    </w:rPr>
  </w:style>
  <w:style w:type="paragraph" w:customStyle="1" w:styleId="ECHRParaQuote">
    <w:name w:val="ECHR_Para_Quote"/>
    <w:aliases w:val="Ju_Quot"/>
    <w:basedOn w:val="Normalny"/>
    <w:link w:val="JuQuotChar"/>
    <w:uiPriority w:val="14"/>
    <w:qFormat/>
    <w:rsid w:val="00622760"/>
    <w:pPr>
      <w:spacing w:before="120" w:after="120"/>
      <w:ind w:left="425" w:firstLine="142"/>
    </w:pPr>
    <w:rPr>
      <w:sz w:val="20"/>
    </w:rPr>
  </w:style>
  <w:style w:type="paragraph" w:customStyle="1" w:styleId="DecList">
    <w:name w:val="Dec_List"/>
    <w:basedOn w:val="Normalny"/>
    <w:uiPriority w:val="9"/>
    <w:semiHidden/>
    <w:qFormat/>
    <w:rsid w:val="00622760"/>
    <w:pPr>
      <w:spacing w:before="240"/>
      <w:ind w:left="284"/>
    </w:pPr>
  </w:style>
  <w:style w:type="paragraph" w:customStyle="1" w:styleId="DummyStyle">
    <w:name w:val="Dummy_Style"/>
    <w:basedOn w:val="Normalny"/>
    <w:semiHidden/>
    <w:qFormat/>
    <w:rsid w:val="00622760"/>
    <w:rPr>
      <w:color w:val="00B050"/>
    </w:rPr>
  </w:style>
  <w:style w:type="paragraph" w:customStyle="1" w:styleId="JuAppQuestion">
    <w:name w:val="Ju_App_Question"/>
    <w:basedOn w:val="Normalny"/>
    <w:uiPriority w:val="5"/>
    <w:semiHidden/>
    <w:qFormat/>
    <w:rsid w:val="00622760"/>
    <w:pPr>
      <w:numPr>
        <w:numId w:val="31"/>
      </w:numPr>
      <w:jc w:val="left"/>
    </w:pPr>
    <w:rPr>
      <w:b/>
    </w:rPr>
  </w:style>
  <w:style w:type="paragraph" w:customStyle="1" w:styleId="JuCourt">
    <w:name w:val="Ju_Court"/>
    <w:basedOn w:val="Normalny"/>
    <w:next w:val="Normalny"/>
    <w:uiPriority w:val="16"/>
    <w:qFormat/>
    <w:rsid w:val="00622760"/>
    <w:pPr>
      <w:tabs>
        <w:tab w:val="left" w:pos="907"/>
        <w:tab w:val="left" w:pos="1701"/>
        <w:tab w:val="right" w:pos="7371"/>
      </w:tabs>
      <w:spacing w:before="240"/>
      <w:ind w:left="397" w:hanging="397"/>
      <w:jc w:val="left"/>
    </w:pPr>
    <w:rPr>
      <w:lang w:bidi="en-US"/>
    </w:rPr>
  </w:style>
  <w:style w:type="paragraph" w:customStyle="1" w:styleId="ECHRTitleCentre3">
    <w:name w:val="ECHR_Title_Centre_3"/>
    <w:aliases w:val="Ju_H_Article"/>
    <w:basedOn w:val="Normalny"/>
    <w:next w:val="ECHRParaQuote"/>
    <w:uiPriority w:val="27"/>
    <w:qFormat/>
    <w:rsid w:val="00622760"/>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622760"/>
    <w:pPr>
      <w:keepNext/>
      <w:keepLines/>
      <w:spacing w:after="240"/>
      <w:jc w:val="center"/>
      <w:outlineLvl w:val="0"/>
    </w:pPr>
    <w:rPr>
      <w:rFonts w:asciiTheme="majorHAnsi" w:hAnsiTheme="majorHAnsi"/>
      <w:sz w:val="28"/>
    </w:rPr>
  </w:style>
  <w:style w:type="paragraph" w:customStyle="1" w:styleId="JuInitialled">
    <w:name w:val="Ju_Initialled"/>
    <w:basedOn w:val="Normalny"/>
    <w:uiPriority w:val="31"/>
    <w:qFormat/>
    <w:rsid w:val="00622760"/>
    <w:pPr>
      <w:tabs>
        <w:tab w:val="center" w:pos="6407"/>
      </w:tabs>
      <w:spacing w:before="720"/>
      <w:jc w:val="right"/>
    </w:pPr>
  </w:style>
  <w:style w:type="paragraph" w:customStyle="1" w:styleId="ECHRTitle1">
    <w:name w:val="ECHR_Title_1"/>
    <w:aliases w:val="Ju_H_Head"/>
    <w:basedOn w:val="Normalny"/>
    <w:next w:val="ECHRPara"/>
    <w:uiPriority w:val="18"/>
    <w:qFormat/>
    <w:rsid w:val="00622760"/>
    <w:pPr>
      <w:keepNext/>
      <w:keepLines/>
      <w:spacing w:before="720" w:after="240"/>
      <w:outlineLvl w:val="0"/>
    </w:pPr>
    <w:rPr>
      <w:rFonts w:asciiTheme="majorHAnsi" w:hAnsiTheme="majorHAnsi"/>
      <w:sz w:val="28"/>
    </w:rPr>
  </w:style>
  <w:style w:type="paragraph" w:customStyle="1" w:styleId="JuListi">
    <w:name w:val="Ju_List_i"/>
    <w:basedOn w:val="Normalny"/>
    <w:next w:val="JuLista"/>
    <w:uiPriority w:val="28"/>
    <w:qFormat/>
    <w:rsid w:val="00622760"/>
    <w:pPr>
      <w:ind w:left="794"/>
    </w:pPr>
  </w:style>
  <w:style w:type="paragraph" w:customStyle="1" w:styleId="JuSigned">
    <w:name w:val="Ju_Signed"/>
    <w:basedOn w:val="Normalny"/>
    <w:next w:val="JuParaLast"/>
    <w:uiPriority w:val="32"/>
    <w:qFormat/>
    <w:rsid w:val="00622760"/>
    <w:pPr>
      <w:tabs>
        <w:tab w:val="center" w:pos="851"/>
        <w:tab w:val="center" w:pos="6407"/>
      </w:tabs>
      <w:spacing w:before="720"/>
      <w:jc w:val="left"/>
    </w:pPr>
  </w:style>
  <w:style w:type="paragraph" w:styleId="Tytu">
    <w:name w:val="Title"/>
    <w:basedOn w:val="Normalny"/>
    <w:next w:val="Normalny"/>
    <w:link w:val="TytuZnak"/>
    <w:uiPriority w:val="99"/>
    <w:semiHidden/>
    <w:qFormat/>
    <w:rsid w:val="00622760"/>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622760"/>
    <w:rPr>
      <w:rFonts w:asciiTheme="majorHAnsi" w:eastAsiaTheme="majorEastAsia" w:hAnsiTheme="majorHAnsi" w:cstheme="majorBidi"/>
      <w:spacing w:val="5"/>
      <w:sz w:val="52"/>
      <w:szCs w:val="52"/>
      <w:lang w:bidi="en-US"/>
    </w:rPr>
  </w:style>
  <w:style w:type="character" w:customStyle="1" w:styleId="JUNAMES">
    <w:name w:val="JU_NAMES"/>
    <w:uiPriority w:val="17"/>
    <w:qFormat/>
    <w:rsid w:val="00622760"/>
    <w:rPr>
      <w:caps w:val="0"/>
      <w:smallCaps/>
    </w:rPr>
  </w:style>
  <w:style w:type="paragraph" w:customStyle="1" w:styleId="JuParaSub">
    <w:name w:val="Ju_Para_Sub"/>
    <w:basedOn w:val="ECHRPara"/>
    <w:uiPriority w:val="13"/>
    <w:qFormat/>
    <w:rsid w:val="00622760"/>
    <w:pPr>
      <w:ind w:left="284"/>
    </w:pPr>
  </w:style>
  <w:style w:type="character" w:customStyle="1" w:styleId="JuITMark">
    <w:name w:val="Ju_ITMark"/>
    <w:basedOn w:val="Domylnaczcionkaakapitu"/>
    <w:uiPriority w:val="38"/>
    <w:qFormat/>
    <w:rsid w:val="00622760"/>
    <w:rPr>
      <w:vanish w:val="0"/>
      <w:color w:val="auto"/>
      <w:sz w:val="14"/>
      <w:bdr w:val="none" w:sz="0" w:space="0" w:color="auto"/>
      <w:shd w:val="clear" w:color="auto" w:fill="BEE5FF" w:themeFill="background1" w:themeFillTint="33"/>
    </w:rPr>
  </w:style>
  <w:style w:type="paragraph" w:customStyle="1" w:styleId="JuQuotSub">
    <w:name w:val="Ju_Quot_Sub"/>
    <w:basedOn w:val="ECHRParaQuote"/>
    <w:uiPriority w:val="15"/>
    <w:qFormat/>
    <w:rsid w:val="00622760"/>
    <w:pPr>
      <w:ind w:left="567"/>
    </w:pPr>
  </w:style>
  <w:style w:type="paragraph" w:customStyle="1" w:styleId="JuTitle">
    <w:name w:val="Ju_Title"/>
    <w:basedOn w:val="Normalny"/>
    <w:next w:val="ECHRPara"/>
    <w:uiPriority w:val="3"/>
    <w:semiHidden/>
    <w:qFormat/>
    <w:rsid w:val="00622760"/>
    <w:pPr>
      <w:spacing w:before="720" w:after="240"/>
      <w:jc w:val="center"/>
      <w:outlineLvl w:val="0"/>
    </w:pPr>
    <w:rPr>
      <w:rFonts w:asciiTheme="majorHAnsi" w:hAnsiTheme="majorHAnsi"/>
      <w:b/>
      <w:caps/>
    </w:rPr>
  </w:style>
  <w:style w:type="paragraph" w:customStyle="1" w:styleId="ECHRHeading1">
    <w:name w:val="ECHR_Heading_1"/>
    <w:aliases w:val="Ju_H_I_Roman"/>
    <w:basedOn w:val="Nagwek1"/>
    <w:next w:val="ECHRPara"/>
    <w:link w:val="JuHIRomanChar"/>
    <w:uiPriority w:val="19"/>
    <w:qFormat/>
    <w:rsid w:val="00622760"/>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622760"/>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622760"/>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622760"/>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622760"/>
    <w:rPr>
      <w:sz w:val="24"/>
      <w:lang w:val="en-GB"/>
    </w:rPr>
  </w:style>
  <w:style w:type="character" w:customStyle="1" w:styleId="Nagwek1Znak">
    <w:name w:val="Nagłówek 1 Znak"/>
    <w:basedOn w:val="Domylnaczcionkaakapitu"/>
    <w:link w:val="Nagwek1"/>
    <w:uiPriority w:val="99"/>
    <w:semiHidden/>
    <w:rsid w:val="00622760"/>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Nagwek4"/>
    <w:next w:val="ECHRPara"/>
    <w:uiPriority w:val="22"/>
    <w:qFormat/>
    <w:rsid w:val="00622760"/>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622760"/>
    <w:pPr>
      <w:keepNext/>
      <w:keepLines/>
      <w:tabs>
        <w:tab w:val="left" w:pos="1191"/>
      </w:tabs>
      <w:spacing w:before="240" w:after="120"/>
      <w:ind w:left="1190" w:hanging="357"/>
    </w:pPr>
    <w:rPr>
      <w:b w:val="0"/>
      <w:i/>
      <w:color w:val="auto"/>
      <w:sz w:val="20"/>
      <w:lang w:val="en-GB"/>
    </w:rPr>
  </w:style>
  <w:style w:type="character" w:customStyle="1" w:styleId="Nagwek2Znak">
    <w:name w:val="Nagłówek 2 Znak"/>
    <w:basedOn w:val="Domylnaczcionkaakapitu"/>
    <w:link w:val="Nagwek2"/>
    <w:uiPriority w:val="99"/>
    <w:semiHidden/>
    <w:rsid w:val="00622760"/>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Nagwek6"/>
    <w:next w:val="ECHRPara"/>
    <w:uiPriority w:val="24"/>
    <w:qFormat/>
    <w:rsid w:val="00622760"/>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622760"/>
    <w:pPr>
      <w:keepNext/>
      <w:keepLines/>
      <w:spacing w:before="240" w:after="120"/>
      <w:ind w:left="1236"/>
    </w:pPr>
    <w:rPr>
      <w:sz w:val="20"/>
      <w:lang w:val="en-GB"/>
    </w:rPr>
  </w:style>
  <w:style w:type="character" w:customStyle="1" w:styleId="Nagwek3Znak">
    <w:name w:val="Nagłówek 3 Znak"/>
    <w:basedOn w:val="Domylnaczcionkaakapitu"/>
    <w:link w:val="Nagwek3"/>
    <w:uiPriority w:val="99"/>
    <w:semiHidden/>
    <w:rsid w:val="00622760"/>
    <w:rPr>
      <w:rFonts w:asciiTheme="majorHAnsi" w:eastAsiaTheme="majorEastAsia" w:hAnsiTheme="majorHAnsi" w:cstheme="majorBidi"/>
      <w:b/>
      <w:bCs/>
      <w:color w:val="5F5F5F"/>
      <w:sz w:val="24"/>
      <w:lang w:val="en-GB"/>
    </w:rPr>
  </w:style>
  <w:style w:type="paragraph" w:customStyle="1" w:styleId="JuParaLast">
    <w:name w:val="Ju_Para_Last"/>
    <w:basedOn w:val="Normalny"/>
    <w:next w:val="ECHRPara"/>
    <w:uiPriority w:val="30"/>
    <w:qFormat/>
    <w:rsid w:val="00622760"/>
    <w:pPr>
      <w:keepNext/>
      <w:keepLines/>
      <w:spacing w:before="240"/>
      <w:ind w:firstLine="284"/>
    </w:pPr>
  </w:style>
  <w:style w:type="paragraph" w:customStyle="1" w:styleId="JuList">
    <w:name w:val="Ju_List"/>
    <w:basedOn w:val="Normalny"/>
    <w:uiPriority w:val="28"/>
    <w:qFormat/>
    <w:rsid w:val="00622760"/>
    <w:pPr>
      <w:ind w:left="340" w:hanging="340"/>
    </w:pPr>
  </w:style>
  <w:style w:type="character" w:customStyle="1" w:styleId="Nagwek4Znak">
    <w:name w:val="Nagłówek 4 Znak"/>
    <w:basedOn w:val="Domylnaczcionkaakapitu"/>
    <w:link w:val="Nagwek4"/>
    <w:uiPriority w:val="99"/>
    <w:semiHidden/>
    <w:rsid w:val="00622760"/>
    <w:rPr>
      <w:rFonts w:asciiTheme="majorHAnsi" w:eastAsiaTheme="majorEastAsia" w:hAnsiTheme="majorHAnsi" w:cstheme="majorBidi"/>
      <w:b/>
      <w:bCs/>
      <w:i/>
      <w:iCs/>
      <w:color w:val="777777"/>
      <w:sz w:val="24"/>
      <w:lang w:val="en-GB"/>
    </w:rPr>
  </w:style>
  <w:style w:type="paragraph" w:customStyle="1" w:styleId="JuLista">
    <w:name w:val="Ju_List_a"/>
    <w:basedOn w:val="JuList"/>
    <w:uiPriority w:val="28"/>
    <w:qFormat/>
    <w:rsid w:val="00622760"/>
    <w:pPr>
      <w:ind w:left="346" w:firstLine="0"/>
    </w:pPr>
  </w:style>
  <w:style w:type="character" w:customStyle="1" w:styleId="Nagwek5Znak">
    <w:name w:val="Nagłówek 5 Znak"/>
    <w:basedOn w:val="Domylnaczcionkaakapitu"/>
    <w:link w:val="Nagwek5"/>
    <w:uiPriority w:val="99"/>
    <w:semiHidden/>
    <w:rsid w:val="00622760"/>
    <w:rPr>
      <w:rFonts w:asciiTheme="majorHAnsi" w:eastAsiaTheme="majorEastAsia" w:hAnsiTheme="majorHAnsi" w:cstheme="majorBidi"/>
      <w:b/>
      <w:bCs/>
      <w:color w:val="808080"/>
    </w:rPr>
  </w:style>
  <w:style w:type="paragraph" w:customStyle="1" w:styleId="OpiH1">
    <w:name w:val="Opi_H_1"/>
    <w:basedOn w:val="ECHRHeading2"/>
    <w:uiPriority w:val="42"/>
    <w:qFormat/>
    <w:rsid w:val="00622760"/>
    <w:pPr>
      <w:ind w:left="635" w:hanging="357"/>
      <w:outlineLvl w:val="2"/>
    </w:pPr>
  </w:style>
  <w:style w:type="paragraph" w:customStyle="1" w:styleId="OpiHA">
    <w:name w:val="Opi_H_A"/>
    <w:basedOn w:val="ECHRHeading1"/>
    <w:next w:val="OpiPara"/>
    <w:uiPriority w:val="41"/>
    <w:qFormat/>
    <w:rsid w:val="00622760"/>
    <w:pPr>
      <w:tabs>
        <w:tab w:val="clear" w:pos="357"/>
      </w:tabs>
      <w:outlineLvl w:val="1"/>
    </w:pPr>
    <w:rPr>
      <w:b/>
    </w:rPr>
  </w:style>
  <w:style w:type="character" w:styleId="Wyrnieniedelikatne">
    <w:name w:val="Subtle Emphasis"/>
    <w:uiPriority w:val="99"/>
    <w:semiHidden/>
    <w:qFormat/>
    <w:rsid w:val="00622760"/>
    <w:rPr>
      <w:i/>
      <w:iCs/>
    </w:rPr>
  </w:style>
  <w:style w:type="paragraph" w:customStyle="1" w:styleId="OpiHa0">
    <w:name w:val="Opi_H_a"/>
    <w:basedOn w:val="ECHRHeading3"/>
    <w:uiPriority w:val="43"/>
    <w:qFormat/>
    <w:rsid w:val="00622760"/>
    <w:pPr>
      <w:ind w:left="833" w:hanging="357"/>
      <w:outlineLvl w:val="3"/>
    </w:pPr>
    <w:rPr>
      <w:b/>
      <w:i w:val="0"/>
      <w:sz w:val="20"/>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i">
    <w:name w:val="Opi_H_i"/>
    <w:basedOn w:val="ECHRHeading4"/>
    <w:uiPriority w:val="44"/>
    <w:qFormat/>
    <w:rsid w:val="00622760"/>
    <w:pPr>
      <w:ind w:left="1037" w:hanging="357"/>
      <w:outlineLvl w:val="4"/>
    </w:pPr>
    <w:rPr>
      <w:b w:val="0"/>
      <w:i/>
    </w:rPr>
  </w:style>
  <w:style w:type="paragraph" w:customStyle="1" w:styleId="OpiPara">
    <w:name w:val="Opi_Para"/>
    <w:basedOn w:val="ECHRPara"/>
    <w:uiPriority w:val="46"/>
    <w:qFormat/>
    <w:rsid w:val="00622760"/>
  </w:style>
  <w:style w:type="paragraph" w:styleId="Podtytu">
    <w:name w:val="Subtitle"/>
    <w:basedOn w:val="Normalny"/>
    <w:next w:val="Normalny"/>
    <w:link w:val="PodtytuZnak"/>
    <w:uiPriority w:val="99"/>
    <w:semiHidden/>
    <w:qFormat/>
    <w:rsid w:val="00622760"/>
    <w:pPr>
      <w:spacing w:after="600"/>
    </w:pPr>
    <w:rPr>
      <w:rFonts w:asciiTheme="majorHAnsi" w:eastAsiaTheme="majorEastAsia" w:hAnsiTheme="majorHAnsi" w:cstheme="majorBidi"/>
      <w:i/>
      <w:iCs/>
      <w:spacing w:val="13"/>
      <w:szCs w:val="24"/>
      <w:lang w:val="en-US" w:bidi="en-US"/>
    </w:rPr>
  </w:style>
  <w:style w:type="character" w:styleId="Uwydatnienie">
    <w:name w:val="Emphasis"/>
    <w:uiPriority w:val="99"/>
    <w:semiHidden/>
    <w:qFormat/>
    <w:rsid w:val="00622760"/>
    <w:rPr>
      <w:b/>
      <w:bCs/>
      <w:i/>
      <w:iCs/>
      <w:spacing w:val="10"/>
      <w:bdr w:val="none" w:sz="0" w:space="0" w:color="auto"/>
      <w:shd w:val="clear" w:color="auto" w:fill="auto"/>
    </w:rPr>
  </w:style>
  <w:style w:type="paragraph" w:styleId="Stopka">
    <w:name w:val="footer"/>
    <w:basedOn w:val="Normalny"/>
    <w:link w:val="StopkaZnak"/>
    <w:uiPriority w:val="57"/>
    <w:semiHidden/>
    <w:rsid w:val="00622760"/>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622760"/>
    <w:rPr>
      <w:sz w:val="24"/>
      <w:lang w:val="en-GB"/>
    </w:rPr>
  </w:style>
  <w:style w:type="character" w:styleId="Odwoanieprzypisudolnego">
    <w:name w:val="footnote reference"/>
    <w:basedOn w:val="Domylnaczcionkaakapitu"/>
    <w:uiPriority w:val="99"/>
    <w:semiHidden/>
    <w:rsid w:val="00622760"/>
    <w:rPr>
      <w:vertAlign w:val="superscript"/>
    </w:rPr>
  </w:style>
  <w:style w:type="paragraph" w:styleId="Tekstprzypisudolnego">
    <w:name w:val="footnote text"/>
    <w:basedOn w:val="Normalny"/>
    <w:link w:val="TekstprzypisudolnegoZnak"/>
    <w:uiPriority w:val="99"/>
    <w:semiHidden/>
    <w:rsid w:val="00622760"/>
    <w:rPr>
      <w:sz w:val="20"/>
      <w:szCs w:val="20"/>
    </w:rPr>
  </w:style>
  <w:style w:type="character" w:customStyle="1" w:styleId="TekstprzypisudolnegoZnak">
    <w:name w:val="Tekst przypisu dolnego Znak"/>
    <w:basedOn w:val="Domylnaczcionkaakapitu"/>
    <w:link w:val="Tekstprzypisudolnego"/>
    <w:uiPriority w:val="99"/>
    <w:semiHidden/>
    <w:rsid w:val="00622760"/>
    <w:rPr>
      <w:rFonts w:eastAsiaTheme="minorEastAsia"/>
      <w:sz w:val="20"/>
      <w:szCs w:val="20"/>
      <w:lang w:val="en-GB"/>
    </w:rPr>
  </w:style>
  <w:style w:type="character" w:customStyle="1" w:styleId="Nagwek6Znak">
    <w:name w:val="Nagłówek 6 Znak"/>
    <w:basedOn w:val="Domylnaczcionkaakapitu"/>
    <w:link w:val="Nagwek6"/>
    <w:uiPriority w:val="99"/>
    <w:semiHidden/>
    <w:rsid w:val="00622760"/>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622760"/>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622760"/>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22760"/>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622760"/>
    <w:rPr>
      <w:color w:val="0072BC" w:themeColor="hyperlink"/>
      <w:u w:val="single"/>
    </w:rPr>
  </w:style>
  <w:style w:type="character" w:styleId="Wyrnienieintensywne">
    <w:name w:val="Intense Emphasis"/>
    <w:uiPriority w:val="99"/>
    <w:semiHidden/>
    <w:qFormat/>
    <w:rsid w:val="00622760"/>
    <w:rPr>
      <w:b/>
      <w:bCs/>
    </w:rPr>
  </w:style>
  <w:style w:type="paragraph" w:styleId="Cytatintensywny">
    <w:name w:val="Intense Quote"/>
    <w:basedOn w:val="Normalny"/>
    <w:next w:val="Normalny"/>
    <w:link w:val="CytatintensywnyZnak"/>
    <w:uiPriority w:val="99"/>
    <w:semiHidden/>
    <w:qFormat/>
    <w:rsid w:val="00622760"/>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622760"/>
    <w:rPr>
      <w:rFonts w:eastAsiaTheme="minorEastAsia"/>
      <w:b/>
      <w:bCs/>
      <w:i/>
      <w:iCs/>
      <w:lang w:bidi="en-US"/>
    </w:rPr>
  </w:style>
  <w:style w:type="character" w:styleId="Odwoanieintensywne">
    <w:name w:val="Intense Reference"/>
    <w:uiPriority w:val="99"/>
    <w:semiHidden/>
    <w:qFormat/>
    <w:rsid w:val="00622760"/>
    <w:rPr>
      <w:smallCaps/>
      <w:spacing w:val="5"/>
      <w:u w:val="single"/>
    </w:rPr>
  </w:style>
  <w:style w:type="paragraph" w:styleId="Akapitzlist">
    <w:name w:val="List Paragraph"/>
    <w:basedOn w:val="Normalny"/>
    <w:uiPriority w:val="99"/>
    <w:semiHidden/>
    <w:qFormat/>
    <w:rsid w:val="00622760"/>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622760"/>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622760"/>
    <w:rPr>
      <w:rFonts w:eastAsiaTheme="minorEastAsia"/>
      <w:i/>
      <w:iCs/>
      <w:lang w:bidi="en-US"/>
    </w:rPr>
  </w:style>
  <w:style w:type="character" w:styleId="Odwoaniedelikatne">
    <w:name w:val="Subtle Reference"/>
    <w:uiPriority w:val="99"/>
    <w:semiHidden/>
    <w:qFormat/>
    <w:rsid w:val="00622760"/>
    <w:rPr>
      <w:smallCaps/>
    </w:rPr>
  </w:style>
  <w:style w:type="table" w:styleId="Tabela-Siatka">
    <w:name w:val="Table Grid"/>
    <w:basedOn w:val="Standardowy"/>
    <w:uiPriority w:val="59"/>
    <w:semiHidden/>
    <w:rsid w:val="00622760"/>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622760"/>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622760"/>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622760"/>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622760"/>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622760"/>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622760"/>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622760"/>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character" w:customStyle="1" w:styleId="PodtytuZnak">
    <w:name w:val="Podtytuł Znak"/>
    <w:basedOn w:val="Domylnaczcionkaakapitu"/>
    <w:link w:val="Podtytu"/>
    <w:uiPriority w:val="99"/>
    <w:semiHidden/>
    <w:rsid w:val="00622760"/>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2D2C99"/>
    <w:pPr>
      <w:numPr>
        <w:numId w:val="9"/>
      </w:numPr>
    </w:pPr>
  </w:style>
  <w:style w:type="numbering" w:styleId="1ai">
    <w:name w:val="Outline List 1"/>
    <w:basedOn w:val="Bezlisty"/>
    <w:uiPriority w:val="99"/>
    <w:semiHidden/>
    <w:unhideWhenUsed/>
    <w:rsid w:val="002D2C99"/>
    <w:pPr>
      <w:numPr>
        <w:numId w:val="10"/>
      </w:numPr>
    </w:pPr>
  </w:style>
  <w:style w:type="paragraph" w:customStyle="1" w:styleId="ECHRPara">
    <w:name w:val="ECHR_Para"/>
    <w:aliases w:val="Ju_Para"/>
    <w:basedOn w:val="Normalny"/>
    <w:link w:val="ECHRParaChar"/>
    <w:uiPriority w:val="12"/>
    <w:qFormat/>
    <w:rsid w:val="00622760"/>
    <w:pPr>
      <w:ind w:firstLine="284"/>
    </w:pPr>
  </w:style>
  <w:style w:type="numbering" w:styleId="Artykusekcja">
    <w:name w:val="Outline List 3"/>
    <w:basedOn w:val="Bezlisty"/>
    <w:uiPriority w:val="99"/>
    <w:semiHidden/>
    <w:unhideWhenUsed/>
    <w:rsid w:val="002D2C99"/>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ibliografia">
    <w:name w:val="Bibliography"/>
    <w:basedOn w:val="Normalny"/>
    <w:next w:val="Normalny"/>
    <w:uiPriority w:val="99"/>
    <w:semiHidden/>
    <w:rsid w:val="002D2C99"/>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22760"/>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Tekstblokowy">
    <w:name w:val="Block Text"/>
    <w:basedOn w:val="Normalny"/>
    <w:uiPriority w:val="99"/>
    <w:semiHidden/>
    <w:rsid w:val="002D2C99"/>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paragraph" w:styleId="Tekstpodstawowy">
    <w:name w:val="Body Text"/>
    <w:basedOn w:val="Normalny"/>
    <w:link w:val="TekstpodstawowyZnak"/>
    <w:uiPriority w:val="99"/>
    <w:semiHidden/>
    <w:rsid w:val="002D2C99"/>
    <w:pPr>
      <w:spacing w:after="120"/>
    </w:p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TekstpodstawowyZnak">
    <w:name w:val="Tekst podstawowy Znak"/>
    <w:basedOn w:val="Domylnaczcionkaakapitu"/>
    <w:link w:val="Tekstpodstawowy"/>
    <w:uiPriority w:val="99"/>
    <w:semiHidden/>
    <w:rsid w:val="002D2C99"/>
    <w:rPr>
      <w:rFonts w:eastAsiaTheme="minorEastAsia"/>
      <w:sz w:val="24"/>
    </w:rPr>
  </w:style>
  <w:style w:type="paragraph" w:styleId="Tekstpodstawowy2">
    <w:name w:val="Body Text 2"/>
    <w:basedOn w:val="Normalny"/>
    <w:link w:val="Tekstpodstawowy2Znak"/>
    <w:uiPriority w:val="99"/>
    <w:semiHidden/>
    <w:rsid w:val="002D2C99"/>
    <w:pPr>
      <w:spacing w:after="120" w:line="480" w:lineRule="auto"/>
    </w:p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622760"/>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622760"/>
    <w:pPr>
      <w:ind w:firstLine="284"/>
    </w:pPr>
    <w:rPr>
      <w:b/>
    </w:rPr>
  </w:style>
  <w:style w:type="character" w:styleId="Numerstrony">
    <w:name w:val="page number"/>
    <w:uiPriority w:val="99"/>
    <w:semiHidden/>
    <w:rsid w:val="002D2C99"/>
    <w:rPr>
      <w:rFonts w:ascii="Times New Roman" w:hAnsi="Times New Roman" w:cs="Times New Roman"/>
      <w:sz w:val="18"/>
    </w:rPr>
  </w:style>
  <w:style w:type="paragraph" w:styleId="Listapunktowana2">
    <w:name w:val="List Bullet 2"/>
    <w:basedOn w:val="Normalny"/>
    <w:uiPriority w:val="99"/>
    <w:semiHidden/>
    <w:rsid w:val="002D2C99"/>
    <w:pPr>
      <w:numPr>
        <w:numId w:val="8"/>
      </w:numPr>
      <w:contextualSpacing/>
    </w:pPr>
  </w:style>
  <w:style w:type="character" w:customStyle="1" w:styleId="Tekstpodstawowy2Znak">
    <w:name w:val="Tekst podstawowy 2 Znak"/>
    <w:basedOn w:val="Domylnaczcionkaakapitu"/>
    <w:link w:val="Tekstpodstawowy2"/>
    <w:uiPriority w:val="99"/>
    <w:semiHidden/>
    <w:rsid w:val="002D2C99"/>
    <w:rPr>
      <w:rFonts w:eastAsiaTheme="minorEastAsia"/>
      <w:sz w:val="24"/>
    </w:rPr>
  </w:style>
  <w:style w:type="paragraph" w:styleId="Tekstpodstawowy3">
    <w:name w:val="Body Text 3"/>
    <w:basedOn w:val="Normalny"/>
    <w:link w:val="Tekstpodstawowy3Znak"/>
    <w:uiPriority w:val="99"/>
    <w:semiHidden/>
    <w:rsid w:val="002D2C99"/>
    <w:pPr>
      <w:spacing w:after="120"/>
    </w:pPr>
    <w:rPr>
      <w:sz w:val="16"/>
      <w:szCs w:val="16"/>
    </w:rPr>
  </w:style>
  <w:style w:type="character" w:customStyle="1" w:styleId="Tekstpodstawowy3Znak">
    <w:name w:val="Tekst podstawowy 3 Znak"/>
    <w:basedOn w:val="Domylnaczcionkaakapitu"/>
    <w:link w:val="Tekstpodstawowy3"/>
    <w:uiPriority w:val="99"/>
    <w:semiHidden/>
    <w:rsid w:val="002D2C99"/>
    <w:rPr>
      <w:rFonts w:eastAsiaTheme="minorEastAsia"/>
      <w:sz w:val="16"/>
      <w:szCs w:val="16"/>
    </w:rPr>
  </w:style>
  <w:style w:type="paragraph" w:styleId="Tekstpodstawowyzwciciem">
    <w:name w:val="Body Text First Indent"/>
    <w:basedOn w:val="Tekstpodstawowy"/>
    <w:link w:val="TekstpodstawowyzwciciemZnak"/>
    <w:uiPriority w:val="99"/>
    <w:semiHidden/>
    <w:rsid w:val="002D2C99"/>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2D2C99"/>
    <w:rPr>
      <w:rFonts w:eastAsiaTheme="minorEastAsia"/>
      <w:sz w:val="24"/>
    </w:rPr>
  </w:style>
  <w:style w:type="paragraph" w:styleId="Tekstpodstawowywcity">
    <w:name w:val="Body Text Indent"/>
    <w:basedOn w:val="Normalny"/>
    <w:link w:val="TekstpodstawowywcityZnak"/>
    <w:uiPriority w:val="99"/>
    <w:semiHidden/>
    <w:rsid w:val="002D2C99"/>
    <w:pPr>
      <w:spacing w:after="120"/>
      <w:ind w:left="283"/>
    </w:pPr>
  </w:style>
  <w:style w:type="character" w:customStyle="1" w:styleId="TekstpodstawowywcityZnak">
    <w:name w:val="Tekst podstawowy wcięty Znak"/>
    <w:basedOn w:val="Domylnaczcionkaakapitu"/>
    <w:link w:val="Tekstpodstawowywcity"/>
    <w:uiPriority w:val="99"/>
    <w:semiHidden/>
    <w:rsid w:val="002D2C99"/>
    <w:rPr>
      <w:rFonts w:eastAsiaTheme="minorEastAsia"/>
      <w:sz w:val="24"/>
    </w:rPr>
  </w:style>
  <w:style w:type="paragraph" w:styleId="Tekstpodstawowyzwciciem2">
    <w:name w:val="Body Text First Indent 2"/>
    <w:basedOn w:val="Tekstpodstawowywcity"/>
    <w:link w:val="Tekstpodstawowyzwciciem2Znak"/>
    <w:uiPriority w:val="99"/>
    <w:semiHidden/>
    <w:rsid w:val="002D2C99"/>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2D2C99"/>
    <w:rPr>
      <w:rFonts w:eastAsiaTheme="minorEastAsia"/>
      <w:sz w:val="24"/>
    </w:rPr>
  </w:style>
  <w:style w:type="paragraph" w:styleId="Tekstpodstawowywcity2">
    <w:name w:val="Body Text Indent 2"/>
    <w:basedOn w:val="Normalny"/>
    <w:link w:val="Tekstpodstawowywcity2Znak"/>
    <w:uiPriority w:val="99"/>
    <w:semiHidden/>
    <w:rsid w:val="002D2C99"/>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D2C99"/>
    <w:rPr>
      <w:rFonts w:eastAsiaTheme="minorEastAsia"/>
      <w:sz w:val="24"/>
    </w:rPr>
  </w:style>
  <w:style w:type="paragraph" w:styleId="Tekstpodstawowywcity3">
    <w:name w:val="Body Text Indent 3"/>
    <w:basedOn w:val="Normalny"/>
    <w:link w:val="Tekstpodstawowywcity3Znak"/>
    <w:uiPriority w:val="99"/>
    <w:semiHidden/>
    <w:rsid w:val="002D2C99"/>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2D2C99"/>
    <w:rPr>
      <w:rFonts w:eastAsiaTheme="minorEastAsia"/>
      <w:sz w:val="16"/>
      <w:szCs w:val="16"/>
    </w:rPr>
  </w:style>
  <w:style w:type="paragraph" w:styleId="Legenda">
    <w:name w:val="caption"/>
    <w:basedOn w:val="Normalny"/>
    <w:next w:val="Normalny"/>
    <w:uiPriority w:val="99"/>
    <w:semiHidden/>
    <w:qFormat/>
    <w:rsid w:val="002D2C99"/>
    <w:pPr>
      <w:spacing w:after="200"/>
    </w:pPr>
    <w:rPr>
      <w:b/>
      <w:bCs/>
      <w:color w:val="0072BC" w:themeColor="accent1"/>
      <w:sz w:val="18"/>
      <w:szCs w:val="18"/>
    </w:rPr>
  </w:style>
  <w:style w:type="paragraph" w:styleId="Zwrotpoegnalny">
    <w:name w:val="Closing"/>
    <w:basedOn w:val="Normalny"/>
    <w:link w:val="ZwrotpoegnalnyZnak"/>
    <w:uiPriority w:val="99"/>
    <w:semiHidden/>
    <w:rsid w:val="002D2C99"/>
    <w:pPr>
      <w:ind w:left="4252"/>
    </w:pPr>
  </w:style>
  <w:style w:type="character" w:customStyle="1" w:styleId="ZwrotpoegnalnyZnak">
    <w:name w:val="Zwrot pożegnalny Znak"/>
    <w:basedOn w:val="Domylnaczcionkaakapitu"/>
    <w:link w:val="Zwrotpoegnalny"/>
    <w:uiPriority w:val="99"/>
    <w:semiHidden/>
    <w:rsid w:val="002D2C99"/>
    <w:rPr>
      <w:rFonts w:eastAsiaTheme="minorEastAsia"/>
      <w:sz w:val="24"/>
    </w:rPr>
  </w:style>
  <w:style w:type="table" w:styleId="Kolorowasiatka">
    <w:name w:val="Colorful Grid"/>
    <w:basedOn w:val="Standardowy"/>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2D2C99"/>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2D2C99"/>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2D2C99"/>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2D2C99"/>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2D2C99"/>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2D2C99"/>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2D2C99"/>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2D2C99"/>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2D2C99"/>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2D2C99"/>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2D2C99"/>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2D2C99"/>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2D2C99"/>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2D2C99"/>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2D2C99"/>
    <w:rPr>
      <w:sz w:val="16"/>
      <w:szCs w:val="16"/>
    </w:rPr>
  </w:style>
  <w:style w:type="paragraph" w:styleId="Tekstkomentarza">
    <w:name w:val="annotation text"/>
    <w:basedOn w:val="Normalny"/>
    <w:link w:val="TekstkomentarzaZnak"/>
    <w:semiHidden/>
    <w:rsid w:val="002D2C99"/>
    <w:rPr>
      <w:sz w:val="20"/>
      <w:szCs w:val="20"/>
    </w:rPr>
  </w:style>
  <w:style w:type="character" w:customStyle="1" w:styleId="TekstkomentarzaZnak">
    <w:name w:val="Tekst komentarza Znak"/>
    <w:basedOn w:val="Domylnaczcionkaakapitu"/>
    <w:link w:val="Tekstkomentarza"/>
    <w:semiHidden/>
    <w:rsid w:val="002D2C99"/>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2D2C99"/>
    <w:rPr>
      <w:b/>
      <w:bCs/>
    </w:rPr>
  </w:style>
  <w:style w:type="character" w:customStyle="1" w:styleId="TematkomentarzaZnak">
    <w:name w:val="Temat komentarza Znak"/>
    <w:basedOn w:val="TekstkomentarzaZnak"/>
    <w:link w:val="Tematkomentarza"/>
    <w:uiPriority w:val="99"/>
    <w:semiHidden/>
    <w:rsid w:val="002D2C99"/>
    <w:rPr>
      <w:rFonts w:eastAsiaTheme="minorEastAsia"/>
      <w:b/>
      <w:bCs/>
      <w:sz w:val="20"/>
      <w:szCs w:val="20"/>
    </w:rPr>
  </w:style>
  <w:style w:type="table" w:styleId="Ciemnalista">
    <w:name w:val="Dark List"/>
    <w:basedOn w:val="Standardowy"/>
    <w:uiPriority w:val="99"/>
    <w:semiHidden/>
    <w:rsid w:val="002D2C99"/>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2D2C99"/>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2D2C99"/>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2D2C99"/>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2D2C99"/>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2D2C99"/>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2D2C99"/>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2D2C99"/>
  </w:style>
  <w:style w:type="character" w:customStyle="1" w:styleId="DataZnak">
    <w:name w:val="Data Znak"/>
    <w:basedOn w:val="Domylnaczcionkaakapitu"/>
    <w:link w:val="Data"/>
    <w:uiPriority w:val="99"/>
    <w:semiHidden/>
    <w:rsid w:val="002D2C99"/>
    <w:rPr>
      <w:rFonts w:eastAsiaTheme="minorEastAsia"/>
      <w:sz w:val="24"/>
    </w:rPr>
  </w:style>
  <w:style w:type="paragraph" w:styleId="Mapadokumentu">
    <w:name w:val="Document Map"/>
    <w:basedOn w:val="Normalny"/>
    <w:link w:val="MapadokumentuZnak"/>
    <w:uiPriority w:val="99"/>
    <w:semiHidden/>
    <w:rsid w:val="002D2C99"/>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2D2C99"/>
    <w:rPr>
      <w:rFonts w:ascii="Tahoma" w:eastAsiaTheme="minorEastAsia" w:hAnsi="Tahoma" w:cs="Tahoma"/>
      <w:sz w:val="16"/>
      <w:szCs w:val="16"/>
    </w:rPr>
  </w:style>
  <w:style w:type="paragraph" w:styleId="Podpise-mail">
    <w:name w:val="E-mail Signature"/>
    <w:basedOn w:val="Normalny"/>
    <w:link w:val="Podpise-mailZnak"/>
    <w:uiPriority w:val="99"/>
    <w:semiHidden/>
    <w:rsid w:val="002D2C99"/>
  </w:style>
  <w:style w:type="character" w:customStyle="1" w:styleId="Podpise-mailZnak">
    <w:name w:val="Podpis e-mail Znak"/>
    <w:basedOn w:val="Domylnaczcionkaakapitu"/>
    <w:link w:val="Podpise-mail"/>
    <w:uiPriority w:val="99"/>
    <w:semiHidden/>
    <w:rsid w:val="002D2C99"/>
    <w:rPr>
      <w:rFonts w:eastAsiaTheme="minorEastAsia"/>
      <w:sz w:val="24"/>
    </w:rPr>
  </w:style>
  <w:style w:type="character" w:styleId="Odwoanieprzypisukocowego">
    <w:name w:val="endnote reference"/>
    <w:basedOn w:val="Domylnaczcionkaakapitu"/>
    <w:uiPriority w:val="99"/>
    <w:semiHidden/>
    <w:rsid w:val="00622760"/>
    <w:rPr>
      <w:vertAlign w:val="superscript"/>
    </w:rPr>
  </w:style>
  <w:style w:type="paragraph" w:styleId="Tekstprzypisukocowego">
    <w:name w:val="endnote text"/>
    <w:basedOn w:val="Normalny"/>
    <w:link w:val="TekstprzypisukocowegoZnak"/>
    <w:uiPriority w:val="99"/>
    <w:semiHidden/>
    <w:rsid w:val="00622760"/>
    <w:rPr>
      <w:sz w:val="20"/>
      <w:szCs w:val="20"/>
    </w:rPr>
  </w:style>
  <w:style w:type="character" w:customStyle="1" w:styleId="TekstprzypisukocowegoZnak">
    <w:name w:val="Tekst przypisu końcowego Znak"/>
    <w:basedOn w:val="Domylnaczcionkaakapitu"/>
    <w:link w:val="Tekstprzypisukocowego"/>
    <w:uiPriority w:val="99"/>
    <w:semiHidden/>
    <w:rsid w:val="00622760"/>
    <w:rPr>
      <w:rFonts w:eastAsiaTheme="minorEastAsia"/>
      <w:sz w:val="20"/>
      <w:szCs w:val="20"/>
      <w:lang w:val="en-GB"/>
    </w:rPr>
  </w:style>
  <w:style w:type="paragraph" w:styleId="Adresnakopercie">
    <w:name w:val="envelope address"/>
    <w:basedOn w:val="Normalny"/>
    <w:uiPriority w:val="99"/>
    <w:semiHidden/>
    <w:rsid w:val="002D2C99"/>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2D2C99"/>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2D2C99"/>
    <w:rPr>
      <w:color w:val="7030A0" w:themeColor="followedHyperlink"/>
      <w:u w:val="single"/>
    </w:rPr>
  </w:style>
  <w:style w:type="character" w:styleId="HTML-akronim">
    <w:name w:val="HTML Acronym"/>
    <w:basedOn w:val="Domylnaczcionkaakapitu"/>
    <w:uiPriority w:val="99"/>
    <w:semiHidden/>
    <w:rsid w:val="002D2C99"/>
  </w:style>
  <w:style w:type="paragraph" w:styleId="HTML-adres">
    <w:name w:val="HTML Address"/>
    <w:basedOn w:val="Normalny"/>
    <w:link w:val="HTML-adresZnak"/>
    <w:uiPriority w:val="99"/>
    <w:semiHidden/>
    <w:rsid w:val="002D2C99"/>
    <w:rPr>
      <w:i/>
      <w:iCs/>
    </w:rPr>
  </w:style>
  <w:style w:type="character" w:customStyle="1" w:styleId="HTML-adresZnak">
    <w:name w:val="HTML - adres Znak"/>
    <w:basedOn w:val="Domylnaczcionkaakapitu"/>
    <w:link w:val="HTML-adres"/>
    <w:uiPriority w:val="99"/>
    <w:semiHidden/>
    <w:rsid w:val="002D2C99"/>
    <w:rPr>
      <w:rFonts w:eastAsiaTheme="minorEastAsia"/>
      <w:i/>
      <w:iCs/>
      <w:sz w:val="24"/>
    </w:rPr>
  </w:style>
  <w:style w:type="character" w:styleId="HTML-cytat">
    <w:name w:val="HTML Cite"/>
    <w:basedOn w:val="Domylnaczcionkaakapitu"/>
    <w:uiPriority w:val="99"/>
    <w:semiHidden/>
    <w:rsid w:val="002D2C99"/>
    <w:rPr>
      <w:i/>
      <w:iCs/>
    </w:rPr>
  </w:style>
  <w:style w:type="character" w:styleId="HTML-kod">
    <w:name w:val="HTML Code"/>
    <w:basedOn w:val="Domylnaczcionkaakapitu"/>
    <w:uiPriority w:val="99"/>
    <w:semiHidden/>
    <w:rsid w:val="002D2C99"/>
    <w:rPr>
      <w:rFonts w:ascii="Consolas" w:hAnsi="Consolas" w:cs="Consolas"/>
      <w:sz w:val="20"/>
      <w:szCs w:val="20"/>
    </w:rPr>
  </w:style>
  <w:style w:type="character" w:styleId="HTML-definicja">
    <w:name w:val="HTML Definition"/>
    <w:basedOn w:val="Domylnaczcionkaakapitu"/>
    <w:uiPriority w:val="99"/>
    <w:semiHidden/>
    <w:rsid w:val="002D2C99"/>
    <w:rPr>
      <w:i/>
      <w:iCs/>
    </w:rPr>
  </w:style>
  <w:style w:type="character" w:styleId="HTML-klawiatura">
    <w:name w:val="HTML Keyboard"/>
    <w:basedOn w:val="Domylnaczcionkaakapitu"/>
    <w:uiPriority w:val="99"/>
    <w:semiHidden/>
    <w:rsid w:val="002D2C99"/>
    <w:rPr>
      <w:rFonts w:ascii="Consolas" w:hAnsi="Consolas" w:cs="Consolas"/>
      <w:sz w:val="20"/>
      <w:szCs w:val="20"/>
    </w:rPr>
  </w:style>
  <w:style w:type="paragraph" w:styleId="HTML-wstpniesformatowany">
    <w:name w:val="HTML Preformatted"/>
    <w:basedOn w:val="Normalny"/>
    <w:link w:val="HTML-wstpniesformatowanyZnak"/>
    <w:uiPriority w:val="99"/>
    <w:semiHidden/>
    <w:rsid w:val="002D2C99"/>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2D2C99"/>
    <w:rPr>
      <w:rFonts w:ascii="Consolas" w:eastAsiaTheme="minorEastAsia" w:hAnsi="Consolas" w:cs="Consolas"/>
      <w:sz w:val="20"/>
      <w:szCs w:val="20"/>
    </w:rPr>
  </w:style>
  <w:style w:type="character" w:styleId="HTML-przykad">
    <w:name w:val="HTML Sample"/>
    <w:basedOn w:val="Domylnaczcionkaakapitu"/>
    <w:uiPriority w:val="99"/>
    <w:semiHidden/>
    <w:rsid w:val="002D2C99"/>
    <w:rPr>
      <w:rFonts w:ascii="Consolas" w:hAnsi="Consolas" w:cs="Consolas"/>
      <w:sz w:val="24"/>
      <w:szCs w:val="24"/>
    </w:rPr>
  </w:style>
  <w:style w:type="character" w:styleId="HTML-staaszeroko">
    <w:name w:val="HTML Typewriter"/>
    <w:basedOn w:val="Domylnaczcionkaakapitu"/>
    <w:uiPriority w:val="99"/>
    <w:semiHidden/>
    <w:rsid w:val="002D2C99"/>
    <w:rPr>
      <w:rFonts w:ascii="Consolas" w:hAnsi="Consolas" w:cs="Consolas"/>
      <w:sz w:val="20"/>
      <w:szCs w:val="20"/>
    </w:rPr>
  </w:style>
  <w:style w:type="character" w:styleId="HTML-zmienna">
    <w:name w:val="HTML Variable"/>
    <w:basedOn w:val="Domylnaczcionkaakapitu"/>
    <w:uiPriority w:val="99"/>
    <w:semiHidden/>
    <w:rsid w:val="002D2C99"/>
    <w:rPr>
      <w:i/>
      <w:iCs/>
    </w:rPr>
  </w:style>
  <w:style w:type="paragraph" w:styleId="Indeks1">
    <w:name w:val="index 1"/>
    <w:basedOn w:val="Normalny"/>
    <w:next w:val="Normalny"/>
    <w:autoRedefine/>
    <w:uiPriority w:val="99"/>
    <w:semiHidden/>
    <w:rsid w:val="002D2C99"/>
    <w:pPr>
      <w:ind w:left="240" w:hanging="240"/>
    </w:pPr>
  </w:style>
  <w:style w:type="paragraph" w:styleId="Indeks2">
    <w:name w:val="index 2"/>
    <w:basedOn w:val="Normalny"/>
    <w:next w:val="Normalny"/>
    <w:autoRedefine/>
    <w:uiPriority w:val="99"/>
    <w:semiHidden/>
    <w:rsid w:val="002D2C99"/>
    <w:pPr>
      <w:ind w:left="480" w:hanging="240"/>
    </w:pPr>
  </w:style>
  <w:style w:type="paragraph" w:styleId="Indeks3">
    <w:name w:val="index 3"/>
    <w:basedOn w:val="Normalny"/>
    <w:next w:val="Normalny"/>
    <w:autoRedefine/>
    <w:uiPriority w:val="99"/>
    <w:semiHidden/>
    <w:rsid w:val="002D2C99"/>
    <w:pPr>
      <w:ind w:left="720" w:hanging="240"/>
    </w:pPr>
  </w:style>
  <w:style w:type="paragraph" w:styleId="Indeks4">
    <w:name w:val="index 4"/>
    <w:basedOn w:val="Normalny"/>
    <w:next w:val="Normalny"/>
    <w:autoRedefine/>
    <w:uiPriority w:val="99"/>
    <w:semiHidden/>
    <w:rsid w:val="002D2C99"/>
    <w:pPr>
      <w:ind w:left="960" w:hanging="240"/>
    </w:pPr>
  </w:style>
  <w:style w:type="paragraph" w:styleId="Indeks5">
    <w:name w:val="index 5"/>
    <w:basedOn w:val="Normalny"/>
    <w:next w:val="Normalny"/>
    <w:autoRedefine/>
    <w:uiPriority w:val="99"/>
    <w:semiHidden/>
    <w:rsid w:val="002D2C99"/>
    <w:pPr>
      <w:ind w:left="1200" w:hanging="240"/>
    </w:pPr>
  </w:style>
  <w:style w:type="paragraph" w:styleId="Indeks6">
    <w:name w:val="index 6"/>
    <w:basedOn w:val="Normalny"/>
    <w:next w:val="Normalny"/>
    <w:autoRedefine/>
    <w:uiPriority w:val="99"/>
    <w:semiHidden/>
    <w:rsid w:val="002D2C99"/>
    <w:pPr>
      <w:ind w:left="1440" w:hanging="240"/>
    </w:pPr>
  </w:style>
  <w:style w:type="paragraph" w:styleId="Indeks7">
    <w:name w:val="index 7"/>
    <w:basedOn w:val="Normalny"/>
    <w:next w:val="Normalny"/>
    <w:autoRedefine/>
    <w:uiPriority w:val="99"/>
    <w:semiHidden/>
    <w:rsid w:val="002D2C99"/>
    <w:pPr>
      <w:ind w:left="1680" w:hanging="240"/>
    </w:pPr>
  </w:style>
  <w:style w:type="paragraph" w:styleId="Indeks8">
    <w:name w:val="index 8"/>
    <w:basedOn w:val="Normalny"/>
    <w:next w:val="Normalny"/>
    <w:autoRedefine/>
    <w:uiPriority w:val="99"/>
    <w:semiHidden/>
    <w:rsid w:val="002D2C99"/>
    <w:pPr>
      <w:ind w:left="1920" w:hanging="240"/>
    </w:pPr>
  </w:style>
  <w:style w:type="paragraph" w:styleId="Indeks9">
    <w:name w:val="index 9"/>
    <w:basedOn w:val="Normalny"/>
    <w:next w:val="Normalny"/>
    <w:autoRedefine/>
    <w:uiPriority w:val="99"/>
    <w:semiHidden/>
    <w:rsid w:val="002D2C99"/>
    <w:pPr>
      <w:ind w:left="2160" w:hanging="240"/>
    </w:pPr>
  </w:style>
  <w:style w:type="paragraph" w:styleId="Nagwekindeksu">
    <w:name w:val="index heading"/>
    <w:basedOn w:val="Normalny"/>
    <w:next w:val="Indeks1"/>
    <w:uiPriority w:val="99"/>
    <w:semiHidden/>
    <w:rsid w:val="002D2C99"/>
    <w:rPr>
      <w:rFonts w:asciiTheme="majorHAnsi" w:eastAsiaTheme="majorEastAsia" w:hAnsiTheme="majorHAnsi" w:cstheme="majorBidi"/>
      <w:b/>
      <w:bCs/>
    </w:rPr>
  </w:style>
  <w:style w:type="table" w:styleId="Jasnasiatka">
    <w:name w:val="Light Grid"/>
    <w:basedOn w:val="Standardowy"/>
    <w:uiPriority w:val="99"/>
    <w:semiHidden/>
    <w:rsid w:val="002D2C9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2D2C9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2D2C9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2D2C9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2D2C9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2D2C9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2D2C9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2D2C9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2D2C9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2D2C9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2D2C9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2D2C9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2D2C9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2D2C9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2D2C9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2D2C99"/>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2D2C99"/>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2D2C99"/>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2D2C99"/>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2D2C99"/>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2D2C99"/>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2D2C99"/>
  </w:style>
  <w:style w:type="paragraph" w:styleId="Lista">
    <w:name w:val="List"/>
    <w:basedOn w:val="Normalny"/>
    <w:uiPriority w:val="99"/>
    <w:semiHidden/>
    <w:rsid w:val="002D2C99"/>
    <w:pPr>
      <w:ind w:left="283" w:hanging="283"/>
      <w:contextualSpacing/>
    </w:pPr>
  </w:style>
  <w:style w:type="paragraph" w:styleId="Lista2">
    <w:name w:val="List 2"/>
    <w:basedOn w:val="Normalny"/>
    <w:uiPriority w:val="99"/>
    <w:semiHidden/>
    <w:rsid w:val="002D2C99"/>
    <w:pPr>
      <w:ind w:left="566" w:hanging="283"/>
      <w:contextualSpacing/>
    </w:pPr>
  </w:style>
  <w:style w:type="paragraph" w:styleId="Lista3">
    <w:name w:val="List 3"/>
    <w:basedOn w:val="Normalny"/>
    <w:uiPriority w:val="99"/>
    <w:semiHidden/>
    <w:rsid w:val="002D2C99"/>
    <w:pPr>
      <w:ind w:left="849" w:hanging="283"/>
      <w:contextualSpacing/>
    </w:pPr>
  </w:style>
  <w:style w:type="paragraph" w:styleId="Lista4">
    <w:name w:val="List 4"/>
    <w:basedOn w:val="Normalny"/>
    <w:uiPriority w:val="99"/>
    <w:semiHidden/>
    <w:rsid w:val="002D2C99"/>
    <w:pPr>
      <w:ind w:left="1132" w:hanging="283"/>
      <w:contextualSpacing/>
    </w:pPr>
  </w:style>
  <w:style w:type="paragraph" w:styleId="Lista5">
    <w:name w:val="List 5"/>
    <w:basedOn w:val="Normalny"/>
    <w:uiPriority w:val="99"/>
    <w:semiHidden/>
    <w:rsid w:val="002D2C99"/>
    <w:pPr>
      <w:ind w:left="1415" w:hanging="283"/>
      <w:contextualSpacing/>
    </w:pPr>
  </w:style>
  <w:style w:type="paragraph" w:styleId="Listapunktowana">
    <w:name w:val="List Bullet"/>
    <w:basedOn w:val="Normalny"/>
    <w:uiPriority w:val="99"/>
    <w:semiHidden/>
    <w:rsid w:val="002D2C99"/>
    <w:pPr>
      <w:numPr>
        <w:numId w:val="12"/>
      </w:numPr>
      <w:contextualSpacing/>
    </w:pPr>
  </w:style>
  <w:style w:type="paragraph" w:styleId="Listapunktowana3">
    <w:name w:val="List Bullet 3"/>
    <w:basedOn w:val="Normalny"/>
    <w:uiPriority w:val="99"/>
    <w:semiHidden/>
    <w:rsid w:val="002D2C99"/>
    <w:pPr>
      <w:numPr>
        <w:numId w:val="13"/>
      </w:numPr>
      <w:contextualSpacing/>
    </w:pPr>
  </w:style>
  <w:style w:type="paragraph" w:styleId="Listapunktowana4">
    <w:name w:val="List Bullet 4"/>
    <w:basedOn w:val="Normalny"/>
    <w:uiPriority w:val="99"/>
    <w:semiHidden/>
    <w:rsid w:val="002D2C99"/>
    <w:pPr>
      <w:numPr>
        <w:numId w:val="14"/>
      </w:numPr>
      <w:contextualSpacing/>
    </w:pPr>
  </w:style>
  <w:style w:type="paragraph" w:styleId="Listapunktowana5">
    <w:name w:val="List Bullet 5"/>
    <w:basedOn w:val="Normalny"/>
    <w:uiPriority w:val="99"/>
    <w:semiHidden/>
    <w:rsid w:val="002D2C99"/>
    <w:pPr>
      <w:numPr>
        <w:numId w:val="15"/>
      </w:numPr>
      <w:contextualSpacing/>
    </w:pPr>
  </w:style>
  <w:style w:type="paragraph" w:styleId="Lista-kontynuacja">
    <w:name w:val="List Continue"/>
    <w:basedOn w:val="Normalny"/>
    <w:uiPriority w:val="99"/>
    <w:semiHidden/>
    <w:rsid w:val="002D2C99"/>
    <w:pPr>
      <w:spacing w:after="120"/>
      <w:ind w:left="283"/>
      <w:contextualSpacing/>
    </w:pPr>
  </w:style>
  <w:style w:type="paragraph" w:styleId="Lista-kontynuacja2">
    <w:name w:val="List Continue 2"/>
    <w:basedOn w:val="Normalny"/>
    <w:uiPriority w:val="99"/>
    <w:semiHidden/>
    <w:rsid w:val="002D2C99"/>
    <w:pPr>
      <w:spacing w:after="120"/>
      <w:ind w:left="566"/>
      <w:contextualSpacing/>
    </w:pPr>
  </w:style>
  <w:style w:type="paragraph" w:styleId="Lista-kontynuacja3">
    <w:name w:val="List Continue 3"/>
    <w:basedOn w:val="Normalny"/>
    <w:uiPriority w:val="99"/>
    <w:semiHidden/>
    <w:rsid w:val="002D2C99"/>
    <w:pPr>
      <w:spacing w:after="120"/>
      <w:ind w:left="849"/>
      <w:contextualSpacing/>
    </w:pPr>
  </w:style>
  <w:style w:type="paragraph" w:styleId="Lista-kontynuacja4">
    <w:name w:val="List Continue 4"/>
    <w:basedOn w:val="Normalny"/>
    <w:uiPriority w:val="99"/>
    <w:semiHidden/>
    <w:rsid w:val="002D2C99"/>
    <w:pPr>
      <w:spacing w:after="120"/>
      <w:ind w:left="1132"/>
      <w:contextualSpacing/>
    </w:pPr>
  </w:style>
  <w:style w:type="paragraph" w:styleId="Lista-kontynuacja5">
    <w:name w:val="List Continue 5"/>
    <w:basedOn w:val="Normalny"/>
    <w:uiPriority w:val="99"/>
    <w:semiHidden/>
    <w:rsid w:val="002D2C99"/>
    <w:pPr>
      <w:spacing w:after="120"/>
      <w:ind w:left="1415"/>
      <w:contextualSpacing/>
    </w:pPr>
  </w:style>
  <w:style w:type="paragraph" w:styleId="Listanumerowana">
    <w:name w:val="List Number"/>
    <w:basedOn w:val="Normalny"/>
    <w:uiPriority w:val="99"/>
    <w:semiHidden/>
    <w:rsid w:val="002D2C99"/>
    <w:pPr>
      <w:numPr>
        <w:numId w:val="16"/>
      </w:numPr>
      <w:contextualSpacing/>
    </w:pPr>
  </w:style>
  <w:style w:type="paragraph" w:styleId="Listanumerowana2">
    <w:name w:val="List Number 2"/>
    <w:basedOn w:val="Normalny"/>
    <w:uiPriority w:val="99"/>
    <w:semiHidden/>
    <w:rsid w:val="002D2C99"/>
    <w:pPr>
      <w:numPr>
        <w:numId w:val="17"/>
      </w:numPr>
      <w:contextualSpacing/>
    </w:pPr>
  </w:style>
  <w:style w:type="paragraph" w:styleId="Listanumerowana3">
    <w:name w:val="List Number 3"/>
    <w:basedOn w:val="Normalny"/>
    <w:uiPriority w:val="99"/>
    <w:semiHidden/>
    <w:rsid w:val="002D2C99"/>
    <w:pPr>
      <w:numPr>
        <w:numId w:val="18"/>
      </w:numPr>
      <w:contextualSpacing/>
    </w:pPr>
  </w:style>
  <w:style w:type="paragraph" w:styleId="Listanumerowana4">
    <w:name w:val="List Number 4"/>
    <w:basedOn w:val="Normalny"/>
    <w:uiPriority w:val="99"/>
    <w:semiHidden/>
    <w:rsid w:val="002D2C99"/>
    <w:pPr>
      <w:numPr>
        <w:numId w:val="19"/>
      </w:numPr>
      <w:contextualSpacing/>
    </w:pPr>
  </w:style>
  <w:style w:type="paragraph" w:styleId="Listanumerowana5">
    <w:name w:val="List Number 5"/>
    <w:basedOn w:val="Normalny"/>
    <w:uiPriority w:val="99"/>
    <w:semiHidden/>
    <w:rsid w:val="002D2C99"/>
    <w:pPr>
      <w:numPr>
        <w:numId w:val="20"/>
      </w:numPr>
      <w:contextualSpacing/>
    </w:pPr>
  </w:style>
  <w:style w:type="paragraph" w:styleId="Tekstmakra">
    <w:name w:val="macro"/>
    <w:link w:val="TekstmakraZnak"/>
    <w:uiPriority w:val="99"/>
    <w:semiHidden/>
    <w:rsid w:val="002D2C9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2D2C99"/>
    <w:rPr>
      <w:rFonts w:ascii="Consolas" w:eastAsiaTheme="minorEastAsia" w:hAnsi="Consolas" w:cs="Consolas"/>
      <w:sz w:val="20"/>
      <w:szCs w:val="20"/>
    </w:rPr>
  </w:style>
  <w:style w:type="table" w:styleId="redniasiatka1">
    <w:name w:val="Medium Grid 1"/>
    <w:basedOn w:val="Standardowy"/>
    <w:uiPriority w:val="99"/>
    <w:semiHidden/>
    <w:rsid w:val="002D2C9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2D2C9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2D2C9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2D2C9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2D2C9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2D2C9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2D2C9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2D2C99"/>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2D2C99"/>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2D2C99"/>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2D2C99"/>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2D2C99"/>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2D2C99"/>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2D2C99"/>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2D2C9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2D2C9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2D2C9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2D2C9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2D2C9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2D2C9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2D2C9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2D2C9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2D2C99"/>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2D2C99"/>
    <w:rPr>
      <w:rFonts w:ascii="Times New Roman" w:hAnsi="Times New Roman" w:cs="Times New Roman"/>
      <w:szCs w:val="24"/>
    </w:rPr>
  </w:style>
  <w:style w:type="paragraph" w:styleId="Wcicienormalne">
    <w:name w:val="Normal Indent"/>
    <w:basedOn w:val="Normalny"/>
    <w:uiPriority w:val="99"/>
    <w:semiHidden/>
    <w:rsid w:val="002D2C99"/>
    <w:pPr>
      <w:ind w:left="720"/>
    </w:pPr>
  </w:style>
  <w:style w:type="paragraph" w:styleId="Nagweknotatki">
    <w:name w:val="Note Heading"/>
    <w:basedOn w:val="Normalny"/>
    <w:next w:val="Normalny"/>
    <w:link w:val="NagweknotatkiZnak"/>
    <w:uiPriority w:val="99"/>
    <w:semiHidden/>
    <w:rsid w:val="002D2C99"/>
  </w:style>
  <w:style w:type="character" w:customStyle="1" w:styleId="NagweknotatkiZnak">
    <w:name w:val="Nagłówek notatki Znak"/>
    <w:basedOn w:val="Domylnaczcionkaakapitu"/>
    <w:link w:val="Nagweknotatki"/>
    <w:uiPriority w:val="99"/>
    <w:semiHidden/>
    <w:rsid w:val="002D2C99"/>
    <w:rPr>
      <w:rFonts w:eastAsiaTheme="minorEastAsia"/>
      <w:sz w:val="24"/>
    </w:rPr>
  </w:style>
  <w:style w:type="character" w:styleId="Tekstzastpczy">
    <w:name w:val="Placeholder Text"/>
    <w:basedOn w:val="Domylnaczcionkaakapitu"/>
    <w:uiPriority w:val="99"/>
    <w:semiHidden/>
    <w:rsid w:val="00622760"/>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2D2C99"/>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2D2C99"/>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2D2C99"/>
  </w:style>
  <w:style w:type="character" w:customStyle="1" w:styleId="ZwrotgrzecznociowyZnak">
    <w:name w:val="Zwrot grzecznościowy Znak"/>
    <w:basedOn w:val="Domylnaczcionkaakapitu"/>
    <w:link w:val="Zwrotgrzecznociowy"/>
    <w:uiPriority w:val="99"/>
    <w:semiHidden/>
    <w:rsid w:val="002D2C99"/>
    <w:rPr>
      <w:rFonts w:eastAsiaTheme="minorEastAsia"/>
      <w:sz w:val="24"/>
    </w:rPr>
  </w:style>
  <w:style w:type="paragraph" w:styleId="Podpis">
    <w:name w:val="Signature"/>
    <w:basedOn w:val="Normalny"/>
    <w:link w:val="PodpisZnak"/>
    <w:uiPriority w:val="99"/>
    <w:semiHidden/>
    <w:rsid w:val="002D2C99"/>
    <w:pPr>
      <w:ind w:left="4252"/>
    </w:pPr>
  </w:style>
  <w:style w:type="character" w:customStyle="1" w:styleId="PodpisZnak">
    <w:name w:val="Podpis Znak"/>
    <w:basedOn w:val="Domylnaczcionkaakapitu"/>
    <w:link w:val="Podpis"/>
    <w:uiPriority w:val="99"/>
    <w:semiHidden/>
    <w:rsid w:val="002D2C99"/>
    <w:rPr>
      <w:rFonts w:eastAsiaTheme="minorEastAsia"/>
      <w:sz w:val="24"/>
    </w:rPr>
  </w:style>
  <w:style w:type="table" w:styleId="Tabela-Efekty3D1">
    <w:name w:val="Table 3D effects 1"/>
    <w:basedOn w:val="Standardowy"/>
    <w:uiPriority w:val="99"/>
    <w:semiHidden/>
    <w:unhideWhenUsed/>
    <w:rsid w:val="002D2C99"/>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2D2C99"/>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2D2C99"/>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D2C99"/>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D2C99"/>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D2C99"/>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D2C99"/>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2D2C99"/>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2D2C99"/>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2D2C99"/>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D2C99"/>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D2C99"/>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D2C99"/>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D2C99"/>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D2C99"/>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D2C99"/>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D2C99"/>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D2C99"/>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D2C99"/>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D2C99"/>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D2C99"/>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D2C99"/>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D2C99"/>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D2C99"/>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D2C99"/>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D2C99"/>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D2C99"/>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D2C99"/>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2D2C99"/>
    <w:pPr>
      <w:ind w:left="240" w:hanging="240"/>
    </w:pPr>
  </w:style>
  <w:style w:type="paragraph" w:styleId="Spisilustracji">
    <w:name w:val="table of figures"/>
    <w:basedOn w:val="Normalny"/>
    <w:next w:val="Normalny"/>
    <w:uiPriority w:val="99"/>
    <w:semiHidden/>
    <w:rsid w:val="002D2C99"/>
  </w:style>
  <w:style w:type="table" w:styleId="Tabela-Profesjonalny">
    <w:name w:val="Table Professional"/>
    <w:basedOn w:val="Standardowy"/>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D2C99"/>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D2C99"/>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D2C99"/>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D2C99"/>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D2C9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2D2C99"/>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D2C99"/>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D2C99"/>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622760"/>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622760"/>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2D2C99"/>
    <w:pPr>
      <w:spacing w:after="100"/>
      <w:ind w:left="1680"/>
    </w:pPr>
  </w:style>
  <w:style w:type="paragraph" w:styleId="Spistreci9">
    <w:name w:val="toc 9"/>
    <w:basedOn w:val="Normalny"/>
    <w:next w:val="Normalny"/>
    <w:autoRedefine/>
    <w:uiPriority w:val="99"/>
    <w:semiHidden/>
    <w:rsid w:val="002D2C99"/>
    <w:pPr>
      <w:spacing w:after="100"/>
      <w:ind w:left="1920"/>
    </w:pPr>
  </w:style>
  <w:style w:type="paragraph" w:customStyle="1" w:styleId="OpiParaSub">
    <w:name w:val="Opi_Para_Sub"/>
    <w:basedOn w:val="JuParaSub"/>
    <w:uiPriority w:val="47"/>
    <w:qFormat/>
    <w:rsid w:val="00622760"/>
  </w:style>
  <w:style w:type="paragraph" w:customStyle="1" w:styleId="OpiQuot">
    <w:name w:val="Opi_Quot"/>
    <w:basedOn w:val="ECHRParaQuote"/>
    <w:uiPriority w:val="48"/>
    <w:qFormat/>
    <w:rsid w:val="00622760"/>
  </w:style>
  <w:style w:type="paragraph" w:customStyle="1" w:styleId="ECHRFooter">
    <w:name w:val="ECHR_Footer"/>
    <w:aliases w:val="Footer_ECHR"/>
    <w:basedOn w:val="Stopka"/>
    <w:uiPriority w:val="57"/>
    <w:semiHidden/>
    <w:rsid w:val="00622760"/>
    <w:pPr>
      <w:jc w:val="left"/>
    </w:pPr>
    <w:rPr>
      <w:sz w:val="8"/>
    </w:rPr>
  </w:style>
  <w:style w:type="paragraph" w:customStyle="1" w:styleId="ECHRFooterLine">
    <w:name w:val="ECHR_Footer_Line"/>
    <w:aliases w:val="Footer_Line"/>
    <w:basedOn w:val="Normalny"/>
    <w:next w:val="ECHRFooter"/>
    <w:uiPriority w:val="57"/>
    <w:semiHidden/>
    <w:rsid w:val="00622760"/>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622760"/>
    <w:pPr>
      <w:spacing w:after="240"/>
      <w:jc w:val="center"/>
      <w:outlineLvl w:val="0"/>
    </w:pPr>
    <w:rPr>
      <w:rFonts w:asciiTheme="majorHAnsi" w:hAnsiTheme="majorHAnsi"/>
    </w:rPr>
  </w:style>
  <w:style w:type="paragraph" w:customStyle="1" w:styleId="OpiQuotSub">
    <w:name w:val="Opi_Quot_Sub"/>
    <w:basedOn w:val="JuQuotSub"/>
    <w:uiPriority w:val="49"/>
    <w:qFormat/>
    <w:rsid w:val="00622760"/>
  </w:style>
  <w:style w:type="paragraph" w:customStyle="1" w:styleId="JuHeaderLandscape">
    <w:name w:val="Ju_Header_Landscape"/>
    <w:basedOn w:val="ECHRHeader"/>
    <w:uiPriority w:val="4"/>
    <w:qFormat/>
    <w:rsid w:val="00622760"/>
    <w:pPr>
      <w:tabs>
        <w:tab w:val="clear" w:pos="3686"/>
        <w:tab w:val="clear" w:pos="7371"/>
        <w:tab w:val="center" w:pos="6146"/>
        <w:tab w:val="right" w:pos="12293"/>
      </w:tabs>
    </w:pPr>
  </w:style>
  <w:style w:type="paragraph" w:customStyle="1" w:styleId="OpiTranslation">
    <w:name w:val="Opi_Translation"/>
    <w:basedOn w:val="Normalny"/>
    <w:next w:val="OpiPara"/>
    <w:uiPriority w:val="40"/>
    <w:qFormat/>
    <w:rsid w:val="00622760"/>
    <w:pPr>
      <w:jc w:val="center"/>
      <w:outlineLvl w:val="0"/>
    </w:pPr>
    <w:rPr>
      <w:i/>
    </w:rPr>
  </w:style>
  <w:style w:type="paragraph" w:customStyle="1" w:styleId="ECHRSpacer">
    <w:name w:val="ECHR_Spacer"/>
    <w:basedOn w:val="Normalny"/>
    <w:uiPriority w:val="45"/>
    <w:rsid w:val="00E95B67"/>
    <w:pPr>
      <w:jc w:val="left"/>
    </w:pPr>
    <w:rPr>
      <w:rFonts w:eastAsiaTheme="minorHAnsi"/>
      <w:sz w:val="4"/>
    </w:rPr>
  </w:style>
  <w:style w:type="paragraph" w:styleId="Poprawka">
    <w:name w:val="Revision"/>
    <w:hidden/>
    <w:uiPriority w:val="99"/>
    <w:semiHidden/>
    <w:rsid w:val="00E95B67"/>
    <w:rPr>
      <w:rFonts w:eastAsiaTheme="minorEastAsia"/>
      <w:sz w:val="24"/>
      <w:lang w:val="en-GB"/>
    </w:rPr>
  </w:style>
  <w:style w:type="character" w:customStyle="1" w:styleId="JuQuotChar">
    <w:name w:val="Ju_Quot Char"/>
    <w:basedOn w:val="Domylnaczcionkaakapitu"/>
    <w:link w:val="ECHRParaQuote"/>
    <w:uiPriority w:val="14"/>
    <w:rsid w:val="00E95B67"/>
    <w:rPr>
      <w:rFonts w:eastAsiaTheme="minorEastAsia"/>
      <w:sz w:val="20"/>
      <w:lang w:val="en-GB"/>
    </w:rPr>
  </w:style>
  <w:style w:type="character" w:customStyle="1" w:styleId="ECHRParaChar">
    <w:name w:val="ECHR_Para Char"/>
    <w:aliases w:val="Ju_Para Char"/>
    <w:link w:val="ECHRPara"/>
    <w:uiPriority w:val="12"/>
    <w:rsid w:val="00057AEF"/>
    <w:rPr>
      <w:rFonts w:eastAsiaTheme="minorEastAsia"/>
      <w:sz w:val="24"/>
      <w:lang w:val="en-GB"/>
    </w:rPr>
  </w:style>
  <w:style w:type="character" w:customStyle="1" w:styleId="JuHIRomanChar">
    <w:name w:val="Ju_H_I_Roman Char"/>
    <w:basedOn w:val="Domylnaczcionkaakapitu"/>
    <w:link w:val="ECHRHeading1"/>
    <w:uiPriority w:val="19"/>
    <w:rsid w:val="00057AEF"/>
    <w:rPr>
      <w:rFonts w:asciiTheme="majorHAnsi" w:eastAsiaTheme="majorEastAsia" w:hAnsiTheme="majorHAnsi" w:cstheme="majorBidi"/>
      <w:bCs/>
      <w:sz w:val="24"/>
      <w:szCs w:val="28"/>
      <w:lang w:val="en-GB"/>
    </w:rPr>
  </w:style>
  <w:style w:type="paragraph" w:customStyle="1" w:styleId="jupara">
    <w:name w:val="jupara"/>
    <w:basedOn w:val="Normalny"/>
    <w:rsid w:val="0084744D"/>
    <w:pPr>
      <w:ind w:firstLine="284"/>
    </w:pPr>
    <w:rPr>
      <w:rFonts w:ascii="Times New Roman" w:eastAsia="Times New Roman" w:hAnsi="Times New Roman" w:cs="Times New Roman"/>
      <w:szCs w:val="24"/>
      <w:lang w:eastAsia="en-GB"/>
    </w:rPr>
  </w:style>
  <w:style w:type="paragraph" w:customStyle="1" w:styleId="jucase0">
    <w:name w:val="jucase"/>
    <w:basedOn w:val="Normalny"/>
    <w:rsid w:val="0084744D"/>
    <w:pPr>
      <w:ind w:firstLine="284"/>
    </w:pPr>
    <w:rPr>
      <w:rFonts w:ascii="Times New Roman" w:eastAsia="Times New Roman" w:hAnsi="Times New Roman" w:cs="Times New Roman"/>
      <w:b/>
      <w:bCs/>
      <w:szCs w:val="24"/>
      <w:lang w:eastAsia="en-GB"/>
    </w:rPr>
  </w:style>
  <w:style w:type="character" w:customStyle="1" w:styleId="markedcontent">
    <w:name w:val="markedcontent"/>
    <w:basedOn w:val="Domylnaczcionkaakapitu"/>
    <w:rsid w:val="00E655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4064D5-80E7-41FF-B841-97A4D3437E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A1DF1AFA-9867-4243-85A4-AD5960DF1A6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DAE5360-B061-4240-9CE0-E0F59AA4F87D}">
  <ds:schemaRefs>
    <ds:schemaRef ds:uri="http://schemas.openxmlformats.org/officeDocument/2006/bibliography"/>
  </ds:schemaRefs>
</ds:datastoreItem>
</file>

<file path=customXml/itemProps4.xml><?xml version="1.0" encoding="utf-8"?>
<ds:datastoreItem xmlns:ds="http://schemas.openxmlformats.org/officeDocument/2006/customXml" ds:itemID="{15A0CB22-72C5-43BE-91A6-7CF9078FA06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20683</Words>
  <Characters>124101</Characters>
  <Application>Microsoft Office Word</Application>
  <DocSecurity>0</DocSecurity>
  <Lines>1034</Lines>
  <Paragraphs>288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144496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2021-11-29T14:58:00Z</dcterms:created>
  <dcterms:modified xsi:type="dcterms:W3CDTF">2021-12-23T13:49:00Z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12778/17</vt:lpwstr>
  </property>
  <property fmtid="{D5CDD505-2E9C-101B-9397-08002B2CF9AE}" pid="4" name="CASEID">
    <vt:lpwstr>1286034</vt:lpwstr>
  </property>
  <property fmtid="{D5CDD505-2E9C-101B-9397-08002B2CF9AE}" pid="5" name="ContentTypeId">
    <vt:lpwstr>0x010100558EB02BDB9E204AB350EDD385B68E10</vt:lpwstr>
  </property>
</Properties>
</file>