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65813B" w14:textId="77777777" w:rsidR="007F554E" w:rsidRPr="00EE43AE" w:rsidRDefault="007F554E" w:rsidP="00EE43AE">
      <w:pPr>
        <w:jc w:val="center"/>
        <w:rPr>
          <w:rFonts w:ascii="Times New Roman" w:hAnsi="Times New Roman" w:cs="Times New Roman"/>
        </w:rPr>
      </w:pPr>
    </w:p>
    <w:p w14:paraId="431B6DC1" w14:textId="77777777" w:rsidR="0098410D" w:rsidRPr="00EE43AE" w:rsidRDefault="0098410D" w:rsidP="00EE43AE">
      <w:pPr>
        <w:jc w:val="center"/>
      </w:pPr>
    </w:p>
    <w:p w14:paraId="0E4E5D3B" w14:textId="77777777" w:rsidR="0098410D" w:rsidRPr="00EE43AE" w:rsidRDefault="00B3070D" w:rsidP="00EE43AE">
      <w:pPr>
        <w:tabs>
          <w:tab w:val="left" w:pos="5529"/>
        </w:tabs>
        <w:jc w:val="center"/>
      </w:pPr>
      <w:r>
        <w:t>SEKCJA PIĄTA</w:t>
      </w:r>
    </w:p>
    <w:p w14:paraId="6F5B6B49" w14:textId="77777777" w:rsidR="00E95C1E" w:rsidRPr="00EE43AE" w:rsidRDefault="00E95C1E" w:rsidP="00EE43AE">
      <w:pPr>
        <w:jc w:val="center"/>
      </w:pPr>
    </w:p>
    <w:p w14:paraId="212FBAF8" w14:textId="77777777" w:rsidR="00BF118F" w:rsidRPr="00EE43AE" w:rsidRDefault="00BF118F" w:rsidP="00EE43AE">
      <w:pPr>
        <w:jc w:val="center"/>
      </w:pPr>
    </w:p>
    <w:p w14:paraId="3F2481DA" w14:textId="77777777" w:rsidR="000F2D19" w:rsidRPr="00EE43AE" w:rsidRDefault="000F2D19" w:rsidP="00EE43AE">
      <w:pPr>
        <w:jc w:val="center"/>
      </w:pPr>
    </w:p>
    <w:p w14:paraId="76966627" w14:textId="77777777" w:rsidR="00BF118F" w:rsidRPr="00EE43AE" w:rsidRDefault="00BF118F" w:rsidP="00EE43AE">
      <w:pPr>
        <w:jc w:val="center"/>
      </w:pPr>
    </w:p>
    <w:p w14:paraId="02D9DDD5" w14:textId="77777777" w:rsidR="0098410D" w:rsidRPr="00EE43AE" w:rsidRDefault="0098410D" w:rsidP="00EE43AE">
      <w:pPr>
        <w:jc w:val="center"/>
      </w:pPr>
    </w:p>
    <w:p w14:paraId="7B1FEB00" w14:textId="77777777" w:rsidR="008E6217" w:rsidRPr="00EE43AE" w:rsidRDefault="008E6217" w:rsidP="00EE43AE">
      <w:pPr>
        <w:jc w:val="center"/>
        <w:rPr>
          <w:b/>
        </w:rPr>
      </w:pPr>
      <w:bookmarkStart w:id="0" w:name="To"/>
      <w:r>
        <w:rPr>
          <w:b/>
        </w:rPr>
        <w:t>SPRAWA</w:t>
      </w:r>
      <w:bookmarkEnd w:id="0"/>
      <w:r>
        <w:rPr>
          <w:b/>
        </w:rPr>
        <w:t xml:space="preserve"> </w:t>
      </w:r>
      <w:r w:rsidR="00D74EF7" w:rsidRPr="00D74EF7">
        <w:rPr>
          <w:b/>
        </w:rPr>
        <w:t>DOYLE PRZECIWKO IRLANDII</w:t>
      </w:r>
    </w:p>
    <w:p w14:paraId="128748CE" w14:textId="77777777" w:rsidR="00170027" w:rsidRPr="00EE43AE" w:rsidRDefault="00170027" w:rsidP="00EE43AE">
      <w:pPr>
        <w:jc w:val="center"/>
        <w:rPr>
          <w:b/>
        </w:rPr>
      </w:pPr>
    </w:p>
    <w:p w14:paraId="6B00BD4E" w14:textId="77777777" w:rsidR="00D74888" w:rsidRPr="00EE43AE" w:rsidRDefault="008E6217" w:rsidP="00EE43AE">
      <w:pPr>
        <w:jc w:val="center"/>
        <w:rPr>
          <w:i/>
        </w:rPr>
      </w:pPr>
      <w:r>
        <w:rPr>
          <w:i/>
        </w:rPr>
        <w:t>(Skarga nr 51979/17)</w:t>
      </w:r>
    </w:p>
    <w:p w14:paraId="166B5B90" w14:textId="77777777" w:rsidR="0098410D" w:rsidRPr="00EE43AE" w:rsidRDefault="0098410D" w:rsidP="00EE43AE">
      <w:pPr>
        <w:jc w:val="center"/>
        <w:rPr>
          <w:i/>
        </w:rPr>
      </w:pPr>
    </w:p>
    <w:p w14:paraId="2FA47177" w14:textId="77777777" w:rsidR="0098410D" w:rsidRPr="00EE43AE" w:rsidRDefault="0098410D" w:rsidP="00EE43AE">
      <w:pPr>
        <w:jc w:val="center"/>
      </w:pPr>
    </w:p>
    <w:p w14:paraId="52A1A704" w14:textId="77777777" w:rsidR="0098410D" w:rsidRPr="00EE43AE" w:rsidRDefault="0098410D" w:rsidP="00EE43AE">
      <w:pPr>
        <w:jc w:val="center"/>
      </w:pPr>
    </w:p>
    <w:p w14:paraId="1E91148E" w14:textId="77777777" w:rsidR="0098410D" w:rsidRPr="00EE43AE" w:rsidRDefault="0098410D" w:rsidP="00EE43AE">
      <w:pPr>
        <w:jc w:val="center"/>
      </w:pPr>
    </w:p>
    <w:p w14:paraId="3ECE45BB" w14:textId="77777777" w:rsidR="0098410D" w:rsidRPr="00EE43AE" w:rsidRDefault="0098410D" w:rsidP="00EE43AE">
      <w:pPr>
        <w:jc w:val="center"/>
      </w:pPr>
    </w:p>
    <w:p w14:paraId="0A55EEFA" w14:textId="77777777" w:rsidR="0098410D" w:rsidRPr="00EE43AE" w:rsidRDefault="0098410D" w:rsidP="00EE43AE">
      <w:pPr>
        <w:jc w:val="center"/>
      </w:pPr>
    </w:p>
    <w:p w14:paraId="1DBDB0B5" w14:textId="77777777" w:rsidR="0098410D" w:rsidRPr="00EE43AE" w:rsidRDefault="0098410D" w:rsidP="00EE43AE">
      <w:pPr>
        <w:jc w:val="center"/>
      </w:pPr>
    </w:p>
    <w:p w14:paraId="1130D8F6" w14:textId="77777777" w:rsidR="0098410D" w:rsidRPr="00EE43AE" w:rsidRDefault="0098410D" w:rsidP="00EE43AE">
      <w:pPr>
        <w:jc w:val="center"/>
      </w:pPr>
    </w:p>
    <w:p w14:paraId="1A001A9B" w14:textId="77777777" w:rsidR="000F2D19" w:rsidRPr="00EE43AE" w:rsidRDefault="000F2D19" w:rsidP="00EE43AE">
      <w:pPr>
        <w:jc w:val="center"/>
      </w:pPr>
    </w:p>
    <w:p w14:paraId="1109597E" w14:textId="77777777" w:rsidR="000F2D19" w:rsidRPr="00EE43AE" w:rsidRDefault="000F2D19" w:rsidP="00EE43AE">
      <w:pPr>
        <w:jc w:val="center"/>
      </w:pPr>
    </w:p>
    <w:p w14:paraId="2EBAFE8E" w14:textId="77777777" w:rsidR="000F2D19" w:rsidRPr="00EE43AE" w:rsidRDefault="000F2D19" w:rsidP="00EE43AE">
      <w:pPr>
        <w:jc w:val="center"/>
      </w:pPr>
    </w:p>
    <w:p w14:paraId="56C467E0" w14:textId="77777777" w:rsidR="000F2D19" w:rsidRPr="00EE43AE" w:rsidRDefault="000F2D19" w:rsidP="00EE43AE">
      <w:pPr>
        <w:jc w:val="center"/>
      </w:pPr>
    </w:p>
    <w:p w14:paraId="47D1D17E" w14:textId="77777777" w:rsidR="0098410D" w:rsidRPr="00EE43AE" w:rsidRDefault="0098410D" w:rsidP="00EE43AE">
      <w:pPr>
        <w:jc w:val="center"/>
        <w:outlineLvl w:val="0"/>
      </w:pPr>
      <w:r>
        <w:t>WYROK</w:t>
      </w:r>
    </w:p>
    <w:p w14:paraId="575EB5CC" w14:textId="77777777" w:rsidR="0098410D" w:rsidRPr="00EE43AE" w:rsidRDefault="0098410D" w:rsidP="00EE43AE">
      <w:pPr>
        <w:jc w:val="center"/>
      </w:pPr>
    </w:p>
    <w:p w14:paraId="677149F2" w14:textId="77777777" w:rsidR="000F2D19" w:rsidRPr="00EE43AE" w:rsidRDefault="000F2D19" w:rsidP="00EE43AE">
      <w:pPr>
        <w:jc w:val="center"/>
      </w:pPr>
    </w:p>
    <w:p w14:paraId="002EA5E7" w14:textId="77777777" w:rsidR="0098410D" w:rsidRPr="00EE43AE" w:rsidRDefault="0098410D" w:rsidP="00EE43AE">
      <w:pPr>
        <w:jc w:val="center"/>
        <w:rPr>
          <w:i/>
        </w:rPr>
      </w:pPr>
    </w:p>
    <w:p w14:paraId="189F525B" w14:textId="77777777" w:rsidR="0098410D" w:rsidRPr="00EE43AE" w:rsidRDefault="0098410D" w:rsidP="00EE43AE">
      <w:pPr>
        <w:jc w:val="center"/>
        <w:outlineLvl w:val="0"/>
      </w:pPr>
      <w:r>
        <w:t>STRASBURG</w:t>
      </w:r>
    </w:p>
    <w:p w14:paraId="332732D2" w14:textId="77777777" w:rsidR="0098410D" w:rsidRPr="00EE43AE" w:rsidRDefault="0098410D" w:rsidP="00EE43AE">
      <w:pPr>
        <w:jc w:val="center"/>
      </w:pPr>
    </w:p>
    <w:p w14:paraId="01D56842" w14:textId="77777777" w:rsidR="0098410D" w:rsidRPr="00EE43AE" w:rsidRDefault="00B3070D" w:rsidP="00EE43AE">
      <w:pPr>
        <w:jc w:val="center"/>
      </w:pPr>
      <w:r>
        <w:rPr>
          <w:rFonts w:ascii="Times New Roman" w:hAnsi="Times New Roman"/>
        </w:rPr>
        <w:t>23 maja 2019 r.</w:t>
      </w:r>
    </w:p>
    <w:p w14:paraId="730D59FB" w14:textId="77777777" w:rsidR="0098410D" w:rsidRPr="00EE43AE" w:rsidRDefault="0098410D" w:rsidP="00EE43AE">
      <w:pPr>
        <w:jc w:val="center"/>
      </w:pPr>
    </w:p>
    <w:p w14:paraId="6241E041" w14:textId="666CC1E7" w:rsidR="00EE43AE" w:rsidRPr="00EE43AE" w:rsidRDefault="00EE43AE" w:rsidP="00EE43AE">
      <w:pPr>
        <w:pStyle w:val="jucase0"/>
        <w:ind w:firstLine="0"/>
        <w:jc w:val="center"/>
        <w:rPr>
          <w:color w:val="FF0000"/>
          <w:sz w:val="28"/>
          <w:szCs w:val="28"/>
          <w:u w:val="single"/>
        </w:rPr>
      </w:pPr>
      <w:r>
        <w:rPr>
          <w:color w:val="FF0000"/>
          <w:sz w:val="28"/>
          <w:szCs w:val="28"/>
          <w:u w:val="single"/>
        </w:rPr>
        <w:t>OSTATECZNY</w:t>
      </w:r>
    </w:p>
    <w:p w14:paraId="144507F1" w14:textId="77777777" w:rsidR="00EE43AE" w:rsidRPr="00EE43AE" w:rsidRDefault="00EE43AE" w:rsidP="00EE43AE">
      <w:pPr>
        <w:pStyle w:val="jucase0"/>
        <w:ind w:firstLine="0"/>
        <w:jc w:val="center"/>
        <w:rPr>
          <w:color w:val="FF0000"/>
          <w:sz w:val="28"/>
          <w:szCs w:val="28"/>
          <w:u w:val="single"/>
        </w:rPr>
      </w:pPr>
    </w:p>
    <w:p w14:paraId="374E525D" w14:textId="77777777" w:rsidR="00EE43AE" w:rsidRPr="00EE43AE" w:rsidRDefault="00EE43AE" w:rsidP="00EE43AE">
      <w:pPr>
        <w:pStyle w:val="jupara0"/>
        <w:ind w:firstLine="0"/>
        <w:jc w:val="center"/>
        <w:rPr>
          <w:color w:val="FF0000"/>
          <w:sz w:val="28"/>
          <w:szCs w:val="28"/>
        </w:rPr>
      </w:pPr>
      <w:r>
        <w:rPr>
          <w:color w:val="FF0000"/>
          <w:sz w:val="28"/>
          <w:szCs w:val="28"/>
        </w:rPr>
        <w:t>23/08/2019</w:t>
      </w:r>
    </w:p>
    <w:p w14:paraId="52BA7AE6" w14:textId="77777777" w:rsidR="00EE43AE" w:rsidRPr="00EE43AE" w:rsidRDefault="00EE43AE" w:rsidP="00EE43AE">
      <w:pPr>
        <w:pStyle w:val="jupara0"/>
        <w:ind w:firstLine="0"/>
        <w:jc w:val="center"/>
      </w:pPr>
    </w:p>
    <w:p w14:paraId="57099D79" w14:textId="77777777" w:rsidR="00EE43AE" w:rsidRPr="00EE43AE" w:rsidRDefault="00EE43AE" w:rsidP="00EE43AE">
      <w:pPr>
        <w:jc w:val="center"/>
        <w:rPr>
          <w:i/>
          <w:iCs/>
          <w:sz w:val="22"/>
        </w:rPr>
      </w:pPr>
      <w:r>
        <w:rPr>
          <w:i/>
          <w:iCs/>
          <w:sz w:val="22"/>
        </w:rPr>
        <w:t>Wyrok ten stał się ostateczny zgodnie z warunkami określonymi w art. 44 ust. 2 Konwencji. Wyrok może podlegać korekcie wydawniczej.</w:t>
      </w:r>
    </w:p>
    <w:p w14:paraId="26EB1595" w14:textId="77777777" w:rsidR="002422B6" w:rsidRPr="00EE43AE" w:rsidRDefault="002422B6" w:rsidP="00EE43AE">
      <w:pPr>
        <w:rPr>
          <w:i/>
          <w:sz w:val="22"/>
        </w:rPr>
      </w:pPr>
    </w:p>
    <w:p w14:paraId="23A7BAD0" w14:textId="77777777" w:rsidR="0098410D" w:rsidRPr="00EE43AE" w:rsidRDefault="0098410D" w:rsidP="00EE43AE">
      <w:pPr>
        <w:sectPr w:rsidR="0098410D" w:rsidRPr="00EE43AE">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74B6948D" w14:textId="77777777" w:rsidR="0098410D" w:rsidRPr="00EE43AE" w:rsidRDefault="0098410D" w:rsidP="00EE43AE">
      <w:pPr>
        <w:pStyle w:val="JuCase"/>
      </w:pPr>
      <w:r>
        <w:lastRenderedPageBreak/>
        <w:t>W sprawie Doyle przeciwko Irlandii</w:t>
      </w:r>
    </w:p>
    <w:p w14:paraId="1B6DE102" w14:textId="77777777" w:rsidR="009F4C8F" w:rsidRPr="00EE43AE" w:rsidRDefault="009F4C8F" w:rsidP="00EE43AE">
      <w:pPr>
        <w:pStyle w:val="JuPara"/>
      </w:pPr>
      <w:r>
        <w:t>Europejski Trybunał Praw Człowieka (sekcja piąta), zasiadając jako Izba w składzie:</w:t>
      </w:r>
    </w:p>
    <w:p w14:paraId="615DBFE6" w14:textId="77777777" w:rsidR="009F4C8F" w:rsidRPr="00EE43AE" w:rsidRDefault="005645F0" w:rsidP="00EE43AE">
      <w:pPr>
        <w:pStyle w:val="JuJudges"/>
      </w:pPr>
      <w:r>
        <w:tab/>
        <w:t>Angelika Nußberger,</w:t>
      </w:r>
      <w:r>
        <w:rPr>
          <w:i/>
        </w:rPr>
        <w:t xml:space="preserve"> Przewodnicząca,</w:t>
      </w:r>
      <w:r>
        <w:rPr>
          <w:i/>
        </w:rPr>
        <w:br/>
      </w:r>
      <w:r>
        <w:tab/>
        <w:t>Ganna Yudkivska,</w:t>
      </w:r>
      <w:r>
        <w:rPr>
          <w:i/>
        </w:rPr>
        <w:br/>
      </w:r>
      <w:r>
        <w:tab/>
        <w:t>André Potocki,</w:t>
      </w:r>
      <w:r>
        <w:rPr>
          <w:i/>
        </w:rPr>
        <w:br/>
      </w:r>
      <w:r>
        <w:tab/>
        <w:t>Síofra O’Leary,</w:t>
      </w:r>
      <w:r>
        <w:rPr>
          <w:i/>
        </w:rPr>
        <w:br/>
      </w:r>
      <w:r>
        <w:tab/>
        <w:t>Mārtiņš Mits,</w:t>
      </w:r>
      <w:r>
        <w:rPr>
          <w:i/>
        </w:rPr>
        <w:br/>
      </w:r>
      <w:r>
        <w:tab/>
        <w:t>Gabriele Kucsko-Stadlmayer,</w:t>
      </w:r>
      <w:r>
        <w:rPr>
          <w:i/>
        </w:rPr>
        <w:br/>
      </w:r>
      <w:r>
        <w:tab/>
        <w:t>Lado Chanturia,</w:t>
      </w:r>
      <w:r>
        <w:rPr>
          <w:i/>
        </w:rPr>
        <w:t xml:space="preserve"> sędziowie,</w:t>
      </w:r>
      <w:r>
        <w:br/>
        <w:t xml:space="preserve">oraz Claudia Westerdiek, </w:t>
      </w:r>
      <w:r>
        <w:rPr>
          <w:i/>
          <w:iCs/>
        </w:rPr>
        <w:t>Kanclerz Sekcji</w:t>
      </w:r>
      <w:r>
        <w:rPr>
          <w:i/>
        </w:rPr>
        <w:t>,</w:t>
      </w:r>
    </w:p>
    <w:p w14:paraId="6497C0E8" w14:textId="77777777" w:rsidR="009F4C8F" w:rsidRPr="00EE43AE" w:rsidRDefault="009F4C8F" w:rsidP="00EE43AE">
      <w:pPr>
        <w:pStyle w:val="JuPara"/>
      </w:pPr>
      <w:r>
        <w:t>obradując na posiedzeniu niejawnym w dniu 2 kwietnia 2019 r.,</w:t>
      </w:r>
    </w:p>
    <w:p w14:paraId="2CD062C4" w14:textId="77777777" w:rsidR="009F4C8F" w:rsidRPr="00EE43AE" w:rsidRDefault="009F4C8F" w:rsidP="00EE43AE">
      <w:pPr>
        <w:pStyle w:val="JuPara"/>
      </w:pPr>
      <w:r>
        <w:t>wydaje następujący wyrok, który został przyjęty w tym dniu:</w:t>
      </w:r>
    </w:p>
    <w:p w14:paraId="5169D4EA" w14:textId="77777777" w:rsidR="00B3070D" w:rsidRPr="00EE43AE" w:rsidRDefault="00B3070D" w:rsidP="00EE43AE">
      <w:pPr>
        <w:pStyle w:val="JuHHead"/>
      </w:pPr>
      <w:r>
        <w:t>POSTĘPOWANIE</w:t>
      </w:r>
    </w:p>
    <w:p w14:paraId="6419FB6F" w14:textId="1A50545B" w:rsidR="00B3070D" w:rsidRPr="00EE43AE" w:rsidRDefault="00FB401A" w:rsidP="00EE43AE">
      <w:pPr>
        <w:pStyle w:val="JuPara"/>
      </w:pPr>
      <w:r>
        <w:fldChar w:fldCharType="begin"/>
      </w:r>
      <w:r>
        <w:instrText xml:space="preserve"> SEQ level0 \*arabic </w:instrText>
      </w:r>
      <w:r>
        <w:fldChar w:fldCharType="separate"/>
      </w:r>
      <w:r w:rsidR="001D10DA">
        <w:rPr>
          <w:noProof/>
        </w:rPr>
        <w:t>1</w:t>
      </w:r>
      <w:r>
        <w:rPr>
          <w:noProof/>
        </w:rPr>
        <w:fldChar w:fldCharType="end"/>
      </w:r>
      <w:r w:rsidR="00426D77">
        <w:t>.  Sprawa wywodzi się ze skargi (nr 51979/17) przeciwko Irlandii, wniesionej do Trybunału w dniu 12 lipca 2017 r. na podstawie art. 34 Konwencji o ochronie praw człowieka i podstawowych wolności („Konwencj</w:t>
      </w:r>
      <w:r w:rsidR="006B68DF">
        <w:t>a</w:t>
      </w:r>
      <w:r w:rsidR="00426D77">
        <w:t>”) przez obywatela irlandzkiego Barry’ego Doyle’a („skarżąc</w:t>
      </w:r>
      <w:r w:rsidR="006B68DF">
        <w:t>y</w:t>
      </w:r>
      <w:r w:rsidR="00426D77">
        <w:t>”).</w:t>
      </w:r>
    </w:p>
    <w:p w14:paraId="53CFB6C7" w14:textId="3561900A" w:rsidR="00B3070D" w:rsidRPr="00EE43AE" w:rsidRDefault="00FB401A" w:rsidP="00EE43AE">
      <w:pPr>
        <w:pStyle w:val="JuPara"/>
      </w:pPr>
      <w:r>
        <w:fldChar w:fldCharType="begin"/>
      </w:r>
      <w:r>
        <w:instrText xml:space="preserve"> SEQ level0 \*arabic </w:instrText>
      </w:r>
      <w:r>
        <w:fldChar w:fldCharType="separate"/>
      </w:r>
      <w:r w:rsidR="001D10DA">
        <w:rPr>
          <w:noProof/>
        </w:rPr>
        <w:t>2</w:t>
      </w:r>
      <w:r>
        <w:rPr>
          <w:noProof/>
        </w:rPr>
        <w:fldChar w:fldCharType="end"/>
      </w:r>
      <w:r w:rsidR="00426D77">
        <w:t xml:space="preserve">.  Skarżący był reprezentowany przez Fahy Bambury, kancelarię prawną z siedzibą w Dublinie. Rząd irlandzki („Rząd”) reprezentowany był przez swojego pełnomocnika </w:t>
      </w:r>
      <w:r w:rsidR="006B68DF">
        <w:t xml:space="preserve">Pana </w:t>
      </w:r>
      <w:r w:rsidR="00426D77">
        <w:t>Petera White’a z Ministerstwa Spraw Zagranicznych.</w:t>
      </w:r>
    </w:p>
    <w:p w14:paraId="62A3C7E2" w14:textId="7F44AEAC" w:rsidR="00B3070D" w:rsidRPr="00EE43AE" w:rsidRDefault="00FB401A" w:rsidP="00EE43AE">
      <w:pPr>
        <w:pStyle w:val="JuPara"/>
      </w:pPr>
      <w:r>
        <w:fldChar w:fldCharType="begin"/>
      </w:r>
      <w:r>
        <w:instrText xml:space="preserve"> SEQ level0 \*arabic </w:instrText>
      </w:r>
      <w:r>
        <w:fldChar w:fldCharType="separate"/>
      </w:r>
      <w:r w:rsidR="001D10DA">
        <w:rPr>
          <w:noProof/>
        </w:rPr>
        <w:t>3</w:t>
      </w:r>
      <w:r>
        <w:rPr>
          <w:noProof/>
        </w:rPr>
        <w:fldChar w:fldCharType="end"/>
      </w:r>
      <w:r w:rsidR="00426D77">
        <w:t xml:space="preserve">.  Skarżący zarzucił, że po jego zatrzymaniu nie miał prawa do skorzystania z obecności adwokata </w:t>
      </w:r>
      <w:r w:rsidR="006B68DF">
        <w:t xml:space="preserve">podczas </w:t>
      </w:r>
      <w:r w:rsidR="00426D77">
        <w:t>przesłuchani</w:t>
      </w:r>
      <w:r w:rsidR="006B68DF">
        <w:t>a</w:t>
      </w:r>
      <w:r w:rsidR="00426D77">
        <w:t xml:space="preserve"> przez policję, co stanowiło brak realizacji przez pozwane Państwo jego prawa do rzetelnego procesu sądowego, zgodnie z art. 6 ust. 3 lit. c Konwencji.</w:t>
      </w:r>
    </w:p>
    <w:p w14:paraId="40380FE7" w14:textId="77777777" w:rsidR="00B3070D" w:rsidRPr="00EE43AE" w:rsidRDefault="00FB401A" w:rsidP="00EE43AE">
      <w:pPr>
        <w:pStyle w:val="JuPara"/>
      </w:pPr>
      <w:r>
        <w:fldChar w:fldCharType="begin"/>
      </w:r>
      <w:r>
        <w:instrText xml:space="preserve"> SEQ level0 \*arabic </w:instrText>
      </w:r>
      <w:r>
        <w:fldChar w:fldCharType="separate"/>
      </w:r>
      <w:r w:rsidR="001D10DA">
        <w:rPr>
          <w:noProof/>
        </w:rPr>
        <w:t>4</w:t>
      </w:r>
      <w:r>
        <w:rPr>
          <w:noProof/>
        </w:rPr>
        <w:fldChar w:fldCharType="end"/>
      </w:r>
      <w:r w:rsidR="00426D77">
        <w:t>.  W dniu 18 stycznia 2018 r. skargę zakomunikowano Rządowi.</w:t>
      </w:r>
    </w:p>
    <w:p w14:paraId="41C6F2D9" w14:textId="77777777" w:rsidR="00B3070D" w:rsidRPr="00EE43AE" w:rsidRDefault="00B3070D" w:rsidP="00EE43AE">
      <w:pPr>
        <w:pStyle w:val="JuHHead"/>
        <w:rPr>
          <w:rStyle w:val="JUNAMES"/>
          <w:smallCaps w:val="0"/>
        </w:rPr>
      </w:pPr>
      <w:r>
        <w:rPr>
          <w:rStyle w:val="JUNAMES"/>
          <w:smallCaps w:val="0"/>
        </w:rPr>
        <w:t>FAKTY</w:t>
      </w:r>
    </w:p>
    <w:p w14:paraId="085F582F" w14:textId="77777777" w:rsidR="00B3070D" w:rsidRPr="00EE43AE" w:rsidRDefault="00B3070D" w:rsidP="00EE43AE">
      <w:pPr>
        <w:pStyle w:val="JuHIRoman"/>
      </w:pPr>
      <w:r>
        <w:t>OKOLICZNOŚCI SPRAWY</w:t>
      </w:r>
    </w:p>
    <w:p w14:paraId="4CC6C563" w14:textId="77777777" w:rsidR="00B3070D" w:rsidRPr="00EE43AE" w:rsidRDefault="00FB401A" w:rsidP="00EE43AE">
      <w:pPr>
        <w:pStyle w:val="JuPara"/>
      </w:pPr>
      <w:r>
        <w:fldChar w:fldCharType="begin"/>
      </w:r>
      <w:r>
        <w:instrText xml:space="preserve"> SEQ level0 \*arabic </w:instrText>
      </w:r>
      <w:r>
        <w:fldChar w:fldCharType="separate"/>
      </w:r>
      <w:r w:rsidR="001D10DA">
        <w:rPr>
          <w:noProof/>
        </w:rPr>
        <w:t>5</w:t>
      </w:r>
      <w:r>
        <w:rPr>
          <w:noProof/>
        </w:rPr>
        <w:fldChar w:fldCharType="end"/>
      </w:r>
      <w:r w:rsidR="00426D77">
        <w:t>.  Skarżący urodził się w 1985 r. i obecnie odbywa karę dożywotniego pozbawienia wolności za zabójstwo w zakładzie karnym Mountjoy Prison</w:t>
      </w:r>
      <w:r w:rsidR="002D2BFB">
        <w:br/>
      </w:r>
      <w:r w:rsidR="00426D77">
        <w:t>w Dublinie.</w:t>
      </w:r>
    </w:p>
    <w:p w14:paraId="008F374B" w14:textId="54CBEE11" w:rsidR="00B3070D" w:rsidRPr="00EE43AE" w:rsidRDefault="00FB401A" w:rsidP="00EE43AE">
      <w:pPr>
        <w:pStyle w:val="JuPara"/>
      </w:pPr>
      <w:r>
        <w:fldChar w:fldCharType="begin"/>
      </w:r>
      <w:r>
        <w:instrText xml:space="preserve"> SEQ level0 \*arabic </w:instrText>
      </w:r>
      <w:r>
        <w:fldChar w:fldCharType="separate"/>
      </w:r>
      <w:r w:rsidR="001D10DA">
        <w:rPr>
          <w:noProof/>
        </w:rPr>
        <w:t>6</w:t>
      </w:r>
      <w:r>
        <w:rPr>
          <w:noProof/>
        </w:rPr>
        <w:fldChar w:fldCharType="end"/>
      </w:r>
      <w:r w:rsidR="00426D77">
        <w:t>.  We wczesnych godzinach dnia 9 listopada 2008 r. skarżący dokonał zabójstwa mężczyzny w Limerick. Doszło do tego wskutek błęd</w:t>
      </w:r>
      <w:r w:rsidR="006B68DF">
        <w:t>nej identyfikacji</w:t>
      </w:r>
      <w:r w:rsidR="00426D77">
        <w:t xml:space="preserve"> osoby. Skarżący miał dokonać zabójstwa innego mężczyzny na polecenie znanego w mieście przestępcy w związku z</w:t>
      </w:r>
      <w:r w:rsidR="00AB5096">
        <w:t xml:space="preserve"> porachunkami grup przestępczych.</w:t>
      </w:r>
      <w:r w:rsidR="00426D77">
        <w:t xml:space="preserve"> Skarżący pomylił </w:t>
      </w:r>
      <w:r w:rsidR="00711525">
        <w:t>ofiarę</w:t>
      </w:r>
      <w:r w:rsidR="00426D77">
        <w:t>, S.G., któr</w:t>
      </w:r>
      <w:r w:rsidR="00AB5096">
        <w:t>y</w:t>
      </w:r>
      <w:r w:rsidR="00426D77">
        <w:t xml:space="preserve"> nie miał żadnego związku</w:t>
      </w:r>
      <w:r w:rsidR="00AB5096">
        <w:t xml:space="preserve"> </w:t>
      </w:r>
      <w:r w:rsidR="00426D77">
        <w:t>ze</w:t>
      </w:r>
      <w:r w:rsidR="00AB5096">
        <w:t xml:space="preserve"> </w:t>
      </w:r>
      <w:r w:rsidR="00426D77">
        <w:t>środowiskiem</w:t>
      </w:r>
      <w:r w:rsidR="00AB5096">
        <w:t xml:space="preserve"> </w:t>
      </w:r>
      <w:r w:rsidR="00426D77">
        <w:t>przestępczym,</w:t>
      </w:r>
      <w:r w:rsidR="00AB5096">
        <w:t xml:space="preserve"> </w:t>
      </w:r>
      <w:r w:rsidR="00426D77">
        <w:t xml:space="preserve">z zamierzonym celem. </w:t>
      </w:r>
      <w:r w:rsidR="00AB5096">
        <w:t xml:space="preserve">Mający </w:t>
      </w:r>
      <w:r w:rsidR="00AB5096">
        <w:lastRenderedPageBreak/>
        <w:t xml:space="preserve">wówczas </w:t>
      </w:r>
      <w:r w:rsidR="00426D77">
        <w:t>28</w:t>
      </w:r>
      <w:r w:rsidR="00AB5096">
        <w:t xml:space="preserve"> </w:t>
      </w:r>
      <w:r w:rsidR="00426D77">
        <w:t>l</w:t>
      </w:r>
      <w:r w:rsidR="00AB5096">
        <w:t>a</w:t>
      </w:r>
      <w:r w:rsidR="00426D77">
        <w:t>t</w:t>
      </w:r>
      <w:r w:rsidR="00AB5096">
        <w:t xml:space="preserve"> </w:t>
      </w:r>
      <w:r w:rsidR="00426D77">
        <w:t xml:space="preserve">S.G. szedł do domu, kiedy skarżący strzelił i zranił </w:t>
      </w:r>
      <w:r w:rsidR="007954D6">
        <w:t xml:space="preserve">go </w:t>
      </w:r>
      <w:r w:rsidR="00426D77">
        <w:t xml:space="preserve">na ulicy. Następnie skarżący ścigał </w:t>
      </w:r>
      <w:r w:rsidR="007954D6">
        <w:t xml:space="preserve">swoją </w:t>
      </w:r>
      <w:r w:rsidR="00711525">
        <w:t xml:space="preserve">ofiarę </w:t>
      </w:r>
      <w:r w:rsidR="00426D77">
        <w:t>do ogrodu</w:t>
      </w:r>
      <w:r w:rsidR="007954D6">
        <w:t xml:space="preserve"> na tyłach</w:t>
      </w:r>
      <w:r w:rsidR="00426D77">
        <w:t xml:space="preserve"> pobliskiego domu, gdzie strzelił do </w:t>
      </w:r>
      <w:r w:rsidR="00711525">
        <w:t>nie</w:t>
      </w:r>
      <w:r w:rsidR="007954D6">
        <w:t>go</w:t>
      </w:r>
      <w:r w:rsidR="00711525">
        <w:t xml:space="preserve"> </w:t>
      </w:r>
      <w:r w:rsidR="00426D77">
        <w:t>kilka razy, zadając ogółem pięć ran, w tym śmiertelną ranę głowy.</w:t>
      </w:r>
    </w:p>
    <w:p w14:paraId="1148E0EF" w14:textId="303E4EEB" w:rsidR="00B3070D" w:rsidRPr="00EE43AE" w:rsidRDefault="00FB401A" w:rsidP="00EE43AE">
      <w:pPr>
        <w:pStyle w:val="JuPara"/>
      </w:pPr>
      <w:r>
        <w:fldChar w:fldCharType="begin"/>
      </w:r>
      <w:r>
        <w:instrText xml:space="preserve"> SEQ level0 \*arabic </w:instrText>
      </w:r>
      <w:r>
        <w:fldChar w:fldCharType="separate"/>
      </w:r>
      <w:r w:rsidR="001D10DA">
        <w:rPr>
          <w:noProof/>
        </w:rPr>
        <w:t>7</w:t>
      </w:r>
      <w:r>
        <w:rPr>
          <w:noProof/>
        </w:rPr>
        <w:fldChar w:fldCharType="end"/>
      </w:r>
      <w:r w:rsidR="00426D77">
        <w:t>.  W dniu 24 lutego 2009 r. policja śledcza dokonała przeszukania</w:t>
      </w:r>
      <w:r w:rsidR="00482E20">
        <w:br/>
      </w:r>
      <w:r w:rsidR="00426D77">
        <w:t>w miejscu zamieszkania skarżącego. Policja zatrzyma</w:t>
      </w:r>
      <w:r w:rsidR="00A906FB">
        <w:t>ła</w:t>
      </w:r>
      <w:r w:rsidR="00426D77">
        <w:t xml:space="preserve"> skarżącego o godz. 7.15. Na krótko przed godz. 8.00 skarżącego doprowadzono na komisariat policji, gdzie </w:t>
      </w:r>
      <w:r w:rsidR="00A906FB">
        <w:t xml:space="preserve">poinformowano </w:t>
      </w:r>
      <w:r w:rsidR="00426D77">
        <w:t xml:space="preserve">go o przysługujących mu prawach, w tym o prawie dostępu do adwokata. Wniósł </w:t>
      </w:r>
      <w:r w:rsidR="00A46B6F">
        <w:t>o zasięgnięcie porady prawnej</w:t>
      </w:r>
      <w:r w:rsidR="00426D77">
        <w:t xml:space="preserve"> konkretnego adwokata, którego policja odpowiednio powiadomiła o tym fakcie. O godz. 9.55 adwokat </w:t>
      </w:r>
      <w:r w:rsidR="00A906FB">
        <w:t>zadzwonił</w:t>
      </w:r>
      <w:r w:rsidR="00426D77">
        <w:t xml:space="preserve"> na komisariat policji i </w:t>
      </w:r>
      <w:r w:rsidR="00A906FB">
        <w:t xml:space="preserve">rozmawiał </w:t>
      </w:r>
      <w:r w:rsidR="00426D77">
        <w:t>ze skarżącym. Ta pierwsza konsultacja trwała dwie minuty.</w:t>
      </w:r>
    </w:p>
    <w:p w14:paraId="33E9FC81" w14:textId="77777777" w:rsidR="00B3070D" w:rsidRPr="00EE43AE" w:rsidRDefault="00FB401A" w:rsidP="00EE43AE">
      <w:pPr>
        <w:pStyle w:val="JuPara"/>
      </w:pPr>
      <w:r>
        <w:fldChar w:fldCharType="begin"/>
      </w:r>
      <w:r>
        <w:instrText xml:space="preserve"> SEQ level0 \*arabic </w:instrText>
      </w:r>
      <w:r>
        <w:fldChar w:fldCharType="separate"/>
      </w:r>
      <w:r w:rsidR="001D10DA">
        <w:rPr>
          <w:noProof/>
        </w:rPr>
        <w:t>8</w:t>
      </w:r>
      <w:r>
        <w:rPr>
          <w:noProof/>
        </w:rPr>
        <w:fldChar w:fldCharType="end"/>
      </w:r>
      <w:r w:rsidR="00426D77">
        <w:t>.  Pierwsze przesłuchanie przez policję rozpoczęło się o godz. 10.12</w:t>
      </w:r>
      <w:r w:rsidR="00482E20">
        <w:br/>
      </w:r>
      <w:r w:rsidR="00426D77">
        <w:t>i trwało 50 minut. Wszystkie przesłuchania były nagrywane za pomocą urządzeń rejestrujących obraz i dźwięk i zostały przeprowadzone bez fizycznej obecności adwokata skarżącego w pomieszczeniu, w którym odbywało się przesłuchanie. Na żadnym etapie skarżący ani jego adwokat nie zwrócili się z wnioskiem o udział adwokata w przesłuchaniu. W toku dalszego postępowania potwierdzono, że w świetle ówczesnej praktyki policyjnej wniosek taki zostałby odrzucony.</w:t>
      </w:r>
    </w:p>
    <w:p w14:paraId="3288B160" w14:textId="64F60284" w:rsidR="00B3070D" w:rsidRPr="00EE43AE" w:rsidRDefault="00FB401A" w:rsidP="00EE43AE">
      <w:pPr>
        <w:pStyle w:val="JuPara"/>
      </w:pPr>
      <w:r>
        <w:fldChar w:fldCharType="begin"/>
      </w:r>
      <w:r>
        <w:instrText xml:space="preserve"> SEQ level0 \*arabic </w:instrText>
      </w:r>
      <w:r>
        <w:fldChar w:fldCharType="separate"/>
      </w:r>
      <w:r w:rsidR="001D10DA">
        <w:rPr>
          <w:noProof/>
        </w:rPr>
        <w:t>9</w:t>
      </w:r>
      <w:r>
        <w:rPr>
          <w:noProof/>
        </w:rPr>
        <w:fldChar w:fldCharType="end"/>
      </w:r>
      <w:r w:rsidR="00426D77">
        <w:t xml:space="preserve">.  Inny adwokat, </w:t>
      </w:r>
      <w:r w:rsidR="00030F31">
        <w:t xml:space="preserve">Pan </w:t>
      </w:r>
      <w:r w:rsidR="00426D77">
        <w:t xml:space="preserve">O’D., który działał w imieniu pierwszego adwokata, przybył na komisariat policji o godz. 11.00 i od tej chwili reprezentował skarżącego. Policja zakończyła pierwsze przesłuchanie o godz. 11.03. Następnie skarżący </w:t>
      </w:r>
      <w:r w:rsidR="00030F31">
        <w:t>skonsultował się</w:t>
      </w:r>
      <w:r w:rsidR="00426D77">
        <w:t xml:space="preserve"> z adwokatem. </w:t>
      </w:r>
      <w:r w:rsidR="00030F31">
        <w:t xml:space="preserve">Konsultacja trwała 9 minut. </w:t>
      </w:r>
      <w:r w:rsidR="00426D77">
        <w:t>Drugie przesłuchanie rozpoczęło się o godz. 11.19 i trwało 23 minuty. Trzecie przesłuchanie rozpoczęło się o godz. 12.07 i trwało 1 godz</w:t>
      </w:r>
      <w:r w:rsidR="00030F31">
        <w:t>inę i</w:t>
      </w:r>
      <w:r w:rsidR="00426D77">
        <w:t xml:space="preserve"> 54 min</w:t>
      </w:r>
      <w:r w:rsidR="00030F31">
        <w:t>uty</w:t>
      </w:r>
      <w:r w:rsidR="00426D77">
        <w:t>. Czwarte przesłuchanie rozpoczęło się o godz. 15.00 i trwało 1 godz</w:t>
      </w:r>
      <w:r w:rsidR="00030F31">
        <w:t>inę</w:t>
      </w:r>
      <w:r w:rsidR="00426D77">
        <w:t xml:space="preserve"> i 39 min</w:t>
      </w:r>
      <w:r w:rsidR="00030F31">
        <w:t>ut</w:t>
      </w:r>
      <w:r w:rsidR="00426D77">
        <w:t>. Piąte przesłuchanie</w:t>
      </w:r>
      <w:r w:rsidR="005501AC">
        <w:t>, które</w:t>
      </w:r>
      <w:r w:rsidR="00426D77">
        <w:t xml:space="preserve"> rozpoczęło się o godz. 17.59, trwało </w:t>
      </w:r>
      <w:r w:rsidR="005501AC">
        <w:t xml:space="preserve">2 </w:t>
      </w:r>
      <w:r w:rsidR="00426D77">
        <w:t xml:space="preserve">godziny i </w:t>
      </w:r>
      <w:r w:rsidR="005501AC">
        <w:t xml:space="preserve">7 </w:t>
      </w:r>
      <w:r w:rsidR="00426D77">
        <w:t>minut. Ostatnie przesłuchanie w tym dniu odbyło się między godziną 22.00 a 23.42, czyli trwało 1 godz</w:t>
      </w:r>
      <w:r w:rsidR="005501AC">
        <w:t>inę</w:t>
      </w:r>
      <w:r w:rsidR="00426D77">
        <w:t xml:space="preserve"> i 42 min</w:t>
      </w:r>
      <w:r w:rsidR="005501AC">
        <w:t>uty</w:t>
      </w:r>
      <w:r w:rsidR="00426D77">
        <w:t xml:space="preserve">. Skarżący, który tego dnia nie prosił o kontakt ze swoim adwokatem, ani nie </w:t>
      </w:r>
      <w:r w:rsidR="005501AC">
        <w:t xml:space="preserve">kontaktował </w:t>
      </w:r>
      <w:r w:rsidR="00426D77">
        <w:t>się z nim więcej, nie przyznał się policji do winy.</w:t>
      </w:r>
    </w:p>
    <w:p w14:paraId="41097D2A" w14:textId="2FCDBC75" w:rsidR="00B3070D" w:rsidRPr="00EE43AE" w:rsidRDefault="00FB401A" w:rsidP="00EE43AE">
      <w:pPr>
        <w:pStyle w:val="JuPara"/>
      </w:pPr>
      <w:r>
        <w:fldChar w:fldCharType="begin"/>
      </w:r>
      <w:r>
        <w:instrText xml:space="preserve"> SEQ level0 \*arabic </w:instrText>
      </w:r>
      <w:r>
        <w:fldChar w:fldCharType="separate"/>
      </w:r>
      <w:r w:rsidR="001D10DA">
        <w:rPr>
          <w:noProof/>
        </w:rPr>
        <w:t>10</w:t>
      </w:r>
      <w:r>
        <w:rPr>
          <w:noProof/>
        </w:rPr>
        <w:fldChar w:fldCharType="end"/>
      </w:r>
      <w:r w:rsidR="00426D77">
        <w:t xml:space="preserve">.  Następnego dnia, 25 lutego 2009 r., policja kontynuowała przesłuchanie skarżącego. Trzy przesłuchania, które odbyły się rano i po południu, ogółem trwały </w:t>
      </w:r>
      <w:r w:rsidR="005501AC">
        <w:t xml:space="preserve">prawie </w:t>
      </w:r>
      <w:r w:rsidR="00426D77">
        <w:t xml:space="preserve">pięć godzin. </w:t>
      </w:r>
      <w:r w:rsidR="005501AC">
        <w:t>S</w:t>
      </w:r>
      <w:r w:rsidR="00426D77">
        <w:t xml:space="preserve">karżącego </w:t>
      </w:r>
      <w:r w:rsidR="005501AC">
        <w:t xml:space="preserve">doprowadzono </w:t>
      </w:r>
      <w:r w:rsidR="00426D77">
        <w:t xml:space="preserve">do sądu pierwszej instancji, który przedłużył </w:t>
      </w:r>
      <w:r w:rsidR="005501AC">
        <w:t xml:space="preserve">jego zatrzymanie </w:t>
      </w:r>
      <w:r w:rsidR="00426D77">
        <w:t>na kolejn</w:t>
      </w:r>
      <w:r w:rsidR="005501AC">
        <w:t>e</w:t>
      </w:r>
      <w:r w:rsidR="00426D77">
        <w:t xml:space="preserve"> 72 godzin</w:t>
      </w:r>
      <w:r w:rsidR="005501AC">
        <w:t>y</w:t>
      </w:r>
      <w:r w:rsidR="00426D77">
        <w:t>.</w:t>
      </w:r>
      <w:r w:rsidR="005501AC">
        <w:t xml:space="preserve"> </w:t>
      </w:r>
      <w:r w:rsidR="00426D77">
        <w:t>W posiedzeniu uczestniczył adwokat skarżącego. Skarżący został przewieziony z powrotem na komisariat policji, gdzie między godziną 22.38 a 23.25 odbyło się kolejne, dziesiąte</w:t>
      </w:r>
      <w:r w:rsidR="006F5703">
        <w:t>,</w:t>
      </w:r>
      <w:r w:rsidR="00426D77">
        <w:t xml:space="preserve"> przesłuchanie. W trakcie tego przesłuchania policja poinformowała go, że jego była dziewczyna, G., która </w:t>
      </w:r>
      <w:r w:rsidR="007D7321">
        <w:t xml:space="preserve">była </w:t>
      </w:r>
      <w:r w:rsidR="00426D77">
        <w:t xml:space="preserve">również matką jego małoletniej córki, została </w:t>
      </w:r>
      <w:r w:rsidR="007D7321">
        <w:t xml:space="preserve">wczesnym rankiem poprzedniego dnia </w:t>
      </w:r>
      <w:r w:rsidR="00426D77">
        <w:t xml:space="preserve">zatrzymana w Dublinie </w:t>
      </w:r>
      <w:r w:rsidR="007D7321">
        <w:t>p</w:t>
      </w:r>
      <w:r w:rsidR="00426D77">
        <w:t xml:space="preserve">od zarzutem zatajania informacji. </w:t>
      </w:r>
      <w:r w:rsidR="007D7321">
        <w:t>Została osadzona</w:t>
      </w:r>
      <w:r w:rsidR="00426D77">
        <w:t xml:space="preserve"> w areszcie i </w:t>
      </w:r>
      <w:r w:rsidR="007D7321">
        <w:t xml:space="preserve">była </w:t>
      </w:r>
      <w:r w:rsidR="00426D77">
        <w:t xml:space="preserve">przesłuchiwana przez policję na temat tego, co było jej wiadome w sprawie zabójstwa. Skarżącemu podano pewne </w:t>
      </w:r>
      <w:r w:rsidR="00426D77">
        <w:lastRenderedPageBreak/>
        <w:t xml:space="preserve">szczegóły dotyczące jej odpowiedzi na pytania policji. </w:t>
      </w:r>
      <w:r w:rsidR="00381EFC">
        <w:t>S</w:t>
      </w:r>
      <w:r w:rsidR="00426D77">
        <w:t xml:space="preserve">karżący </w:t>
      </w:r>
      <w:r w:rsidR="00381EFC">
        <w:t xml:space="preserve">ponownie </w:t>
      </w:r>
      <w:r w:rsidR="00426D77">
        <w:t xml:space="preserve">nie </w:t>
      </w:r>
      <w:r w:rsidR="00381EFC">
        <w:t>zawnios</w:t>
      </w:r>
      <w:r w:rsidR="00426D77">
        <w:t>kował o kolejne konsultacje ze swoim adwokatem ani nie przyznał się do winy.</w:t>
      </w:r>
    </w:p>
    <w:p w14:paraId="241388D1" w14:textId="685158DC" w:rsidR="00B3070D" w:rsidRPr="00EE43AE" w:rsidRDefault="00FB401A" w:rsidP="00EE43AE">
      <w:pPr>
        <w:pStyle w:val="JuPara"/>
      </w:pPr>
      <w:r>
        <w:fldChar w:fldCharType="begin"/>
      </w:r>
      <w:r>
        <w:instrText xml:space="preserve"> SEQ level0 \*arabic </w:instrText>
      </w:r>
      <w:r>
        <w:fldChar w:fldCharType="separate"/>
      </w:r>
      <w:r w:rsidR="001D10DA">
        <w:rPr>
          <w:noProof/>
        </w:rPr>
        <w:t>11</w:t>
      </w:r>
      <w:r>
        <w:rPr>
          <w:noProof/>
        </w:rPr>
        <w:fldChar w:fldCharType="end"/>
      </w:r>
      <w:r w:rsidR="00426D77">
        <w:t xml:space="preserve">.  Przesłuchanie skarżącego </w:t>
      </w:r>
      <w:r w:rsidR="00E6045B">
        <w:t>kontynuowano</w:t>
      </w:r>
      <w:r w:rsidR="00426D77">
        <w:t xml:space="preserve"> w dniu 26 lutego 2009 r. Jedenaste przesłuchanie rozpoczęło się o godz</w:t>
      </w:r>
      <w:r w:rsidR="00381EFC">
        <w:t>inie</w:t>
      </w:r>
      <w:r w:rsidR="00426D77">
        <w:t xml:space="preserve"> 9.03 i trwało 72 minuty. </w:t>
      </w:r>
      <w:r w:rsidR="00381EFC">
        <w:t>P</w:t>
      </w:r>
      <w:r w:rsidR="00426D77">
        <w:t xml:space="preserve">rzesłuchanie </w:t>
      </w:r>
      <w:r w:rsidR="00381EFC">
        <w:t>wznowiono</w:t>
      </w:r>
      <w:r w:rsidR="00426D77">
        <w:t xml:space="preserve"> o godz</w:t>
      </w:r>
      <w:r w:rsidR="00381EFC">
        <w:t>inie</w:t>
      </w:r>
      <w:r w:rsidR="00426D77">
        <w:t xml:space="preserve"> 12.22 i trwało 1 godz</w:t>
      </w:r>
      <w:r w:rsidR="00381EFC">
        <w:t>inę</w:t>
      </w:r>
      <w:r w:rsidR="00426D77">
        <w:t xml:space="preserve"> i 21 min</w:t>
      </w:r>
      <w:r w:rsidR="00381EFC">
        <w:t>ut</w:t>
      </w:r>
      <w:r w:rsidR="00426D77">
        <w:t xml:space="preserve">. Policja </w:t>
      </w:r>
      <w:r w:rsidR="0027090D">
        <w:t xml:space="preserve">naciskała na </w:t>
      </w:r>
      <w:r w:rsidR="00426D77">
        <w:t>skarżącego, że G</w:t>
      </w:r>
      <w:r w:rsidR="00AD3ADC">
        <w:t>.</w:t>
      </w:r>
      <w:r w:rsidR="00426D77">
        <w:t xml:space="preserve"> znosi </w:t>
      </w:r>
      <w:r w:rsidR="0027090D">
        <w:t xml:space="preserve">trudy </w:t>
      </w:r>
      <w:r w:rsidR="00426D77">
        <w:t>pozbawieni</w:t>
      </w:r>
      <w:r w:rsidR="0027090D">
        <w:t>a</w:t>
      </w:r>
      <w:r w:rsidR="00426D77">
        <w:t xml:space="preserve"> wolności i rozłąkę z małoletnią córką z powodu odmowy przyznania się przez </w:t>
      </w:r>
      <w:r w:rsidR="0027090D">
        <w:t xml:space="preserve">niego </w:t>
      </w:r>
      <w:r w:rsidR="00426D77">
        <w:t xml:space="preserve">do przestępstwa. Podkreślała również fakt, że </w:t>
      </w:r>
      <w:r w:rsidR="004B618C">
        <w:t>ofiara</w:t>
      </w:r>
      <w:r w:rsidR="00426D77">
        <w:t xml:space="preserve"> był</w:t>
      </w:r>
      <w:r w:rsidR="004B618C">
        <w:t>a</w:t>
      </w:r>
      <w:r w:rsidR="00426D77">
        <w:t xml:space="preserve"> zupełnie niewinnym człowiekiem. Trzynaste przesłuchanie odbyło się między godz. 15.02 a 16.15. Podczas tego przesłuchania skarżący zwrócił się o konsultację ze swoim adwokatem. Przesłuchanie przerwano, a policja skontaktowała się z adwokatem. Konsultacje między skarżącym a jego adwokatem ponownie odbyły się telefonicznie. Trwały około </w:t>
      </w:r>
      <w:r w:rsidR="00381EFC">
        <w:t xml:space="preserve">2 </w:t>
      </w:r>
      <w:r w:rsidR="00426D77">
        <w:t>minut.</w:t>
      </w:r>
    </w:p>
    <w:p w14:paraId="1C747FE9" w14:textId="65BFB0D7" w:rsidR="00B3070D" w:rsidRPr="00EE43AE" w:rsidRDefault="00FB401A" w:rsidP="00EE43AE">
      <w:pPr>
        <w:pStyle w:val="JuPara"/>
      </w:pPr>
      <w:r>
        <w:fldChar w:fldCharType="begin"/>
      </w:r>
      <w:r>
        <w:instrText xml:space="preserve"> SEQ level0 \*arabic </w:instrText>
      </w:r>
      <w:r>
        <w:fldChar w:fldCharType="separate"/>
      </w:r>
      <w:r w:rsidR="001D10DA">
        <w:rPr>
          <w:noProof/>
        </w:rPr>
        <w:t>12</w:t>
      </w:r>
      <w:r>
        <w:rPr>
          <w:noProof/>
        </w:rPr>
        <w:fldChar w:fldCharType="end"/>
      </w:r>
      <w:r w:rsidR="00426D77">
        <w:t>.  Kolejne, czternaste przesłuchanie, rozpoczęło się o godz. 17.32.</w:t>
      </w:r>
      <w:r w:rsidR="007413F3">
        <w:br/>
      </w:r>
      <w:r w:rsidR="00426D77">
        <w:t xml:space="preserve">W pierwszych minutach policja rozpytywała skarżącego o wiadomości tekstowe wysłane do </w:t>
      </w:r>
      <w:r w:rsidR="00AD3ADC">
        <w:t>P</w:t>
      </w:r>
      <w:r w:rsidR="00426D77">
        <w:t xml:space="preserve">ani G. mniej więcej w czasie zabójstwa. W pewnym momencie skarżący poprosił o ponowną rozmowę ze swoim adwokatem. </w:t>
      </w:r>
      <w:r w:rsidR="00265D3E">
        <w:t>P</w:t>
      </w:r>
      <w:r w:rsidR="00426D77">
        <w:t>rzesłuch</w:t>
      </w:r>
      <w:r w:rsidR="00265D3E">
        <w:t>ujący</w:t>
      </w:r>
      <w:r w:rsidR="00426D77">
        <w:t xml:space="preserve"> odpowiedzieli, że dopiero co rozmawiał z adwokatem, na co skarżący stwierdził, że nie był w stanie przeprowadzić z nim odpowiedniej rozmowy. Z dokumentów </w:t>
      </w:r>
      <w:r w:rsidR="00265D3E">
        <w:t xml:space="preserve">z </w:t>
      </w:r>
      <w:r w:rsidR="00426D77">
        <w:t xml:space="preserve">akt sprawy nie wynika jasno, kiedy do tego doszło. Przesłuchanie </w:t>
      </w:r>
      <w:r w:rsidR="00265D3E">
        <w:t>kontynuowano</w:t>
      </w:r>
      <w:r w:rsidR="00426D77">
        <w:t xml:space="preserve">. Około godz. 18.15 skarżący ponownie zwrócił się o rozmowę z obrońcą, stwierdzając, że odpowiedzi na pytania udzieli później. Chwilę później przesłuchanie zostało na krótko przerwane, </w:t>
      </w:r>
      <w:r w:rsidR="00265D3E">
        <w:t>gdy</w:t>
      </w:r>
      <w:r w:rsidR="00426D77">
        <w:t xml:space="preserve"> jeden z funkcjonariuszy wyszedł z pokoju po szklankę wody.</w:t>
      </w:r>
      <w:r w:rsidR="00AD3ADC">
        <w:t xml:space="preserve"> </w:t>
      </w:r>
      <w:r w:rsidR="00426D77">
        <w:t>Wrócił</w:t>
      </w:r>
      <w:r w:rsidR="00AD3ADC">
        <w:t xml:space="preserve"> </w:t>
      </w:r>
      <w:r w:rsidR="00426D77">
        <w:t xml:space="preserve">o godz. 18.20 i przez pozostałe 15 minut funkcjonariusze rozpytywali skarżącego o wykształcenie i zainteresowania sportowe. Przed zakończeniem przesłuchania poinformowali go, że z </w:t>
      </w:r>
      <w:r w:rsidR="00AD3ADC">
        <w:t>P</w:t>
      </w:r>
      <w:r w:rsidR="00426D77">
        <w:t>anią G</w:t>
      </w:r>
      <w:r w:rsidR="00AD3ADC">
        <w:t>.</w:t>
      </w:r>
      <w:r w:rsidR="00426D77">
        <w:t xml:space="preserve"> wszystko</w:t>
      </w:r>
      <w:r w:rsidR="006C6708">
        <w:t xml:space="preserve"> jest</w:t>
      </w:r>
      <w:r w:rsidR="00426D77">
        <w:t xml:space="preserve"> w porządku. Przesłuchanie zakończono o godz. 18.35.</w:t>
      </w:r>
    </w:p>
    <w:p w14:paraId="3C5BDA26" w14:textId="0FB08299" w:rsidR="00B3070D" w:rsidRPr="00EE43AE" w:rsidRDefault="00FB401A" w:rsidP="00EE43AE">
      <w:pPr>
        <w:pStyle w:val="JuPara"/>
      </w:pPr>
      <w:r>
        <w:fldChar w:fldCharType="begin"/>
      </w:r>
      <w:r>
        <w:instrText xml:space="preserve"> SEQ level0 \*arabic </w:instrText>
      </w:r>
      <w:r>
        <w:fldChar w:fldCharType="separate"/>
      </w:r>
      <w:r w:rsidR="001D10DA">
        <w:rPr>
          <w:noProof/>
        </w:rPr>
        <w:t>13</w:t>
      </w:r>
      <w:r>
        <w:rPr>
          <w:noProof/>
        </w:rPr>
        <w:fldChar w:fldCharType="end"/>
      </w:r>
      <w:r w:rsidR="00426D77">
        <w:t>.  </w:t>
      </w:r>
      <w:r w:rsidR="00ED4BC8">
        <w:t>Na wniosek</w:t>
      </w:r>
      <w:r w:rsidR="00426D77">
        <w:t xml:space="preserve"> skarżącego adwokat przybył na komisariat policji o godz. 18.52. Rozmowa pomiędzy nim a skarżącym trwała około dziesięciu minut. Zgodnie z notatką sporządzoną przez funkcjonariusza policji kilka godzin później, adwokat zwrócił się </w:t>
      </w:r>
      <w:r w:rsidR="00ED4BC8">
        <w:t xml:space="preserve">następnie </w:t>
      </w:r>
      <w:r w:rsidR="00426D77">
        <w:t xml:space="preserve">do funkcjonariuszy prowadzących przesłuchania i powiedział im, </w:t>
      </w:r>
      <w:r w:rsidR="00ED4BC8">
        <w:t>nieoficjalnie</w:t>
      </w:r>
      <w:r w:rsidR="00426D77">
        <w:t xml:space="preserve">, że skarżący </w:t>
      </w:r>
      <w:r w:rsidR="00ED4BC8">
        <w:t xml:space="preserve">był </w:t>
      </w:r>
      <w:r w:rsidR="00426D77">
        <w:t xml:space="preserve">gotów przyznać się do zabójstwa pod warunkiem zwolnienia </w:t>
      </w:r>
      <w:r w:rsidR="00AD3ADC">
        <w:t>P</w:t>
      </w:r>
      <w:r w:rsidR="00426D77">
        <w:t>ani G. Policja odpowiedziała, że</w:t>
      </w:r>
      <w:r w:rsidR="00ED4BC8">
        <w:t xml:space="preserve"> </w:t>
      </w:r>
      <w:r w:rsidR="00426D77">
        <w:t>ch</w:t>
      </w:r>
      <w:r w:rsidR="00ED4BC8">
        <w:t>c</w:t>
      </w:r>
      <w:r w:rsidR="00426D77">
        <w:t>e,</w:t>
      </w:r>
      <w:r w:rsidR="00ED4BC8">
        <w:t xml:space="preserve"> </w:t>
      </w:r>
      <w:r w:rsidR="00426D77">
        <w:t>aby</w:t>
      </w:r>
      <w:r w:rsidR="00ED4BC8">
        <w:t xml:space="preserve"> </w:t>
      </w:r>
      <w:r w:rsidR="00426D77">
        <w:t>skarżący</w:t>
      </w:r>
      <w:r w:rsidR="006A5BC3">
        <w:t xml:space="preserve"> powiedział </w:t>
      </w:r>
      <w:r w:rsidR="00426D77">
        <w:t>prawdę</w:t>
      </w:r>
      <w:r w:rsidR="006A5BC3">
        <w:t xml:space="preserve"> </w:t>
      </w:r>
      <w:r w:rsidR="00426D77">
        <w:t xml:space="preserve">o zabójstwie. Adwokat ponownie rozmawiał ze skarżącym przez dziesięć minut, a następnie poinformował policję, że </w:t>
      </w:r>
      <w:r w:rsidR="006A5BC3">
        <w:t xml:space="preserve">nie będzie przyznania się zanim </w:t>
      </w:r>
      <w:r w:rsidR="00AD3ADC">
        <w:t>P</w:t>
      </w:r>
      <w:r w:rsidR="00426D77">
        <w:t xml:space="preserve">ani G. nie </w:t>
      </w:r>
      <w:r w:rsidR="006A5BC3">
        <w:t>zostanie zwolniona</w:t>
      </w:r>
      <w:r w:rsidR="00426D77">
        <w:t>. Policja</w:t>
      </w:r>
      <w:r w:rsidR="006A5BC3">
        <w:t xml:space="preserve"> </w:t>
      </w:r>
      <w:r w:rsidR="00426D77">
        <w:t>odpowiedziała,</w:t>
      </w:r>
      <w:r w:rsidR="006A5BC3">
        <w:t xml:space="preserve"> </w:t>
      </w:r>
      <w:r w:rsidR="00426D77">
        <w:t>że</w:t>
      </w:r>
      <w:r w:rsidR="006A5BC3">
        <w:t xml:space="preserve"> </w:t>
      </w:r>
      <w:r w:rsidR="00426D77">
        <w:t>przyznanie</w:t>
      </w:r>
      <w:r w:rsidR="006A5BC3">
        <w:t xml:space="preserve"> </w:t>
      </w:r>
      <w:r w:rsidR="00426D77">
        <w:t>się</w:t>
      </w:r>
      <w:r w:rsidR="006A5BC3">
        <w:t xml:space="preserve"> </w:t>
      </w:r>
      <w:r w:rsidR="00426D77">
        <w:t>do</w:t>
      </w:r>
      <w:r w:rsidR="006A5BC3">
        <w:t xml:space="preserve"> </w:t>
      </w:r>
      <w:r w:rsidR="00426D77">
        <w:t>winy</w:t>
      </w:r>
      <w:r w:rsidR="006A5BC3">
        <w:t xml:space="preserve"> </w:t>
      </w:r>
      <w:r w:rsidR="00426D77">
        <w:t xml:space="preserve">w takich okolicznościach nie zostanie </w:t>
      </w:r>
      <w:r w:rsidR="006A5BC3">
        <w:t xml:space="preserve">zaakceptowane </w:t>
      </w:r>
      <w:r w:rsidR="00426D77">
        <w:t xml:space="preserve">w sądzie, </w:t>
      </w:r>
      <w:r w:rsidR="006A5BC3">
        <w:t xml:space="preserve">ponieważ </w:t>
      </w:r>
      <w:r w:rsidR="00426D77">
        <w:t xml:space="preserve">będzie </w:t>
      </w:r>
      <w:r w:rsidR="006A5BC3">
        <w:t>uważanie za</w:t>
      </w:r>
      <w:r w:rsidR="00426D77">
        <w:t xml:space="preserve"> nakłanianie. Adwokat </w:t>
      </w:r>
      <w:r w:rsidR="006A5BC3">
        <w:t>s</w:t>
      </w:r>
      <w:r w:rsidR="00426D77">
        <w:t xml:space="preserve">konsultował się </w:t>
      </w:r>
      <w:r w:rsidR="006A5BC3">
        <w:t xml:space="preserve">wtedy </w:t>
      </w:r>
      <w:r w:rsidR="00426D77">
        <w:t xml:space="preserve">ze skarżącym przez kolejne 10 minut, po czym wskazał policji, że skarżący nie przyzna się do niczego przed zwolnieniem </w:t>
      </w:r>
      <w:r w:rsidR="00AD3ADC">
        <w:t>P</w:t>
      </w:r>
      <w:r w:rsidR="00426D77">
        <w:t>ani G., a następnie opuścił komisariat policji.</w:t>
      </w:r>
    </w:p>
    <w:p w14:paraId="2ACCA8BE" w14:textId="5B692444" w:rsidR="00B3070D" w:rsidRPr="00EE43AE" w:rsidRDefault="00FB401A" w:rsidP="00EE43AE">
      <w:pPr>
        <w:pStyle w:val="JuPara"/>
      </w:pPr>
      <w:r>
        <w:lastRenderedPageBreak/>
        <w:fldChar w:fldCharType="begin"/>
      </w:r>
      <w:r>
        <w:instrText xml:space="preserve"> SEQ level0 \*arabic </w:instrText>
      </w:r>
      <w:r>
        <w:fldChar w:fldCharType="separate"/>
      </w:r>
      <w:r w:rsidR="001D10DA">
        <w:rPr>
          <w:noProof/>
        </w:rPr>
        <w:t>14</w:t>
      </w:r>
      <w:r>
        <w:rPr>
          <w:noProof/>
        </w:rPr>
        <w:fldChar w:fldCharType="end"/>
      </w:r>
      <w:r w:rsidR="00426D77">
        <w:t>.  Piętnaste przesłuchanie rozpoczęło się o godz</w:t>
      </w:r>
      <w:r w:rsidR="004074CA">
        <w:t>inie</w:t>
      </w:r>
      <w:r w:rsidR="00426D77">
        <w:t xml:space="preserve"> 19.42. Skarżący odmówił udzielenia odpowiedzi na pierwsze dwa zadane mu pytania,</w:t>
      </w:r>
      <w:r w:rsidR="003E22F9">
        <w:br/>
      </w:r>
      <w:r w:rsidR="00426D77">
        <w:t>a następnie stwierdził, że był obecny na miejscu zdarzenia mniej więcej</w:t>
      </w:r>
      <w:r w:rsidR="003E22F9">
        <w:br/>
      </w:r>
      <w:r w:rsidR="00426D77">
        <w:t>w czasie zabójstwa. W tym momencie do pokoju przesłuchań wszedł inny funkcjonariusz policji i oświadczył, że adwokat skarżącego zadzwonił na komisariat i chce z nim porozmawiać. Przesłuchanie zostało natychmiast wstrzymane,</w:t>
      </w:r>
      <w:r w:rsidR="00AD3ADC">
        <w:t xml:space="preserve"> </w:t>
      </w:r>
      <w:r w:rsidR="00426D77">
        <w:t>aby</w:t>
      </w:r>
      <w:r w:rsidR="00AD3ADC">
        <w:t xml:space="preserve"> </w:t>
      </w:r>
      <w:r w:rsidR="00426D77">
        <w:t>umożliwić</w:t>
      </w:r>
      <w:r w:rsidR="00AD3ADC">
        <w:t xml:space="preserve"> </w:t>
      </w:r>
      <w:r w:rsidR="00426D77">
        <w:t>skarżącemu</w:t>
      </w:r>
      <w:r w:rsidR="00AD3ADC">
        <w:t xml:space="preserve"> </w:t>
      </w:r>
      <w:r w:rsidR="00426D77">
        <w:t>porozumienie</w:t>
      </w:r>
      <w:r w:rsidR="00AD3ADC">
        <w:t xml:space="preserve"> </w:t>
      </w:r>
      <w:r w:rsidR="00426D77">
        <w:t>się</w:t>
      </w:r>
      <w:r w:rsidR="00AD3ADC">
        <w:t xml:space="preserve"> </w:t>
      </w:r>
      <w:r w:rsidR="00426D77">
        <w:t>z</w:t>
      </w:r>
      <w:r w:rsidR="00AD3ADC">
        <w:t xml:space="preserve"> </w:t>
      </w:r>
      <w:r w:rsidR="00426D77">
        <w:t xml:space="preserve">adwokatem. </w:t>
      </w:r>
      <w:r w:rsidR="00AD3ADC">
        <w:t>K</w:t>
      </w:r>
      <w:r w:rsidR="00426D77">
        <w:t xml:space="preserve">onsultacja ta trwała około </w:t>
      </w:r>
      <w:r w:rsidR="004074CA">
        <w:t xml:space="preserve">4 </w:t>
      </w:r>
      <w:r w:rsidR="00426D77">
        <w:t>minut. Po wznowieniu przesłuchania o godz</w:t>
      </w:r>
      <w:r w:rsidR="00D25F64">
        <w:t>inie</w:t>
      </w:r>
      <w:r w:rsidR="00426D77">
        <w:t xml:space="preserve"> 19.51 skarżący przyznał się do postrzelenia </w:t>
      </w:r>
      <w:r w:rsidR="00711525">
        <w:t>ofiary</w:t>
      </w:r>
      <w:r w:rsidR="000620C0">
        <w:t>.</w:t>
      </w:r>
      <w:r w:rsidR="000620C0">
        <w:br/>
      </w:r>
      <w:r w:rsidR="00426D77">
        <w:t xml:space="preserve">W trakcie przesłuchania podał szereg innych </w:t>
      </w:r>
      <w:r w:rsidR="004074CA">
        <w:t xml:space="preserve">szczegółów </w:t>
      </w:r>
      <w:r w:rsidR="00426D77">
        <w:t>dotyczących przestępstwa: jak został zawieziony na miejsce konkretnym samochodem; ubranie, które miał na sobie i które później spalił; ile strzałów oddał i gdzie; okoliczność oddania strzału z prawej ręki; o</w:t>
      </w:r>
      <w:r w:rsidR="000620C0">
        <w:t>koliczność, że broń się zacięła</w:t>
      </w:r>
      <w:r w:rsidR="000620C0">
        <w:br/>
      </w:r>
      <w:r w:rsidR="00426D77">
        <w:t xml:space="preserve">i że wyczyścił ją wyrzucając </w:t>
      </w:r>
      <w:r w:rsidR="004074CA">
        <w:t>naboje</w:t>
      </w:r>
      <w:r w:rsidR="00426D77">
        <w:t xml:space="preserve">. Naszkicował również mapę miejsca popełnienia przestępstwa, aby </w:t>
      </w:r>
      <w:r w:rsidR="00D25F64">
        <w:t>wskazać</w:t>
      </w:r>
      <w:r w:rsidR="000620C0">
        <w:t>, gdzie doszło do każdego</w:t>
      </w:r>
      <w:r w:rsidR="000620C0">
        <w:br/>
      </w:r>
      <w:r w:rsidR="00426D77">
        <w:t>z incydentów. Poza tym odmówił odpowiedzi na zadane mu pytania. Przesłuchanie zakończyło się o godz</w:t>
      </w:r>
      <w:r w:rsidR="00D25F64">
        <w:t>inie</w:t>
      </w:r>
      <w:r w:rsidR="00426D77">
        <w:t xml:space="preserve"> 21.05. Na koniec przesłuchania skarżący wykonał osobliwy gest. Wyjął różaniec, który nosił na szyi jako pamiątkę po zmarłym bracie, i zwrócił się do</w:t>
      </w:r>
      <w:r w:rsidR="00BE2A5B">
        <w:t> </w:t>
      </w:r>
      <w:r w:rsidR="00426D77">
        <w:t>policjantów</w:t>
      </w:r>
      <w:r w:rsidR="00BE2A5B">
        <w:t xml:space="preserve"> </w:t>
      </w:r>
      <w:r w:rsidR="00426D77">
        <w:t xml:space="preserve">o przekazanie go rodzinie </w:t>
      </w:r>
      <w:r w:rsidR="00BE2A5B">
        <w:t>ofiary</w:t>
      </w:r>
      <w:r w:rsidR="00426D77">
        <w:t>.</w:t>
      </w:r>
    </w:p>
    <w:p w14:paraId="087238B3" w14:textId="20AFFA11" w:rsidR="00B3070D" w:rsidRPr="00EE43AE" w:rsidRDefault="00FB401A" w:rsidP="00EE43AE">
      <w:pPr>
        <w:pStyle w:val="JuPara"/>
      </w:pPr>
      <w:r>
        <w:fldChar w:fldCharType="begin"/>
      </w:r>
      <w:r>
        <w:instrText xml:space="preserve"> SEQ level0 \*arabic </w:instrText>
      </w:r>
      <w:r>
        <w:fldChar w:fldCharType="separate"/>
      </w:r>
      <w:r w:rsidR="001D10DA">
        <w:rPr>
          <w:noProof/>
        </w:rPr>
        <w:t>15</w:t>
      </w:r>
      <w:r>
        <w:rPr>
          <w:noProof/>
        </w:rPr>
        <w:fldChar w:fldCharType="end"/>
      </w:r>
      <w:r w:rsidR="00426D77">
        <w:t>.  Szesnaste przesłuchanie odbyło się między godz</w:t>
      </w:r>
      <w:r w:rsidR="00D25F64">
        <w:t>iną</w:t>
      </w:r>
      <w:r w:rsidR="00426D77">
        <w:t xml:space="preserve"> 22.09 a 23.29, czyli trwało 90 minut. Policja wielokrotnie zwracała się do skarżącego</w:t>
      </w:r>
      <w:r w:rsidR="003E22F9">
        <w:br/>
      </w:r>
      <w:r w:rsidR="00426D77">
        <w:t>o wyjaśnienie, dlaczego zabił niewinnego człowieka, ale skarżący odm</w:t>
      </w:r>
      <w:r w:rsidR="00D25F64">
        <w:t>ówi</w:t>
      </w:r>
      <w:r w:rsidR="00426D77">
        <w:t>ł udzielenia odpowiedzi.</w:t>
      </w:r>
    </w:p>
    <w:p w14:paraId="20F5DCEF" w14:textId="4E820871" w:rsidR="00B3070D" w:rsidRPr="00EE43AE" w:rsidRDefault="00FB401A" w:rsidP="00EE43AE">
      <w:pPr>
        <w:pStyle w:val="JuPara"/>
      </w:pPr>
      <w:r>
        <w:fldChar w:fldCharType="begin"/>
      </w:r>
      <w:r>
        <w:instrText xml:space="preserve"> SEQ level0 \*arabic </w:instrText>
      </w:r>
      <w:r>
        <w:fldChar w:fldCharType="separate"/>
      </w:r>
      <w:r w:rsidR="001D10DA">
        <w:rPr>
          <w:noProof/>
        </w:rPr>
        <w:t>16</w:t>
      </w:r>
      <w:r>
        <w:rPr>
          <w:noProof/>
        </w:rPr>
        <w:fldChar w:fldCharType="end"/>
      </w:r>
      <w:r w:rsidR="00426D77">
        <w:t xml:space="preserve">.  W tym czasie </w:t>
      </w:r>
      <w:r w:rsidR="00E62CDB">
        <w:t>P</w:t>
      </w:r>
      <w:r w:rsidR="00426D77">
        <w:t>ani G. nie przebywała już w areszcie, ponieważ została zwolniona tego samego dnia o godz</w:t>
      </w:r>
      <w:r w:rsidR="00E62CDB">
        <w:t>inie</w:t>
      </w:r>
      <w:r w:rsidR="00426D77">
        <w:t xml:space="preserve"> 21.00.</w:t>
      </w:r>
    </w:p>
    <w:p w14:paraId="13296F41" w14:textId="5F970A3C" w:rsidR="00B3070D" w:rsidRPr="00EE43AE" w:rsidRDefault="00FB401A" w:rsidP="00EE43AE">
      <w:pPr>
        <w:pStyle w:val="JuPara"/>
      </w:pPr>
      <w:r>
        <w:fldChar w:fldCharType="begin"/>
      </w:r>
      <w:r>
        <w:instrText xml:space="preserve"> SEQ level0 \*arabic </w:instrText>
      </w:r>
      <w:r>
        <w:fldChar w:fldCharType="separate"/>
      </w:r>
      <w:r w:rsidR="001D10DA">
        <w:rPr>
          <w:noProof/>
        </w:rPr>
        <w:t>17</w:t>
      </w:r>
      <w:r>
        <w:rPr>
          <w:noProof/>
        </w:rPr>
        <w:fldChar w:fldCharType="end"/>
      </w:r>
      <w:r w:rsidR="00426D77">
        <w:t>.  Następnego dnia, 27 lutego 2009 r., odbyło się pięć kolejnych przesłuchań, które ogółem trwały 7 godz</w:t>
      </w:r>
      <w:r w:rsidR="00E62CDB">
        <w:t>in</w:t>
      </w:r>
      <w:r w:rsidR="00426D77">
        <w:t xml:space="preserve"> i 27 min</w:t>
      </w:r>
      <w:r w:rsidR="00E62CDB">
        <w:t>ut</w:t>
      </w:r>
      <w:r w:rsidR="00426D77">
        <w:t xml:space="preserve">. Skarżący nadal odmawiał udzielenia odpowiedzi na zadawane mu pytania dotyczące tożsamości zamierzonej ofiary, powiązań </w:t>
      </w:r>
      <w:r w:rsidR="00E62CDB">
        <w:t xml:space="preserve">jego samego </w:t>
      </w:r>
      <w:r w:rsidR="00426D77">
        <w:t>z</w:t>
      </w:r>
      <w:r w:rsidR="00E62CDB">
        <w:t xml:space="preserve"> dobrze</w:t>
      </w:r>
      <w:r w:rsidR="00426D77">
        <w:t xml:space="preserve"> znanym w </w:t>
      </w:r>
      <w:r w:rsidR="00E62CDB">
        <w:t xml:space="preserve">mieście </w:t>
      </w:r>
      <w:r w:rsidR="00426D77">
        <w:t xml:space="preserve">przestępcą, a także połączeń i wiadomości </w:t>
      </w:r>
      <w:r w:rsidR="00E62CDB">
        <w:t xml:space="preserve">do </w:t>
      </w:r>
      <w:r w:rsidR="00426D77">
        <w:t xml:space="preserve">i </w:t>
      </w:r>
      <w:r w:rsidR="00E62CDB">
        <w:t xml:space="preserve">z </w:t>
      </w:r>
      <w:r w:rsidR="00426D77">
        <w:t xml:space="preserve">jego telefonu komórkowego w okolicach </w:t>
      </w:r>
      <w:r w:rsidR="00E62CDB">
        <w:t xml:space="preserve">daty </w:t>
      </w:r>
      <w:r w:rsidR="00426D77">
        <w:t xml:space="preserve">zabójstwa. Podczas dwudziestego przesłuchania, </w:t>
      </w:r>
      <w:r w:rsidR="00E62CDB">
        <w:t>przeprowadzonego</w:t>
      </w:r>
      <w:r w:rsidR="00426D77">
        <w:t xml:space="preserve"> tego wieczor</w:t>
      </w:r>
      <w:r w:rsidR="00E62CDB">
        <w:t>a</w:t>
      </w:r>
      <w:r w:rsidR="00426D77">
        <w:t>, wskazał na mapie, jaki był przebieg</w:t>
      </w:r>
      <w:r w:rsidR="00F17AA3">
        <w:t xml:space="preserve"> </w:t>
      </w:r>
      <w:r w:rsidR="00426D77">
        <w:t>przestępstwa</w:t>
      </w:r>
      <w:r w:rsidR="00F17AA3">
        <w:t xml:space="preserve"> c</w:t>
      </w:r>
      <w:r w:rsidR="00426D77">
        <w:t xml:space="preserve">i stwierdził, że kiedy dogonił </w:t>
      </w:r>
      <w:r w:rsidR="00395A0F">
        <w:t xml:space="preserve">ofiarę </w:t>
      </w:r>
      <w:r w:rsidR="00426D77">
        <w:t xml:space="preserve">w tylnym ogrodzie, tuż przed oddaniem przez skarżącego śmiertelnych strzałów </w:t>
      </w:r>
      <w:r w:rsidR="00395A0F">
        <w:t xml:space="preserve">ofiara </w:t>
      </w:r>
      <w:r w:rsidR="00426D77">
        <w:t>powiedział</w:t>
      </w:r>
      <w:r w:rsidR="00395A0F">
        <w:t>a</w:t>
      </w:r>
      <w:r w:rsidR="00426D77">
        <w:t xml:space="preserve"> „przestań, proszę”.</w:t>
      </w:r>
    </w:p>
    <w:p w14:paraId="379DCD75" w14:textId="0E9134B6" w:rsidR="00B3070D" w:rsidRPr="00EE43AE" w:rsidRDefault="00FB401A" w:rsidP="00EE43AE">
      <w:pPr>
        <w:pStyle w:val="JuPara"/>
      </w:pPr>
      <w:r>
        <w:fldChar w:fldCharType="begin"/>
      </w:r>
      <w:r>
        <w:instrText xml:space="preserve"> SEQ level0 \*arabic </w:instrText>
      </w:r>
      <w:r>
        <w:fldChar w:fldCharType="separate"/>
      </w:r>
      <w:r w:rsidR="001D10DA">
        <w:rPr>
          <w:noProof/>
        </w:rPr>
        <w:t>18</w:t>
      </w:r>
      <w:r>
        <w:rPr>
          <w:noProof/>
        </w:rPr>
        <w:fldChar w:fldCharType="end"/>
      </w:r>
      <w:r w:rsidR="00426D77">
        <w:t xml:space="preserve">.  W dniu 28 lutego odbyły się dwa kolejne przesłuchania, </w:t>
      </w:r>
      <w:r w:rsidR="00F17AA3">
        <w:t>trwające w całości 2</w:t>
      </w:r>
      <w:r w:rsidR="00426D77">
        <w:t xml:space="preserve"> godziny i </w:t>
      </w:r>
      <w:r w:rsidR="00F17AA3">
        <w:t xml:space="preserve">3 </w:t>
      </w:r>
      <w:r w:rsidR="00426D77">
        <w:t>minuty. Policja okazała skarżącemu różne dowody zebrane na miejscu przestępstwa, w tym niewy</w:t>
      </w:r>
      <w:r w:rsidR="00FD24EB">
        <w:t>strzelone naboje</w:t>
      </w:r>
      <w:r w:rsidR="00426D77">
        <w:t xml:space="preserve">, łuski po </w:t>
      </w:r>
      <w:r w:rsidR="001735A8">
        <w:t>nabojach</w:t>
      </w:r>
      <w:r w:rsidR="00426D77">
        <w:t xml:space="preserve">, </w:t>
      </w:r>
      <w:r w:rsidR="001735A8">
        <w:t xml:space="preserve">naboje </w:t>
      </w:r>
      <w:r w:rsidR="00426D77">
        <w:t xml:space="preserve">wyjęte z ciała </w:t>
      </w:r>
      <w:r w:rsidR="000C280D">
        <w:t xml:space="preserve">ofiary </w:t>
      </w:r>
      <w:r w:rsidR="00426D77">
        <w:t xml:space="preserve">oraz części odzieży </w:t>
      </w:r>
      <w:r w:rsidR="000C280D">
        <w:t>ofiary</w:t>
      </w:r>
      <w:r w:rsidR="00426D77">
        <w:t>. Skarżący nie ustosunkował się do tego ani do żadnego innego zadanego mu pytania. O godz</w:t>
      </w:r>
      <w:r w:rsidR="001735A8">
        <w:t>inie</w:t>
      </w:r>
      <w:r w:rsidR="00426D77">
        <w:t xml:space="preserve"> 15.15 policja przedstawiła skarżącemu zarzut zabójstwa</w:t>
      </w:r>
      <w:r w:rsidR="000620C0">
        <w:t xml:space="preserve"> </w:t>
      </w:r>
      <w:r w:rsidR="00426D77">
        <w:t>i skierowała jego sprawę do sądu karnego.</w:t>
      </w:r>
    </w:p>
    <w:p w14:paraId="3BDFC7DD" w14:textId="739FF2DF" w:rsidR="00B3070D" w:rsidRPr="00EE43AE" w:rsidRDefault="00FB401A" w:rsidP="00EE43AE">
      <w:pPr>
        <w:pStyle w:val="JuPara"/>
      </w:pPr>
      <w:r>
        <w:lastRenderedPageBreak/>
        <w:fldChar w:fldCharType="begin"/>
      </w:r>
      <w:r>
        <w:instrText xml:space="preserve"> SEQ level0 \*arabic </w:instrText>
      </w:r>
      <w:r>
        <w:fldChar w:fldCharType="separate"/>
      </w:r>
      <w:r w:rsidR="001D10DA">
        <w:rPr>
          <w:noProof/>
        </w:rPr>
        <w:t>19</w:t>
      </w:r>
      <w:r>
        <w:rPr>
          <w:noProof/>
        </w:rPr>
        <w:fldChar w:fldCharType="end"/>
      </w:r>
      <w:r w:rsidR="00426D77">
        <w:t>.  Skarżący nie przyznał się do winy. Postępowanie karne w jego sprawie odbyło się przed Centralnym Sądem Karnym.</w:t>
      </w:r>
    </w:p>
    <w:p w14:paraId="13033245" w14:textId="77777777" w:rsidR="00B3070D" w:rsidRPr="00EE43AE" w:rsidRDefault="00B3070D" w:rsidP="00EE43AE">
      <w:pPr>
        <w:pStyle w:val="JuHA"/>
      </w:pPr>
      <w:r>
        <w:t>Pierwszy i drugi proces karny</w:t>
      </w:r>
    </w:p>
    <w:p w14:paraId="7CAC3164" w14:textId="779DCFE8" w:rsidR="00B3070D" w:rsidRPr="00EE43AE" w:rsidRDefault="00FB401A" w:rsidP="00EE43AE">
      <w:pPr>
        <w:pStyle w:val="JuPara"/>
      </w:pPr>
      <w:r>
        <w:fldChar w:fldCharType="begin"/>
      </w:r>
      <w:r>
        <w:instrText xml:space="preserve"> SEQ level0 \*arabic </w:instrText>
      </w:r>
      <w:r>
        <w:fldChar w:fldCharType="separate"/>
      </w:r>
      <w:r w:rsidR="001D10DA">
        <w:rPr>
          <w:noProof/>
        </w:rPr>
        <w:t>20</w:t>
      </w:r>
      <w:r>
        <w:rPr>
          <w:noProof/>
        </w:rPr>
        <w:fldChar w:fldCharType="end"/>
      </w:r>
      <w:r w:rsidR="00426D77">
        <w:t>.  </w:t>
      </w:r>
      <w:r w:rsidR="001735A8">
        <w:t>Pierwszy</w:t>
      </w:r>
      <w:r w:rsidR="00426D77">
        <w:t xml:space="preserve"> proces, w 2011 r., </w:t>
      </w:r>
      <w:r w:rsidR="001735A8">
        <w:t xml:space="preserve">nie przyniósł rozstrzygnięcia, </w:t>
      </w:r>
      <w:r w:rsidR="00426D77">
        <w:t xml:space="preserve">ława przysięgłych nie zdołała </w:t>
      </w:r>
      <w:r w:rsidR="001735A8">
        <w:t>uzgodnić werdyktu.</w:t>
      </w:r>
    </w:p>
    <w:p w14:paraId="74EFCF99" w14:textId="637F3C5C" w:rsidR="00B3070D" w:rsidRPr="00EE43AE" w:rsidRDefault="00FB401A" w:rsidP="00EE43AE">
      <w:pPr>
        <w:pStyle w:val="JuPara"/>
      </w:pPr>
      <w:r>
        <w:fldChar w:fldCharType="begin"/>
      </w:r>
      <w:r>
        <w:instrText xml:space="preserve"> SEQ level0 \*arabic </w:instrText>
      </w:r>
      <w:r>
        <w:fldChar w:fldCharType="separate"/>
      </w:r>
      <w:r w:rsidR="001D10DA">
        <w:rPr>
          <w:noProof/>
        </w:rPr>
        <w:t>21</w:t>
      </w:r>
      <w:r>
        <w:rPr>
          <w:noProof/>
        </w:rPr>
        <w:fldChar w:fldCharType="end"/>
      </w:r>
      <w:r w:rsidR="00426D77">
        <w:t>.  Drug</w:t>
      </w:r>
      <w:r w:rsidR="000C280D">
        <w:t>i</w:t>
      </w:r>
      <w:r w:rsidR="00426D77">
        <w:t xml:space="preserve"> proces rozpoczął się</w:t>
      </w:r>
      <w:r w:rsidR="00F0740F">
        <w:t xml:space="preserve"> w dniu</w:t>
      </w:r>
      <w:r w:rsidR="00426D77">
        <w:t xml:space="preserve"> 16 stycznia 2012 r. i trwał 22 dni. Na wstępie skarżący wniósł o wyłączenie wyjaśnień, które złożył na policji. Zgodnie z prawem krajowym, jego wniosek został rozpoznany przez sędziego pod nieobecność ławy przysięgłych. </w:t>
      </w:r>
      <w:r w:rsidR="002C6EDF">
        <w:t>Postępowanie to</w:t>
      </w:r>
      <w:r w:rsidR="00167B6F">
        <w:t>,</w:t>
      </w:r>
      <w:r w:rsidR="00426D77">
        <w:t xml:space="preserve"> </w:t>
      </w:r>
      <w:r w:rsidR="00426D77">
        <w:rPr>
          <w:i/>
        </w:rPr>
        <w:t>voir dire</w:t>
      </w:r>
      <w:r w:rsidR="00426D77">
        <w:t xml:space="preserve"> </w:t>
      </w:r>
      <w:r w:rsidR="00167B6F">
        <w:t>(post</w:t>
      </w:r>
      <w:r w:rsidR="002C6EDF">
        <w:t>ę</w:t>
      </w:r>
      <w:r w:rsidR="00167B6F">
        <w:t xml:space="preserve">powanie </w:t>
      </w:r>
      <w:r w:rsidR="002C6EDF">
        <w:t xml:space="preserve">w ramach procesu </w:t>
      </w:r>
      <w:r w:rsidR="00426D77">
        <w:t xml:space="preserve">w przedmiocie </w:t>
      </w:r>
      <w:r w:rsidR="00167B6F">
        <w:t xml:space="preserve">zbadania </w:t>
      </w:r>
      <w:r w:rsidR="00426D77">
        <w:t>dopuszczalności dowodów) trwał</w:t>
      </w:r>
      <w:r w:rsidR="002C6EDF">
        <w:t>o 10</w:t>
      </w:r>
      <w:r w:rsidR="00426D77">
        <w:t xml:space="preserve"> dni. Sędzia rozpoznający sprawę zapoznał się z </w:t>
      </w:r>
      <w:r w:rsidR="002C6EDF">
        <w:t xml:space="preserve">ponad 20 - godzinnymi </w:t>
      </w:r>
      <w:r w:rsidR="00426D77">
        <w:t xml:space="preserve">nagraniami </w:t>
      </w:r>
      <w:r w:rsidR="002C6EDF">
        <w:t xml:space="preserve">video </w:t>
      </w:r>
      <w:r w:rsidR="00426D77">
        <w:t>z przesłuchań</w:t>
      </w:r>
      <w:r w:rsidR="002C6EDF">
        <w:t>.</w:t>
      </w:r>
      <w:r w:rsidR="00426D77">
        <w:t xml:space="preserve"> Podczas tego </w:t>
      </w:r>
      <w:r w:rsidR="002C6EDF">
        <w:t xml:space="preserve">postępowania </w:t>
      </w:r>
      <w:r w:rsidR="00426D77">
        <w:t>nagrani</w:t>
      </w:r>
      <w:r w:rsidR="002C6EDF">
        <w:t>e</w:t>
      </w:r>
      <w:r w:rsidR="00426D77">
        <w:t xml:space="preserve"> z przesłuchania było odtwarzane na ekranie, a następnie funkcjonariusze, którzy prowadzili przesłuchania, </w:t>
      </w:r>
      <w:r w:rsidR="002C6EDF">
        <w:t xml:space="preserve">złożyli </w:t>
      </w:r>
      <w:r w:rsidR="00426D77">
        <w:t xml:space="preserve">zeznania dotyczące nagrań wideo i byli przesłuchiwani przez </w:t>
      </w:r>
      <w:r w:rsidR="00312479">
        <w:t xml:space="preserve">przedstawicieli </w:t>
      </w:r>
      <w:r w:rsidR="00426D77">
        <w:t>oskarż</w:t>
      </w:r>
      <w:r w:rsidR="00312479">
        <w:t>enia</w:t>
      </w:r>
      <w:r w:rsidR="00426D77">
        <w:t xml:space="preserve"> i obro</w:t>
      </w:r>
      <w:r w:rsidR="00312479">
        <w:t>ny</w:t>
      </w:r>
      <w:r w:rsidR="00426D77">
        <w:t xml:space="preserve">. Na koniec </w:t>
      </w:r>
      <w:r w:rsidR="00312479">
        <w:t>przedstawiciele obu stron</w:t>
      </w:r>
      <w:r w:rsidR="00426D77">
        <w:t xml:space="preserve"> </w:t>
      </w:r>
      <w:r w:rsidR="00312479">
        <w:t>przedłożyli</w:t>
      </w:r>
      <w:r w:rsidR="00426D77">
        <w:t xml:space="preserve"> sędziemu stanowiska </w:t>
      </w:r>
      <w:r w:rsidR="00312479">
        <w:t xml:space="preserve">w </w:t>
      </w:r>
      <w:r w:rsidR="00426D77">
        <w:t>kwesti</w:t>
      </w:r>
      <w:r w:rsidR="00312479">
        <w:t xml:space="preserve">ach nakłaniania poprzez </w:t>
      </w:r>
      <w:r w:rsidR="00426D77">
        <w:t xml:space="preserve">groźby, </w:t>
      </w:r>
      <w:r w:rsidR="0066365E">
        <w:t xml:space="preserve">nacisków </w:t>
      </w:r>
      <w:r w:rsidR="00426D77">
        <w:t>i rzetelności.</w:t>
      </w:r>
    </w:p>
    <w:p w14:paraId="2EFC0D9B" w14:textId="77777777" w:rsidR="00B3070D" w:rsidRPr="00EE43AE" w:rsidRDefault="00FB401A" w:rsidP="00EE43AE">
      <w:pPr>
        <w:pStyle w:val="JuPara"/>
      </w:pPr>
      <w:r>
        <w:fldChar w:fldCharType="begin"/>
      </w:r>
      <w:r>
        <w:instrText xml:space="preserve"> SEQ level0 \*arabic </w:instrText>
      </w:r>
      <w:r>
        <w:fldChar w:fldCharType="separate"/>
      </w:r>
      <w:r w:rsidR="001D10DA">
        <w:rPr>
          <w:noProof/>
        </w:rPr>
        <w:t>22</w:t>
      </w:r>
      <w:r>
        <w:rPr>
          <w:noProof/>
        </w:rPr>
        <w:fldChar w:fldCharType="end"/>
      </w:r>
      <w:r w:rsidR="00426D77">
        <w:t>.  W jedenastym dniu procesu sędzia orzekł, co następuje:</w:t>
      </w:r>
    </w:p>
    <w:p w14:paraId="16A2B1E0" w14:textId="4D5FF57B" w:rsidR="00B3070D" w:rsidRPr="00EE43AE" w:rsidRDefault="00B3070D" w:rsidP="00EE43AE">
      <w:pPr>
        <w:pStyle w:val="JuQuot"/>
      </w:pPr>
      <w:r>
        <w:t>„Obrona sprzeciwia się wnioskowi oskarżenia o przeprowadzenie dowodu</w:t>
      </w:r>
      <w:r w:rsidR="00F0740F">
        <w:br/>
      </w:r>
      <w:r>
        <w:t>z różnych wyjaśnień złożonych przez Barry’ego Doyle’a w trakcie przesłuchań, które miały miejsce</w:t>
      </w:r>
      <w:r w:rsidR="0066365E">
        <w:t xml:space="preserve"> w trakcie osadzenia</w:t>
      </w:r>
      <w:r>
        <w:t xml:space="preserve"> w areszcie </w:t>
      </w:r>
      <w:r w:rsidR="009058D6">
        <w:t>[</w:t>
      </w:r>
      <w:r>
        <w:t>...</w:t>
      </w:r>
      <w:r w:rsidR="009058D6">
        <w:t>]</w:t>
      </w:r>
      <w:r>
        <w:t xml:space="preserve"> Obrona twierdzi, że wyjaśnienia te są niedopuszczalne</w:t>
      </w:r>
      <w:r w:rsidR="0066365E">
        <w:t>, opierając się na trzech podstawach.</w:t>
      </w:r>
    </w:p>
    <w:p w14:paraId="7A8EAB8C" w14:textId="2971996A" w:rsidR="00B3070D" w:rsidRPr="00EE43AE" w:rsidRDefault="00B3070D" w:rsidP="00EE43AE">
      <w:pPr>
        <w:pStyle w:val="JuPara"/>
      </w:pPr>
      <w:r>
        <w:t>1) Wyjaśnienia zostały złożone</w:t>
      </w:r>
      <w:r w:rsidR="00184DF9">
        <w:t xml:space="preserve"> bez</w:t>
      </w:r>
      <w:r>
        <w:t xml:space="preserve">wolnie w </w:t>
      </w:r>
      <w:r w:rsidR="0066365E">
        <w:t xml:space="preserve">wyniku </w:t>
      </w:r>
      <w:r w:rsidR="00184DF9">
        <w:t xml:space="preserve">kombinacji </w:t>
      </w:r>
      <w:r>
        <w:t xml:space="preserve">gróźb, nakłaniania i </w:t>
      </w:r>
      <w:r w:rsidR="00184DF9">
        <w:t>nacisków</w:t>
      </w:r>
      <w:r>
        <w:t>.</w:t>
      </w:r>
    </w:p>
    <w:p w14:paraId="4E581D82" w14:textId="43C740FA" w:rsidR="00B3070D" w:rsidRPr="00EE43AE" w:rsidRDefault="00B3070D" w:rsidP="00EE43AE">
      <w:pPr>
        <w:pStyle w:val="JuPara"/>
      </w:pPr>
      <w:r>
        <w:t xml:space="preserve">2) Wyjaśnienia zostały złożone w wyniku naruszenia konstytucyjnego prawa oskarżonego do </w:t>
      </w:r>
      <w:r w:rsidR="00184DF9">
        <w:t>dostępu do</w:t>
      </w:r>
      <w:r>
        <w:t xml:space="preserve"> pomocy obrońcy.</w:t>
      </w:r>
    </w:p>
    <w:p w14:paraId="2570E39D" w14:textId="77777777" w:rsidR="00B3070D" w:rsidRPr="00EE43AE" w:rsidRDefault="00B3070D" w:rsidP="00EE43AE">
      <w:pPr>
        <w:pStyle w:val="JuPara"/>
      </w:pPr>
      <w:r>
        <w:t>3)</w:t>
      </w:r>
      <w:r w:rsidR="00F0740F">
        <w:t xml:space="preserve"> </w:t>
      </w:r>
      <w:r>
        <w:t>Wyjaśnienia zostały złożone w wyniku naruszenia wymogu podstawowej rzetelności.</w:t>
      </w:r>
    </w:p>
    <w:p w14:paraId="76D8BA46" w14:textId="77777777" w:rsidR="00B3070D" w:rsidRPr="00EE43AE" w:rsidRDefault="00B3070D" w:rsidP="00EE43AE">
      <w:pPr>
        <w:pStyle w:val="JuQuot"/>
      </w:pPr>
      <w:r>
        <w:t>[…]</w:t>
      </w:r>
    </w:p>
    <w:p w14:paraId="736F1121" w14:textId="3B399D6D" w:rsidR="00B3070D" w:rsidRPr="00EE43AE" w:rsidRDefault="00B3070D" w:rsidP="00EE43AE">
      <w:pPr>
        <w:pStyle w:val="JuQuot"/>
      </w:pPr>
      <w:r>
        <w:t xml:space="preserve">Ciężar dowodu w odniesieniu do dopuszczalności spoczywa na </w:t>
      </w:r>
      <w:r w:rsidR="0078694D">
        <w:t>oskarżycielu</w:t>
      </w:r>
      <w:r w:rsidR="00F0740F">
        <w:br/>
      </w:r>
      <w:r w:rsidR="0078694D">
        <w:t>i jeśli przyznanie się do winy ma zostać</w:t>
      </w:r>
      <w:r>
        <w:t xml:space="preserve"> dopuszcz</w:t>
      </w:r>
      <w:r w:rsidR="0078694D">
        <w:t>one</w:t>
      </w:r>
      <w:r>
        <w:t xml:space="preserve"> jako dow</w:t>
      </w:r>
      <w:r w:rsidR="0078694D">
        <w:t>ó</w:t>
      </w:r>
      <w:r>
        <w:t>d</w:t>
      </w:r>
      <w:r w:rsidR="0078694D">
        <w:t>, sąd musi być przekonany</w:t>
      </w:r>
      <w:r>
        <w:t xml:space="preserve">, ponad uzasadnioną wątpliwość, </w:t>
      </w:r>
      <w:r w:rsidR="0078694D">
        <w:t>że jest to właściwe</w:t>
      </w:r>
      <w:r>
        <w:t>.</w:t>
      </w:r>
    </w:p>
    <w:p w14:paraId="06F10904" w14:textId="77777777" w:rsidR="00B3070D" w:rsidRPr="00EE43AE" w:rsidRDefault="00B3070D" w:rsidP="00EE43AE">
      <w:pPr>
        <w:pStyle w:val="JuQuot"/>
      </w:pPr>
      <w:r>
        <w:t>[…]</w:t>
      </w:r>
    </w:p>
    <w:p w14:paraId="67F392D3" w14:textId="175D5151" w:rsidR="00B3070D" w:rsidRPr="00EE43AE" w:rsidRDefault="00B3070D" w:rsidP="00EE43AE">
      <w:pPr>
        <w:pStyle w:val="JuQuot"/>
      </w:pPr>
      <w:r>
        <w:t xml:space="preserve">Jeśli chodzi o kwestię dostępu do </w:t>
      </w:r>
      <w:r w:rsidR="00404678">
        <w:t>pomocy prawnej</w:t>
      </w:r>
      <w:r>
        <w:t>, podczas pobytu na [komisariacie], jeszcze przed złożeniem wyjaśnień, Barry Doyle dwukrotnie konsultował się ze swoim adwokatem,</w:t>
      </w:r>
      <w:r w:rsidR="00404678">
        <w:t xml:space="preserve"> </w:t>
      </w:r>
      <w:r>
        <w:t>a</w:t>
      </w:r>
      <w:r w:rsidR="00404678">
        <w:t xml:space="preserve"> </w:t>
      </w:r>
      <w:r>
        <w:t>także</w:t>
      </w:r>
      <w:r w:rsidR="00404678">
        <w:t xml:space="preserve"> </w:t>
      </w:r>
      <w:r>
        <w:t>był</w:t>
      </w:r>
      <w:r w:rsidR="00404678">
        <w:t xml:space="preserve"> </w:t>
      </w:r>
      <w:r>
        <w:t>reprezentowany</w:t>
      </w:r>
      <w:r w:rsidR="00404678">
        <w:t xml:space="preserve"> </w:t>
      </w:r>
      <w:r>
        <w:t>przez</w:t>
      </w:r>
      <w:r w:rsidR="00404678">
        <w:t xml:space="preserve"> </w:t>
      </w:r>
      <w:r>
        <w:t>niego</w:t>
      </w:r>
      <w:r w:rsidR="00404678">
        <w:t xml:space="preserve"> </w:t>
      </w:r>
      <w:r>
        <w:t xml:space="preserve">w sądzie, gdy złożono wniosek o przedłużenie </w:t>
      </w:r>
      <w:r w:rsidR="00404678">
        <w:t>jego zatrzymania</w:t>
      </w:r>
      <w:r>
        <w:t>. Sąd nie uważa, by czas trwania którejkolwiek z tych konsultacji miał znaczenie dla niniejszej sprawy. Sąd stwierdz</w:t>
      </w:r>
      <w:r w:rsidR="00B12B5C">
        <w:t>a</w:t>
      </w:r>
      <w:r>
        <w:t xml:space="preserve"> również, że [policja] miała prawo kontynuować przesłuchanie Barry’ego Doyle’a w ramach przesłuchania nr 14, gdy </w:t>
      </w:r>
      <w:r w:rsidR="00B12B5C">
        <w:t>zarzucił on</w:t>
      </w:r>
      <w:r>
        <w:t xml:space="preserve">, że krótka rozmowa telefoniczna z jego adwokatem nie była </w:t>
      </w:r>
      <w:r w:rsidR="00B12B5C">
        <w:t xml:space="preserve">odpowiednia </w:t>
      </w:r>
      <w:r>
        <w:t xml:space="preserve">i gdy jego adwokat miał przybyć na komisariat [policji] w ciągu godziny. Sąd </w:t>
      </w:r>
      <w:r w:rsidR="00B12B5C">
        <w:t>jest przekonany</w:t>
      </w:r>
      <w:r>
        <w:t>, że nie doszło do naruszenia konstytucyjnego prawa Barry’ego Doyle’a do skorzystania z porady prawnej.</w:t>
      </w:r>
    </w:p>
    <w:p w14:paraId="0654A796" w14:textId="2652D6D7" w:rsidR="00B3070D" w:rsidRPr="00EE43AE" w:rsidRDefault="00B3070D" w:rsidP="00EE43AE">
      <w:pPr>
        <w:pStyle w:val="JuQuot"/>
      </w:pPr>
      <w:r>
        <w:lastRenderedPageBreak/>
        <w:t xml:space="preserve">Rozważając kwestię zastosowania przymusu, </w:t>
      </w:r>
      <w:r w:rsidR="00E66707">
        <w:t>s</w:t>
      </w:r>
      <w:r>
        <w:t>ąd obserwował Barry’ego Doyle’a na nagraniach wideo przez ponad 20 godzin i stwierdz</w:t>
      </w:r>
      <w:r w:rsidR="00B12B5C">
        <w:t>a</w:t>
      </w:r>
      <w:r>
        <w:t>, że przez cały ten czas wydawał się on być silny fizycznie i psychicznie. Współpracował z [policją], gdy chciał i odmawiał udzielenia odpowiedzi na pytania, gdy nie chciał współpracować. […]</w:t>
      </w:r>
    </w:p>
    <w:p w14:paraId="78ADCD6D" w14:textId="37C67883" w:rsidR="00B3070D" w:rsidRPr="00EE43AE" w:rsidRDefault="00B3070D" w:rsidP="00EE43AE">
      <w:pPr>
        <w:pStyle w:val="JuQuot"/>
      </w:pPr>
      <w:r>
        <w:t xml:space="preserve">W odniesieniu do przesłuchania przez [funkcjonariuszy policji], </w:t>
      </w:r>
      <w:r w:rsidR="00E66707">
        <w:t>s</w:t>
      </w:r>
      <w:r>
        <w:t>ąd stwierdza, że przesłuchania były prowadzone w sposób ostrożny, cierpliwy i uporządkowany,</w:t>
      </w:r>
      <w:r w:rsidR="00F0740F">
        <w:br/>
      </w:r>
      <w:r>
        <w:t>w który</w:t>
      </w:r>
      <w:r w:rsidR="00E66707">
        <w:t>ch</w:t>
      </w:r>
      <w:r>
        <w:t xml:space="preserve"> niektóre z wyników śledztwa stopniowo ujawniano Barry’emu Doyle’owi. Sąd stwierdził również, że Barry Doyle po raz pierwszy zaczął współpracować</w:t>
      </w:r>
      <w:r w:rsidR="00F0740F">
        <w:br/>
      </w:r>
      <w:r>
        <w:t xml:space="preserve">z [policją] w ograniczony sposób, zasadniczo ze względu na odwołanie się przez [policję] do człowieczeństwa Barry’ego Doyle’a. </w:t>
      </w:r>
      <w:r w:rsidR="00C03DC3">
        <w:t>Ta w</w:t>
      </w:r>
      <w:r>
        <w:t>spółpraca</w:t>
      </w:r>
      <w:r w:rsidR="00C03DC3">
        <w:t xml:space="preserve"> bazowała na</w:t>
      </w:r>
      <w:r>
        <w:t xml:space="preserve"> [...] i ostatecznie</w:t>
      </w:r>
      <w:r w:rsidR="003936C6">
        <w:t xml:space="preserve"> </w:t>
      </w:r>
      <w:r>
        <w:t>oskarżony</w:t>
      </w:r>
      <w:r w:rsidR="003936C6">
        <w:t xml:space="preserve"> </w:t>
      </w:r>
      <w:r>
        <w:t>powiedział</w:t>
      </w:r>
      <w:r w:rsidR="003936C6">
        <w:t xml:space="preserve"> </w:t>
      </w:r>
      <w:r>
        <w:t>[policji]</w:t>
      </w:r>
      <w:r w:rsidR="003936C6">
        <w:t xml:space="preserve"> </w:t>
      </w:r>
      <w:r>
        <w:t>o</w:t>
      </w:r>
      <w:r w:rsidR="003936C6">
        <w:t xml:space="preserve"> </w:t>
      </w:r>
      <w:r>
        <w:t>swoim</w:t>
      </w:r>
      <w:r w:rsidR="003936C6">
        <w:t xml:space="preserve"> </w:t>
      </w:r>
      <w:r>
        <w:t>udziale</w:t>
      </w:r>
      <w:r w:rsidR="003936C6">
        <w:t xml:space="preserve"> </w:t>
      </w:r>
      <w:r>
        <w:t>w śmierci [S.G.].</w:t>
      </w:r>
    </w:p>
    <w:p w14:paraId="3EAEC7AF" w14:textId="734B32E8" w:rsidR="00B3070D" w:rsidRPr="00EE43AE" w:rsidRDefault="00B3070D" w:rsidP="00EE43AE">
      <w:pPr>
        <w:pStyle w:val="JuQuot"/>
      </w:pPr>
      <w:r>
        <w:t xml:space="preserve">Sąd uznał, że </w:t>
      </w:r>
      <w:r w:rsidR="00C03DC3">
        <w:t>przesłuchania [przez policję] były przez cały czas prow</w:t>
      </w:r>
      <w:r>
        <w:t>a</w:t>
      </w:r>
      <w:r w:rsidR="00C03DC3">
        <w:t>dz</w:t>
      </w:r>
      <w:r w:rsidR="003936C6">
        <w:t>o</w:t>
      </w:r>
      <w:r w:rsidR="00C03DC3">
        <w:t>ne</w:t>
      </w:r>
      <w:r w:rsidR="00F0740F">
        <w:br/>
      </w:r>
      <w:r>
        <w:t>profesjonal</w:t>
      </w:r>
      <w:r w:rsidR="00C03DC3">
        <w:t>nie</w:t>
      </w:r>
      <w:r>
        <w:t xml:space="preserve"> i uprzejm</w:t>
      </w:r>
      <w:r w:rsidR="00C03DC3">
        <w:t>ie oraz bez stosowania</w:t>
      </w:r>
      <w:r>
        <w:t xml:space="preserve"> przymusu. Sąd stwierdził również, że podczas</w:t>
      </w:r>
      <w:r w:rsidR="00F73677">
        <w:t xml:space="preserve"> </w:t>
      </w:r>
      <w:r>
        <w:t>przesłuchań</w:t>
      </w:r>
      <w:r w:rsidR="00F73677">
        <w:t xml:space="preserve"> </w:t>
      </w:r>
      <w:r>
        <w:t>Barry</w:t>
      </w:r>
      <w:r w:rsidR="00F73677">
        <w:t xml:space="preserve"> </w:t>
      </w:r>
      <w:r>
        <w:t>Doyle</w:t>
      </w:r>
      <w:r w:rsidR="00F73677">
        <w:t xml:space="preserve"> </w:t>
      </w:r>
      <w:r>
        <w:t>był</w:t>
      </w:r>
      <w:r w:rsidR="00F73677">
        <w:t xml:space="preserve"> </w:t>
      </w:r>
      <w:r>
        <w:t>w</w:t>
      </w:r>
      <w:r w:rsidR="00F73677">
        <w:t xml:space="preserve"> </w:t>
      </w:r>
      <w:r>
        <w:t>pełni</w:t>
      </w:r>
      <w:r w:rsidR="00F73677">
        <w:t xml:space="preserve"> </w:t>
      </w:r>
      <w:r>
        <w:t>opanowany</w:t>
      </w:r>
      <w:r w:rsidR="00F73677">
        <w:t xml:space="preserve"> </w:t>
      </w:r>
      <w:r>
        <w:t>i z własnej woli przyznał się do popełnienia przestępstwa.</w:t>
      </w:r>
    </w:p>
    <w:p w14:paraId="522F4C6E" w14:textId="033BB1FA" w:rsidR="00B3070D" w:rsidRPr="00EE43AE" w:rsidRDefault="00B3070D" w:rsidP="00EE43AE">
      <w:pPr>
        <w:pStyle w:val="JuQuot"/>
      </w:pPr>
      <w:r>
        <w:t xml:space="preserve">W odniesieniu do </w:t>
      </w:r>
      <w:r w:rsidR="00F73677">
        <w:t>kwestii</w:t>
      </w:r>
      <w:r>
        <w:t>, czy niektóre z sugestii [policji] skierowanych do Barry’ego Doyle’a, aby powiedział prawdę i nie trzymał</w:t>
      </w:r>
      <w:r w:rsidR="00F73677">
        <w:t xml:space="preserve"> już dłużej</w:t>
      </w:r>
      <w:r>
        <w:t xml:space="preserve"> [G</w:t>
      </w:r>
      <w:r w:rsidR="00AD3ADC">
        <w:t>.</w:t>
      </w:r>
      <w:r>
        <w:t xml:space="preserve">] z dala od ich dziecka, </w:t>
      </w:r>
      <w:r w:rsidR="00F73677">
        <w:t xml:space="preserve">rodzi się </w:t>
      </w:r>
      <w:r>
        <w:t>pytanie, czy t</w:t>
      </w:r>
      <w:r w:rsidR="00F73677">
        <w:t>a</w:t>
      </w:r>
      <w:r>
        <w:t xml:space="preserve"> lub inne podobne sugestie poczynione przed przesłuchaniem nr 15 i odnoszące się do zwolnienia [G</w:t>
      </w:r>
      <w:r w:rsidR="00AD3ADC">
        <w:t>.</w:t>
      </w:r>
      <w:r>
        <w:t xml:space="preserve">] </w:t>
      </w:r>
      <w:r w:rsidR="00F73677">
        <w:t>mogą stanowić</w:t>
      </w:r>
      <w:r>
        <w:t xml:space="preserve"> nakłanianie. Po pierwsze należy stwierdzić, że uwagi te należy rozpatrywać w ogólnym kontekście wszystkiego, co miało miejsce, </w:t>
      </w:r>
      <w:r w:rsidR="00F73677">
        <w:t>w tym</w:t>
      </w:r>
      <w:r>
        <w:t xml:space="preserve"> różne odpowiedzi Barry’ego Doyle’a dotyczące śmierci jego brata, odpowiedzi dotyczące jego własnej rodziny, jego dzieci z poprzedniego związku, a także jego związku z [G</w:t>
      </w:r>
      <w:r w:rsidR="00AD3ADC">
        <w:t>.</w:t>
      </w:r>
      <w:r>
        <w:t xml:space="preserve">], jak również odczytywane lub rozpatrywane w kontekście ograniczonych odpowiedzi, </w:t>
      </w:r>
      <w:r w:rsidR="00CA6C96">
        <w:t xml:space="preserve">jakich </w:t>
      </w:r>
      <w:r>
        <w:t>udzielił na temat mieszkania w Limerick i faktu, że przyznał[...],że</w:t>
      </w:r>
      <w:r w:rsidR="00CA6C96">
        <w:t xml:space="preserve"> </w:t>
      </w:r>
      <w:r>
        <w:t>przebywanie</w:t>
      </w:r>
      <w:r w:rsidR="00CA6C96">
        <w:t xml:space="preserve"> </w:t>
      </w:r>
      <w:r>
        <w:t>w areszcie w związku z podejrzeniem o zabójstwo [S.G.] było</w:t>
      </w:r>
      <w:r w:rsidR="00CA6C96">
        <w:t xml:space="preserve"> </w:t>
      </w:r>
      <w:r>
        <w:t>najgorszym</w:t>
      </w:r>
      <w:r w:rsidR="00CA6C96">
        <w:t xml:space="preserve"> momentem </w:t>
      </w:r>
      <w:r>
        <w:t xml:space="preserve">w jego życiu. Kontekst obejmuje również stopniowe ujawnianie skarżącemu dowodów w sprawie, a także kierowanie do niego </w:t>
      </w:r>
      <w:r w:rsidR="00CA6C96">
        <w:t xml:space="preserve">licznych </w:t>
      </w:r>
      <w:r>
        <w:t>apeli o mówienie prawdy.</w:t>
      </w:r>
    </w:p>
    <w:p w14:paraId="7B93F937" w14:textId="506A9D4F" w:rsidR="00B3070D" w:rsidRPr="00EE43AE" w:rsidRDefault="00B3070D" w:rsidP="00EE43AE">
      <w:pPr>
        <w:pStyle w:val="JuQuot"/>
      </w:pPr>
      <w:r>
        <w:t xml:space="preserve">Niezależnie od kontekstu, w jakim </w:t>
      </w:r>
      <w:r w:rsidR="00CA6C96">
        <w:t>miały miejsce</w:t>
      </w:r>
      <w:r>
        <w:t xml:space="preserve">, [...] nawet jeśli sugestie te mogłyby ewentualnie stanowić nakłanianie, to obiektywnie </w:t>
      </w:r>
      <w:r w:rsidR="00CA6C96">
        <w:t>patrząc</w:t>
      </w:r>
      <w:r>
        <w:t xml:space="preserve">, nie zadziałały od razu, a ich skutek, jakikolwiek by nie był, został </w:t>
      </w:r>
      <w:r w:rsidR="006203DF">
        <w:t xml:space="preserve">rozmyty </w:t>
      </w:r>
      <w:r>
        <w:t xml:space="preserve">wskutek konsultacji Barry’ego Doyle’a z adwokatem i </w:t>
      </w:r>
      <w:r w:rsidR="006203DF">
        <w:t xml:space="preserve">kontaktu </w:t>
      </w:r>
      <w:r>
        <w:t xml:space="preserve">adwokata z [policją]. </w:t>
      </w:r>
      <w:r w:rsidR="006203DF">
        <w:t xml:space="preserve">Zerwało </w:t>
      </w:r>
      <w:r>
        <w:t>to ewentualny związek przyczynow</w:t>
      </w:r>
      <w:r w:rsidR="006203DF">
        <w:t>y</w:t>
      </w:r>
      <w:r>
        <w:t xml:space="preserve">, a ogromne znaczenie ma fakt, że adwokat powiedział funkcjonariuszom, że Barry Doyle nie przyzna się do popełnienia przestępstwa i że będą </w:t>
      </w:r>
      <w:r w:rsidR="00BC3A56">
        <w:t>mieli trochę więcej pracy</w:t>
      </w:r>
      <w:r w:rsidR="00BC3A56" w:rsidDel="006203DF">
        <w:t xml:space="preserve"> </w:t>
      </w:r>
      <w:r w:rsidR="00BC3A56">
        <w:t xml:space="preserve">do </w:t>
      </w:r>
      <w:r w:rsidR="006203DF">
        <w:t>wykona</w:t>
      </w:r>
      <w:r w:rsidR="00BC3A56">
        <w:t>nia</w:t>
      </w:r>
      <w:r w:rsidR="006203DF">
        <w:t xml:space="preserve"> </w:t>
      </w:r>
      <w:r>
        <w:t>.</w:t>
      </w:r>
    </w:p>
    <w:p w14:paraId="76CCAA57" w14:textId="444C2BC6" w:rsidR="00B3070D" w:rsidRPr="00EE43AE" w:rsidRDefault="00B3070D" w:rsidP="00EE43AE">
      <w:pPr>
        <w:pStyle w:val="JuQuot"/>
      </w:pPr>
      <w:r>
        <w:t xml:space="preserve">Sąd </w:t>
      </w:r>
      <w:r w:rsidR="00BC3A56">
        <w:t>stwierdził</w:t>
      </w:r>
      <w:r>
        <w:t xml:space="preserve">, że podczas przesłuchania nr 15 Barry Doyle złożył wyjaśnienia dobrowolnie. W związku z tym </w:t>
      </w:r>
      <w:r w:rsidR="00BC3A56">
        <w:t>s</w:t>
      </w:r>
      <w:r>
        <w:t xml:space="preserve">ąd </w:t>
      </w:r>
      <w:r w:rsidR="00BC3A56">
        <w:t>stwierdza</w:t>
      </w:r>
      <w:r>
        <w:t>, że wyjaśnie</w:t>
      </w:r>
      <w:r w:rsidR="00BC3A56">
        <w:t>nia zostały złożone nie</w:t>
      </w:r>
      <w:r>
        <w:t xml:space="preserve">  </w:t>
      </w:r>
      <w:r w:rsidR="00BC3A56">
        <w:t xml:space="preserve">w wyniku </w:t>
      </w:r>
      <w:r>
        <w:t xml:space="preserve">zastosowania przymusu, </w:t>
      </w:r>
      <w:r w:rsidR="00BC3A56">
        <w:t xml:space="preserve">jakiejkolwiek </w:t>
      </w:r>
      <w:r>
        <w:t xml:space="preserve">groźby </w:t>
      </w:r>
      <w:r w:rsidR="00BC3A56">
        <w:t>lub</w:t>
      </w:r>
      <w:r>
        <w:t xml:space="preserve"> nakłaniania.</w:t>
      </w:r>
    </w:p>
    <w:p w14:paraId="24AFB315" w14:textId="5AF407A6" w:rsidR="00B3070D" w:rsidRPr="00EE43AE" w:rsidRDefault="00B3070D" w:rsidP="00EE43AE">
      <w:pPr>
        <w:pStyle w:val="JuQuot"/>
      </w:pPr>
      <w:r>
        <w:t xml:space="preserve">Wreszcie </w:t>
      </w:r>
      <w:r w:rsidR="00BC3A56">
        <w:t>s</w:t>
      </w:r>
      <w:r>
        <w:t xml:space="preserve">ąd rozważył zarzut obrony, jakoby wyjaśnienia zostały złożone </w:t>
      </w:r>
      <w:r w:rsidR="00BC3A56">
        <w:t xml:space="preserve">w rezultacie </w:t>
      </w:r>
      <w:r>
        <w:t>naruszenia podstawowej rzetelności. Sąd rozważył wszystkie zarzuty i wziął pod uwagę [odpowiednie orzecznictwo Sądu Najwyższego].</w:t>
      </w:r>
    </w:p>
    <w:p w14:paraId="037600A1" w14:textId="2BE2D1AD" w:rsidR="00B3070D" w:rsidRPr="00EE43AE" w:rsidRDefault="00B3070D" w:rsidP="00EE43AE">
      <w:pPr>
        <w:pStyle w:val="JuQuot"/>
      </w:pPr>
      <w:r>
        <w:t xml:space="preserve">Sąd </w:t>
      </w:r>
      <w:r w:rsidR="00BC3A56">
        <w:t>stwierdza</w:t>
      </w:r>
      <w:r>
        <w:t>, że nie doszło do naruszenia wymogów podstawowej rzetelności</w:t>
      </w:r>
      <w:r w:rsidR="0075663C">
        <w:br/>
      </w:r>
      <w:r>
        <w:t>i w związku z tym uzna</w:t>
      </w:r>
      <w:r w:rsidR="00BC3A56">
        <w:t>je</w:t>
      </w:r>
      <w:r>
        <w:t>, że przyznanie się Barry’ego Doyle’a jest dopuszczalne jako dowód.”</w:t>
      </w:r>
    </w:p>
    <w:p w14:paraId="6102C55A" w14:textId="78F5E496" w:rsidR="00B3070D" w:rsidRPr="00EE43AE" w:rsidRDefault="00FB401A" w:rsidP="00EE43AE">
      <w:pPr>
        <w:pStyle w:val="JuPara"/>
      </w:pPr>
      <w:r>
        <w:fldChar w:fldCharType="begin"/>
      </w:r>
      <w:r>
        <w:instrText xml:space="preserve"> SEQ level0 \*arabic </w:instrText>
      </w:r>
      <w:r>
        <w:fldChar w:fldCharType="separate"/>
      </w:r>
      <w:r w:rsidR="001D10DA">
        <w:rPr>
          <w:noProof/>
        </w:rPr>
        <w:t>23</w:t>
      </w:r>
      <w:r>
        <w:rPr>
          <w:noProof/>
        </w:rPr>
        <w:fldChar w:fldCharType="end"/>
      </w:r>
      <w:r w:rsidR="00426D77">
        <w:t xml:space="preserve">.  Po zakończeniu procedury </w:t>
      </w:r>
      <w:r w:rsidR="00426D77">
        <w:rPr>
          <w:i/>
        </w:rPr>
        <w:t>voir dire</w:t>
      </w:r>
      <w:r w:rsidR="00426D77">
        <w:t xml:space="preserve"> proces </w:t>
      </w:r>
      <w:r w:rsidR="00BC3A56">
        <w:t>wznowiono</w:t>
      </w:r>
      <w:r w:rsidR="00426D77">
        <w:t>. Ławie przysięgłych okazano fragmenty nagrań wideo i przekazano protokoły</w:t>
      </w:r>
      <w:r w:rsidR="00A54EC8">
        <w:br/>
      </w:r>
      <w:r w:rsidR="00426D77">
        <w:t xml:space="preserve">z przesłuchań. </w:t>
      </w:r>
      <w:r w:rsidR="00534DCC">
        <w:t>S</w:t>
      </w:r>
      <w:r w:rsidR="00426D77">
        <w:t xml:space="preserve">ąd dysponował również innym materiałem dowodowym. Materiał ten obejmował dowody balistyczne, dowody dotyczące samochodu, </w:t>
      </w:r>
      <w:r w:rsidR="00426D77">
        <w:lastRenderedPageBreak/>
        <w:t>którym jechał skarżący oraz zeznania G. Istniały zeznania innego świadka, C, która stwierdziła, że była obecna przy poleceniu dokonania zabójstwa, a następnego dnia po dokonaniu zabójstwa słyszała, jak skarżący potwierdził, że wykonał polecenie.</w:t>
      </w:r>
    </w:p>
    <w:p w14:paraId="4259F59F" w14:textId="43F4DC94" w:rsidR="00B3070D" w:rsidRPr="00EE43AE" w:rsidRDefault="00FB401A" w:rsidP="00EE43AE">
      <w:pPr>
        <w:pStyle w:val="JuPara"/>
      </w:pPr>
      <w:r>
        <w:fldChar w:fldCharType="begin"/>
      </w:r>
      <w:r>
        <w:instrText xml:space="preserve"> SEQ level0 \*arabic </w:instrText>
      </w:r>
      <w:r>
        <w:fldChar w:fldCharType="separate"/>
      </w:r>
      <w:r w:rsidR="001D10DA">
        <w:rPr>
          <w:noProof/>
        </w:rPr>
        <w:t>24</w:t>
      </w:r>
      <w:r>
        <w:rPr>
          <w:noProof/>
        </w:rPr>
        <w:fldChar w:fldCharType="end"/>
      </w:r>
      <w:r w:rsidR="00426D77">
        <w:t xml:space="preserve">.  Po mowach końcowych oskarżenia i obrony, sędzia podsumował sprawę i udzielił instrukcji ławie przysięgłych w pouczeniu sędziowskim. Pouczył ławę przysięgłych o zachowaniu ostrożności przy </w:t>
      </w:r>
      <w:r w:rsidR="00534DCC">
        <w:t>ocenie</w:t>
      </w:r>
      <w:r w:rsidR="00426D77">
        <w:t xml:space="preserve"> materiał</w:t>
      </w:r>
      <w:r w:rsidR="00534DCC">
        <w:t>u</w:t>
      </w:r>
      <w:r w:rsidR="00426D77">
        <w:t xml:space="preserve"> dowodow</w:t>
      </w:r>
      <w:r w:rsidR="00534DCC">
        <w:t>ego</w:t>
      </w:r>
      <w:r w:rsidR="00426D77">
        <w:t xml:space="preserve"> i podkreślił ich obowiązek neutralnego </w:t>
      </w:r>
      <w:r w:rsidR="00534DCC">
        <w:t xml:space="preserve">zbadania </w:t>
      </w:r>
      <w:r w:rsidR="00426D77">
        <w:t xml:space="preserve">kwestii, czy skarżący został nakłoniony do przyznania się do przestępstwa, wraz ze szczegółowym wyjaśnieniem, co należy przez to rozumieć w okolicznościach sprawy. Sędzia ostrzegł również ławę przysięgłych, że </w:t>
      </w:r>
      <w:r w:rsidR="00534DCC">
        <w:t xml:space="preserve">skazanie </w:t>
      </w:r>
      <w:r w:rsidR="00426D77">
        <w:t xml:space="preserve">osoby na podstawie samego </w:t>
      </w:r>
      <w:r w:rsidR="00534DCC">
        <w:t>przyznania się</w:t>
      </w:r>
      <w:r w:rsidR="00426D77">
        <w:t xml:space="preserve">, bez </w:t>
      </w:r>
      <w:r w:rsidR="00534DCC">
        <w:t xml:space="preserve">innego </w:t>
      </w:r>
      <w:r w:rsidR="00426D77">
        <w:t>dowodu potwierdzającego, może być niebezpieczne. Sędzia szczegółowo wyjaśnił, dlaczego tak jest i co w okolicznościach sprawy należy rozumieć przez dowód potwierdzający.</w:t>
      </w:r>
    </w:p>
    <w:p w14:paraId="1030AC22" w14:textId="23BEE00D" w:rsidR="00B3070D" w:rsidRPr="00EE43AE" w:rsidRDefault="00FB401A" w:rsidP="00EE43AE">
      <w:pPr>
        <w:pStyle w:val="JuPara"/>
      </w:pPr>
      <w:r>
        <w:fldChar w:fldCharType="begin"/>
      </w:r>
      <w:r>
        <w:instrText xml:space="preserve"> SEQ level0 \*arabic </w:instrText>
      </w:r>
      <w:r>
        <w:fldChar w:fldCharType="separate"/>
      </w:r>
      <w:r w:rsidR="001D10DA">
        <w:rPr>
          <w:noProof/>
        </w:rPr>
        <w:t>25</w:t>
      </w:r>
      <w:r>
        <w:rPr>
          <w:noProof/>
        </w:rPr>
        <w:fldChar w:fldCharType="end"/>
      </w:r>
      <w:r w:rsidR="00426D77">
        <w:t>.  W dniu 15 lutego 2012 r. skarżący został jednomyślnie uznany przez ławę przysięgłych za winnego zabójstwa S.G. Orzeczono wobec niego bezwzględną karę dożywotniego pozbawienia wolności.</w:t>
      </w:r>
    </w:p>
    <w:p w14:paraId="36483FE3" w14:textId="6CA614BB" w:rsidR="00B3070D" w:rsidRPr="00EE43AE" w:rsidRDefault="00B3070D" w:rsidP="00EE43AE">
      <w:pPr>
        <w:pStyle w:val="JuHA"/>
      </w:pPr>
      <w:r>
        <w:t xml:space="preserve">Sąd </w:t>
      </w:r>
      <w:r w:rsidR="003E296B">
        <w:t>a</w:t>
      </w:r>
      <w:r>
        <w:t>pelacyjny</w:t>
      </w:r>
    </w:p>
    <w:p w14:paraId="0CC7AF66" w14:textId="66C5DA11" w:rsidR="00B3070D" w:rsidRPr="00EE43AE" w:rsidRDefault="00FB401A" w:rsidP="00EE43AE">
      <w:pPr>
        <w:pStyle w:val="JuPara"/>
      </w:pPr>
      <w:r>
        <w:fldChar w:fldCharType="begin"/>
      </w:r>
      <w:r>
        <w:instrText xml:space="preserve"> SEQ level0 \*arabic </w:instrText>
      </w:r>
      <w:r>
        <w:fldChar w:fldCharType="separate"/>
      </w:r>
      <w:r w:rsidR="001D10DA">
        <w:rPr>
          <w:noProof/>
        </w:rPr>
        <w:t>26</w:t>
      </w:r>
      <w:r>
        <w:rPr>
          <w:noProof/>
        </w:rPr>
        <w:fldChar w:fldCharType="end"/>
      </w:r>
      <w:r w:rsidR="00426D77">
        <w:t>.  Skarżący wniósł apelację od wyroku skazującego, podnosząc</w:t>
      </w:r>
      <w:r w:rsidR="006E4761">
        <w:br/>
      </w:r>
      <w:r w:rsidR="00426D77">
        <w:t xml:space="preserve">27 zarzutów. W dniu 8 czerwca 2015 r. </w:t>
      </w:r>
      <w:r w:rsidR="000F430C">
        <w:t>s</w:t>
      </w:r>
      <w:r w:rsidR="00426D77">
        <w:t xml:space="preserve">ąd </w:t>
      </w:r>
      <w:r w:rsidR="000F430C">
        <w:t>a</w:t>
      </w:r>
      <w:r w:rsidR="00426D77">
        <w:t>pelacyjny oddalił apelację.</w:t>
      </w:r>
      <w:r w:rsidR="006E4761">
        <w:br/>
      </w:r>
      <w:r w:rsidR="00426D77">
        <w:t xml:space="preserve">W </w:t>
      </w:r>
      <w:r w:rsidR="000F430C">
        <w:t xml:space="preserve">istotnym </w:t>
      </w:r>
      <w:r w:rsidR="00426D77">
        <w:t xml:space="preserve">zakresie </w:t>
      </w:r>
      <w:r w:rsidR="000F430C">
        <w:t>s</w:t>
      </w:r>
      <w:r w:rsidR="00426D77">
        <w:t xml:space="preserve">ąd </w:t>
      </w:r>
      <w:r w:rsidR="000F430C">
        <w:t>a</w:t>
      </w:r>
      <w:r w:rsidR="00426D77">
        <w:t>pelacyjny orzekł, co następuje.</w:t>
      </w:r>
    </w:p>
    <w:p w14:paraId="63A09DEA" w14:textId="139089C3" w:rsidR="00B3070D" w:rsidRPr="00EE43AE" w:rsidRDefault="00FB401A" w:rsidP="00EE43AE">
      <w:pPr>
        <w:pStyle w:val="JuPara"/>
      </w:pPr>
      <w:r>
        <w:fldChar w:fldCharType="begin"/>
      </w:r>
      <w:r>
        <w:instrText xml:space="preserve"> SEQ level0 \*arabic </w:instrText>
      </w:r>
      <w:r>
        <w:fldChar w:fldCharType="separate"/>
      </w:r>
      <w:r w:rsidR="001D10DA">
        <w:rPr>
          <w:noProof/>
        </w:rPr>
        <w:t>27</w:t>
      </w:r>
      <w:r>
        <w:rPr>
          <w:noProof/>
        </w:rPr>
        <w:fldChar w:fldCharType="end"/>
      </w:r>
      <w:r w:rsidR="00426D77">
        <w:t xml:space="preserve">.  W pierwszej kolejności </w:t>
      </w:r>
      <w:r w:rsidR="000F430C">
        <w:t xml:space="preserve">rozpoznał </w:t>
      </w:r>
      <w:r w:rsidR="00426D77">
        <w:t xml:space="preserve">zarzut, że policja uciekła się do nakłaniania lub groźby, aby wymusić na skarżącym przyznanie się do zabójstwa. </w:t>
      </w:r>
      <w:r w:rsidR="006E4761">
        <w:t>Sąd p</w:t>
      </w:r>
      <w:r w:rsidR="00426D77">
        <w:t xml:space="preserve">odzielił stanowisko sądu pierwszej instancji, </w:t>
      </w:r>
      <w:r w:rsidR="000F430C">
        <w:t>że</w:t>
      </w:r>
      <w:r w:rsidR="00426D77">
        <w:t xml:space="preserve"> fakt, iż skarżący </w:t>
      </w:r>
      <w:r w:rsidR="000F430C">
        <w:t xml:space="preserve">konsultował </w:t>
      </w:r>
      <w:r w:rsidR="00426D77">
        <w:t xml:space="preserve">się ze swoim adwokatem bezpośrednio przed przyznaniem się do popełnienia przestępstwa podczas </w:t>
      </w:r>
      <w:r w:rsidR="000F430C">
        <w:t xml:space="preserve">15 </w:t>
      </w:r>
      <w:r w:rsidR="00426D77">
        <w:t xml:space="preserve">przesłuchania, </w:t>
      </w:r>
      <w:r w:rsidR="000A2BF2">
        <w:t>był istotny dla</w:t>
      </w:r>
      <w:r w:rsidR="00426D77">
        <w:t xml:space="preserve"> przerwania czynności przesłuchania przez policję. Jeszcze dobitniejsze znaczenie miał fakt, że policja odrzuciła </w:t>
      </w:r>
      <w:r w:rsidR="000F430C">
        <w:t xml:space="preserve">propozycję </w:t>
      </w:r>
      <w:r w:rsidR="00426D77">
        <w:t>skarżącego</w:t>
      </w:r>
      <w:r w:rsidR="000F430C">
        <w:t>, że przyzna</w:t>
      </w:r>
      <w:r w:rsidR="00426D77">
        <w:t xml:space="preserve"> się do winy w zamian za zwolnienie G</w:t>
      </w:r>
      <w:r w:rsidR="00AD3ADC">
        <w:t>.</w:t>
      </w:r>
      <w:r w:rsidR="00426D77">
        <w:t>, któr</w:t>
      </w:r>
      <w:r w:rsidR="000F430C">
        <w:t>ą</w:t>
      </w:r>
      <w:r w:rsidR="00426D77">
        <w:t xml:space="preserve"> to </w:t>
      </w:r>
      <w:r w:rsidR="000F430C">
        <w:t>propozycję</w:t>
      </w:r>
      <w:r w:rsidR="00426D77">
        <w:t xml:space="preserve"> przekazał skarżącemu adwokat. W tym względzie nie ma mowy o dwuznaczności czy nieporozumieniu – reakcja policji była wystarczająca, by obalić argument o nakłanianiu lub gro</w:t>
      </w:r>
      <w:r w:rsidR="000A2BF2">
        <w:t>żeniu</w:t>
      </w:r>
      <w:r w:rsidR="00426D77">
        <w:t xml:space="preserve">. Sąd </w:t>
      </w:r>
      <w:r w:rsidR="000A2BF2">
        <w:t>a</w:t>
      </w:r>
      <w:r w:rsidR="00426D77">
        <w:t xml:space="preserve">pelacyjny </w:t>
      </w:r>
      <w:r w:rsidR="000A2BF2">
        <w:t>również nie zgodził się</w:t>
      </w:r>
      <w:r w:rsidR="00426D77">
        <w:t>, że w trakcie przesłuchań policja uciekała się do zarzucanego nakłaniania</w:t>
      </w:r>
      <w:r w:rsidR="000A2BF2">
        <w:t xml:space="preserve"> </w:t>
      </w:r>
      <w:r w:rsidR="00426D77">
        <w:t>lub</w:t>
      </w:r>
      <w:r w:rsidR="000A2BF2">
        <w:t xml:space="preserve"> </w:t>
      </w:r>
      <w:r w:rsidR="00426D77">
        <w:t>gro</w:t>
      </w:r>
      <w:r w:rsidR="000A2BF2">
        <w:t>żenia</w:t>
      </w:r>
      <w:r w:rsidR="00426D77">
        <w:t>.</w:t>
      </w:r>
      <w:r w:rsidR="000A2BF2">
        <w:t xml:space="preserve"> </w:t>
      </w:r>
      <w:r w:rsidR="00426D77">
        <w:t>Uznał,</w:t>
      </w:r>
      <w:r w:rsidR="000A2BF2">
        <w:t xml:space="preserve"> </w:t>
      </w:r>
      <w:r w:rsidR="00426D77">
        <w:t>że</w:t>
      </w:r>
      <w:r w:rsidR="000A2BF2">
        <w:t xml:space="preserve"> </w:t>
      </w:r>
      <w:r w:rsidR="00206ECA">
        <w:t>jak ustalił</w:t>
      </w:r>
      <w:r w:rsidR="00426D77">
        <w:t xml:space="preserve"> sąd pierwszej instancji, z protokołów wynikało, że policja próbowała </w:t>
      </w:r>
      <w:r w:rsidR="000A2BF2">
        <w:t>apelować</w:t>
      </w:r>
      <w:r w:rsidR="00426D77">
        <w:t xml:space="preserve"> do jego lepszej </w:t>
      </w:r>
      <w:r w:rsidR="000A2BF2">
        <w:t xml:space="preserve">strony </w:t>
      </w:r>
      <w:r w:rsidR="00426D77">
        <w:t>i do podstaw</w:t>
      </w:r>
      <w:r w:rsidR="000A2BF2">
        <w:t xml:space="preserve"> jego </w:t>
      </w:r>
      <w:r w:rsidR="00426D77">
        <w:t xml:space="preserve">człowieczeństwa. Taka interpretacja materiału dowodowego znalazła potwierdzenie w geście skruchy wyrażonym przez skarżącego po </w:t>
      </w:r>
      <w:r w:rsidR="00206ECA">
        <w:t xml:space="preserve">15 </w:t>
      </w:r>
      <w:r w:rsidR="00426D77">
        <w:t xml:space="preserve">przesłuchaniu (zob. paragraf 14 powyżej). Przemawia za </w:t>
      </w:r>
      <w:r w:rsidR="00206ECA">
        <w:t xml:space="preserve">nią </w:t>
      </w:r>
      <w:r w:rsidR="00426D77">
        <w:t>również fakt, że skarżący zachował pewien stopień precyzji i kontroli</w:t>
      </w:r>
      <w:r w:rsidR="00327AD4">
        <w:br/>
      </w:r>
      <w:r w:rsidR="00426D77">
        <w:t xml:space="preserve">w odniesieniu do wyjaśnień, które był gotów złożyć. Przekazał policji pewne </w:t>
      </w:r>
      <w:r w:rsidR="00206ECA">
        <w:t xml:space="preserve">precyzyjne </w:t>
      </w:r>
      <w:r w:rsidR="00426D77">
        <w:t xml:space="preserve">informacje na temat </w:t>
      </w:r>
      <w:r w:rsidR="00206ECA">
        <w:t xml:space="preserve">jego </w:t>
      </w:r>
      <w:r w:rsidR="00426D77">
        <w:t xml:space="preserve">własnych działań, ale nie zdradził nic na temat innych osób </w:t>
      </w:r>
      <w:r w:rsidR="00206ECA">
        <w:t>zaangażowanych w</w:t>
      </w:r>
      <w:r w:rsidR="00426D77">
        <w:t xml:space="preserve"> zabójstw</w:t>
      </w:r>
      <w:r w:rsidR="00206ECA">
        <w:t>o</w:t>
      </w:r>
      <w:r w:rsidR="00426D77">
        <w:t xml:space="preserve">. </w:t>
      </w:r>
      <w:r w:rsidR="00206ECA">
        <w:t xml:space="preserve">Fakt, że skarżący nie </w:t>
      </w:r>
      <w:r w:rsidR="00206ECA">
        <w:lastRenderedPageBreak/>
        <w:t xml:space="preserve">wnosił o zwolnienie G. po przyznaniu się do zabójstwa wskazywała, że </w:t>
      </w:r>
      <w:r w:rsidR="00426D77">
        <w:t>brak</w:t>
      </w:r>
      <w:r w:rsidR="00206ECA">
        <w:t xml:space="preserve"> było elementu </w:t>
      </w:r>
      <w:r w:rsidR="00426D77">
        <w:t>nakłaniania</w:t>
      </w:r>
      <w:r w:rsidR="00206ECA">
        <w:t>.</w:t>
      </w:r>
      <w:r w:rsidR="00426D77">
        <w:t xml:space="preserve"> W tej kwestii </w:t>
      </w:r>
      <w:r w:rsidR="00206ECA">
        <w:t>s</w:t>
      </w:r>
      <w:r w:rsidR="00426D77">
        <w:t xml:space="preserve">ąd </w:t>
      </w:r>
      <w:r w:rsidR="00206ECA">
        <w:t>stwierdził</w:t>
      </w:r>
      <w:r w:rsidR="00426D77">
        <w:t>:</w:t>
      </w:r>
    </w:p>
    <w:p w14:paraId="23D70D40" w14:textId="57ACD2D3" w:rsidR="00B3070D" w:rsidRPr="00EE43AE" w:rsidRDefault="00B3070D" w:rsidP="00EE43AE">
      <w:pPr>
        <w:pStyle w:val="JuQuot"/>
      </w:pPr>
      <w:r>
        <w:t xml:space="preserve">„48.  Sąd stwierdził, że </w:t>
      </w:r>
      <w:r w:rsidRPr="00D36176">
        <w:t>sąd pierwszej instancji</w:t>
      </w:r>
      <w:r>
        <w:t xml:space="preserve"> był uprawniony do przyjęcia na podstawie materiału dowodowego, że oskarżenie wykazało, iż </w:t>
      </w:r>
      <w:r w:rsidR="00206ECA">
        <w:t xml:space="preserve">przyznanie się </w:t>
      </w:r>
      <w:r w:rsidR="00D36176">
        <w:t>apel</w:t>
      </w:r>
      <w:r w:rsidR="00206ECA">
        <w:t>ującego</w:t>
      </w:r>
      <w:r>
        <w:t xml:space="preserve"> nie wynikał</w:t>
      </w:r>
      <w:r w:rsidR="00206ECA">
        <w:t>o</w:t>
      </w:r>
      <w:r>
        <w:t xml:space="preserve"> z nakłaniania ani gro</w:t>
      </w:r>
      <w:r w:rsidR="00206ECA">
        <w:t>żenia</w:t>
      </w:r>
      <w:r>
        <w:t xml:space="preserve">. Sąd jest również przekonany, że </w:t>
      </w:r>
      <w:r w:rsidR="000062CC">
        <w:t>interpretacja</w:t>
      </w:r>
      <w:r>
        <w:t xml:space="preserve"> przesłuchań </w:t>
      </w:r>
      <w:r w:rsidR="000062CC">
        <w:t xml:space="preserve">przez sędziego </w:t>
      </w:r>
      <w:r>
        <w:t>był</w:t>
      </w:r>
      <w:r w:rsidR="000062CC">
        <w:t>a</w:t>
      </w:r>
      <w:r>
        <w:t xml:space="preserve"> prawidłow</w:t>
      </w:r>
      <w:r w:rsidR="000062CC">
        <w:t>a</w:t>
      </w:r>
      <w:r>
        <w:t xml:space="preserve">. Stwierdza, że propozycja adwokata </w:t>
      </w:r>
      <w:r w:rsidR="00D36176">
        <w:t>apel</w:t>
      </w:r>
      <w:r w:rsidR="000062CC">
        <w:t>ującego</w:t>
      </w:r>
      <w:r w:rsidR="00D36176">
        <w:t xml:space="preserve"> </w:t>
      </w:r>
      <w:r>
        <w:t xml:space="preserve">nie tylko rozwiała </w:t>
      </w:r>
      <w:r w:rsidR="000062CC">
        <w:t>możliwe przekonanie o ofercie</w:t>
      </w:r>
      <w:r>
        <w:t xml:space="preserve"> [policj</w:t>
      </w:r>
      <w:r w:rsidR="000062CC">
        <w:t>i</w:t>
      </w:r>
      <w:r>
        <w:t xml:space="preserve">], ale </w:t>
      </w:r>
      <w:r w:rsidR="000062CC">
        <w:t xml:space="preserve">stanowiła postawę, która w rzeczywistości negowała </w:t>
      </w:r>
      <w:r>
        <w:t>przekonanie o nakłanianiu [...]”</w:t>
      </w:r>
    </w:p>
    <w:p w14:paraId="0C2411AA" w14:textId="537BC598" w:rsidR="00B3070D" w:rsidRPr="00EE43AE" w:rsidRDefault="00FB401A" w:rsidP="00EE43AE">
      <w:pPr>
        <w:pStyle w:val="JuPara"/>
      </w:pPr>
      <w:r>
        <w:fldChar w:fldCharType="begin"/>
      </w:r>
      <w:r>
        <w:instrText xml:space="preserve"> SEQ level0 \*arabic </w:instrText>
      </w:r>
      <w:r>
        <w:fldChar w:fldCharType="separate"/>
      </w:r>
      <w:r w:rsidR="001D10DA">
        <w:rPr>
          <w:noProof/>
        </w:rPr>
        <w:t>28</w:t>
      </w:r>
      <w:r>
        <w:rPr>
          <w:noProof/>
        </w:rPr>
        <w:fldChar w:fldCharType="end"/>
      </w:r>
      <w:r w:rsidR="00426D77">
        <w:t>.  </w:t>
      </w:r>
      <w:r w:rsidR="000062CC">
        <w:t>Następnie</w:t>
      </w:r>
      <w:r w:rsidR="00426D77">
        <w:t xml:space="preserve"> </w:t>
      </w:r>
      <w:r w:rsidR="000062CC">
        <w:t>s</w:t>
      </w:r>
      <w:r w:rsidR="00426D77">
        <w:t xml:space="preserve">ąd </w:t>
      </w:r>
      <w:r w:rsidR="000062CC">
        <w:t>a</w:t>
      </w:r>
      <w:r w:rsidR="00426D77">
        <w:t xml:space="preserve">pelacyjny rozważył argument, jakoby skarżącemu nie zapewniono wystarczającego dostępu do porady prawnej, wskutek czego podczas przesłuchania został on poddany przymusowi. Ponadto skarżący zarzucił, że w wyniku dalszego prowadzenia </w:t>
      </w:r>
      <w:r w:rsidR="000062CC">
        <w:t xml:space="preserve">14 </w:t>
      </w:r>
      <w:r w:rsidR="00426D77">
        <w:t xml:space="preserve">przesłuchania pomimo jego wniosku o porozumienie się z adwokatem </w:t>
      </w:r>
      <w:r w:rsidR="000062CC">
        <w:t xml:space="preserve">doznał </w:t>
      </w:r>
      <w:r w:rsidR="00426D77">
        <w:t>nieodwracaln</w:t>
      </w:r>
      <w:r w:rsidR="000062CC">
        <w:t>ej</w:t>
      </w:r>
      <w:r w:rsidR="00426D77">
        <w:t xml:space="preserve"> szkod</w:t>
      </w:r>
      <w:r w:rsidR="000062CC">
        <w:t>y</w:t>
      </w:r>
      <w:r w:rsidR="00426D77">
        <w:t xml:space="preserve">, która nie została naprawiona, a wręcz została spotęgowana kolejnymi </w:t>
      </w:r>
      <w:r w:rsidR="00791932">
        <w:t>poradami</w:t>
      </w:r>
      <w:r w:rsidR="00426D77">
        <w:t>. W wyroku stwierdzono:</w:t>
      </w:r>
    </w:p>
    <w:p w14:paraId="5EC67030" w14:textId="05723573" w:rsidR="00B3070D" w:rsidRPr="00EE43AE" w:rsidRDefault="00B3070D" w:rsidP="00EE43AE">
      <w:pPr>
        <w:pStyle w:val="JuQuot"/>
      </w:pPr>
      <w:r>
        <w:t>„69.  </w:t>
      </w:r>
      <w:r w:rsidR="00621950">
        <w:t>Apelujący miał</w:t>
      </w:r>
      <w:r>
        <w:t xml:space="preserve"> dostęp do adwokata przez tyle czasu i tyle razy,</w:t>
      </w:r>
      <w:r w:rsidR="00D36176">
        <w:t xml:space="preserve"> </w:t>
      </w:r>
      <w:r>
        <w:t xml:space="preserve">o ile wnioskował </w:t>
      </w:r>
      <w:r w:rsidR="00621950">
        <w:t xml:space="preserve">on </w:t>
      </w:r>
      <w:r>
        <w:t xml:space="preserve">sam lub jego adwokat, a w tych okolicznościach trudno jest zrozumieć, jak może on twierdzić, że doszło do przymusu z powodu </w:t>
      </w:r>
      <w:r w:rsidR="00621950">
        <w:t xml:space="preserve">nieadekwatnej </w:t>
      </w:r>
      <w:r>
        <w:t>możliwości skorzystania z porady prawnej. Adwokat [...] nie wnioskował o udział w przesłuchani</w:t>
      </w:r>
      <w:r w:rsidR="00621950">
        <w:t>u</w:t>
      </w:r>
      <w:r>
        <w:t xml:space="preserve"> przez [policję]. </w:t>
      </w:r>
      <w:r w:rsidR="00621950">
        <w:t>Niewątpliwie</w:t>
      </w:r>
      <w:r>
        <w:t xml:space="preserve"> gdyby z takim wnioskiem </w:t>
      </w:r>
      <w:r w:rsidR="00621950">
        <w:t>wystąpił</w:t>
      </w:r>
      <w:r>
        <w:t>, spotkałby się z odmową, ale zwyczajnie tak się nie stało</w:t>
      </w:r>
      <w:r w:rsidR="00621950">
        <w:t>, a</w:t>
      </w:r>
      <w:r>
        <w:t xml:space="preserve"> nie było wówczas </w:t>
      </w:r>
      <w:r w:rsidR="00621950">
        <w:t>dorozumiane</w:t>
      </w:r>
      <w:r>
        <w:t xml:space="preserve">, że adwokat ma prawo brać udział w tej czynności. Nie </w:t>
      </w:r>
      <w:r w:rsidR="00157CF9">
        <w:t>czyni to</w:t>
      </w:r>
      <w:r>
        <w:t xml:space="preserve"> jednak </w:t>
      </w:r>
      <w:r w:rsidR="00157CF9">
        <w:t>zatrzymania odwołującego się retrospektywnie niekonstytucyjnym ze względu</w:t>
      </w:r>
      <w:r>
        <w:t xml:space="preserve"> na potencjalną </w:t>
      </w:r>
      <w:r w:rsidR="00157CF9">
        <w:t>oddalenie</w:t>
      </w:r>
      <w:r>
        <w:t xml:space="preserve"> wniosku, który nie został złożony.</w:t>
      </w:r>
    </w:p>
    <w:p w14:paraId="7DCABB93" w14:textId="77777777" w:rsidR="00B3070D" w:rsidRPr="00EE43AE" w:rsidRDefault="00B3070D" w:rsidP="00EE43AE">
      <w:pPr>
        <w:pStyle w:val="JuQuot"/>
      </w:pPr>
      <w:r>
        <w:t>[…]</w:t>
      </w:r>
    </w:p>
    <w:p w14:paraId="658AE3F2" w14:textId="3B8B6A9F" w:rsidR="00B3070D" w:rsidRPr="00EE43AE" w:rsidRDefault="00B3070D" w:rsidP="00EE43AE">
      <w:pPr>
        <w:pStyle w:val="JuQuot"/>
      </w:pPr>
      <w:r>
        <w:t>72.  </w:t>
      </w:r>
      <w:r w:rsidR="00D36176">
        <w:t xml:space="preserve">Wnoszący apelację </w:t>
      </w:r>
      <w:r>
        <w:t xml:space="preserve">stwierdził, że gdyby adwokat był obecny podczas przesłuchania Barry’ego Doyle’a, to </w:t>
      </w:r>
      <w:r w:rsidR="00157CF9">
        <w:t>przesłuchanie przebiegłoby inaczej</w:t>
      </w:r>
      <w:r w:rsidR="000620C0">
        <w:t>.</w:t>
      </w:r>
      <w:r w:rsidR="000620C0">
        <w:br/>
      </w:r>
      <w:r>
        <w:t xml:space="preserve">W żadnym wypadku nie jest jednak jasne, że byłoby to korzystne dla </w:t>
      </w:r>
      <w:r w:rsidR="00D36176">
        <w:t>wnoszącego apelację</w:t>
      </w:r>
      <w:r>
        <w:t>; pytania nadal byłyby zadawane i równie dobrze oskarżony mógłby stanąć przed taką samą koniecznością podjęcia decyzji, cz</w:t>
      </w:r>
      <w:r w:rsidR="00D0765A">
        <w:t>y zamierza przyznać się do winy</w:t>
      </w:r>
      <w:r w:rsidR="00D0765A">
        <w:br/>
      </w:r>
      <w:r>
        <w:t>w takim zakresie, aczkolwiek ograniczonym, w jakim prz</w:t>
      </w:r>
      <w:r w:rsidR="000620C0">
        <w:t xml:space="preserve">yznał się podczas przesłuchania </w:t>
      </w:r>
      <w:r>
        <w:t>nr 15,</w:t>
      </w:r>
      <w:r w:rsidR="000620C0">
        <w:t xml:space="preserve"> </w:t>
      </w:r>
      <w:r>
        <w:t>a następnie podczas późniejszych przesłuchań.”</w:t>
      </w:r>
    </w:p>
    <w:p w14:paraId="1C57AA56" w14:textId="5FAB7826" w:rsidR="00B3070D" w:rsidRPr="00EE43AE" w:rsidRDefault="00FB401A" w:rsidP="00EE43AE">
      <w:pPr>
        <w:pStyle w:val="JuPara"/>
      </w:pPr>
      <w:r>
        <w:fldChar w:fldCharType="begin"/>
      </w:r>
      <w:r>
        <w:instrText xml:space="preserve"> SEQ level0 \*arabic </w:instrText>
      </w:r>
      <w:r>
        <w:fldChar w:fldCharType="separate"/>
      </w:r>
      <w:r w:rsidR="001D10DA">
        <w:rPr>
          <w:noProof/>
        </w:rPr>
        <w:t>29</w:t>
      </w:r>
      <w:r>
        <w:rPr>
          <w:noProof/>
        </w:rPr>
        <w:fldChar w:fldCharType="end"/>
      </w:r>
      <w:r w:rsidR="00426D77">
        <w:t xml:space="preserve">.  Sąd </w:t>
      </w:r>
      <w:r w:rsidR="00FD5FFA">
        <w:t>a</w:t>
      </w:r>
      <w:r w:rsidR="00426D77">
        <w:t xml:space="preserve">pelacyjny ponownie </w:t>
      </w:r>
      <w:r w:rsidR="00FD5FFA">
        <w:t xml:space="preserve">odwołał </w:t>
      </w:r>
      <w:r w:rsidR="00426D77">
        <w:t xml:space="preserve">się do faktu, że wszystkie przesłuchania były nagrywane, dzięki czemu </w:t>
      </w:r>
      <w:r w:rsidR="00426D77" w:rsidRPr="00D36176">
        <w:t xml:space="preserve">sąd </w:t>
      </w:r>
      <w:r w:rsidR="00FD5FFA">
        <w:t xml:space="preserve">rozpoznający sprawę </w:t>
      </w:r>
      <w:r w:rsidR="00426D77">
        <w:t xml:space="preserve">mógł dokładnie zobaczyć, co się podczas nich działo. Policja przestrzegała </w:t>
      </w:r>
      <w:r w:rsidR="00DB05BD">
        <w:t xml:space="preserve">przepisów </w:t>
      </w:r>
      <w:r w:rsidR="00426D77">
        <w:t xml:space="preserve">dotyczących </w:t>
      </w:r>
      <w:r w:rsidR="00DB05BD">
        <w:t>zatrzymania</w:t>
      </w:r>
      <w:r w:rsidR="00426D77">
        <w:t xml:space="preserve">, a podczas wielokrotnych przesłuchań </w:t>
      </w:r>
      <w:r w:rsidR="00DB05BD">
        <w:t>ze</w:t>
      </w:r>
      <w:r w:rsidR="00426D77">
        <w:t>zwoliła skarżącemu na skorzystanie z przerw i dostęp do adwokata. Nic nie świadczyło o zastosowaniu przymusu czy o braku rzetelności.</w:t>
      </w:r>
    </w:p>
    <w:p w14:paraId="6A2E5C89" w14:textId="6E1A2BE8" w:rsidR="00B3070D" w:rsidRPr="00EE43AE" w:rsidRDefault="00FB401A" w:rsidP="00EE43AE">
      <w:pPr>
        <w:pStyle w:val="JuPara"/>
      </w:pPr>
      <w:r>
        <w:fldChar w:fldCharType="begin"/>
      </w:r>
      <w:r>
        <w:instrText xml:space="preserve"> SEQ level0 \*arabic </w:instrText>
      </w:r>
      <w:r>
        <w:fldChar w:fldCharType="separate"/>
      </w:r>
      <w:r w:rsidR="001D10DA">
        <w:rPr>
          <w:noProof/>
        </w:rPr>
        <w:t>30</w:t>
      </w:r>
      <w:r>
        <w:rPr>
          <w:noProof/>
        </w:rPr>
        <w:fldChar w:fldCharType="end"/>
      </w:r>
      <w:r w:rsidR="00426D77">
        <w:t xml:space="preserve">.  Sąd </w:t>
      </w:r>
      <w:r w:rsidR="00DB05BD">
        <w:t>a</w:t>
      </w:r>
      <w:r w:rsidR="00426D77">
        <w:t>pelacyjny szczegółowo zapoznał się również z treścią pouczenia sędziowskiego skierowanego do ławy przysięgłych,</w:t>
      </w:r>
      <w:r w:rsidR="00327AD4">
        <w:br/>
      </w:r>
      <w:r w:rsidR="00426D77">
        <w:t>w</w:t>
      </w:r>
      <w:r w:rsidR="00DB05BD">
        <w:t xml:space="preserve"> związku z zarzutem</w:t>
      </w:r>
      <w:r w:rsidR="00426D77">
        <w:t>,</w:t>
      </w:r>
      <w:r w:rsidR="00DB05BD">
        <w:t xml:space="preserve"> </w:t>
      </w:r>
      <w:r w:rsidR="00426D77">
        <w:t>że</w:t>
      </w:r>
      <w:r w:rsidR="00DB05BD">
        <w:t xml:space="preserve"> </w:t>
      </w:r>
      <w:r w:rsidR="00426D77">
        <w:t>było</w:t>
      </w:r>
      <w:r w:rsidR="00DB05BD">
        <w:t xml:space="preserve"> </w:t>
      </w:r>
      <w:r w:rsidR="00426D77">
        <w:t>niewystarczające</w:t>
      </w:r>
      <w:r w:rsidR="00DB05BD">
        <w:t xml:space="preserve"> </w:t>
      </w:r>
      <w:r w:rsidR="00426D77">
        <w:t>i nieprawidłowe i oddalił ten zarzut. Uznał, że większość zarzutów wobec pouczenia sędziowskiego w zakresie wyjaśnień skarżącego sprowadzała się do tego, że nie uwzględni</w:t>
      </w:r>
      <w:r w:rsidR="00DB05BD">
        <w:t>ało ono</w:t>
      </w:r>
      <w:r w:rsidR="00426D77">
        <w:t xml:space="preserve"> argumentów skarżącego. Sąd </w:t>
      </w:r>
      <w:r w:rsidR="00DB05BD">
        <w:t>a</w:t>
      </w:r>
      <w:r w:rsidR="00426D77">
        <w:t>pelacyjny odrzucił to stanowisko, przypominając, że „118.  Nie było</w:t>
      </w:r>
      <w:r w:rsidR="00DB05BD">
        <w:t>by</w:t>
      </w:r>
      <w:r w:rsidR="00426D77">
        <w:t xml:space="preserve"> właściwe ze strony sędziego </w:t>
      </w:r>
      <w:r w:rsidR="00DB05BD">
        <w:lastRenderedPageBreak/>
        <w:t xml:space="preserve">powiedzenie </w:t>
      </w:r>
      <w:r w:rsidR="00426D77">
        <w:t xml:space="preserve">ławie przysięgłych tego, co skarżący chciał </w:t>
      </w:r>
      <w:r w:rsidR="006E546E">
        <w:t>aby powiedział</w:t>
      </w:r>
      <w:r w:rsidR="00426D77">
        <w:t xml:space="preserve">” oraz „121 ... </w:t>
      </w:r>
      <w:r w:rsidR="006E546E">
        <w:t xml:space="preserve">nie jest </w:t>
      </w:r>
      <w:r w:rsidR="00426D77">
        <w:t xml:space="preserve">zadaniem </w:t>
      </w:r>
      <w:r w:rsidR="00426D77" w:rsidRPr="00D36176">
        <w:t xml:space="preserve">sądu </w:t>
      </w:r>
      <w:r w:rsidR="006E546E">
        <w:t xml:space="preserve">rozpoznającego sprawę </w:t>
      </w:r>
      <w:r w:rsidR="00426D77">
        <w:t xml:space="preserve">wygłaszanie kolejnej mowy w imieniu </w:t>
      </w:r>
      <w:r w:rsidR="006E546E">
        <w:t>obrończej lub oskarżycielskiej</w:t>
      </w:r>
      <w:r w:rsidR="00426D77">
        <w:t xml:space="preserve"> [...]”. Sąd </w:t>
      </w:r>
      <w:r w:rsidR="006E546E">
        <w:t>a</w:t>
      </w:r>
      <w:r w:rsidR="00426D77">
        <w:t xml:space="preserve">pelacyjny zauważył również, że skarżący skrytykował pouczenie sędziowskie w części dotyczącej usunięcia wątpliwości związanych z nakłanianiem lub </w:t>
      </w:r>
      <w:r w:rsidR="006E546E">
        <w:t xml:space="preserve">grożeniem </w:t>
      </w:r>
      <w:r w:rsidR="00426D77">
        <w:t xml:space="preserve">i przypomniał, że sędzia skonsultował się wcześniej z </w:t>
      </w:r>
      <w:r w:rsidR="007229EE">
        <w:t>prawnikami obu stron</w:t>
      </w:r>
      <w:r w:rsidR="00426D77">
        <w:t xml:space="preserve"> w tej właśnie kwestii i obaj wyrazili zgodę. Ogólnie rzecz biorąc, </w:t>
      </w:r>
      <w:r w:rsidR="007229EE">
        <w:t>s</w:t>
      </w:r>
      <w:r w:rsidR="00426D77">
        <w:t xml:space="preserve">ąd </w:t>
      </w:r>
      <w:r w:rsidR="007229EE">
        <w:t>a</w:t>
      </w:r>
      <w:r w:rsidR="00426D77">
        <w:t>pelacyjny stwierdził:</w:t>
      </w:r>
    </w:p>
    <w:p w14:paraId="0FA0F5EC" w14:textId="4969D1D8" w:rsidR="00B3070D" w:rsidRPr="00EE43AE" w:rsidRDefault="00B3070D" w:rsidP="00EE43AE">
      <w:pPr>
        <w:pStyle w:val="JuQuot"/>
      </w:pPr>
      <w:r>
        <w:t xml:space="preserve">„159.  Obrońcy </w:t>
      </w:r>
      <w:r w:rsidR="00D36176">
        <w:t>wnoszącego apelację</w:t>
      </w:r>
      <w:r>
        <w:t xml:space="preserve">, broniąc swojego klienta, zgodnie z prawem podnieśli wszystkie zarzuty. Przedstawione przez nich obszerne stanowiska zostały poddane </w:t>
      </w:r>
      <w:r w:rsidR="007229EE">
        <w:t xml:space="preserve">ponownej </w:t>
      </w:r>
      <w:r>
        <w:t xml:space="preserve">analizie i starannie rozważone przez </w:t>
      </w:r>
      <w:r w:rsidRPr="00D36176">
        <w:t xml:space="preserve">sąd </w:t>
      </w:r>
      <w:r w:rsidR="00352498">
        <w:t>rozpoznający sprawę</w:t>
      </w:r>
      <w:r>
        <w:t xml:space="preserve">. Wiele z tych kwestii zostało ponownie omówionych podczas rozprawy przed tutejszym </w:t>
      </w:r>
      <w:r w:rsidR="007229EE">
        <w:t>s</w:t>
      </w:r>
      <w:r>
        <w:t>ądem, co zajęło dwa pełne dni</w:t>
      </w:r>
      <w:r w:rsidR="007229EE">
        <w:t xml:space="preserve"> ustnych wystąpień</w:t>
      </w:r>
      <w:r>
        <w:t xml:space="preserve"> i które zostały również omówione w obszernych pismach, które były dla </w:t>
      </w:r>
      <w:r w:rsidR="007229EE">
        <w:t>s</w:t>
      </w:r>
      <w:r>
        <w:t>ądu bardzo przydatne.</w:t>
      </w:r>
    </w:p>
    <w:p w14:paraId="2D0725C5" w14:textId="780C2F5F" w:rsidR="00B3070D" w:rsidRPr="00EE43AE" w:rsidRDefault="00B3070D" w:rsidP="00EE43AE">
      <w:pPr>
        <w:pStyle w:val="JuQuot"/>
      </w:pPr>
      <w:r>
        <w:t xml:space="preserve">160.  Sąd jest przekonany, że żaden z zarzutów apelacyjnych nie zasługuje na uwzględnienie. Proces przeprowadzono w sposób prawidłowy, a </w:t>
      </w:r>
      <w:r w:rsidR="007229EE">
        <w:t>skazanie</w:t>
      </w:r>
      <w:r>
        <w:t xml:space="preserve"> pana Doyle’a nie jest </w:t>
      </w:r>
      <w:r w:rsidR="007229EE">
        <w:t>wadliwe</w:t>
      </w:r>
      <w:r>
        <w:t>.”</w:t>
      </w:r>
    </w:p>
    <w:p w14:paraId="0640B18A" w14:textId="77777777" w:rsidR="00B3070D" w:rsidRPr="00EE43AE" w:rsidRDefault="00B3070D" w:rsidP="00EE43AE">
      <w:pPr>
        <w:pStyle w:val="JuHA"/>
      </w:pPr>
      <w:r>
        <w:t>Sąd Najwyższy</w:t>
      </w:r>
    </w:p>
    <w:p w14:paraId="7AE7ACBB" w14:textId="0682490D" w:rsidR="00B3070D" w:rsidRPr="00EE43AE" w:rsidRDefault="00FB401A" w:rsidP="00EE43AE">
      <w:pPr>
        <w:pStyle w:val="JuPara"/>
      </w:pPr>
      <w:r>
        <w:fldChar w:fldCharType="begin"/>
      </w:r>
      <w:r>
        <w:instrText xml:space="preserve"> SEQ level0 \*arabic </w:instrText>
      </w:r>
      <w:r>
        <w:fldChar w:fldCharType="separate"/>
      </w:r>
      <w:r w:rsidR="001D10DA">
        <w:rPr>
          <w:noProof/>
        </w:rPr>
        <w:t>31</w:t>
      </w:r>
      <w:r>
        <w:rPr>
          <w:noProof/>
        </w:rPr>
        <w:fldChar w:fldCharType="end"/>
      </w:r>
      <w:r w:rsidR="00426D77">
        <w:t xml:space="preserve">.  W dniu 8 czerwca 2015 r. Sąd Najwyższy udzielił zgody na wniesienie kasacji, </w:t>
      </w:r>
      <w:r w:rsidR="00323321">
        <w:t xml:space="preserve">identyfikując </w:t>
      </w:r>
      <w:r w:rsidR="00426D77">
        <w:t>trzy kwestie podlegające zbadaniu, z których jedna ma kluczowe znaczenie dla niniejszej skargi:</w:t>
      </w:r>
    </w:p>
    <w:p w14:paraId="24DA8B94" w14:textId="40CCF12A" w:rsidR="00B3070D" w:rsidRPr="00EE43AE" w:rsidRDefault="00B3070D" w:rsidP="00EE43AE">
      <w:pPr>
        <w:pStyle w:val="JuQuot"/>
      </w:pPr>
      <w:r>
        <w:t>„Czy</w:t>
      </w:r>
      <w:r w:rsidR="00B0573A">
        <w:t>,</w:t>
      </w:r>
      <w:r>
        <w:t xml:space="preserve"> w okolicznościach niniejszej sprawy</w:t>
      </w:r>
      <w:r w:rsidR="00B0573A">
        <w:t>,</w:t>
      </w:r>
      <w:r>
        <w:t xml:space="preserve"> skarżący </w:t>
      </w:r>
      <w:r w:rsidR="00B0573A">
        <w:t>był uprawniony</w:t>
      </w:r>
      <w:r>
        <w:t xml:space="preserve"> do porozumie</w:t>
      </w:r>
      <w:r w:rsidR="00B0573A">
        <w:t>wa</w:t>
      </w:r>
      <w:r>
        <w:t xml:space="preserve">nia się z adwokatem </w:t>
      </w:r>
      <w:r w:rsidR="00B0573A">
        <w:t xml:space="preserve">i do obecności adwokata </w:t>
      </w:r>
      <w:r>
        <w:t>przed </w:t>
      </w:r>
      <w:r w:rsidR="00B0573A">
        <w:t>i w trakcie 15-go</w:t>
      </w:r>
      <w:r>
        <w:t xml:space="preserve"> przesłuchani</w:t>
      </w:r>
      <w:r w:rsidR="00B0573A">
        <w:t>a</w:t>
      </w:r>
      <w:r>
        <w:t xml:space="preserve"> przez [policję], w trakcie które</w:t>
      </w:r>
      <w:r w:rsidR="00B0573A">
        <w:t>go</w:t>
      </w:r>
      <w:r>
        <w:t xml:space="preserve"> miały</w:t>
      </w:r>
      <w:r w:rsidR="00B0573A">
        <w:t xml:space="preserve"> rzekomo</w:t>
      </w:r>
      <w:r>
        <w:t xml:space="preserve"> zostać złożone wyjaśnienia</w:t>
      </w:r>
      <w:r w:rsidR="00B0573A">
        <w:t>, czy nie?</w:t>
      </w:r>
      <w:r>
        <w:t xml:space="preserve">. </w:t>
      </w:r>
      <w:r w:rsidR="00B0573A">
        <w:t>Rodzi to</w:t>
      </w:r>
      <w:r>
        <w:t xml:space="preserve"> pytanie, czy prawo do obecności adwokata </w:t>
      </w:r>
      <w:r w:rsidR="00B0573A">
        <w:t xml:space="preserve">w czasie </w:t>
      </w:r>
      <w:r>
        <w:t>przesłuchania należy uznać za jedno z praw zatrzymane</w:t>
      </w:r>
      <w:r w:rsidR="00B0573A">
        <w:t>go</w:t>
      </w:r>
      <w:r>
        <w:t>, czy też za ustępstwo ze strony [policji].</w:t>
      </w:r>
    </w:p>
    <w:p w14:paraId="6F297A2A" w14:textId="75DFCA0A" w:rsidR="00B3070D" w:rsidRPr="00EE43AE" w:rsidRDefault="00B3070D" w:rsidP="00EE43AE">
      <w:pPr>
        <w:pStyle w:val="JuQuot"/>
      </w:pPr>
      <w:r>
        <w:t xml:space="preserve">Czy kwestie wymienione w skardze skarżącego w części zatytułowanej „istotne fakty uznane za bezsporne” lub którekolwiek z nich stanowiły groźby lub nakłanianie skarżącego, mające na celu „wydobycie” przyznania się do winy. Jest to kwestia, której nie rozstrzygnął ani </w:t>
      </w:r>
      <w:r w:rsidRPr="00D36176">
        <w:t xml:space="preserve">sąd </w:t>
      </w:r>
      <w:r w:rsidR="00965A3C">
        <w:t xml:space="preserve">rozpoznający sprawę </w:t>
      </w:r>
      <w:r>
        <w:t xml:space="preserve">ani </w:t>
      </w:r>
      <w:r w:rsidR="00965A3C">
        <w:t>s</w:t>
      </w:r>
      <w:r>
        <w:t xml:space="preserve">ąd </w:t>
      </w:r>
      <w:r w:rsidR="00965A3C">
        <w:t>a</w:t>
      </w:r>
      <w:r>
        <w:t xml:space="preserve">pelacyjny. Po drugie, jeżeli stanowią </w:t>
      </w:r>
      <w:r w:rsidR="00965A3C">
        <w:t xml:space="preserve">one taką </w:t>
      </w:r>
      <w:r>
        <w:t xml:space="preserve">groźbę lub nakłanianie, to czy ich skutek »został usunięty« lub »ustąpił« do czasu </w:t>
      </w:r>
      <w:r w:rsidR="00965A3C">
        <w:t>wyjaśnień</w:t>
      </w:r>
      <w:r>
        <w:t xml:space="preserve">, na które powołuje się </w:t>
      </w:r>
      <w:r w:rsidR="00965A3C">
        <w:t>państwo</w:t>
      </w:r>
      <w:r>
        <w:t xml:space="preserve">, jak stwierdził </w:t>
      </w:r>
      <w:r w:rsidRPr="00D36176">
        <w:t xml:space="preserve">sąd </w:t>
      </w:r>
      <w:r w:rsidR="00965A3C">
        <w:t>rozpoznający sprawę</w:t>
      </w:r>
      <w:r>
        <w:t xml:space="preserve">, oraz czy istniały jakiekolwiek dowody, które pozwalałyby przyjąć, że skutek tych ewentualnych gróźb czy nakłaniania </w:t>
      </w:r>
      <w:r w:rsidR="00965A3C">
        <w:t xml:space="preserve">(jeśli w ogóle) </w:t>
      </w:r>
      <w:r>
        <w:t xml:space="preserve">»został usunięty« lub »ustąpił« do czasu złożenia </w:t>
      </w:r>
      <w:r w:rsidR="00965A3C">
        <w:t xml:space="preserve">przedmiotowych </w:t>
      </w:r>
      <w:r>
        <w:t>wyjaśnień.”</w:t>
      </w:r>
    </w:p>
    <w:p w14:paraId="25408F73" w14:textId="2556CBCF" w:rsidR="00B3070D" w:rsidRPr="00EE43AE" w:rsidRDefault="00FB401A" w:rsidP="00EE43AE">
      <w:pPr>
        <w:pStyle w:val="JuPara"/>
      </w:pPr>
      <w:r>
        <w:fldChar w:fldCharType="begin"/>
      </w:r>
      <w:r>
        <w:instrText xml:space="preserve"> SEQ level0 \*arabic </w:instrText>
      </w:r>
      <w:r>
        <w:fldChar w:fldCharType="separate"/>
      </w:r>
      <w:r w:rsidR="001D10DA">
        <w:rPr>
          <w:noProof/>
        </w:rPr>
        <w:t>32</w:t>
      </w:r>
      <w:r>
        <w:rPr>
          <w:noProof/>
        </w:rPr>
        <w:fldChar w:fldCharType="end"/>
      </w:r>
      <w:r w:rsidR="00426D77">
        <w:t>.  W dniu 18 stycznia 2017 r. Sąd Najwyższy oddalił kasację, większością głosów sześ</w:t>
      </w:r>
      <w:r w:rsidR="00965A3C">
        <w:t>ć</w:t>
      </w:r>
      <w:r w:rsidR="00426D77">
        <w:t xml:space="preserve"> do jednego. Sześciu członków składu orzekającego wydało wyrok.</w:t>
      </w:r>
    </w:p>
    <w:p w14:paraId="38CC01B9" w14:textId="0DD58684" w:rsidR="00B3070D" w:rsidRPr="00EE43AE" w:rsidRDefault="00FB401A" w:rsidP="00EE43AE">
      <w:pPr>
        <w:pStyle w:val="JuPara"/>
      </w:pPr>
      <w:r>
        <w:fldChar w:fldCharType="begin"/>
      </w:r>
      <w:r>
        <w:instrText xml:space="preserve"> SEQ level0 \*arabic </w:instrText>
      </w:r>
      <w:r>
        <w:fldChar w:fldCharType="separate"/>
      </w:r>
      <w:r w:rsidR="001D10DA">
        <w:rPr>
          <w:noProof/>
        </w:rPr>
        <w:t>33</w:t>
      </w:r>
      <w:r>
        <w:rPr>
          <w:noProof/>
        </w:rPr>
        <w:fldChar w:fldCharType="end"/>
      </w:r>
      <w:r w:rsidR="00426D77">
        <w:t xml:space="preserve">.  W pierwszym wyroku Przewodnicząca ograniczyła swoje uwagi do pierwszej z wyżej wymienionych kwestii. Przypomniała, że rozsądny dostęp do adwokata stanowi konstytucyjne prawo zatrzymanych. W świetle prawa konstytucyjnego koncepcja podstawowej rzetelności procesu miała zastosowanie od chwili zatrzymania, co Sąd Najwyższy potwierdził </w:t>
      </w:r>
      <w:r w:rsidR="00426D77">
        <w:lastRenderedPageBreak/>
        <w:t xml:space="preserve">niedawno w wyroku uwzględniającym odpowiednie orzecznictwo dotyczące Konwencji – </w:t>
      </w:r>
      <w:r w:rsidR="00426D77">
        <w:rPr>
          <w:i/>
        </w:rPr>
        <w:t>DPP p</w:t>
      </w:r>
      <w:r w:rsidR="00EB51E3">
        <w:rPr>
          <w:i/>
        </w:rPr>
        <w:t>rzeciwko Gormley i DPP przeciw</w:t>
      </w:r>
      <w:r w:rsidR="00426D77">
        <w:rPr>
          <w:i/>
        </w:rPr>
        <w:t>ko White</w:t>
      </w:r>
      <w:r w:rsidR="00426D77">
        <w:t xml:space="preserve">, [2014] IESC 17 („sprawa Gormley”). Ponieważ kwestia obecności adwokata podczas przesłuchania nie pojawiła się w okolicznościach faktycznych sprawy Gormley, wszelkie stwierdzenia </w:t>
      </w:r>
      <w:r w:rsidR="004F0D85">
        <w:t xml:space="preserve">dotyczące tej kwestii </w:t>
      </w:r>
      <w:r w:rsidR="00426D77">
        <w:t xml:space="preserve">w wyroku objęte były </w:t>
      </w:r>
      <w:r w:rsidR="00D74EF7" w:rsidRPr="00D74EF7">
        <w:rPr>
          <w:i/>
        </w:rPr>
        <w:t>obiter dictum</w:t>
      </w:r>
      <w:r w:rsidR="00426D77">
        <w:t>. W dalszej kolejności Przewodnicząca stwierdziła:</w:t>
      </w:r>
    </w:p>
    <w:p w14:paraId="056AF2F9" w14:textId="353C4EE2" w:rsidR="00B3070D" w:rsidRPr="00EE43AE" w:rsidRDefault="00B3070D" w:rsidP="00EE43AE">
      <w:pPr>
        <w:pStyle w:val="JuQuot"/>
      </w:pPr>
      <w:r>
        <w:t xml:space="preserve">„15.  […] Oczywiste jest, że </w:t>
      </w:r>
      <w:r w:rsidR="001814DE">
        <w:t>składający apelację</w:t>
      </w:r>
      <w:r>
        <w:t xml:space="preserve"> wnioskował o dostęp do adwokata</w:t>
      </w:r>
      <w:r w:rsidR="00774F01">
        <w:br/>
      </w:r>
      <w:r>
        <w:t xml:space="preserve">i dostęp taki uzyskał. Miał dostęp do porady prawnej. Miał dostęp do adwokata </w:t>
      </w:r>
      <w:r>
        <w:rPr>
          <w:u w:val="single"/>
        </w:rPr>
        <w:t>przed</w:t>
      </w:r>
      <w:r>
        <w:t xml:space="preserve"> ważnym przesłuchaniem nr 15, a także, na wniosek adwokata, miał taki dostęp podczas tego przesłuchania, gdy adwokat zadzwonił i chciał rozmawiać z </w:t>
      </w:r>
      <w:r w:rsidRPr="00D36176">
        <w:t>wnoszącym apelację</w:t>
      </w:r>
      <w:r>
        <w:t xml:space="preserve"> </w:t>
      </w:r>
      <w:r w:rsidR="001814DE">
        <w:t xml:space="preserve">w toku </w:t>
      </w:r>
      <w:r>
        <w:t xml:space="preserve">przesłuchania nr 15. Przesłuchanie zostało </w:t>
      </w:r>
      <w:r>
        <w:rPr>
          <w:u w:val="single"/>
        </w:rPr>
        <w:t>przerwane</w:t>
      </w:r>
      <w:r>
        <w:t xml:space="preserve">, aby umożliwić </w:t>
      </w:r>
      <w:r w:rsidR="001814DE">
        <w:t xml:space="preserve">apelującemu </w:t>
      </w:r>
      <w:r>
        <w:t>rozmowę</w:t>
      </w:r>
      <w:r w:rsidR="001814DE">
        <w:t xml:space="preserve"> </w:t>
      </w:r>
      <w:r>
        <w:t>z</w:t>
      </w:r>
      <w:r w:rsidR="001814DE">
        <w:t xml:space="preserve"> </w:t>
      </w:r>
      <w:r>
        <w:t>jego</w:t>
      </w:r>
      <w:r w:rsidR="001814DE">
        <w:t xml:space="preserve"> </w:t>
      </w:r>
      <w:r>
        <w:t>adwokatem.</w:t>
      </w:r>
      <w:r w:rsidR="001814DE">
        <w:t xml:space="preserve"> </w:t>
      </w:r>
      <w:r>
        <w:t>Nie</w:t>
      </w:r>
      <w:r w:rsidR="001814DE">
        <w:t xml:space="preserve"> </w:t>
      </w:r>
      <w:r>
        <w:t>wnioskowano</w:t>
      </w:r>
      <w:r w:rsidR="001814DE">
        <w:t xml:space="preserve"> </w:t>
      </w:r>
      <w:r>
        <w:t>o obecność adwokata podczas przesłuchania.</w:t>
      </w:r>
    </w:p>
    <w:p w14:paraId="72F7E8FC" w14:textId="77777777" w:rsidR="00B3070D" w:rsidRPr="00EE43AE" w:rsidRDefault="00B3070D" w:rsidP="00EE43AE">
      <w:pPr>
        <w:pStyle w:val="JuQuot"/>
      </w:pPr>
      <w:r>
        <w:t xml:space="preserve">16.  Jestem przekonana, że konstytucyjne prawo dostępu do porady prawnej zostało zrealizowane poprzez zapewnienie </w:t>
      </w:r>
      <w:r w:rsidR="00D36176">
        <w:t xml:space="preserve">wnoszącemu apelację </w:t>
      </w:r>
      <w:r>
        <w:t>możliwości porozumienia się z jego adwokatem przed przesłuchaniem nr 15, a także poprzez telefon od adwokata, który przerwał przesłuchanie nr 15.</w:t>
      </w:r>
    </w:p>
    <w:p w14:paraId="2BB20408" w14:textId="65AAF510" w:rsidR="00B3070D" w:rsidRPr="00EE43AE" w:rsidRDefault="00B3070D" w:rsidP="00EE43AE">
      <w:pPr>
        <w:pStyle w:val="JuQuot"/>
      </w:pPr>
      <w:r>
        <w:t xml:space="preserve">17.  Prawo dostępu do adwokata jest prawem </w:t>
      </w:r>
      <w:r w:rsidR="001814DE">
        <w:t>konstytucyjnym</w:t>
      </w:r>
      <w:r>
        <w:t>. Prawo to dotyczy dostępu do adwokata, a nie obecności adwokata podczas przesłuchania”</w:t>
      </w:r>
      <w:r w:rsidR="00774F01">
        <w:t>.</w:t>
      </w:r>
      <w:r>
        <w:t xml:space="preserve"> [podkreślenie w oryginale]</w:t>
      </w:r>
    </w:p>
    <w:p w14:paraId="675183BE" w14:textId="299F58F2" w:rsidR="00B3070D" w:rsidRPr="00EE43AE" w:rsidRDefault="00FB401A" w:rsidP="00EE43AE">
      <w:pPr>
        <w:pStyle w:val="JuPara"/>
      </w:pPr>
      <w:r>
        <w:fldChar w:fldCharType="begin"/>
      </w:r>
      <w:r>
        <w:instrText xml:space="preserve"> SEQ level0 \*arabic </w:instrText>
      </w:r>
      <w:r>
        <w:fldChar w:fldCharType="separate"/>
      </w:r>
      <w:r w:rsidR="001D10DA">
        <w:rPr>
          <w:noProof/>
        </w:rPr>
        <w:t>34</w:t>
      </w:r>
      <w:r>
        <w:rPr>
          <w:noProof/>
        </w:rPr>
        <w:fldChar w:fldCharType="end"/>
      </w:r>
      <w:r w:rsidR="00426D77">
        <w:t>.  </w:t>
      </w:r>
      <w:r w:rsidR="001814DE">
        <w:t>Sędzia stwierdziła</w:t>
      </w:r>
      <w:r w:rsidR="00426D77">
        <w:t xml:space="preserve">, że </w:t>
      </w:r>
      <w:r w:rsidR="001814DE">
        <w:t xml:space="preserve">wymogi Konwencji również zostały </w:t>
      </w:r>
      <w:r w:rsidR="00426D77">
        <w:t>spełnione</w:t>
      </w:r>
      <w:r w:rsidR="001814DE">
        <w:t xml:space="preserve">. </w:t>
      </w:r>
      <w:r w:rsidR="00426D77">
        <w:t>W odniesieniu do drugiej kwestii zawartej w apelacji podzieliła stanowisko Charleton J. (zob. poniżej).</w:t>
      </w:r>
    </w:p>
    <w:p w14:paraId="3D37EBE3" w14:textId="21B7D899" w:rsidR="00B3070D" w:rsidRPr="00EE43AE" w:rsidRDefault="00FB401A" w:rsidP="00EE43AE">
      <w:pPr>
        <w:pStyle w:val="JuPara"/>
      </w:pPr>
      <w:r>
        <w:fldChar w:fldCharType="begin"/>
      </w:r>
      <w:r>
        <w:instrText xml:space="preserve"> SEQ level0 \*a</w:instrText>
      </w:r>
      <w:r>
        <w:instrText xml:space="preserve">rabic </w:instrText>
      </w:r>
      <w:r>
        <w:fldChar w:fldCharType="separate"/>
      </w:r>
      <w:r w:rsidR="001D10DA">
        <w:rPr>
          <w:noProof/>
        </w:rPr>
        <w:t>35</w:t>
      </w:r>
      <w:r>
        <w:rPr>
          <w:noProof/>
        </w:rPr>
        <w:fldChar w:fldCharType="end"/>
      </w:r>
      <w:r w:rsidR="00426D77">
        <w:t xml:space="preserve">.  Drugi wyrok został wydany przez O’Donnell J., który również ograniczył swoją analizę do pierwszej kwestii. On również uznał stwierdzenia w sprawie Gormley dotyczące bardziej ogólnego prawa do obecności adwokata w okresie </w:t>
      </w:r>
      <w:r w:rsidR="001814DE">
        <w:t>zatrzymania</w:t>
      </w:r>
      <w:r w:rsidR="00426D77">
        <w:t xml:space="preserve"> za </w:t>
      </w:r>
      <w:r w:rsidR="00D74EF7" w:rsidRPr="00D74EF7">
        <w:rPr>
          <w:i/>
        </w:rPr>
        <w:t>obiter dictum</w:t>
      </w:r>
      <w:r w:rsidR="00426D77">
        <w:t>. Odnosząc się do odpowiedniego orzecznictwa dotyczącego Konwencji zauważył:</w:t>
      </w:r>
    </w:p>
    <w:p w14:paraId="25613178" w14:textId="674F01D0" w:rsidR="00B3070D" w:rsidRPr="00EE43AE" w:rsidRDefault="00B3070D" w:rsidP="00EE43AE">
      <w:pPr>
        <w:pStyle w:val="JuQuot"/>
      </w:pPr>
      <w:r>
        <w:t xml:space="preserve">„8.  Biorąc pod uwagę fakt, że dotychczasowe orzecznictwo ETPC </w:t>
      </w:r>
      <w:r w:rsidR="00C05E8E">
        <w:t xml:space="preserve">było </w:t>
      </w:r>
      <w:r>
        <w:t xml:space="preserve">w dużej mierze </w:t>
      </w:r>
      <w:r w:rsidR="00C05E8E">
        <w:t xml:space="preserve">rozwijane </w:t>
      </w:r>
      <w:r>
        <w:t xml:space="preserve">w ramach systemów prawa kontynentalnego, </w:t>
      </w:r>
      <w:r w:rsidR="00C05E8E">
        <w:t>z nadzorem sędziego pokoju nad postępowaniem przygotowawczym</w:t>
      </w:r>
      <w:r>
        <w:t>, nie można powiedzieć, że zostało przesądzone,</w:t>
      </w:r>
      <w:r w:rsidR="00C05E8E">
        <w:t xml:space="preserve"> </w:t>
      </w:r>
      <w:r>
        <w:t>iż</w:t>
      </w:r>
      <w:r w:rsidR="00C05E8E">
        <w:t xml:space="preserve"> </w:t>
      </w:r>
      <w:r>
        <w:t>Konwencja</w:t>
      </w:r>
      <w:r w:rsidR="00C05E8E">
        <w:t xml:space="preserve"> </w:t>
      </w:r>
      <w:r>
        <w:t>wymaga</w:t>
      </w:r>
      <w:r w:rsidR="00C05E8E">
        <w:t xml:space="preserve"> </w:t>
      </w:r>
      <w:r>
        <w:t>jasnej</w:t>
      </w:r>
      <w:r w:rsidR="00C05E8E">
        <w:t xml:space="preserve"> </w:t>
      </w:r>
      <w:r>
        <w:t>zasady,</w:t>
      </w:r>
      <w:r w:rsidR="00C05E8E">
        <w:t xml:space="preserve"> </w:t>
      </w:r>
      <w:r>
        <w:t>że</w:t>
      </w:r>
      <w:r w:rsidR="00C05E8E">
        <w:t xml:space="preserve"> </w:t>
      </w:r>
      <w:r>
        <w:t xml:space="preserve">w systemie prawa precedensowego </w:t>
      </w:r>
      <w:r w:rsidR="00C05E8E">
        <w:t xml:space="preserve">osobie oskarżonej </w:t>
      </w:r>
      <w:r>
        <w:t xml:space="preserve">należy zapewnić nie tylko dostęp do adwokata, ale także jego obecność w okresie </w:t>
      </w:r>
      <w:r w:rsidR="00C05E8E">
        <w:t>jakiegokolwiek zatrzymania</w:t>
      </w:r>
      <w:r>
        <w:t xml:space="preserve">. Tym bardziej, że do tej pory w orzecznictwie dotyczącym Konwencji nie przyjęto żadnej bezwzględnej zasady, zgodnie z którą dowody uzyskane z naruszeniem prawa </w:t>
      </w:r>
      <w:r w:rsidR="00C05E8E">
        <w:t>konwencyjnego</w:t>
      </w:r>
      <w:r>
        <w:t xml:space="preserve"> należy uznać za niedopuszczalne, a raczej stosowano test polegający na rozważaniu ogólnej rzetelności postępowania.”</w:t>
      </w:r>
    </w:p>
    <w:p w14:paraId="1CB37F72" w14:textId="44926CC4" w:rsidR="00B3070D" w:rsidRPr="00EE43AE" w:rsidRDefault="00FB401A" w:rsidP="00EE43AE">
      <w:pPr>
        <w:pStyle w:val="JuPara"/>
      </w:pPr>
      <w:r>
        <w:fldChar w:fldCharType="begin"/>
      </w:r>
      <w:r>
        <w:instrText xml:space="preserve"> SEQ level0 \*arabic </w:instrText>
      </w:r>
      <w:r>
        <w:fldChar w:fldCharType="separate"/>
      </w:r>
      <w:r w:rsidR="001D10DA">
        <w:rPr>
          <w:noProof/>
        </w:rPr>
        <w:t>36</w:t>
      </w:r>
      <w:r>
        <w:rPr>
          <w:noProof/>
        </w:rPr>
        <w:fldChar w:fldCharType="end"/>
      </w:r>
      <w:r w:rsidR="00426D77">
        <w:t xml:space="preserve">.  Jego zdaniem, argument prawny przemawiający za przyjęciem bezwzględnej zasady obecności adwokata jako zasady konstytucyjnej wywiedziono zatem niemal w całości z uzasadnienia orzeczenia Sądu Najwyższego Stanów Zjednoczonych w sprawie </w:t>
      </w:r>
      <w:r w:rsidR="00C05E8E">
        <w:t>Miranda</w:t>
      </w:r>
      <w:r w:rsidR="00426D77">
        <w:t>. Jednakże w ciągu pięćdziesięciu lat, jakie upłynęły od wydania tego orzeczenia, w orzecznictwie irlandzkim nie stosowano się do niego. W niniejszej sprawie dobrowolność przyznania się do winy nie budził</w:t>
      </w:r>
      <w:r w:rsidR="003D66C4">
        <w:t>a</w:t>
      </w:r>
      <w:r w:rsidR="00426D77">
        <w:t xml:space="preserve"> wątpliwości, a przyznanie </w:t>
      </w:r>
      <w:r w:rsidR="00426D77">
        <w:lastRenderedPageBreak/>
        <w:t xml:space="preserve">się skarżącego do winy nie zostało uznane za pozbawione przymiotu rzetelności. </w:t>
      </w:r>
      <w:r w:rsidR="00AA60F1">
        <w:t>Gdyby przyjęto jasną zasadę,</w:t>
      </w:r>
      <w:r w:rsidR="00426D77">
        <w:t xml:space="preserve"> mogł</w:t>
      </w:r>
      <w:r w:rsidR="00AA60F1">
        <w:t>a</w:t>
      </w:r>
      <w:r w:rsidR="00426D77">
        <w:t xml:space="preserve">by </w:t>
      </w:r>
      <w:r w:rsidR="00AA60F1">
        <w:t xml:space="preserve">ona </w:t>
      </w:r>
      <w:r w:rsidR="00426D77">
        <w:t xml:space="preserve">prowadzić do wyłączenia kluczowych dowodów w postaci wyjaśnień złożonych dobrowolnie bez zasięgnięcia porady prawnej w okolicznościach, które </w:t>
      </w:r>
      <w:r w:rsidR="00AA60F1">
        <w:t>w przeciwnym wypadku</w:t>
      </w:r>
      <w:r w:rsidR="00426D77">
        <w:t xml:space="preserve"> nie budziłyby wątpliwości. Stwierdził, co następuje:</w:t>
      </w:r>
    </w:p>
    <w:p w14:paraId="2D2CEA65" w14:textId="177500B8" w:rsidR="00B3070D" w:rsidRPr="00EE43AE" w:rsidRDefault="00B3070D" w:rsidP="00EE43AE">
      <w:pPr>
        <w:pStyle w:val="JuQuot"/>
      </w:pPr>
      <w:r>
        <w:t xml:space="preserve">„14. Ja ze swej strony poprzestałbym w tym miejscu na przyjęciu, że oprócz nagrywania przesłuchań </w:t>
      </w:r>
      <w:r w:rsidR="00AA60F1">
        <w:t>na video</w:t>
      </w:r>
      <w:r>
        <w:t xml:space="preserve">, dostępu do adwokata i porady prawnej (które w razie potrzeby zapewnia państwo) oraz wymogu, by tylko </w:t>
      </w:r>
      <w:r w:rsidR="00AA60F1">
        <w:t>oświadczenia</w:t>
      </w:r>
      <w:r>
        <w:t xml:space="preserve"> uznane za dobrowolne ponad uzasadnioną wątpliwość były dopuszczalne jako dowód, Konstytucja wymaga jednak, i być może zawsze wymagała, obecności adwokata przez cały czas przesłuchani</w:t>
      </w:r>
      <w:r w:rsidR="00AA60F1">
        <w:t>a</w:t>
      </w:r>
      <w:r>
        <w:t xml:space="preserve">, jako </w:t>
      </w:r>
      <w:r w:rsidR="00AA60F1">
        <w:t xml:space="preserve">warunku </w:t>
      </w:r>
      <w:r>
        <w:t>dopuszczalności</w:t>
      </w:r>
      <w:r w:rsidR="00AA60F1">
        <w:t xml:space="preserve"> wszelkich</w:t>
      </w:r>
      <w:r>
        <w:t xml:space="preserve"> uzyskanych dowodów.”</w:t>
      </w:r>
    </w:p>
    <w:p w14:paraId="2F28DE16" w14:textId="40D01462" w:rsidR="00B3070D" w:rsidRPr="00EE43AE" w:rsidRDefault="00FB401A" w:rsidP="00EE43AE">
      <w:pPr>
        <w:pStyle w:val="JuPara"/>
      </w:pPr>
      <w:r>
        <w:fldChar w:fldCharType="begin"/>
      </w:r>
      <w:r>
        <w:instrText xml:space="preserve"> SEQ level0 \*arabic </w:instrText>
      </w:r>
      <w:r>
        <w:fldChar w:fldCharType="separate"/>
      </w:r>
      <w:r w:rsidR="001D10DA">
        <w:rPr>
          <w:noProof/>
        </w:rPr>
        <w:t>37</w:t>
      </w:r>
      <w:r>
        <w:rPr>
          <w:noProof/>
        </w:rPr>
        <w:fldChar w:fldCharType="end"/>
      </w:r>
      <w:r w:rsidR="00426D77">
        <w:t>.  </w:t>
      </w:r>
      <w:r w:rsidR="00AA60F1">
        <w:t>Podsumowując s</w:t>
      </w:r>
      <w:r w:rsidR="00426D77">
        <w:t>twierdził:</w:t>
      </w:r>
    </w:p>
    <w:p w14:paraId="4DDCD113" w14:textId="1C4BA9D6" w:rsidR="00B3070D" w:rsidRPr="00EE43AE" w:rsidRDefault="00B3070D" w:rsidP="00EE43AE">
      <w:pPr>
        <w:pStyle w:val="JuQuot"/>
      </w:pPr>
      <w:r>
        <w:t>„84.  </w:t>
      </w:r>
      <w:r w:rsidR="00F7666F">
        <w:t>Skazanie apelującego zostało oparte na</w:t>
      </w:r>
      <w:r>
        <w:t xml:space="preserve"> </w:t>
      </w:r>
      <w:r w:rsidR="00F7666F">
        <w:t xml:space="preserve">jego </w:t>
      </w:r>
      <w:r>
        <w:t>przyznani</w:t>
      </w:r>
      <w:r w:rsidR="00F7666F">
        <w:t>u</w:t>
      </w:r>
      <w:r>
        <w:t xml:space="preserve"> się do winy, które znalazło</w:t>
      </w:r>
      <w:r w:rsidR="00F7666F">
        <w:t xml:space="preserve"> </w:t>
      </w:r>
      <w:r>
        <w:t>dodatkowe</w:t>
      </w:r>
      <w:r w:rsidR="00F7666F">
        <w:t xml:space="preserve"> </w:t>
      </w:r>
      <w:r>
        <w:t>potwierdzenie</w:t>
      </w:r>
      <w:r w:rsidR="00F7666F">
        <w:t xml:space="preserve"> </w:t>
      </w:r>
      <w:r>
        <w:t>w istotnych niezależnych dowodach. Obejmowały one opis</w:t>
      </w:r>
      <w:r w:rsidR="00F7666F">
        <w:t>anie</w:t>
      </w:r>
      <w:r>
        <w:t xml:space="preserve"> przez </w:t>
      </w:r>
      <w:r w:rsidR="00F7666F">
        <w:t xml:space="preserve">odwołującego się </w:t>
      </w:r>
      <w:r>
        <w:t xml:space="preserve">tego, co wydarzyło się na miejscu popełnienia przestępstwa, analizę spraw nieznanych funkcjonariuszom policji oraz dowody balistyczne. Przy wyrokowaniu wzięto pod uwagę niezależne zeznania </w:t>
      </w:r>
      <w:r w:rsidR="00352498">
        <w:t>P</w:t>
      </w:r>
      <w:r>
        <w:t xml:space="preserve">ani [G.], </w:t>
      </w:r>
      <w:r w:rsidR="00F7666F">
        <w:t xml:space="preserve">pod adresem </w:t>
      </w:r>
      <w:r>
        <w:t>której (</w:t>
      </w:r>
      <w:r w:rsidR="00F7666F">
        <w:t>apelujący</w:t>
      </w:r>
      <w:r>
        <w:t xml:space="preserve">) skierował </w:t>
      </w:r>
      <w:r w:rsidR="00F7666F">
        <w:t xml:space="preserve">obciążające </w:t>
      </w:r>
      <w:r>
        <w:t xml:space="preserve">uwagi poza komisariatem policji. Powyższe znalazło potwierdzenie w zeznaniach pani [A.], która była obecna zarówno podczas wydawania wnoszącemu apelację polecenia dokonania zabójstwa, jak i następnego dnia, kiedy wnoszący apelację został zapytany o to, czy zastrzelił </w:t>
      </w:r>
      <w:r w:rsidR="00F7666F">
        <w:t xml:space="preserve">właściwą </w:t>
      </w:r>
      <w:r>
        <w:t>osobę</w:t>
      </w:r>
      <w:r w:rsidR="00F7666F">
        <w:t xml:space="preserve"> </w:t>
      </w:r>
      <w:r>
        <w:t xml:space="preserve">i kiedy błędnie stwierdził, że tak uczynił. Fakt dobrowolności przyznania się do winy wykazano w sposób przekonujący sąd </w:t>
      </w:r>
      <w:r w:rsidR="003922A1">
        <w:t xml:space="preserve">rozpoznający sprawę </w:t>
      </w:r>
      <w:r>
        <w:t xml:space="preserve">po szczegółowym </w:t>
      </w:r>
      <w:r w:rsidR="003922A1">
        <w:t>zbadaniu wszystkich dowodów</w:t>
      </w:r>
      <w:r>
        <w:t>, w tym 20-godzinn</w:t>
      </w:r>
      <w:r w:rsidR="003922A1">
        <w:t>ego przesłuchanie</w:t>
      </w:r>
      <w:r>
        <w:t>. W świetle prawa nie ma podstaw, aby twierdzić, że dowody były niedopuszczalne lub że proces był pozbawiony przymiotu rzetelności. [...]”</w:t>
      </w:r>
    </w:p>
    <w:p w14:paraId="2B4DB300" w14:textId="49AF58EC" w:rsidR="00B3070D" w:rsidRPr="00EE43AE" w:rsidRDefault="00FB401A" w:rsidP="00EE43AE">
      <w:pPr>
        <w:pStyle w:val="JuPara"/>
      </w:pPr>
      <w:r>
        <w:fldChar w:fldCharType="begin"/>
      </w:r>
      <w:r>
        <w:instrText xml:space="preserve"> SEQ level0 \*arabic </w:instrText>
      </w:r>
      <w:r>
        <w:fldChar w:fldCharType="separate"/>
      </w:r>
      <w:r w:rsidR="001D10DA">
        <w:rPr>
          <w:noProof/>
        </w:rPr>
        <w:t>38</w:t>
      </w:r>
      <w:r>
        <w:rPr>
          <w:noProof/>
        </w:rPr>
        <w:fldChar w:fldCharType="end"/>
      </w:r>
      <w:r w:rsidR="00426D77">
        <w:t xml:space="preserve">.  Trzeci wyrok wydał MacMenamin J. Przypomniał, że w czasie zatrzymania i procesu skarżącego, w odpowiednim precedensie Sądu Najwyższego, w sprawie </w:t>
      </w:r>
      <w:r w:rsidR="00426D77">
        <w:rPr>
          <w:i/>
        </w:rPr>
        <w:t>Lavery p</w:t>
      </w:r>
      <w:r w:rsidR="00EB51E3">
        <w:rPr>
          <w:i/>
        </w:rPr>
        <w:t>rzeciw</w:t>
      </w:r>
      <w:r w:rsidR="00426D77">
        <w:rPr>
          <w:i/>
        </w:rPr>
        <w:t>ko Member in Charge Carrickmacross Garda Station</w:t>
      </w:r>
      <w:r w:rsidR="00426D77">
        <w:t xml:space="preserve"> [1999] 2 IR 390, nie podzielono stanowiska, </w:t>
      </w:r>
      <w:r w:rsidR="003922A1">
        <w:t>że</w:t>
      </w:r>
      <w:r w:rsidR="00426D77">
        <w:t xml:space="preserve"> podejrzany jest ogólnie uprawniony do obecności adwokata podczas przesłuchania przez policję.</w:t>
      </w:r>
    </w:p>
    <w:p w14:paraId="5ED8CC75" w14:textId="47FC6AD5" w:rsidR="00B3070D" w:rsidRPr="00EE43AE" w:rsidRDefault="00FB401A" w:rsidP="00EE43AE">
      <w:pPr>
        <w:pStyle w:val="JuPara"/>
      </w:pPr>
      <w:r>
        <w:fldChar w:fldCharType="begin"/>
      </w:r>
      <w:r>
        <w:instrText xml:space="preserve"> SEQ level0 \*arabic </w:instrText>
      </w:r>
      <w:r>
        <w:fldChar w:fldCharType="separate"/>
      </w:r>
      <w:r w:rsidR="001D10DA">
        <w:rPr>
          <w:noProof/>
        </w:rPr>
        <w:t>39</w:t>
      </w:r>
      <w:r>
        <w:rPr>
          <w:noProof/>
        </w:rPr>
        <w:fldChar w:fldCharType="end"/>
      </w:r>
      <w:r w:rsidR="00426D77">
        <w:t xml:space="preserve">.  Odrzucił </w:t>
      </w:r>
      <w:r w:rsidR="003922A1">
        <w:t xml:space="preserve">on </w:t>
      </w:r>
      <w:r w:rsidR="00426D77">
        <w:t xml:space="preserve">argument, że wolę skarżącego złamano, w szczególności podczas </w:t>
      </w:r>
      <w:r w:rsidR="003922A1">
        <w:t xml:space="preserve">14-go </w:t>
      </w:r>
      <w:r w:rsidR="00426D77">
        <w:t xml:space="preserve">przesłuchania. </w:t>
      </w:r>
      <w:r w:rsidR="003922A1">
        <w:t>Choć</w:t>
      </w:r>
      <w:r w:rsidR="00426D77">
        <w:t xml:space="preserve"> policja kontynuowała </w:t>
      </w:r>
      <w:r w:rsidR="003922A1">
        <w:t xml:space="preserve">jego </w:t>
      </w:r>
      <w:r w:rsidR="00426D77">
        <w:t xml:space="preserve">przesłuchanie, nawet po tym jak skarżący poprosił o kolejną konsultację ze swoim adwokatem, w trakcie tego przesłuchania nie uzyskano niczego, co mogłoby zostać przeniesione na kolejne przesłuchanie. Nie było podstaw do uznania, że doszło do nieodwracalnego pogorszenia sytuacji skarżącego, czy to w tamtym momencie czy też </w:t>
      </w:r>
      <w:r w:rsidR="003922A1">
        <w:t>później</w:t>
      </w:r>
      <w:r w:rsidR="00426D77">
        <w:t>.</w:t>
      </w:r>
    </w:p>
    <w:p w14:paraId="3E288CF4" w14:textId="39D1490F" w:rsidR="00B3070D" w:rsidRPr="00EE43AE" w:rsidRDefault="00FB401A" w:rsidP="00EE43AE">
      <w:pPr>
        <w:pStyle w:val="JuPara"/>
      </w:pPr>
      <w:r>
        <w:fldChar w:fldCharType="begin"/>
      </w:r>
      <w:r>
        <w:instrText xml:space="preserve"> SEQ level0 \*arabic </w:instrText>
      </w:r>
      <w:r>
        <w:fldChar w:fldCharType="separate"/>
      </w:r>
      <w:r w:rsidR="001D10DA">
        <w:rPr>
          <w:noProof/>
        </w:rPr>
        <w:t>40</w:t>
      </w:r>
      <w:r>
        <w:rPr>
          <w:noProof/>
        </w:rPr>
        <w:fldChar w:fldCharType="end"/>
      </w:r>
      <w:r w:rsidR="00426D77">
        <w:t>.  Jeśli chodzi o argument, że w świetle orzeczenia Sądu Najwyższego w sprawie Gormley, a także orzecznictwa dotyczącego Konwencji</w:t>
      </w:r>
      <w:r w:rsidR="002A2711">
        <w:br/>
      </w:r>
      <w:r w:rsidR="00426D77">
        <w:t>i orzecznictwa amerykańskiego, obecnie przysług</w:t>
      </w:r>
      <w:r w:rsidR="00A0238E">
        <w:t>iwało</w:t>
      </w:r>
      <w:r w:rsidR="00426D77">
        <w:t xml:space="preserve"> prawo do obecności adwokata podczas przesłuchania przez policję, MacMenamin J. </w:t>
      </w:r>
      <w:r w:rsidR="00A0238E">
        <w:t>uznał</w:t>
      </w:r>
      <w:r w:rsidR="00426D77">
        <w:t xml:space="preserve">, że w niniejszej sprawie argument ten nie </w:t>
      </w:r>
      <w:r w:rsidR="00A0238E">
        <w:t>miał zastosowania</w:t>
      </w:r>
      <w:r w:rsidR="00426D77">
        <w:t>. Stwierdził, co następuje:</w:t>
      </w:r>
    </w:p>
    <w:p w14:paraId="34B44E6C" w14:textId="611EB9F4" w:rsidR="00B3070D" w:rsidRPr="00EE43AE" w:rsidRDefault="003D732C" w:rsidP="00EE43AE">
      <w:pPr>
        <w:pStyle w:val="JuQuot"/>
      </w:pPr>
      <w:r>
        <w:lastRenderedPageBreak/>
        <w:t xml:space="preserve">„46.  […] Uważam, że bezwzględnie należy mieć na uwadze, że w </w:t>
      </w:r>
      <w:r>
        <w:rPr>
          <w:i/>
        </w:rPr>
        <w:t>tym przypadku</w:t>
      </w:r>
      <w:r w:rsidR="002A2711">
        <w:br/>
      </w:r>
      <w:r>
        <w:t xml:space="preserve">(z zastrzeżeniem uwagi dotyczącej pozbawionego znaczenia przesłuchania nr 14), </w:t>
      </w:r>
      <w:r w:rsidR="00A0238E">
        <w:t>apelujący</w:t>
      </w:r>
      <w:r>
        <w:t xml:space="preserve"> miał zapewniony dostęp do adwokata od chwili </w:t>
      </w:r>
      <w:r w:rsidR="00A0238E">
        <w:t>jego zatrzymania</w:t>
      </w:r>
      <w:r>
        <w:t xml:space="preserve">, w trakcie stosowania tego środka, przed </w:t>
      </w:r>
      <w:r w:rsidR="00A0238E">
        <w:t xml:space="preserve">istotnym </w:t>
      </w:r>
      <w:r>
        <w:t xml:space="preserve">przesłuchaniem, a nawet w trakcie tego przesłuchania. Jego ograniczone przyznanie się polegało na tym, że potwierdził fakt dokonania zabójstwa [S.G.]. </w:t>
      </w:r>
      <w:r w:rsidR="001D6BFF">
        <w:t>Niechybnie</w:t>
      </w:r>
      <w:r>
        <w:t xml:space="preserve"> </w:t>
      </w:r>
      <w:r w:rsidR="002A2711">
        <w:t xml:space="preserve">wnoszący apelację </w:t>
      </w:r>
      <w:r>
        <w:t>musi liczyć się z tym, że logik</w:t>
      </w:r>
      <w:r w:rsidR="001D6BFF">
        <w:t>ą</w:t>
      </w:r>
      <w:r>
        <w:t xml:space="preserve"> tego, co w tym przypadku </w:t>
      </w:r>
      <w:r w:rsidR="001D6BFF">
        <w:t>proponuje się</w:t>
      </w:r>
      <w:r>
        <w:t xml:space="preserve"> zastosować, </w:t>
      </w:r>
      <w:r w:rsidR="001D6BFF">
        <w:t>jest</w:t>
      </w:r>
      <w:r>
        <w:t xml:space="preserve"> </w:t>
      </w:r>
      <w:r>
        <w:rPr>
          <w:i/>
        </w:rPr>
        <w:t>retrospektywn</w:t>
      </w:r>
      <w:r w:rsidR="001D6BFF">
        <w:rPr>
          <w:i/>
        </w:rPr>
        <w:t>e</w:t>
      </w:r>
      <w:r>
        <w:t xml:space="preserve"> uznani</w:t>
      </w:r>
      <w:r w:rsidR="001D6BFF">
        <w:t xml:space="preserve">e </w:t>
      </w:r>
      <w:r>
        <w:t>i zastosowani</w:t>
      </w:r>
      <w:r w:rsidR="001D6BFF">
        <w:t>e</w:t>
      </w:r>
      <w:r>
        <w:t xml:space="preserve"> </w:t>
      </w:r>
      <w:r w:rsidR="001D6BFF">
        <w:t xml:space="preserve">nieuznawanego wówczas </w:t>
      </w:r>
      <w:r>
        <w:t>konstytucyjnego prawa do obecności adwokata podczas przesłuchań.” [podkreślenie w oryginale]</w:t>
      </w:r>
    </w:p>
    <w:p w14:paraId="043160A7" w14:textId="41B1673B" w:rsidR="00B3070D" w:rsidRPr="00EE43AE" w:rsidRDefault="00FB401A" w:rsidP="00EE43AE">
      <w:pPr>
        <w:pStyle w:val="JuPara"/>
      </w:pPr>
      <w:r>
        <w:fldChar w:fldCharType="begin"/>
      </w:r>
      <w:r>
        <w:instrText xml:space="preserve"> SEQ level0 \*arabic </w:instrText>
      </w:r>
      <w:r>
        <w:fldChar w:fldCharType="separate"/>
      </w:r>
      <w:r w:rsidR="001D10DA">
        <w:rPr>
          <w:noProof/>
        </w:rPr>
        <w:t>41</w:t>
      </w:r>
      <w:r>
        <w:rPr>
          <w:noProof/>
        </w:rPr>
        <w:fldChar w:fldCharType="end"/>
      </w:r>
      <w:r w:rsidR="00426D77">
        <w:t xml:space="preserve">.  Sędzia </w:t>
      </w:r>
      <w:r w:rsidR="001D6BFF">
        <w:t xml:space="preserve">dalej </w:t>
      </w:r>
      <w:r w:rsidR="00426D77">
        <w:t xml:space="preserve">wyjaśnił, że wyrazi gotowość, w świetle niedawnych zmian w przepisach materialnych i proceduralnych, do uznania w przyszłych sprawach konstytucyjnego prawa do obecności adwokata podczas przesłuchania przez policję. Następnie przytoczył szereg odpowiednich wyroków ETPC, w szczególności sprawę </w:t>
      </w:r>
      <w:r w:rsidR="00426D77">
        <w:rPr>
          <w:i/>
        </w:rPr>
        <w:t>Salduz przeciwko Turcji</w:t>
      </w:r>
      <w:r w:rsidR="00426D77">
        <w:t xml:space="preserve"> [WI], nr 36391/02, ETPC 2008. Uznał, że okoliczności faktyczne niniejszej sprawy są zupełnie inne i że należy je rozróżnić. Dodał, że dla celów art. 6 Konwencji w każdym przypadku istotne znaczenie ma to, czy postępowanie karne </w:t>
      </w:r>
      <w:r w:rsidR="001D6BFF">
        <w:t xml:space="preserve">jako całość </w:t>
      </w:r>
      <w:r w:rsidR="00426D77">
        <w:t>było rzetelne.</w:t>
      </w:r>
    </w:p>
    <w:p w14:paraId="75558ADB" w14:textId="6805274C" w:rsidR="00B3070D" w:rsidRPr="00EE43AE" w:rsidRDefault="00FB401A" w:rsidP="00EE43AE">
      <w:pPr>
        <w:pStyle w:val="JuPara"/>
      </w:pPr>
      <w:r>
        <w:fldChar w:fldCharType="begin"/>
      </w:r>
      <w:r>
        <w:instrText xml:space="preserve"> SEQ level0 \*arabic </w:instrText>
      </w:r>
      <w:r>
        <w:fldChar w:fldCharType="separate"/>
      </w:r>
      <w:r w:rsidR="001D10DA">
        <w:rPr>
          <w:noProof/>
        </w:rPr>
        <w:t>42</w:t>
      </w:r>
      <w:r>
        <w:rPr>
          <w:noProof/>
        </w:rPr>
        <w:fldChar w:fldCharType="end"/>
      </w:r>
      <w:r w:rsidR="00426D77">
        <w:t xml:space="preserve">.  Charleton J, z którym zgodził się Laffoy J, w pierwszej kolejności odniósł się do kwestii nakłaniania. Dokonał szczegółowej oceny wyjaśnień skarżącego oraz okoliczności, w jakich zostały one </w:t>
      </w:r>
      <w:r w:rsidR="00B05155">
        <w:t xml:space="preserve">uzyskane </w:t>
      </w:r>
      <w:r w:rsidR="00426D77">
        <w:t xml:space="preserve">przez policję. Uznał, że podczas </w:t>
      </w:r>
      <w:r w:rsidR="00B05155">
        <w:t xml:space="preserve">13-go </w:t>
      </w:r>
      <w:r w:rsidR="00426D77">
        <w:t>przesłuchania odniesienia do sytuacji G</w:t>
      </w:r>
      <w:r w:rsidR="00B05155">
        <w:t>.</w:t>
      </w:r>
      <w:r w:rsidR="00426D77">
        <w:t xml:space="preserve"> stanowiły wyraźne nakłanianie do przyznania się. </w:t>
      </w:r>
      <w:r w:rsidR="00B05155">
        <w:t>Ważne jednak było</w:t>
      </w:r>
      <w:r w:rsidR="00426D77">
        <w:t xml:space="preserve"> przy tym, że </w:t>
      </w:r>
      <w:r w:rsidR="00B05155">
        <w:t xml:space="preserve">skarżący miał </w:t>
      </w:r>
      <w:r w:rsidR="00426D77">
        <w:t>dostęp do niezależnej porady prawnej wybranego przez siebie adwokata. Następnie sędzia odniósł się do kilku czynników – w tym do dowodów skruchy, faktu, że skarżący ograniczył swoje wyjaśnienia do własnej roli, faktu, że nie wycofał swojego oświadczenia oraz gestu wykonanego z różańcem – które stanowiły materiał, na podstawie którego sąd pierwszej instancji mógł racjonalnie rozstrzygnąć sprawę. Rozstrzygnięcie to nie mogło zostać zakwestionowane.</w:t>
      </w:r>
    </w:p>
    <w:p w14:paraId="6DBCE97E" w14:textId="2FFFE24E" w:rsidR="00B3070D" w:rsidRPr="00EE43AE" w:rsidRDefault="00FB401A" w:rsidP="00EE43AE">
      <w:pPr>
        <w:pStyle w:val="JuPara"/>
      </w:pPr>
      <w:r>
        <w:fldChar w:fldCharType="begin"/>
      </w:r>
      <w:r>
        <w:instrText xml:space="preserve"> SEQ level0 \*arabic </w:instrText>
      </w:r>
      <w:r>
        <w:fldChar w:fldCharType="separate"/>
      </w:r>
      <w:r w:rsidR="001D10DA">
        <w:rPr>
          <w:noProof/>
        </w:rPr>
        <w:t>43</w:t>
      </w:r>
      <w:r>
        <w:rPr>
          <w:noProof/>
        </w:rPr>
        <w:fldChar w:fldCharType="end"/>
      </w:r>
      <w:r w:rsidR="00426D77">
        <w:t xml:space="preserve">.  W kwestii dostępu do adwokata Charleton J zauważył, że </w:t>
      </w:r>
      <w:r w:rsidR="00B05155">
        <w:t>s</w:t>
      </w:r>
      <w:r w:rsidR="00426D77">
        <w:t xml:space="preserve">ąd </w:t>
      </w:r>
      <w:r w:rsidR="00B05155">
        <w:t>a</w:t>
      </w:r>
      <w:r w:rsidR="00426D77">
        <w:t xml:space="preserve">pelacyjny zastosował się do istniejącego orzecznictwa Sądu Najwyższego, zgodnie z którym </w:t>
      </w:r>
      <w:r w:rsidR="00B05155">
        <w:t>nie istniało konstytucyjne</w:t>
      </w:r>
      <w:r w:rsidR="00426D77">
        <w:t xml:space="preserve"> prawo do obecności adwokata podczas przesłuchania. W sprawie Gormley nie stwierdzono istnienia takiego prawa, ponieważ kwestia ta nie pojawiła się w okolicznościach faktycznych tej sprawy. Chociaż zasadniczy wymóg podstawowej rzetelności miał zastosowanie od chwili zatrzymania, to niekoniecznie wynikało z niego, że wszystkie gwarancje rzetelnego procesu,</w:t>
      </w:r>
      <w:r w:rsidR="00FC6C5A">
        <w:br/>
      </w:r>
      <w:r w:rsidR="00426D77">
        <w:t xml:space="preserve">w szczególności zastępstwo procesowe, muszą również być w pełni </w:t>
      </w:r>
      <w:r w:rsidR="00B05155">
        <w:t xml:space="preserve">stosowane </w:t>
      </w:r>
      <w:r w:rsidR="00426D77">
        <w:t>od samego początku.</w:t>
      </w:r>
    </w:p>
    <w:p w14:paraId="03568362" w14:textId="5CB21339" w:rsidR="00B3070D" w:rsidRPr="00EE43AE" w:rsidRDefault="00FB401A" w:rsidP="00EE43AE">
      <w:pPr>
        <w:pStyle w:val="JuPara"/>
      </w:pPr>
      <w:r>
        <w:fldChar w:fldCharType="begin"/>
      </w:r>
      <w:r>
        <w:instrText xml:space="preserve"> SEQ level0 \*arabic </w:instrText>
      </w:r>
      <w:r>
        <w:fldChar w:fldCharType="separate"/>
      </w:r>
      <w:r w:rsidR="001D10DA">
        <w:rPr>
          <w:noProof/>
        </w:rPr>
        <w:t>44</w:t>
      </w:r>
      <w:r>
        <w:rPr>
          <w:noProof/>
        </w:rPr>
        <w:fldChar w:fldCharType="end"/>
      </w:r>
      <w:r w:rsidR="00426D77">
        <w:t xml:space="preserve">.  O'Malley J. zgodziła się, że apelację należy oddalić. Przyjęła ona jednak stanowisko odmienne niż MacMenamin i Charleton JJ w odniesieniu do skutków związanych z prawem dostępu do porady prawnej. Zgodziła się ona z wnioskiem MacMenamina J., że brak było związku przyczynowo-skutkowego </w:t>
      </w:r>
      <w:r w:rsidR="00206DE9">
        <w:t>po</w:t>
      </w:r>
      <w:r w:rsidR="00426D77">
        <w:t xml:space="preserve">między wyjaśnieniami skarżącego a nieobecnością adwokata </w:t>
      </w:r>
      <w:r w:rsidR="00426D77">
        <w:lastRenderedPageBreak/>
        <w:t xml:space="preserve">podczas przesłuchania, i że było to wystarczające do rozstrzygnięcia </w:t>
      </w:r>
      <w:r w:rsidR="00206DE9">
        <w:t xml:space="preserve">problemu w </w:t>
      </w:r>
      <w:r w:rsidR="00426D77">
        <w:t>niniejszej spraw</w:t>
      </w:r>
      <w:r w:rsidR="00206DE9">
        <w:t>ie</w:t>
      </w:r>
      <w:r w:rsidR="00426D77">
        <w:t>. Uznała jednak, że kwesti</w:t>
      </w:r>
      <w:r w:rsidR="00206DE9">
        <w:t>a ta</w:t>
      </w:r>
      <w:r w:rsidR="00426D77">
        <w:t xml:space="preserve"> </w:t>
      </w:r>
      <w:r w:rsidR="00206DE9">
        <w:t xml:space="preserve">i konieczność właściwego jej rozstrzygnięcia </w:t>
      </w:r>
      <w:r w:rsidR="00426D77">
        <w:t>moż</w:t>
      </w:r>
      <w:r w:rsidR="00206DE9">
        <w:t>e pojawić się</w:t>
      </w:r>
      <w:r w:rsidR="00426D77">
        <w:t xml:space="preserve"> w innej sprawie. Dostrzegła pewną trafność w argumencie, że obecnie należy postrzegać tę kwestię</w:t>
      </w:r>
      <w:r w:rsidR="00206DE9">
        <w:t xml:space="preserve"> </w:t>
      </w:r>
      <w:r w:rsidR="00426D77">
        <w:t>jako</w:t>
      </w:r>
      <w:r w:rsidR="00206DE9">
        <w:t xml:space="preserve"> </w:t>
      </w:r>
      <w:r w:rsidR="00426D77">
        <w:t>prawo</w:t>
      </w:r>
      <w:r w:rsidR="00206DE9">
        <w:t xml:space="preserve"> </w:t>
      </w:r>
      <w:r w:rsidR="00426D77">
        <w:t>wynikające</w:t>
      </w:r>
      <w:r w:rsidR="00206DE9">
        <w:t xml:space="preserve"> </w:t>
      </w:r>
      <w:r w:rsidR="00426D77">
        <w:t xml:space="preserve">z konstytucyjnego prawa do rzetelnego procesu sądowego. Państwo zasadniczo to przewidziało, modyfikując praktykę policyjną w tym zakresie. Zauważyła, że kwestia ta może pojawić się w kontekście przepisów ustawowych, które pozwalają na wyciąganie wniosków z braku odpowiedzi na pytania. Ponieważ </w:t>
      </w:r>
      <w:r w:rsidR="00206DE9">
        <w:t xml:space="preserve">niniejsza </w:t>
      </w:r>
      <w:r w:rsidR="00426D77">
        <w:t xml:space="preserve">sprawa nie była </w:t>
      </w:r>
      <w:r w:rsidR="00206DE9">
        <w:t xml:space="preserve">właściwa </w:t>
      </w:r>
      <w:r w:rsidR="00426D77">
        <w:t xml:space="preserve">do sformułowania ostatecznego stanowiska, </w:t>
      </w:r>
      <w:r w:rsidR="00206DE9">
        <w:t>wstrzymała się od</w:t>
      </w:r>
      <w:r w:rsidR="00426D77">
        <w:t xml:space="preserve"> zajęcia stanowiska w tej kwestii. Stwierdziła:</w:t>
      </w:r>
    </w:p>
    <w:p w14:paraId="28FAFCC7" w14:textId="77777777" w:rsidR="00B3070D" w:rsidRPr="00EE43AE" w:rsidRDefault="00B3070D" w:rsidP="00EE43AE">
      <w:pPr>
        <w:pStyle w:val="JuQuot"/>
      </w:pPr>
      <w:r>
        <w:t>„71. Uważam, że kwestia istnienia takiego prawa w rzeczywistości nie występuje</w:t>
      </w:r>
      <w:r w:rsidR="00CB3B28">
        <w:br/>
      </w:r>
      <w:r>
        <w:t>w zaiste nietypowych okolicznościach faktycznych niniejszej sprawy.</w:t>
      </w:r>
    </w:p>
    <w:p w14:paraId="3FC01E48" w14:textId="6285C721" w:rsidR="00B3070D" w:rsidRPr="00EE43AE" w:rsidRDefault="00B3070D" w:rsidP="00EE43AE">
      <w:pPr>
        <w:pStyle w:val="JuQuot"/>
      </w:pPr>
      <w:r>
        <w:t xml:space="preserve">72.  W dużej mierze wynika to z niezwykle kluczowej roli, omówionej powyżej, jaką odegrał [adwokat] w wydarzeniach bezpośrednio poprzedzających </w:t>
      </w:r>
      <w:r w:rsidR="00206DE9">
        <w:t>przyznanie się</w:t>
      </w:r>
      <w:r>
        <w:t xml:space="preserve">. Prawdą jest, że </w:t>
      </w:r>
      <w:r w:rsidR="00206DE9">
        <w:t>przed tym, skarżący</w:t>
      </w:r>
      <w:r>
        <w:t xml:space="preserve"> nie widział się ze swoim adwokatem</w:t>
      </w:r>
      <w:r w:rsidR="00C051E0">
        <w:t xml:space="preserve"> przez jakikolwiek dłuższy czas</w:t>
      </w:r>
      <w:r>
        <w:t xml:space="preserve">. Jednakże, nie ma również wątpliwości, że skarżący był świadomy swojego prawa do </w:t>
      </w:r>
      <w:r w:rsidR="00C051E0">
        <w:t>zobaczenia się</w:t>
      </w:r>
      <w:r>
        <w:t xml:space="preserve"> z adwokatem; że widywał się z nim kiedy chciał,</w:t>
      </w:r>
      <w:r w:rsidR="00C051E0">
        <w:t xml:space="preserve"> przez</w:t>
      </w:r>
      <w:r>
        <w:t xml:space="preserve"> tak długo jak chciał; i że nie nikt nie naciskał, aby </w:t>
      </w:r>
      <w:r w:rsidR="00CB3B28">
        <w:t xml:space="preserve">wnoszący apelację </w:t>
      </w:r>
      <w:r>
        <w:t xml:space="preserve">zrzekł się swojego prawa dostępu lub je ograniczył. Jest również jasne, że pomimo udzielenia odpowiedzi na niektóre pytania podczas niektórych przesłuchań, </w:t>
      </w:r>
      <w:r w:rsidR="00CB3B28">
        <w:t xml:space="preserve">wnoszący apelację </w:t>
      </w:r>
      <w:r>
        <w:t>nie obciążył się przed przesłuchaniem nr 15.</w:t>
      </w:r>
    </w:p>
    <w:p w14:paraId="48568EA4" w14:textId="0D3E7DD2" w:rsidR="00B3070D" w:rsidRPr="00EE43AE" w:rsidRDefault="00B3070D" w:rsidP="00EE43AE">
      <w:pPr>
        <w:pStyle w:val="JuQuot"/>
      </w:pPr>
      <w:r>
        <w:t xml:space="preserve">73.  Nie zgadzam się z twierdzeniem, że oświadczenie </w:t>
      </w:r>
      <w:r w:rsidR="00C051E0">
        <w:t>apelującego</w:t>
      </w:r>
      <w:r>
        <w:t xml:space="preserve"> (podczas przesłuchania nr 14), że udzieli odpowiedzi na pytania, gdy zobaczy się ze swoim adwokatem, świadczy o tym, że poniósł on „nieodwracalną szkodę” wskutek decyzji [policji]o</w:t>
      </w:r>
      <w:r w:rsidR="00C051E0">
        <w:t xml:space="preserve"> </w:t>
      </w:r>
      <w:r>
        <w:t>kontynuowaniu</w:t>
      </w:r>
      <w:r w:rsidR="00C051E0">
        <w:t xml:space="preserve"> </w:t>
      </w:r>
      <w:r>
        <w:t>zadawania</w:t>
      </w:r>
      <w:r w:rsidR="00C051E0">
        <w:t xml:space="preserve"> </w:t>
      </w:r>
      <w:r>
        <w:t>pytań</w:t>
      </w:r>
      <w:r w:rsidR="00C051E0">
        <w:t xml:space="preserve"> </w:t>
      </w:r>
      <w:r>
        <w:t>pomimo</w:t>
      </w:r>
      <w:r w:rsidR="00C051E0">
        <w:t xml:space="preserve"> </w:t>
      </w:r>
      <w:r>
        <w:t>prośby</w:t>
      </w:r>
      <w:r w:rsidR="00C051E0">
        <w:t xml:space="preserve"> </w:t>
      </w:r>
      <w:r>
        <w:t xml:space="preserve">o konsultacje z adwokatem. Nie dostrzegam powodu, dla którego należałoby to interpretować jako </w:t>
      </w:r>
      <w:r w:rsidR="00C051E0">
        <w:t xml:space="preserve">decyzję o </w:t>
      </w:r>
      <w:r>
        <w:t>obciążeni</w:t>
      </w:r>
      <w:r w:rsidR="00C051E0">
        <w:t>u</w:t>
      </w:r>
      <w:r>
        <w:t xml:space="preserve"> siebie</w:t>
      </w:r>
      <w:r w:rsidR="00C051E0">
        <w:t xml:space="preserve"> samego</w:t>
      </w:r>
      <w:r>
        <w:t xml:space="preserve"> – </w:t>
      </w:r>
      <w:r w:rsidR="002510CF">
        <w:t xml:space="preserve">wnoszący apelację </w:t>
      </w:r>
      <w:r>
        <w:t>do niczego się nie zobowiązał,</w:t>
      </w:r>
      <w:r w:rsidR="002510CF">
        <w:t xml:space="preserve"> </w:t>
      </w:r>
      <w:r>
        <w:t>a już na pewno nie do przyznania się do winy. Nie ma dowodów na to, by</w:t>
      </w:r>
      <w:r w:rsidR="002510CF">
        <w:t xml:space="preserve"> </w:t>
      </w:r>
      <w:r>
        <w:t xml:space="preserve">w jakimkolwiek stopniu </w:t>
      </w:r>
      <w:r w:rsidR="002510CF">
        <w:t xml:space="preserve">wnoszący apelację </w:t>
      </w:r>
      <w:r>
        <w:t>utracił kontrolę nad własną wolą, a tym bardziej do tego stopnia, że konsultacja z adwokatem nie mogła mu pomóc.</w:t>
      </w:r>
    </w:p>
    <w:p w14:paraId="3BAB054A" w14:textId="05805482" w:rsidR="00B3070D" w:rsidRPr="00EE43AE" w:rsidRDefault="00B3070D" w:rsidP="00EE43AE">
      <w:pPr>
        <w:pStyle w:val="JuQuot"/>
      </w:pPr>
      <w:r>
        <w:t xml:space="preserve">74.  Do </w:t>
      </w:r>
      <w:r w:rsidR="00C051E0">
        <w:t>przyznania</w:t>
      </w:r>
      <w:r>
        <w:t xml:space="preserve"> realnie doszło w okolicznościach omówionych powyżej. Rola adwokata była w rzeczywistości o wiele bardziej kluczowa niż można by to </w:t>
      </w:r>
      <w:r w:rsidR="00C051E0">
        <w:t>sobie wyobrazić</w:t>
      </w:r>
      <w:r>
        <w:t>, gdy</w:t>
      </w:r>
      <w:r w:rsidR="00C051E0">
        <w:t>by</w:t>
      </w:r>
      <w:r>
        <w:t xml:space="preserve"> adwokat </w:t>
      </w:r>
      <w:r w:rsidR="00C051E0">
        <w:t xml:space="preserve">był </w:t>
      </w:r>
      <w:r>
        <w:t>obecny w pokoju przesłuchań –</w:t>
      </w:r>
      <w:r w:rsidR="00CB3B28">
        <w:br/>
      </w:r>
      <w:r>
        <w:t xml:space="preserve">w rzeczywistości [policja] i </w:t>
      </w:r>
      <w:r w:rsidR="00CE26D3">
        <w:t xml:space="preserve">wnoszący apelację </w:t>
      </w:r>
      <w:r>
        <w:t xml:space="preserve">porozumiewali się za jego pośrednictwem, a nie bezpośrednio ze sobą. Adwokatowi zapewniono pełną swobodę przy doradzaniu klientowi podczas prowadzenia rozmowy z [policją], a także większy niż normalnie stopień kontroli nad tym, co </w:t>
      </w:r>
      <w:r w:rsidR="00844C91">
        <w:t xml:space="preserve">zostało powiedziane </w:t>
      </w:r>
      <w:r>
        <w:t xml:space="preserve">w imieniu klienta i w jaki sposób zostało to przedstawione. Ze względów już omówionych uważam zatem, że sąd </w:t>
      </w:r>
      <w:r w:rsidR="00844C91">
        <w:t xml:space="preserve">rozpoznający sprawę </w:t>
      </w:r>
      <w:r>
        <w:t xml:space="preserve">był nie tylko uprawniony do stwierdzenia, że </w:t>
      </w:r>
      <w:r w:rsidR="00844C91">
        <w:t>przyznanie było rezultatem</w:t>
      </w:r>
      <w:r>
        <w:t xml:space="preserve"> całkowicie dobrowolnej decyzji </w:t>
      </w:r>
      <w:r w:rsidR="00844C91">
        <w:t>odwołującego się</w:t>
      </w:r>
      <w:r>
        <w:t xml:space="preserve">, ale również że nic nie wskazuje na to, że skorzystanie z </w:t>
      </w:r>
      <w:r w:rsidR="00844C91">
        <w:t>przysługującego obecnie</w:t>
      </w:r>
      <w:r>
        <w:t xml:space="preserve"> prawa zmieniłoby sytuację w jakimkolwiek istotnym aspekcie.”</w:t>
      </w:r>
    </w:p>
    <w:p w14:paraId="2AF6CE50" w14:textId="7DE390E0" w:rsidR="00B3070D" w:rsidRPr="00EE43AE" w:rsidRDefault="00FB401A" w:rsidP="00EE43AE">
      <w:pPr>
        <w:pStyle w:val="JuPara"/>
      </w:pPr>
      <w:r>
        <w:fldChar w:fldCharType="begin"/>
      </w:r>
      <w:r>
        <w:instrText xml:space="preserve"> SEQ </w:instrText>
      </w:r>
      <w:r>
        <w:instrText xml:space="preserve">level0 \*arabic </w:instrText>
      </w:r>
      <w:r>
        <w:fldChar w:fldCharType="separate"/>
      </w:r>
      <w:r w:rsidR="001D10DA">
        <w:rPr>
          <w:noProof/>
        </w:rPr>
        <w:t>45</w:t>
      </w:r>
      <w:r>
        <w:rPr>
          <w:noProof/>
        </w:rPr>
        <w:fldChar w:fldCharType="end"/>
      </w:r>
      <w:r w:rsidR="00426D77">
        <w:t xml:space="preserve">.  McKechnie J nie podzielił tego stanowiska. W kwestii obecności adwokata podczas przesłuchania najpierw odrzucił on argument skarżącego, że wymiar kontaktów skarżącego z jego adwokatem </w:t>
      </w:r>
      <w:r w:rsidR="002528C2">
        <w:t>w okresie zatrzymania</w:t>
      </w:r>
      <w:r w:rsidR="00426D77">
        <w:t xml:space="preserve"> nie </w:t>
      </w:r>
      <w:r w:rsidR="002528C2">
        <w:t xml:space="preserve">stanowił </w:t>
      </w:r>
      <w:r w:rsidR="00426D77">
        <w:t>rozsądn</w:t>
      </w:r>
      <w:r w:rsidR="002528C2">
        <w:t>ego</w:t>
      </w:r>
      <w:r w:rsidR="00426D77">
        <w:t xml:space="preserve"> dostęp</w:t>
      </w:r>
      <w:r w:rsidR="002528C2">
        <w:t>u</w:t>
      </w:r>
      <w:r w:rsidR="00426D77">
        <w:t xml:space="preserve">. W rzeczywistości chodziło o to, czy w </w:t>
      </w:r>
      <w:r w:rsidR="00426D77">
        <w:lastRenderedPageBreak/>
        <w:t>przypadku, gdy zapewniono rozsądny dostęp do porady prawnej, obecnoś</w:t>
      </w:r>
      <w:r w:rsidR="00CB6CCE">
        <w:t>ć</w:t>
      </w:r>
      <w:r w:rsidR="00426D77">
        <w:t xml:space="preserve"> adwokata </w:t>
      </w:r>
      <w:r w:rsidR="00CB6CCE">
        <w:t>podczas</w:t>
      </w:r>
      <w:r w:rsidR="00426D77">
        <w:t xml:space="preserve"> przesłuchania </w:t>
      </w:r>
      <w:r w:rsidR="00CB6CCE">
        <w:t xml:space="preserve">była prawem wynikającym </w:t>
      </w:r>
      <w:r w:rsidR="00426D77">
        <w:t xml:space="preserve">z ustawy, czy </w:t>
      </w:r>
      <w:r w:rsidR="00CB6CCE">
        <w:t>przyznanym w drodze</w:t>
      </w:r>
      <w:r w:rsidR="00426D77">
        <w:t xml:space="preserve"> ustępstwa. Odniósł się on do niedawnej zmiany praktyki policyjnej w tym zakresie i zauważył:</w:t>
      </w:r>
    </w:p>
    <w:p w14:paraId="59559227" w14:textId="5CD73812" w:rsidR="00B3070D" w:rsidRPr="00EE43AE" w:rsidRDefault="00B3070D" w:rsidP="00EE43AE">
      <w:pPr>
        <w:pStyle w:val="JuQuot"/>
      </w:pPr>
      <w:r>
        <w:t xml:space="preserve">„136.  Chociaż ta nowo </w:t>
      </w:r>
      <w:r w:rsidR="00CB6CCE">
        <w:t xml:space="preserve">ustanowiona </w:t>
      </w:r>
      <w:r>
        <w:t xml:space="preserve">praktyka nie jest ostateczna </w:t>
      </w:r>
      <w:r w:rsidR="00CB6CCE">
        <w:t>opiniach prawnych</w:t>
      </w:r>
      <w:r>
        <w:t xml:space="preserve"> dotycząc</w:t>
      </w:r>
      <w:r w:rsidR="00CA21F0">
        <w:t>ych</w:t>
      </w:r>
      <w:r>
        <w:t xml:space="preserve"> istnienia takiego prawa, niemniej </w:t>
      </w:r>
      <w:r w:rsidR="00CA21F0">
        <w:t xml:space="preserve">jednak opisane przeze mnie </w:t>
      </w:r>
      <w:r>
        <w:t>zmiany,  mają</w:t>
      </w:r>
      <w:r w:rsidR="00CA21F0">
        <w:t>ce zarówno</w:t>
      </w:r>
      <w:r>
        <w:t xml:space="preserve"> duży potencjał i wpływ, są </w:t>
      </w:r>
      <w:r w:rsidR="00CA21F0">
        <w:t xml:space="preserve">istotne </w:t>
      </w:r>
      <w:r>
        <w:t xml:space="preserve">i nie </w:t>
      </w:r>
      <w:r w:rsidR="00CA21F0">
        <w:t xml:space="preserve">powinny być </w:t>
      </w:r>
      <w:r>
        <w:t>lekceważ</w:t>
      </w:r>
      <w:r w:rsidR="00CA21F0">
        <w:t>one</w:t>
      </w:r>
      <w:r>
        <w:t>. Należy stawić czoła obecnemu stanowi rzeczy.”</w:t>
      </w:r>
    </w:p>
    <w:p w14:paraId="42D4B9C2" w14:textId="549EF813" w:rsidR="00B3070D" w:rsidRPr="00EE43AE" w:rsidRDefault="00FB401A" w:rsidP="00EE43AE">
      <w:pPr>
        <w:pStyle w:val="JuPara"/>
      </w:pPr>
      <w:r>
        <w:fldChar w:fldCharType="begin"/>
      </w:r>
      <w:r>
        <w:instrText xml:space="preserve"> SEQ level0 \*arabic </w:instrText>
      </w:r>
      <w:r>
        <w:fldChar w:fldCharType="separate"/>
      </w:r>
      <w:r w:rsidR="001D10DA">
        <w:rPr>
          <w:noProof/>
        </w:rPr>
        <w:t>46</w:t>
      </w:r>
      <w:r>
        <w:rPr>
          <w:noProof/>
        </w:rPr>
        <w:fldChar w:fldCharType="end"/>
      </w:r>
      <w:r w:rsidR="00426D77">
        <w:t xml:space="preserve">.  Przechodząc do orzecznictwa dotyczącego Konwencji, sędzia przeanalizował wyrok w sprawie </w:t>
      </w:r>
      <w:r w:rsidR="00426D77">
        <w:rPr>
          <w:i/>
        </w:rPr>
        <w:t>Salduz</w:t>
      </w:r>
      <w:r w:rsidR="00426D77">
        <w:t xml:space="preserve"> i uznał, że nie można z niego wprost wywieść uzasadnienia dla argumentacji skarżącego. Uznał on jednak, że wykładnia art. 6 przez Trybunał uległa od tego czasu zmianie</w:t>
      </w:r>
      <w:r w:rsidR="009058D6">
        <w:br/>
      </w:r>
      <w:r w:rsidR="00426D77">
        <w:t xml:space="preserve">i przytoczył następujące sprawy: </w:t>
      </w:r>
      <w:r w:rsidR="00426D77">
        <w:rPr>
          <w:i/>
        </w:rPr>
        <w:t>Dayanan przeciwko Turcji</w:t>
      </w:r>
      <w:r w:rsidR="00426D77">
        <w:t xml:space="preserve">, nr 7377/03, 13 października 2009 r.; </w:t>
      </w:r>
      <w:r w:rsidR="00426D77">
        <w:rPr>
          <w:i/>
        </w:rPr>
        <w:t>Navone i Inni przeciwko Monako</w:t>
      </w:r>
      <w:r w:rsidR="00426D77">
        <w:t xml:space="preserve">, nr 62880/11 i 2 inne, 24 października 2013 r.; </w:t>
      </w:r>
      <w:r w:rsidR="00426D77">
        <w:rPr>
          <w:i/>
        </w:rPr>
        <w:t>A.T. przeciwko Luksemburgowi</w:t>
      </w:r>
      <w:r w:rsidR="00426D77">
        <w:t xml:space="preserve">, nr 30460/13, 9 kwietnia 2015 r.; </w:t>
      </w:r>
      <w:r w:rsidR="00426D77">
        <w:rPr>
          <w:i/>
        </w:rPr>
        <w:t>Simons przeciwko Belgii</w:t>
      </w:r>
      <w:r w:rsidR="00426D77">
        <w:t xml:space="preserve"> (dec.), nr 71407/10, 28 sierpnia 2012 r. oraz </w:t>
      </w:r>
      <w:r w:rsidR="00426D77">
        <w:rPr>
          <w:i/>
        </w:rPr>
        <w:t>Brusco przeciwko Francji</w:t>
      </w:r>
      <w:r w:rsidR="00426D77">
        <w:t xml:space="preserve">, nr 1466/07, 14 października 2010 r. Przedstawiając główne </w:t>
      </w:r>
      <w:r w:rsidR="00206DD1">
        <w:t xml:space="preserve">tezy z </w:t>
      </w:r>
      <w:r w:rsidR="00426D77">
        <w:t>tego orzecznictwa, stwierdził:</w:t>
      </w:r>
    </w:p>
    <w:p w14:paraId="75E72E46" w14:textId="0F196736" w:rsidR="00B3070D" w:rsidRPr="00EE43AE" w:rsidRDefault="00B3070D" w:rsidP="00EE43AE">
      <w:pPr>
        <w:pStyle w:val="JuQuot"/>
      </w:pPr>
      <w:r>
        <w:t xml:space="preserve">„150.  […] Wydaje się jasne, że w wyrokach wprost była mowa o prawie podejrzanego do obecności adwokata podczas przesłuchania.  Zatem po pierwszej lekturze można by powiedzieć, że prawo to zostało już wyraźnie </w:t>
      </w:r>
      <w:r w:rsidR="00F474F7">
        <w:t>ustalone</w:t>
      </w:r>
      <w:r>
        <w:t>. Nie jest mi jednak znan</w:t>
      </w:r>
      <w:r w:rsidR="00F474F7">
        <w:t>e</w:t>
      </w:r>
      <w:r>
        <w:t xml:space="preserve"> żadne orzeczenie odzwierciedlające </w:t>
      </w:r>
      <w:r w:rsidR="00F474F7">
        <w:t xml:space="preserve">konkretne </w:t>
      </w:r>
      <w:r>
        <w:t xml:space="preserve">okoliczności faktyczne sprawy pana Doyle'a [...], w której </w:t>
      </w:r>
      <w:r w:rsidR="00F474F7">
        <w:t>s</w:t>
      </w:r>
      <w:r>
        <w:t>ąd definitywnie stwierdził istnienie takiego prawa.”</w:t>
      </w:r>
    </w:p>
    <w:p w14:paraId="40E73BB9" w14:textId="581C2F97" w:rsidR="00B3070D" w:rsidRPr="00EE43AE" w:rsidRDefault="00FB401A" w:rsidP="00EE43AE">
      <w:pPr>
        <w:pStyle w:val="JuPara"/>
      </w:pPr>
      <w:r>
        <w:fldChar w:fldCharType="begin"/>
      </w:r>
      <w:r>
        <w:instrText xml:space="preserve"> SEQ level0 \*arabic </w:instrText>
      </w:r>
      <w:r>
        <w:fldChar w:fldCharType="separate"/>
      </w:r>
      <w:r w:rsidR="001D10DA">
        <w:rPr>
          <w:noProof/>
        </w:rPr>
        <w:t>47</w:t>
      </w:r>
      <w:r>
        <w:rPr>
          <w:noProof/>
        </w:rPr>
        <w:fldChar w:fldCharType="end"/>
      </w:r>
      <w:r w:rsidR="00426D77">
        <w:t xml:space="preserve">.  W następnej kolejności powołał się na dyrektywę Parlamentu Europejskiego i Rady 2013/48/UE z dnia 22 października 2013 r. w sprawie </w:t>
      </w:r>
      <w:r w:rsidR="005B2ADC">
        <w:t xml:space="preserve">prawa </w:t>
      </w:r>
      <w:r w:rsidR="00426D77">
        <w:t>dostępu do adwokata w postępowaniu karnym i w postępowaniu dotyczącym europejskiego nakazu aresztowania oraz w sprawie prawa do poinformowania osoby trzeciej o pozbawieniu wolności i prawa do porozumiewania się z osobami trzecimi i organami konsularnymi w czasie pozbawienia</w:t>
      </w:r>
      <w:r w:rsidR="005B2ADC">
        <w:t xml:space="preserve"> </w:t>
      </w:r>
      <w:r w:rsidR="00426D77">
        <w:t>wolności</w:t>
      </w:r>
      <w:r w:rsidR="005B2ADC">
        <w:t xml:space="preserve"> </w:t>
      </w:r>
      <w:r w:rsidR="00426D77">
        <w:t>(Dz.U.</w:t>
      </w:r>
      <w:r w:rsidR="005B2ADC">
        <w:t xml:space="preserve"> </w:t>
      </w:r>
      <w:r w:rsidR="00426D77">
        <w:t>L</w:t>
      </w:r>
      <w:r w:rsidR="005B2ADC">
        <w:t xml:space="preserve"> </w:t>
      </w:r>
      <w:r w:rsidR="00426D77">
        <w:t>294</w:t>
      </w:r>
      <w:r w:rsidR="005B2ADC">
        <w:t xml:space="preserve"> </w:t>
      </w:r>
      <w:r w:rsidR="0036035E">
        <w:t>z</w:t>
      </w:r>
      <w:r w:rsidR="005B2ADC">
        <w:t xml:space="preserve"> </w:t>
      </w:r>
      <w:r w:rsidR="0036035E">
        <w:t>2013</w:t>
      </w:r>
      <w:r w:rsidR="005B2ADC">
        <w:t>r.</w:t>
      </w:r>
      <w:r w:rsidR="00426D77">
        <w:t>,</w:t>
      </w:r>
      <w:r w:rsidR="005B2ADC">
        <w:t xml:space="preserve"> </w:t>
      </w:r>
      <w:r w:rsidR="00426D77">
        <w:t>s.1–12).</w:t>
      </w:r>
      <w:r w:rsidR="005B2ADC">
        <w:t xml:space="preserve"> </w:t>
      </w:r>
      <w:r w:rsidR="00426D77">
        <w:t xml:space="preserve">W dyrektywie tej przewidziano prawo osób podejrzanych lub oskarżonych do obecności i </w:t>
      </w:r>
      <w:r w:rsidR="005B2ADC">
        <w:t xml:space="preserve">efektywnego </w:t>
      </w:r>
      <w:r w:rsidR="00426D77">
        <w:t>udziału adwokata podczas przesłuchania. Mimo</w:t>
      </w:r>
      <w:r w:rsidR="00352498">
        <w:t>,</w:t>
      </w:r>
      <w:r w:rsidR="00426D77">
        <w:t xml:space="preserve"> że dyrektywa nie miała zastosowania do Irlandii, to </w:t>
      </w:r>
      <w:r w:rsidR="006924B1">
        <w:t xml:space="preserve">„naświetliła </w:t>
      </w:r>
      <w:r w:rsidR="00426D77">
        <w:t>kierunek</w:t>
      </w:r>
      <w:r w:rsidR="006924B1">
        <w:t>” dla innych p</w:t>
      </w:r>
      <w:r w:rsidR="00426D77">
        <w:t>aństw</w:t>
      </w:r>
      <w:r w:rsidR="006924B1">
        <w:t xml:space="preserve"> </w:t>
      </w:r>
      <w:r w:rsidR="00426D77">
        <w:t>członkowski</w:t>
      </w:r>
      <w:r w:rsidR="006924B1">
        <w:t xml:space="preserve">ch </w:t>
      </w:r>
      <w:r w:rsidR="00426D77">
        <w:t>UE</w:t>
      </w:r>
      <w:r w:rsidR="006924B1">
        <w:t xml:space="preserve"> </w:t>
      </w:r>
      <w:r w:rsidR="00426D77">
        <w:t xml:space="preserve">i </w:t>
      </w:r>
      <w:r w:rsidR="006924B1">
        <w:t>„</w:t>
      </w:r>
      <w:r w:rsidR="00426D77">
        <w:t>dostarczyła dalszych dowodów dominując</w:t>
      </w:r>
      <w:r w:rsidR="006924B1">
        <w:t>ej</w:t>
      </w:r>
      <w:r w:rsidR="00426D77">
        <w:t xml:space="preserve"> tendencj</w:t>
      </w:r>
      <w:r w:rsidR="006924B1">
        <w:t>i</w:t>
      </w:r>
      <w:r w:rsidR="00426D77">
        <w:t xml:space="preserve"> wśród pozostałych członków Unii</w:t>
      </w:r>
      <w:r w:rsidR="006924B1">
        <w:t>”</w:t>
      </w:r>
      <w:r w:rsidR="00426D77">
        <w:t>. Ponadto dyrektywa ta została przywołana</w:t>
      </w:r>
      <w:r w:rsidR="006924B1">
        <w:t xml:space="preserve"> </w:t>
      </w:r>
      <w:r w:rsidR="00426D77">
        <w:t xml:space="preserve">w sprawie </w:t>
      </w:r>
      <w:r w:rsidR="00426D77">
        <w:rPr>
          <w:i/>
        </w:rPr>
        <w:t>A.T. przeciwko Luksemburgowi</w:t>
      </w:r>
      <w:r w:rsidR="00426D77">
        <w:t xml:space="preserve"> (</w:t>
      </w:r>
      <w:r w:rsidR="006924B1">
        <w:t>cyt. pow.</w:t>
      </w:r>
      <w:r w:rsidR="00426D77">
        <w:t xml:space="preserve">). </w:t>
      </w:r>
      <w:r w:rsidR="006924B1">
        <w:t>Dodatkowo</w:t>
      </w:r>
      <w:r w:rsidR="00135CD0">
        <w:t xml:space="preserve"> </w:t>
      </w:r>
      <w:r w:rsidR="00426D77">
        <w:t>zwrócił uwagę na stanowisko Komitetu do Spraw Zapobiegania Torturom, który uznał, że prawo dostępu do adwokata powinno obejmować prawo do pomocy prawnej podczas przesłuchania (CPT/Inf (2011) 28, § 24). Następnie podsumował sytuację w różnych jurysdykcjach Zjednoczonego Królestwa zauważając, że w każdej z nich przewidziano obecność adwokatów podczas przesłuchania. W świetle tych wszystkich materiałów dostrzegł „znaczącą zmianę w uznaniu tego prawa w innych różnorodnych systemach prawnych”:</w:t>
      </w:r>
    </w:p>
    <w:p w14:paraId="01EB11A3" w14:textId="1BAF555F" w:rsidR="00B3070D" w:rsidRPr="00EE43AE" w:rsidRDefault="00B3070D" w:rsidP="00EE43AE">
      <w:pPr>
        <w:pStyle w:val="JuQuot"/>
      </w:pPr>
      <w:r>
        <w:lastRenderedPageBreak/>
        <w:t>„167.  […] Uważam, że w sumie w świetle dotychczas</w:t>
      </w:r>
      <w:r w:rsidR="00293B7A">
        <w:t>owego</w:t>
      </w:r>
      <w:r>
        <w:t xml:space="preserve"> orzecznictwa ETPC</w:t>
      </w:r>
      <w:r w:rsidR="00293B7A">
        <w:t>,</w:t>
      </w:r>
      <w:r>
        <w:t xml:space="preserve"> Konwencja </w:t>
      </w:r>
      <w:r w:rsidR="00293B7A">
        <w:t xml:space="preserve">faktycznie </w:t>
      </w:r>
      <w:r>
        <w:t xml:space="preserve">wymaga obecności adwokata podczas przesłuchania. </w:t>
      </w:r>
      <w:r w:rsidR="00293B7A">
        <w:t>W</w:t>
      </w:r>
      <w:r>
        <w:t>szystki</w:t>
      </w:r>
      <w:r w:rsidR="00293B7A">
        <w:t>e</w:t>
      </w:r>
      <w:r>
        <w:t xml:space="preserve"> wyrok</w:t>
      </w:r>
      <w:r w:rsidR="00293B7A">
        <w:t>i</w:t>
      </w:r>
      <w:r>
        <w:t xml:space="preserve"> [wspomnian</w:t>
      </w:r>
      <w:r w:rsidR="00293B7A">
        <w:t>e</w:t>
      </w:r>
      <w:r>
        <w:t xml:space="preserve"> powyżej] i wiel</w:t>
      </w:r>
      <w:r w:rsidR="00293B7A">
        <w:t>e</w:t>
      </w:r>
      <w:r>
        <w:t xml:space="preserve"> innych </w:t>
      </w:r>
      <w:r w:rsidR="00293B7A">
        <w:t>wyraźnie odwołują się</w:t>
      </w:r>
      <w:r>
        <w:t xml:space="preserve"> </w:t>
      </w:r>
      <w:r w:rsidR="00293B7A">
        <w:t xml:space="preserve">do </w:t>
      </w:r>
      <w:r>
        <w:t>istnieni</w:t>
      </w:r>
      <w:r w:rsidR="00293B7A">
        <w:t>a</w:t>
      </w:r>
      <w:r>
        <w:t xml:space="preserve"> takiego prawa w sposób jasny i celowy. Z</w:t>
      </w:r>
      <w:r w:rsidR="00293B7A">
        <w:t>astrzegając</w:t>
      </w:r>
      <w:r>
        <w:t>, że stanowisko to nie zostało sformułowane w sposób ostateczny, uważam, że jeśli utrzyma się utrwalon</w:t>
      </w:r>
      <w:r w:rsidR="000A6B96">
        <w:t>y</w:t>
      </w:r>
      <w:r>
        <w:t xml:space="preserve"> i obecn</w:t>
      </w:r>
      <w:r w:rsidR="000A6B96">
        <w:t>y trend</w:t>
      </w:r>
      <w:r>
        <w:t xml:space="preserve"> w zakresie dostępności ochrony prawnej, to bardziej prawdopodobne jest, że wynik każdej sprawy, w której dokładnie ta kwestia była przedmiotem sporu, potwierdzi wniosek, do którego doszedłem. Oczywiście przewidywania te mogą być błędne, ale nawet jeśli, to istniejący stan orzecznictwa jest na tyle silny w tym względzie, że sam w sobie</w:t>
      </w:r>
      <w:r w:rsidR="008532EE">
        <w:t xml:space="preserve"> silnie</w:t>
      </w:r>
      <w:r>
        <w:t xml:space="preserve"> przemawia za ustanowieniem tego prawa. [...]”</w:t>
      </w:r>
    </w:p>
    <w:p w14:paraId="32103D22" w14:textId="4B3902FE" w:rsidR="00B3070D" w:rsidRPr="00EE43AE" w:rsidRDefault="00FB401A" w:rsidP="00EE43AE">
      <w:pPr>
        <w:pStyle w:val="JuPara"/>
      </w:pPr>
      <w:r>
        <w:fldChar w:fldCharType="begin"/>
      </w:r>
      <w:r>
        <w:instrText xml:space="preserve"> SEQ level0 \*arabic </w:instrText>
      </w:r>
      <w:r>
        <w:fldChar w:fldCharType="separate"/>
      </w:r>
      <w:r w:rsidR="001D10DA">
        <w:rPr>
          <w:noProof/>
        </w:rPr>
        <w:t>48</w:t>
      </w:r>
      <w:r>
        <w:rPr>
          <w:noProof/>
        </w:rPr>
        <w:fldChar w:fldCharType="end"/>
      </w:r>
      <w:r w:rsidR="00426D77">
        <w:t xml:space="preserve">.  Następnie przedstawił szereg argumentów </w:t>
      </w:r>
      <w:r w:rsidR="008532EE">
        <w:t>na poparcie</w:t>
      </w:r>
      <w:r w:rsidR="00426D77">
        <w:t xml:space="preserve"> konstytucyjnego </w:t>
      </w:r>
      <w:r w:rsidR="008532EE">
        <w:t xml:space="preserve">statusu </w:t>
      </w:r>
      <w:r w:rsidR="00426D77">
        <w:t>praw</w:t>
      </w:r>
      <w:r w:rsidR="008532EE">
        <w:t>a</w:t>
      </w:r>
      <w:r w:rsidR="00426D77">
        <w:t xml:space="preserve"> do obecności adwokata podczas przesłuchania: znaczny okres </w:t>
      </w:r>
      <w:r w:rsidR="008532EE">
        <w:t>pozbawienia wolności dopuszczalny prawnie</w:t>
      </w:r>
      <w:r w:rsidR="00426D77">
        <w:t xml:space="preserve">, pozwalający na wielokrotne przesłuchania w ciągu dnia przez </w:t>
      </w:r>
      <w:r w:rsidR="008154AC">
        <w:t xml:space="preserve">szereg </w:t>
      </w:r>
      <w:r w:rsidR="00426D77">
        <w:t xml:space="preserve">dni; poczucie </w:t>
      </w:r>
      <w:r w:rsidR="008154AC">
        <w:t xml:space="preserve">zniechęcenia i </w:t>
      </w:r>
      <w:r w:rsidR="00426D77">
        <w:t>przerażenia, jaki</w:t>
      </w:r>
      <w:r w:rsidR="008154AC">
        <w:t>m</w:t>
      </w:r>
      <w:r w:rsidR="00426D77">
        <w:t xml:space="preserve"> </w:t>
      </w:r>
      <w:r w:rsidR="008154AC">
        <w:t>pozbawienie wolności</w:t>
      </w:r>
      <w:r w:rsidR="00426D77">
        <w:t xml:space="preserve"> może </w:t>
      </w:r>
      <w:r w:rsidR="008154AC">
        <w:t xml:space="preserve">skutkować </w:t>
      </w:r>
      <w:r w:rsidR="00426D77">
        <w:t>u wielu osób; nawet jeśli oskarżony jest notorycznym przestępcą, znaczenie zachowania również jego praw; rosnąca złożoność prawa karnego; ograniczenia kontroli sądowej, która raczej zakazuje aniżeli zapobiega nadużyciom. Nie uznał on, że istniejące zabezpieczenia były wystarczające do przezwyciężenia nierówności w pokoju przesłuchań. Chociaż nagrywanie przesłuchań umożliwiało sądową kontrolę działań policji, to</w:t>
      </w:r>
    </w:p>
    <w:p w14:paraId="34060D8F" w14:textId="77777777" w:rsidR="00B3070D" w:rsidRPr="00EE43AE" w:rsidRDefault="00B3070D" w:rsidP="00EE43AE">
      <w:pPr>
        <w:pStyle w:val="JuQuot"/>
      </w:pPr>
      <w:r>
        <w:t xml:space="preserve">„nie był on przekonany, czy ta kontrola </w:t>
      </w:r>
      <w:r w:rsidR="00D74EF7" w:rsidRPr="00D74EF7">
        <w:rPr>
          <w:i/>
        </w:rPr>
        <w:t>ex post facto</w:t>
      </w:r>
      <w:r>
        <w:t xml:space="preserve"> jest odpowiednią alternatywą dla obecności adwokata podczas samego przesłuchania.”</w:t>
      </w:r>
    </w:p>
    <w:p w14:paraId="6742E703" w14:textId="77777777" w:rsidR="00B3070D" w:rsidRPr="00EE43AE" w:rsidRDefault="00B3070D" w:rsidP="00EE43AE">
      <w:pPr>
        <w:pStyle w:val="JuHIRoman"/>
      </w:pPr>
      <w:r>
        <w:t>WŁAŚCIWE PRAWO KRAJOWE I PRAKTYKA</w:t>
      </w:r>
    </w:p>
    <w:p w14:paraId="0CA5438C" w14:textId="77777777" w:rsidR="00B3070D" w:rsidRPr="00EE43AE" w:rsidRDefault="00B3070D" w:rsidP="00EE43AE">
      <w:pPr>
        <w:pStyle w:val="JuHA"/>
      </w:pPr>
      <w:r>
        <w:t>Konstytucja Irlandii (Bunreacht na hÉireann)</w:t>
      </w:r>
    </w:p>
    <w:p w14:paraId="3B1D0317" w14:textId="3BD424FF" w:rsidR="00B3070D" w:rsidRPr="00EE43AE" w:rsidRDefault="00FB401A" w:rsidP="00EE43AE">
      <w:pPr>
        <w:pStyle w:val="JuPara"/>
      </w:pPr>
      <w:r>
        <w:fldChar w:fldCharType="begin"/>
      </w:r>
      <w:r>
        <w:instrText xml:space="preserve"> SEQ level0 \*arabic </w:instrText>
      </w:r>
      <w:r>
        <w:fldChar w:fldCharType="separate"/>
      </w:r>
      <w:r w:rsidR="001D10DA">
        <w:rPr>
          <w:noProof/>
        </w:rPr>
        <w:t>49</w:t>
      </w:r>
      <w:r>
        <w:rPr>
          <w:noProof/>
        </w:rPr>
        <w:fldChar w:fldCharType="end"/>
      </w:r>
      <w:r w:rsidR="00426D77">
        <w:t>.  Artykuł 38 ust.</w:t>
      </w:r>
      <w:r w:rsidR="00957264">
        <w:t xml:space="preserve"> </w:t>
      </w:r>
      <w:r w:rsidR="00426D77">
        <w:t>1 Konstytucji ustanawia zasadę rzetelności procesu karnego: „</w:t>
      </w:r>
      <w:r w:rsidR="00510768">
        <w:t>Żadna osoba nie może być sądzona pod jakimkolwiek zarzutem karnym bez zachowania należytej procedury prawnej</w:t>
      </w:r>
      <w:r w:rsidR="00426D77">
        <w:t>”.</w:t>
      </w:r>
    </w:p>
    <w:p w14:paraId="630C49CB" w14:textId="77777777" w:rsidR="00B3070D" w:rsidRPr="00EE43AE" w:rsidRDefault="00B3070D" w:rsidP="00EE43AE">
      <w:pPr>
        <w:pStyle w:val="JuHA"/>
      </w:pPr>
      <w:r>
        <w:t>Orzecznictwo</w:t>
      </w:r>
    </w:p>
    <w:p w14:paraId="6977D2AD" w14:textId="77777777" w:rsidR="00B3070D" w:rsidRPr="00EE43AE" w:rsidRDefault="00FB401A" w:rsidP="00EE43AE">
      <w:pPr>
        <w:pStyle w:val="JuPara"/>
      </w:pPr>
      <w:r>
        <w:fldChar w:fldCharType="begin"/>
      </w:r>
      <w:r>
        <w:instrText xml:space="preserve"> SEQ level0 \*arabic </w:instrText>
      </w:r>
      <w:r>
        <w:fldChar w:fldCharType="separate"/>
      </w:r>
      <w:r w:rsidR="001D10DA">
        <w:rPr>
          <w:noProof/>
        </w:rPr>
        <w:t>50</w:t>
      </w:r>
      <w:r>
        <w:rPr>
          <w:noProof/>
        </w:rPr>
        <w:fldChar w:fldCharType="end"/>
      </w:r>
      <w:r w:rsidR="00426D77">
        <w:t xml:space="preserve">.  Prawo dostępu do adwokata, na wniosek złożony przez zatrzymanego lub w jego imieniu, zostało uznane za prawo konstytucyjne przez Finlay C.J. w sprawie </w:t>
      </w:r>
      <w:r w:rsidR="00426D77">
        <w:rPr>
          <w:i/>
        </w:rPr>
        <w:t>The People (DPP) p</w:t>
      </w:r>
      <w:r w:rsidR="00EB51E3">
        <w:rPr>
          <w:i/>
        </w:rPr>
        <w:t>rzeciw</w:t>
      </w:r>
      <w:r w:rsidR="00426D77">
        <w:rPr>
          <w:i/>
        </w:rPr>
        <w:t>ko Healy</w:t>
      </w:r>
      <w:r w:rsidR="00426D77">
        <w:t xml:space="preserve"> [1990] 2 I.R. 73, w której stwierdzono:</w:t>
      </w:r>
    </w:p>
    <w:p w14:paraId="34DA2033" w14:textId="30600B9E" w:rsidR="00B3070D" w:rsidRPr="00EE43AE" w:rsidRDefault="00B3070D" w:rsidP="00EE43AE">
      <w:pPr>
        <w:pStyle w:val="JuQuot"/>
      </w:pPr>
      <w:r>
        <w:t xml:space="preserve">„Niewątpliwe prawo do rozsądnego dostępu do adwokata, które przysługuje zatrzymanemu, należy </w:t>
      </w:r>
      <w:r w:rsidR="00957264">
        <w:t xml:space="preserve"> interpretować jako</w:t>
      </w:r>
      <w:r>
        <w:t xml:space="preserve"> prawo, które zasadniczo ma gwarantować, że zatrzymany jest świadomy swoich praw i uzyskał niezależną poradę</w:t>
      </w:r>
      <w:r w:rsidR="00957264">
        <w:t>,</w:t>
      </w:r>
      <w:r>
        <w:t xml:space="preserve"> odpowiednią do tego, by mógł podjąć samodzielną decyzję co do </w:t>
      </w:r>
      <w:r w:rsidR="003D6AAF">
        <w:t>jego podejścia do</w:t>
      </w:r>
      <w:r>
        <w:t xml:space="preserve"> przesłuchania lub złożenia jakichkolwiek wyjaśnień, czy to </w:t>
      </w:r>
      <w:r w:rsidR="003D6AAF">
        <w:t xml:space="preserve">oczyszczających </w:t>
      </w:r>
      <w:r>
        <w:t xml:space="preserve">czy obciążających. W mojej opinii </w:t>
      </w:r>
      <w:r w:rsidR="003D6AAF">
        <w:t xml:space="preserve">dostępność porady adwokata </w:t>
      </w:r>
      <w:r>
        <w:t xml:space="preserve">należy </w:t>
      </w:r>
      <w:r w:rsidR="003D6AAF">
        <w:t>postrzegać przynajmniej jako</w:t>
      </w:r>
      <w:r>
        <w:t xml:space="preserve"> </w:t>
      </w:r>
      <w:r w:rsidR="00D43D8A">
        <w:t>przyczynek</w:t>
      </w:r>
      <w:r>
        <w:t xml:space="preserve"> do </w:t>
      </w:r>
      <w:r w:rsidR="00D43D8A">
        <w:t xml:space="preserve">osiągnięcia </w:t>
      </w:r>
      <w:r>
        <w:t>pewne</w:t>
      </w:r>
      <w:r w:rsidR="00D43D8A">
        <w:t>go stopnia</w:t>
      </w:r>
      <w:r>
        <w:t xml:space="preserve"> równości w sytuacji zatrzymanego i przesłuchujących go osób. </w:t>
      </w:r>
      <w:r w:rsidR="00D43D8A">
        <w:t>Patrząc w tym świetle</w:t>
      </w:r>
      <w:r>
        <w:t xml:space="preserve"> dochodzę do wniosku, że tak ważny i podstawowy standard rzetelności w wymiarze sprawiedliwości, jakim jest prawo </w:t>
      </w:r>
      <w:r>
        <w:lastRenderedPageBreak/>
        <w:t xml:space="preserve">dostępu do adwokata, należy uznać </w:t>
      </w:r>
      <w:r w:rsidR="00C66174">
        <w:t>mający swoje źródło w Konstytucji</w:t>
      </w:r>
      <w:r>
        <w:t xml:space="preserve">, a </w:t>
      </w:r>
      <w:r w:rsidR="00C66174">
        <w:t>kwalifikowanie go</w:t>
      </w:r>
      <w:r>
        <w:t xml:space="preserve"> </w:t>
      </w:r>
      <w:r w:rsidR="00C66174">
        <w:t>jako wynikające</w:t>
      </w:r>
      <w:r>
        <w:t xml:space="preserve"> jedynie z ustawy </w:t>
      </w:r>
      <w:r w:rsidR="00C66174">
        <w:t>podważałoby</w:t>
      </w:r>
      <w:r>
        <w:t xml:space="preserve"> jego znaczeni</w:t>
      </w:r>
      <w:r w:rsidR="00C66174">
        <w:t>e</w:t>
      </w:r>
      <w:r>
        <w:t xml:space="preserve"> i kompletnoś</w:t>
      </w:r>
      <w:r w:rsidR="00C66174">
        <w:t>ć</w:t>
      </w:r>
      <w:r>
        <w:t xml:space="preserve"> ochrony, jaką sądy są zobowiązane zapewnić.”</w:t>
      </w:r>
    </w:p>
    <w:p w14:paraId="2F1206D7" w14:textId="46871C8A" w:rsidR="00B3070D" w:rsidRPr="00EE43AE" w:rsidRDefault="00FB401A" w:rsidP="00EE43AE">
      <w:pPr>
        <w:pStyle w:val="JuPara"/>
      </w:pPr>
      <w:r>
        <w:fldChar w:fldCharType="begin"/>
      </w:r>
      <w:r>
        <w:instrText xml:space="preserve"> SEQ level0 \*arabic </w:instrText>
      </w:r>
      <w:r>
        <w:fldChar w:fldCharType="separate"/>
      </w:r>
      <w:r w:rsidR="001D10DA">
        <w:rPr>
          <w:noProof/>
        </w:rPr>
        <w:t>51</w:t>
      </w:r>
      <w:r>
        <w:rPr>
          <w:noProof/>
        </w:rPr>
        <w:fldChar w:fldCharType="end"/>
      </w:r>
      <w:r w:rsidR="00426D77">
        <w:t xml:space="preserve">.  W sprawie </w:t>
      </w:r>
      <w:r w:rsidR="00426D77">
        <w:rPr>
          <w:i/>
        </w:rPr>
        <w:t>The People (DPP) przeciwko Pringle</w:t>
      </w:r>
      <w:r w:rsidR="00426D77">
        <w:t xml:space="preserve"> (1981) 2 Frewen 57, O'Higgins CJ orzekł, że </w:t>
      </w:r>
      <w:r w:rsidR="00D4539A">
        <w:t>wobec</w:t>
      </w:r>
      <w:r w:rsidR="00426D77">
        <w:t xml:space="preserve"> braku wyraźne</w:t>
      </w:r>
      <w:r w:rsidR="00D40D96">
        <w:t>go</w:t>
      </w:r>
      <w:r w:rsidR="00426D77">
        <w:t xml:space="preserve"> </w:t>
      </w:r>
      <w:r w:rsidR="00D40D96">
        <w:t xml:space="preserve">zabezpieczenia </w:t>
      </w:r>
      <w:r w:rsidR="00426D77">
        <w:t>przeciwko samooskarżaniu w Konstytucji Irlandii nie można wywodzić prawa do obecności adwokata podczas przesłuchania.</w:t>
      </w:r>
    </w:p>
    <w:p w14:paraId="619D366D" w14:textId="485EA3CA" w:rsidR="00B3070D" w:rsidRPr="00EE43AE" w:rsidRDefault="00FB401A" w:rsidP="00EE43AE">
      <w:pPr>
        <w:pStyle w:val="JuPara"/>
      </w:pPr>
      <w:r>
        <w:fldChar w:fldCharType="begin"/>
      </w:r>
      <w:r>
        <w:instrText xml:space="preserve"> SEQ level0 \*arabic </w:instrText>
      </w:r>
      <w:r>
        <w:fldChar w:fldCharType="separate"/>
      </w:r>
      <w:r w:rsidR="001D10DA">
        <w:rPr>
          <w:noProof/>
        </w:rPr>
        <w:t>52</w:t>
      </w:r>
      <w:r>
        <w:rPr>
          <w:noProof/>
        </w:rPr>
        <w:fldChar w:fldCharType="end"/>
      </w:r>
      <w:r w:rsidR="00426D77">
        <w:t xml:space="preserve">.  W sprawie </w:t>
      </w:r>
      <w:r w:rsidR="00426D77">
        <w:rPr>
          <w:i/>
        </w:rPr>
        <w:t>Lavery przeciwko Member in Ch</w:t>
      </w:r>
      <w:r w:rsidR="00D74EF7" w:rsidRPr="00D74EF7">
        <w:rPr>
          <w:i/>
        </w:rPr>
        <w:t>arge</w:t>
      </w:r>
      <w:r w:rsidR="00426D77">
        <w:t xml:space="preserve">, </w:t>
      </w:r>
      <w:r w:rsidR="00426D77">
        <w:rPr>
          <w:i/>
        </w:rPr>
        <w:t>Carrickmacross Garda Station</w:t>
      </w:r>
      <w:r w:rsidR="00426D77">
        <w:t xml:space="preserve"> (</w:t>
      </w:r>
      <w:r w:rsidR="00D4539A" w:rsidRPr="00FB401A">
        <w:t>cyt. pow</w:t>
      </w:r>
      <w:r w:rsidR="00426D77">
        <w:t>., zob. paragraf 38), O’Flaherty J. potwierdził to stanowisko:</w:t>
      </w:r>
    </w:p>
    <w:p w14:paraId="673DE902" w14:textId="6541C962" w:rsidR="00B3070D" w:rsidRPr="00EE43AE" w:rsidRDefault="00B3070D" w:rsidP="00EE43AE">
      <w:pPr>
        <w:pStyle w:val="JuQuot"/>
      </w:pPr>
      <w:r>
        <w:t xml:space="preserve">„Prokurator wskazał </w:t>
      </w:r>
      <w:r w:rsidR="00D4539A">
        <w:t>przed Sądem Najwyższym</w:t>
      </w:r>
      <w:r>
        <w:t xml:space="preserve">, że [adwokat] </w:t>
      </w:r>
      <w:r w:rsidR="00D4539A">
        <w:t>w rzeczywistości domagał się</w:t>
      </w:r>
      <w:r>
        <w:t xml:space="preserve"> tego, aby [policja] regularnie </w:t>
      </w:r>
      <w:r w:rsidR="00D4465E">
        <w:t xml:space="preserve">przekazywała mu aktualne </w:t>
      </w:r>
      <w:r>
        <w:t>inform</w:t>
      </w:r>
      <w:r w:rsidR="00D4465E">
        <w:t>acje</w:t>
      </w:r>
      <w:r>
        <w:t xml:space="preserve"> i na bieżąco</w:t>
      </w:r>
      <w:r w:rsidR="00D4465E">
        <w:t xml:space="preserve"> </w:t>
      </w:r>
      <w:r>
        <w:t xml:space="preserve">przekazywała </w:t>
      </w:r>
      <w:r w:rsidR="00D4465E">
        <w:t>sprawozdania o toku</w:t>
      </w:r>
      <w:r>
        <w:t xml:space="preserve"> postępowani</w:t>
      </w:r>
      <w:r w:rsidR="00D33ACD">
        <w:t>a</w:t>
      </w:r>
      <w:r>
        <w:t xml:space="preserve"> przygotowawcz</w:t>
      </w:r>
      <w:r w:rsidR="00D33ACD">
        <w:t>ego i że było to</w:t>
      </w:r>
      <w:r>
        <w:t xml:space="preserve"> zbyt daleko posuniętym działaniem. Zgadzam się. </w:t>
      </w:r>
      <w:r w:rsidR="00D33ACD">
        <w:t>Ani a</w:t>
      </w:r>
      <w:r>
        <w:t xml:space="preserve">dwokat </w:t>
      </w:r>
      <w:r w:rsidR="00D33ACD">
        <w:t xml:space="preserve">ani skarżący </w:t>
      </w:r>
      <w:r>
        <w:t xml:space="preserve">nie </w:t>
      </w:r>
      <w:r w:rsidR="00D33ACD">
        <w:t xml:space="preserve">jest uprawniony do bycia </w:t>
      </w:r>
      <w:r>
        <w:t>obecny</w:t>
      </w:r>
      <w:r w:rsidR="00D33ACD">
        <w:t>m</w:t>
      </w:r>
      <w:r>
        <w:t xml:space="preserve"> podczas przesłuchań. Oskarżony </w:t>
      </w:r>
      <w:r w:rsidR="00161B31">
        <w:t xml:space="preserve">ani </w:t>
      </w:r>
      <w:r>
        <w:t xml:space="preserve">jego adwokat nie mają </w:t>
      </w:r>
      <w:r w:rsidR="00161B31">
        <w:t xml:space="preserve">również </w:t>
      </w:r>
      <w:r>
        <w:t xml:space="preserve">możliwości określenia </w:t>
      </w:r>
      <w:r w:rsidR="00161B31">
        <w:t xml:space="preserve">sposobu </w:t>
      </w:r>
      <w:r>
        <w:t>ani miejsca prowadzenia przesłuchania.”</w:t>
      </w:r>
      <w:r w:rsidR="00161B31" w:rsidRPr="00161B31">
        <w:t xml:space="preserve"> </w:t>
      </w:r>
    </w:p>
    <w:p w14:paraId="4D20E3C4" w14:textId="18E138C7" w:rsidR="00B3070D" w:rsidRPr="00EE43AE" w:rsidRDefault="00FB401A" w:rsidP="00EE43AE">
      <w:pPr>
        <w:pStyle w:val="JuPara"/>
      </w:pPr>
      <w:r>
        <w:fldChar w:fldCharType="begin"/>
      </w:r>
      <w:r>
        <w:instrText xml:space="preserve"> SEQ level0 \*arabic </w:instrText>
      </w:r>
      <w:r>
        <w:fldChar w:fldCharType="separate"/>
      </w:r>
      <w:r w:rsidR="001D10DA">
        <w:rPr>
          <w:noProof/>
        </w:rPr>
        <w:t>53</w:t>
      </w:r>
      <w:r>
        <w:rPr>
          <w:noProof/>
        </w:rPr>
        <w:fldChar w:fldCharType="end"/>
      </w:r>
      <w:r w:rsidR="00426D77">
        <w:t xml:space="preserve">.  Zasadniczą kwestią w sprawach </w:t>
      </w:r>
      <w:r w:rsidR="00426D77">
        <w:rPr>
          <w:i/>
        </w:rPr>
        <w:t xml:space="preserve">DPP przeciwko Gormley </w:t>
      </w:r>
      <w:r w:rsidR="00426D77">
        <w:t>oraz</w:t>
      </w:r>
      <w:r w:rsidR="00426D77">
        <w:rPr>
          <w:i/>
        </w:rPr>
        <w:t xml:space="preserve"> DPP przeciwko White</w:t>
      </w:r>
      <w:r w:rsidR="00426D77">
        <w:t xml:space="preserve"> (</w:t>
      </w:r>
      <w:r w:rsidR="00161B31">
        <w:t>cyt. pow.</w:t>
      </w:r>
      <w:r w:rsidR="00426D77">
        <w:t>, zob. paragraf 33), do której Sąd Najwyższy wielokrotnie odwoływał się w niniejszej sprawie, było, zdaniem Clarke J:</w:t>
      </w:r>
    </w:p>
    <w:p w14:paraId="01CEC194" w14:textId="26E5AAA7" w:rsidR="00B3070D" w:rsidRPr="00EE43AE" w:rsidRDefault="00B3070D" w:rsidP="00EE43AE">
      <w:pPr>
        <w:pStyle w:val="JuQuot"/>
        <w:rPr>
          <w:rFonts w:cstheme="minorHAnsi"/>
        </w:rPr>
      </w:pPr>
      <w:r>
        <w:t>„8.1.  [...] czy zagwarantowane w art. 38 ust. 1 [</w:t>
      </w:r>
      <w:r w:rsidR="00161B31">
        <w:t>K</w:t>
      </w:r>
      <w:r>
        <w:t xml:space="preserve">onstytucji </w:t>
      </w:r>
      <w:r w:rsidR="00161B31">
        <w:t>I</w:t>
      </w:r>
      <w:r>
        <w:t>rland</w:t>
      </w:r>
      <w:r w:rsidR="00161B31">
        <w:t>ii</w:t>
      </w:r>
      <w:r>
        <w:t xml:space="preserve">] prawo do procesu prowadzonego </w:t>
      </w:r>
      <w:r w:rsidR="00473601">
        <w:t>z zachowaniem</w:t>
      </w:r>
      <w:r>
        <w:t xml:space="preserve"> </w:t>
      </w:r>
      <w:r w:rsidR="00473601">
        <w:t xml:space="preserve">należytej procedury prawnej </w:t>
      </w:r>
      <w:r>
        <w:t xml:space="preserve">obejmuje prawo do dostępu do porady prawnej przed przeprowadzeniem jakiegokolwiek przesłuchania zatrzymanego </w:t>
      </w:r>
      <w:r w:rsidR="00161B31">
        <w:t xml:space="preserve">podejrzanego </w:t>
      </w:r>
      <w:r>
        <w:t xml:space="preserve">[...]. Jeżeli teza ta zostanie przyjęta na poziomie zasady ogólnej, to oczywiście pojawi się wiele innych szczegółowych pytań. </w:t>
      </w:r>
      <w:r>
        <w:rPr>
          <w:i/>
        </w:rPr>
        <w:t>Pytania takie jak [...] zakres, w jakim adwokat ma prawo być obecny podczas przesłuc</w:t>
      </w:r>
      <w:r>
        <w:rPr>
          <w:i/>
          <w:iCs/>
        </w:rPr>
        <w:t>hania</w:t>
      </w:r>
      <w:r>
        <w:t>, jak również prawo do doradzania podejrzanemu przed przesłuchaniem</w:t>
      </w:r>
      <w:r w:rsidR="001D10DA">
        <w:t xml:space="preserve"> [</w:t>
      </w:r>
      <w:r>
        <w:t>...</w:t>
      </w:r>
      <w:r w:rsidR="001D10DA">
        <w:t>]</w:t>
      </w:r>
      <w:r>
        <w:t xml:space="preserve">. </w:t>
      </w:r>
      <w:r w:rsidR="00863BAC">
        <w:rPr>
          <w:i/>
        </w:rPr>
        <w:t>W</w:t>
      </w:r>
      <w:r>
        <w:rPr>
          <w:i/>
        </w:rPr>
        <w:t xml:space="preserve">szystkie te kwestie nie występują </w:t>
      </w:r>
      <w:r w:rsidR="00863BAC">
        <w:rPr>
          <w:i/>
        </w:rPr>
        <w:t xml:space="preserve">bynajmniej </w:t>
      </w:r>
      <w:r>
        <w:rPr>
          <w:i/>
        </w:rPr>
        <w:t xml:space="preserve">w stanie faktycznym </w:t>
      </w:r>
      <w:r w:rsidR="00863BAC">
        <w:rPr>
          <w:i/>
        </w:rPr>
        <w:t xml:space="preserve">tych </w:t>
      </w:r>
      <w:r>
        <w:rPr>
          <w:i/>
        </w:rPr>
        <w:t>spraw.</w:t>
      </w:r>
      <w:r>
        <w:t>” [</w:t>
      </w:r>
      <w:r w:rsidR="00863BAC">
        <w:t>Podkreślenie własne</w:t>
      </w:r>
      <w:r>
        <w:t>]</w:t>
      </w:r>
    </w:p>
    <w:p w14:paraId="73E50967" w14:textId="77777777" w:rsidR="00B3070D" w:rsidRPr="00EE43AE" w:rsidRDefault="00FB401A" w:rsidP="00EE43AE">
      <w:pPr>
        <w:pStyle w:val="JuPara"/>
      </w:pPr>
      <w:r>
        <w:fldChar w:fldCharType="begin"/>
      </w:r>
      <w:r>
        <w:instrText xml:space="preserve"> SEQ level0 \*arabic </w:instrText>
      </w:r>
      <w:r>
        <w:fldChar w:fldCharType="separate"/>
      </w:r>
      <w:r w:rsidR="001D10DA">
        <w:rPr>
          <w:noProof/>
        </w:rPr>
        <w:t>54</w:t>
      </w:r>
      <w:r>
        <w:rPr>
          <w:noProof/>
        </w:rPr>
        <w:fldChar w:fldCharType="end"/>
      </w:r>
      <w:r w:rsidR="00426D77">
        <w:t>.  W odniesieniu do głównego pytania postawionego w sprawie Gormley Clarke J. stwierdził:</w:t>
      </w:r>
    </w:p>
    <w:p w14:paraId="34A6AEEE" w14:textId="1B72A3A8" w:rsidR="00B3070D" w:rsidRPr="00EE43AE" w:rsidRDefault="00B3070D" w:rsidP="00EE43AE">
      <w:pPr>
        <w:pStyle w:val="JuQuot"/>
      </w:pPr>
      <w:r>
        <w:t>„8.7.  Pierwszą kwestią, która może się pojawi</w:t>
      </w:r>
      <w:r w:rsidR="007D16AD">
        <w:t>ć</w:t>
      </w:r>
      <w:r>
        <w:t>, jest to, czy właściwe jest uzna</w:t>
      </w:r>
      <w:r w:rsidR="007D16AD">
        <w:t>wa</w:t>
      </w:r>
      <w:r>
        <w:t xml:space="preserve">nie jakiejkolwiek części postępowania przygotowawczego za </w:t>
      </w:r>
      <w:r w:rsidR="007D16AD">
        <w:t xml:space="preserve">stanowiącą </w:t>
      </w:r>
      <w:r>
        <w:t xml:space="preserve">część „procesu prowadzonego </w:t>
      </w:r>
      <w:r w:rsidR="00051167">
        <w:t>z zachowaniem należytej procedury prawnej</w:t>
      </w:r>
      <w:r>
        <w:t>”. Nie ulega wątpliwości, że ETPC podziela t</w:t>
      </w:r>
      <w:r w:rsidR="007D16AD">
        <w:t>akie</w:t>
      </w:r>
      <w:r>
        <w:t xml:space="preserve"> stanowisko. Bez wątpienia należy przypomnieć, że w wielu krajach systemu kontynentalnego istnieją formalne części postępowania przygotowawczego, które mają charakter sądowy lub w których uczestniczą prokuratorzy mający status quasi-sądowy. Granica między postępowaniem przygotowawczym a procesem</w:t>
      </w:r>
      <w:r w:rsidR="007D16AD">
        <w:t xml:space="preserve"> sądowym</w:t>
      </w:r>
      <w:r>
        <w:t xml:space="preserve"> niekoniecznie jest taka sama w każdym systemie prawnym. Ponadto ważne jest podkreślenie potencjalnego rozróżnienia między formalnym postępowaniem przygotowawczym dotyczącym bezpośrednio zatrzymanego podejrzanego</w:t>
      </w:r>
      <w:r w:rsidR="007D16AD">
        <w:t>,</w:t>
      </w:r>
      <w:r>
        <w:t xml:space="preserve"> a tym, co można określić mianem etapu właściwego postępowania przygotowawczego, podczas którego policja lub inne właściwe organy ścigania po prostu zbierają dowody.</w:t>
      </w:r>
    </w:p>
    <w:p w14:paraId="7991AA43" w14:textId="54AA459A" w:rsidR="00B3070D" w:rsidRPr="00EE43AE" w:rsidRDefault="00B3070D" w:rsidP="00EE43AE">
      <w:pPr>
        <w:pStyle w:val="JuQuot"/>
      </w:pPr>
      <w:r>
        <w:t xml:space="preserve">8.8.  Jestem przekonany, że </w:t>
      </w:r>
      <w:r w:rsidR="00A12FB3">
        <w:t>punkt</w:t>
      </w:r>
      <w:r>
        <w:t>, w którym organy państwa korzystają</w:t>
      </w:r>
      <w:r w:rsidR="00051167">
        <w:br/>
      </w:r>
      <w:r>
        <w:t xml:space="preserve">z przysługującego im środka </w:t>
      </w:r>
      <w:r w:rsidR="000C4EB0">
        <w:t xml:space="preserve">przymusu </w:t>
      </w:r>
      <w:r>
        <w:t>w postaci zatrzymania</w:t>
      </w:r>
      <w:r w:rsidR="000C4EB0">
        <w:t xml:space="preserve"> podejrzanego</w:t>
      </w:r>
      <w:r>
        <w:t xml:space="preserve">, stanowi ważny </w:t>
      </w:r>
      <w:r w:rsidR="00A12FB3">
        <w:t>moment</w:t>
      </w:r>
      <w:r>
        <w:t xml:space="preserve"> w każdym ewentualnym procesie karnym. Od </w:t>
      </w:r>
      <w:r w:rsidR="00A12FB3">
        <w:t>tej chwili</w:t>
      </w:r>
      <w:r>
        <w:t xml:space="preserve"> podejrzany nie jest już osobą, wobec której po prostu gromadzone są wszelkie możliwe dowody. Od tego momentu podejrzany zostaje pozbawiony wolności i w wielu przypadkach może </w:t>
      </w:r>
      <w:r>
        <w:lastRenderedPageBreak/>
        <w:t>być obowiązkowo przesłuchiwany przez różne okresy, a w pewnych okolicznościach można wymagać od niego poddania się pobraniu próbek biologicznych pod groźbą kary. Wydaje mi się, że po skorzystaniu przez organy z przysługujących</w:t>
      </w:r>
      <w:r w:rsidR="00A12FB3">
        <w:t xml:space="preserve"> </w:t>
      </w:r>
      <w:r>
        <w:t>im</w:t>
      </w:r>
      <w:r w:rsidR="00A12FB3">
        <w:t xml:space="preserve"> </w:t>
      </w:r>
      <w:r>
        <w:t>uprawnień</w:t>
      </w:r>
      <w:r w:rsidR="00A12FB3">
        <w:t xml:space="preserve"> </w:t>
      </w:r>
      <w:r>
        <w:t>wobec</w:t>
      </w:r>
      <w:r w:rsidR="00A12FB3">
        <w:t xml:space="preserve"> </w:t>
      </w:r>
      <w:r>
        <w:t>podejrzanego</w:t>
      </w:r>
      <w:r w:rsidR="00A12FB3">
        <w:t xml:space="preserve"> </w:t>
      </w:r>
      <w:r>
        <w:t>w ten sposób, należy uznać, że późniejsze</w:t>
      </w:r>
      <w:r w:rsidR="00A12FB3">
        <w:t xml:space="preserve"> </w:t>
      </w:r>
      <w:r>
        <w:t>czynności</w:t>
      </w:r>
      <w:r w:rsidR="00A12FB3">
        <w:t xml:space="preserve"> </w:t>
      </w:r>
      <w:r>
        <w:t>są</w:t>
      </w:r>
      <w:r w:rsidR="00A12FB3">
        <w:t xml:space="preserve"> </w:t>
      </w:r>
      <w:r>
        <w:t>ściśle</w:t>
      </w:r>
      <w:r w:rsidR="00A12FB3">
        <w:t xml:space="preserve"> </w:t>
      </w:r>
      <w:r>
        <w:t>związane</w:t>
      </w:r>
      <w:r w:rsidR="00A74327">
        <w:t xml:space="preserve"> </w:t>
      </w:r>
      <w:r>
        <w:t xml:space="preserve">z </w:t>
      </w:r>
      <w:r w:rsidR="00A74327">
        <w:t xml:space="preserve">potencjalnym </w:t>
      </w:r>
      <w:r>
        <w:t xml:space="preserve">procesem karnym, a nie tylko z etapem czysto dochodzeniowym. Wydaje mi się, że wymóg, aby postępowanie wobec osób prowadzone było </w:t>
      </w:r>
      <w:r w:rsidR="00A315D7">
        <w:t>z zachowaniem należytej procedury prawnej</w:t>
      </w:r>
      <w:r w:rsidR="00A74327">
        <w:t>,</w:t>
      </w:r>
      <w:r>
        <w:t xml:space="preserve"> zakłada zatem przestrzeganie podstawowej rzetelności procesu, określonej jako zasadniczy składnik tej koncepcji przez tutejszy </w:t>
      </w:r>
      <w:r w:rsidR="00A74327">
        <w:t>s</w:t>
      </w:r>
      <w:r>
        <w:t>ąd</w:t>
      </w:r>
      <w:r w:rsidR="000620C0">
        <w:t xml:space="preserve"> </w:t>
      </w:r>
      <w:r>
        <w:t xml:space="preserve">w sprawie State (Healy) przeciwko Donoghue, już od chwili zatrzymania podejrzanego. Dokładne konsekwencje takiego </w:t>
      </w:r>
      <w:r w:rsidR="00451359">
        <w:t xml:space="preserve">warunku </w:t>
      </w:r>
      <w:r>
        <w:t xml:space="preserve">wymagają oczywiście starannej i szczegółowej analizy. Niekoniecznie wynika z tego, że wszystkie prawa, które mogą przysługiwać danej osobie w procesie (rozumianym jako przeprowadzenie pełnej rozprawy karnej przed sędzią z udziałem ławy przysięgłych lub bez jej udziału), mają zastosowanie na każdym etapie </w:t>
      </w:r>
      <w:r w:rsidR="00451359">
        <w:t xml:space="preserve">postępowania </w:t>
      </w:r>
      <w:r>
        <w:t xml:space="preserve">prowadzącego do takiej rozprawy. Wydaje mi się jednak, że </w:t>
      </w:r>
      <w:r w:rsidR="00451359">
        <w:t xml:space="preserve">fundamentalny </w:t>
      </w:r>
      <w:r>
        <w:t>wymóg podstawowej rzetelności ma zastosowanie od chwili zatrzymania, a tym samym każde naruszenie tego wymogu może prowadz</w:t>
      </w:r>
      <w:r w:rsidR="000620C0">
        <w:t>ić do braku prowadzenia</w:t>
      </w:r>
      <w:r w:rsidR="00352DCF">
        <w:t xml:space="preserve"> </w:t>
      </w:r>
      <w:r w:rsidR="000620C0">
        <w:t>procesu</w:t>
      </w:r>
      <w:r w:rsidR="00352DCF">
        <w:t xml:space="preserve"> </w:t>
      </w:r>
      <w:r>
        <w:t>w odpowiednim, zgodnym z prawem trybie. W tym zakresie wydaje mi się, że stanowisko irlandzkie jest tożsame ze stanowiskiem uznanym przez ETPC i Sąd Najwyższy Stanów Zjednoczonych.”</w:t>
      </w:r>
    </w:p>
    <w:p w14:paraId="643DC951" w14:textId="77777777" w:rsidR="00B3070D" w:rsidRPr="00EE43AE" w:rsidRDefault="00FB401A" w:rsidP="00EE43AE">
      <w:pPr>
        <w:pStyle w:val="JuPara"/>
      </w:pPr>
      <w:r>
        <w:fldChar w:fldCharType="begin"/>
      </w:r>
      <w:r>
        <w:instrText xml:space="preserve"> SEQ level0 \*ara</w:instrText>
      </w:r>
      <w:r>
        <w:instrText xml:space="preserve">bic </w:instrText>
      </w:r>
      <w:r>
        <w:fldChar w:fldCharType="separate"/>
      </w:r>
      <w:r w:rsidR="001D10DA">
        <w:rPr>
          <w:noProof/>
        </w:rPr>
        <w:t>55</w:t>
      </w:r>
      <w:r>
        <w:rPr>
          <w:noProof/>
        </w:rPr>
        <w:fldChar w:fldCharType="end"/>
      </w:r>
      <w:r w:rsidR="00426D77">
        <w:t>.  W dalszej części swojego wyroku zauważył:</w:t>
      </w:r>
    </w:p>
    <w:p w14:paraId="316127BB" w14:textId="233D024F" w:rsidR="00B3070D" w:rsidRPr="00EE43AE" w:rsidRDefault="00B3070D" w:rsidP="00EE43AE">
      <w:pPr>
        <w:pStyle w:val="JuQuot"/>
      </w:pPr>
      <w:r>
        <w:t>„9.10. Kwestia, czy podejrzany ma prawo do obecności adwokata podczas przesłuchania, nie pojawia się w okolicznościach niniejszej sprawy, ponieważ przesłuchanie, w związku z którym złożono skargę, miało miejsce przed przybyciem adwokata. Należy jednak zauważyć, że w orzecznictwie zarówno ETPC, jak i Sądu Najwyższego Stanów Zjednoczonych jednoznacznie przyjmuje się, że uprawnienia podejrzanego obejmują obecność adwokata.”</w:t>
      </w:r>
    </w:p>
    <w:p w14:paraId="773DFBB6" w14:textId="77777777" w:rsidR="00B3070D" w:rsidRPr="00EE43AE" w:rsidRDefault="00FB401A" w:rsidP="00EE43AE">
      <w:pPr>
        <w:pStyle w:val="JuPara"/>
      </w:pPr>
      <w:r>
        <w:fldChar w:fldCharType="begin"/>
      </w:r>
      <w:r>
        <w:instrText xml:space="preserve"> SEQ level0 \*arabic </w:instrText>
      </w:r>
      <w:r>
        <w:fldChar w:fldCharType="separate"/>
      </w:r>
      <w:r w:rsidR="001D10DA">
        <w:rPr>
          <w:noProof/>
        </w:rPr>
        <w:t>56</w:t>
      </w:r>
      <w:r>
        <w:rPr>
          <w:noProof/>
        </w:rPr>
        <w:fldChar w:fldCharType="end"/>
      </w:r>
      <w:r w:rsidR="00426D77">
        <w:t>.  W wyroku zbieżnym Hardiman J. stwierdził:</w:t>
      </w:r>
    </w:p>
    <w:p w14:paraId="1FEE5999" w14:textId="4F078122" w:rsidR="00B3070D" w:rsidRPr="00EE43AE" w:rsidRDefault="00B3070D" w:rsidP="00EE43AE">
      <w:pPr>
        <w:pStyle w:val="JuQuot"/>
      </w:pPr>
      <w:r>
        <w:t>„Przez wiele lat w orzecznictwie i doktrynie wskazywa</w:t>
      </w:r>
      <w:r w:rsidR="00352DCF">
        <w:t>no</w:t>
      </w:r>
      <w:r>
        <w:t xml:space="preserve"> na prawdopodobieństwo, że przewidziana w naszym systemie możliwość przesłuchiwania w szerokim zakresie podejrzanych, którzy są </w:t>
      </w:r>
      <w:r w:rsidR="00352DCF">
        <w:t>pozbawieni wolności</w:t>
      </w:r>
      <w:r>
        <w:t xml:space="preserve"> w tym celu, z dużym prawdopodobieństwem stworzy dla podejrzanych prawo nie tylko do uzyskania porady prawnej przed przesłuchaniem, ale do obecności adwokata podczas przesłuchania i umożliwienia mu interwencji w razie potrzeby. Stało się tak w krajach o podobnych systemach sądowniczych </w:t>
      </w:r>
      <w:r w:rsidR="00761408">
        <w:t>[</w:t>
      </w:r>
      <w:r>
        <w:t>...</w:t>
      </w:r>
      <w:r w:rsidR="00761408">
        <w:t>]</w:t>
      </w:r>
      <w:r>
        <w:t xml:space="preserve">, a także w ramach Europejskiej Konwencji Praw Człowieka („EKPC”) </w:t>
      </w:r>
      <w:r w:rsidR="00761408">
        <w:t>[</w:t>
      </w:r>
      <w:r>
        <w:t>...)</w:t>
      </w:r>
      <w:r w:rsidR="00761408">
        <w:t>]</w:t>
      </w:r>
    </w:p>
    <w:p w14:paraId="15F00C64" w14:textId="6F05B12B" w:rsidR="00B3070D" w:rsidRPr="00EE43AE" w:rsidRDefault="00B3070D" w:rsidP="00EE43AE">
      <w:pPr>
        <w:pStyle w:val="JuQuot"/>
      </w:pPr>
      <w:r>
        <w:t xml:space="preserve">Warto jednak zauważyć, że </w:t>
      </w:r>
      <w:r w:rsidR="004B425B">
        <w:t>P</w:t>
      </w:r>
      <w:r>
        <w:t xml:space="preserve">an Gormley nie </w:t>
      </w:r>
      <w:r w:rsidR="004B425B">
        <w:t xml:space="preserve">domagał </w:t>
      </w:r>
      <w:r>
        <w:t xml:space="preserve">się </w:t>
      </w:r>
      <w:r w:rsidR="004B425B">
        <w:t xml:space="preserve">tego </w:t>
      </w:r>
      <w:r>
        <w:t>praw</w:t>
      </w:r>
      <w:r w:rsidR="004B425B">
        <w:t>a</w:t>
      </w:r>
      <w:r>
        <w:t xml:space="preserve"> w </w:t>
      </w:r>
      <w:r w:rsidR="004B425B">
        <w:t xml:space="preserve">jego </w:t>
      </w:r>
      <w:r>
        <w:t>pełnym zakresie, a jedynie praw</w:t>
      </w:r>
      <w:r w:rsidR="004B425B">
        <w:t>a</w:t>
      </w:r>
      <w:r>
        <w:t xml:space="preserve"> do adwokata, który udzieliłby mu porady w areszcie, przed rozpoczęciem przesłuchania. Oczywiście </w:t>
      </w:r>
      <w:r w:rsidR="00761408">
        <w:t xml:space="preserve">nie minie </w:t>
      </w:r>
      <w:r>
        <w:t>jednak</w:t>
      </w:r>
      <w:r w:rsidR="00761408">
        <w:t xml:space="preserve"> wiele czasu, a</w:t>
      </w:r>
      <w:r>
        <w:t xml:space="preserve"> </w:t>
      </w:r>
      <w:r w:rsidR="00572B79">
        <w:t xml:space="preserve">jakaś </w:t>
      </w:r>
      <w:r>
        <w:t xml:space="preserve">osoba czy inny podmiot będą dochodzić prawa do porady prawnej w areszcie </w:t>
      </w:r>
      <w:r w:rsidR="00761408">
        <w:t>w szerszym zakresie</w:t>
      </w:r>
      <w:r>
        <w:t xml:space="preserve">. Mówię to w sposób jednoznaczny, aby mogli to </w:t>
      </w:r>
      <w:r w:rsidR="00572B79">
        <w:t xml:space="preserve">wziąć pod uwagę </w:t>
      </w:r>
      <w:r>
        <w:t xml:space="preserve">ci, których obowiązkiem jest uwzględnienie </w:t>
      </w:r>
      <w:r w:rsidR="00572B79">
        <w:t xml:space="preserve">potencjalnego </w:t>
      </w:r>
      <w:r>
        <w:t>rozwoju sytuacji.”</w:t>
      </w:r>
    </w:p>
    <w:p w14:paraId="35180895" w14:textId="77777777" w:rsidR="00B3070D" w:rsidRPr="00EE43AE" w:rsidRDefault="00B3070D" w:rsidP="00EE43AE">
      <w:pPr>
        <w:pStyle w:val="JuHA"/>
      </w:pPr>
      <w:r>
        <w:t>Praktyka</w:t>
      </w:r>
    </w:p>
    <w:p w14:paraId="760E1511" w14:textId="4055CB5A" w:rsidR="00B3070D" w:rsidRPr="00EE43AE" w:rsidRDefault="00FB401A" w:rsidP="00EE43AE">
      <w:pPr>
        <w:pStyle w:val="JuPara"/>
      </w:pPr>
      <w:r>
        <w:fldChar w:fldCharType="begin"/>
      </w:r>
      <w:r>
        <w:instrText xml:space="preserve"> SEQ level0 \*arabic </w:instrText>
      </w:r>
      <w:r>
        <w:fldChar w:fldCharType="separate"/>
      </w:r>
      <w:r w:rsidR="001D10DA">
        <w:rPr>
          <w:noProof/>
        </w:rPr>
        <w:t>57</w:t>
      </w:r>
      <w:r>
        <w:rPr>
          <w:noProof/>
        </w:rPr>
        <w:fldChar w:fldCharType="end"/>
      </w:r>
      <w:r w:rsidR="00426D77">
        <w:t>.  </w:t>
      </w:r>
      <w:r w:rsidR="00D778FF">
        <w:t>W następstwie sprawy</w:t>
      </w:r>
      <w:r w:rsidR="00426D77">
        <w:t xml:space="preserve"> Gormleya, </w:t>
      </w:r>
      <w:r w:rsidR="00572B79">
        <w:t xml:space="preserve">działając </w:t>
      </w:r>
      <w:r w:rsidR="00426D77">
        <w:t>za radą Prokuratora Generalnego, irlandzka policja zmieniła swoją praktykę w ten sposób, że dopuszcza</w:t>
      </w:r>
      <w:r w:rsidR="00696E6B">
        <w:t>ła</w:t>
      </w:r>
      <w:r w:rsidR="00426D77">
        <w:t xml:space="preserve"> obecność adwokata podc</w:t>
      </w:r>
      <w:r w:rsidR="005425F8">
        <w:t>zas przesłuchania podejrzanego.</w:t>
      </w:r>
      <w:r w:rsidR="005425F8">
        <w:br/>
      </w:r>
      <w:r w:rsidR="00426D77">
        <w:t xml:space="preserve">W kwietniu 2015 r. opublikowała ona kodeks postępowania w tym zakresie, </w:t>
      </w:r>
      <w:r w:rsidR="00426D77">
        <w:lastRenderedPageBreak/>
        <w:t>szczegółowo określając sposób, w jaki funkcjonariusze policji powinni realizować uprawnienie podejrzanego do obecności adwokata.</w:t>
      </w:r>
    </w:p>
    <w:p w14:paraId="154B1E52" w14:textId="77777777" w:rsidR="00B3070D" w:rsidRPr="00EE43AE" w:rsidRDefault="00FB401A" w:rsidP="00EE43AE">
      <w:pPr>
        <w:pStyle w:val="JuPara"/>
      </w:pPr>
      <w:r>
        <w:fldChar w:fldCharType="begin"/>
      </w:r>
      <w:r>
        <w:instrText xml:space="preserve"> SEQ level0 \*arabic </w:instrText>
      </w:r>
      <w:r>
        <w:fldChar w:fldCharType="separate"/>
      </w:r>
      <w:r w:rsidR="001D10DA">
        <w:rPr>
          <w:noProof/>
        </w:rPr>
        <w:t>58</w:t>
      </w:r>
      <w:r>
        <w:rPr>
          <w:noProof/>
        </w:rPr>
        <w:fldChar w:fldCharType="end"/>
      </w:r>
      <w:r w:rsidR="00426D77">
        <w:t>.  W grudniu 2015 r. Law Society of Ireland opublikowało dokument zatytułowany „Guidance for Solicitors Providing Legal Services in Garda Stations” [„Wskazówki dla prawników świadczących usługi prawne na komisariatach policji”]. Dokument ten zawiera porady dla prawników</w:t>
      </w:r>
      <w:r w:rsidR="00DD20C3">
        <w:br/>
      </w:r>
      <w:r w:rsidR="00426D77">
        <w:t>w świetle odpowiednich przepisów prawa i kodeksu postępowania policji.</w:t>
      </w:r>
    </w:p>
    <w:p w14:paraId="7DD6EE0D" w14:textId="77777777" w:rsidR="00B3070D" w:rsidRPr="00EE43AE" w:rsidRDefault="00B3070D" w:rsidP="00EE43AE">
      <w:pPr>
        <w:pStyle w:val="JuHIRoman"/>
      </w:pPr>
      <w:r>
        <w:t>PRAWO UNII EUROPEJSKIEJ</w:t>
      </w:r>
    </w:p>
    <w:p w14:paraId="397766C1" w14:textId="77777777" w:rsidR="00B3070D" w:rsidRPr="00EE43AE" w:rsidRDefault="00B3070D" w:rsidP="00EE43AE">
      <w:pPr>
        <w:pStyle w:val="JuHA"/>
      </w:pPr>
      <w:bookmarkStart w:id="1" w:name="_Toc453160892"/>
      <w:bookmarkEnd w:id="1"/>
      <w:r>
        <w:t>Prawo dostępu do adwokata</w:t>
      </w:r>
    </w:p>
    <w:p w14:paraId="34ADC1AC" w14:textId="77777777" w:rsidR="00B3070D" w:rsidRPr="00EE43AE" w:rsidRDefault="00FB401A" w:rsidP="00EE43AE">
      <w:pPr>
        <w:pStyle w:val="JuPara"/>
      </w:pPr>
      <w:r>
        <w:fldChar w:fldCharType="begin"/>
      </w:r>
      <w:r>
        <w:instrText xml:space="preserve"> SEQ level0 \*arabic </w:instrText>
      </w:r>
      <w:r>
        <w:fldChar w:fldCharType="separate"/>
      </w:r>
      <w:r w:rsidR="001D10DA">
        <w:rPr>
          <w:noProof/>
        </w:rPr>
        <w:t>59</w:t>
      </w:r>
      <w:r>
        <w:rPr>
          <w:noProof/>
        </w:rPr>
        <w:fldChar w:fldCharType="end"/>
      </w:r>
      <w:r w:rsidR="00426D77">
        <w:t>.  Artykuł 3 ust. 1–3 dyrektywy 2013/48, zatytułowany „Prawo dostępu do adwokata w postępowaniu karnym”, ma następujące brzmienie:</w:t>
      </w:r>
    </w:p>
    <w:p w14:paraId="08EBA8DF" w14:textId="77777777" w:rsidR="00B3070D" w:rsidRPr="00EE43AE" w:rsidRDefault="00B3070D" w:rsidP="00EE43AE">
      <w:pPr>
        <w:pStyle w:val="JuQuot"/>
      </w:pPr>
      <w:r>
        <w:t>„1.   Państwa członkowskie zapewniają, aby podejrzani i oskarżeni mieli prawo dostępu do adwokata w takim terminie i w taki sposób, aby osoby te mogły rzeczywiście i skutecznie wykonywać przysługujące im prawo do obrony.</w:t>
      </w:r>
    </w:p>
    <w:p w14:paraId="53BA2E21" w14:textId="77777777" w:rsidR="00B3070D" w:rsidRPr="00EE43AE" w:rsidRDefault="00B3070D" w:rsidP="00EE43AE">
      <w:pPr>
        <w:pStyle w:val="JuQuot"/>
      </w:pPr>
      <w:r>
        <w:t>2.  Podejrzani lub oskarżeni mają prawo dostępu do adwokata bez zbędnej zwłoki. W każdym wypadku podejrzani lub oskarżeni mają dostęp do adwokata począwszy od najwcześniejszego spośród następujących terminów:</w:t>
      </w:r>
    </w:p>
    <w:p w14:paraId="28888DE4" w14:textId="77777777" w:rsidR="00B3070D" w:rsidRPr="00EE43AE" w:rsidRDefault="00B3070D" w:rsidP="00EE43AE">
      <w:pPr>
        <w:pStyle w:val="JuPara"/>
      </w:pPr>
      <w:r>
        <w:t>a)</w:t>
      </w:r>
      <w:r>
        <w:tab/>
        <w:t>przed ich przesłuchaniem przez policję lub inny organ ścigania lub organ sądowy;</w:t>
      </w:r>
    </w:p>
    <w:p w14:paraId="19B83EDE" w14:textId="77777777" w:rsidR="00B3070D" w:rsidRPr="00EE43AE" w:rsidRDefault="00B3070D" w:rsidP="00EE43AE">
      <w:pPr>
        <w:pStyle w:val="JuPara"/>
      </w:pPr>
      <w:r>
        <w:t>b)</w:t>
      </w:r>
      <w:r>
        <w:tab/>
        <w:t>w momencie prowadzenia przez organy ścigania lub inne właściwe organy czynności dochodzeniowych lub innych czynności dowodowych zgodnie z ust. 3 lit. c);</w:t>
      </w:r>
    </w:p>
    <w:p w14:paraId="4C5098B9" w14:textId="77777777" w:rsidR="00B3070D" w:rsidRPr="00EE43AE" w:rsidRDefault="00B3070D" w:rsidP="00EE43AE">
      <w:pPr>
        <w:pStyle w:val="JuPara"/>
      </w:pPr>
      <w:r>
        <w:t>c)</w:t>
      </w:r>
      <w:r>
        <w:tab/>
        <w:t>niezwłocznie po pozbawieniu wolności;</w:t>
      </w:r>
    </w:p>
    <w:p w14:paraId="4AFFD563" w14:textId="77777777" w:rsidR="00B3070D" w:rsidRPr="00EE43AE" w:rsidRDefault="00B3070D" w:rsidP="00EE43AE">
      <w:pPr>
        <w:pStyle w:val="JuPara"/>
      </w:pPr>
      <w:r>
        <w:t>d)</w:t>
      </w:r>
      <w:r>
        <w:tab/>
        <w:t>zanim zostali wezwani do stawiennictwa przed sądem właściwym</w:t>
      </w:r>
      <w:r w:rsidR="00DD20C3">
        <w:br/>
      </w:r>
      <w:r>
        <w:t>w sprawach karnych w odpowiednim czasie, zanim stawią się przed tym sądem.</w:t>
      </w:r>
    </w:p>
    <w:p w14:paraId="53AA0B2F" w14:textId="77777777" w:rsidR="00B3070D" w:rsidRPr="00EE43AE" w:rsidRDefault="00B3070D" w:rsidP="00EE43AE">
      <w:pPr>
        <w:pStyle w:val="JuQuot"/>
      </w:pPr>
      <w:r>
        <w:t>3.  Prawo dostępu do adwokata pociąga za sobą, co następuje:</w:t>
      </w:r>
    </w:p>
    <w:p w14:paraId="3D7BEA35" w14:textId="77777777" w:rsidR="00B3070D" w:rsidRPr="00EE43AE" w:rsidRDefault="00B3070D" w:rsidP="00EE43AE">
      <w:pPr>
        <w:pStyle w:val="JuPara"/>
      </w:pPr>
      <w:r>
        <w:t>a)</w:t>
      </w:r>
      <w:r>
        <w:tab/>
        <w:t>państwa członkowskie zapewniają, aby podejrzani lub oskarżeni mieli prawo do spotykania się na osobności i porozumiewania się</w:t>
      </w:r>
      <w:r w:rsidR="00DD20C3">
        <w:br/>
      </w:r>
      <w:r>
        <w:t>z reprezentującym ich adwokatem, także przed przesłuchaniem przez policję lub inny organ ścigania lub organ sądowy;</w:t>
      </w:r>
    </w:p>
    <w:p w14:paraId="55D4CED1" w14:textId="48A612DF" w:rsidR="00B3070D" w:rsidRPr="00EE43AE" w:rsidRDefault="00B3070D" w:rsidP="00EE43AE">
      <w:pPr>
        <w:pStyle w:val="JuPara"/>
      </w:pPr>
      <w:r>
        <w:t>b)</w:t>
      </w:r>
      <w:r>
        <w:tab/>
        <w:t>państwa członkowskie zapewniają, aby podejrzani lub oskarżeni mieli prawo do obecności i skutecznego udziału ich adwokata w czasie ich przesłuchiwania. Taki udział musi być zgodny z procedurami określonymi w prawie krajowym, pod warunkiem że takie procedury pozostają bez uszczerbku dla skutecznego wykonywania odnośnego prawa i dla jego istoty. Jeżeli adwokat bierze udział w przesłuchaniu, fakt ten jest odnotowywany, z wykorzystaniem procedury protokołowania, zgodnie</w:t>
      </w:r>
      <w:r w:rsidR="00DD20C3">
        <w:br/>
      </w:r>
      <w:r>
        <w:t xml:space="preserve">z prawem krajowym </w:t>
      </w:r>
      <w:r w:rsidR="00696E6B">
        <w:t>danego</w:t>
      </w:r>
      <w:r>
        <w:t xml:space="preserve"> państwa członkowskiego;</w:t>
      </w:r>
    </w:p>
    <w:p w14:paraId="600F006A" w14:textId="77777777" w:rsidR="00B3070D" w:rsidRPr="00EE43AE" w:rsidRDefault="00B3070D" w:rsidP="00EE43AE">
      <w:pPr>
        <w:pStyle w:val="JuPara"/>
      </w:pPr>
      <w:r>
        <w:lastRenderedPageBreak/>
        <w:t>c)</w:t>
      </w:r>
      <w:r>
        <w:tab/>
        <w:t>państwa członkowskie zapewniają, aby podejrzani lub oskarżeni mieli co najmniej prawo do obecności swojego adwokata podczas następujących czynności dochodzeniowych lub dowodowych, w przypadku gdy czynności te są przewidziane w prawie krajowym oraz jeżeli dla danej czynności jest wymagana lub dozwolona obecność podejrzanego lub oskarżonego:</w:t>
      </w:r>
    </w:p>
    <w:p w14:paraId="3A8FD034" w14:textId="77777777" w:rsidR="00B3070D" w:rsidRPr="00EE43AE" w:rsidRDefault="00B3070D" w:rsidP="00EE43AE">
      <w:pPr>
        <w:pStyle w:val="JuPara"/>
      </w:pPr>
      <w:r>
        <w:t>(i)</w:t>
      </w:r>
      <w:r>
        <w:tab/>
        <w:t>okazania w celu rozpoznania;</w:t>
      </w:r>
    </w:p>
    <w:p w14:paraId="3A3331BC" w14:textId="77777777" w:rsidR="00B3070D" w:rsidRPr="00EE43AE" w:rsidRDefault="00B3070D" w:rsidP="00EE43AE">
      <w:pPr>
        <w:pStyle w:val="JuPara"/>
      </w:pPr>
      <w:r>
        <w:t>(ii)</w:t>
      </w:r>
      <w:r>
        <w:tab/>
        <w:t xml:space="preserve">konfrontacji; </w:t>
      </w:r>
    </w:p>
    <w:p w14:paraId="5907C0C7" w14:textId="77777777" w:rsidR="00B3070D" w:rsidRPr="00EE43AE" w:rsidRDefault="00B3070D" w:rsidP="00EE43AE">
      <w:pPr>
        <w:pStyle w:val="JuPara"/>
      </w:pPr>
      <w:r>
        <w:t>(iii)</w:t>
      </w:r>
      <w:r>
        <w:tab/>
        <w:t>eksperymentów procesowych polegających na odtworzeniu przebiegu przestępstwa.”</w:t>
      </w:r>
    </w:p>
    <w:p w14:paraId="197B7713" w14:textId="4ED010CC" w:rsidR="00B3070D" w:rsidRPr="00EE43AE" w:rsidRDefault="00FB401A" w:rsidP="00EE43AE">
      <w:pPr>
        <w:pStyle w:val="JuPara"/>
      </w:pPr>
      <w:r>
        <w:fldChar w:fldCharType="begin"/>
      </w:r>
      <w:r>
        <w:instrText xml:space="preserve"> SEQ level0 \*arabic </w:instrText>
      </w:r>
      <w:r>
        <w:fldChar w:fldCharType="separate"/>
      </w:r>
      <w:r w:rsidR="001D10DA">
        <w:rPr>
          <w:noProof/>
        </w:rPr>
        <w:t>60</w:t>
      </w:r>
      <w:r>
        <w:rPr>
          <w:noProof/>
        </w:rPr>
        <w:fldChar w:fldCharType="end"/>
      </w:r>
      <w:r w:rsidR="00426D77">
        <w:t>.  W celu zapoznania się ze szczegółowym podsumowaniem motywów i inny</w:t>
      </w:r>
      <w:r w:rsidR="003F2327">
        <w:t>mi</w:t>
      </w:r>
      <w:r w:rsidR="00426D77">
        <w:t xml:space="preserve"> istotny</w:t>
      </w:r>
      <w:r w:rsidR="003F2327">
        <w:t>mi</w:t>
      </w:r>
      <w:r w:rsidR="00426D77">
        <w:t xml:space="preserve"> przepis</w:t>
      </w:r>
      <w:r w:rsidR="003F2327">
        <w:t>ami</w:t>
      </w:r>
      <w:r w:rsidR="00426D77">
        <w:t xml:space="preserve"> dyrektywy zob. </w:t>
      </w:r>
      <w:r w:rsidR="00426D77">
        <w:rPr>
          <w:i/>
        </w:rPr>
        <w:t>Beuze przeciwko Belgii</w:t>
      </w:r>
      <w:r w:rsidR="00426D77">
        <w:t xml:space="preserve"> [WI], nr 71409/10, §§ 82-85, 9 listopada 2018 r.).</w:t>
      </w:r>
    </w:p>
    <w:p w14:paraId="3093D325" w14:textId="77777777" w:rsidR="00B3070D" w:rsidRPr="00EE43AE" w:rsidRDefault="00FB401A" w:rsidP="00EE43AE">
      <w:pPr>
        <w:pStyle w:val="JuPara"/>
      </w:pPr>
      <w:r>
        <w:fldChar w:fldCharType="begin"/>
      </w:r>
      <w:r>
        <w:instrText xml:space="preserve"> SEQ level0 \*arabic </w:instrText>
      </w:r>
      <w:r>
        <w:fldChar w:fldCharType="separate"/>
      </w:r>
      <w:r w:rsidR="001D10DA">
        <w:rPr>
          <w:noProof/>
        </w:rPr>
        <w:t>61</w:t>
      </w:r>
      <w:r>
        <w:rPr>
          <w:noProof/>
        </w:rPr>
        <w:fldChar w:fldCharType="end"/>
      </w:r>
      <w:r w:rsidR="00426D77">
        <w:t>.  Dyrektywa 2013/48, która miała zostać transponowana do 12 listopada 2016 r., ma zastosowanie do wszystkich państw członkowskich UE z wyjątkiem Danii, Irlandii i Wielkiej Brytanii.</w:t>
      </w:r>
    </w:p>
    <w:p w14:paraId="3217F19B" w14:textId="77777777" w:rsidR="00B3070D" w:rsidRPr="00EE43AE" w:rsidRDefault="00B3070D" w:rsidP="00EE43AE">
      <w:pPr>
        <w:pStyle w:val="JuHHead"/>
      </w:pPr>
      <w:r>
        <w:t>PRAWO</w:t>
      </w:r>
    </w:p>
    <w:p w14:paraId="5B9CA5DE" w14:textId="77777777" w:rsidR="00B3070D" w:rsidRPr="00EE43AE" w:rsidRDefault="00B3070D" w:rsidP="00EE43AE">
      <w:pPr>
        <w:pStyle w:val="JuHIRoman"/>
      </w:pPr>
      <w:r>
        <w:t>ZARZUCANE NARUSZENIE ART. 6 UST. 1 I 3 LIT. C KONWENCJI</w:t>
      </w:r>
    </w:p>
    <w:p w14:paraId="23941855" w14:textId="5B39119A" w:rsidR="00B3070D" w:rsidRPr="00EE43AE" w:rsidRDefault="00FB401A" w:rsidP="00EE43AE">
      <w:pPr>
        <w:pStyle w:val="JuPara"/>
      </w:pPr>
      <w:r>
        <w:fldChar w:fldCharType="begin"/>
      </w:r>
      <w:r>
        <w:instrText xml:space="preserve"> SEQ level0 \*arabic </w:instrText>
      </w:r>
      <w:r>
        <w:fldChar w:fldCharType="separate"/>
      </w:r>
      <w:r w:rsidR="001D10DA">
        <w:rPr>
          <w:noProof/>
        </w:rPr>
        <w:t>62</w:t>
      </w:r>
      <w:r>
        <w:rPr>
          <w:noProof/>
        </w:rPr>
        <w:fldChar w:fldCharType="end"/>
      </w:r>
      <w:r w:rsidR="00426D77">
        <w:t xml:space="preserve">.  Skarżący zarzucił, że po jego zatrzymaniu nie miał prawa do </w:t>
      </w:r>
      <w:r w:rsidR="00BF603B">
        <w:t>obecności</w:t>
      </w:r>
      <w:r w:rsidR="00426D77">
        <w:t xml:space="preserve"> obrońcy przy przesłuchaniu przez policję, co stanowiło brak realizacji przez pozwane Państwo jego prawa do rzetelnego procesu sądowego. Trybunał rozpatrzy skargę zgodnie z art. 6 ust. 1 i 3 lit. c Konwencji. Postanowienia te mają następujące brzmienie:</w:t>
      </w:r>
    </w:p>
    <w:p w14:paraId="037630D3" w14:textId="77777777" w:rsidR="00B3070D" w:rsidRPr="00EE43AE" w:rsidRDefault="00B3070D" w:rsidP="00EE43AE">
      <w:pPr>
        <w:pStyle w:val="JuQuot"/>
      </w:pPr>
      <w:r>
        <w:t>„1.  Każdy ma prawo do sprawiedliwego i publicznego rozpatrzenia jego sprawy w rozsądnym terminie przez niezawisły i bezstronny sąd ustanowiony ustawą przy rozstrzyganiu o jego prawach i obowiązkach o charakterze cywilnym albo o zasadności każdego oskarżenia w wytoczonej przeciwko niemu sprawie karnej. […]</w:t>
      </w:r>
    </w:p>
    <w:p w14:paraId="683BCE1D" w14:textId="77777777" w:rsidR="00B3070D" w:rsidRPr="00EE43AE" w:rsidRDefault="00B3070D" w:rsidP="00EE43AE">
      <w:pPr>
        <w:pStyle w:val="JuQuot"/>
      </w:pPr>
      <w:r>
        <w:t>[…]</w:t>
      </w:r>
    </w:p>
    <w:p w14:paraId="595F28F7" w14:textId="77777777" w:rsidR="00B3070D" w:rsidRPr="00EE43AE" w:rsidRDefault="00B3070D" w:rsidP="00EE43AE">
      <w:pPr>
        <w:pStyle w:val="JuQuot"/>
      </w:pPr>
      <w:r>
        <w:t>3.  Każdy oskarżony o popełnienie czynu zagrożonego karą ma co najmniej prawo do:</w:t>
      </w:r>
    </w:p>
    <w:p w14:paraId="32B3844B" w14:textId="77777777" w:rsidR="00B3070D" w:rsidRPr="00EE43AE" w:rsidRDefault="00B3070D" w:rsidP="00EE43AE">
      <w:pPr>
        <w:pStyle w:val="JuQuot"/>
      </w:pPr>
      <w:r>
        <w:t>[…]</w:t>
      </w:r>
    </w:p>
    <w:p w14:paraId="2BE6EEB0" w14:textId="77777777" w:rsidR="00B3070D" w:rsidRPr="00EE43AE" w:rsidRDefault="00B3070D" w:rsidP="00EE43AE">
      <w:pPr>
        <w:pStyle w:val="JuPara"/>
      </w:pPr>
      <w:r>
        <w:t>c)  bronienia się osobiście lub przez ustanowionego przez siebie obrońcę, a jeśli nie ma wystarczających środków na pokrycie kosztów obrony, do bezpłatnego korzystania z pomocy obrońcy wyznaczonego z urzędu, gdy wymaga tego dobro wymiaru sprawiedliwości;</w:t>
      </w:r>
    </w:p>
    <w:p w14:paraId="555FADAD" w14:textId="77777777" w:rsidR="00B3070D" w:rsidRPr="00EE43AE" w:rsidRDefault="00B3070D" w:rsidP="00EE43AE">
      <w:pPr>
        <w:pStyle w:val="JuQuot"/>
      </w:pPr>
      <w:r>
        <w:t>[...]”</w:t>
      </w:r>
    </w:p>
    <w:p w14:paraId="5296BA96" w14:textId="77777777" w:rsidR="00B3070D" w:rsidRPr="00EE43AE" w:rsidRDefault="00FB401A" w:rsidP="00EE43AE">
      <w:pPr>
        <w:pStyle w:val="JuPara"/>
      </w:pPr>
      <w:r>
        <w:fldChar w:fldCharType="begin"/>
      </w:r>
      <w:r>
        <w:instrText xml:space="preserve"> SEQ level0 \*arabic </w:instrText>
      </w:r>
      <w:r>
        <w:fldChar w:fldCharType="separate"/>
      </w:r>
      <w:r w:rsidR="001D10DA">
        <w:rPr>
          <w:noProof/>
        </w:rPr>
        <w:t>63</w:t>
      </w:r>
      <w:r>
        <w:rPr>
          <w:noProof/>
        </w:rPr>
        <w:fldChar w:fldCharType="end"/>
      </w:r>
      <w:r w:rsidR="00426D77">
        <w:t>.  Rząd zakwestionował ten argument.</w:t>
      </w:r>
    </w:p>
    <w:p w14:paraId="7B80E62E" w14:textId="77777777" w:rsidR="00B3070D" w:rsidRPr="00EE43AE" w:rsidRDefault="00B3070D" w:rsidP="00EE43AE">
      <w:pPr>
        <w:pStyle w:val="JuHA"/>
      </w:pPr>
      <w:r>
        <w:lastRenderedPageBreak/>
        <w:t>Dopuszczalność</w:t>
      </w:r>
    </w:p>
    <w:p w14:paraId="1B0B5CD0" w14:textId="3765183D" w:rsidR="00B3070D" w:rsidRPr="00EE43AE" w:rsidRDefault="00FB401A" w:rsidP="00EE43AE">
      <w:pPr>
        <w:pStyle w:val="JuPara"/>
      </w:pPr>
      <w:r>
        <w:fldChar w:fldCharType="begin"/>
      </w:r>
      <w:r>
        <w:instrText xml:space="preserve"> SEQ level0 \*arabic </w:instrText>
      </w:r>
      <w:r>
        <w:fldChar w:fldCharType="separate"/>
      </w:r>
      <w:r w:rsidR="001D10DA">
        <w:rPr>
          <w:noProof/>
        </w:rPr>
        <w:t>64</w:t>
      </w:r>
      <w:r>
        <w:rPr>
          <w:noProof/>
        </w:rPr>
        <w:fldChar w:fldCharType="end"/>
      </w:r>
      <w:r w:rsidR="00426D77">
        <w:t>.  Trybunał zauważa, że skarga nie jest w sposób oczywisty nieuzasadniona w rozumieniu art. 35 ust. 3 lit. a Konwencji. Ponadto zauważa, że nie jest ona niedopuszczalna pod żadnym innym względem. Tym samym należy uznać ją za dopuszczalną.</w:t>
      </w:r>
    </w:p>
    <w:p w14:paraId="1DF452D5" w14:textId="77777777" w:rsidR="00B3070D" w:rsidRPr="00EE43AE" w:rsidRDefault="00B3070D" w:rsidP="00EE43AE">
      <w:pPr>
        <w:pStyle w:val="JuHA"/>
      </w:pPr>
      <w:r>
        <w:t>Przedmiot skargi</w:t>
      </w:r>
    </w:p>
    <w:p w14:paraId="411A82DB" w14:textId="77777777" w:rsidR="00B3070D" w:rsidRPr="00EE43AE" w:rsidRDefault="00B3070D" w:rsidP="00EE43AE">
      <w:pPr>
        <w:pStyle w:val="JuH1"/>
      </w:pPr>
      <w:r>
        <w:t>Stanowiska stron</w:t>
      </w:r>
    </w:p>
    <w:p w14:paraId="311ADE5B" w14:textId="2430D967" w:rsidR="00B3070D" w:rsidRPr="00EE43AE" w:rsidRDefault="00FB401A" w:rsidP="00EE43AE">
      <w:pPr>
        <w:pStyle w:val="JuPara"/>
      </w:pPr>
      <w:r>
        <w:fldChar w:fldCharType="begin"/>
      </w:r>
      <w:r>
        <w:instrText xml:space="preserve"> SEQ level0 \*arabic </w:instrText>
      </w:r>
      <w:r>
        <w:fldChar w:fldCharType="separate"/>
      </w:r>
      <w:r w:rsidR="001D10DA">
        <w:rPr>
          <w:noProof/>
        </w:rPr>
        <w:t>65</w:t>
      </w:r>
      <w:r>
        <w:rPr>
          <w:noProof/>
        </w:rPr>
        <w:fldChar w:fldCharType="end"/>
      </w:r>
      <w:r w:rsidR="00426D77">
        <w:t xml:space="preserve">.  Skarżący twierdził, że w czasie </w:t>
      </w:r>
      <w:r w:rsidR="00D86ED2">
        <w:t>wydarzeń</w:t>
      </w:r>
      <w:r w:rsidR="00426D77">
        <w:t xml:space="preserve"> praktyka policyjna nie zezwalała adwokatom na towarzyszenie oskarżonemu podczas przesłuchań polic</w:t>
      </w:r>
      <w:r w:rsidR="00D86ED2">
        <w:t>y</w:t>
      </w:r>
      <w:r w:rsidR="00426D77">
        <w:t>j</w:t>
      </w:r>
      <w:r w:rsidR="00D86ED2">
        <w:t>nych</w:t>
      </w:r>
      <w:r w:rsidR="00426D77">
        <w:t>. Aby zapewnić przestrzeganie konstytucyjnego prawa do procesu</w:t>
      </w:r>
      <w:r w:rsidR="00583B8D">
        <w:t xml:space="preserve"> z zachowaniem należytej procedury prawnej</w:t>
      </w:r>
      <w:r w:rsidR="00426D77">
        <w:t xml:space="preserve"> oraz prawa do rzetelnego procesu sądowego gwarantowanego przez art. 6 Konwencji, państwo powinno było zapewnić skarżącemu prawo do obecności adwokata podczas przesłuchania. Skarżący twierdził, że znajdował się w niekorzystnej sytuacji, gdyż nie miał doświadczenia</w:t>
      </w:r>
      <w:r w:rsidR="009A2817">
        <w:t xml:space="preserve"> </w:t>
      </w:r>
      <w:r w:rsidR="00426D77">
        <w:t xml:space="preserve">w czynnościach przesłuchania. Nieobecność adwokata podczas przesłuchań oznaczała, że policja była w stanie wywrzeć na skarżącym presję, aby przyznał się do winy, na którym to przyznaniu ostatecznie oparto się podczas procesu. Skarżący przyznał, że na początku każdego przesłuchania był pouczany i informowany o swoim prawie do odmowy składania wyjaśnień. Twierdził jednak, że prowadzący przesłuchanie </w:t>
      </w:r>
      <w:r w:rsidR="008A318C">
        <w:t>starali się osłabić jego uwagę</w:t>
      </w:r>
      <w:r w:rsidR="00426D77">
        <w:t xml:space="preserve"> w taki sposób, aby wzbudzić u niego strach i niepokój oraz złamać jego wolę nieobciążania samego siebie. Tym samym skarżącego pozbawiono rzetelnego procesu sądowego.</w:t>
      </w:r>
    </w:p>
    <w:p w14:paraId="6ED117E1" w14:textId="25BAECDF" w:rsidR="00B3070D" w:rsidRPr="00EE43AE" w:rsidRDefault="00FB401A" w:rsidP="00EE43AE">
      <w:pPr>
        <w:pStyle w:val="JuPara"/>
      </w:pPr>
      <w:r>
        <w:fldChar w:fldCharType="begin"/>
      </w:r>
      <w:r>
        <w:instrText xml:space="preserve"> SEQ level0 \*arabic </w:instrText>
      </w:r>
      <w:r>
        <w:fldChar w:fldCharType="separate"/>
      </w:r>
      <w:r w:rsidR="001D10DA">
        <w:rPr>
          <w:noProof/>
        </w:rPr>
        <w:t>66</w:t>
      </w:r>
      <w:r>
        <w:rPr>
          <w:noProof/>
        </w:rPr>
        <w:fldChar w:fldCharType="end"/>
      </w:r>
      <w:r w:rsidR="00426D77">
        <w:t xml:space="preserve">.  Rząd </w:t>
      </w:r>
      <w:r w:rsidR="008A318C">
        <w:t>s</w:t>
      </w:r>
      <w:r w:rsidR="00426D77">
        <w:t xml:space="preserve">twierdził, że na prawa skarżącego wynikające z art. 6 ust. 3 lit. c Konwencji nie miał wpływu fakt, że jego adwokat nie był obecny, ponieważ miał on zapewniony dostęp do adwokata od pierwszego przesłuchania przez policję, jak określono w sprawie </w:t>
      </w:r>
      <w:r w:rsidR="00426D77">
        <w:rPr>
          <w:i/>
        </w:rPr>
        <w:t xml:space="preserve">Salduz przeciwko Turcji </w:t>
      </w:r>
      <w:r w:rsidR="00426D77">
        <w:t xml:space="preserve">([WI], nr 36391/02, § 55, ETPC 2008). Jeśli chodzi o nakłanianie, Rząd podkreślił, że zgodnie z prawem irlandzkim bezwzględne zakazy dowodowe mają zastosowanie do wszelkich wyjaśnień, których oskarżony nie złożył z własnej woli (zob. </w:t>
      </w:r>
      <w:r w:rsidR="00426D77">
        <w:rPr>
          <w:i/>
        </w:rPr>
        <w:t>The People (DPP) przeciwko McCann</w:t>
      </w:r>
      <w:r w:rsidR="00426D77">
        <w:t>, [1998] 4 IR 397). W odniesieniu do ochrony przed samooskarżeniem Rząd zakwestionował wersję wydarzeń przedstawioną przez skarżącego. Wskazując na ustalenia sądu pierwszej instancji, który obejrzał nagrania wideo z przesłuchań, Rząd podkreślił, że sąd ten stwierdził, iż skarżący</w:t>
      </w:r>
      <w:r w:rsidR="009F003C">
        <w:br/>
      </w:r>
      <w:r w:rsidR="00426D77">
        <w:t xml:space="preserve">w pełni kontrolował siebie podczas przesłuchań oraz że przyznał się do winy, ponieważ taka była jego wola. Ponadto takie stanowisko skarżący wyraził podczas swojego </w:t>
      </w:r>
      <w:r w:rsidR="00CA2DA8">
        <w:t xml:space="preserve">20-go </w:t>
      </w:r>
      <w:r w:rsidR="00426D77">
        <w:t xml:space="preserve">przesłuchania. Rząd stwierdził, że nawet przy założeniu, że prawo skarżącego do dostępu do adwokata zostało ograniczone pod względem czynników określonych w </w:t>
      </w:r>
      <w:r w:rsidR="00426D77">
        <w:rPr>
          <w:i/>
        </w:rPr>
        <w:t xml:space="preserve">Ibrahim i Inni przeciwko Zjednoczonemu Królestwu </w:t>
      </w:r>
      <w:r w:rsidR="00426D77">
        <w:t>(</w:t>
      </w:r>
      <w:r w:rsidR="00426D77">
        <w:rPr>
          <w:snapToGrid w:val="0"/>
        </w:rPr>
        <w:t xml:space="preserve">[WI], nr 50541/08 i 3 inne, § 574, 13 września </w:t>
      </w:r>
      <w:r w:rsidR="00426D77">
        <w:rPr>
          <w:snapToGrid w:val="0"/>
        </w:rPr>
        <w:lastRenderedPageBreak/>
        <w:t>2016 r.), to nie doszło do nieodwracalnego naruszenia ogólnej rzetelności jego procesu.</w:t>
      </w:r>
    </w:p>
    <w:p w14:paraId="668E163C" w14:textId="77777777" w:rsidR="00B3070D" w:rsidRPr="00EE43AE" w:rsidRDefault="00B3070D" w:rsidP="00EE43AE">
      <w:pPr>
        <w:pStyle w:val="JuH1"/>
      </w:pPr>
      <w:r>
        <w:t>Ocena Trybunału</w:t>
      </w:r>
    </w:p>
    <w:p w14:paraId="73F7F39B" w14:textId="77777777" w:rsidR="00B3070D" w:rsidRPr="00EE43AE" w:rsidRDefault="00B3070D" w:rsidP="00EE43AE">
      <w:pPr>
        <w:pStyle w:val="JuHa0"/>
      </w:pPr>
      <w:r>
        <w:t>Ogólne zasady</w:t>
      </w:r>
    </w:p>
    <w:p w14:paraId="0A496C29" w14:textId="0759E888" w:rsidR="00B3070D" w:rsidRPr="00EE43AE" w:rsidRDefault="00FB401A" w:rsidP="00EE43AE">
      <w:pPr>
        <w:pStyle w:val="JuPara"/>
      </w:pPr>
      <w:r>
        <w:fldChar w:fldCharType="begin"/>
      </w:r>
      <w:r>
        <w:instrText xml:space="preserve"> SEQ level0 \*arabic </w:instrText>
      </w:r>
      <w:r>
        <w:fldChar w:fldCharType="separate"/>
      </w:r>
      <w:r w:rsidR="001D10DA">
        <w:rPr>
          <w:noProof/>
        </w:rPr>
        <w:t>67</w:t>
      </w:r>
      <w:r>
        <w:rPr>
          <w:noProof/>
        </w:rPr>
        <w:fldChar w:fldCharType="end"/>
      </w:r>
      <w:r w:rsidR="00426D77">
        <w:t>.  </w:t>
      </w:r>
      <w:r w:rsidR="00BF603B">
        <w:t>G</w:t>
      </w:r>
      <w:r w:rsidR="00426D77">
        <w:t xml:space="preserve">warantowane w art. 6 ust. 3 lit. c prawo do skutecznej obrony przez adwokata, przysługujące każdej osobie, której przedstawiono zarzuty karne, jest jednym z podstawowych </w:t>
      </w:r>
      <w:r w:rsidR="00BF603B">
        <w:t xml:space="preserve">składników </w:t>
      </w:r>
      <w:r w:rsidR="00426D77">
        <w:t xml:space="preserve">rzetelnego procesu (zob. </w:t>
      </w:r>
      <w:r w:rsidR="00426D77">
        <w:rPr>
          <w:i/>
        </w:rPr>
        <w:t>Salduz</w:t>
      </w:r>
      <w:r w:rsidR="00426D77">
        <w:t xml:space="preserve">, </w:t>
      </w:r>
      <w:r w:rsidR="00BF603B">
        <w:t>cyt.pow.</w:t>
      </w:r>
      <w:r w:rsidR="00426D77">
        <w:t>, § 51).</w:t>
      </w:r>
    </w:p>
    <w:p w14:paraId="3DC71545" w14:textId="19CD693C" w:rsidR="00B3070D" w:rsidRPr="00EE43AE" w:rsidRDefault="00FB401A" w:rsidP="00EE43AE">
      <w:pPr>
        <w:pStyle w:val="JuPara"/>
      </w:pPr>
      <w:r>
        <w:fldChar w:fldCharType="begin"/>
      </w:r>
      <w:r>
        <w:instrText xml:space="preserve"> SEQ level0 \*arabic </w:instrText>
      </w:r>
      <w:r>
        <w:fldChar w:fldCharType="separate"/>
      </w:r>
      <w:r w:rsidR="001D10DA">
        <w:rPr>
          <w:noProof/>
        </w:rPr>
        <w:t>68</w:t>
      </w:r>
      <w:r>
        <w:rPr>
          <w:noProof/>
        </w:rPr>
        <w:fldChar w:fldCharType="end"/>
      </w:r>
      <w:r w:rsidR="00426D77">
        <w:t xml:space="preserve">.  Od czasu wydania wyroku w sprawie </w:t>
      </w:r>
      <w:r w:rsidR="00426D77">
        <w:rPr>
          <w:i/>
        </w:rPr>
        <w:t>Salduz</w:t>
      </w:r>
      <w:r w:rsidR="00426D77">
        <w:t xml:space="preserve"> Wielka Izba wielokrotnie potwierdzała, wyjaśniała i ujednolicała, co to prawo obejmuje (zob. </w:t>
      </w:r>
      <w:r w:rsidR="00426D77">
        <w:rPr>
          <w:i/>
        </w:rPr>
        <w:t>Beuze</w:t>
      </w:r>
      <w:r w:rsidR="00426D77">
        <w:t xml:space="preserve">, </w:t>
      </w:r>
      <w:r w:rsidR="00DA3E88">
        <w:t xml:space="preserve">cyt. pow., </w:t>
      </w:r>
      <w:r w:rsidR="00426D77">
        <w:t xml:space="preserve">§§ 119-150; </w:t>
      </w:r>
      <w:r w:rsidR="00426D77">
        <w:rPr>
          <w:i/>
          <w:iCs/>
        </w:rPr>
        <w:t>Simeonovi przeciwko Bułgarii</w:t>
      </w:r>
      <w:r w:rsidR="00426D77">
        <w:t xml:space="preserve"> [WI], nr 21980/04, §§ 110-120, 12 maja 2017 r. oraz </w:t>
      </w:r>
      <w:r w:rsidR="00426D77">
        <w:rPr>
          <w:i/>
        </w:rPr>
        <w:t xml:space="preserve">Ibrahim i Inni przeciwko Zjednoczonemu Królestwu </w:t>
      </w:r>
      <w:r w:rsidR="00426D77">
        <w:rPr>
          <w:snapToGrid w:val="0"/>
        </w:rPr>
        <w:t>[</w:t>
      </w:r>
      <w:r w:rsidR="00426D77">
        <w:t>WI],</w:t>
      </w:r>
      <w:r w:rsidR="00426D77">
        <w:rPr>
          <w:snapToGrid w:val="0"/>
        </w:rPr>
        <w:t xml:space="preserve"> nr 50541/08</w:t>
      </w:r>
      <w:r w:rsidR="00426D77">
        <w:t xml:space="preserve"> i 3 inne</w:t>
      </w:r>
      <w:r w:rsidR="00426D77">
        <w:rPr>
          <w:snapToGrid w:val="0"/>
        </w:rPr>
        <w:t>,</w:t>
      </w:r>
      <w:r w:rsidR="00426D77">
        <w:t xml:space="preserve"> § 249-274, 13 września </w:t>
      </w:r>
      <w:r w:rsidR="00426D77">
        <w:rPr>
          <w:snapToGrid w:val="0"/>
        </w:rPr>
        <w:t>2016 r.</w:t>
      </w:r>
      <w:r w:rsidR="00426D77">
        <w:t>).</w:t>
      </w:r>
    </w:p>
    <w:p w14:paraId="1987D0A2" w14:textId="63CC311E" w:rsidR="00B3070D" w:rsidRPr="00EE43AE" w:rsidRDefault="00FB401A" w:rsidP="00EE43AE">
      <w:pPr>
        <w:pStyle w:val="JuPara"/>
      </w:pPr>
      <w:r>
        <w:fldChar w:fldCharType="begin"/>
      </w:r>
      <w:r>
        <w:instrText xml:space="preserve"> SEQ level0 \*arabic </w:instrText>
      </w:r>
      <w:r>
        <w:fldChar w:fldCharType="separate"/>
      </w:r>
      <w:r w:rsidR="001D10DA">
        <w:rPr>
          <w:noProof/>
        </w:rPr>
        <w:t>69</w:t>
      </w:r>
      <w:r>
        <w:rPr>
          <w:noProof/>
        </w:rPr>
        <w:fldChar w:fldCharType="end"/>
      </w:r>
      <w:r w:rsidR="00426D77">
        <w:t xml:space="preserve">.  W swoim </w:t>
      </w:r>
      <w:r w:rsidR="00DA3E88">
        <w:t xml:space="preserve">niedawnym </w:t>
      </w:r>
      <w:r w:rsidR="00426D77">
        <w:t xml:space="preserve">wyroku w sprawie </w:t>
      </w:r>
      <w:r w:rsidR="00426D77">
        <w:rPr>
          <w:i/>
        </w:rPr>
        <w:t>Beuze</w:t>
      </w:r>
      <w:r w:rsidR="00426D77">
        <w:t xml:space="preserve"> Wielka Izba podkreśliła, że od czasu wydania wyroku w wyżej przytoczonej sprawie </w:t>
      </w:r>
      <w:r w:rsidR="00426D77">
        <w:rPr>
          <w:i/>
          <w:iCs/>
        </w:rPr>
        <w:t xml:space="preserve">Salduz </w:t>
      </w:r>
      <w:r w:rsidR="00426D77">
        <w:t xml:space="preserve">jej orzecznictwo dotyczące praw gwarantowanych art. 6 ust. 3 stopniowo ewoluowało, a wyżej przytoczona sprawa </w:t>
      </w:r>
      <w:r w:rsidR="00426D77">
        <w:rPr>
          <w:i/>
        </w:rPr>
        <w:t xml:space="preserve">Beuze </w:t>
      </w:r>
      <w:r w:rsidR="00426D77">
        <w:t>dała jej możliwość ponownego przedstawienia powodów, dla których prawo to stanowi jeden z podstawowych aspektów prawa do rzetelnego procesu, udzielenia wyjaśnień co do rodzaju pomocy prawnej wymaganej przed pierwszym przesłuchaniem przez policję lub pierwszym przesłuchaniem przez sędziego oraz wyjaśnienia, czy fizyczna obecność adwokata jest wymagana w trakcie</w:t>
      </w:r>
      <w:r w:rsidR="00DA3E88">
        <w:t xml:space="preserve"> każdego</w:t>
      </w:r>
      <w:r w:rsidR="00426D77">
        <w:t xml:space="preserve"> przesłuchania lub innych czynności dochodzeniowo-śledczych przeprowadzanych w okresie zatrzymania przez policję</w:t>
      </w:r>
      <w:r w:rsidR="00DA3E88">
        <w:t xml:space="preserve"> </w:t>
      </w:r>
      <w:r w:rsidR="00426D77">
        <w:t>oraz</w:t>
      </w:r>
      <w:r w:rsidR="00DA3E88">
        <w:t xml:space="preserve"> </w:t>
      </w:r>
      <w:r w:rsidR="00426D77">
        <w:t>w okresie postępowania przygotowawczego (które w tym przypadku prowadz</w:t>
      </w:r>
      <w:r w:rsidR="00DF2C68">
        <w:t>one było przez</w:t>
      </w:r>
      <w:r w:rsidR="00426D77">
        <w:t xml:space="preserve"> sędzi</w:t>
      </w:r>
      <w:r w:rsidR="00DF2C68">
        <w:t>ego</w:t>
      </w:r>
      <w:r w:rsidR="00426D77">
        <w:t xml:space="preserve"> śledcz</w:t>
      </w:r>
      <w:r w:rsidR="00DF2C68">
        <w:t>ego</w:t>
      </w:r>
      <w:r w:rsidR="00426D77">
        <w:t xml:space="preserve">) (zob. </w:t>
      </w:r>
      <w:r w:rsidR="00426D77">
        <w:rPr>
          <w:i/>
        </w:rPr>
        <w:t>Beuze</w:t>
      </w:r>
      <w:r w:rsidR="00426D77">
        <w:t xml:space="preserve">, </w:t>
      </w:r>
      <w:r w:rsidR="00DF2C68">
        <w:t xml:space="preserve">cyt. pow., </w:t>
      </w:r>
      <w:r w:rsidR="00426D77">
        <w:t>§ 117).</w:t>
      </w:r>
    </w:p>
    <w:p w14:paraId="0A5BA528" w14:textId="7AB3BC35" w:rsidR="00B3070D" w:rsidRPr="00EE43AE" w:rsidRDefault="00FB401A" w:rsidP="00EE43AE">
      <w:pPr>
        <w:pStyle w:val="JuPara"/>
      </w:pPr>
      <w:r>
        <w:fldChar w:fldCharType="begin"/>
      </w:r>
      <w:r>
        <w:instrText xml:space="preserve"> SEQ level0 \*arabic </w:instrText>
      </w:r>
      <w:r>
        <w:fldChar w:fldCharType="separate"/>
      </w:r>
      <w:r w:rsidR="001D10DA">
        <w:rPr>
          <w:noProof/>
        </w:rPr>
        <w:t>70</w:t>
      </w:r>
      <w:r>
        <w:rPr>
          <w:noProof/>
        </w:rPr>
        <w:fldChar w:fldCharType="end"/>
      </w:r>
      <w:r w:rsidR="00426D77">
        <w:t xml:space="preserve">.  Powtórzyła również, że to, co stanowi rzetelny proces, nie może </w:t>
      </w:r>
      <w:r w:rsidR="00DF2C68">
        <w:t>podlegać</w:t>
      </w:r>
      <w:r w:rsidR="00426D77">
        <w:t xml:space="preserve"> jednej niezmiennej </w:t>
      </w:r>
      <w:r w:rsidR="00DF2C68">
        <w:t>regule</w:t>
      </w:r>
      <w:r w:rsidR="00426D77">
        <w:t xml:space="preserve">, </w:t>
      </w:r>
      <w:r w:rsidR="00DF2C68">
        <w:t xml:space="preserve">ale </w:t>
      </w:r>
      <w:r w:rsidR="00426D77">
        <w:t xml:space="preserve">musi zależeć od okoliczności konkretnej sprawy. Podstawową kwestią dla Trybunału, przy rozpatrywaniu skargi </w:t>
      </w:r>
      <w:r w:rsidR="00DF2C68">
        <w:t>z</w:t>
      </w:r>
      <w:r w:rsidR="00426D77">
        <w:t xml:space="preserve"> art. 6 ust. 1, jest ocena ogólnej rzetelności postępowania karnego (zob. </w:t>
      </w:r>
      <w:r w:rsidR="00426D77">
        <w:rPr>
          <w:i/>
        </w:rPr>
        <w:t>Beuze</w:t>
      </w:r>
      <w:r w:rsidR="00426D77">
        <w:t xml:space="preserve">, </w:t>
      </w:r>
      <w:r w:rsidR="00DF2C68" w:rsidRPr="00FB401A">
        <w:t>cyt. pow.</w:t>
      </w:r>
      <w:r w:rsidR="00426D77" w:rsidRPr="00B17AC2">
        <w:t>,</w:t>
      </w:r>
      <w:r w:rsidR="00426D77">
        <w:t xml:space="preserve"> § 120 z dalszymi odniesieniami).</w:t>
      </w:r>
    </w:p>
    <w:p w14:paraId="78DB9BE3" w14:textId="530FF0CC" w:rsidR="00B3070D" w:rsidRPr="00EE43AE" w:rsidRDefault="00FB401A" w:rsidP="00EE43AE">
      <w:pPr>
        <w:pStyle w:val="JuPara"/>
      </w:pPr>
      <w:r>
        <w:fldChar w:fldCharType="begin"/>
      </w:r>
      <w:r>
        <w:instrText xml:space="preserve"> SEQ level0 \*arabic </w:instrText>
      </w:r>
      <w:r>
        <w:fldChar w:fldCharType="separate"/>
      </w:r>
      <w:r w:rsidR="001D10DA">
        <w:rPr>
          <w:noProof/>
        </w:rPr>
        <w:t>71</w:t>
      </w:r>
      <w:r>
        <w:rPr>
          <w:noProof/>
        </w:rPr>
        <w:fldChar w:fldCharType="end"/>
      </w:r>
      <w:r w:rsidR="00426D77">
        <w:t xml:space="preserve">.  Zgodność z wymogami rzetelnego procesu musi </w:t>
      </w:r>
      <w:r w:rsidR="00DF2C68">
        <w:t xml:space="preserve">zatem być </w:t>
      </w:r>
      <w:r w:rsidR="00426D77">
        <w:t>każdorazowo badana w kontekście rozwoju postępowania jako całości,</w:t>
      </w:r>
      <w:r w:rsidR="00DF2C68">
        <w:t xml:space="preserve"> a</w:t>
      </w:r>
      <w:r w:rsidR="00426D77">
        <w:t xml:space="preserve"> nie na podstawie </w:t>
      </w:r>
      <w:r w:rsidR="00DF2C68">
        <w:t xml:space="preserve">odosobnionej </w:t>
      </w:r>
      <w:r w:rsidR="00426D77">
        <w:t xml:space="preserve">oceny jednego </w:t>
      </w:r>
      <w:r w:rsidR="00EB354D">
        <w:t xml:space="preserve">konkretnego </w:t>
      </w:r>
      <w:r w:rsidR="00426D77">
        <w:t xml:space="preserve">aspektu </w:t>
      </w:r>
      <w:r w:rsidR="00EB354D">
        <w:t>lub jednego konkretnego zdarzenia</w:t>
      </w:r>
      <w:r w:rsidR="00426D77">
        <w:t xml:space="preserve">, </w:t>
      </w:r>
      <w:r w:rsidR="00EB354D">
        <w:t>choć</w:t>
      </w:r>
      <w:r w:rsidR="00426D77">
        <w:t xml:space="preserve"> nie można wykluczyć, że pojedynczy czynnik </w:t>
      </w:r>
      <w:r w:rsidR="00EB354D">
        <w:t>może być na tyle decydujący</w:t>
      </w:r>
      <w:r w:rsidR="00426D77">
        <w:t>, że umożliwi ocenę rzetelności procesu na wcześniejszym etapie postępowania. Oceniając ogólną rzetelność postępowania, Trybunał weźmie pod uwagę</w:t>
      </w:r>
      <w:r w:rsidR="00EB354D">
        <w:t>, w stosownych przypadkach,</w:t>
      </w:r>
      <w:r w:rsidR="00426D77">
        <w:t xml:space="preserve"> prawa minimalne wymienione w art. 6 ust. 3, które stanowią przykład wymogów rzetelnego procesu w odniesieniu do typowych </w:t>
      </w:r>
      <w:r w:rsidR="00EB354D">
        <w:t xml:space="preserve">sytuacji </w:t>
      </w:r>
      <w:r w:rsidR="00426D77">
        <w:lastRenderedPageBreak/>
        <w:t xml:space="preserve">procesowych, które pojawiają się w sprawach karnych. Można je zatem uznać </w:t>
      </w:r>
      <w:r w:rsidR="00EB354D">
        <w:t xml:space="preserve">jako </w:t>
      </w:r>
      <w:r w:rsidR="00426D77">
        <w:t xml:space="preserve">szczególne aspekty koncepcji rzetelnego procesu w postępowaniu karnym w art. 6 ust. 1 (zob. </w:t>
      </w:r>
      <w:r w:rsidR="00426D77">
        <w:rPr>
          <w:i/>
        </w:rPr>
        <w:t>Beuze</w:t>
      </w:r>
      <w:r w:rsidR="00426D77">
        <w:t xml:space="preserve">, </w:t>
      </w:r>
      <w:r w:rsidR="00EB354D" w:rsidRPr="00FB401A">
        <w:t>cyt.</w:t>
      </w:r>
      <w:r w:rsidR="00543462">
        <w:t xml:space="preserve"> </w:t>
      </w:r>
      <w:r w:rsidR="00EB354D" w:rsidRPr="00FB401A">
        <w:t>pow</w:t>
      </w:r>
      <w:r w:rsidR="00EB354D">
        <w:rPr>
          <w:i/>
          <w:iCs/>
        </w:rPr>
        <w:t>.</w:t>
      </w:r>
      <w:r w:rsidR="00543462">
        <w:rPr>
          <w:i/>
          <w:iCs/>
        </w:rPr>
        <w:t>,</w:t>
      </w:r>
      <w:r w:rsidR="00426D77">
        <w:t xml:space="preserve"> § 121, z dalszymi odniesieniami).</w:t>
      </w:r>
    </w:p>
    <w:p w14:paraId="1BF841B0" w14:textId="77777777" w:rsidR="00B3070D" w:rsidRPr="00EE43AE" w:rsidRDefault="00FB401A" w:rsidP="00EE43AE">
      <w:pPr>
        <w:pStyle w:val="JuPara"/>
      </w:pPr>
      <w:r>
        <w:fldChar w:fldCharType="begin"/>
      </w:r>
      <w:r>
        <w:instrText xml:space="preserve"> SEQ level0 \*arabi</w:instrText>
      </w:r>
      <w:r>
        <w:instrText xml:space="preserve">c </w:instrText>
      </w:r>
      <w:r>
        <w:fldChar w:fldCharType="separate"/>
      </w:r>
      <w:r w:rsidR="001D10DA">
        <w:rPr>
          <w:noProof/>
        </w:rPr>
        <w:t>72</w:t>
      </w:r>
      <w:r>
        <w:rPr>
          <w:noProof/>
        </w:rPr>
        <w:fldChar w:fldCharType="end"/>
      </w:r>
      <w:r w:rsidR="00426D77">
        <w:t>.  Według Trybunału, te minimalne prawa gwarantowane w art. 6 ust. 3 nie są jednak celem samym w sobie: ich nieodłącznym celem jest</w:t>
      </w:r>
      <w:r w:rsidR="004B40FB">
        <w:br/>
      </w:r>
      <w:r w:rsidR="00426D77">
        <w:t xml:space="preserve">w każdym przypadku przyczynianie się do zapewnienia rzetelności postępowania karnego jako całości (zob. </w:t>
      </w:r>
      <w:r w:rsidR="00426D77">
        <w:rPr>
          <w:i/>
        </w:rPr>
        <w:t>Beuze</w:t>
      </w:r>
      <w:r w:rsidR="00426D77">
        <w:t xml:space="preserve">, </w:t>
      </w:r>
      <w:r w:rsidR="00426D77">
        <w:rPr>
          <w:i/>
          <w:iCs/>
        </w:rPr>
        <w:t>op. cit</w:t>
      </w:r>
      <w:r w:rsidR="00426D77">
        <w:t xml:space="preserve">., § 122, oraz </w:t>
      </w:r>
      <w:r w:rsidR="00426D77">
        <w:rPr>
          <w:i/>
        </w:rPr>
        <w:t>Ibrahim i Inni</w:t>
      </w:r>
      <w:r w:rsidR="00426D77">
        <w:t xml:space="preserve">, </w:t>
      </w:r>
      <w:r w:rsidR="00426D77">
        <w:rPr>
          <w:i/>
          <w:iCs/>
        </w:rPr>
        <w:t>op. cit</w:t>
      </w:r>
      <w:r w:rsidR="00426D77">
        <w:t>., §§ 251 i 262, z dalszymi odniesieniami).</w:t>
      </w:r>
    </w:p>
    <w:p w14:paraId="1DFCB7E9" w14:textId="209CD430" w:rsidR="00B3070D" w:rsidRPr="00EE43AE" w:rsidRDefault="00FB401A" w:rsidP="00EE43AE">
      <w:pPr>
        <w:pStyle w:val="JuPara"/>
      </w:pPr>
      <w:r>
        <w:fldChar w:fldCharType="begin"/>
      </w:r>
      <w:r>
        <w:instrText xml:space="preserve"> SEQ level0 \*arabic </w:instrText>
      </w:r>
      <w:r>
        <w:fldChar w:fldCharType="separate"/>
      </w:r>
      <w:r w:rsidR="001D10DA">
        <w:rPr>
          <w:noProof/>
        </w:rPr>
        <w:t>73</w:t>
      </w:r>
      <w:r>
        <w:rPr>
          <w:noProof/>
        </w:rPr>
        <w:fldChar w:fldCharType="end"/>
      </w:r>
      <w:r w:rsidR="00426D77">
        <w:t xml:space="preserve">.  Jeśli chodzi o treść prawa dostępu do adwokata, art. 6 ust. 3 lit. c nie określa sposobu korzystania z prawa dostępu do adwokata ani jego treści. Chociaż pozostawia ona państwom wybór środków zapewniających jego zabezpieczenie w ich systemach sądowych, zakres i treść tego prawa powinny być określone zgodnie z celem Konwencji, a mianowicie zagwarantowaniem praw, które są praktyczne i skuteczne (zob. </w:t>
      </w:r>
      <w:r w:rsidR="00426D77">
        <w:rPr>
          <w:i/>
        </w:rPr>
        <w:t>Beuze</w:t>
      </w:r>
      <w:r w:rsidR="00426D77">
        <w:t xml:space="preserve">, </w:t>
      </w:r>
      <w:r w:rsidR="00543462" w:rsidRPr="00FB401A">
        <w:t>cyt. pow.,</w:t>
      </w:r>
      <w:r w:rsidR="00426D77" w:rsidRPr="00B17AC2">
        <w:t xml:space="preserve"> </w:t>
      </w:r>
      <w:r w:rsidR="00426D77">
        <w:t>§ 131).</w:t>
      </w:r>
    </w:p>
    <w:p w14:paraId="03281740" w14:textId="5C986EE7" w:rsidR="00B3070D" w:rsidRPr="00EE43AE" w:rsidRDefault="00FB401A" w:rsidP="00EE43AE">
      <w:pPr>
        <w:pStyle w:val="JuPara"/>
        <w:rPr>
          <w:i/>
        </w:rPr>
      </w:pPr>
      <w:r>
        <w:fldChar w:fldCharType="begin"/>
      </w:r>
      <w:r>
        <w:instrText xml:space="preserve"> SEQ level0 \*arabic </w:instrText>
      </w:r>
      <w:r>
        <w:fldChar w:fldCharType="separate"/>
      </w:r>
      <w:r w:rsidR="001D10DA">
        <w:rPr>
          <w:noProof/>
        </w:rPr>
        <w:t>74</w:t>
      </w:r>
      <w:r>
        <w:rPr>
          <w:noProof/>
        </w:rPr>
        <w:fldChar w:fldCharType="end"/>
      </w:r>
      <w:r w:rsidR="00426D77">
        <w:t xml:space="preserve">.  Po pierwsze, podejrzani muszą mieć możliwość nawiązania kontaktu z adwokatem już od chwili zatrzymania. Z tego też względu podejrzany musi mieć możliwość skonsultowania się ze swoim adwokatem przed przesłuchaniem, a nawet wtedy, gdy przesłuchanie nie ma miejsca (zob. </w:t>
      </w:r>
      <w:r w:rsidR="00426D77">
        <w:rPr>
          <w:i/>
        </w:rPr>
        <w:t>Beuze</w:t>
      </w:r>
      <w:r w:rsidR="00426D77">
        <w:t xml:space="preserve">, </w:t>
      </w:r>
      <w:r w:rsidR="00543462" w:rsidRPr="00FB401A">
        <w:t>cyt. pow.,</w:t>
      </w:r>
      <w:r w:rsidR="00426D77">
        <w:t xml:space="preserve"> §§ 124 i 133 </w:t>
      </w:r>
      <w:r w:rsidR="00543462">
        <w:t xml:space="preserve">i </w:t>
      </w:r>
      <w:r w:rsidR="00426D77">
        <w:rPr>
          <w:i/>
        </w:rPr>
        <w:t>Simeonovi</w:t>
      </w:r>
      <w:r w:rsidR="00426D77">
        <w:t xml:space="preserve">, </w:t>
      </w:r>
      <w:r w:rsidR="00543462" w:rsidRPr="00FB401A">
        <w:t>cyt. pow.,</w:t>
      </w:r>
      <w:r w:rsidR="00426D77">
        <w:t xml:space="preserve"> §§ 111, 114 i 121). Adwokat musi mieć możliwość odbycia rozmowy ze swoim klientem na osobności i odebrania poufnych instrukcji. Po drugie, podejrzani mają prawo do fizycznej obecności adwokata podczas </w:t>
      </w:r>
      <w:r w:rsidR="008047E8">
        <w:t xml:space="preserve">ich </w:t>
      </w:r>
      <w:r w:rsidR="00426D77">
        <w:t>wstępnego przesłuchania przez policję oraz za każdym razem, gdy są przesłuchiwani w późniejszym postępowaniu przygotowawczym. Taka fizyczna obecność musi dać adwokatowi możliwość zapewnienia pomocy, która jest skuteczna</w:t>
      </w:r>
      <w:r w:rsidR="004B40FB">
        <w:br/>
      </w:r>
      <w:r w:rsidR="00426D77">
        <w:t xml:space="preserve">i praktyczna, a nie tylko abstrakcyjna, a w szczególności zapewnić, by prawo do obrony przesłuchiwanego podejrzanego nie </w:t>
      </w:r>
      <w:r w:rsidR="008047E8">
        <w:t>będzie naruszane</w:t>
      </w:r>
      <w:r w:rsidR="00426D77">
        <w:t xml:space="preserve"> (zob. </w:t>
      </w:r>
      <w:r w:rsidR="00426D77">
        <w:rPr>
          <w:i/>
        </w:rPr>
        <w:t>Beuze</w:t>
      </w:r>
      <w:r w:rsidR="00426D77">
        <w:t xml:space="preserve">, </w:t>
      </w:r>
      <w:r w:rsidR="008047E8" w:rsidRPr="00FB401A">
        <w:t>cyt. pow.</w:t>
      </w:r>
      <w:r w:rsidR="008047E8">
        <w:t>,</w:t>
      </w:r>
      <w:r w:rsidR="00426D77">
        <w:t xml:space="preserve"> §§ 132-134 </w:t>
      </w:r>
      <w:r w:rsidR="008047E8">
        <w:t xml:space="preserve">i </w:t>
      </w:r>
      <w:r w:rsidR="00426D77">
        <w:rPr>
          <w:i/>
          <w:iCs/>
        </w:rPr>
        <w:t>Soytemiz przeciwko Turcji</w:t>
      </w:r>
      <w:r w:rsidR="00426D77">
        <w:t xml:space="preserve">, nr 57837/09, §§ 43-46, 27 listopada 2018 r.). Po trzecie, jednym z głównych zadań adwokata na etapie zatrzymania przez policję i prowadzenia postępowania przygotowawczego jest zapewnienie poszanowania prawa oskarżonego do nieobciążania siebie oraz jego prawa do odmowy składania wyjaśnień (zob. </w:t>
      </w:r>
      <w:r w:rsidR="00426D77">
        <w:rPr>
          <w:i/>
        </w:rPr>
        <w:t>Salduz</w:t>
      </w:r>
      <w:r w:rsidR="00426D77">
        <w:t xml:space="preserve">, </w:t>
      </w:r>
      <w:r w:rsidR="008047E8" w:rsidRPr="00FB401A">
        <w:t>cyt. pow.</w:t>
      </w:r>
      <w:r w:rsidR="008047E8">
        <w:t>,</w:t>
      </w:r>
      <w:r w:rsidR="00426D77">
        <w:t xml:space="preserve"> § 54, </w:t>
      </w:r>
      <w:r w:rsidR="00426D77">
        <w:rPr>
          <w:i/>
        </w:rPr>
        <w:t>Beuze</w:t>
      </w:r>
      <w:r w:rsidR="00426D77">
        <w:t xml:space="preserve">, </w:t>
      </w:r>
      <w:r w:rsidR="008047E8" w:rsidRPr="00FB401A">
        <w:t>cyt. pow.,</w:t>
      </w:r>
      <w:r w:rsidR="00426D77">
        <w:t xml:space="preserve"> § 128, z dalszymi odniesieniami</w:t>
      </w:r>
      <w:r w:rsidR="008047E8">
        <w:t xml:space="preserve"> i </w:t>
      </w:r>
      <w:r w:rsidR="00426D77">
        <w:rPr>
          <w:i/>
          <w:iCs/>
        </w:rPr>
        <w:t>Soytemiz przeciwko Turcji</w:t>
      </w:r>
      <w:r w:rsidR="00426D77">
        <w:t>, nr 57837/09, §§ 43-46, 27 listopada 2018 r.).</w:t>
      </w:r>
    </w:p>
    <w:p w14:paraId="3410AF2B" w14:textId="6EF95F72" w:rsidR="00B3070D" w:rsidRPr="00EE43AE" w:rsidRDefault="00FB401A" w:rsidP="00EE43AE">
      <w:pPr>
        <w:pStyle w:val="JuPara"/>
      </w:pPr>
      <w:r>
        <w:fldChar w:fldCharType="begin"/>
      </w:r>
      <w:r>
        <w:instrText xml:space="preserve"> SEQ level0 \*arabic </w:instrText>
      </w:r>
      <w:r>
        <w:fldChar w:fldCharType="separate"/>
      </w:r>
      <w:r w:rsidR="001D10DA">
        <w:rPr>
          <w:noProof/>
        </w:rPr>
        <w:t>75</w:t>
      </w:r>
      <w:r>
        <w:rPr>
          <w:noProof/>
        </w:rPr>
        <w:fldChar w:fldCharType="end"/>
      </w:r>
      <w:r w:rsidR="00426D77">
        <w:t xml:space="preserve">.  Test, który ma zastosowanie na podstawie art. 6 ust. 1 i 3 lit. c Konwencji składa się z dwóch etapów – w pierwszej kolejności bada się, czy istniały istotne powody uzasadniające ograniczenie prawa dostępu do adwokata, a następnie bada się ogólną rzetelność postępowania </w:t>
      </w:r>
      <w:r w:rsidR="00426D77">
        <w:rPr>
          <w:i/>
        </w:rPr>
        <w:t>(Beuze</w:t>
      </w:r>
      <w:r w:rsidR="00426D77">
        <w:t xml:space="preserve">, </w:t>
      </w:r>
      <w:r w:rsidR="00824831">
        <w:t>cyt. pow.,</w:t>
      </w:r>
      <w:r w:rsidR="00426D77">
        <w:t xml:space="preserve"> §§ 138 i 141 oraz </w:t>
      </w:r>
      <w:r w:rsidR="00426D77">
        <w:rPr>
          <w:i/>
        </w:rPr>
        <w:t>Ibrahim i Inni</w:t>
      </w:r>
      <w:r w:rsidR="00426D77">
        <w:t xml:space="preserve">, </w:t>
      </w:r>
      <w:r w:rsidR="00824831" w:rsidRPr="00FB401A">
        <w:t>cyt. pow.,</w:t>
      </w:r>
      <w:r w:rsidR="00426D77">
        <w:t xml:space="preserve"> §§ 257 i 258-62).</w:t>
      </w:r>
    </w:p>
    <w:p w14:paraId="7F1CD1F2" w14:textId="3918F380" w:rsidR="00B3070D" w:rsidRPr="00EE43AE" w:rsidRDefault="00FB401A" w:rsidP="00EE43AE">
      <w:pPr>
        <w:pStyle w:val="JuPara"/>
      </w:pPr>
      <w:r>
        <w:fldChar w:fldCharType="begin"/>
      </w:r>
      <w:r>
        <w:instrText xml:space="preserve"> SEQ level0 \*arabic </w:instrText>
      </w:r>
      <w:r>
        <w:fldChar w:fldCharType="separate"/>
      </w:r>
      <w:r w:rsidR="001D10DA">
        <w:rPr>
          <w:noProof/>
        </w:rPr>
        <w:t>76</w:t>
      </w:r>
      <w:r>
        <w:rPr>
          <w:noProof/>
        </w:rPr>
        <w:fldChar w:fldCharType="end"/>
      </w:r>
      <w:r w:rsidR="00426D77">
        <w:t xml:space="preserve">.  W sprawie </w:t>
      </w:r>
      <w:r w:rsidR="00426D77">
        <w:rPr>
          <w:i/>
        </w:rPr>
        <w:t>Beuze</w:t>
      </w:r>
      <w:r w:rsidR="00426D77">
        <w:t xml:space="preserve"> Trybunał potwierdził, że stwierdzenie istotnych powodów nie może wynikać z samego istnienia przepisów wykluczających obecność adwokata. </w:t>
      </w:r>
      <w:r w:rsidR="00824831">
        <w:t xml:space="preserve">Trybunał stwierdził także, że niezależnie od tego, czy </w:t>
      </w:r>
      <w:r w:rsidR="00824831">
        <w:lastRenderedPageBreak/>
        <w:t xml:space="preserve">istnieją istotne powody, konieczne jest w każdej sprawie spojrzenie na postępowanie jako całość, ponieważ </w:t>
      </w:r>
      <w:r w:rsidR="00426D77">
        <w:t xml:space="preserve">Trybunał odrzucił już argument skarżących, zgodnie z którym w sprawie </w:t>
      </w:r>
      <w:r w:rsidR="00426D77">
        <w:rPr>
          <w:i/>
        </w:rPr>
        <w:t>Salduz</w:t>
      </w:r>
      <w:r w:rsidR="00426D77">
        <w:t xml:space="preserve"> ustanowił bezwzględną zasadę, zgodnie z którą ustawowe i </w:t>
      </w:r>
      <w:r w:rsidR="00BD56FA">
        <w:t xml:space="preserve">systemowe żródło </w:t>
      </w:r>
      <w:r w:rsidR="00426D77">
        <w:t xml:space="preserve">ograniczenia prawa dostępu do adwokata wystarcza do stwierdzenia, przy braku istotnych powodów, naruszenia wymogów wynikających z art. 6 </w:t>
      </w:r>
      <w:r w:rsidR="00426D77">
        <w:rPr>
          <w:i/>
        </w:rPr>
        <w:t>(Beuze</w:t>
      </w:r>
      <w:r w:rsidR="00426D77">
        <w:t xml:space="preserve">, </w:t>
      </w:r>
      <w:r w:rsidR="00BD56FA" w:rsidRPr="00FB401A">
        <w:t>cyt. pow.,</w:t>
      </w:r>
      <w:r w:rsidR="00426D77">
        <w:t xml:space="preserve"> §§ 142 i 144; </w:t>
      </w:r>
      <w:r w:rsidR="00426D77">
        <w:rPr>
          <w:i/>
        </w:rPr>
        <w:t>Ibrahim i Inni</w:t>
      </w:r>
      <w:r w:rsidR="00426D77">
        <w:t xml:space="preserve">, </w:t>
      </w:r>
      <w:r w:rsidR="00BD56FA">
        <w:t>cyt. pow.,</w:t>
      </w:r>
      <w:r w:rsidR="00426D77">
        <w:t xml:space="preserve"> §§ 258 i 262).</w:t>
      </w:r>
    </w:p>
    <w:p w14:paraId="0FAF3325" w14:textId="421BC319" w:rsidR="00B3070D" w:rsidRPr="00EE43AE" w:rsidRDefault="00FB401A" w:rsidP="00EE43AE">
      <w:pPr>
        <w:pStyle w:val="JuPara"/>
      </w:pPr>
      <w:r>
        <w:fldChar w:fldCharType="begin"/>
      </w:r>
      <w:r>
        <w:instrText xml:space="preserve"> SEQ level0 \*arabic </w:instrText>
      </w:r>
      <w:r>
        <w:fldChar w:fldCharType="separate"/>
      </w:r>
      <w:r w:rsidR="001D10DA">
        <w:rPr>
          <w:noProof/>
        </w:rPr>
        <w:t>77</w:t>
      </w:r>
      <w:r>
        <w:rPr>
          <w:noProof/>
        </w:rPr>
        <w:fldChar w:fldCharType="end"/>
      </w:r>
      <w:r w:rsidR="00426D77">
        <w:t xml:space="preserve">.  Jednakże, jak wskazał Trybunał, w przypadku braku istotnych powodów uzasadniających takie ograniczenie, zastosuje on bardzo ścisłą kontrolę przy ocenie rzetelności </w:t>
      </w:r>
      <w:r w:rsidR="00426D77">
        <w:rPr>
          <w:i/>
        </w:rPr>
        <w:t>(Beuze</w:t>
      </w:r>
      <w:r w:rsidR="00426D77">
        <w:t xml:space="preserve">, </w:t>
      </w:r>
      <w:r w:rsidR="00BD56FA" w:rsidRPr="00FB401A">
        <w:t>cyt. pow.,</w:t>
      </w:r>
      <w:r w:rsidR="00426D77">
        <w:t xml:space="preserve"> § 145).</w:t>
      </w:r>
    </w:p>
    <w:p w14:paraId="4F49BA3A" w14:textId="22FE48DF" w:rsidR="00B3070D" w:rsidRPr="00EE43AE" w:rsidRDefault="00FB401A" w:rsidP="00EE43AE">
      <w:pPr>
        <w:pStyle w:val="JuPara"/>
      </w:pPr>
      <w:r>
        <w:fldChar w:fldCharType="begin"/>
      </w:r>
      <w:r>
        <w:instrText xml:space="preserve"> SEQ level0 \*arabic </w:instrText>
      </w:r>
      <w:r>
        <w:fldChar w:fldCharType="separate"/>
      </w:r>
      <w:r w:rsidR="001D10DA">
        <w:rPr>
          <w:noProof/>
        </w:rPr>
        <w:t>78</w:t>
      </w:r>
      <w:r>
        <w:rPr>
          <w:noProof/>
        </w:rPr>
        <w:fldChar w:fldCharType="end"/>
      </w:r>
      <w:r w:rsidR="00426D77">
        <w:t>.  </w:t>
      </w:r>
      <w:r w:rsidR="006B567B">
        <w:t>Na podstawie orzecznictwa o</w:t>
      </w:r>
      <w:r w:rsidR="00426D77">
        <w:t xml:space="preserve">pracowano </w:t>
      </w:r>
      <w:r w:rsidR="00CC3F80">
        <w:t xml:space="preserve">niezamkniętą listę </w:t>
      </w:r>
      <w:r w:rsidR="000620C0">
        <w:t>czynników,</w:t>
      </w:r>
      <w:r w:rsidR="00426D77">
        <w:t xml:space="preserve"> które Trybunał będzie brał pod uwagę, w stosownych przypadkach, podczas badania postępowania jako całości, w celu oceny wpływu uchybień proceduralnych na etapie postępowania przygotowawczego na ogólną rzetelność postępowania karnego (</w:t>
      </w:r>
      <w:r w:rsidR="001E11DC">
        <w:t>aby</w:t>
      </w:r>
      <w:r w:rsidR="00426D77">
        <w:t xml:space="preserve"> uzyska</w:t>
      </w:r>
      <w:r w:rsidR="001E11DC">
        <w:t>ć</w:t>
      </w:r>
      <w:r w:rsidR="00426D77">
        <w:t xml:space="preserve"> </w:t>
      </w:r>
      <w:r w:rsidR="001E11DC">
        <w:t>bardziej szczegółowe informacje, zob.</w:t>
      </w:r>
      <w:r w:rsidR="00426D77">
        <w:t xml:space="preserve"> </w:t>
      </w:r>
      <w:r w:rsidR="00426D77">
        <w:rPr>
          <w:i/>
        </w:rPr>
        <w:t>Beuze</w:t>
      </w:r>
      <w:r w:rsidR="00426D77">
        <w:t xml:space="preserve">, </w:t>
      </w:r>
      <w:r w:rsidR="00DF08C9" w:rsidRPr="00FB401A">
        <w:t>cyt. pow.,</w:t>
      </w:r>
      <w:r w:rsidR="00426D77">
        <w:t xml:space="preserve"> § 150; </w:t>
      </w:r>
      <w:r w:rsidR="00426D77">
        <w:rPr>
          <w:i/>
        </w:rPr>
        <w:t>Simeonovi</w:t>
      </w:r>
      <w:r w:rsidR="00426D77">
        <w:t xml:space="preserve">, </w:t>
      </w:r>
      <w:r w:rsidR="00DF08C9">
        <w:t>cyt. pow.,</w:t>
      </w:r>
      <w:r w:rsidR="00426D77">
        <w:t xml:space="preserve"> § 120, oraz </w:t>
      </w:r>
      <w:r w:rsidR="00426D77">
        <w:rPr>
          <w:i/>
        </w:rPr>
        <w:t>Ibrahim i Inni</w:t>
      </w:r>
      <w:r w:rsidR="00426D77">
        <w:t xml:space="preserve">, </w:t>
      </w:r>
      <w:r w:rsidR="00DF08C9">
        <w:t>cyt. pow.,</w:t>
      </w:r>
      <w:r w:rsidR="00426D77">
        <w:t xml:space="preserve"> § 274).</w:t>
      </w:r>
    </w:p>
    <w:p w14:paraId="5A7A2E37" w14:textId="77777777" w:rsidR="00B3070D" w:rsidRPr="00EE43AE" w:rsidRDefault="00B3070D" w:rsidP="00EE43AE">
      <w:pPr>
        <w:pStyle w:val="JuHa0"/>
      </w:pPr>
      <w:r>
        <w:t>Zastosowanie ogólnych zasad w niniejszej sprawie</w:t>
      </w:r>
    </w:p>
    <w:p w14:paraId="1C4BEA72" w14:textId="593FF168" w:rsidR="00B3070D" w:rsidRPr="00EE43AE" w:rsidRDefault="00FB401A" w:rsidP="00EE43AE">
      <w:pPr>
        <w:pStyle w:val="JuPara"/>
      </w:pPr>
      <w:r>
        <w:fldChar w:fldCharType="begin"/>
      </w:r>
      <w:r>
        <w:instrText xml:space="preserve"> SEQ level0 \*arabic </w:instrText>
      </w:r>
      <w:r>
        <w:fldChar w:fldCharType="separate"/>
      </w:r>
      <w:r w:rsidR="001D10DA">
        <w:rPr>
          <w:noProof/>
        </w:rPr>
        <w:t>79</w:t>
      </w:r>
      <w:r>
        <w:rPr>
          <w:noProof/>
        </w:rPr>
        <w:fldChar w:fldCharType="end"/>
      </w:r>
      <w:r w:rsidR="00426D77">
        <w:t>.  Na wstępie Trybunał zauważa, że przesłuchania policyjne</w:t>
      </w:r>
      <w:r w:rsidR="00E455F5">
        <w:br/>
      </w:r>
      <w:r w:rsidR="00426D77">
        <w:t>w niniejszej sprawie miały miejsce tuż po wydaniu wyroku Trybunału</w:t>
      </w:r>
      <w:r w:rsidR="00E455F5">
        <w:br/>
      </w:r>
      <w:r w:rsidR="00426D77">
        <w:t xml:space="preserve">w wyżej przytoczonej sprawie </w:t>
      </w:r>
      <w:r w:rsidR="00426D77">
        <w:rPr>
          <w:i/>
        </w:rPr>
        <w:t>Salduz</w:t>
      </w:r>
      <w:r w:rsidR="00426D77">
        <w:t xml:space="preserve">, ale przed tymi sprawami, w których bezpośrednio poruszono kwestię fizycznej obecności adwokatów podczas przesłuchań policyjnych (zob. orzecznictwo przytoczone w sprawie </w:t>
      </w:r>
      <w:r w:rsidR="00426D77">
        <w:rPr>
          <w:i/>
        </w:rPr>
        <w:t xml:space="preserve">Beuze, </w:t>
      </w:r>
      <w:r w:rsidR="00DF08C9">
        <w:t xml:space="preserve">cyt. pow., </w:t>
      </w:r>
      <w:r w:rsidR="00426D77">
        <w:t xml:space="preserve">§ 134). Trybunał wskazał, że jest świadomy trudności, jakie upływ czasu i kształtowanie się jego orzecznictwa mogą pociągać za sobą dla sądów krajowych. Jednakże, w odniesieniu do art. 6 ust. 1 i 3 lit. c, wskazał, że od czasu wydania wyroku w sprawie </w:t>
      </w:r>
      <w:r w:rsidR="00426D77">
        <w:rPr>
          <w:i/>
        </w:rPr>
        <w:t>Salduz</w:t>
      </w:r>
      <w:r w:rsidR="00426D77">
        <w:t xml:space="preserve"> (</w:t>
      </w:r>
      <w:r w:rsidR="00426D77" w:rsidRPr="00E455F5">
        <w:rPr>
          <w:i/>
        </w:rPr>
        <w:t>ibid</w:t>
      </w:r>
      <w:r w:rsidR="00426D77">
        <w:t>. § 152</w:t>
      </w:r>
      <w:r w:rsidR="00DF08C9">
        <w:t>rozwój ten miał charakter liniowy</w:t>
      </w:r>
      <w:r w:rsidR="00426D77">
        <w:t>.</w:t>
      </w:r>
    </w:p>
    <w:p w14:paraId="276DD18F" w14:textId="4B482149" w:rsidR="00B3070D" w:rsidRPr="00EE43AE" w:rsidRDefault="00FB401A" w:rsidP="00EE43AE">
      <w:pPr>
        <w:pStyle w:val="JuPara"/>
      </w:pPr>
      <w:r>
        <w:fldChar w:fldCharType="begin"/>
      </w:r>
      <w:r>
        <w:instrText xml:space="preserve"> SEQ level0 \*arabic </w:instrText>
      </w:r>
      <w:r>
        <w:fldChar w:fldCharType="separate"/>
      </w:r>
      <w:r w:rsidR="001D10DA">
        <w:rPr>
          <w:noProof/>
        </w:rPr>
        <w:t>80</w:t>
      </w:r>
      <w:r>
        <w:rPr>
          <w:noProof/>
        </w:rPr>
        <w:fldChar w:fldCharType="end"/>
      </w:r>
      <w:r w:rsidR="00426D77">
        <w:t xml:space="preserve">.  Ten ostatni punkt został podkreślony przez członka Sądu Najwyższego </w:t>
      </w:r>
      <w:r w:rsidR="00B17AC2">
        <w:t xml:space="preserve">w jego </w:t>
      </w:r>
      <w:r w:rsidR="00E455F5">
        <w:t>opini</w:t>
      </w:r>
      <w:r w:rsidR="00B17AC2">
        <w:t>i</w:t>
      </w:r>
      <w:r w:rsidR="00E455F5">
        <w:t xml:space="preserve"> </w:t>
      </w:r>
      <w:r w:rsidR="00426D77">
        <w:t>odrębn</w:t>
      </w:r>
      <w:r w:rsidR="00B17AC2">
        <w:t>ej co do</w:t>
      </w:r>
      <w:r w:rsidR="00426D77">
        <w:t xml:space="preserve"> prawa dostępu do adwokata (zob. paragraf 46 powyżej)</w:t>
      </w:r>
      <w:r w:rsidR="00B17AC2">
        <w:t xml:space="preserve">, a także - </w:t>
      </w:r>
      <w:r w:rsidR="00426D77">
        <w:t xml:space="preserve">w pewnym stopniu </w:t>
      </w:r>
      <w:r w:rsidR="00B17AC2">
        <w:t xml:space="preserve">- </w:t>
      </w:r>
      <w:r w:rsidR="00426D77">
        <w:t>przez innych członków Sądu Najwyższego, którzy uznali wymóg fizycznej obecności za część możliwego lub prawdopodobnego kierunku kształtowania się orzecznictwa (zob. paragraf 41 pow</w:t>
      </w:r>
      <w:r w:rsidR="000620C0">
        <w:t>yżej). Jak Trybunał potwierdził</w:t>
      </w:r>
      <w:r w:rsidR="000620C0">
        <w:br/>
      </w:r>
      <w:r w:rsidR="00426D77">
        <w:t xml:space="preserve">w sprawie </w:t>
      </w:r>
      <w:r w:rsidR="00426D77">
        <w:rPr>
          <w:i/>
          <w:iCs/>
        </w:rPr>
        <w:t>Beuze</w:t>
      </w:r>
      <w:r w:rsidR="00426D77">
        <w:t>, wymóg ten wyraźnie wynika z art. 6 ust. 1 i 3 lit. c Konwencji.</w:t>
      </w:r>
    </w:p>
    <w:p w14:paraId="3B0D32FE" w14:textId="2931CE8E" w:rsidR="00B3070D" w:rsidRPr="00EE43AE" w:rsidRDefault="00E40A77" w:rsidP="00EE43AE">
      <w:pPr>
        <w:pStyle w:val="JuHi"/>
        <w:rPr>
          <w:snapToGrid w:val="0"/>
        </w:rPr>
      </w:pPr>
      <w:r>
        <w:rPr>
          <w:snapToGrid w:val="0"/>
        </w:rPr>
        <w:t xml:space="preserve">Istnienie </w:t>
      </w:r>
      <w:r w:rsidR="00B3070D">
        <w:rPr>
          <w:snapToGrid w:val="0"/>
        </w:rPr>
        <w:t>i zakres ograniczeń</w:t>
      </w:r>
    </w:p>
    <w:p w14:paraId="0469FE2A" w14:textId="6CF76FAB" w:rsidR="00B3070D" w:rsidRPr="00EE43AE" w:rsidRDefault="00FB401A" w:rsidP="00EE43AE">
      <w:pPr>
        <w:pStyle w:val="JuPara"/>
      </w:pPr>
      <w:r>
        <w:fldChar w:fldCharType="begin"/>
      </w:r>
      <w:r>
        <w:instrText xml:space="preserve"> SEQ level0 \*arabic </w:instrText>
      </w:r>
      <w:r>
        <w:fldChar w:fldCharType="separate"/>
      </w:r>
      <w:r w:rsidR="001D10DA">
        <w:rPr>
          <w:noProof/>
        </w:rPr>
        <w:t>81</w:t>
      </w:r>
      <w:r>
        <w:rPr>
          <w:noProof/>
        </w:rPr>
        <w:fldChar w:fldCharType="end"/>
      </w:r>
      <w:r w:rsidR="00426D77">
        <w:t>.  W niniejszej sprawie należy podkreślić, że skarżący miał, zgodnie</w:t>
      </w:r>
      <w:r w:rsidR="00C767AC">
        <w:br/>
      </w:r>
      <w:r w:rsidR="00426D77">
        <w:t>z prawem krajowym i ówczesną praktyką, prawo do konsultacji</w:t>
      </w:r>
      <w:r w:rsidR="00C767AC">
        <w:br/>
      </w:r>
      <w:r w:rsidR="00426D77">
        <w:t>z adwokatem po zatrzymaniu oraz prawo do konsultacji z</w:t>
      </w:r>
      <w:r w:rsidR="00E40A77">
        <w:t>e swoim</w:t>
      </w:r>
      <w:r w:rsidR="00426D77">
        <w:t xml:space="preserve"> adwokatem, na jego wniosek lub na wniosek adwokata, w trakcie całego </w:t>
      </w:r>
      <w:r w:rsidR="00426D77">
        <w:lastRenderedPageBreak/>
        <w:t>postępowania przygotowawczego. Miał prawo do dostępu do adwokata i dostęp ten został mu zapewniony po jego zatrzymaniu i przed przesłuchaniem</w:t>
      </w:r>
      <w:r w:rsidR="008F7C2A">
        <w:t xml:space="preserve"> </w:t>
      </w:r>
      <w:r w:rsidR="00426D77">
        <w:t>przez</w:t>
      </w:r>
      <w:r w:rsidR="008F7C2A">
        <w:t xml:space="preserve"> </w:t>
      </w:r>
      <w:r w:rsidR="00426D77">
        <w:t>policję</w:t>
      </w:r>
      <w:r w:rsidR="008F7C2A">
        <w:t xml:space="preserve"> </w:t>
      </w:r>
      <w:r w:rsidR="00426D77">
        <w:t xml:space="preserve">w dniu 24 lutego 2009 r. (zob. paragraf 8 powyżej). Po tym pierwszym przesłuchaniu mógł on w każdej chwili zażądać dostępu do adwokata, spotkać się z nim osobiście i konsultować się </w:t>
      </w:r>
      <w:r w:rsidR="008F7C2A">
        <w:t xml:space="preserve">dalej </w:t>
      </w:r>
      <w:r w:rsidR="00426D77">
        <w:t xml:space="preserve">z nim telefonicznie, jeśli adwokat nie był </w:t>
      </w:r>
      <w:r w:rsidR="008F7C2A">
        <w:t xml:space="preserve">obecny </w:t>
      </w:r>
      <w:r w:rsidR="00426D77">
        <w:t xml:space="preserve">lub nie mógł być obecny na komisariacie policji. Spotkał się ponownie osobiście ze swoim adwokatem, kiedy został doprowadzony do sądu w celu przedłużenia </w:t>
      </w:r>
      <w:r w:rsidR="008F7C2A">
        <w:t>pozbawienia wolności</w:t>
      </w:r>
      <w:r w:rsidR="00426D77">
        <w:t>, a następnie odbył z nim dłuższą konsultację osobiście</w:t>
      </w:r>
      <w:r w:rsidR="008F7C2A">
        <w:t xml:space="preserve"> </w:t>
      </w:r>
      <w:r w:rsidR="00426D77">
        <w:t>następnego</w:t>
      </w:r>
      <w:r w:rsidR="008F7C2A">
        <w:t xml:space="preserve"> </w:t>
      </w:r>
      <w:r w:rsidR="00426D77">
        <w:t>dnia</w:t>
      </w:r>
      <w:r w:rsidR="008F7C2A">
        <w:t xml:space="preserve"> </w:t>
      </w:r>
      <w:r w:rsidR="00426D77">
        <w:t>(zob.</w:t>
      </w:r>
      <w:r w:rsidR="008F7C2A">
        <w:t xml:space="preserve"> </w:t>
      </w:r>
      <w:r w:rsidR="00426D77">
        <w:t>paragrafy</w:t>
      </w:r>
      <w:r w:rsidR="008F7C2A">
        <w:t xml:space="preserve"> </w:t>
      </w:r>
      <w:r w:rsidR="00426D77">
        <w:t>9,</w:t>
      </w:r>
      <w:r w:rsidR="008F7C2A">
        <w:t xml:space="preserve"> </w:t>
      </w:r>
      <w:r w:rsidR="00426D77">
        <w:t>10</w:t>
      </w:r>
      <w:r w:rsidR="008F7C2A">
        <w:t xml:space="preserve"> </w:t>
      </w:r>
      <w:r w:rsidR="00426D77">
        <w:t xml:space="preserve">i 13 powyżej). Konsultował się </w:t>
      </w:r>
      <w:r w:rsidR="008F7C2A">
        <w:t xml:space="preserve">ze swoim adwokatem </w:t>
      </w:r>
      <w:r w:rsidR="00426D77">
        <w:t xml:space="preserve">również telefonicznie w trzecim i czwartym dniu przesłuchania (zob. paragrafy 11-17 powyżej). Co istotne, skarżący osobiście konsultował się ze swoim adwokatem między </w:t>
      </w:r>
      <w:r w:rsidR="008F7C2A">
        <w:t xml:space="preserve">14 </w:t>
      </w:r>
      <w:r w:rsidR="00426D77">
        <w:t xml:space="preserve">a </w:t>
      </w:r>
      <w:r w:rsidR="008F7C2A">
        <w:t xml:space="preserve">15 </w:t>
      </w:r>
      <w:r w:rsidR="00426D77">
        <w:t xml:space="preserve">przesłuchaniem, przy czym to ostatnie zostało przerwane, po telefonie od adwokata, </w:t>
      </w:r>
      <w:r w:rsidR="008F7C2A">
        <w:t>w celu kolejnej</w:t>
      </w:r>
      <w:r w:rsidR="00426D77">
        <w:t xml:space="preserve"> konsultacji. Ogółem skarżący, w czasie przesłuch</w:t>
      </w:r>
      <w:r w:rsidR="008236B3">
        <w:t>ania trwającego</w:t>
      </w:r>
      <w:r w:rsidR="00426D77">
        <w:t xml:space="preserve"> około 31 godzin, otrzymał poradę prawną w wymiarze 42 minut</w:t>
      </w:r>
      <w:r w:rsidR="008236B3">
        <w:t>,</w:t>
      </w:r>
      <w:r w:rsidR="00426D77">
        <w:t xml:space="preserve"> zarówno telefonicznie, jak i osobiście.</w:t>
      </w:r>
    </w:p>
    <w:p w14:paraId="71483419" w14:textId="6B83F053" w:rsidR="00B3070D" w:rsidRPr="00EE43AE" w:rsidRDefault="00FB401A" w:rsidP="00EE43AE">
      <w:pPr>
        <w:pStyle w:val="JuPara"/>
      </w:pPr>
      <w:r>
        <w:fldChar w:fldCharType="begin"/>
      </w:r>
      <w:r>
        <w:instrText xml:space="preserve"> SEQ level0 \*arabic </w:instrText>
      </w:r>
      <w:r>
        <w:fldChar w:fldCharType="separate"/>
      </w:r>
      <w:r w:rsidR="001D10DA">
        <w:rPr>
          <w:noProof/>
        </w:rPr>
        <w:t>82</w:t>
      </w:r>
      <w:r>
        <w:rPr>
          <w:noProof/>
        </w:rPr>
        <w:fldChar w:fldCharType="end"/>
      </w:r>
      <w:r w:rsidR="00426D77">
        <w:t xml:space="preserve">.  Jednakże fakt, że adwokat skarżącego nie mógł być obecny </w:t>
      </w:r>
      <w:r w:rsidR="008236B3">
        <w:t xml:space="preserve">osobiście </w:t>
      </w:r>
      <w:r w:rsidR="00426D77">
        <w:t>podczas jego przesłuchań przez policję stanowił ograniczenie jego prawa dostępu do adwokata. Jego adwokat nie został dopuszczony do przesłuchania przez policję</w:t>
      </w:r>
      <w:r w:rsidR="008236B3">
        <w:t xml:space="preserve"> w wyniku</w:t>
      </w:r>
      <w:r w:rsidR="00426D77">
        <w:t xml:space="preserve"> obowiązującej wówczas praktyki policyjnej.</w:t>
      </w:r>
    </w:p>
    <w:p w14:paraId="7A038EAD" w14:textId="6161BE6D" w:rsidR="00B3070D" w:rsidRPr="00EE43AE" w:rsidRDefault="00FB401A" w:rsidP="00EE43AE">
      <w:pPr>
        <w:pStyle w:val="JuPara"/>
      </w:pPr>
      <w:r>
        <w:fldChar w:fldCharType="begin"/>
      </w:r>
      <w:r>
        <w:instrText xml:space="preserve"> SEQ level0 \*arabic </w:instrText>
      </w:r>
      <w:r>
        <w:fldChar w:fldCharType="separate"/>
      </w:r>
      <w:r w:rsidR="001D10DA">
        <w:rPr>
          <w:noProof/>
        </w:rPr>
        <w:t>83</w:t>
      </w:r>
      <w:r>
        <w:rPr>
          <w:noProof/>
        </w:rPr>
        <w:fldChar w:fldCharType="end"/>
      </w:r>
      <w:r w:rsidR="00426D77">
        <w:t xml:space="preserve">.  Nie ulega wątpliwości, że skarżącego przesłuchiwano </w:t>
      </w:r>
      <w:r w:rsidR="008236B3">
        <w:t>przez okres</w:t>
      </w:r>
      <w:r w:rsidR="00426D77">
        <w:t xml:space="preserve"> kilku dni przez znaczną liczbę godzin. </w:t>
      </w:r>
      <w:r w:rsidR="008236B3">
        <w:t xml:space="preserve">Jednakże </w:t>
      </w:r>
      <w:r w:rsidR="00426D77">
        <w:t>wyraźne ograniczenie prawa dostępu do adwokata z powodu braku fizycznej obecności adwokata podczas przesłuchań policyjnych należy przy ocenie zakresu ograniczenia</w:t>
      </w:r>
      <w:r w:rsidR="008236B3">
        <w:t xml:space="preserve"> umieścić w kontekście</w:t>
      </w:r>
      <w:r w:rsidR="00426D77">
        <w:t xml:space="preserve">. W przeciwieństwie do skarżącego w wyżej przytoczonej sprawie </w:t>
      </w:r>
      <w:r w:rsidR="00426D77">
        <w:rPr>
          <w:i/>
        </w:rPr>
        <w:t>Beuze</w:t>
      </w:r>
      <w:r w:rsidR="00426D77">
        <w:t xml:space="preserve"> skarżący miał dostęp do swojego adwokata przed kluczowym pierwszym przesłuchaniem przez policję; mógł wnioskować o dostęp do adwokata </w:t>
      </w:r>
      <w:r w:rsidR="00024EBB">
        <w:t>i</w:t>
      </w:r>
      <w:r w:rsidR="00426D77">
        <w:t xml:space="preserve"> dostęp </w:t>
      </w:r>
      <w:r w:rsidR="00024EBB">
        <w:t xml:space="preserve">en </w:t>
      </w:r>
      <w:r w:rsidR="00426D77">
        <w:t>mu przyzna</w:t>
      </w:r>
      <w:r w:rsidR="00024EBB">
        <w:t>wa</w:t>
      </w:r>
      <w:r w:rsidR="00426D77">
        <w:t>no</w:t>
      </w:r>
      <w:r w:rsidR="00C767AC">
        <w:br/>
      </w:r>
      <w:r w:rsidR="00426D77">
        <w:t xml:space="preserve">w każdym późniejszym czasie, z wyjątkiem opóźnienia po złożeniu wniosku w trakcie przesłuchania nr 14; wszystkie przesłuchania były nagrywane na wideo, a z nagraniami </w:t>
      </w:r>
      <w:r w:rsidR="00024EBB">
        <w:t xml:space="preserve">tymi później </w:t>
      </w:r>
      <w:r w:rsidR="00426D77">
        <w:t>zapoznał się sędzia rozpoznający sprawę; konsultacje odbywały się przed przesłuchaniami, a nawet w ich trakcie, w szczególności podczas kluczowego przesłuchania nr 15. Prowadzono szczegółowy rejestr przesłuchań i konsultacji z adwokatem. Podsumowując, choć nie ulega wątpliwości, że prawo skarżącego zostało ograniczone, to zakres tego ograniczenia był względny.</w:t>
      </w:r>
    </w:p>
    <w:p w14:paraId="75857CC1" w14:textId="7DD338A8" w:rsidR="00B3070D" w:rsidRPr="00EE43AE" w:rsidRDefault="00B3070D" w:rsidP="00EE43AE">
      <w:pPr>
        <w:pStyle w:val="JuHi"/>
      </w:pPr>
      <w:r>
        <w:t>Czy istniały istotne powody</w:t>
      </w:r>
    </w:p>
    <w:p w14:paraId="1D0FE656" w14:textId="4BCB5A40" w:rsidR="00B3070D" w:rsidRPr="00EE43AE" w:rsidRDefault="00FB401A" w:rsidP="00EE43AE">
      <w:pPr>
        <w:pStyle w:val="JuPara"/>
      </w:pPr>
      <w:r>
        <w:fldChar w:fldCharType="begin"/>
      </w:r>
      <w:r>
        <w:instrText xml:space="preserve"> SEQ level0 \*arabic </w:instrText>
      </w:r>
      <w:r>
        <w:fldChar w:fldCharType="separate"/>
      </w:r>
      <w:r w:rsidR="001D10DA">
        <w:rPr>
          <w:noProof/>
        </w:rPr>
        <w:t>84</w:t>
      </w:r>
      <w:r>
        <w:rPr>
          <w:noProof/>
        </w:rPr>
        <w:fldChar w:fldCharType="end"/>
      </w:r>
      <w:r w:rsidR="00426D77">
        <w:t xml:space="preserve">.  Trybunał uważa, że ponieważ ograniczenie prawa skarżącego </w:t>
      </w:r>
      <w:r w:rsidR="006D79B0">
        <w:t>z</w:t>
      </w:r>
      <w:r w:rsidR="00426D77">
        <w:t xml:space="preserve"> art. 6 ust. 3 lit. a wynikało z ówczesnej praktyki policyjnej, sytuacja skarżącego nie podlegała indywidualnej ocenie. Ograniczenie miało charakter ogólny. W tych okolicznościach nic nie wskazuje na to, że ograniczenie było </w:t>
      </w:r>
      <w:r w:rsidR="00426D77">
        <w:lastRenderedPageBreak/>
        <w:t xml:space="preserve">uzasadnione istotnymi powodami w rozumieniu orzecznictwa Trybunału (zob. </w:t>
      </w:r>
      <w:r w:rsidR="00426D77">
        <w:rPr>
          <w:i/>
        </w:rPr>
        <w:t>Ibrahim i Inni</w:t>
      </w:r>
      <w:r w:rsidR="00426D77">
        <w:t xml:space="preserve">, </w:t>
      </w:r>
      <w:r w:rsidR="006D79B0" w:rsidRPr="00FB401A">
        <w:rPr>
          <w:iCs/>
        </w:rPr>
        <w:t>cyt. pow.</w:t>
      </w:r>
      <w:r w:rsidR="00426D77" w:rsidRPr="00FB401A">
        <w:rPr>
          <w:iCs/>
        </w:rPr>
        <w:t>,</w:t>
      </w:r>
      <w:r w:rsidR="00426D77">
        <w:t xml:space="preserve"> § 258).</w:t>
      </w:r>
    </w:p>
    <w:p w14:paraId="06042C37" w14:textId="77777777" w:rsidR="00B3070D" w:rsidRPr="00EE43AE" w:rsidRDefault="00B3070D" w:rsidP="00EE43AE">
      <w:pPr>
        <w:pStyle w:val="JuHi"/>
      </w:pPr>
      <w:r>
        <w:t>Rzetelność całego postępowania</w:t>
      </w:r>
    </w:p>
    <w:p w14:paraId="6920EB95" w14:textId="535230F3" w:rsidR="00B3070D" w:rsidRPr="00EE43AE" w:rsidRDefault="00B3070D" w:rsidP="00EE43AE">
      <w:pPr>
        <w:pStyle w:val="JuHalpha"/>
        <w:rPr>
          <w:rFonts w:cstheme="majorHAnsi"/>
        </w:rPr>
      </w:pPr>
      <w:r>
        <w:t>Czy skarżący znajdował się w niekorzystnej sytuacji</w:t>
      </w:r>
    </w:p>
    <w:p w14:paraId="2EFA9669" w14:textId="44DC9158" w:rsidR="00B3070D" w:rsidRPr="00EE43AE" w:rsidRDefault="00FB401A" w:rsidP="00EE43AE">
      <w:pPr>
        <w:pStyle w:val="JuPara"/>
      </w:pPr>
      <w:r>
        <w:fldChar w:fldCharType="begin"/>
      </w:r>
      <w:r>
        <w:instrText xml:space="preserve"> SEQ level0 \*arabic </w:instrText>
      </w:r>
      <w:r>
        <w:fldChar w:fldCharType="separate"/>
      </w:r>
      <w:r w:rsidR="001D10DA">
        <w:rPr>
          <w:noProof/>
        </w:rPr>
        <w:t>85</w:t>
      </w:r>
      <w:r>
        <w:rPr>
          <w:noProof/>
        </w:rPr>
        <w:fldChar w:fldCharType="end"/>
      </w:r>
      <w:r w:rsidR="00426D77">
        <w:t>.  Skarżący twierdził, że znajdował się w niekorzystnej sytuacji, ponieważ nie był przyzwyczajony do przesłuchań polic</w:t>
      </w:r>
      <w:r w:rsidR="006D79B0">
        <w:t>yjnych</w:t>
      </w:r>
      <w:r w:rsidR="00426D77">
        <w:t xml:space="preserve"> (zob. paragraf 65 powyżej). Trybunał zgadza się, że przesłuchanie przez policję jest </w:t>
      </w:r>
      <w:r w:rsidR="006D79B0">
        <w:t>siłą rzeczy</w:t>
      </w:r>
      <w:r w:rsidR="00426D77">
        <w:t xml:space="preserve"> zdarzeniem stresującym z perspektywy podejrzanego. Jednakże skarżący był osobą dorosłą i rodzimym użytkownikiem języka angielskiego (zob. </w:t>
      </w:r>
      <w:r w:rsidR="00426D77">
        <w:rPr>
          <w:i/>
        </w:rPr>
        <w:t>a contrario</w:t>
      </w:r>
      <w:r w:rsidR="00426D77">
        <w:t xml:space="preserve"> </w:t>
      </w:r>
      <w:r w:rsidR="00426D77">
        <w:rPr>
          <w:i/>
          <w:iCs/>
        </w:rPr>
        <w:t>Knox przeciwko Włochom</w:t>
      </w:r>
      <w:r w:rsidR="00426D77">
        <w:t>, nr 76577/13, § 160, 24 stycznia 2019 r. (jeszcze nieostateczny)). Przesłuchania przeprowadzone w czasie, gdy skarżący przebywał w areszcie policyjnym nie były niczym nadzwyczajnym i choć trwały kilka dni, to nie były nadmiernie długie. Skarżącemu umożliwiono długie przerwy</w:t>
      </w:r>
      <w:r w:rsidR="00312B0B">
        <w:br/>
      </w:r>
      <w:r w:rsidR="00426D77">
        <w:t xml:space="preserve">w przesłuchaniach przez policję oraz, jak wskazano wcześniej, dostęp </w:t>
      </w:r>
      <w:r w:rsidR="005533C5">
        <w:t xml:space="preserve">telefoniczny </w:t>
      </w:r>
      <w:r w:rsidR="00426D77">
        <w:t xml:space="preserve">do adwokata, a niekiedy </w:t>
      </w:r>
      <w:r w:rsidR="005533C5">
        <w:t xml:space="preserve">– w razie wniosku – kontakt </w:t>
      </w:r>
      <w:r w:rsidR="00426D77">
        <w:t>osob</w:t>
      </w:r>
      <w:r w:rsidR="005533C5">
        <w:t>isty</w:t>
      </w:r>
      <w:r w:rsidR="00426D77">
        <w:t>. Sędzia</w:t>
      </w:r>
      <w:r w:rsidR="005533C5">
        <w:t xml:space="preserve"> </w:t>
      </w:r>
      <w:r w:rsidR="00426D77">
        <w:t>rozpoznający</w:t>
      </w:r>
      <w:r w:rsidR="005533C5">
        <w:t xml:space="preserve"> </w:t>
      </w:r>
      <w:r w:rsidR="00426D77">
        <w:t>sprawę</w:t>
      </w:r>
      <w:r w:rsidR="005533C5">
        <w:t xml:space="preserve"> również </w:t>
      </w:r>
      <w:r w:rsidR="00426D77">
        <w:t>zbadał</w:t>
      </w:r>
      <w:r w:rsidR="005533C5">
        <w:t xml:space="preserve"> </w:t>
      </w:r>
      <w:r w:rsidR="00426D77">
        <w:t>tę</w:t>
      </w:r>
      <w:r w:rsidR="005533C5">
        <w:t xml:space="preserve"> </w:t>
      </w:r>
      <w:r w:rsidR="00426D77">
        <w:t>kwestię</w:t>
      </w:r>
      <w:r w:rsidR="005533C5">
        <w:t xml:space="preserve"> </w:t>
      </w:r>
      <w:r w:rsidR="00426D77">
        <w:t>i stwierdził, że podczas</w:t>
      </w:r>
      <w:r w:rsidR="005533C5">
        <w:t xml:space="preserve"> </w:t>
      </w:r>
      <w:r w:rsidR="00426D77">
        <w:t>przesłuchań</w:t>
      </w:r>
      <w:r w:rsidR="005533C5">
        <w:t xml:space="preserve"> </w:t>
      </w:r>
      <w:r w:rsidR="00426D77">
        <w:t>skarżący</w:t>
      </w:r>
      <w:r w:rsidR="005533C5">
        <w:t xml:space="preserve"> </w:t>
      </w:r>
      <w:r w:rsidR="00426D77">
        <w:t>był</w:t>
      </w:r>
      <w:r w:rsidR="005533C5">
        <w:t xml:space="preserve"> </w:t>
      </w:r>
      <w:r w:rsidR="00426D77">
        <w:t>silny</w:t>
      </w:r>
      <w:r w:rsidR="005533C5">
        <w:t xml:space="preserve"> </w:t>
      </w:r>
      <w:r w:rsidR="00426D77">
        <w:t>fizycznie</w:t>
      </w:r>
      <w:r w:rsidR="005533C5">
        <w:t xml:space="preserve"> </w:t>
      </w:r>
      <w:r w:rsidR="00426D77">
        <w:t>i psychicznie. Sam decydował</w:t>
      </w:r>
      <w:r w:rsidR="005533C5">
        <w:t xml:space="preserve"> </w:t>
      </w:r>
      <w:r w:rsidR="00426D77">
        <w:t>kiedy</w:t>
      </w:r>
      <w:r w:rsidR="005533C5">
        <w:t xml:space="preserve"> w</w:t>
      </w:r>
      <w:r w:rsidR="00426D77">
        <w:t>spółpracować</w:t>
      </w:r>
      <w:r w:rsidR="005533C5">
        <w:t xml:space="preserve"> </w:t>
      </w:r>
      <w:r w:rsidR="00426D77">
        <w:t>z policją</w:t>
      </w:r>
      <w:r w:rsidR="005533C5">
        <w:t>, a kiedy nie</w:t>
      </w:r>
      <w:r w:rsidR="00426D77">
        <w:t>. W tych okolicznościach Trybunał uważa, że skarżący nie znajdował się w szczególnie niekorzystnej sytuacji.</w:t>
      </w:r>
    </w:p>
    <w:p w14:paraId="5E690778" w14:textId="77777777" w:rsidR="00B3070D" w:rsidRPr="00EE43AE" w:rsidRDefault="00B3070D" w:rsidP="00EE43AE">
      <w:pPr>
        <w:pStyle w:val="JuHalpha"/>
      </w:pPr>
      <w:r>
        <w:t>Okoliczności, w jakich uzyskano dowody</w:t>
      </w:r>
    </w:p>
    <w:p w14:paraId="7E5071D0" w14:textId="240EE859" w:rsidR="00B3070D" w:rsidRPr="00EE43AE" w:rsidRDefault="00FB401A" w:rsidP="00EE43AE">
      <w:pPr>
        <w:pStyle w:val="JuPara"/>
      </w:pPr>
      <w:r>
        <w:fldChar w:fldCharType="begin"/>
      </w:r>
      <w:r>
        <w:instrText xml:space="preserve"> SEQ level0 \*arabic </w:instrText>
      </w:r>
      <w:r>
        <w:fldChar w:fldCharType="separate"/>
      </w:r>
      <w:r w:rsidR="001D10DA">
        <w:rPr>
          <w:noProof/>
        </w:rPr>
        <w:t>86</w:t>
      </w:r>
      <w:r>
        <w:rPr>
          <w:noProof/>
        </w:rPr>
        <w:fldChar w:fldCharType="end"/>
      </w:r>
      <w:r w:rsidR="00426D77">
        <w:t>.  Nic nie wskazuje na to, by podczas przesłuchania skarżący został poddany złemu traktowaniu przez policję. Skarżący twierdził, że policja wywierała na niego presję, grożąc mu lub nakłaniając go do przyznania się do winy (zob. paragraf 65 powyżej). W szczególności podniósł, że fakt</w:t>
      </w:r>
      <w:r w:rsidR="005533C5">
        <w:t>, ż</w:t>
      </w:r>
      <w:r w:rsidR="006971E1">
        <w:t>e</w:t>
      </w:r>
      <w:r w:rsidR="005533C5">
        <w:t xml:space="preserve"> policja poinformowała g</w:t>
      </w:r>
      <w:r w:rsidR="00426D77">
        <w:t xml:space="preserve">o zatrzymaniu jego partnerki, </w:t>
      </w:r>
      <w:r w:rsidR="006971E1">
        <w:t>P</w:t>
      </w:r>
      <w:r w:rsidR="00426D77">
        <w:t>ani G., oraz jego późniejszy niepokój o ich córkę, która według niego wymagała opieki medycznej i pozostawała bez rodziców, stanowił</w:t>
      </w:r>
      <w:r w:rsidR="006971E1">
        <w:t>y</w:t>
      </w:r>
      <w:r w:rsidR="00426D77">
        <w:t xml:space="preserve"> zastraszanie psychiczne oraz grożenie mu lub nakłanianie go do przyznania się do popełnienia zarzucanego mu przestępstwa.</w:t>
      </w:r>
    </w:p>
    <w:p w14:paraId="6F2B35FD" w14:textId="5518DB3D" w:rsidR="00B3070D" w:rsidRPr="00EE43AE" w:rsidRDefault="00FB401A" w:rsidP="00EE43AE">
      <w:pPr>
        <w:pStyle w:val="JuPara"/>
        <w:rPr>
          <w:i/>
        </w:rPr>
      </w:pPr>
      <w:r>
        <w:fldChar w:fldCharType="begin"/>
      </w:r>
      <w:r>
        <w:instrText xml:space="preserve"> SEQ level0 \*arabic </w:instrText>
      </w:r>
      <w:r>
        <w:fldChar w:fldCharType="separate"/>
      </w:r>
      <w:r w:rsidR="001D10DA">
        <w:rPr>
          <w:noProof/>
        </w:rPr>
        <w:t>87</w:t>
      </w:r>
      <w:r>
        <w:rPr>
          <w:noProof/>
        </w:rPr>
        <w:fldChar w:fldCharType="end"/>
      </w:r>
      <w:r w:rsidR="00426D77">
        <w:t>.  </w:t>
      </w:r>
      <w:r w:rsidR="00170D05">
        <w:t>Kwestia ta</w:t>
      </w:r>
      <w:r w:rsidR="00426D77">
        <w:t xml:space="preserve"> został</w:t>
      </w:r>
      <w:r w:rsidR="00170D05">
        <w:t>a</w:t>
      </w:r>
      <w:r w:rsidR="00426D77">
        <w:t xml:space="preserve"> poddan</w:t>
      </w:r>
      <w:r w:rsidR="00170D05">
        <w:t>a</w:t>
      </w:r>
      <w:r w:rsidR="00426D77">
        <w:t xml:space="preserve"> szczegółowej ocenie przez sądy we wszystkich trzech instancjach zgodnie z zasadą ścisłej kontroli wymaganej w świetle prawa krajowego. Żaden z sądów nie stwierdził, że policja uciekała się do nakłaniania lub stosowania groźby w świetle prawa krajowego (zob. paragrafy 22, 27 i 36-39 powyżej). Trybunał nie może kwestionować oceny władz krajowych, chyba że istnieją wyraźne dowody świadczące o arbitralności, których w niniejszej sprawie nie ma (zob. </w:t>
      </w:r>
      <w:r w:rsidR="00426D77">
        <w:rPr>
          <w:i/>
          <w:iCs/>
        </w:rPr>
        <w:t xml:space="preserve">Naït-Liman przeciwko Szwajcarii </w:t>
      </w:r>
      <w:r w:rsidR="00426D77">
        <w:t xml:space="preserve">[WI], nr 51357/07, § 116, 15 marca 2018 r. oraz </w:t>
      </w:r>
      <w:r w:rsidR="00426D77">
        <w:rPr>
          <w:i/>
          <w:iCs/>
        </w:rPr>
        <w:t>Zubac przeciwko Chorwacji</w:t>
      </w:r>
      <w:r w:rsidR="00426D77">
        <w:t xml:space="preserve"> [WI], nr 40160/12, § 79, 5 kwietnia 2018 r.). Wręcz przeciwnie, sądy krajowe bardzo dokładnie zbadały kwestię, czy doszło do </w:t>
      </w:r>
      <w:r w:rsidR="00426D77">
        <w:lastRenderedPageBreak/>
        <w:t xml:space="preserve">zastosowania groźby lub nakłaniania, sędzia rozpoznający sprawę w pierwszej instancji zapoznał się </w:t>
      </w:r>
      <w:r w:rsidR="00DF091B">
        <w:t>z</w:t>
      </w:r>
      <w:r w:rsidR="00426D77">
        <w:t xml:space="preserve"> całości</w:t>
      </w:r>
      <w:r w:rsidR="00DF091B">
        <w:t>ą</w:t>
      </w:r>
      <w:r w:rsidR="00426D77">
        <w:t xml:space="preserve"> </w:t>
      </w:r>
      <w:r w:rsidR="00DF091B">
        <w:t xml:space="preserve">istotnych </w:t>
      </w:r>
      <w:r w:rsidR="00426D77">
        <w:t>nagra</w:t>
      </w:r>
      <w:r w:rsidR="00DF091B">
        <w:t>ń</w:t>
      </w:r>
      <w:r w:rsidR="00426D77">
        <w:t xml:space="preserve"> wideo </w:t>
      </w:r>
      <w:r w:rsidR="00DF091B">
        <w:t xml:space="preserve">z </w:t>
      </w:r>
      <w:r w:rsidR="00426D77">
        <w:t>przesłuchań, a wszystkie trzy instancje obszernie uzasadniły swoje rozstrzygnięcia.</w:t>
      </w:r>
    </w:p>
    <w:p w14:paraId="67C32DCF" w14:textId="359F946B" w:rsidR="00B3070D" w:rsidRPr="00EE43AE" w:rsidRDefault="00FB401A" w:rsidP="00EE43AE">
      <w:pPr>
        <w:pStyle w:val="JuPara"/>
      </w:pPr>
      <w:r>
        <w:fldChar w:fldCharType="begin"/>
      </w:r>
      <w:r>
        <w:instrText xml:space="preserve"> SEQ level0 \*arabic </w:instrText>
      </w:r>
      <w:r>
        <w:fldChar w:fldCharType="separate"/>
      </w:r>
      <w:r w:rsidR="001D10DA">
        <w:rPr>
          <w:noProof/>
        </w:rPr>
        <w:t>88</w:t>
      </w:r>
      <w:r>
        <w:rPr>
          <w:noProof/>
        </w:rPr>
        <w:fldChar w:fldCharType="end"/>
      </w:r>
      <w:r w:rsidR="00426D77">
        <w:t xml:space="preserve">.  W zakresie, w jakim kwestia, czy doszło do zastosowania groźby lub nakłaniania ma znaczenie dla </w:t>
      </w:r>
      <w:r w:rsidR="00DF091B">
        <w:t xml:space="preserve">oceny </w:t>
      </w:r>
      <w:r w:rsidR="00426D77">
        <w:t>ogólnej rzetelności przez Trybunał, uznaje on za przekonujące rozumowanie sędziego rozpoznającego sprawę</w:t>
      </w:r>
      <w:r w:rsidR="00EE1120">
        <w:br/>
      </w:r>
      <w:r w:rsidR="00426D77">
        <w:t>w pierwszej instancji, że nawet jeśli działania policji mogłyby być uznane za groźbę czy nakłanianie, t</w:t>
      </w:r>
      <w:r w:rsidR="00EE1120">
        <w:t>o nie miały one żadnego związku</w:t>
      </w:r>
      <w:r w:rsidR="00EE1120">
        <w:br/>
      </w:r>
      <w:r w:rsidR="00426D77">
        <w:t>z wyjaśnieniami skarżącego z uwagi na upływ czasu oraz fakt, że skarżący miał możliwość skonsultowania się ze swo</w:t>
      </w:r>
      <w:r w:rsidR="00EE1120">
        <w:t xml:space="preserve">im adwokatem zarówno osobiście, </w:t>
      </w:r>
      <w:r w:rsidR="00426D77">
        <w:t>jak</w:t>
      </w:r>
      <w:r w:rsidR="00EE1120">
        <w:t xml:space="preserve"> </w:t>
      </w:r>
      <w:r w:rsidR="00426D77">
        <w:t>i telefonicznie bezpośrednio przed złożeniem wyjaśnień (zob. paragrafy 14, 15 i 22 powyżej).</w:t>
      </w:r>
    </w:p>
    <w:p w14:paraId="45C144A0" w14:textId="05F600AE" w:rsidR="00B3070D" w:rsidRPr="00EE43AE" w:rsidRDefault="00B3070D" w:rsidP="00EE43AE">
      <w:pPr>
        <w:pStyle w:val="JuHalpha"/>
      </w:pPr>
      <w:r>
        <w:t>Przepisy regulujące postępowanie przygotowawcze i dopuszczalność dowodów podczas procesu oraz to, czy skarżący miał możliwość zakwestionowania</w:t>
      </w:r>
      <w:r w:rsidR="003B3656">
        <w:t xml:space="preserve"> </w:t>
      </w:r>
      <w:r>
        <w:t>dowod</w:t>
      </w:r>
      <w:r w:rsidR="003B3656">
        <w:t>ów</w:t>
      </w:r>
      <w:r>
        <w:t xml:space="preserve"> i sprzeciwienia się </w:t>
      </w:r>
      <w:r w:rsidR="003B3656">
        <w:t xml:space="preserve">ich </w:t>
      </w:r>
      <w:r>
        <w:t xml:space="preserve">wykorzystaniu </w:t>
      </w:r>
    </w:p>
    <w:p w14:paraId="22729394" w14:textId="791B57A9" w:rsidR="00B3070D" w:rsidRPr="00EE43AE" w:rsidRDefault="00FB401A" w:rsidP="00EE43AE">
      <w:pPr>
        <w:pStyle w:val="JuPara"/>
      </w:pPr>
      <w:r>
        <w:fldChar w:fldCharType="begin"/>
      </w:r>
      <w:r>
        <w:instrText xml:space="preserve"> SEQ level0 \*arabic </w:instrText>
      </w:r>
      <w:r>
        <w:fldChar w:fldCharType="separate"/>
      </w:r>
      <w:r w:rsidR="001D10DA">
        <w:rPr>
          <w:noProof/>
        </w:rPr>
        <w:t>89</w:t>
      </w:r>
      <w:r>
        <w:rPr>
          <w:noProof/>
        </w:rPr>
        <w:fldChar w:fldCharType="end"/>
      </w:r>
      <w:r w:rsidR="00426D77">
        <w:t xml:space="preserve">.  Skarżący mógł zakwestionować i zakwestionował wykorzystanie </w:t>
      </w:r>
      <w:r w:rsidR="003B3656">
        <w:t xml:space="preserve">jego wyjaśnień </w:t>
      </w:r>
      <w:r w:rsidR="00426D77">
        <w:t>złożonych podczas niektórych przesłuchań przez policję na tej podstawie, że zostały one uzyskane z naruszeniem tego, co uważał za swoje konstytucyjne i konwencyjne prawo</w:t>
      </w:r>
      <w:r w:rsidR="003B3656">
        <w:t>, tj. prawa</w:t>
      </w:r>
      <w:r w:rsidR="00426D77">
        <w:t xml:space="preserve"> do obecności obrońcy podczas przesłuchania. Sąd pierwszej instancji przeprowadził dziesięciodniową procedurę </w:t>
      </w:r>
      <w:r w:rsidR="00426D77">
        <w:rPr>
          <w:i/>
        </w:rPr>
        <w:t>voir dire</w:t>
      </w:r>
      <w:r w:rsidR="00426D77">
        <w:t xml:space="preserve"> (innymi słowy proces w ramach procesu), w ramach której zapoznał się z nagraniami wideo z przesłuchań policyjnych oraz wysłuchał funkcjonariuszy policji, którzy byli przesłuchiwani przez obrońcę i oskarżyciela, w celu ustalenia dopuszczalności dowodów z przesłuchań policyjnych skarżącego (zob. paragraf 21 powyżej). Na koniec tego postępowania sędzia rozpoznający sprawę wydał obszerne, uzasadnione </w:t>
      </w:r>
      <w:r w:rsidR="003B3656">
        <w:t>orzeczenie</w:t>
      </w:r>
      <w:r w:rsidR="009D16AB">
        <w:t xml:space="preserve"> co do tego, dlaczego zdecydował</w:t>
      </w:r>
      <w:r w:rsidR="003B3656">
        <w:t xml:space="preserve"> </w:t>
      </w:r>
      <w:r w:rsidR="00426D77">
        <w:t xml:space="preserve">o dopuszczeniu tych dowodów (zob. paragraf 22 powyżej). Tym samym sędzia rozpoznający sprawę w pierwszej instancji przeprowadził dokładną ocenę okoliczności, w </w:t>
      </w:r>
      <w:r w:rsidR="009D16AB">
        <w:t xml:space="preserve">jakich </w:t>
      </w:r>
      <w:r w:rsidR="00426D77">
        <w:t xml:space="preserve">skarżący był przesłuchiwany przez policję i składał wyjaśnienia (zob. </w:t>
      </w:r>
      <w:r w:rsidR="00426D77">
        <w:rPr>
          <w:i/>
        </w:rPr>
        <w:t>Ibrahim i Inni</w:t>
      </w:r>
      <w:r w:rsidR="00426D77">
        <w:t>,</w:t>
      </w:r>
      <w:r w:rsidR="009D16AB">
        <w:t xml:space="preserve"> cyt. pow.</w:t>
      </w:r>
      <w:r w:rsidR="00426D77">
        <w:t>, §§ 69-84 i 282</w:t>
      </w:r>
      <w:r w:rsidR="009D16AB">
        <w:t xml:space="preserve"> i a contrario </w:t>
      </w:r>
      <w:r w:rsidR="00426D77">
        <w:rPr>
          <w:i/>
        </w:rPr>
        <w:t>Beuze</w:t>
      </w:r>
      <w:r w:rsidR="00426D77">
        <w:t xml:space="preserve">, </w:t>
      </w:r>
      <w:r w:rsidR="009D16AB">
        <w:t>cyt. pow.</w:t>
      </w:r>
      <w:r w:rsidR="00426D77">
        <w:t>, § 174).</w:t>
      </w:r>
    </w:p>
    <w:p w14:paraId="20946C5C" w14:textId="437FD87E" w:rsidR="00B3070D" w:rsidRPr="00EE43AE" w:rsidRDefault="00FB401A" w:rsidP="00EE43AE">
      <w:pPr>
        <w:pStyle w:val="JuPara"/>
      </w:pPr>
      <w:r>
        <w:fldChar w:fldCharType="begin"/>
      </w:r>
      <w:r>
        <w:instrText xml:space="preserve"> SEQ level0 \*arabic </w:instrText>
      </w:r>
      <w:r>
        <w:fldChar w:fldCharType="separate"/>
      </w:r>
      <w:r w:rsidR="001D10DA">
        <w:rPr>
          <w:noProof/>
        </w:rPr>
        <w:t>90</w:t>
      </w:r>
      <w:r>
        <w:rPr>
          <w:noProof/>
        </w:rPr>
        <w:fldChar w:fldCharType="end"/>
      </w:r>
      <w:r w:rsidR="00426D77">
        <w:t xml:space="preserve">.  Ponadto skarżący miał możliwość ponownego przedstawienia </w:t>
      </w:r>
      <w:r w:rsidR="009D16AB">
        <w:t xml:space="preserve">przeciwnych argumentów </w:t>
      </w:r>
      <w:r w:rsidR="00426D77">
        <w:t xml:space="preserve">przed Sądem Apelacyjnym i Sądem Najwyższym </w:t>
      </w:r>
      <w:r w:rsidR="009D16AB">
        <w:t>co do tego, że dowody te nie powinny były być dopuszczone</w:t>
      </w:r>
      <w:r w:rsidR="00426D77">
        <w:t xml:space="preserve">. Oba sądy rozpatrzyły </w:t>
      </w:r>
      <w:r w:rsidR="009D16AB">
        <w:t xml:space="preserve">tą kwestię </w:t>
      </w:r>
      <w:r w:rsidR="00426D77">
        <w:t>bardzo obszernie i szczegółowo, zwracając uwagę na orzecznictwo Trybunału.</w:t>
      </w:r>
    </w:p>
    <w:p w14:paraId="790DC5DB" w14:textId="1AA137A9" w:rsidR="00B3070D" w:rsidRPr="00EE43AE" w:rsidRDefault="00FB401A" w:rsidP="00EE43AE">
      <w:pPr>
        <w:pStyle w:val="JuPara"/>
      </w:pPr>
      <w:r>
        <w:fldChar w:fldCharType="begin"/>
      </w:r>
      <w:r>
        <w:instrText xml:space="preserve"> SEQ level0 \*arabic </w:instrText>
      </w:r>
      <w:r>
        <w:fldChar w:fldCharType="separate"/>
      </w:r>
      <w:r w:rsidR="001D10DA">
        <w:rPr>
          <w:noProof/>
        </w:rPr>
        <w:t>91</w:t>
      </w:r>
      <w:r>
        <w:rPr>
          <w:noProof/>
        </w:rPr>
        <w:fldChar w:fldCharType="end"/>
      </w:r>
      <w:r w:rsidR="00426D77">
        <w:t xml:space="preserve">.  Wszystkie trzy sądy uznały, że w świetle sposobu, w jaki dowody te zostały uzyskane oraz faktu, że skarżący kontaktował się ze swoim adwokatem telefonicznie i osobiście w trakcie przesłuchania, dopuszczalność dowodów nie budziła wątpliwości. </w:t>
      </w:r>
      <w:r w:rsidR="008E5823">
        <w:t xml:space="preserve">Czyniąc to </w:t>
      </w:r>
      <w:r w:rsidR="00426D77">
        <w:t xml:space="preserve">sądy stosowały </w:t>
      </w:r>
      <w:r w:rsidR="008E5823">
        <w:t xml:space="preserve">krajowe </w:t>
      </w:r>
      <w:r w:rsidR="00426D77">
        <w:t xml:space="preserve">uregulowania prawne, które pozwalały skarżącemu na zakwestionowanie </w:t>
      </w:r>
      <w:r w:rsidR="00426D77">
        <w:lastRenderedPageBreak/>
        <w:t>dopuszczalności dowodów i sprzeciwienie się ich wykorzystaniu, w świetle orzecznictwa Konwencji, na każdym etapie postępowania.</w:t>
      </w:r>
    </w:p>
    <w:p w14:paraId="206C6ADB" w14:textId="77777777" w:rsidR="00B3070D" w:rsidRPr="00EE43AE" w:rsidRDefault="00B3070D" w:rsidP="00EE43AE">
      <w:pPr>
        <w:pStyle w:val="JuHalpha"/>
      </w:pPr>
      <w:r>
        <w:t>Charakter wyjaśnień i stanowisko oskarżyciela</w:t>
      </w:r>
    </w:p>
    <w:p w14:paraId="7A4C169E" w14:textId="177E523E" w:rsidR="00B3070D" w:rsidRPr="00EE43AE" w:rsidRDefault="00FB401A" w:rsidP="00EE43AE">
      <w:pPr>
        <w:pStyle w:val="JuPara"/>
      </w:pPr>
      <w:r>
        <w:fldChar w:fldCharType="begin"/>
      </w:r>
      <w:r>
        <w:instrText xml:space="preserve"> SEQ level0 \*arabic </w:instrText>
      </w:r>
      <w:r>
        <w:fldChar w:fldCharType="separate"/>
      </w:r>
      <w:r w:rsidR="001D10DA">
        <w:rPr>
          <w:noProof/>
        </w:rPr>
        <w:t>92</w:t>
      </w:r>
      <w:r>
        <w:rPr>
          <w:noProof/>
        </w:rPr>
        <w:fldChar w:fldCharType="end"/>
      </w:r>
      <w:r w:rsidR="00426D77">
        <w:t xml:space="preserve">.  Wyjaśnienia złożone przez skarżącego podczas </w:t>
      </w:r>
      <w:r w:rsidR="008E5823">
        <w:t xml:space="preserve">15-go </w:t>
      </w:r>
      <w:r w:rsidR="00426D77">
        <w:t>przesłuchania przez policję były obciążające, ponieważ stanowiły przyznanie się do popełnienia przestępstwa. Te wyjaśnienia i określone informacje przekazane przez skarżącego stanowiły główną część obciążającego go materiału dowodowego. Biorąc pod uwagę, że bardzo ścisła kontrola jest wymagana w sytuacji, gdy nie ma istotnych powodów uzasadniających ograniczenie prawa oskarżonego do dostępu do adwokata, Trybunał stwierdził, że do powyższych czynników należy przywiązywać znaczącą wagę przy ocenie ogólnej rzetelności postępowania.</w:t>
      </w:r>
    </w:p>
    <w:p w14:paraId="540C9B0A" w14:textId="67FF49BA" w:rsidR="00B3070D" w:rsidRPr="00EE43AE" w:rsidRDefault="00FB401A" w:rsidP="00EE43AE">
      <w:pPr>
        <w:pStyle w:val="JuPara"/>
      </w:pPr>
      <w:r>
        <w:fldChar w:fldCharType="begin"/>
      </w:r>
      <w:r>
        <w:instrText xml:space="preserve"> SEQ level0 \*arabic </w:instrText>
      </w:r>
      <w:r>
        <w:fldChar w:fldCharType="separate"/>
      </w:r>
      <w:r w:rsidR="001D10DA">
        <w:rPr>
          <w:noProof/>
        </w:rPr>
        <w:t>93</w:t>
      </w:r>
      <w:r>
        <w:rPr>
          <w:noProof/>
        </w:rPr>
        <w:fldChar w:fldCharType="end"/>
      </w:r>
      <w:r w:rsidR="00426D77">
        <w:t>.  W tej ocenie istotne są jednak dwa zasadnicze aspekty. Po pierwsze, dowody obciążające skarżącego nie ograniczały się do informacji</w:t>
      </w:r>
      <w:r w:rsidR="004B0C78">
        <w:br/>
      </w:r>
      <w:r w:rsidR="00426D77">
        <w:t>o przestępstwie, które przedstawił</w:t>
      </w:r>
      <w:r w:rsidR="00C72CF0">
        <w:t xml:space="preserve"> </w:t>
      </w:r>
      <w:r w:rsidR="008E5823">
        <w:t>oraz</w:t>
      </w:r>
      <w:r w:rsidR="00426D77">
        <w:t xml:space="preserve"> do jego wyjaśnień. Na rozprawie </w:t>
      </w:r>
      <w:r w:rsidR="00D13EDD">
        <w:t xml:space="preserve">stanowiły one istotna część oskarżenia, ale na </w:t>
      </w:r>
      <w:r w:rsidR="00426D77">
        <w:t xml:space="preserve">dowody </w:t>
      </w:r>
      <w:r w:rsidR="00D13EDD">
        <w:t>obciążając składały się też</w:t>
      </w:r>
      <w:r w:rsidR="00426D77">
        <w:t xml:space="preserve"> dowody balistyczne, dowody dotyczące samochodu, którym skarżący jechał w noc popełnienia przestępstwa, dowody przedstawione przez </w:t>
      </w:r>
      <w:r w:rsidR="00D13EDD">
        <w:t>P</w:t>
      </w:r>
      <w:r w:rsidR="00426D77">
        <w:t>anią G., której skarżący przed zatrzymaniem przekazał obciążające go informacje oraz kolejne dowody przedstawione przez świadka C., z których wynikało, że świadek była obecna przy poleceniu zabójstwa i</w:t>
      </w:r>
      <w:r w:rsidR="00D13EDD">
        <w:t xml:space="preserve"> że</w:t>
      </w:r>
      <w:r w:rsidR="00426D77">
        <w:t xml:space="preserve"> dzień po zabójstwie słyszała, jak skarżący potwierdził, że zrealizował polecenie (zob. paragraf 23 powyżej). Badanie przez Sąd Najwyższy tego aspektu procesu skarżącego było również bardzo dokładne i większością sześciu </w:t>
      </w:r>
      <w:r w:rsidR="00AB6AF5">
        <w:t xml:space="preserve">głosów </w:t>
      </w:r>
      <w:r w:rsidR="00426D77">
        <w:t xml:space="preserve">do jednego </w:t>
      </w:r>
      <w:r w:rsidR="00AB6AF5">
        <w:t>stwierdził on</w:t>
      </w:r>
      <w:r w:rsidR="00426D77">
        <w:t xml:space="preserve">, że </w:t>
      </w:r>
      <w:r w:rsidR="00AB6AF5">
        <w:t>skazanie skarżącego opierało się na jego</w:t>
      </w:r>
      <w:r w:rsidR="00426D77">
        <w:t xml:space="preserve"> dobrowoln</w:t>
      </w:r>
      <w:r w:rsidR="00AB6AF5">
        <w:t>ym</w:t>
      </w:r>
      <w:r w:rsidR="00426D77">
        <w:t xml:space="preserve"> przyznani</w:t>
      </w:r>
      <w:r w:rsidR="00AB6AF5">
        <w:t>u</w:t>
      </w:r>
      <w:r w:rsidR="00426D77">
        <w:t xml:space="preserve"> się do winy,</w:t>
      </w:r>
      <w:r w:rsidR="00AB6AF5">
        <w:t xml:space="preserve"> </w:t>
      </w:r>
      <w:r w:rsidR="00426D77">
        <w:t>potwierdz</w:t>
      </w:r>
      <w:r w:rsidR="00AB6AF5">
        <w:t>onym</w:t>
      </w:r>
      <w:r w:rsidR="00426D77">
        <w:t xml:space="preserve"> istotny</w:t>
      </w:r>
      <w:r w:rsidR="00AB6AF5">
        <w:t>mi</w:t>
      </w:r>
      <w:r w:rsidR="00426D77">
        <w:t xml:space="preserve"> niezależny</w:t>
      </w:r>
      <w:r w:rsidR="00AB6AF5">
        <w:t>mi</w:t>
      </w:r>
      <w:r w:rsidR="00426D77">
        <w:t xml:space="preserve"> dowoda</w:t>
      </w:r>
      <w:r w:rsidR="00AB6AF5">
        <w:t>mi</w:t>
      </w:r>
      <w:r w:rsidR="00426D77">
        <w:t xml:space="preserve"> (zob., na przykład, paragraf 38 powyżej). Po drugie, nie można </w:t>
      </w:r>
      <w:r w:rsidR="00AB6AF5">
        <w:t>powiedzieć</w:t>
      </w:r>
      <w:r w:rsidR="00426D77">
        <w:t>, że wyjaśnie</w:t>
      </w:r>
      <w:r w:rsidR="00AB6AF5">
        <w:t>nia</w:t>
      </w:r>
      <w:r w:rsidR="00426D77">
        <w:t xml:space="preserve"> skarżącego </w:t>
      </w:r>
      <w:r w:rsidR="00AB6AF5">
        <w:t xml:space="preserve">zostały złożone </w:t>
      </w:r>
      <w:r w:rsidR="00426D77">
        <w:t xml:space="preserve">bez zapewnienia mu dostępu do pomocy prawnej. Jak wskazano wcześniej, konsultował się z adwokatem przed przesłuchaniami przez policję oraz w dniach, w których był przesłuchiwany. Po </w:t>
      </w:r>
      <w:r w:rsidR="00AB6AF5">
        <w:t xml:space="preserve">14 </w:t>
      </w:r>
      <w:r w:rsidR="00426D77">
        <w:t>przesłuchaniu skonsultował się ze swoim adwokatem</w:t>
      </w:r>
      <w:r w:rsidR="00AB6AF5" w:rsidRPr="00AB6AF5">
        <w:t xml:space="preserve"> </w:t>
      </w:r>
      <w:r w:rsidR="00AB6AF5">
        <w:t>osobiście</w:t>
      </w:r>
      <w:r w:rsidR="00426D77">
        <w:t xml:space="preserve">, a podczas </w:t>
      </w:r>
      <w:r w:rsidR="00AB6AF5">
        <w:t xml:space="preserve">15-go </w:t>
      </w:r>
      <w:r w:rsidR="00426D77">
        <w:t>przesłuchania, tuż przed</w:t>
      </w:r>
      <w:r w:rsidR="00D85DE5">
        <w:t xml:space="preserve"> </w:t>
      </w:r>
      <w:r w:rsidR="00426D77">
        <w:t>pierwsz</w:t>
      </w:r>
      <w:r w:rsidR="00D85DE5">
        <w:t>ym przyznaniem się</w:t>
      </w:r>
      <w:r w:rsidR="00426D77">
        <w:t>,</w:t>
      </w:r>
      <w:r w:rsidR="00D85DE5">
        <w:t xml:space="preserve"> </w:t>
      </w:r>
      <w:r w:rsidR="00426D77">
        <w:t xml:space="preserve">przerwano </w:t>
      </w:r>
      <w:r w:rsidR="00D85DE5">
        <w:t>je w celu umożliwienia</w:t>
      </w:r>
      <w:r w:rsidR="00426D77">
        <w:t xml:space="preserve"> dalsz</w:t>
      </w:r>
      <w:r w:rsidR="00D85DE5">
        <w:t>ej</w:t>
      </w:r>
      <w:r w:rsidR="00426D77">
        <w:t xml:space="preserve"> konsultacj</w:t>
      </w:r>
      <w:r w:rsidR="00D85DE5">
        <w:t>i</w:t>
      </w:r>
      <w:r w:rsidR="00426D77">
        <w:t xml:space="preserve">. Tym samym, chociaż jeden z aspektów jego prawa niewątpliwie </w:t>
      </w:r>
      <w:r w:rsidR="004B0C78">
        <w:t>został ograniczony</w:t>
      </w:r>
      <w:r w:rsidR="00426D77">
        <w:t>, to od samego początku zapewniono mu pomoc prawną.</w:t>
      </w:r>
    </w:p>
    <w:p w14:paraId="02A4C15A" w14:textId="77777777" w:rsidR="00B3070D" w:rsidRPr="00EE43AE" w:rsidRDefault="00B3070D" w:rsidP="00EE43AE">
      <w:pPr>
        <w:pStyle w:val="JuHalpha"/>
      </w:pPr>
      <w:bookmarkStart w:id="2" w:name="TrameActeAccusation"/>
      <w:r>
        <w:t>Wykorzystanie dowodów oraz – w przypadku gdy w kwestii winy rozstrzyga ława przysięgłych – treść wskazówek lub wytycznych dla ławy przysięgłych</w:t>
      </w:r>
      <w:bookmarkEnd w:id="2"/>
    </w:p>
    <w:p w14:paraId="059A50B2" w14:textId="065508AB" w:rsidR="00B3070D" w:rsidRPr="00EE43AE" w:rsidRDefault="00FB401A" w:rsidP="00EE43AE">
      <w:pPr>
        <w:pStyle w:val="JuPara"/>
      </w:pPr>
      <w:r>
        <w:fldChar w:fldCharType="begin"/>
      </w:r>
      <w:r>
        <w:instrText xml:space="preserve"> SEQ level0 \*arabic </w:instrText>
      </w:r>
      <w:r>
        <w:fldChar w:fldCharType="separate"/>
      </w:r>
      <w:r w:rsidR="001D10DA">
        <w:rPr>
          <w:noProof/>
        </w:rPr>
        <w:t>94</w:t>
      </w:r>
      <w:r>
        <w:rPr>
          <w:noProof/>
        </w:rPr>
        <w:fldChar w:fldCharType="end"/>
      </w:r>
      <w:r w:rsidR="00426D77">
        <w:t>.  </w:t>
      </w:r>
      <w:r w:rsidR="00D85DE5">
        <w:t>Skarżący w postępowaniu sądowym został skazany przez ławę przysięgłych.</w:t>
      </w:r>
      <w:r w:rsidR="00CA00D2">
        <w:t xml:space="preserve"> Nagrania video z przesł</w:t>
      </w:r>
      <w:r w:rsidR="00426D77">
        <w:t>uch</w:t>
      </w:r>
      <w:r w:rsidR="00CA00D2">
        <w:t>ań</w:t>
      </w:r>
      <w:r w:rsidR="00426D77">
        <w:t xml:space="preserve"> skarżącego przez policję skarżącego zostały ujawnione ławie przysięgłych jako dowód, ale dopiero po tym, jak kwestia ich dopuszczalności została rozstrzygnięta przez sędziego </w:t>
      </w:r>
      <w:r w:rsidR="00426D77">
        <w:lastRenderedPageBreak/>
        <w:t xml:space="preserve">rozpoznającego sprawę w pierwszej instancji po przeprowadzeniu postępowania </w:t>
      </w:r>
      <w:r w:rsidR="00426D77">
        <w:rPr>
          <w:i/>
        </w:rPr>
        <w:t>voir dire</w:t>
      </w:r>
      <w:r w:rsidR="00426D77">
        <w:t xml:space="preserve">, które trwało dziesięć dni (zob. paragraf 23 powyżej). Ławie przysięgłych objaśniono również charakter postępowania </w:t>
      </w:r>
      <w:r w:rsidR="00426D77">
        <w:rPr>
          <w:i/>
        </w:rPr>
        <w:t>voir dire</w:t>
      </w:r>
      <w:r w:rsidR="00426D77">
        <w:t xml:space="preserve"> i przedstawiono dotyczące go wnioski sędziego.</w:t>
      </w:r>
      <w:r w:rsidR="00440B0B">
        <w:br/>
      </w:r>
      <w:r w:rsidR="00426D77">
        <w:t>W związku z tym ława przysięgłych została poinformowana o spornym charakterze przesłuchań oraz o powodach, dla których sędzia uznał, że przesłuchania te mogą zostać dopuszczone jako dowód.</w:t>
      </w:r>
    </w:p>
    <w:p w14:paraId="0C167C95" w14:textId="390B0F21" w:rsidR="00B3070D" w:rsidRPr="00EE43AE" w:rsidRDefault="00FB401A" w:rsidP="00EE43AE">
      <w:pPr>
        <w:pStyle w:val="JuPara"/>
      </w:pPr>
      <w:r>
        <w:fldChar w:fldCharType="begin"/>
      </w:r>
      <w:r>
        <w:instrText xml:space="preserve"> SEQ level0 \*arabic </w:instrText>
      </w:r>
      <w:r>
        <w:fldChar w:fldCharType="separate"/>
      </w:r>
      <w:r w:rsidR="001D10DA">
        <w:rPr>
          <w:noProof/>
        </w:rPr>
        <w:t>95</w:t>
      </w:r>
      <w:r>
        <w:rPr>
          <w:noProof/>
        </w:rPr>
        <w:fldChar w:fldCharType="end"/>
      </w:r>
      <w:r w:rsidR="00426D77">
        <w:t xml:space="preserve">.  Pod koniec rozprawy sędzia podsumował postępowanie w pouczeniu sędziowskim </w:t>
      </w:r>
      <w:r w:rsidR="00CA00D2">
        <w:t xml:space="preserve">dla ławy przysięgłych </w:t>
      </w:r>
      <w:r w:rsidR="00426D77">
        <w:t xml:space="preserve">(zob. paragraf 24 powyżej). Po przyjęciu, że dowód z przesłuchań przez policję może zostać dopuszczony po przeprowadzeniu postępowania </w:t>
      </w:r>
      <w:r w:rsidR="00426D77">
        <w:rPr>
          <w:i/>
        </w:rPr>
        <w:t>voir dire</w:t>
      </w:r>
      <w:r w:rsidR="00426D77">
        <w:t xml:space="preserve">, sędzia nie odniósł się </w:t>
      </w:r>
      <w:r w:rsidR="00CA00D2">
        <w:t xml:space="preserve">odrębnie </w:t>
      </w:r>
      <w:r w:rsidR="00426D77">
        <w:t xml:space="preserve">do kwestii jego dopuszczalności </w:t>
      </w:r>
      <w:r w:rsidR="00CA00D2">
        <w:t>w pouczeniu sędziowskim</w:t>
      </w:r>
      <w:r w:rsidR="00426D77">
        <w:t>. Wskazówki sędziego rozpoznającego sprawę w pierwszej instancji miały szczególne znaczenie, ponieważ ich celem było umożliwienie ławie przysięgłych dokonani</w:t>
      </w:r>
      <w:r w:rsidR="005F1B3A">
        <w:t>a</w:t>
      </w:r>
      <w:r w:rsidR="00426D77">
        <w:t xml:space="preserve"> oceny konsekwencji, </w:t>
      </w:r>
      <w:r w:rsidR="00BC0813">
        <w:t>w odniesieniu do</w:t>
      </w:r>
      <w:r w:rsidR="00426D77">
        <w:t xml:space="preserve"> ogólnej rzetelności procesu, wszystkich uchybień proceduralnych, które mogły mieć miejsce na etapie postępowania przygotowawczego. Sędzia pouczył ławę przysięgłych o zachowaniu ostrożności przy zapoznawaniu się z materiałem dowodowym i podkreślił ich obowiązek neutralnego rozpatrzenia kwestii, czy skarżący został nakłoniony do przyznania się do popełnienia przestępstwa, wraz ze szczegółowym wyjaśnieniem, co należy przez to rozumieć</w:t>
      </w:r>
      <w:r w:rsidR="00CF7FEC">
        <w:br/>
      </w:r>
      <w:r w:rsidR="00426D77">
        <w:t xml:space="preserve">w okolicznościach przedmiotowej sprawy. Sędzia ostrzegł również ławę przysięgłych, że </w:t>
      </w:r>
      <w:r w:rsidR="00BC0813">
        <w:t xml:space="preserve">skazanie </w:t>
      </w:r>
      <w:r w:rsidR="00426D77">
        <w:t xml:space="preserve">osoby </w:t>
      </w:r>
      <w:r w:rsidR="00BC0813">
        <w:t>jedynie na podstawie s</w:t>
      </w:r>
      <w:r w:rsidR="00426D77">
        <w:t>amego</w:t>
      </w:r>
      <w:r w:rsidR="00BC0813">
        <w:t xml:space="preserve"> przyznania się</w:t>
      </w:r>
      <w:r w:rsidR="00426D77">
        <w:t xml:space="preserve">, bez </w:t>
      </w:r>
      <w:r w:rsidR="00BC0813">
        <w:t>je</w:t>
      </w:r>
      <w:r w:rsidR="00426D77">
        <w:t>go potwierdz</w:t>
      </w:r>
      <w:r w:rsidR="00BC0813">
        <w:t>enia</w:t>
      </w:r>
      <w:r w:rsidR="00426D77">
        <w:t xml:space="preserve">, może być niebezpieczne. Sędzia </w:t>
      </w:r>
      <w:r w:rsidR="00BC0813">
        <w:t xml:space="preserve">następnie </w:t>
      </w:r>
      <w:r w:rsidR="00426D77">
        <w:t xml:space="preserve">szczegółowo wyjaśnił, dlaczego tak jest i co w okolicznościach przedmiotowej sprawy należy rozumieć przez dowód potwierdzający. Skarżący miał również możliwość zakwestionowania treści pouczenia sędziowskiego przed </w:t>
      </w:r>
      <w:r w:rsidR="00816138">
        <w:t>s</w:t>
      </w:r>
      <w:r w:rsidR="00426D77">
        <w:t xml:space="preserve">ądem </w:t>
      </w:r>
      <w:r w:rsidR="00816138">
        <w:t>a</w:t>
      </w:r>
      <w:r w:rsidR="00426D77">
        <w:t xml:space="preserve">pelacyjnym, co sąd ten </w:t>
      </w:r>
      <w:r w:rsidR="00816138">
        <w:t>odrzucił</w:t>
      </w:r>
      <w:r w:rsidR="00426D77">
        <w:t xml:space="preserve"> (zob. paragraf 30 powyżej).</w:t>
      </w:r>
    </w:p>
    <w:p w14:paraId="55B62846" w14:textId="77777777" w:rsidR="00B3070D" w:rsidRPr="00EE43AE" w:rsidRDefault="00B3070D" w:rsidP="00EE43AE">
      <w:pPr>
        <w:pStyle w:val="JuHalpha"/>
      </w:pPr>
      <w:r>
        <w:t>Znaczenie interesu publicznego</w:t>
      </w:r>
    </w:p>
    <w:p w14:paraId="4833F34D" w14:textId="543A6DAB" w:rsidR="00B3070D" w:rsidRPr="00EE43AE" w:rsidRDefault="00FB401A" w:rsidP="00EE43AE">
      <w:pPr>
        <w:pStyle w:val="JuPara"/>
      </w:pPr>
      <w:r>
        <w:fldChar w:fldCharType="begin"/>
      </w:r>
      <w:r>
        <w:instrText xml:space="preserve"> SEQ level0 \*arabic </w:instrText>
      </w:r>
      <w:r>
        <w:fldChar w:fldCharType="separate"/>
      </w:r>
      <w:r w:rsidR="001D10DA">
        <w:rPr>
          <w:noProof/>
        </w:rPr>
        <w:t>96</w:t>
      </w:r>
      <w:r>
        <w:rPr>
          <w:noProof/>
        </w:rPr>
        <w:fldChar w:fldCharType="end"/>
      </w:r>
      <w:r w:rsidR="00426D77">
        <w:t>.  Trybunał stwierdził, że za ściganiem skarżącego, który został oskarżony o popełnienie zabójstwa</w:t>
      </w:r>
      <w:r w:rsidR="00816138">
        <w:t>,</w:t>
      </w:r>
      <w:r w:rsidR="00426D77">
        <w:t xml:space="preserve"> przemawiały uzasadnione względy interesu publicznego. Ponadto nie ulega wątpliwości, że proces karny</w:t>
      </w:r>
      <w:r w:rsidR="001E6ED1">
        <w:br/>
      </w:r>
      <w:r w:rsidR="00426D77">
        <w:t>w niniejszej sprawie był następstwem zabójstwa niewinnej osoby wskutek błędu co do tożsamości po poleceniu dokonania zabójstwa innego mężczyzny w ramach sporu pomiędzy gangami przestępczymi, co wymagało podjęcia odpowiednich środków (zob</w:t>
      </w:r>
      <w:r w:rsidR="00426D77">
        <w:rPr>
          <w:i/>
        </w:rPr>
        <w:t xml:space="preserve">. </w:t>
      </w:r>
      <w:r w:rsidR="00426D77">
        <w:t xml:space="preserve"> </w:t>
      </w:r>
      <w:r w:rsidR="00426D77">
        <w:rPr>
          <w:i/>
        </w:rPr>
        <w:t>Ramanauskas</w:t>
      </w:r>
      <w:r w:rsidR="00426D77">
        <w:t xml:space="preserve"> </w:t>
      </w:r>
      <w:r w:rsidR="00426D77">
        <w:rPr>
          <w:i/>
          <w:iCs/>
        </w:rPr>
        <w:t>przeciwko</w:t>
      </w:r>
      <w:r w:rsidR="00426D77">
        <w:t xml:space="preserve"> </w:t>
      </w:r>
      <w:r w:rsidR="00426D77">
        <w:rPr>
          <w:i/>
        </w:rPr>
        <w:t xml:space="preserve">Litwie </w:t>
      </w:r>
      <w:r w:rsidR="00426D77">
        <w:t xml:space="preserve">[WI], nr 74420/01, § 53, ETPC 2008); przemoc </w:t>
      </w:r>
      <w:r w:rsidR="00016C78">
        <w:t>ze strony gangów przestępczych i pomiędzy</w:t>
      </w:r>
      <w:r w:rsidR="00426D77">
        <w:t xml:space="preserve"> </w:t>
      </w:r>
      <w:r w:rsidR="00016C78">
        <w:t>nimi</w:t>
      </w:r>
      <w:r w:rsidR="00426D77">
        <w:t xml:space="preserve"> stanowi problem w pozwanym państwie, który Trybunał </w:t>
      </w:r>
      <w:r w:rsidR="00016C78">
        <w:t xml:space="preserve">zauważył </w:t>
      </w:r>
      <w:r w:rsidR="00426D77">
        <w:t xml:space="preserve">już wcześniej (zob. </w:t>
      </w:r>
      <w:r w:rsidR="00426D77">
        <w:rPr>
          <w:i/>
        </w:rPr>
        <w:t>Campion przeciwko Irlandii</w:t>
      </w:r>
      <w:r w:rsidR="00426D77">
        <w:t xml:space="preserve"> (dec.), nr 29276/17, 10 października 2017 r.).</w:t>
      </w:r>
    </w:p>
    <w:p w14:paraId="0C09BD2C" w14:textId="63010A75" w:rsidR="00B3070D" w:rsidRPr="00EE43AE" w:rsidRDefault="00B3070D" w:rsidP="00EE43AE">
      <w:pPr>
        <w:pStyle w:val="JuHalpha"/>
      </w:pPr>
      <w:r>
        <w:lastRenderedPageBreak/>
        <w:t xml:space="preserve">Czy </w:t>
      </w:r>
      <w:r w:rsidR="00016C78">
        <w:t xml:space="preserve">krajowe prawo i praktyka </w:t>
      </w:r>
      <w:r>
        <w:t>zapewni</w:t>
      </w:r>
      <w:r w:rsidR="00016C78">
        <w:t>ały</w:t>
      </w:r>
      <w:r>
        <w:t xml:space="preserve"> inne gwarancje procesowe </w:t>
      </w:r>
    </w:p>
    <w:p w14:paraId="6CAAFF8C" w14:textId="4C5744CB" w:rsidR="00B3070D" w:rsidRPr="00EE43AE" w:rsidRDefault="00FB401A" w:rsidP="00EE43AE">
      <w:pPr>
        <w:pStyle w:val="JuPara"/>
      </w:pPr>
      <w:r>
        <w:fldChar w:fldCharType="begin"/>
      </w:r>
      <w:r>
        <w:instrText xml:space="preserve"> SEQ level0 \*arabic </w:instrText>
      </w:r>
      <w:r>
        <w:fldChar w:fldCharType="separate"/>
      </w:r>
      <w:r w:rsidR="001D10DA">
        <w:rPr>
          <w:noProof/>
        </w:rPr>
        <w:t>97</w:t>
      </w:r>
      <w:r>
        <w:rPr>
          <w:noProof/>
        </w:rPr>
        <w:fldChar w:fldCharType="end"/>
      </w:r>
      <w:r w:rsidR="00426D77">
        <w:t xml:space="preserve">.  Nie ulega wątpliwości, że skarżącego pouczono o przysługujących mu prawach w chwili zatrzymania oraz że zapewniono mu natychmiastowy dostęp do </w:t>
      </w:r>
      <w:r w:rsidR="00016C78">
        <w:t xml:space="preserve">jego </w:t>
      </w:r>
      <w:r w:rsidR="00426D77">
        <w:t xml:space="preserve">adwokata, który był w stanie udzielić dalszych informacji </w:t>
      </w:r>
      <w:r w:rsidR="00016C78">
        <w:t xml:space="preserve">o </w:t>
      </w:r>
      <w:r w:rsidR="00426D77">
        <w:t>jego praw</w:t>
      </w:r>
      <w:r w:rsidR="00016C78">
        <w:t>ach</w:t>
      </w:r>
      <w:r w:rsidR="00426D77">
        <w:t xml:space="preserve"> </w:t>
      </w:r>
      <w:r w:rsidR="00016C78">
        <w:t>proceduralnych</w:t>
      </w:r>
      <w:r w:rsidR="00426D77">
        <w:t>, w tym praw</w:t>
      </w:r>
      <w:r w:rsidR="00016C78">
        <w:t>ie</w:t>
      </w:r>
      <w:r w:rsidR="00426D77">
        <w:t xml:space="preserve"> do odmowy składania wyjaśnień oraz praw</w:t>
      </w:r>
      <w:r w:rsidR="00016C78">
        <w:t>ie</w:t>
      </w:r>
      <w:r w:rsidR="00426D77">
        <w:t xml:space="preserve"> do ochrony przed samooskarżeniem.</w:t>
      </w:r>
    </w:p>
    <w:p w14:paraId="771A9165" w14:textId="4AF6F1CB" w:rsidR="00B3070D" w:rsidRPr="00EE43AE" w:rsidRDefault="00FB401A" w:rsidP="00EE43AE">
      <w:pPr>
        <w:pStyle w:val="JuPara"/>
      </w:pPr>
      <w:r>
        <w:fldChar w:fldCharType="begin"/>
      </w:r>
      <w:r>
        <w:instrText xml:space="preserve"> SEQ level0 \*arabic </w:instrText>
      </w:r>
      <w:r>
        <w:fldChar w:fldCharType="separate"/>
      </w:r>
      <w:r w:rsidR="001D10DA">
        <w:rPr>
          <w:noProof/>
        </w:rPr>
        <w:t>98</w:t>
      </w:r>
      <w:r>
        <w:rPr>
          <w:noProof/>
        </w:rPr>
        <w:fldChar w:fldCharType="end"/>
      </w:r>
      <w:r w:rsidR="00426D77">
        <w:t xml:space="preserve">.  Chociaż adwokat skarżącego nie był fizycznie obecny podczas przesłuchań, to oczywiste jest, że mógł je przerywać i przerywał, aby dalej konsultować się ze swoim klientem. Jak wskazał jeden z sędziów Sądu Najwyższego, jego rola była </w:t>
      </w:r>
      <w:r w:rsidR="00B1777C">
        <w:t xml:space="preserve">rzeczywiście </w:t>
      </w:r>
      <w:r w:rsidR="00426D77">
        <w:t xml:space="preserve">kluczowa, bowiem policja i skarżący </w:t>
      </w:r>
      <w:r w:rsidR="00B1777C">
        <w:t xml:space="preserve">właściwie </w:t>
      </w:r>
      <w:r w:rsidR="00426D77">
        <w:t>porozumiewali się za jego pośrednictwem, a nie bezpośrednio.</w:t>
      </w:r>
    </w:p>
    <w:p w14:paraId="5148D37D" w14:textId="2EA663D0" w:rsidR="00B3070D" w:rsidRPr="00EE43AE" w:rsidRDefault="00FB401A" w:rsidP="00EE43AE">
      <w:pPr>
        <w:pStyle w:val="JuPara"/>
      </w:pPr>
      <w:r>
        <w:fldChar w:fldCharType="begin"/>
      </w:r>
      <w:r>
        <w:instrText xml:space="preserve"> SEQ level0 \*arabic </w:instrText>
      </w:r>
      <w:r>
        <w:fldChar w:fldCharType="separate"/>
      </w:r>
      <w:r w:rsidR="001D10DA">
        <w:rPr>
          <w:noProof/>
        </w:rPr>
        <w:t>99</w:t>
      </w:r>
      <w:r>
        <w:rPr>
          <w:noProof/>
        </w:rPr>
        <w:fldChar w:fldCharType="end"/>
      </w:r>
      <w:r w:rsidR="00426D77">
        <w:t xml:space="preserve">.  Kluczowym dodatkowym zabezpieczeniem, na które zwróciły uwagę </w:t>
      </w:r>
      <w:r w:rsidR="00B1777C">
        <w:t>s</w:t>
      </w:r>
      <w:r w:rsidR="00426D77">
        <w:t xml:space="preserve">ąd </w:t>
      </w:r>
      <w:r w:rsidR="00B1777C">
        <w:t>a</w:t>
      </w:r>
      <w:r w:rsidR="00426D77">
        <w:t xml:space="preserve">pelacyjny i Sąd Najwyższy, był fakt, że wszystkie przesłuchania skarżącego przez policję były nagrywane za pomocą </w:t>
      </w:r>
      <w:r w:rsidR="00B1777C">
        <w:t>videorejestratora i że</w:t>
      </w:r>
      <w:r w:rsidR="00426D77">
        <w:t xml:space="preserve"> nagrania te były </w:t>
      </w:r>
      <w:r w:rsidR="00B1777C">
        <w:t>dostępne dla</w:t>
      </w:r>
      <w:r w:rsidR="00426D77">
        <w:t xml:space="preserve"> sędziów we wszystkich trzech instancjach oraz zostały ujawnione ławie przysięgłych na rozprawie. Trybunał uważa, że było to rzeczywiście </w:t>
      </w:r>
      <w:r w:rsidR="00B1777C">
        <w:t xml:space="preserve">istotne </w:t>
      </w:r>
      <w:r w:rsidR="00426D77">
        <w:t>zabezpieczenie, ponieważ niewątpliwie skłaniało</w:t>
      </w:r>
      <w:r w:rsidR="00B1777C">
        <w:t xml:space="preserve"> </w:t>
      </w:r>
      <w:r w:rsidR="00426D77">
        <w:t>policję</w:t>
      </w:r>
      <w:r w:rsidR="00B1777C">
        <w:t xml:space="preserve"> </w:t>
      </w:r>
      <w:r w:rsidR="00426D77">
        <w:t>do</w:t>
      </w:r>
      <w:r w:rsidR="00B1777C">
        <w:t xml:space="preserve"> działania </w:t>
      </w:r>
      <w:r w:rsidR="00426D77">
        <w:t>zgodn</w:t>
      </w:r>
      <w:r w:rsidR="00B1777C">
        <w:t>i</w:t>
      </w:r>
      <w:r w:rsidR="00426D77">
        <w:t>e</w:t>
      </w:r>
      <w:r w:rsidR="00B1777C">
        <w:t xml:space="preserve"> </w:t>
      </w:r>
      <w:r w:rsidR="00426D77">
        <w:t>z prawem. Umożliwiło to również sądom krajowym podejmowanie świadomych decyzji przy ocenie dopuszczalności</w:t>
      </w:r>
      <w:r w:rsidR="00AD1792">
        <w:t xml:space="preserve"> </w:t>
      </w:r>
      <w:r w:rsidR="00426D77">
        <w:t>dowodów</w:t>
      </w:r>
      <w:r w:rsidR="00AD1792">
        <w:t xml:space="preserve"> </w:t>
      </w:r>
      <w:r w:rsidR="00426D77">
        <w:t>uzyskanych</w:t>
      </w:r>
      <w:r w:rsidR="00AD1792">
        <w:t xml:space="preserve"> </w:t>
      </w:r>
      <w:r w:rsidR="00426D77">
        <w:t xml:space="preserve">w trakcie przesłuchania przez policję. Wreszcie, fakt nagrywania przesłuchań za pomocą urządzeń rejestrujących obraz i dźwięk był krokiem w kierunku zapobiegania przymusowi i złemu traktowaniu przez policję, co jest jednym z powodów obecności adwokata podczas przesłuchań policyjnych (zob. </w:t>
      </w:r>
      <w:r w:rsidR="00426D77">
        <w:rPr>
          <w:i/>
        </w:rPr>
        <w:t>Beuze</w:t>
      </w:r>
      <w:r w:rsidR="00426D77">
        <w:t>,</w:t>
      </w:r>
      <w:r w:rsidR="007E550F">
        <w:t xml:space="preserve"> cyt. pow.</w:t>
      </w:r>
      <w:r w:rsidR="00426D77">
        <w:t>, § 126).</w:t>
      </w:r>
    </w:p>
    <w:p w14:paraId="71E64FBA" w14:textId="77777777" w:rsidR="00B3070D" w:rsidRPr="00EE43AE" w:rsidRDefault="00B3070D" w:rsidP="00EE43AE">
      <w:pPr>
        <w:pStyle w:val="JuHalpha"/>
      </w:pPr>
      <w:r>
        <w:t>Wniosek co do ogólnej rzetelności postępowania</w:t>
      </w:r>
    </w:p>
    <w:p w14:paraId="2B8D934C" w14:textId="104CE403" w:rsidR="00B3070D" w:rsidRPr="00EE43AE" w:rsidRDefault="00FB401A" w:rsidP="00EE43AE">
      <w:pPr>
        <w:pStyle w:val="JuPara"/>
      </w:pPr>
      <w:r>
        <w:fldChar w:fldCharType="begin"/>
      </w:r>
      <w:r>
        <w:instrText xml:space="preserve"> SEQ level0 \*arabic </w:instrText>
      </w:r>
      <w:r>
        <w:fldChar w:fldCharType="separate"/>
      </w:r>
      <w:r w:rsidR="001D10DA">
        <w:rPr>
          <w:noProof/>
        </w:rPr>
        <w:t>100</w:t>
      </w:r>
      <w:r>
        <w:rPr>
          <w:noProof/>
        </w:rPr>
        <w:fldChar w:fldCharType="end"/>
      </w:r>
      <w:r w:rsidR="00426D77">
        <w:t xml:space="preserve">.  Podsumowując, Trybunał przypomina, że jego rolą nie jest orzekanie w sposób abstrakcyjny ani harmonizowanie poszczególnych systemów prawnych, ale </w:t>
      </w:r>
      <w:r w:rsidR="00844C91">
        <w:t xml:space="preserve">ustanowienie </w:t>
      </w:r>
      <w:r w:rsidR="00426D77">
        <w:t>środków zapewniających</w:t>
      </w:r>
      <w:r w:rsidR="00844C91">
        <w:t>, że</w:t>
      </w:r>
      <w:r w:rsidR="00426D77">
        <w:t xml:space="preserve"> postępowania </w:t>
      </w:r>
      <w:r w:rsidR="00844C91">
        <w:t xml:space="preserve">prowadzone </w:t>
      </w:r>
      <w:r w:rsidR="00426D77">
        <w:t xml:space="preserve">w każdej sprawie </w:t>
      </w:r>
      <w:r w:rsidR="00844C91">
        <w:t xml:space="preserve">będzie zgodne </w:t>
      </w:r>
      <w:r w:rsidR="00426D77">
        <w:t xml:space="preserve">z wymogami rzetelnego procesu, z uwzględnieniem szczególnych okoliczności dotyczących każdego oskarżonego (zob. </w:t>
      </w:r>
      <w:r w:rsidR="00426D77">
        <w:rPr>
          <w:i/>
        </w:rPr>
        <w:t>Beuze</w:t>
      </w:r>
      <w:r w:rsidR="00426D77">
        <w:t xml:space="preserve">, </w:t>
      </w:r>
      <w:r w:rsidR="00844C91">
        <w:rPr>
          <w:i/>
          <w:iCs/>
        </w:rPr>
        <w:t>cyt. pow</w:t>
      </w:r>
      <w:r w:rsidR="00426D77">
        <w:rPr>
          <w:i/>
          <w:iCs/>
        </w:rPr>
        <w:t>.</w:t>
      </w:r>
      <w:r w:rsidR="00426D77">
        <w:t>, § 148.).</w:t>
      </w:r>
    </w:p>
    <w:p w14:paraId="7158A6D8" w14:textId="2973A6F8" w:rsidR="00B3070D" w:rsidRPr="00EE43AE" w:rsidRDefault="00FB401A" w:rsidP="00EE43AE">
      <w:pPr>
        <w:pStyle w:val="JuPara"/>
      </w:pPr>
      <w:r>
        <w:fldChar w:fldCharType="begin"/>
      </w:r>
      <w:r>
        <w:instrText xml:space="preserve"> SEQ level0 \*arabic </w:instrText>
      </w:r>
      <w:r>
        <w:fldChar w:fldCharType="separate"/>
      </w:r>
      <w:r w:rsidR="001D10DA">
        <w:rPr>
          <w:noProof/>
        </w:rPr>
        <w:t>101</w:t>
      </w:r>
      <w:r>
        <w:rPr>
          <w:noProof/>
        </w:rPr>
        <w:fldChar w:fldCharType="end"/>
      </w:r>
      <w:r w:rsidR="00426D77">
        <w:t xml:space="preserve">.  W niniejszej sprawie należy podkreślić, że o ile większość składu Sądu Najwyższego, która w szerokim zakresie odniosła się do orzecznictwa Trybunału dotyczącego art. 6, trafnie stwierdziła, że </w:t>
      </w:r>
      <w:r w:rsidR="005D5480">
        <w:t>tam, gdzie wystąpiły</w:t>
      </w:r>
      <w:r w:rsidR="00426D77">
        <w:t xml:space="preserve"> uchybie</w:t>
      </w:r>
      <w:r w:rsidR="005D5480">
        <w:t>nia</w:t>
      </w:r>
      <w:r w:rsidR="00426D77">
        <w:t xml:space="preserve"> </w:t>
      </w:r>
      <w:r w:rsidR="005D5480">
        <w:t xml:space="preserve">proceduralne </w:t>
      </w:r>
      <w:r w:rsidR="00426D77">
        <w:t xml:space="preserve">na etapie postępowania przygotowawczego, podstawową kwestią podlegającą ocenie przez sądy krajowe na etapie </w:t>
      </w:r>
      <w:r w:rsidR="005D5480">
        <w:t xml:space="preserve">rozpoznania sprawy w I instancji </w:t>
      </w:r>
      <w:r w:rsidR="00426D77">
        <w:t>i w postępowaniu odwoławczym</w:t>
      </w:r>
      <w:r w:rsidR="005D5480">
        <w:t>, musi</w:t>
      </w:r>
      <w:r w:rsidR="00426D77">
        <w:t xml:space="preserve"> być ogólna rzetelność postępowania karnego, nie uznała, że prawo oskarżonego do dostępu do adwokata dotyczy również fizycznej obecności adwokata podczas przesłuchań policyjnych.</w:t>
      </w:r>
    </w:p>
    <w:p w14:paraId="71059D4F" w14:textId="77777777" w:rsidR="00B3070D" w:rsidRPr="00EE43AE" w:rsidRDefault="00FB401A" w:rsidP="00EE43AE">
      <w:pPr>
        <w:pStyle w:val="JuPara"/>
      </w:pPr>
      <w:r>
        <w:lastRenderedPageBreak/>
        <w:fldChar w:fldCharType="begin"/>
      </w:r>
      <w:r>
        <w:instrText xml:space="preserve"> SEQ level0 \*arabic </w:instrText>
      </w:r>
      <w:r>
        <w:fldChar w:fldCharType="separate"/>
      </w:r>
      <w:r w:rsidR="001D10DA">
        <w:rPr>
          <w:noProof/>
        </w:rPr>
        <w:t>102</w:t>
      </w:r>
      <w:r>
        <w:rPr>
          <w:noProof/>
        </w:rPr>
        <w:fldChar w:fldCharType="end"/>
      </w:r>
      <w:r w:rsidR="00426D77">
        <w:t>.  Trybunał stwierdza, że w okolicznościach niniejszej sprawy, niezależnie od bardzo ścisłej kontroli, którą należy stosować w sytuacji, gdy – tak jak tutaj – nie ma istotnych powodów uzasadniających ograniczenie prawa dostępu oskarżonego do adwokata, w ujęciu całościowym nie doszło do nieodwracalnego naruszenia ogólnej rzetelności procesu.</w:t>
      </w:r>
    </w:p>
    <w:p w14:paraId="7F70CED0" w14:textId="77777777" w:rsidR="00B3070D" w:rsidRPr="00EE43AE" w:rsidRDefault="00FB401A" w:rsidP="00EE43AE">
      <w:pPr>
        <w:pStyle w:val="JuPara"/>
      </w:pPr>
      <w:r>
        <w:fldChar w:fldCharType="begin"/>
      </w:r>
      <w:r>
        <w:instrText xml:space="preserve"> SEQ level0 \*arabic </w:instrText>
      </w:r>
      <w:r>
        <w:fldChar w:fldCharType="separate"/>
      </w:r>
      <w:r w:rsidR="001D10DA">
        <w:rPr>
          <w:noProof/>
        </w:rPr>
        <w:t>103</w:t>
      </w:r>
      <w:r>
        <w:rPr>
          <w:noProof/>
        </w:rPr>
        <w:fldChar w:fldCharType="end"/>
      </w:r>
      <w:r w:rsidR="00426D77">
        <w:t>.  Powyższe względy są dla Trybunału wystarczające do uznania, że nie doszło do naruszenia art. 6 ust. 1 i 3 lit. c Konwencji.</w:t>
      </w:r>
    </w:p>
    <w:p w14:paraId="25BB1027" w14:textId="77777777" w:rsidR="00B3070D" w:rsidRPr="00EE43AE" w:rsidRDefault="00300885" w:rsidP="00EE43AE">
      <w:pPr>
        <w:pStyle w:val="JuHHead"/>
      </w:pPr>
      <w:r>
        <w:t>Z TYCH PRZYCZYN TRYBUNAŁ</w:t>
      </w:r>
    </w:p>
    <w:p w14:paraId="1467751F" w14:textId="5C3BFE8A" w:rsidR="00B3070D" w:rsidRPr="00EE43AE" w:rsidRDefault="00844C91" w:rsidP="00EE43AE">
      <w:pPr>
        <w:pStyle w:val="JuList"/>
      </w:pPr>
      <w:r>
        <w:rPr>
          <w:i/>
        </w:rPr>
        <w:t>U</w:t>
      </w:r>
      <w:r w:rsidR="00B3070D">
        <w:rPr>
          <w:i/>
        </w:rPr>
        <w:t>znaje</w:t>
      </w:r>
      <w:r>
        <w:rPr>
          <w:i/>
        </w:rPr>
        <w:t>,</w:t>
      </w:r>
      <w:r w:rsidR="00B3070D">
        <w:t xml:space="preserve"> jednogłośnie</w:t>
      </w:r>
      <w:r>
        <w:t>,</w:t>
      </w:r>
      <w:r w:rsidR="00B3070D">
        <w:t xml:space="preserve"> skargę za dopuszczalną;</w:t>
      </w:r>
    </w:p>
    <w:p w14:paraId="6004EEA4" w14:textId="77777777" w:rsidR="004D0EC7" w:rsidRPr="00EE43AE" w:rsidRDefault="00300885" w:rsidP="00EE43AE">
      <w:pPr>
        <w:pStyle w:val="JuList"/>
      </w:pPr>
      <w:r>
        <w:rPr>
          <w:i/>
        </w:rPr>
        <w:t>orzeka</w:t>
      </w:r>
      <w:r>
        <w:t xml:space="preserve">, sześcioma głosami do </w:t>
      </w:r>
      <w:r w:rsidR="007E54FF">
        <w:t>jednego</w:t>
      </w:r>
      <w:r>
        <w:t>, że nie doszło do naruszenia art. 6 ust. 1 i 3 lit. c Konwencji;</w:t>
      </w:r>
    </w:p>
    <w:p w14:paraId="3843F540" w14:textId="77777777" w:rsidR="008E3A08" w:rsidRPr="00EE43AE" w:rsidRDefault="007E2C8C" w:rsidP="00EE43AE">
      <w:pPr>
        <w:pStyle w:val="JuParaLast"/>
      </w:pPr>
      <w:r>
        <w:t>Sporządzono w języku angielskim i obwieszczono pisemnie w dniu 23 maja 2019 r., zgodnie z Regułą 77 §§ 2 i 3 Regulaminu Trybunału.</w:t>
      </w:r>
    </w:p>
    <w:p w14:paraId="222472C4" w14:textId="77777777" w:rsidR="001C055B" w:rsidRPr="00EE43AE" w:rsidRDefault="00B3070D" w:rsidP="00EE43AE">
      <w:pPr>
        <w:pStyle w:val="JuSigned"/>
      </w:pPr>
      <w:r>
        <w:t>Claudia Westerdiek</w:t>
      </w:r>
      <w:r>
        <w:tab/>
        <w:t>Angelika Nußberger</w:t>
      </w:r>
      <w:r>
        <w:br/>
      </w:r>
      <w:r>
        <w:tab/>
        <w:t>Kanclerz</w:t>
      </w:r>
      <w:r>
        <w:tab/>
        <w:t>Przewodnicząca</w:t>
      </w:r>
    </w:p>
    <w:p w14:paraId="6B538CDC" w14:textId="77777777" w:rsidR="00495BE2" w:rsidRPr="00C24997" w:rsidRDefault="00495BE2" w:rsidP="00EE43AE"/>
    <w:p w14:paraId="7F4FD4F2" w14:textId="77777777" w:rsidR="00320F3E" w:rsidRPr="00EE43AE" w:rsidRDefault="00320F3E" w:rsidP="00EE43AE">
      <w:pPr>
        <w:pStyle w:val="JuParaLast"/>
      </w:pPr>
      <w:r>
        <w:t>Zgodnie z art. 45 ust. 2 Konwencji i Regułą 74 § 2 Regulaminu Trybunału do wyroku załączono opinię odrębną sędzi Ganny Yudkivskiej.</w:t>
      </w:r>
    </w:p>
    <w:p w14:paraId="34A94006" w14:textId="77777777" w:rsidR="00320F3E" w:rsidRPr="00EE43AE" w:rsidRDefault="00A22518" w:rsidP="00EE43AE">
      <w:pPr>
        <w:jc w:val="right"/>
      </w:pPr>
      <w:r>
        <w:t xml:space="preserve">A.N. </w:t>
      </w:r>
      <w:r>
        <w:br/>
        <w:t>C.W.</w:t>
      </w:r>
    </w:p>
    <w:p w14:paraId="5C0A069C" w14:textId="77777777" w:rsidR="00320F3E" w:rsidRPr="00EE43AE" w:rsidRDefault="00320F3E" w:rsidP="00EE43AE">
      <w:pPr>
        <w:sectPr w:rsidR="00320F3E" w:rsidRPr="00EE43AE"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pPr>
    </w:p>
    <w:p w14:paraId="07AC861D" w14:textId="77777777" w:rsidR="00E6711E" w:rsidRPr="00EE43AE" w:rsidRDefault="00E6711E" w:rsidP="00EE43AE">
      <w:pPr>
        <w:pStyle w:val="DecHTitle"/>
      </w:pPr>
      <w:r>
        <w:lastRenderedPageBreak/>
        <w:t>ROZBIEŻNA OPINIA SĘDZI YUDKIVSKIEJ</w:t>
      </w:r>
    </w:p>
    <w:p w14:paraId="00A1A82F" w14:textId="77777777" w:rsidR="00E6711E" w:rsidRPr="00EE43AE" w:rsidRDefault="00E6711E" w:rsidP="00EE43AE">
      <w:pPr>
        <w:pStyle w:val="JuHA"/>
      </w:pPr>
      <w:r>
        <w:t>Wprowadzenie</w:t>
      </w:r>
    </w:p>
    <w:p w14:paraId="54BDB58A" w14:textId="0B417BDD" w:rsidR="00E6711E" w:rsidRPr="00EE43AE" w:rsidRDefault="00E6711E" w:rsidP="00EE43AE">
      <w:pPr>
        <w:pStyle w:val="JuPara"/>
        <w:rPr>
          <w:rFonts w:eastAsia="Times New Roman"/>
        </w:rPr>
      </w:pPr>
      <w:r>
        <w:t>Wachmistrz żandarmerii w „</w:t>
      </w:r>
      <w:r>
        <w:rPr>
          <w:i/>
          <w:iCs/>
        </w:rPr>
        <w:t>Przygodach dobrego wojaka Szwejka</w:t>
      </w:r>
      <w:r>
        <w:t>” Jaroslava Haška</w:t>
      </w:r>
      <w:r w:rsidRPr="00EE43AE">
        <w:rPr>
          <w:rStyle w:val="Odwoanieprzypisudolnego"/>
          <w:rFonts w:ascii="Times New Roman" w:hAnsi="Times New Roman" w:cs="Times New Roman"/>
          <w:szCs w:val="24"/>
        </w:rPr>
        <w:footnoteReference w:id="1"/>
      </w:r>
      <w:r>
        <w:t xml:space="preserve"> znany był „z tego, że postępuje bardzo taktownie i bardzo sprytnie. Ludziom zatrzymanym lub aresztowanym nigdy nie rzekł marnego słowa, nie wymyślał i nie wyzywał, ale poddawał wszystkich takiemu krzyżowemu badaniu, że i niewinny przyznałby się do wszystkiego”. „Kryminalistyka opiera się na uprzejmości i sprycie — mawiał często do swoich podwładnych — Wrzeszczeć na kogoś to nie ma najmniejszego sensu. Do delikwentów i ludzi podejrzanych trzeba zabierać się delikatnie,</w:t>
      </w:r>
      <w:r w:rsidR="00234141">
        <w:br/>
      </w:r>
      <w:r>
        <w:t xml:space="preserve">a przy tym trzeba się starać, żeby ich </w:t>
      </w:r>
      <w:r>
        <w:rPr>
          <w:i/>
          <w:iCs/>
        </w:rPr>
        <w:t>utopić w powodzi pytań</w:t>
      </w:r>
      <w:r>
        <w:t>”.</w:t>
      </w:r>
    </w:p>
    <w:p w14:paraId="0CEA5E42" w14:textId="77777777" w:rsidR="000F2D19" w:rsidRPr="00EE43AE" w:rsidRDefault="00E6711E" w:rsidP="00EE43AE">
      <w:pPr>
        <w:pStyle w:val="JuPara"/>
      </w:pPr>
      <w:r>
        <w:t>Oczywiście, taka taktyka nie mogłaby być skuteczna w obecności prawnika, ale kto w tamtych czasach dbał o prawa procesowe?!</w:t>
      </w:r>
    </w:p>
    <w:p w14:paraId="162EB0DE" w14:textId="462E47D3" w:rsidR="00E6711E" w:rsidRPr="00EE43AE" w:rsidRDefault="00E6711E" w:rsidP="00EE43AE">
      <w:pPr>
        <w:pStyle w:val="JuPara"/>
      </w:pPr>
      <w:r>
        <w:t>Jednak jakieś sto lat później podobne pominięcie nie tylko miało miejsce w jednej z najbardziej szanowanych demokracji, ale również znalazł</w:t>
      </w:r>
      <w:r w:rsidR="00394E27">
        <w:t>o</w:t>
      </w:r>
      <w:r>
        <w:t xml:space="preserve"> uznanie w oczach sądownictwa, a co najbardziej znamienne – Trybunału.</w:t>
      </w:r>
      <w:r w:rsidR="00234141">
        <w:br/>
      </w:r>
      <w:r>
        <w:t>Z powodów wyjaśnionych poniżej, z całym szacunkiem nie zgadzam się</w:t>
      </w:r>
      <w:r w:rsidR="00234141">
        <w:br/>
      </w:r>
      <w:r>
        <w:t>z moimi szanownymi kolegami, którzy nie stwierdzili naruszenia prawa do rzetelnego procesu sądowego w niniejszej sprawie.</w:t>
      </w:r>
    </w:p>
    <w:p w14:paraId="1843F28B" w14:textId="545ECD59" w:rsidR="00E6711E" w:rsidRPr="00EE43AE" w:rsidRDefault="00E6711E" w:rsidP="00EE43AE">
      <w:pPr>
        <w:pStyle w:val="JuPara"/>
      </w:pPr>
      <w:r>
        <w:t xml:space="preserve">W niniejszej sprawie skarżący, który został oskarżony o popełnienie poważnego przestępstwa, był pozbawiony wolności i przesłuchiwany 23 razy, łącznie przez około 31 godzin. Adwokat skarżącego nie był obecny podczas żadnego z tych przesłuchań, </w:t>
      </w:r>
      <w:r w:rsidR="00394E27">
        <w:t xml:space="preserve">co </w:t>
      </w:r>
      <w:r>
        <w:t>legł</w:t>
      </w:r>
      <w:r w:rsidR="00394E27">
        <w:t>o</w:t>
      </w:r>
      <w:r>
        <w:t xml:space="preserve"> u podstaw jego skargi do Trybunału.</w:t>
      </w:r>
    </w:p>
    <w:p w14:paraId="01BC7353" w14:textId="3419B9AC" w:rsidR="00E6711E" w:rsidRPr="00EE43AE" w:rsidRDefault="00E6711E" w:rsidP="00EE43AE">
      <w:pPr>
        <w:pStyle w:val="JuPara"/>
      </w:pPr>
      <w:r>
        <w:t xml:space="preserve">Ponad pięćdziesiąt lat temu, w przełomowej sprawie </w:t>
      </w:r>
      <w:r>
        <w:rPr>
          <w:i/>
        </w:rPr>
        <w:t>Miranda przeciwko stanowi Arizona</w:t>
      </w:r>
      <w:r w:rsidRPr="00EE43AE">
        <w:rPr>
          <w:rStyle w:val="Odwoanieprzypisudolnego"/>
        </w:rPr>
        <w:footnoteReference w:id="2"/>
      </w:r>
      <w:r>
        <w:t xml:space="preserve"> (która, jak uznał Sąd Najwyższy, nie została uwzględniona w irlandzkim orzecznictwie – zob. paragraf 36), Sąd Najwyższy Stanów Zjednoczonych genialnie podsumował </w:t>
      </w:r>
      <w:r>
        <w:rPr>
          <w:i/>
        </w:rPr>
        <w:t>istotę</w:t>
      </w:r>
      <w:r>
        <w:t xml:space="preserve"> obecności adwokata podczas przesłuchań: „Jeśli oskarżony decyduje się na rozmowę</w:t>
      </w:r>
      <w:r w:rsidR="00234141">
        <w:br/>
      </w:r>
      <w:r>
        <w:t xml:space="preserve">z przesłuchującymi, obecność obrońcy może zmniejszyć </w:t>
      </w:r>
      <w:r w:rsidR="008577C4">
        <w:t xml:space="preserve">niebezpieczeństwo </w:t>
      </w:r>
      <w:r>
        <w:t xml:space="preserve">braku wiarygodności. W obecności adwokata zmniejsza się prawdopodobieństwo, że policja będzie stosować przymus, a jeśli mimo to przymus zostanie zastosowany, to adwokat może zeznać na tę okoliczność w sądzie. Obecność adwokata może również przyczynić się do zapewnienia, że oskarżony złoży przed policją </w:t>
      </w:r>
      <w:r w:rsidR="008577C4">
        <w:t>dokładne wyjaśnienia</w:t>
      </w:r>
      <w:r>
        <w:t xml:space="preserve"> oraz że wyjaśnienia te zostaną </w:t>
      </w:r>
      <w:r w:rsidR="008577C4">
        <w:t xml:space="preserve">właściwie </w:t>
      </w:r>
      <w:r>
        <w:t>przedstawione przez prokuratora na rozprawie”.</w:t>
      </w:r>
    </w:p>
    <w:p w14:paraId="35A0ECCD" w14:textId="59F4D758" w:rsidR="00E6711E" w:rsidRPr="00EE43AE" w:rsidRDefault="00E6711E" w:rsidP="00EE43AE">
      <w:pPr>
        <w:pStyle w:val="JuPara"/>
        <w:rPr>
          <w:rFonts w:eastAsia="Times New Roman"/>
        </w:rPr>
      </w:pPr>
      <w:r>
        <w:t xml:space="preserve">Niedawno </w:t>
      </w:r>
      <w:r w:rsidR="00CF5FB9">
        <w:t>s</w:t>
      </w:r>
      <w:r>
        <w:t xml:space="preserve">pecjalny </w:t>
      </w:r>
      <w:r w:rsidR="00CF5FB9">
        <w:t>s</w:t>
      </w:r>
      <w:r>
        <w:t xml:space="preserve">prawozdawca </w:t>
      </w:r>
      <w:r w:rsidR="00CF5FB9">
        <w:t xml:space="preserve">ONZ </w:t>
      </w:r>
      <w:r>
        <w:t>ds. nieza</w:t>
      </w:r>
      <w:r w:rsidR="00CF5FB9">
        <w:t>wisłości</w:t>
      </w:r>
      <w:r>
        <w:t xml:space="preserve"> sędziów</w:t>
      </w:r>
      <w:r w:rsidR="000620C0">
        <w:br/>
      </w:r>
      <w:r>
        <w:t xml:space="preserve">i prawników przyznał, że „obecność adwokata podczas przesłuchań policyjnych jest wskazana jako ważny instrument ochrony praw </w:t>
      </w:r>
      <w:r>
        <w:lastRenderedPageBreak/>
        <w:t>oskarżonego. Brak obecności adwokata stwarza możliwość nadużycia”</w:t>
      </w:r>
      <w:r w:rsidRPr="00EE43AE">
        <w:rPr>
          <w:rStyle w:val="Odwoanieprzypisudolnego"/>
          <w:rFonts w:ascii="Times New Roman" w:hAnsi="Times New Roman" w:cs="Times New Roman"/>
          <w:szCs w:val="24"/>
        </w:rPr>
        <w:footnoteReference w:id="3"/>
      </w:r>
      <w:r>
        <w:t>. Stanowisko to podziel</w:t>
      </w:r>
      <w:r w:rsidR="00D77CA5">
        <w:t>ił</w:t>
      </w:r>
      <w:r>
        <w:t xml:space="preserve"> CPT, który stwierdza, że „[d]ostęp do adwokata przez osoby przebywające w areszcie policyjnym powinien obejmować prawo do kontaktowania się oraz do odwiedzin przez adwokata (w obu przypadkach w warunkach gwarantujących poufność rozmów), jak również, co do zasady, prawo danej osoby do obecności adwokata w czasie przesłuchania”</w:t>
      </w:r>
      <w:r w:rsidRPr="00EE43AE">
        <w:rPr>
          <w:rStyle w:val="Odwoanieprzypisudolnego"/>
          <w:rFonts w:ascii="Times New Roman" w:eastAsia="Times New Roman" w:hAnsi="Times New Roman" w:cs="Times New Roman"/>
          <w:szCs w:val="24"/>
        </w:rPr>
        <w:footnoteReference w:id="4"/>
      </w:r>
      <w:r>
        <w:t>.</w:t>
      </w:r>
    </w:p>
    <w:p w14:paraId="79A95069" w14:textId="20F63F56" w:rsidR="00E6711E" w:rsidRPr="00EE43AE" w:rsidRDefault="00E6711E" w:rsidP="00EE43AE">
      <w:pPr>
        <w:pStyle w:val="JuPara"/>
        <w:rPr>
          <w:rFonts w:eastAsia="Times New Roman"/>
        </w:rPr>
      </w:pPr>
      <w:r>
        <w:t>Przesłuchanie, „dla ludzi uczciwych i kompetentnych, jest środkiem do odkrycia tego, co w przeciwnym razie byłoby niedostępne dla sądu... ale</w:t>
      </w:r>
      <w:r w:rsidR="003D1A2A">
        <w:br/>
      </w:r>
      <w:r>
        <w:t>z drugiej strony... stosowane przez ludzi nieuczciwych i niekompetentnych, może stać się sztuką, za pomocą której można zmusić człowieka do wyrzeczenia się wszystkiego, co zna, i do nazywania siebie nie po imieniu”</w:t>
      </w:r>
      <w:r w:rsidRPr="00EE43AE">
        <w:rPr>
          <w:rStyle w:val="Odwoanieprzypisudolnego"/>
          <w:rFonts w:ascii="Times New Roman" w:hAnsi="Times New Roman" w:cs="Times New Roman"/>
          <w:szCs w:val="24"/>
        </w:rPr>
        <w:footnoteReference w:id="5"/>
      </w:r>
      <w:r>
        <w:t>. Stanowisko jest więc oczywiste – kto inny, jak nie prawnicy, może czuwać nad adekwatnością taktyk i metod stosowanych podczas przesłuchań policyjnych?</w:t>
      </w:r>
    </w:p>
    <w:p w14:paraId="6F7EB81D" w14:textId="77777777" w:rsidR="00E6711E" w:rsidRPr="00EE43AE" w:rsidRDefault="00E6711E" w:rsidP="00EE43AE">
      <w:pPr>
        <w:pStyle w:val="JuPara"/>
      </w:pPr>
      <w:r>
        <w:t>Jak wywiedziono poniżej, w niniejszej sprawie skarżący został zmuszony do przyznania się do winy poprzez zastosowanie metod niezgodnych</w:t>
      </w:r>
      <w:r w:rsidR="003D1A2A">
        <w:br/>
      </w:r>
      <w:r>
        <w:t>z demokratycznym porządkiem prawnym oraz poprzez zastosowanie technik rażąco naruszających zasady rzetelnego procesu karnego. Takim metodom i technikom można by zwykle zapobiec poprzez obecność adwokata podczas przesłuchań policyjnych.</w:t>
      </w:r>
    </w:p>
    <w:p w14:paraId="6B6A26FF" w14:textId="77777777" w:rsidR="00E6711E" w:rsidRPr="00EE43AE" w:rsidRDefault="00E6711E" w:rsidP="00EE43AE">
      <w:pPr>
        <w:pStyle w:val="JuHA"/>
      </w:pPr>
      <w:r>
        <w:t xml:space="preserve">Niefortunne dziedzictwo sprawy </w:t>
      </w:r>
      <w:r>
        <w:rPr>
          <w:i/>
        </w:rPr>
        <w:t>Beuze</w:t>
      </w:r>
    </w:p>
    <w:p w14:paraId="6266E538" w14:textId="55E809C7" w:rsidR="00E6711E" w:rsidRPr="00EE43AE" w:rsidRDefault="00E6711E" w:rsidP="00EE43AE">
      <w:pPr>
        <w:pStyle w:val="JuPara"/>
        <w:rPr>
          <w:rFonts w:eastAsia="Times New Roman"/>
        </w:rPr>
      </w:pPr>
      <w:r>
        <w:t xml:space="preserve">Jak uznano w wyroku, brak możliwości zapewnienia obecności adwokata skarżącego podczas jego przesłuchania przez policję wynikała z praktyki policyjnej, która obowiązywała w czasie zatrzymania skarżącego, a którą zmieniono </w:t>
      </w:r>
      <w:r w:rsidR="009455AA">
        <w:t xml:space="preserve">następnie </w:t>
      </w:r>
      <w:r>
        <w:t>w 2015 r.</w:t>
      </w:r>
    </w:p>
    <w:p w14:paraId="2074746E" w14:textId="3E387897" w:rsidR="00E6711E" w:rsidRPr="00EE43AE" w:rsidRDefault="00E6711E" w:rsidP="00EE43AE">
      <w:pPr>
        <w:pStyle w:val="JuPara"/>
      </w:pPr>
      <w:r>
        <w:t xml:space="preserve">Wraz z moimi </w:t>
      </w:r>
      <w:r w:rsidR="009455AA">
        <w:t xml:space="preserve">czcigodnymi </w:t>
      </w:r>
      <w:r>
        <w:t>kolegami sędziami Vučinić, Turković i Hüseynov</w:t>
      </w:r>
      <w:r w:rsidR="009455AA">
        <w:t xml:space="preserve"> </w:t>
      </w:r>
      <w:r>
        <w:t xml:space="preserve">w </w:t>
      </w:r>
      <w:r w:rsidR="003D1A2A">
        <w:t xml:space="preserve">zgodnej </w:t>
      </w:r>
      <w:r>
        <w:t xml:space="preserve">opinii </w:t>
      </w:r>
      <w:r w:rsidR="009455AA">
        <w:t>do</w:t>
      </w:r>
      <w:r w:rsidR="003D1A2A">
        <w:t xml:space="preserve"> </w:t>
      </w:r>
      <w:r>
        <w:t>nied</w:t>
      </w:r>
      <w:r w:rsidR="00DA45CF">
        <w:t>awnego precedens</w:t>
      </w:r>
      <w:r w:rsidR="009455AA">
        <w:t>owego wyroku</w:t>
      </w:r>
      <w:r w:rsidR="00DA45CF">
        <w:t xml:space="preserve"> Wielkiej</w:t>
      </w:r>
      <w:r w:rsidR="009455AA">
        <w:t xml:space="preserve"> </w:t>
      </w:r>
      <w:r w:rsidR="00DA45CF">
        <w:t>Izby</w:t>
      </w:r>
      <w:r w:rsidR="009455AA">
        <w:t xml:space="preserve"> </w:t>
      </w:r>
      <w:r>
        <w:t xml:space="preserve">w sprawie </w:t>
      </w:r>
      <w:r>
        <w:rPr>
          <w:i/>
        </w:rPr>
        <w:t>Beuze przeciwko Belgii</w:t>
      </w:r>
      <w:r>
        <w:t xml:space="preserve"> ([WI], nr 71409/10, 9 listopada 2018 r.), wyraziłem już głębokie ubolewanie, że Trybunał dokonał drastycznej zmiany kierunku</w:t>
      </w:r>
      <w:r w:rsidR="003D1A2A">
        <w:t xml:space="preserve"> </w:t>
      </w:r>
      <w:r>
        <w:t xml:space="preserve">o 180 stopni względem jednego ze swoich najbardziej progresywnych wyroków </w:t>
      </w:r>
      <w:r>
        <w:rPr>
          <w:i/>
        </w:rPr>
        <w:t>(Salduz przeciwko Turcji</w:t>
      </w:r>
      <w:r>
        <w:t xml:space="preserve"> ([WI], nr 36391/02, 27 listopada 2008 r.), </w:t>
      </w:r>
      <w:r w:rsidR="009455AA">
        <w:t xml:space="preserve">w którym </w:t>
      </w:r>
      <w:r>
        <w:t>wprowadz</w:t>
      </w:r>
      <w:r w:rsidR="009455AA">
        <w:t>ono</w:t>
      </w:r>
      <w:r>
        <w:t xml:space="preserve"> jednoznaczny zakaz </w:t>
      </w:r>
      <w:r w:rsidR="009455AA">
        <w:t>jakichkolwiek blankietowych</w:t>
      </w:r>
      <w:r>
        <w:t xml:space="preserve"> ograniczeń </w:t>
      </w:r>
      <w:r w:rsidR="001209FC">
        <w:t xml:space="preserve">w zakresie </w:t>
      </w:r>
      <w:r>
        <w:t>prawa do obrony</w:t>
      </w:r>
      <w:r w:rsidR="001209FC">
        <w:t>),</w:t>
      </w:r>
      <w:r>
        <w:t xml:space="preserve"> </w:t>
      </w:r>
      <w:r w:rsidR="001209FC">
        <w:t>opierając się</w:t>
      </w:r>
      <w:r>
        <w:t xml:space="preserve"> o błędną interpretację własnego orzecznictwa (zob. m.in. wyroki </w:t>
      </w:r>
      <w:r>
        <w:rPr>
          <w:i/>
        </w:rPr>
        <w:lastRenderedPageBreak/>
        <w:t>Dayanan</w:t>
      </w:r>
      <w:r>
        <w:t xml:space="preserve"> </w:t>
      </w:r>
      <w:r>
        <w:rPr>
          <w:i/>
          <w:iCs/>
        </w:rPr>
        <w:t>przeciwko Turcji</w:t>
      </w:r>
      <w:r>
        <w:t>, nr 7377/30, 13 października 2009 r.</w:t>
      </w:r>
      <w:r>
        <w:rPr>
          <w:i/>
        </w:rPr>
        <w:t>; Boz przeciwko Turcji</w:t>
      </w:r>
      <w:r>
        <w:t>, nr 2039/04, 9 września 2010 r.</w:t>
      </w:r>
      <w:r>
        <w:rPr>
          <w:i/>
        </w:rPr>
        <w:t>; Yesilkaya</w:t>
      </w:r>
      <w:r>
        <w:t>, nr 59780/00, 8 grudnia 2009 r.</w:t>
      </w:r>
      <w:r w:rsidR="00DA45CF">
        <w:rPr>
          <w:i/>
        </w:rPr>
        <w:t>; Stojkovic przeciwko Francji</w:t>
      </w:r>
      <w:r w:rsidR="00DA45CF">
        <w:rPr>
          <w:i/>
        </w:rPr>
        <w:br/>
      </w:r>
      <w:r>
        <w:rPr>
          <w:i/>
        </w:rPr>
        <w:t>i Belgii</w:t>
      </w:r>
      <w:r>
        <w:t>, nr 25303/08, 27 października 2011 r. oraz</w:t>
      </w:r>
      <w:r>
        <w:rPr>
          <w:i/>
        </w:rPr>
        <w:t xml:space="preserve"> Navone i Inni przeciwko Monako</w:t>
      </w:r>
      <w:r>
        <w:t>, nr 62880/11 i 2 inne, 24 października 2013 r.)</w:t>
      </w:r>
      <w:r>
        <w:rPr>
          <w:i/>
        </w:rPr>
        <w:t>.</w:t>
      </w:r>
    </w:p>
    <w:p w14:paraId="2EA366B2" w14:textId="579F3E17" w:rsidR="00E6711E" w:rsidRPr="00EE43AE" w:rsidRDefault="00E6711E" w:rsidP="00EE43AE">
      <w:pPr>
        <w:pStyle w:val="JuPara"/>
      </w:pPr>
      <w:r>
        <w:t>W niniejszej sprawie występują podobne okoliczności faktyczne jak</w:t>
      </w:r>
      <w:r w:rsidR="001B18E4">
        <w:br/>
      </w:r>
      <w:r>
        <w:t xml:space="preserve">w sprawie </w:t>
      </w:r>
      <w:r>
        <w:rPr>
          <w:i/>
        </w:rPr>
        <w:t>Salduz</w:t>
      </w:r>
      <w:r>
        <w:t xml:space="preserve">, w której ograniczony dostęp skarżącego do adwokata wynikał z systemowego, obowiązkowego i ogólnego ograniczenia dostępu podejrzanych do adwokata w prawie krajowym pozwanego państwa. Takie ograniczenie zostało uznane za nieodwracalnie szkodliwe dla postępowania i tym samym stanowiło naruszenie art. 6 ust.1 i 3 lit. c Konwencji. Tym samym w sprawie </w:t>
      </w:r>
      <w:r>
        <w:rPr>
          <w:i/>
        </w:rPr>
        <w:t>Salduz</w:t>
      </w:r>
      <w:r>
        <w:t xml:space="preserve"> najwyraźniej wypracowano test, zgodnie z którym jeśli dostęp skarżącego do adwokata został ograniczony i brak jest istotnych powodów uzasadniających takie ograniczenie, to dochodzi do nieodwracalnej szkody dla postępowania, co będzie </w:t>
      </w:r>
      <w:r w:rsidR="00383048">
        <w:t xml:space="preserve">prowadzić </w:t>
      </w:r>
      <w:r>
        <w:t>do stwierdzenia naruszenia art. 6. W zw</w:t>
      </w:r>
      <w:r w:rsidR="00DA45CF">
        <w:t>iązku z tym, zgodnie z wyrokiem</w:t>
      </w:r>
      <w:r w:rsidR="00383048" w:rsidRPr="00383048">
        <w:t xml:space="preserve"> </w:t>
      </w:r>
      <w:r w:rsidR="00383048">
        <w:t xml:space="preserve">w sprawie </w:t>
      </w:r>
      <w:r w:rsidR="00383048">
        <w:rPr>
          <w:i/>
        </w:rPr>
        <w:t xml:space="preserve">Salduz </w:t>
      </w:r>
      <w:r>
        <w:t>(w którym, moim zdaniem, przyjęto „prawidłową” interpretację)</w:t>
      </w:r>
      <w:r>
        <w:rPr>
          <w:i/>
        </w:rPr>
        <w:t xml:space="preserve">, </w:t>
      </w:r>
      <w:r>
        <w:t>Trybunał powinien był stwierdzić, że z powodu braku istotnych powodów uzasadniających ograniczony dostęp skarżącego do adwokata (paragraf 84), w niniejszej sprawie doszło do naruszenia art. 6 ust. 1 i 3 lit. c</w:t>
      </w:r>
      <w:r>
        <w:rPr>
          <w:i/>
        </w:rPr>
        <w:t>.</w:t>
      </w:r>
    </w:p>
    <w:p w14:paraId="4DA7801F" w14:textId="67AF86BE" w:rsidR="00E6711E" w:rsidRPr="00EE43AE" w:rsidRDefault="00E6711E" w:rsidP="00EE43AE">
      <w:pPr>
        <w:pStyle w:val="JuPara"/>
        <w:rPr>
          <w:rFonts w:ascii="Times New Roman" w:hAnsi="Times New Roman" w:cs="Times New Roman"/>
          <w:szCs w:val="24"/>
        </w:rPr>
      </w:pPr>
      <w:r>
        <w:t xml:space="preserve">Gdyby niniejsza sprawa została </w:t>
      </w:r>
      <w:r w:rsidR="00383048">
        <w:t xml:space="preserve">rozpoznana </w:t>
      </w:r>
      <w:r>
        <w:t>przed wydaniem wyroku</w:t>
      </w:r>
      <w:r w:rsidR="00C56425">
        <w:br/>
      </w:r>
      <w:r>
        <w:rPr>
          <w:i/>
        </w:rPr>
        <w:t>Beuze</w:t>
      </w:r>
      <w:r>
        <w:t>, sprawa byłaby dość prosta, ponieważ</w:t>
      </w:r>
      <w:r w:rsidR="00383048">
        <w:t xml:space="preserve"> -</w:t>
      </w:r>
      <w:r>
        <w:t xml:space="preserve"> jak uznał również sędzia Sądu Najwyższego, </w:t>
      </w:r>
      <w:r w:rsidR="00383048">
        <w:t xml:space="preserve">McKechnie, </w:t>
      </w:r>
      <w:r>
        <w:t xml:space="preserve">który zgłosił </w:t>
      </w:r>
      <w:r w:rsidR="00C56425">
        <w:t xml:space="preserve">opinię </w:t>
      </w:r>
      <w:r>
        <w:t>odrębn</w:t>
      </w:r>
      <w:r w:rsidR="00C56425">
        <w:t>ą</w:t>
      </w:r>
      <w:r>
        <w:t xml:space="preserve"> (paragrafy 45</w:t>
      </w:r>
      <w:r>
        <w:noBreakHyphen/>
        <w:t xml:space="preserve">48), orzecznictwo w sprawie </w:t>
      </w:r>
      <w:r>
        <w:rPr>
          <w:i/>
        </w:rPr>
        <w:t>Salduz</w:t>
      </w:r>
      <w:r>
        <w:t xml:space="preserve"> dotyczące prawa dostępu do adwokata (w tym obecności adwokata podczas przesłuchań), wraz</w:t>
      </w:r>
      <w:r w:rsidR="00C56425">
        <w:br/>
      </w:r>
      <w:r>
        <w:t xml:space="preserve">z wyraźnym zakazem ograniczeń </w:t>
      </w:r>
      <w:r w:rsidR="00383048">
        <w:t>blankietowych</w:t>
      </w:r>
      <w:r>
        <w:t>, było stosowane w kolejnych sprawach i znajduje potwierdzenie w licznych aktach międzynarodowych</w:t>
      </w:r>
      <w:r w:rsidR="00383048">
        <w:t xml:space="preserve"> </w:t>
      </w:r>
      <w:r>
        <w:t>i orzecznictwie (zob. np. CPT/Inf (</w:t>
      </w:r>
      <w:r>
        <w:rPr>
          <w:i/>
        </w:rPr>
        <w:t>92)3-part1</w:t>
      </w:r>
      <w:r w:rsidRPr="00EE43AE">
        <w:rPr>
          <w:rStyle w:val="Odwoanieprzypisudolnego"/>
          <w:rFonts w:ascii="Times New Roman" w:hAnsi="Times New Roman" w:cs="Times New Roman"/>
          <w:i/>
          <w:szCs w:val="24"/>
        </w:rPr>
        <w:footnoteReference w:id="6"/>
      </w:r>
      <w:r>
        <w:t>;</w:t>
      </w:r>
      <w:r>
        <w:rPr>
          <w:i/>
          <w:iCs/>
        </w:rPr>
        <w:t xml:space="preserve"> [CPT/Inf (2011) 28]</w:t>
      </w:r>
      <w:r>
        <w:t xml:space="preserve">; </w:t>
      </w:r>
      <w:r>
        <w:rPr>
          <w:bCs/>
          <w:i/>
        </w:rPr>
        <w:t>CPT/Inf(2011)28-part1</w:t>
      </w:r>
      <w:r w:rsidRPr="00EE43AE">
        <w:rPr>
          <w:rStyle w:val="Odwoanieprzypisudolnego"/>
          <w:rFonts w:ascii="Times New Roman" w:hAnsi="Times New Roman" w:cs="Times New Roman"/>
          <w:bCs/>
          <w:i/>
          <w:szCs w:val="24"/>
        </w:rPr>
        <w:footnoteReference w:id="7"/>
      </w:r>
      <w:r>
        <w:t>;</w:t>
      </w:r>
      <w:r>
        <w:rPr>
          <w:rFonts w:ascii="Times New Roman" w:hAnsi="Times New Roman"/>
          <w:i/>
          <w:szCs w:val="24"/>
        </w:rPr>
        <w:t xml:space="preserve"> E/CN</w:t>
      </w:r>
      <w:r>
        <w:t>.</w:t>
      </w:r>
      <w:r>
        <w:rPr>
          <w:rFonts w:ascii="Times New Roman" w:hAnsi="Times New Roman"/>
          <w:i/>
          <w:szCs w:val="24"/>
        </w:rPr>
        <w:t>4/1998/39/Add.4</w:t>
      </w:r>
      <w:r w:rsidRPr="00EE43AE">
        <w:rPr>
          <w:rStyle w:val="Odwoanieprzypisudolnego"/>
          <w:rFonts w:ascii="Times New Roman" w:hAnsi="Times New Roman" w:cs="Times New Roman"/>
          <w:i/>
          <w:szCs w:val="24"/>
        </w:rPr>
        <w:footnoteReference w:id="8"/>
      </w:r>
      <w:r>
        <w:rPr>
          <w:rFonts w:ascii="Times New Roman" w:hAnsi="Times New Roman"/>
          <w:szCs w:val="24"/>
        </w:rPr>
        <w:t xml:space="preserve">; oraz </w:t>
      </w:r>
      <w:r>
        <w:rPr>
          <w:rFonts w:ascii="Times New Roman" w:hAnsi="Times New Roman"/>
          <w:i/>
          <w:szCs w:val="24"/>
        </w:rPr>
        <w:t>Miranda przeciwko stanowi Arizon</w:t>
      </w:r>
      <w:r>
        <w:t>a, 384 US 436 (1966)).</w:t>
      </w:r>
    </w:p>
    <w:p w14:paraId="2DEB0DB7" w14:textId="77777777" w:rsidR="00E6711E" w:rsidRPr="00EE43AE" w:rsidRDefault="00E6711E" w:rsidP="00EE43AE">
      <w:pPr>
        <w:pStyle w:val="JuHA"/>
      </w:pPr>
      <w:r>
        <w:lastRenderedPageBreak/>
        <w:t>Ogólna rzetelność w niniejszej sprawie</w:t>
      </w:r>
    </w:p>
    <w:p w14:paraId="2D79E0E6" w14:textId="77777777" w:rsidR="00E6711E" w:rsidRPr="00EE43AE" w:rsidRDefault="00E6711E" w:rsidP="00EE43AE">
      <w:pPr>
        <w:pStyle w:val="JuH1"/>
      </w:pPr>
      <w:r>
        <w:t>Poważne ograniczenie kontaktów skarżącego z jego adwokatem</w:t>
      </w:r>
    </w:p>
    <w:p w14:paraId="37B5B2F8" w14:textId="53D11D2F" w:rsidR="00E6711E" w:rsidRPr="00EE43AE" w:rsidRDefault="00E6711E" w:rsidP="00EE43AE">
      <w:pPr>
        <w:pStyle w:val="JuPara"/>
      </w:pPr>
      <w:r>
        <w:t xml:space="preserve">Chociaż powyższa interpretacja wyroku w sprawie </w:t>
      </w:r>
      <w:r>
        <w:rPr>
          <w:i/>
        </w:rPr>
        <w:t>Salduz</w:t>
      </w:r>
      <w:r>
        <w:t xml:space="preserve"> prowadziłaby do bardziej rzetelnego i sprawiedliwego wniosku w niniejszej sprawie – mianowicie automatycznego stwierdzenia naruszenia ze względu na brak istotnych powodów uzasadniających ograniczenia prawa skarżącego do dostępu do adwokata – będąc związanym zasadami</w:t>
      </w:r>
      <w:r w:rsidR="004172FB">
        <w:t xml:space="preserve"> dyscypliny</w:t>
      </w:r>
      <w:r>
        <w:t xml:space="preserve"> sędziowsk</w:t>
      </w:r>
      <w:r w:rsidR="004172FB">
        <w:t>iej</w:t>
      </w:r>
      <w:r>
        <w:t xml:space="preserve"> nie mogę pominąć faktu, że wyrok w sprawie </w:t>
      </w:r>
      <w:r>
        <w:rPr>
          <w:i/>
        </w:rPr>
        <w:t>Beuze</w:t>
      </w:r>
      <w:r>
        <w:t xml:space="preserve">, chociaż bardzo tego żałuję, jest najnowszym obowiązującym orzecznictwem Trybunału, które należy stosować. W sprawie </w:t>
      </w:r>
      <w:r>
        <w:rPr>
          <w:i/>
        </w:rPr>
        <w:t>Beuze</w:t>
      </w:r>
      <w:r>
        <w:t xml:space="preserve"> wprowadzono dwuetapowy test, zgodnie</w:t>
      </w:r>
      <w:r w:rsidR="00C56425">
        <w:br/>
      </w:r>
      <w:r>
        <w:t xml:space="preserve">z którym Trybunał powinien najpierw rozważyć, czy istnieją istotne powody, które uzasadniają ograniczenie dostępu skarżącego do adwokata. W przypadku braku takich istotnych powodów Trybunał zastosuje jedynie „ścisłą kontrolę” w odniesieniu do drugiego etapu testu </w:t>
      </w:r>
      <w:r>
        <w:rPr>
          <w:i/>
        </w:rPr>
        <w:t>(Beuze</w:t>
      </w:r>
      <w:r>
        <w:t xml:space="preserve">, paragraf 145), który wymaga oceny ogólnej rzetelności postępowania. Zatem zgodnie z wyrokiem w sprawie </w:t>
      </w:r>
      <w:r>
        <w:rPr>
          <w:i/>
        </w:rPr>
        <w:t>Beuze</w:t>
      </w:r>
      <w:r>
        <w:t>, niezależnie od przyczyn (lub ich braku) ograniczenia dostępu skarżącego do adwokata, Trybunał w każdym przypadku przeprowadza ocenę ogólnej rzetelności danego postępowania</w:t>
      </w:r>
      <w:r w:rsidR="00C56425">
        <w:br/>
      </w:r>
      <w:r>
        <w:t>w celu ustalenia, czy doszło do naruszenia art. 6.</w:t>
      </w:r>
    </w:p>
    <w:p w14:paraId="509F9EA6" w14:textId="3C6CBE11" w:rsidR="00E6711E" w:rsidRPr="00EE43AE" w:rsidRDefault="00E6711E" w:rsidP="00EE43AE">
      <w:pPr>
        <w:pStyle w:val="JuPara"/>
      </w:pPr>
      <w:r>
        <w:t xml:space="preserve">W związku z tym, zgodziwszy się ze stanowiskiem wyrażonym przez większość składu orzekającego, zgodnie z którym brak było istotnych powodów uzasadniających ograniczenia nałożone na prawo </w:t>
      </w:r>
      <w:r w:rsidR="004C5CDA">
        <w:t xml:space="preserve">skarżącego </w:t>
      </w:r>
      <w:r>
        <w:t>do obrony (paragraf 84), przedstawię ocenę ogólnej rzetelności postępowania w niniejszej sprawie (biorąc pod uwagę tylko niektóre kluczowe elementy), która diametralnie różni się od oceny większości.</w:t>
      </w:r>
    </w:p>
    <w:p w14:paraId="169615E2" w14:textId="30ECEF9B" w:rsidR="000F2D19" w:rsidRPr="00EE43AE" w:rsidRDefault="00E6711E" w:rsidP="00EE43AE">
      <w:pPr>
        <w:pStyle w:val="JuPara"/>
      </w:pPr>
      <w:r>
        <w:t>Podczas pierwszych pięciu dni zatrzymania skarżącego (24</w:t>
      </w:r>
      <w:r>
        <w:noBreakHyphen/>
        <w:t>28 lutego 2009 r.) odbyły się 23 przesłuchania policyjne, które trwały łącznie 31 godzin. W tym czasie skarżący porozumiewał się ze swoim adwokatem łącznie przez 42 minuty (paragraf 81). Zatem już z najbardziej podstawowego wyliczenia wynika, że na każdą godzinę przesłuchania przez policję skarżący miał średnio 1 minutę i 21 sekund kontaktu ze swoim adwokatem; zatem na każdą godzinę „topienia w powodzi pytań”, jak elegancko ujął to Hašek, skarżący miał zapewnioną zaledwie 1 minutę 21 sekund „porad</w:t>
      </w:r>
      <w:r w:rsidR="00124D6C">
        <w:t>y</w:t>
      </w:r>
      <w:r>
        <w:t xml:space="preserve">” prawnej. Czy możemy przyjąć, że umożliwiło to sensowną wymianę informacji? Czy pozwoliło to na rozważenie różnych strategii obrony? Czy możemy przypuszczać, że za każdym razem odbywało się dokładne omówienie poprzedniego przesłuchania i przygotowanie do kolejnego? Warto zauważyć, że nawet podczas kluczowego </w:t>
      </w:r>
      <w:r w:rsidR="00F461DC">
        <w:t xml:space="preserve">15-go </w:t>
      </w:r>
      <w:r>
        <w:t xml:space="preserve">przesłuchania skarżącego, przed </w:t>
      </w:r>
      <w:r w:rsidR="00F461DC">
        <w:t>przyznaniem się</w:t>
      </w:r>
      <w:r>
        <w:t>, skarżący porozumiewał się z adwokatem zaledwie przez 4 minuty. Czy w takich okolicznościach adwokat skarżącego mógł szczegółowo objaśnić wszystkie skutki przyznania się przez skarżącego do popełnienia przestępstwa lub dokładnie omówić wszystkie dostępne dla skarżącego rozwiązania?</w:t>
      </w:r>
    </w:p>
    <w:p w14:paraId="16D22ED5" w14:textId="5B11EF9B" w:rsidR="00E6711E" w:rsidRPr="00EE43AE" w:rsidRDefault="00E6711E" w:rsidP="00EE43AE">
      <w:pPr>
        <w:pStyle w:val="JuPara"/>
      </w:pPr>
      <w:r>
        <w:lastRenderedPageBreak/>
        <w:t>Wszystkie te pytania mogą wydawać się retoryczne, ale sąd krajowy po prostu nie „</w:t>
      </w:r>
      <w:r w:rsidR="005A4042">
        <w:t>rozważał</w:t>
      </w:r>
      <w:r>
        <w:t xml:space="preserve"> czasu trwania którejkolwiek z konsultacji </w:t>
      </w:r>
      <w:r w:rsidR="005A4042">
        <w:t xml:space="preserve">jako istotnego </w:t>
      </w:r>
      <w:r>
        <w:t xml:space="preserve">dla niniejszej sprawy” (paragraf 22). Niestety większość </w:t>
      </w:r>
      <w:r w:rsidR="005A4042">
        <w:t>tego też nie</w:t>
      </w:r>
      <w:r>
        <w:t xml:space="preserve"> rozważyła. Moi koledzy zgodzili się również ze swoimi krajowymi odpowiednikami, że rola adwokata w tej sprawie „była </w:t>
      </w:r>
      <w:r w:rsidR="005A4042">
        <w:t xml:space="preserve">rzeczywiście </w:t>
      </w:r>
      <w:r>
        <w:t xml:space="preserve">kluczowa, bowiem policja i skarżący porozumiewali się za jego pośrednictwem” (paragraf 98). Biorąc jednak pod uwagę powyższą </w:t>
      </w:r>
      <w:r w:rsidR="00ED0351">
        <w:t xml:space="preserve">proporcję komunikacji </w:t>
      </w:r>
      <w:r>
        <w:t>skarżący-</w:t>
      </w:r>
      <w:r w:rsidR="00ED0351">
        <w:t xml:space="preserve">adwokat </w:t>
      </w:r>
      <w:r w:rsidR="00ED0351" w:rsidRPr="00FB401A">
        <w:rPr>
          <w:i/>
          <w:iCs/>
        </w:rPr>
        <w:t>versus</w:t>
      </w:r>
      <w:r>
        <w:t xml:space="preserve"> skarżący-policja, taki wniosek jest dla mnie niezrozumiały.</w:t>
      </w:r>
    </w:p>
    <w:p w14:paraId="185B6FE8" w14:textId="5A21E55A" w:rsidR="00E6711E" w:rsidRPr="00EE43AE" w:rsidRDefault="00E6711E" w:rsidP="00EE43AE">
      <w:pPr>
        <w:pStyle w:val="JuPara"/>
      </w:pPr>
      <w:r>
        <w:t>Już ponad sto lat temu wybitny autor „</w:t>
      </w:r>
      <w:r>
        <w:rPr>
          <w:i/>
        </w:rPr>
        <w:t>Zasad moralnych w procesie karnym</w:t>
      </w:r>
      <w:r>
        <w:t>”</w:t>
      </w:r>
      <w:r w:rsidRPr="00EE43AE">
        <w:rPr>
          <w:rStyle w:val="Odwoanieprzypisudolnego"/>
          <w:rFonts w:ascii="Times New Roman" w:hAnsi="Times New Roman" w:cs="Times New Roman"/>
          <w:szCs w:val="24"/>
        </w:rPr>
        <w:footnoteReference w:id="9"/>
      </w:r>
      <w:r w:rsidR="00ED0351">
        <w:t>,</w:t>
      </w:r>
      <w:r>
        <w:t xml:space="preserve"> Anatol Koni</w:t>
      </w:r>
      <w:r w:rsidR="00ED0351">
        <w:t>,</w:t>
      </w:r>
      <w:r>
        <w:t xml:space="preserve"> zauważył, że „</w:t>
      </w:r>
      <w:r w:rsidR="00ED0351">
        <w:t>ścisły związek</w:t>
      </w:r>
      <w:r>
        <w:t xml:space="preserve"> zaufania i szczerości nawiązuje się między obrońcą a tym, który zwraca się do niego w niepokoju i smutku z powodu zakazu ścigania, w nadziei na pomoc [...].”</w:t>
      </w:r>
    </w:p>
    <w:p w14:paraId="06E0D88C" w14:textId="77777777" w:rsidR="00E6711E" w:rsidRPr="00EE43AE" w:rsidRDefault="00E6711E" w:rsidP="00EE43AE">
      <w:pPr>
        <w:pStyle w:val="JuPara"/>
        <w:rPr>
          <w:rFonts w:eastAsia="Times New Roman"/>
        </w:rPr>
      </w:pPr>
      <w:r>
        <w:t>Jak Trybunał wielokrotnie uznawał (np. w sprawie</w:t>
      </w:r>
      <w:r w:rsidR="001D10DA">
        <w:t xml:space="preserve"> </w:t>
      </w:r>
      <w:r>
        <w:rPr>
          <w:i/>
        </w:rPr>
        <w:t>Pishchalnikov przeciwko Rosji</w:t>
      </w:r>
      <w:r>
        <w:t xml:space="preserve">, nr 7025/04, 24 września 2009 r., § 78), prawo dostępu do adwokata chroni przed szeregiem potencjalnych nadużyć, takich jak zmniejszenie prawdopodobieństwa naruszenia art. 6. W sprawie </w:t>
      </w:r>
      <w:r>
        <w:rPr>
          <w:i/>
        </w:rPr>
        <w:t>A.T. przeciwko Luksemburgowi</w:t>
      </w:r>
      <w:r>
        <w:t xml:space="preserve"> (nr 30460/13, 9 kwietnia 2015 r., pkt 64) Trybunał podsumował, co robi adwokat na początkowych etapach postępowania:</w:t>
      </w:r>
    </w:p>
    <w:p w14:paraId="7AE02E59" w14:textId="77777777" w:rsidR="00E6711E" w:rsidRPr="00EE43AE" w:rsidRDefault="00E6711E" w:rsidP="00EE43AE">
      <w:pPr>
        <w:pStyle w:val="JuPara"/>
        <w:rPr>
          <w:rFonts w:eastAsia="Times New Roman"/>
        </w:rPr>
      </w:pPr>
      <w:r>
        <w:t>omawia sprawę;</w:t>
      </w:r>
    </w:p>
    <w:p w14:paraId="055F1514" w14:textId="77777777" w:rsidR="00E6711E" w:rsidRPr="00EE43AE" w:rsidRDefault="00E6711E" w:rsidP="00EE43AE">
      <w:pPr>
        <w:pStyle w:val="JuPara"/>
        <w:rPr>
          <w:rFonts w:eastAsia="Times New Roman"/>
        </w:rPr>
      </w:pPr>
      <w:r>
        <w:t>przygotowuje obronę;</w:t>
      </w:r>
    </w:p>
    <w:p w14:paraId="2BB866C6" w14:textId="61688895" w:rsidR="00E6711E" w:rsidRPr="00EE43AE" w:rsidRDefault="00E6711E" w:rsidP="00EE43AE">
      <w:pPr>
        <w:pStyle w:val="JuPara"/>
        <w:rPr>
          <w:rFonts w:eastAsia="Times New Roman"/>
        </w:rPr>
      </w:pPr>
      <w:r>
        <w:t xml:space="preserve">gromadzi dowody </w:t>
      </w:r>
      <w:r w:rsidR="004F699F">
        <w:t xml:space="preserve">na korzyść </w:t>
      </w:r>
      <w:r>
        <w:t>oskarżonego;</w:t>
      </w:r>
    </w:p>
    <w:p w14:paraId="5C4B90D8" w14:textId="77777777" w:rsidR="00E6711E" w:rsidRPr="00EE43AE" w:rsidRDefault="00E6711E" w:rsidP="00EE43AE">
      <w:pPr>
        <w:pStyle w:val="JuPara"/>
        <w:rPr>
          <w:rFonts w:eastAsia="Times New Roman"/>
        </w:rPr>
      </w:pPr>
      <w:r>
        <w:t>przygotowuje oskarżonego do przesłuchania;</w:t>
      </w:r>
    </w:p>
    <w:p w14:paraId="5A00A348" w14:textId="77777777" w:rsidR="00E6711E" w:rsidRPr="00EE43AE" w:rsidRDefault="00E6711E" w:rsidP="00EE43AE">
      <w:pPr>
        <w:pStyle w:val="JuPara"/>
        <w:rPr>
          <w:rFonts w:eastAsia="Times New Roman"/>
        </w:rPr>
      </w:pPr>
      <w:r>
        <w:t>wspiera oskarżonego w trudnej sytuacji;</w:t>
      </w:r>
    </w:p>
    <w:p w14:paraId="6584E1D0" w14:textId="77777777" w:rsidR="00E6711E" w:rsidRPr="00EE43AE" w:rsidRDefault="00E6711E" w:rsidP="00EE43AE">
      <w:pPr>
        <w:pStyle w:val="JuPara"/>
        <w:rPr>
          <w:rFonts w:eastAsia="Times New Roman"/>
        </w:rPr>
      </w:pPr>
      <w:r>
        <w:t>sprawdza warunki detencji;</w:t>
      </w:r>
    </w:p>
    <w:p w14:paraId="35D7CE8A" w14:textId="77777777" w:rsidR="00E6711E" w:rsidRPr="00EE43AE" w:rsidRDefault="00E6711E" w:rsidP="00EE43AE">
      <w:pPr>
        <w:pStyle w:val="JuPara"/>
        <w:rPr>
          <w:rFonts w:eastAsia="Times New Roman"/>
        </w:rPr>
      </w:pPr>
      <w:r>
        <w:t>pomaga zapewnić przestrzeganie prawa oskarżonego do nieobciążania samego siebie.</w:t>
      </w:r>
    </w:p>
    <w:p w14:paraId="331B6624" w14:textId="4AD62E78" w:rsidR="00E6711E" w:rsidRPr="00EE43AE" w:rsidRDefault="00E6711E" w:rsidP="00EE43AE">
      <w:pPr>
        <w:pStyle w:val="JuPara"/>
      </w:pPr>
      <w:r>
        <w:t xml:space="preserve">W tym przypadku </w:t>
      </w:r>
      <w:r w:rsidR="004F699F">
        <w:t xml:space="preserve">jedynie 42 minuty zostały poświęcone </w:t>
      </w:r>
      <w:r>
        <w:t xml:space="preserve">na </w:t>
      </w:r>
      <w:r w:rsidR="004F699F">
        <w:t xml:space="preserve">zapewnienie takiego </w:t>
      </w:r>
      <w:r>
        <w:t xml:space="preserve">zakresu </w:t>
      </w:r>
      <w:r w:rsidR="004F699F">
        <w:t>świadczeń</w:t>
      </w:r>
      <w:r>
        <w:t xml:space="preserve">. W sprawie </w:t>
      </w:r>
      <w:r>
        <w:rPr>
          <w:i/>
        </w:rPr>
        <w:t>Dvorski przeciwko Chorwacji</w:t>
      </w:r>
      <w:r>
        <w:t xml:space="preserve"> ([WI], nr 25703/11, 20 października 2015 r.) Trybunał przypomniał, że „w celu skorzystania</w:t>
      </w:r>
      <w:r w:rsidR="004F699F">
        <w:t xml:space="preserve"> </w:t>
      </w:r>
      <w:r>
        <w:t>z</w:t>
      </w:r>
      <w:r w:rsidR="004F699F">
        <w:t>e swojego</w:t>
      </w:r>
      <w:r>
        <w:t xml:space="preserve"> prawa do obrony, co do zasady oskarżony powinien mieć możliwość </w:t>
      </w:r>
      <w:r>
        <w:rPr>
          <w:i/>
        </w:rPr>
        <w:t>skutecznego</w:t>
      </w:r>
      <w:r>
        <w:t xml:space="preserve"> korzystania z pomocy adwokata od początkowych etapów postępowania” (zob. </w:t>
      </w:r>
      <w:r>
        <w:rPr>
          <w:i/>
        </w:rPr>
        <w:t>Dvorski przeciwko Chorwacji,</w:t>
      </w:r>
      <w:r>
        <w:t xml:space="preserve"> </w:t>
      </w:r>
      <w:r w:rsidR="004F699F" w:rsidRPr="00FB401A">
        <w:t>cyt.</w:t>
      </w:r>
      <w:r w:rsidR="00D75841">
        <w:t xml:space="preserve"> </w:t>
      </w:r>
      <w:r w:rsidR="004F699F" w:rsidRPr="00FB401A">
        <w:t>pow.,</w:t>
      </w:r>
      <w:r w:rsidR="00D75841">
        <w:t xml:space="preserve"> </w:t>
      </w:r>
      <w:r>
        <w:t>§</w:t>
      </w:r>
      <w:r w:rsidR="00D75841">
        <w:t xml:space="preserve"> </w:t>
      </w:r>
      <w:r>
        <w:t>77).</w:t>
      </w:r>
      <w:r w:rsidR="00D75841">
        <w:t xml:space="preserve"> </w:t>
      </w:r>
      <w:r>
        <w:t>W niniejszej sprawie nie tylko nie</w:t>
      </w:r>
      <w:r w:rsidR="00D75841">
        <w:t xml:space="preserve">możliwe było </w:t>
      </w:r>
      <w:r>
        <w:t>nawiąza</w:t>
      </w:r>
      <w:r w:rsidR="00D75841">
        <w:t>nie</w:t>
      </w:r>
      <w:r>
        <w:t xml:space="preserve"> „bliskiej więzi zaufania i szczerości”</w:t>
      </w:r>
      <w:r w:rsidRPr="00EE43AE">
        <w:rPr>
          <w:rStyle w:val="Odwoanieprzypisudolnego"/>
          <w:rFonts w:ascii="Times New Roman" w:hAnsi="Times New Roman" w:cs="Times New Roman"/>
          <w:szCs w:val="24"/>
        </w:rPr>
        <w:footnoteReference w:id="10"/>
      </w:r>
      <w:r>
        <w:t>, nie tylko w oczywisty sposób zabrakło wymaganej skuteczności, ale co do zasady okoliczności stanowiły całkowitą</w:t>
      </w:r>
      <w:r w:rsidR="00D75841">
        <w:t xml:space="preserve"> </w:t>
      </w:r>
      <w:r>
        <w:t>kpinę</w:t>
      </w:r>
      <w:r w:rsidR="00D75841">
        <w:t xml:space="preserve"> </w:t>
      </w:r>
      <w:r>
        <w:t xml:space="preserve">z pomocy prawnej. O ile </w:t>
      </w:r>
      <w:r w:rsidR="00D75841">
        <w:t xml:space="preserve">nie jest moim zadaniem </w:t>
      </w:r>
      <w:r>
        <w:t>ocena profesjonal</w:t>
      </w:r>
      <w:r w:rsidR="00D75841">
        <w:t>izmu</w:t>
      </w:r>
      <w:r>
        <w:t xml:space="preserve"> zachowania adwokata w tej sprawie, o tyle rozważania na temat ograniczenia prawa do obrony skarżącego są niewątpliwie istotne dla oceny ogólnej rzetelności postępowania. Niestety w niniejszej sprawie brak jest jednak jakiejkolwiek kontroli sądowej działani</w:t>
      </w:r>
      <w:r w:rsidR="00D75841">
        <w:t>a</w:t>
      </w:r>
      <w:r>
        <w:t xml:space="preserve"> adwokata skarżącego.</w:t>
      </w:r>
    </w:p>
    <w:p w14:paraId="3D2A3D08" w14:textId="54783C61" w:rsidR="000F2D19" w:rsidRPr="00EE43AE" w:rsidRDefault="00E6711E" w:rsidP="00EE43AE">
      <w:pPr>
        <w:pStyle w:val="JuPara"/>
      </w:pPr>
      <w:r>
        <w:lastRenderedPageBreak/>
        <w:t xml:space="preserve">Ponadto, przed pierwszym </w:t>
      </w:r>
      <w:r w:rsidR="00D75841">
        <w:t xml:space="preserve">jego </w:t>
      </w:r>
      <w:r>
        <w:t xml:space="preserve">przesłuchaniem, które uznajemy za najbardziej kluczowy moment dla całej obrony (co znajduje potwierdzenie również w wyżej przytoczonej sprawie </w:t>
      </w:r>
      <w:r>
        <w:rPr>
          <w:i/>
        </w:rPr>
        <w:t>Salduz</w:t>
      </w:r>
      <w:r>
        <w:t>), skarżący miał możliwość porozmawiania ze swoim adwokatem przez zaledwie 2 (!) minuty (paragraf 7). Co można w takim czasie powiedzieć poza ogólnymi słowami grzecznościowymi? Jakiego rodzaju strategiczn</w:t>
      </w:r>
      <w:r w:rsidR="00D75841">
        <w:t>ego wyboru można dokonać</w:t>
      </w:r>
      <w:r>
        <w:t xml:space="preserve">, nie mówiąc już o jakiejkolwiek pełnej i świadomej dyskusji na ten temat? W </w:t>
      </w:r>
      <w:r w:rsidR="00AB5C38">
        <w:t xml:space="preserve">takich </w:t>
      </w:r>
      <w:r>
        <w:t>okolicznościach, stwierdzenie większości, że skarżący „miał dostęp do swojego adwokata przed kluczowym pierwszym przesłuchaniem przez policję” (paragraf 83) jest, moim zdaniem, rażąco nietrafne.</w:t>
      </w:r>
    </w:p>
    <w:p w14:paraId="18744076" w14:textId="233E0657" w:rsidR="00E6711E" w:rsidRPr="00EE43AE" w:rsidRDefault="00E6711E" w:rsidP="00EE43AE">
      <w:pPr>
        <w:pStyle w:val="JuPara"/>
      </w:pPr>
      <w:r>
        <w:t>Ponadto, mimo że zgodnie z dokumentami znajdującymi się w aktach sprawy</w:t>
      </w:r>
      <w:r w:rsidR="00AB5C38">
        <w:t>,</w:t>
      </w:r>
      <w:r>
        <w:t xml:space="preserve"> skarżącego pouczano o </w:t>
      </w:r>
      <w:r w:rsidR="00AB5C38">
        <w:t xml:space="preserve">jego </w:t>
      </w:r>
      <w:r>
        <w:t xml:space="preserve">prawie do odmowy składania wyjaśnień na początku każdego przesłuchania, funkcjonariusze policji starali się ograniczać zakres tego pouczenia za pomocą uwag takich jak „brak uwag oznacza winnego” lub „brak komentarza nie oznacza niewinności” (protokoły z przesłuchań przedłożone przez skarżącego). Nie trzeba dodawać, że obecność adwokata skarżącego podczas jego przesłuchań mogła zapobiec stosowaniu takiej „techniki”, a w takich okolicznościach, ze względu na ograniczony dostęp do porady prawnej, skarżący mógł uznać, że </w:t>
      </w:r>
      <w:r w:rsidR="00AB5C38">
        <w:t xml:space="preserve">przyznanie się jest jedyną jego opcją </w:t>
      </w:r>
      <w:r>
        <w:t xml:space="preserve">(zob. </w:t>
      </w:r>
      <w:r>
        <w:rPr>
          <w:i/>
        </w:rPr>
        <w:t>Pishchalnikov przeciwko Rosji</w:t>
      </w:r>
      <w:r>
        <w:t xml:space="preserve">, </w:t>
      </w:r>
      <w:r w:rsidR="00AB5C38">
        <w:t xml:space="preserve">cyt. pow., </w:t>
      </w:r>
      <w:r>
        <w:t>paragraf 80).</w:t>
      </w:r>
    </w:p>
    <w:p w14:paraId="3ED9BF91" w14:textId="77777777" w:rsidR="00E6711E" w:rsidRPr="00EE43AE" w:rsidRDefault="00E6711E" w:rsidP="00EE43AE">
      <w:pPr>
        <w:pStyle w:val="JuH1"/>
      </w:pPr>
      <w:r>
        <w:t>Przymus wobec skarżącego</w:t>
      </w:r>
    </w:p>
    <w:p w14:paraId="4296E934" w14:textId="396C8A34" w:rsidR="00E6711E" w:rsidRPr="00EE43AE" w:rsidRDefault="00E6711E" w:rsidP="00EE43AE">
      <w:pPr>
        <w:pStyle w:val="JuPara"/>
      </w:pPr>
      <w:r>
        <w:t>Jeszcze bardziej szokujące jest jednak to, że przyznanie się do winy przez skarżącego nastąpiło po wyraźnym zastraszeniu przez funkcjonariuszy policji, którzy zatrzymali najwyraźniej niewinną osobę – „</w:t>
      </w:r>
      <w:r w:rsidR="00AB5C38">
        <w:t>P</w:t>
      </w:r>
      <w:r>
        <w:t>anią G.”, byłą dziewczynę skarżącego i matkę jego małoletniej córki –</w:t>
      </w:r>
      <w:r w:rsidR="005E2BF0">
        <w:br/>
      </w:r>
      <w:r>
        <w:t>w celu szantażowania go losem dziecka, które zostanie rozdzielone z matką do czasu przyznania się przez skarżącego. Jeśli takiego zachowania nie uznaje się za przymus ze strony policji, to zastanawiam się, jak inaczej można je określić.</w:t>
      </w:r>
    </w:p>
    <w:p w14:paraId="327D4D54" w14:textId="1877228C" w:rsidR="00E6711E" w:rsidRPr="00EE43AE" w:rsidRDefault="00E6711E" w:rsidP="00EE43AE">
      <w:pPr>
        <w:pStyle w:val="JuPara"/>
      </w:pPr>
      <w:r>
        <w:t>Psychologiczny wpływ tych gróźb został oceniony przez sądy krajowe</w:t>
      </w:r>
      <w:r w:rsidR="00FA3DCC">
        <w:br/>
      </w:r>
      <w:r>
        <w:t xml:space="preserve">w dość </w:t>
      </w:r>
      <w:r w:rsidR="00761E44">
        <w:t xml:space="preserve">kreatywny </w:t>
      </w:r>
      <w:r>
        <w:t xml:space="preserve">sposób, ponieważ najwyraźniej straszenie skarżącego cierpieniami jego małoletniej córki w związku z rozdzieleniem z matką nie było w żadnym wypadku zastraszaniem, a raczej stanowiło jedynie „odwołanie się do jego lepszej natury i </w:t>
      </w:r>
      <w:r w:rsidR="00761E44">
        <w:t>jego</w:t>
      </w:r>
      <w:r>
        <w:t xml:space="preserve"> poczucia człowieczeństw</w:t>
      </w:r>
      <w:r w:rsidR="00FA3DCC">
        <w:t>a</w:t>
      </w:r>
      <w:r>
        <w:t xml:space="preserve">” (zob. paragraf 28). Prokurator generalny Stalina Andriej Wyszynski bije brawo zza grobu – nigdy nie mógł wymarzyć sobie piękniejszej formuły dla tej samej brzydkiej techniki, która była tak rozpowszechniona podczas Wielkiej Czystki, której był głównym </w:t>
      </w:r>
      <w:r w:rsidR="00CF77DF">
        <w:t xml:space="preserve">architektem </w:t>
      </w:r>
      <w:r>
        <w:t>od strony prawnej. Chociaż sytuacj</w:t>
      </w:r>
      <w:r w:rsidR="00CF77DF">
        <w:t>e te są nieporównywalne</w:t>
      </w:r>
      <w:r>
        <w:t xml:space="preserve">, szkoda, że zamiast zdecydowanie potępić środki zastosowane w niniejszej sprawie, sędziowie starali się znaleźć dla nich rozsądne uzasadnienie, najwyraźniej zapominając o skutkach, jakie przyjęcie </w:t>
      </w:r>
      <w:r>
        <w:lastRenderedPageBreak/>
        <w:t>takiego stanowiska – z celem uświęcającym środki – może mieć w skrajnych sytuacjach.</w:t>
      </w:r>
    </w:p>
    <w:p w14:paraId="0C0C5667" w14:textId="2D7501F8" w:rsidR="00E6711E" w:rsidRPr="00EE43AE" w:rsidRDefault="00E6711E" w:rsidP="00EE43AE">
      <w:pPr>
        <w:pStyle w:val="JuPara"/>
      </w:pPr>
      <w:r>
        <w:t>Uważam za szczególnie niefortunne, że stwierdzenie większości, że „Trybunał nie może kwestionować oceny władz krajowych, chyba że istnieją wyraźne dowody świadczące o arbitralności, których w niniejszej sprawie nie ma” (paragraf 87), można również rozumieć jako dorozumiane poparcie tego rozumowania.</w:t>
      </w:r>
    </w:p>
    <w:p w14:paraId="505B5A73" w14:textId="5B539DB9" w:rsidR="00E6711E" w:rsidRPr="00EE43AE" w:rsidRDefault="00E6711E" w:rsidP="00EE43AE">
      <w:pPr>
        <w:pStyle w:val="JuPara"/>
        <w:rPr>
          <w:rFonts w:eastAsia="Times New Roman"/>
        </w:rPr>
      </w:pPr>
      <w:r>
        <w:t xml:space="preserve">Przypominam, że w sprawie </w:t>
      </w:r>
      <w:r>
        <w:rPr>
          <w:i/>
        </w:rPr>
        <w:t xml:space="preserve">Nechiporuk i Yonkalo przeciwko Ukrainie </w:t>
      </w:r>
      <w:r>
        <w:t xml:space="preserve">(nr 42310/04, 21 kwietnia 2011 r., paragraf 156) </w:t>
      </w:r>
      <w:r w:rsidR="00242604">
        <w:t xml:space="preserve">uznano, że </w:t>
      </w:r>
      <w:r>
        <w:t>groźby złego traktowania ciężarnej żony skarżącego w celu zmuszenia go do przyznania się</w:t>
      </w:r>
      <w:r w:rsidR="00242604">
        <w:t>,</w:t>
      </w:r>
      <w:r>
        <w:t xml:space="preserve"> znacznie pogłębiły cierpienie psychiczne skarżącego, stanowiąc tym samym jeden z istotnych czynników pozwalających dojść do wniosku, że skarżący został poddany torturom.</w:t>
      </w:r>
    </w:p>
    <w:p w14:paraId="5BA9CDFC" w14:textId="31D6AB42" w:rsidR="000F2D19" w:rsidRPr="00EE43AE" w:rsidRDefault="00E6711E" w:rsidP="00EE43AE">
      <w:pPr>
        <w:pStyle w:val="JuPara"/>
      </w:pPr>
      <w:r>
        <w:t>Pomimo tego, w niniejszej sprawie Trybunał ustalił, że okoliczności,</w:t>
      </w:r>
      <w:r w:rsidR="00FA3DCC">
        <w:br/>
      </w:r>
      <w:r>
        <w:t>w których doszło do przyznania się skarżącego, nie cechują się brakiem rzetelności (paragrafy 86</w:t>
      </w:r>
      <w:r>
        <w:noBreakHyphen/>
        <w:t>88).</w:t>
      </w:r>
    </w:p>
    <w:p w14:paraId="1C501F15" w14:textId="75730E8C" w:rsidR="00E6711E" w:rsidRPr="00EE43AE" w:rsidRDefault="00E6711E" w:rsidP="00EE43AE">
      <w:pPr>
        <w:pStyle w:val="JuPara"/>
      </w:pPr>
      <w:r>
        <w:t xml:space="preserve">Oceniając zakres ograniczenia prawa skarżącego do dostępu do adwokata, większość twierdzi również, że skarżący </w:t>
      </w:r>
      <w:r w:rsidR="0048639F">
        <w:t>„</w:t>
      </w:r>
      <w:r>
        <w:t>mógł wnioskować o dostęp</w:t>
      </w:r>
      <w:r w:rsidR="00242604">
        <w:t xml:space="preserve"> </w:t>
      </w:r>
      <w:r>
        <w:t>do</w:t>
      </w:r>
      <w:r w:rsidR="00242604">
        <w:t xml:space="preserve"> </w:t>
      </w:r>
      <w:r>
        <w:t>adwokata</w:t>
      </w:r>
      <w:r w:rsidR="00242604">
        <w:t xml:space="preserve"> – i </w:t>
      </w:r>
      <w:r>
        <w:t>dostęp</w:t>
      </w:r>
      <w:r w:rsidR="00242604">
        <w:t xml:space="preserve"> ten </w:t>
      </w:r>
      <w:r>
        <w:t>mu</w:t>
      </w:r>
      <w:r w:rsidR="00242604">
        <w:t xml:space="preserve"> </w:t>
      </w:r>
      <w:r>
        <w:t>przyznano</w:t>
      </w:r>
      <w:r w:rsidR="00242604">
        <w:t xml:space="preserve"> - </w:t>
      </w:r>
      <w:r>
        <w:t>w każdym późniejszym czasie, z wyjątkiem opóźnienia po złożeniu wniosku w trakcie przesłuchania nr 14; wszystkie przesłuchania były nagrywane na wideo, a z nagraniami zapoznał się sędzia rozpoznający sprawę w pierwszej instancji; konsultacje odbywały się przed przesłuchaniami, a nawet w ich trakcie, w szczególności podczas kluczowego przesłuchania nr 15” (paragraf 84). Czas trwania</w:t>
      </w:r>
      <w:r w:rsidR="00242604">
        <w:t xml:space="preserve"> </w:t>
      </w:r>
      <w:r>
        <w:t>(4minuty)</w:t>
      </w:r>
      <w:r w:rsidR="00242604">
        <w:t xml:space="preserve"> </w:t>
      </w:r>
      <w:r>
        <w:t xml:space="preserve">i skuteczność konsultacji podczas „kluczowego przesłuchania nr 15” omówiono </w:t>
      </w:r>
      <w:r w:rsidR="001234E4">
        <w:t xml:space="preserve">już </w:t>
      </w:r>
      <w:r>
        <w:t xml:space="preserve">wyżej. W odniesieniu do </w:t>
      </w:r>
      <w:r w:rsidR="001234E4">
        <w:t xml:space="preserve">14-go </w:t>
      </w:r>
      <w:r>
        <w:t xml:space="preserve">przesłuchania skarżącego, warto zauważyć, że skarżącemu </w:t>
      </w:r>
      <w:r>
        <w:rPr>
          <w:i/>
          <w:iCs/>
        </w:rPr>
        <w:t>dwukrotnie</w:t>
      </w:r>
      <w:r>
        <w:t xml:space="preserve"> odmówiono przerwania przesłuchania w celu konsultacji z adwokatem podczas tego przesłuchania (paragraf 12).</w:t>
      </w:r>
    </w:p>
    <w:p w14:paraId="48C516A2" w14:textId="1DB414C9" w:rsidR="00E6711E" w:rsidRPr="00EE43AE" w:rsidRDefault="00E6711E" w:rsidP="00EE43AE">
      <w:pPr>
        <w:pStyle w:val="JuPara"/>
      </w:pPr>
      <w:r>
        <w:t xml:space="preserve">Chociaż większość stanowczo podkreśla, że nagrania wideo z przesłuchań </w:t>
      </w:r>
      <w:r w:rsidR="001234E4">
        <w:t xml:space="preserve">policyjnych </w:t>
      </w:r>
      <w:r>
        <w:t>oraz ich dostępność dla sędziów</w:t>
      </w:r>
      <w:r w:rsidR="0048639F">
        <w:br/>
      </w:r>
      <w:r>
        <w:t>i ławy przysięgłych stanowią kluczowe zabezpieczenie (paragraf 99), to</w:t>
      </w:r>
      <w:r w:rsidR="0048639F">
        <w:br/>
      </w:r>
      <w:r>
        <w:t xml:space="preserve">z paragrafu 23 wynika, że ławie przysięgłych ujawniono jedynie </w:t>
      </w:r>
      <w:r>
        <w:rPr>
          <w:i/>
        </w:rPr>
        <w:t>fragmenty</w:t>
      </w:r>
      <w:r>
        <w:t xml:space="preserve"> tych nagrań wideo; pozostaje zatem niejasne, czy ława przysięgłych faktycznie widziała materiał filmowy z kluczowymi momentami zastraszania skarżącego.</w:t>
      </w:r>
    </w:p>
    <w:p w14:paraId="4C0232EC" w14:textId="208E18F8" w:rsidR="00E6711E" w:rsidRPr="00EE43AE" w:rsidRDefault="001234E4" w:rsidP="00EE43AE">
      <w:pPr>
        <w:pStyle w:val="JuHA"/>
      </w:pPr>
      <w:r>
        <w:t>Wnioski</w:t>
      </w:r>
    </w:p>
    <w:p w14:paraId="0B685B0F" w14:textId="52E8365C" w:rsidR="00E6711E" w:rsidRPr="00EE43AE" w:rsidRDefault="00E6711E" w:rsidP="00EE43AE">
      <w:pPr>
        <w:pStyle w:val="JuPara"/>
      </w:pPr>
      <w:r>
        <w:t>Jak wynika z powyższych rozważań, w niniejszej sprawie doszło do nieodwracalnego naruszenia ogólnej rzetelności postępowania. Wynika to</w:t>
      </w:r>
      <w:r w:rsidR="00F44445">
        <w:br/>
      </w:r>
      <w:r>
        <w:t>z nieobecności adwokata skarżącego podczas jego przesłuchań policyjnych, braku wystarczającej porady udzielonej podczas krótkich rozmów telefonicznych/spotkań, które skarżący odbył ze swoim adwokatem</w:t>
      </w:r>
      <w:r w:rsidR="00F44445">
        <w:br/>
      </w:r>
      <w:r>
        <w:lastRenderedPageBreak/>
        <w:t>(w szczególności biorąc pod uwagę, że adwokat skarżącego nie był świadomy tego, co działo się podczas przesłuchań policyjnych</w:t>
      </w:r>
      <w:r w:rsidR="001234E4">
        <w:t xml:space="preserve"> nie będąc obecnym</w:t>
      </w:r>
      <w:r>
        <w:t xml:space="preserve"> i </w:t>
      </w:r>
      <w:r w:rsidR="001234E4">
        <w:t xml:space="preserve">nie będąc poinformowanym </w:t>
      </w:r>
      <w:r w:rsidR="00485E11">
        <w:t xml:space="preserve">o szczegółach </w:t>
      </w:r>
      <w:r w:rsidR="001234E4">
        <w:t xml:space="preserve">przez </w:t>
      </w:r>
      <w:r>
        <w:t>funkcjonariusz</w:t>
      </w:r>
      <w:r w:rsidR="001234E4">
        <w:t>y</w:t>
      </w:r>
      <w:r>
        <w:t xml:space="preserve"> – zob. </w:t>
      </w:r>
      <w:r>
        <w:rPr>
          <w:i/>
        </w:rPr>
        <w:t>A.T. przeciwko Luksemburgowi</w:t>
      </w:r>
      <w:r>
        <w:t xml:space="preserve">, </w:t>
      </w:r>
      <w:r w:rsidR="00485E11" w:rsidRPr="00FB401A">
        <w:t>cyt. pow.,</w:t>
      </w:r>
      <w:r>
        <w:t xml:space="preserve"> paragraf 64 oraz </w:t>
      </w:r>
      <w:r>
        <w:rPr>
          <w:i/>
        </w:rPr>
        <w:t>Huseyn i Inni przeciwko Azerbejdżanowi</w:t>
      </w:r>
      <w:r>
        <w:t xml:space="preserve">, nr 35485/05 i 3 inne, 26 lipca 2011 r., </w:t>
      </w:r>
      <w:r w:rsidR="00485E11">
        <w:br/>
      </w:r>
      <w:r>
        <w:t xml:space="preserve">§ 180), a przede wszystkim ze względu na fakt, że przyznanie się skarżącego, które stanowiło zasadniczą podstawę </w:t>
      </w:r>
      <w:r w:rsidR="00485E11">
        <w:t>jego skazania</w:t>
      </w:r>
      <w:r>
        <w:t xml:space="preserve">, zostało uzyskane w wyniku wyraźnej presji i zastraszania przez funkcjonariuszy policji pod nieobecność </w:t>
      </w:r>
      <w:r w:rsidR="00485E11">
        <w:t xml:space="preserve">jego </w:t>
      </w:r>
      <w:r>
        <w:t>adwokata.</w:t>
      </w:r>
    </w:p>
    <w:p w14:paraId="3D7A0153" w14:textId="77777777" w:rsidR="00E6711E" w:rsidRPr="00EE43AE" w:rsidRDefault="00E6711E" w:rsidP="00EE43AE">
      <w:pPr>
        <w:pStyle w:val="JuPara"/>
      </w:pPr>
      <w:r>
        <w:t xml:space="preserve">W tych okolicznościach zdecydowanie uważam, że nawet stosując „test </w:t>
      </w:r>
      <w:r>
        <w:rPr>
          <w:i/>
        </w:rPr>
        <w:t>Beuze</w:t>
      </w:r>
      <w:r>
        <w:t xml:space="preserve">” zamiast „testu </w:t>
      </w:r>
      <w:r>
        <w:rPr>
          <w:i/>
        </w:rPr>
        <w:t>Salduz</w:t>
      </w:r>
      <w:r>
        <w:t>” i oceniając ogólną rzetelność prowadzonego wobec skarżącego postępowania, Trybunał powinien był stwierdzić naruszenie art. 6 ust. 1 i 3 lit. c Konwencji.</w:t>
      </w:r>
    </w:p>
    <w:p w14:paraId="0C91B3CF" w14:textId="77777777" w:rsidR="00E6711E" w:rsidRPr="00EE43AE" w:rsidRDefault="00E6711E" w:rsidP="00EE43AE">
      <w:pPr>
        <w:pStyle w:val="Akapitzlist"/>
        <w:ind w:left="360"/>
        <w:jc w:val="center"/>
        <w:rPr>
          <w:rFonts w:ascii="Times New Roman" w:hAnsi="Times New Roman" w:cs="Times New Roman"/>
          <w:szCs w:val="24"/>
        </w:rPr>
      </w:pPr>
      <w:r>
        <w:rPr>
          <w:rFonts w:ascii="Times New Roman" w:hAnsi="Times New Roman"/>
          <w:szCs w:val="24"/>
        </w:rPr>
        <w:t>* * *</w:t>
      </w:r>
    </w:p>
    <w:p w14:paraId="4CABB9D5" w14:textId="77777777" w:rsidR="000F2D19" w:rsidRPr="00EE43AE" w:rsidRDefault="00E6711E" w:rsidP="00EE43AE">
      <w:pPr>
        <w:pStyle w:val="JuQuot"/>
      </w:pPr>
      <w:r>
        <w:t xml:space="preserve">„[...] </w:t>
      </w:r>
      <w:r w:rsidR="001D10DA">
        <w:t>[i]</w:t>
      </w:r>
      <w:r>
        <w:t>nkwizytor zapytał go twardo i nieubłaganie:</w:t>
      </w:r>
    </w:p>
    <w:p w14:paraId="7304EB9B" w14:textId="77777777" w:rsidR="00E6711E" w:rsidRPr="00EE43AE" w:rsidRDefault="00E6711E" w:rsidP="00EE43AE">
      <w:pPr>
        <w:pStyle w:val="JuQuot"/>
      </w:pPr>
      <w:r>
        <w:t>„Przyznaje się pan do wszystkiego?”</w:t>
      </w:r>
    </w:p>
    <w:p w14:paraId="1ECF813D" w14:textId="77777777" w:rsidR="00E6711E" w:rsidRPr="00EE43AE" w:rsidRDefault="00E6711E" w:rsidP="00EE43AE">
      <w:pPr>
        <w:pStyle w:val="JuQuot"/>
        <w:rPr>
          <w:rFonts w:eastAsia="Times New Roman"/>
          <w:iCs/>
        </w:rPr>
      </w:pPr>
      <w:r>
        <w:t>Szwejk zwrócił na nieubłaganego człowieka swoje dobre modre oczy i rzekł miękko:</w:t>
      </w:r>
    </w:p>
    <w:p w14:paraId="199DB23E" w14:textId="77777777" w:rsidR="00E6711E" w:rsidRPr="00EE43AE" w:rsidRDefault="00E6711E" w:rsidP="00EE43AE">
      <w:pPr>
        <w:pStyle w:val="JuQuot"/>
        <w:rPr>
          <w:rFonts w:eastAsia="Times New Roman"/>
          <w:iCs/>
        </w:rPr>
      </w:pPr>
      <w:r>
        <w:t>— Jeśli pan sobie życzy, proszę pana, abym się przyznał, to się przyznaję, bo mnie to nic nie szkodzi. Ale gdyby pan powiedział: „Szwejku, nie przyznawajcie się do niczego” — to się będę wykręcał ze wszystkich sił.</w:t>
      </w:r>
    </w:p>
    <w:p w14:paraId="51CBA706" w14:textId="77777777" w:rsidR="00E6711E" w:rsidRPr="00EE43AE" w:rsidRDefault="00E6711E" w:rsidP="001D10DA">
      <w:pPr>
        <w:pStyle w:val="JuQuot"/>
        <w:rPr>
          <w:rFonts w:eastAsia="Times New Roman"/>
          <w:iCs/>
        </w:rPr>
      </w:pPr>
      <w:r>
        <w:t>Surowy pan pisał coś w aktach</w:t>
      </w:r>
      <w:r w:rsidR="001D10DA">
        <w:rPr>
          <w:rFonts w:eastAsia="Times New Roman"/>
          <w:iCs/>
        </w:rPr>
        <w:t xml:space="preserve"> </w:t>
      </w:r>
      <w:r>
        <w:t>i podawszy Szwejkowi pióro kazał mu się podpisać.</w:t>
      </w:r>
    </w:p>
    <w:p w14:paraId="0CD37B5B" w14:textId="77777777" w:rsidR="00E6711E" w:rsidRPr="00EE43AE" w:rsidRDefault="00E6711E" w:rsidP="001D10DA">
      <w:pPr>
        <w:pStyle w:val="JuQuot"/>
        <w:rPr>
          <w:rFonts w:eastAsia="Times New Roman"/>
          <w:iCs/>
        </w:rPr>
      </w:pPr>
      <w:r>
        <w:t>I Szwejk podpisał oskarżenie</w:t>
      </w:r>
      <w:r w:rsidR="001D10DA">
        <w:rPr>
          <w:rFonts w:eastAsia="Times New Roman"/>
          <w:iCs/>
        </w:rPr>
        <w:t xml:space="preserve"> </w:t>
      </w:r>
      <w:r>
        <w:t>Bretschneidera wraz z dodatkiem:</w:t>
      </w:r>
    </w:p>
    <w:p w14:paraId="2830144C" w14:textId="77777777" w:rsidR="00E6711E" w:rsidRPr="00EE43AE" w:rsidRDefault="00E6711E" w:rsidP="00EE43AE">
      <w:pPr>
        <w:pStyle w:val="JuQuot"/>
      </w:pPr>
      <w:r>
        <w:t>„Wszystkie wyżej wymienione oskarżenia przeciwko mnie opierają się na prawdzie. Józef Szwejk”</w:t>
      </w:r>
      <w:r w:rsidRPr="00EE43AE">
        <w:rPr>
          <w:rStyle w:val="Odwoanieprzypisudolnego"/>
          <w:rFonts w:ascii="Times New Roman" w:eastAsia="Times New Roman" w:hAnsi="Times New Roman" w:cs="Times New Roman"/>
          <w:i/>
          <w:iCs/>
          <w:szCs w:val="24"/>
        </w:rPr>
        <w:footnoteReference w:id="11"/>
      </w:r>
    </w:p>
    <w:sectPr w:rsidR="00E6711E" w:rsidRPr="00EE43AE" w:rsidSect="00EA6783">
      <w:headerReference w:type="even" r:id="rId18"/>
      <w:headerReference w:type="default" r:id="rId19"/>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FAF60B" w14:textId="77777777" w:rsidR="00170D05" w:rsidRPr="00085457" w:rsidRDefault="00170D05" w:rsidP="0098410D">
      <w:r w:rsidRPr="00085457">
        <w:separator/>
      </w:r>
    </w:p>
  </w:endnote>
  <w:endnote w:type="continuationSeparator" w:id="0">
    <w:p w14:paraId="0C470636" w14:textId="77777777" w:rsidR="00170D05" w:rsidRPr="00085457" w:rsidRDefault="00170D05"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7B3359" w14:textId="77777777" w:rsidR="00170D05" w:rsidRPr="00150BFA" w:rsidRDefault="00170D05" w:rsidP="00BF337E">
    <w:pPr>
      <w:jc w:val="center"/>
    </w:pPr>
    <w:r>
      <w:rPr>
        <w:noProof/>
        <w:lang w:eastAsia="pl-PL"/>
      </w:rPr>
      <w:drawing>
        <wp:inline distT="0" distB="0" distL="0" distR="0" wp14:anchorId="237697CC" wp14:editId="17AA25E8">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B6DAE8D" w14:textId="77777777" w:rsidR="00170D05" w:rsidRPr="00085457" w:rsidRDefault="00170D05" w:rsidP="00BF337E">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A9B76A" w14:textId="77777777" w:rsidR="00170D05" w:rsidRDefault="00170D0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6755B4" w14:textId="77777777" w:rsidR="00170D05" w:rsidRPr="000B7195" w:rsidRDefault="00170D05" w:rsidP="00BF337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D3FBF6" w14:textId="77777777" w:rsidR="00170D05" w:rsidRPr="00085457" w:rsidRDefault="00170D05" w:rsidP="0098410D">
      <w:r w:rsidRPr="00085457">
        <w:separator/>
      </w:r>
    </w:p>
  </w:footnote>
  <w:footnote w:type="continuationSeparator" w:id="0">
    <w:p w14:paraId="64780329" w14:textId="77777777" w:rsidR="00170D05" w:rsidRPr="00085457" w:rsidRDefault="00170D05" w:rsidP="0098410D">
      <w:r w:rsidRPr="00085457">
        <w:continuationSeparator/>
      </w:r>
    </w:p>
  </w:footnote>
  <w:footnote w:id="1">
    <w:p w14:paraId="03C14CEE" w14:textId="77777777" w:rsidR="00170D05" w:rsidRPr="00180FB6" w:rsidRDefault="00170D05" w:rsidP="00E6711E">
      <w:pPr>
        <w:rPr>
          <w:rFonts w:ascii="Times New Roman" w:eastAsia="Times New Roman" w:hAnsi="Times New Roman" w:cs="Times New Roman"/>
          <w:sz w:val="20"/>
          <w:szCs w:val="20"/>
        </w:rPr>
      </w:pPr>
      <w:r>
        <w:rPr>
          <w:rStyle w:val="Odwoanieprzypisudolnego"/>
          <w:rFonts w:cstheme="minorHAnsi"/>
          <w:sz w:val="20"/>
          <w:szCs w:val="20"/>
        </w:rPr>
        <w:footnoteRef/>
      </w:r>
      <w:r>
        <w:rPr>
          <w:sz w:val="20"/>
          <w:szCs w:val="20"/>
        </w:rPr>
        <w:t xml:space="preserve"> </w:t>
      </w:r>
      <w:hyperlink r:id="rId1" w:history="1">
        <w:r>
          <w:rPr>
            <w:rStyle w:val="Hipercze"/>
            <w:rFonts w:ascii="Times New Roman" w:hAnsi="Times New Roman"/>
            <w:sz w:val="20"/>
            <w:szCs w:val="20"/>
          </w:rPr>
          <w:t>Jaroslav Hašek</w:t>
        </w:r>
      </w:hyperlink>
      <w:r>
        <w:rPr>
          <w:rFonts w:ascii="Times New Roman" w:hAnsi="Times New Roman"/>
          <w:sz w:val="20"/>
          <w:szCs w:val="20"/>
        </w:rPr>
        <w:t xml:space="preserve"> </w:t>
      </w:r>
      <w:r>
        <w:rPr>
          <w:rFonts w:ascii="Times New Roman" w:hAnsi="Times New Roman"/>
          <w:i/>
          <w:iCs/>
          <w:color w:val="111111"/>
          <w:sz w:val="20"/>
          <w:szCs w:val="20"/>
          <w:bdr w:val="none" w:sz="0" w:space="0" w:color="auto" w:frame="1"/>
        </w:rPr>
        <w:t>Przygody dobrego wojaka Szwejka</w:t>
      </w:r>
      <w:r>
        <w:rPr>
          <w:rFonts w:ascii="Times New Roman" w:hAnsi="Times New Roman"/>
          <w:sz w:val="20"/>
          <w:szCs w:val="20"/>
        </w:rPr>
        <w:t xml:space="preserve">, Księga Druga </w:t>
      </w:r>
      <w:r>
        <w:rPr>
          <w:rFonts w:ascii="Times New Roman" w:hAnsi="Times New Roman"/>
          <w:sz w:val="20"/>
          <w:szCs w:val="20"/>
          <w:shd w:val="clear" w:color="auto" w:fill="FFFFFF"/>
        </w:rPr>
        <w:t>(</w:t>
      </w:r>
      <w:r>
        <w:rPr>
          <w:rFonts w:ascii="Times New Roman" w:hAnsi="Times New Roman"/>
          <w:sz w:val="20"/>
          <w:szCs w:val="20"/>
          <w:bdr w:val="none" w:sz="0" w:space="0" w:color="auto" w:frame="1"/>
          <w:shd w:val="clear" w:color="auto" w:fill="FFFFFF"/>
        </w:rPr>
        <w:t>AuthorHouse, 2009</w:t>
      </w:r>
      <w:r>
        <w:rPr>
          <w:rFonts w:ascii="Times New Roman" w:hAnsi="Times New Roman"/>
          <w:sz w:val="20"/>
          <w:szCs w:val="20"/>
        </w:rPr>
        <w:t>).</w:t>
      </w:r>
    </w:p>
  </w:footnote>
  <w:footnote w:id="2">
    <w:p w14:paraId="29B0FE5C" w14:textId="77777777" w:rsidR="00170D05" w:rsidRPr="0005672A" w:rsidRDefault="00170D05" w:rsidP="00E6711E">
      <w:pPr>
        <w:pStyle w:val="JuPara"/>
        <w:ind w:firstLine="0"/>
        <w:rPr>
          <w:rFonts w:cstheme="minorHAnsi"/>
          <w:sz w:val="20"/>
          <w:szCs w:val="20"/>
        </w:rPr>
      </w:pPr>
      <w:r>
        <w:rPr>
          <w:rStyle w:val="Odwoanieprzypisudolnego"/>
          <w:rFonts w:cstheme="minorHAnsi"/>
          <w:sz w:val="20"/>
          <w:szCs w:val="20"/>
        </w:rPr>
        <w:footnoteRef/>
      </w:r>
      <w:r>
        <w:rPr>
          <w:sz w:val="20"/>
          <w:szCs w:val="20"/>
        </w:rPr>
        <w:t xml:space="preserve"> </w:t>
      </w:r>
      <w:r>
        <w:rPr>
          <w:i/>
          <w:sz w:val="20"/>
          <w:szCs w:val="20"/>
        </w:rPr>
        <w:t xml:space="preserve">Miranda przeciwko stanowi Arizona </w:t>
      </w:r>
      <w:r>
        <w:rPr>
          <w:sz w:val="20"/>
          <w:szCs w:val="20"/>
        </w:rPr>
        <w:t xml:space="preserve">384 US 436 (1966). </w:t>
      </w:r>
    </w:p>
  </w:footnote>
  <w:footnote w:id="3">
    <w:p w14:paraId="061AD63C" w14:textId="77777777" w:rsidR="00170D05" w:rsidRPr="0005672A" w:rsidRDefault="00170D05" w:rsidP="00E6711E">
      <w:pPr>
        <w:pStyle w:val="JuPara"/>
        <w:rPr>
          <w:rFonts w:cstheme="minorHAnsi"/>
          <w:sz w:val="20"/>
          <w:szCs w:val="20"/>
        </w:rPr>
      </w:pPr>
      <w:r>
        <w:rPr>
          <w:rStyle w:val="Odwoanieprzypisudolnego"/>
          <w:rFonts w:cstheme="minorHAnsi"/>
          <w:sz w:val="20"/>
          <w:szCs w:val="20"/>
        </w:rPr>
        <w:footnoteRef/>
      </w:r>
      <w:r>
        <w:rPr>
          <w:sz w:val="20"/>
          <w:szCs w:val="20"/>
        </w:rPr>
        <w:t xml:space="preserve"> Rada Praw Człowieka ONZ, </w:t>
      </w:r>
      <w:r>
        <w:rPr>
          <w:i/>
          <w:sz w:val="20"/>
          <w:szCs w:val="20"/>
        </w:rPr>
        <w:t>Sprawozdanie specjalnego sprawozdawcy ONZ ds. niezawisłości sędziów i prawników dotyczące misji specjalnego sprawozdawcy</w:t>
      </w:r>
      <w:r>
        <w:rPr>
          <w:i/>
          <w:sz w:val="20"/>
          <w:szCs w:val="20"/>
        </w:rPr>
        <w:br/>
        <w:t>w Zjednoczonym Królestwie</w:t>
      </w:r>
      <w:r>
        <w:rPr>
          <w:sz w:val="20"/>
          <w:szCs w:val="20"/>
        </w:rPr>
        <w:t xml:space="preserve"> E/CN.4/1998/39/Add.4 (1998), pkt 47.</w:t>
      </w:r>
    </w:p>
  </w:footnote>
  <w:footnote w:id="4">
    <w:p w14:paraId="4E9961DC" w14:textId="77777777" w:rsidR="00170D05" w:rsidRPr="0005672A" w:rsidRDefault="00170D05" w:rsidP="00E6711E">
      <w:pPr>
        <w:pStyle w:val="JuPara"/>
        <w:rPr>
          <w:rFonts w:cstheme="minorHAnsi"/>
          <w:sz w:val="20"/>
          <w:szCs w:val="20"/>
        </w:rPr>
      </w:pPr>
      <w:r>
        <w:rPr>
          <w:rStyle w:val="Odwoanieprzypisudolnego"/>
          <w:rFonts w:cstheme="minorHAnsi"/>
          <w:sz w:val="20"/>
          <w:szCs w:val="20"/>
        </w:rPr>
        <w:footnoteRef/>
      </w:r>
      <w:r>
        <w:rPr>
          <w:sz w:val="20"/>
          <w:szCs w:val="20"/>
        </w:rPr>
        <w:t xml:space="preserve"> Europejski Komitet do Spraw Zapobiegania Torturom oraz Nieludzkiemu lub Poniżającemu Traktowaniu albo Karaniu (CPT), </w:t>
      </w:r>
      <w:r>
        <w:rPr>
          <w:i/>
          <w:sz w:val="20"/>
          <w:szCs w:val="20"/>
        </w:rPr>
        <w:t>Zatrzymanie przez organy egzekwujące prawo: Fragment 2.</w:t>
      </w:r>
      <w:r>
        <w:rPr>
          <w:i/>
          <w:iCs/>
          <w:sz w:val="20"/>
          <w:szCs w:val="20"/>
        </w:rPr>
        <w:t xml:space="preserve"> sprawozdania ogólnego </w:t>
      </w:r>
      <w:r>
        <w:rPr>
          <w:sz w:val="20"/>
          <w:szCs w:val="20"/>
        </w:rPr>
        <w:t>[CPT/Inf(92) 31 (2002), pkt 38.</w:t>
      </w:r>
    </w:p>
  </w:footnote>
  <w:footnote w:id="5">
    <w:p w14:paraId="6D4C1940" w14:textId="77777777" w:rsidR="00170D05" w:rsidRPr="001D10DA" w:rsidRDefault="00170D05" w:rsidP="00E6711E">
      <w:pPr>
        <w:pStyle w:val="JuPara"/>
        <w:rPr>
          <w:rFonts w:cstheme="minorHAnsi"/>
          <w:sz w:val="20"/>
          <w:szCs w:val="20"/>
          <w:lang w:val="en-US"/>
        </w:rPr>
      </w:pPr>
      <w:r>
        <w:rPr>
          <w:rStyle w:val="Odwoanieprzypisudolnego"/>
          <w:rFonts w:cstheme="minorHAnsi"/>
          <w:sz w:val="20"/>
          <w:szCs w:val="20"/>
        </w:rPr>
        <w:footnoteRef/>
      </w:r>
      <w:r w:rsidRPr="001D10DA">
        <w:rPr>
          <w:sz w:val="20"/>
          <w:szCs w:val="20"/>
          <w:lang w:val="en-US"/>
        </w:rPr>
        <w:t xml:space="preserve"> P. Sergeitch, </w:t>
      </w:r>
      <w:r w:rsidRPr="001D10DA">
        <w:rPr>
          <w:i/>
          <w:sz w:val="20"/>
          <w:szCs w:val="20"/>
          <w:lang w:val="en-US"/>
        </w:rPr>
        <w:t>Art Speech at the Court</w:t>
      </w:r>
      <w:r w:rsidRPr="001D10DA">
        <w:rPr>
          <w:sz w:val="20"/>
          <w:szCs w:val="20"/>
          <w:lang w:val="en-US"/>
        </w:rPr>
        <w:t>, M Gosyurizdat (1960), 372 strony, strona 151.</w:t>
      </w:r>
    </w:p>
  </w:footnote>
  <w:footnote w:id="6">
    <w:p w14:paraId="1B718E69" w14:textId="77777777" w:rsidR="00170D05" w:rsidRPr="0005672A" w:rsidRDefault="00170D05" w:rsidP="00C71F2C">
      <w:pPr>
        <w:pStyle w:val="JuPara"/>
        <w:ind w:firstLine="0"/>
        <w:rPr>
          <w:rFonts w:eastAsiaTheme="minorHAnsi" w:cstheme="minorHAnsi"/>
          <w:sz w:val="20"/>
          <w:szCs w:val="20"/>
        </w:rPr>
      </w:pPr>
      <w:r>
        <w:rPr>
          <w:rStyle w:val="Odwoanieprzypisudolnego"/>
          <w:rFonts w:cstheme="minorHAnsi"/>
          <w:sz w:val="20"/>
          <w:szCs w:val="20"/>
        </w:rPr>
        <w:footnoteRef/>
      </w:r>
      <w:r>
        <w:rPr>
          <w:sz w:val="20"/>
          <w:szCs w:val="20"/>
        </w:rPr>
        <w:t xml:space="preserve"> Europejski Komitet do Spraw Zapobiegania Torturom oraz Nieludzkiemu lub Poniżającemu Traktowaniu albo Karaniu (CPT), </w:t>
      </w:r>
      <w:r>
        <w:rPr>
          <w:bCs/>
          <w:i/>
          <w:iCs/>
          <w:sz w:val="20"/>
          <w:szCs w:val="20"/>
        </w:rPr>
        <w:t>Zatrzymanie przez organy egzekwujące prawo</w:t>
      </w:r>
      <w:r>
        <w:rPr>
          <w:bCs/>
          <w:sz w:val="20"/>
          <w:szCs w:val="20"/>
        </w:rPr>
        <w:t>:</w:t>
      </w:r>
      <w:r>
        <w:rPr>
          <w:bCs/>
          <w:i/>
          <w:sz w:val="20"/>
          <w:szCs w:val="20"/>
        </w:rPr>
        <w:t xml:space="preserve"> </w:t>
      </w:r>
      <w:r>
        <w:rPr>
          <w:iCs/>
          <w:sz w:val="20"/>
          <w:szCs w:val="20"/>
        </w:rPr>
        <w:t>Fragment 2.</w:t>
      </w:r>
      <w:r>
        <w:rPr>
          <w:i/>
          <w:iCs/>
          <w:sz w:val="20"/>
          <w:szCs w:val="20"/>
        </w:rPr>
        <w:t xml:space="preserve"> sprawozdania ogólnego </w:t>
      </w:r>
      <w:r>
        <w:rPr>
          <w:sz w:val="20"/>
          <w:szCs w:val="20"/>
        </w:rPr>
        <w:t>[CPT/Inf(92) 3 (2007), pkt 38.</w:t>
      </w:r>
    </w:p>
  </w:footnote>
  <w:footnote w:id="7">
    <w:p w14:paraId="6E7103D2" w14:textId="77777777" w:rsidR="00170D05" w:rsidRPr="0005672A" w:rsidRDefault="00170D05" w:rsidP="00C71F2C">
      <w:pPr>
        <w:pStyle w:val="JuPara"/>
        <w:ind w:firstLine="0"/>
        <w:rPr>
          <w:rFonts w:cstheme="minorHAnsi"/>
          <w:sz w:val="20"/>
          <w:szCs w:val="20"/>
        </w:rPr>
      </w:pPr>
      <w:r>
        <w:rPr>
          <w:rStyle w:val="Odwoanieprzypisudolnego"/>
          <w:rFonts w:cstheme="minorHAnsi"/>
          <w:sz w:val="20"/>
          <w:szCs w:val="20"/>
        </w:rPr>
        <w:footnoteRef/>
      </w:r>
      <w:r>
        <w:rPr>
          <w:sz w:val="20"/>
          <w:szCs w:val="20"/>
        </w:rPr>
        <w:t xml:space="preserve"> Europejski Komitet do Spraw Zapobiegania Torturom oraz Nieludzkiemu lub Poniżającemu Traktowaniu albo Karaniu, </w:t>
      </w:r>
      <w:r>
        <w:rPr>
          <w:bCs/>
          <w:i/>
          <w:sz w:val="20"/>
          <w:szCs w:val="20"/>
        </w:rPr>
        <w:t xml:space="preserve">Dostęp do adwokata jako środek zapobiegający złemu traktowaniu: </w:t>
      </w:r>
      <w:r w:rsidRPr="00DA45CF">
        <w:rPr>
          <w:i/>
          <w:iCs/>
          <w:sz w:val="20"/>
          <w:szCs w:val="20"/>
        </w:rPr>
        <w:t>Wyciąg z 21</w:t>
      </w:r>
      <w:r>
        <w:rPr>
          <w:iCs/>
          <w:sz w:val="20"/>
          <w:szCs w:val="20"/>
        </w:rPr>
        <w:t>.</w:t>
      </w:r>
      <w:r>
        <w:rPr>
          <w:i/>
          <w:iCs/>
          <w:sz w:val="20"/>
          <w:szCs w:val="20"/>
        </w:rPr>
        <w:t xml:space="preserve"> sprawozdania ogólnego </w:t>
      </w:r>
      <w:r>
        <w:rPr>
          <w:sz w:val="20"/>
          <w:szCs w:val="20"/>
        </w:rPr>
        <w:t>[CPT/Inf(2011) 28 (2011), pkt 24.</w:t>
      </w:r>
    </w:p>
  </w:footnote>
  <w:footnote w:id="8">
    <w:p w14:paraId="00AC798B" w14:textId="77777777" w:rsidR="00170D05" w:rsidRPr="0005672A" w:rsidRDefault="00170D05" w:rsidP="00C71F2C">
      <w:pPr>
        <w:pStyle w:val="JuPara"/>
        <w:ind w:firstLine="0"/>
        <w:rPr>
          <w:rFonts w:cstheme="minorHAnsi"/>
          <w:sz w:val="20"/>
          <w:szCs w:val="20"/>
        </w:rPr>
      </w:pPr>
      <w:r>
        <w:rPr>
          <w:rStyle w:val="Odwoanieprzypisudolnego"/>
          <w:rFonts w:cstheme="minorHAnsi"/>
          <w:sz w:val="20"/>
          <w:szCs w:val="20"/>
        </w:rPr>
        <w:footnoteRef/>
      </w:r>
      <w:r>
        <w:rPr>
          <w:sz w:val="20"/>
          <w:szCs w:val="20"/>
        </w:rPr>
        <w:t xml:space="preserve"> Rada Praw Człowieka ONZ, </w:t>
      </w:r>
      <w:r>
        <w:rPr>
          <w:i/>
          <w:sz w:val="20"/>
          <w:szCs w:val="20"/>
        </w:rPr>
        <w:t>Sprawozdanie specjalnego sprawozdawcy ONZ ds. niezawisłości sędziów i prawników dotyczące misji specjalnego sprawozdawcy</w:t>
      </w:r>
      <w:r>
        <w:rPr>
          <w:i/>
          <w:sz w:val="20"/>
          <w:szCs w:val="20"/>
        </w:rPr>
        <w:br/>
        <w:t>w Zjednoczonym Królestwie</w:t>
      </w:r>
      <w:r>
        <w:rPr>
          <w:sz w:val="20"/>
          <w:szCs w:val="20"/>
        </w:rPr>
        <w:t xml:space="preserve"> E/CN.4/1998/39/Add.4 (1998), pkt 47.</w:t>
      </w:r>
    </w:p>
  </w:footnote>
  <w:footnote w:id="9">
    <w:p w14:paraId="73BF6C7C" w14:textId="77777777" w:rsidR="00170D05" w:rsidRPr="00BE1719" w:rsidRDefault="00170D05" w:rsidP="00E6711E">
      <w:pPr>
        <w:rPr>
          <w:rFonts w:ascii="Times New Roman" w:eastAsia="Times New Roman" w:hAnsi="Times New Roman" w:cs="Times New Roman"/>
          <w:sz w:val="20"/>
          <w:szCs w:val="20"/>
        </w:rPr>
      </w:pPr>
      <w:r>
        <w:rPr>
          <w:rStyle w:val="Odwoanieprzypisudolnego"/>
        </w:rPr>
        <w:footnoteRef/>
      </w:r>
      <w:r>
        <w:t xml:space="preserve"> </w:t>
      </w:r>
      <w:r>
        <w:rPr>
          <w:rFonts w:ascii="Times New Roman" w:hAnsi="Times New Roman"/>
          <w:color w:val="111111"/>
          <w:sz w:val="20"/>
          <w:szCs w:val="20"/>
        </w:rPr>
        <w:t xml:space="preserve">A.F. Koni, </w:t>
      </w:r>
      <w:r>
        <w:rPr>
          <w:rFonts w:ascii="Times New Roman" w:hAnsi="Times New Roman"/>
          <w:i/>
          <w:color w:val="111111"/>
          <w:sz w:val="20"/>
          <w:szCs w:val="20"/>
        </w:rPr>
        <w:t>Nravstvennye nachala v ugolovnom protsesse</w:t>
      </w:r>
      <w:r>
        <w:rPr>
          <w:rFonts w:ascii="Times New Roman" w:hAnsi="Times New Roman"/>
          <w:color w:val="111111"/>
          <w:sz w:val="20"/>
          <w:szCs w:val="20"/>
        </w:rPr>
        <w:t xml:space="preserve"> </w:t>
      </w:r>
      <w:r>
        <w:rPr>
          <w:rFonts w:ascii="Times New Roman" w:hAnsi="Times New Roman"/>
          <w:sz w:val="20"/>
          <w:szCs w:val="20"/>
        </w:rPr>
        <w:t>,</w:t>
      </w:r>
      <w:r>
        <w:rPr>
          <w:rFonts w:ascii="Times New Roman" w:hAnsi="Times New Roman"/>
          <w:color w:val="333333"/>
          <w:sz w:val="20"/>
          <w:szCs w:val="20"/>
          <w:shd w:val="clear" w:color="auto" w:fill="FFFFFF"/>
        </w:rPr>
        <w:t>M.:Izdatelstvo Yurayt 2016.</w:t>
      </w:r>
    </w:p>
  </w:footnote>
  <w:footnote w:id="10">
    <w:p w14:paraId="11B1CA96" w14:textId="77777777" w:rsidR="00170D05" w:rsidRPr="0005672A" w:rsidRDefault="00170D05" w:rsidP="00E6711E">
      <w:pPr>
        <w:pStyle w:val="JuPara"/>
        <w:ind w:firstLine="0"/>
        <w:rPr>
          <w:rFonts w:cstheme="minorHAnsi"/>
          <w:sz w:val="20"/>
          <w:szCs w:val="20"/>
        </w:rPr>
      </w:pPr>
      <w:r>
        <w:rPr>
          <w:rStyle w:val="Odwoanieprzypisudolnego"/>
          <w:rFonts w:cstheme="minorHAnsi"/>
          <w:sz w:val="20"/>
          <w:szCs w:val="20"/>
        </w:rPr>
        <w:footnoteRef/>
      </w:r>
      <w:r>
        <w:rPr>
          <w:sz w:val="20"/>
          <w:szCs w:val="20"/>
        </w:rPr>
        <w:t xml:space="preserve"> </w:t>
      </w:r>
      <w:r w:rsidRPr="00A63CEA">
        <w:rPr>
          <w:i/>
          <w:sz w:val="20"/>
          <w:szCs w:val="20"/>
        </w:rPr>
        <w:t>Ibid</w:t>
      </w:r>
      <w:r>
        <w:rPr>
          <w:sz w:val="20"/>
          <w:szCs w:val="20"/>
        </w:rPr>
        <w:t>.</w:t>
      </w:r>
    </w:p>
  </w:footnote>
  <w:footnote w:id="11">
    <w:p w14:paraId="6CB58CF8" w14:textId="77777777" w:rsidR="00170D05" w:rsidRPr="007B3E9C" w:rsidRDefault="00170D05" w:rsidP="00E6711E">
      <w:pPr>
        <w:rPr>
          <w:rFonts w:ascii="Times New Roman" w:eastAsia="Times New Roman" w:hAnsi="Times New Roman" w:cs="Times New Roman"/>
          <w:sz w:val="20"/>
          <w:szCs w:val="20"/>
        </w:rPr>
      </w:pPr>
      <w:r>
        <w:rPr>
          <w:rStyle w:val="Odwoanieprzypisudolnego"/>
          <w:rFonts w:cstheme="minorHAnsi"/>
          <w:sz w:val="20"/>
          <w:szCs w:val="20"/>
        </w:rPr>
        <w:footnoteRef/>
      </w:r>
      <w:r>
        <w:rPr>
          <w:sz w:val="20"/>
          <w:szCs w:val="20"/>
        </w:rPr>
        <w:t xml:space="preserve"> </w:t>
      </w:r>
      <w:hyperlink r:id="rId2" w:history="1">
        <w:r>
          <w:rPr>
            <w:rStyle w:val="Hipercze"/>
            <w:rFonts w:ascii="Times New Roman" w:hAnsi="Times New Roman"/>
            <w:sz w:val="20"/>
            <w:szCs w:val="20"/>
          </w:rPr>
          <w:t>Jaroslav Hašek</w:t>
        </w:r>
      </w:hyperlink>
      <w:r>
        <w:t xml:space="preserve"> </w:t>
      </w:r>
      <w:r>
        <w:rPr>
          <w:i/>
          <w:iCs/>
        </w:rPr>
        <w:t>Przygody dobrego wojaka Szwejka</w:t>
      </w:r>
      <w:r>
        <w:t xml:space="preserve">, Księga Druga </w:t>
      </w:r>
      <w:r>
        <w:rPr>
          <w:shd w:val="clear" w:color="auto" w:fill="FFFFFF"/>
        </w:rPr>
        <w:t>(AuthorHouse, 1997)</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840082" w14:textId="77777777" w:rsidR="00170D05" w:rsidRPr="00A45145" w:rsidRDefault="00170D05" w:rsidP="00BF337E">
    <w:pPr>
      <w:jc w:val="center"/>
    </w:pPr>
    <w:r>
      <w:rPr>
        <w:noProof/>
        <w:lang w:eastAsia="pl-PL"/>
      </w:rPr>
      <w:drawing>
        <wp:inline distT="0" distB="0" distL="0" distR="0" wp14:anchorId="6468AF74" wp14:editId="1F1FD68D">
          <wp:extent cx="2962275" cy="1219200"/>
          <wp:effectExtent l="0" t="0" r="9525" b="0"/>
          <wp:docPr id="48" name="Picture 4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31455AB" w14:textId="77777777" w:rsidR="00170D05" w:rsidRPr="00085457" w:rsidRDefault="00170D05" w:rsidP="00BF337E">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674912" w14:textId="77777777" w:rsidR="00170D05" w:rsidRPr="00A45145" w:rsidRDefault="00170D05" w:rsidP="00BF337E">
    <w:pPr>
      <w:jc w:val="center"/>
    </w:pPr>
    <w:r>
      <w:rPr>
        <w:noProof/>
        <w:lang w:eastAsia="pl-PL"/>
      </w:rPr>
      <w:drawing>
        <wp:inline distT="0" distB="0" distL="0" distR="0" wp14:anchorId="757D02FB" wp14:editId="57E83EE2">
          <wp:extent cx="2962275" cy="1219200"/>
          <wp:effectExtent l="0" t="0" r="9525" b="0"/>
          <wp:docPr id="47" name="Picture 4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46B0803" w14:textId="77777777" w:rsidR="00170D05" w:rsidRPr="00085457" w:rsidRDefault="00170D0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B71AB4" w14:textId="77777777" w:rsidR="00170D05" w:rsidRPr="004D0EC7" w:rsidRDefault="00170D05" w:rsidP="004D0EC7">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24</w:t>
    </w:r>
    <w:r>
      <w:rPr>
        <w:rStyle w:val="Numerstrony"/>
      </w:rPr>
      <w:fldChar w:fldCharType="end"/>
    </w:r>
    <w:r>
      <w:tab/>
      <w:t>WYROK W SPRAWIE DOYLE przeciwko IRLANDII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D25CC4" w14:textId="77777777" w:rsidR="00170D05" w:rsidRPr="00882CD5" w:rsidRDefault="00170D05" w:rsidP="00F70759">
    <w:pPr>
      <w:pStyle w:val="JuHeader"/>
      <w:jc w:val="center"/>
    </w:pPr>
    <w:r>
      <w:tab/>
      <w:t>WYROK W SPRAWIE DOYLE przeciwko IRLANDII</w:t>
    </w:r>
    <w:r>
      <w:tab/>
    </w:r>
    <w:r>
      <w:rPr>
        <w:rStyle w:val="Numerstrony"/>
      </w:rPr>
      <w:fldChar w:fldCharType="begin"/>
    </w:r>
    <w:r>
      <w:rPr>
        <w:rStyle w:val="Numerstrony"/>
      </w:rPr>
      <w:instrText xml:space="preserve"> PAGE </w:instrText>
    </w:r>
    <w:r>
      <w:rPr>
        <w:rStyle w:val="Numerstrony"/>
      </w:rPr>
      <w:fldChar w:fldCharType="separate"/>
    </w:r>
    <w:r>
      <w:rPr>
        <w:rStyle w:val="Numerstrony"/>
        <w:noProof/>
      </w:rPr>
      <w:t>23</w:t>
    </w:r>
    <w:r>
      <w:rPr>
        <w:rStyle w:val="Numerstrony"/>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48128" w14:textId="77777777" w:rsidR="00170D05" w:rsidRPr="002D599D" w:rsidRDefault="00170D05" w:rsidP="00BF337E">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38</w:t>
    </w:r>
    <w:r>
      <w:rPr>
        <w:rStyle w:val="Numerstrony"/>
      </w:rPr>
      <w:fldChar w:fldCharType="end"/>
    </w:r>
    <w:r>
      <w:tab/>
      <w:t>WYROK W SPRAWIE DOYLE PRZECIWKO IRLANDII – OPINIA ODRĘBNA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F64954" w14:textId="77777777" w:rsidR="00170D05" w:rsidRPr="002D599D" w:rsidRDefault="00170D05" w:rsidP="00BF337E">
    <w:pPr>
      <w:pStyle w:val="JuHeader"/>
    </w:pPr>
    <w:r w:rsidRPr="002D599D">
      <w:tab/>
    </w:r>
    <w:r>
      <w:t>WYROK W SPRAWIE DOYLE PRZECIWKO IRLANDII – OPINIA ODRĘBNA</w:t>
    </w:r>
    <w:r>
      <w:tab/>
    </w:r>
    <w:r>
      <w:rPr>
        <w:rStyle w:val="Numerstrony"/>
      </w:rPr>
      <w:fldChar w:fldCharType="begin"/>
    </w:r>
    <w:r>
      <w:rPr>
        <w:rStyle w:val="Numerstrony"/>
      </w:rPr>
      <w:instrText xml:space="preserve"> PAGE </w:instrText>
    </w:r>
    <w:r>
      <w:rPr>
        <w:rStyle w:val="Numerstrony"/>
      </w:rPr>
      <w:fldChar w:fldCharType="separate"/>
    </w:r>
    <w:r>
      <w:rPr>
        <w:rStyle w:val="Numerstrony"/>
        <w:noProof/>
      </w:rPr>
      <w:t>39</w:t>
    </w:r>
    <w:r>
      <w:rPr>
        <w:rStyle w:val="Numerstrony"/>
      </w:rPr>
      <w:fldChar w:fldCharType="end"/>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B7886602"/>
    <w:lvl w:ilvl="0">
      <w:start w:val="1"/>
      <w:numFmt w:val="none"/>
      <w:pStyle w:val="JuHHead"/>
      <w:suff w:val="nothing"/>
      <w:lvlText w:val=""/>
      <w:lvlJc w:val="left"/>
      <w:pPr>
        <w:ind w:left="284" w:firstLine="0"/>
      </w:pPr>
      <w:rPr>
        <w:rFonts w:hint="default"/>
      </w:rPr>
    </w:lvl>
    <w:lvl w:ilvl="1">
      <w:start w:val="1"/>
      <w:numFmt w:val="upperRoman"/>
      <w:pStyle w:val="JuHIRoman"/>
      <w:suff w:val="space"/>
      <w:lvlText w:val="%2."/>
      <w:lvlJc w:val="left"/>
      <w:pPr>
        <w:ind w:left="641" w:hanging="357"/>
      </w:pPr>
      <w:rPr>
        <w:rFonts w:hint="default"/>
        <w:sz w:val="24"/>
      </w:rPr>
    </w:lvl>
    <w:lvl w:ilvl="2">
      <w:start w:val="1"/>
      <w:numFmt w:val="upperLetter"/>
      <w:pStyle w:val="JuHA"/>
      <w:lvlText w:val="%3."/>
      <w:lvlJc w:val="left"/>
      <w:pPr>
        <w:ind w:left="868" w:hanging="352"/>
      </w:pPr>
      <w:rPr>
        <w:rFonts w:hint="default"/>
      </w:rPr>
    </w:lvl>
    <w:lvl w:ilvl="3">
      <w:start w:val="1"/>
      <w:numFmt w:val="decimal"/>
      <w:pStyle w:val="JuH1"/>
      <w:lvlText w:val="%4."/>
      <w:lvlJc w:val="left"/>
      <w:pPr>
        <w:ind w:left="1015" w:hanging="300"/>
      </w:pPr>
      <w:rPr>
        <w:rFonts w:hint="default"/>
      </w:rPr>
    </w:lvl>
    <w:lvl w:ilvl="4">
      <w:start w:val="1"/>
      <w:numFmt w:val="lowerLetter"/>
      <w:pStyle w:val="JuHa0"/>
      <w:lvlText w:val="(%5)"/>
      <w:lvlJc w:val="left"/>
      <w:pPr>
        <w:ind w:left="1259" w:hanging="340"/>
      </w:pPr>
      <w:rPr>
        <w:rFonts w:hint="default"/>
      </w:rPr>
    </w:lvl>
    <w:lvl w:ilvl="5">
      <w:start w:val="1"/>
      <w:numFmt w:val="lowerRoman"/>
      <w:pStyle w:val="JuHi"/>
      <w:suff w:val="space"/>
      <w:lvlText w:val="(%6)"/>
      <w:lvlJc w:val="left"/>
      <w:pPr>
        <w:ind w:left="1475" w:hanging="358"/>
      </w:pPr>
      <w:rPr>
        <w:rFonts w:hint="default"/>
      </w:rPr>
    </w:lvl>
    <w:lvl w:ilvl="6">
      <w:start w:val="1"/>
      <w:numFmt w:val="lowerLetter"/>
      <w:pStyle w:val="JuHalpha"/>
      <w:lvlText w:val="(%7)"/>
      <w:lvlJc w:val="left"/>
      <w:pPr>
        <w:ind w:left="1656" w:hanging="334"/>
      </w:pPr>
      <w:rPr>
        <w:rFonts w:ascii="Symbol" w:hAnsi="Symbol" w:hint="default"/>
        <w:sz w:val="20"/>
      </w:rPr>
    </w:lvl>
    <w:lvl w:ilvl="7">
      <w:start w:val="1"/>
      <w:numFmt w:val="bullet"/>
      <w:pStyle w:val="JuH"/>
      <w:lvlText w:val="‒"/>
      <w:lvlJc w:val="left"/>
      <w:pPr>
        <w:ind w:left="1588" w:hanging="68"/>
      </w:pPr>
      <w:rPr>
        <w:rFonts w:ascii="Calibri" w:hAnsi="Calibri" w:hint="default"/>
        <w:color w:val="auto"/>
      </w:rPr>
    </w:lvl>
    <w:lvl w:ilvl="8">
      <w:start w:val="1"/>
      <w:numFmt w:val="none"/>
      <w:lvlText w:val="%9"/>
      <w:lvlJc w:val="right"/>
      <w:pPr>
        <w:ind w:left="7597" w:hanging="180"/>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characterSpacingControl w:val="doNotCompress"/>
  <w:hdrShapeDefaults>
    <o:shapedefaults v:ext="edit" spidmax="20481"/>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B3070D"/>
    <w:rsid w:val="000041F8"/>
    <w:rsid w:val="000042A8"/>
    <w:rsid w:val="00004308"/>
    <w:rsid w:val="00005BF0"/>
    <w:rsid w:val="000062CC"/>
    <w:rsid w:val="00007154"/>
    <w:rsid w:val="000103AE"/>
    <w:rsid w:val="000104BA"/>
    <w:rsid w:val="00011D69"/>
    <w:rsid w:val="00012AD3"/>
    <w:rsid w:val="00015C2D"/>
    <w:rsid w:val="00015F00"/>
    <w:rsid w:val="00016C78"/>
    <w:rsid w:val="000218E4"/>
    <w:rsid w:val="00022C1D"/>
    <w:rsid w:val="00024EBB"/>
    <w:rsid w:val="00030F31"/>
    <w:rsid w:val="00034987"/>
    <w:rsid w:val="00041560"/>
    <w:rsid w:val="00051167"/>
    <w:rsid w:val="000602DF"/>
    <w:rsid w:val="00061B05"/>
    <w:rsid w:val="000620C0"/>
    <w:rsid w:val="000632D5"/>
    <w:rsid w:val="000644EE"/>
    <w:rsid w:val="00085457"/>
    <w:rsid w:val="000925AD"/>
    <w:rsid w:val="00096FE1"/>
    <w:rsid w:val="00097A62"/>
    <w:rsid w:val="000A24EB"/>
    <w:rsid w:val="000A2BF2"/>
    <w:rsid w:val="000A6B96"/>
    <w:rsid w:val="000B686A"/>
    <w:rsid w:val="000B6923"/>
    <w:rsid w:val="000B7195"/>
    <w:rsid w:val="000C280D"/>
    <w:rsid w:val="000C4EB0"/>
    <w:rsid w:val="000C5F3C"/>
    <w:rsid w:val="000C6DCC"/>
    <w:rsid w:val="000D47AA"/>
    <w:rsid w:val="000D721F"/>
    <w:rsid w:val="000E069B"/>
    <w:rsid w:val="000E0E82"/>
    <w:rsid w:val="000E1DC5"/>
    <w:rsid w:val="000E223F"/>
    <w:rsid w:val="000E46B8"/>
    <w:rsid w:val="000E7D45"/>
    <w:rsid w:val="000F2D19"/>
    <w:rsid w:val="000F3203"/>
    <w:rsid w:val="000F430C"/>
    <w:rsid w:val="000F7851"/>
    <w:rsid w:val="000F79DD"/>
    <w:rsid w:val="00101505"/>
    <w:rsid w:val="00104E23"/>
    <w:rsid w:val="00110DA8"/>
    <w:rsid w:val="00111B0C"/>
    <w:rsid w:val="001209FC"/>
    <w:rsid w:val="00120D6C"/>
    <w:rsid w:val="001234E4"/>
    <w:rsid w:val="00124D6C"/>
    <w:rsid w:val="001257EC"/>
    <w:rsid w:val="00133D33"/>
    <w:rsid w:val="00134B6A"/>
    <w:rsid w:val="00134D64"/>
    <w:rsid w:val="00135A30"/>
    <w:rsid w:val="00135CD0"/>
    <w:rsid w:val="0013612C"/>
    <w:rsid w:val="00137FF6"/>
    <w:rsid w:val="00141650"/>
    <w:rsid w:val="001561B6"/>
    <w:rsid w:val="00157CF9"/>
    <w:rsid w:val="00161B31"/>
    <w:rsid w:val="00162A12"/>
    <w:rsid w:val="00166530"/>
    <w:rsid w:val="00167B6F"/>
    <w:rsid w:val="00170027"/>
    <w:rsid w:val="00170D05"/>
    <w:rsid w:val="001735A8"/>
    <w:rsid w:val="001814DE"/>
    <w:rsid w:val="001832BD"/>
    <w:rsid w:val="00184DF9"/>
    <w:rsid w:val="001943B5"/>
    <w:rsid w:val="00195134"/>
    <w:rsid w:val="001A145B"/>
    <w:rsid w:val="001A674C"/>
    <w:rsid w:val="001B18E4"/>
    <w:rsid w:val="001B3B24"/>
    <w:rsid w:val="001C055B"/>
    <w:rsid w:val="001C0F98"/>
    <w:rsid w:val="001C2A42"/>
    <w:rsid w:val="001D10DA"/>
    <w:rsid w:val="001D63ED"/>
    <w:rsid w:val="001D6BFF"/>
    <w:rsid w:val="001D7348"/>
    <w:rsid w:val="001E035B"/>
    <w:rsid w:val="001E0961"/>
    <w:rsid w:val="001E11DC"/>
    <w:rsid w:val="001E3EAE"/>
    <w:rsid w:val="001E6857"/>
    <w:rsid w:val="001E6ED1"/>
    <w:rsid w:val="001E6F32"/>
    <w:rsid w:val="001F0A9F"/>
    <w:rsid w:val="001F2145"/>
    <w:rsid w:val="001F6262"/>
    <w:rsid w:val="001F67B0"/>
    <w:rsid w:val="001F7B3D"/>
    <w:rsid w:val="0020335A"/>
    <w:rsid w:val="002052BC"/>
    <w:rsid w:val="00205F9F"/>
    <w:rsid w:val="00206DD1"/>
    <w:rsid w:val="00206DE9"/>
    <w:rsid w:val="00206ECA"/>
    <w:rsid w:val="00210338"/>
    <w:rsid w:val="002115FC"/>
    <w:rsid w:val="0021423C"/>
    <w:rsid w:val="00230D00"/>
    <w:rsid w:val="00231DF7"/>
    <w:rsid w:val="00231FD1"/>
    <w:rsid w:val="002339E0"/>
    <w:rsid w:val="00233AE5"/>
    <w:rsid w:val="00233CF8"/>
    <w:rsid w:val="00234141"/>
    <w:rsid w:val="0023575D"/>
    <w:rsid w:val="00237148"/>
    <w:rsid w:val="0024222D"/>
    <w:rsid w:val="002422B6"/>
    <w:rsid w:val="00242604"/>
    <w:rsid w:val="00244B0E"/>
    <w:rsid w:val="00244F6C"/>
    <w:rsid w:val="00246B89"/>
    <w:rsid w:val="002510CF"/>
    <w:rsid w:val="002528C2"/>
    <w:rsid w:val="00252C4E"/>
    <w:rsid w:val="002532C5"/>
    <w:rsid w:val="00254DF2"/>
    <w:rsid w:val="00260C03"/>
    <w:rsid w:val="0026540E"/>
    <w:rsid w:val="00265D3E"/>
    <w:rsid w:val="0027090D"/>
    <w:rsid w:val="00275123"/>
    <w:rsid w:val="00282240"/>
    <w:rsid w:val="00287AD5"/>
    <w:rsid w:val="002934D0"/>
    <w:rsid w:val="00293B7A"/>
    <w:rsid w:val="002948AD"/>
    <w:rsid w:val="002A01CC"/>
    <w:rsid w:val="002A2711"/>
    <w:rsid w:val="002A613A"/>
    <w:rsid w:val="002A61B1"/>
    <w:rsid w:val="002A663C"/>
    <w:rsid w:val="002B444B"/>
    <w:rsid w:val="002B5887"/>
    <w:rsid w:val="002C0E27"/>
    <w:rsid w:val="002C3040"/>
    <w:rsid w:val="002C4433"/>
    <w:rsid w:val="002C6EDF"/>
    <w:rsid w:val="002C7826"/>
    <w:rsid w:val="002D022D"/>
    <w:rsid w:val="002D24BB"/>
    <w:rsid w:val="002D2BFB"/>
    <w:rsid w:val="002D2FA7"/>
    <w:rsid w:val="002D47BA"/>
    <w:rsid w:val="002D77B9"/>
    <w:rsid w:val="002E46DA"/>
    <w:rsid w:val="002F2AF7"/>
    <w:rsid w:val="002F69C4"/>
    <w:rsid w:val="002F7D9E"/>
    <w:rsid w:val="002F7E1C"/>
    <w:rsid w:val="00300885"/>
    <w:rsid w:val="00301A75"/>
    <w:rsid w:val="00302F70"/>
    <w:rsid w:val="0030336F"/>
    <w:rsid w:val="0030375E"/>
    <w:rsid w:val="00312479"/>
    <w:rsid w:val="00312A30"/>
    <w:rsid w:val="00312B0B"/>
    <w:rsid w:val="00320F3E"/>
    <w:rsid w:val="00320F72"/>
    <w:rsid w:val="00323321"/>
    <w:rsid w:val="00323724"/>
    <w:rsid w:val="0032463E"/>
    <w:rsid w:val="00326224"/>
    <w:rsid w:val="00327AD4"/>
    <w:rsid w:val="00337EE4"/>
    <w:rsid w:val="00340FFD"/>
    <w:rsid w:val="00345C41"/>
    <w:rsid w:val="0035041E"/>
    <w:rsid w:val="003506B1"/>
    <w:rsid w:val="00352498"/>
    <w:rsid w:val="00352DCF"/>
    <w:rsid w:val="00355877"/>
    <w:rsid w:val="00356AC7"/>
    <w:rsid w:val="0036035E"/>
    <w:rsid w:val="003609FA"/>
    <w:rsid w:val="00362D35"/>
    <w:rsid w:val="003710C8"/>
    <w:rsid w:val="003750BE"/>
    <w:rsid w:val="00381EFC"/>
    <w:rsid w:val="00383048"/>
    <w:rsid w:val="00385F3D"/>
    <w:rsid w:val="00387B9D"/>
    <w:rsid w:val="00390272"/>
    <w:rsid w:val="00390294"/>
    <w:rsid w:val="003922A1"/>
    <w:rsid w:val="0039364F"/>
    <w:rsid w:val="003936C6"/>
    <w:rsid w:val="00394E27"/>
    <w:rsid w:val="00395A0F"/>
    <w:rsid w:val="00396686"/>
    <w:rsid w:val="0039778E"/>
    <w:rsid w:val="003B3656"/>
    <w:rsid w:val="003B4941"/>
    <w:rsid w:val="003C5714"/>
    <w:rsid w:val="003C6B9F"/>
    <w:rsid w:val="003C6E2A"/>
    <w:rsid w:val="003D0299"/>
    <w:rsid w:val="003D1A2A"/>
    <w:rsid w:val="003D66C4"/>
    <w:rsid w:val="003D6AAF"/>
    <w:rsid w:val="003D732C"/>
    <w:rsid w:val="003E22F9"/>
    <w:rsid w:val="003E296B"/>
    <w:rsid w:val="003E6D80"/>
    <w:rsid w:val="003F05FA"/>
    <w:rsid w:val="003F2327"/>
    <w:rsid w:val="003F244A"/>
    <w:rsid w:val="003F2517"/>
    <w:rsid w:val="003F30B8"/>
    <w:rsid w:val="003F4C45"/>
    <w:rsid w:val="003F5F7B"/>
    <w:rsid w:val="003F7D64"/>
    <w:rsid w:val="00404678"/>
    <w:rsid w:val="004074CA"/>
    <w:rsid w:val="004111C3"/>
    <w:rsid w:val="00414300"/>
    <w:rsid w:val="00414F27"/>
    <w:rsid w:val="004172FB"/>
    <w:rsid w:val="00420703"/>
    <w:rsid w:val="00425C67"/>
    <w:rsid w:val="00425EF4"/>
    <w:rsid w:val="00426D77"/>
    <w:rsid w:val="00427E7A"/>
    <w:rsid w:val="004355AC"/>
    <w:rsid w:val="00436C49"/>
    <w:rsid w:val="00440B0B"/>
    <w:rsid w:val="00443D98"/>
    <w:rsid w:val="00445366"/>
    <w:rsid w:val="00447F5B"/>
    <w:rsid w:val="00451359"/>
    <w:rsid w:val="00461DB0"/>
    <w:rsid w:val="00463926"/>
    <w:rsid w:val="00464C9A"/>
    <w:rsid w:val="00473601"/>
    <w:rsid w:val="00474F3D"/>
    <w:rsid w:val="00477E3A"/>
    <w:rsid w:val="00482E20"/>
    <w:rsid w:val="00483E5F"/>
    <w:rsid w:val="00485CB6"/>
    <w:rsid w:val="00485E11"/>
    <w:rsid w:val="00485FF9"/>
    <w:rsid w:val="0048639F"/>
    <w:rsid w:val="004907F0"/>
    <w:rsid w:val="0049140B"/>
    <w:rsid w:val="004923A5"/>
    <w:rsid w:val="0049310E"/>
    <w:rsid w:val="00495BE2"/>
    <w:rsid w:val="00496BFB"/>
    <w:rsid w:val="004A15C7"/>
    <w:rsid w:val="004A4CEA"/>
    <w:rsid w:val="004B013B"/>
    <w:rsid w:val="004B0C78"/>
    <w:rsid w:val="004B112B"/>
    <w:rsid w:val="004B40FB"/>
    <w:rsid w:val="004B425B"/>
    <w:rsid w:val="004B444E"/>
    <w:rsid w:val="004B618C"/>
    <w:rsid w:val="004C01E4"/>
    <w:rsid w:val="004C086C"/>
    <w:rsid w:val="004C1F56"/>
    <w:rsid w:val="004C27BC"/>
    <w:rsid w:val="004C5CDA"/>
    <w:rsid w:val="004D0EC7"/>
    <w:rsid w:val="004D15F3"/>
    <w:rsid w:val="004D4EF1"/>
    <w:rsid w:val="004D5311"/>
    <w:rsid w:val="004D5DCC"/>
    <w:rsid w:val="004D7E45"/>
    <w:rsid w:val="004E5E6B"/>
    <w:rsid w:val="004F0D85"/>
    <w:rsid w:val="004F10AF"/>
    <w:rsid w:val="004F11A4"/>
    <w:rsid w:val="004F2389"/>
    <w:rsid w:val="004F304D"/>
    <w:rsid w:val="004F61BE"/>
    <w:rsid w:val="004F66B1"/>
    <w:rsid w:val="004F699F"/>
    <w:rsid w:val="00510768"/>
    <w:rsid w:val="00511C07"/>
    <w:rsid w:val="005125CB"/>
    <w:rsid w:val="005173A6"/>
    <w:rsid w:val="00520354"/>
    <w:rsid w:val="00520BAA"/>
    <w:rsid w:val="005217D8"/>
    <w:rsid w:val="00525208"/>
    <w:rsid w:val="005257A5"/>
    <w:rsid w:val="005264C0"/>
    <w:rsid w:val="00526A8A"/>
    <w:rsid w:val="00530FE6"/>
    <w:rsid w:val="00531DF2"/>
    <w:rsid w:val="00534DCC"/>
    <w:rsid w:val="005370D8"/>
    <w:rsid w:val="00537476"/>
    <w:rsid w:val="005425F8"/>
    <w:rsid w:val="00543462"/>
    <w:rsid w:val="005442EE"/>
    <w:rsid w:val="00545DA6"/>
    <w:rsid w:val="00547353"/>
    <w:rsid w:val="005474E7"/>
    <w:rsid w:val="005501AC"/>
    <w:rsid w:val="005512A3"/>
    <w:rsid w:val="00552C2A"/>
    <w:rsid w:val="005533C5"/>
    <w:rsid w:val="005578CE"/>
    <w:rsid w:val="00562781"/>
    <w:rsid w:val="00562B6C"/>
    <w:rsid w:val="005645F0"/>
    <w:rsid w:val="0057271C"/>
    <w:rsid w:val="00572845"/>
    <w:rsid w:val="00572B79"/>
    <w:rsid w:val="00583B8D"/>
    <w:rsid w:val="005879A2"/>
    <w:rsid w:val="00592772"/>
    <w:rsid w:val="00592A27"/>
    <w:rsid w:val="0059574A"/>
    <w:rsid w:val="005A1B9B"/>
    <w:rsid w:val="005A2E79"/>
    <w:rsid w:val="005A4042"/>
    <w:rsid w:val="005A6751"/>
    <w:rsid w:val="005B092E"/>
    <w:rsid w:val="005B152C"/>
    <w:rsid w:val="005B1EE0"/>
    <w:rsid w:val="005B2ADC"/>
    <w:rsid w:val="005B2B24"/>
    <w:rsid w:val="005B4425"/>
    <w:rsid w:val="005B4B94"/>
    <w:rsid w:val="005C3EE8"/>
    <w:rsid w:val="005D281D"/>
    <w:rsid w:val="005D34F9"/>
    <w:rsid w:val="005D4190"/>
    <w:rsid w:val="005D5480"/>
    <w:rsid w:val="005D67A3"/>
    <w:rsid w:val="005E2988"/>
    <w:rsid w:val="005E2BF0"/>
    <w:rsid w:val="005E3085"/>
    <w:rsid w:val="005F1B3A"/>
    <w:rsid w:val="005F51E1"/>
    <w:rsid w:val="00611C80"/>
    <w:rsid w:val="006203DF"/>
    <w:rsid w:val="00620692"/>
    <w:rsid w:val="00621950"/>
    <w:rsid w:val="006242CA"/>
    <w:rsid w:val="00627507"/>
    <w:rsid w:val="00633717"/>
    <w:rsid w:val="006344E1"/>
    <w:rsid w:val="00643524"/>
    <w:rsid w:val="0064393B"/>
    <w:rsid w:val="00650D26"/>
    <w:rsid w:val="006545C4"/>
    <w:rsid w:val="00661971"/>
    <w:rsid w:val="00661CE8"/>
    <w:rsid w:val="006623D9"/>
    <w:rsid w:val="0066365E"/>
    <w:rsid w:val="006642A5"/>
    <w:rsid w:val="0066550C"/>
    <w:rsid w:val="00665BD2"/>
    <w:rsid w:val="006716F2"/>
    <w:rsid w:val="00682BF2"/>
    <w:rsid w:val="0068573E"/>
    <w:rsid w:val="006859CE"/>
    <w:rsid w:val="00691270"/>
    <w:rsid w:val="006924B1"/>
    <w:rsid w:val="00694BA8"/>
    <w:rsid w:val="00696E6B"/>
    <w:rsid w:val="006971E1"/>
    <w:rsid w:val="006A037C"/>
    <w:rsid w:val="006A0586"/>
    <w:rsid w:val="006A36F4"/>
    <w:rsid w:val="006A406F"/>
    <w:rsid w:val="006A5BC3"/>
    <w:rsid w:val="006A5D3A"/>
    <w:rsid w:val="006A6785"/>
    <w:rsid w:val="006B567B"/>
    <w:rsid w:val="006B68DF"/>
    <w:rsid w:val="006C23D4"/>
    <w:rsid w:val="006C3862"/>
    <w:rsid w:val="006C6708"/>
    <w:rsid w:val="006C67E4"/>
    <w:rsid w:val="006C7BB0"/>
    <w:rsid w:val="006D3237"/>
    <w:rsid w:val="006D79B0"/>
    <w:rsid w:val="006E2E37"/>
    <w:rsid w:val="006E3CF1"/>
    <w:rsid w:val="006E4761"/>
    <w:rsid w:val="006E546E"/>
    <w:rsid w:val="006E7E80"/>
    <w:rsid w:val="006F48CA"/>
    <w:rsid w:val="006F5703"/>
    <w:rsid w:val="006F64DD"/>
    <w:rsid w:val="006F712D"/>
    <w:rsid w:val="00711525"/>
    <w:rsid w:val="00715127"/>
    <w:rsid w:val="00715E8E"/>
    <w:rsid w:val="007229EE"/>
    <w:rsid w:val="00723580"/>
    <w:rsid w:val="00723755"/>
    <w:rsid w:val="0073136C"/>
    <w:rsid w:val="00731F0F"/>
    <w:rsid w:val="00733250"/>
    <w:rsid w:val="007413F3"/>
    <w:rsid w:val="00741404"/>
    <w:rsid w:val="007449E5"/>
    <w:rsid w:val="0074750E"/>
    <w:rsid w:val="00747FF0"/>
    <w:rsid w:val="0075663C"/>
    <w:rsid w:val="00761408"/>
    <w:rsid w:val="00761E44"/>
    <w:rsid w:val="00763602"/>
    <w:rsid w:val="00764D4E"/>
    <w:rsid w:val="00765A1F"/>
    <w:rsid w:val="00774F01"/>
    <w:rsid w:val="00775B6D"/>
    <w:rsid w:val="00776D68"/>
    <w:rsid w:val="0078323E"/>
    <w:rsid w:val="007850EE"/>
    <w:rsid w:val="00785B95"/>
    <w:rsid w:val="0078694D"/>
    <w:rsid w:val="00790E96"/>
    <w:rsid w:val="00791932"/>
    <w:rsid w:val="00793366"/>
    <w:rsid w:val="007954D6"/>
    <w:rsid w:val="007A716F"/>
    <w:rsid w:val="007B270A"/>
    <w:rsid w:val="007B4182"/>
    <w:rsid w:val="007C0695"/>
    <w:rsid w:val="007C419A"/>
    <w:rsid w:val="007C4CC8"/>
    <w:rsid w:val="007C5426"/>
    <w:rsid w:val="007C5798"/>
    <w:rsid w:val="007D16AD"/>
    <w:rsid w:val="007D1ECD"/>
    <w:rsid w:val="007D4832"/>
    <w:rsid w:val="007D7321"/>
    <w:rsid w:val="007E21B2"/>
    <w:rsid w:val="007E2811"/>
    <w:rsid w:val="007E2C4E"/>
    <w:rsid w:val="007E2C8C"/>
    <w:rsid w:val="007E51BA"/>
    <w:rsid w:val="007E54FF"/>
    <w:rsid w:val="007E550F"/>
    <w:rsid w:val="007E7126"/>
    <w:rsid w:val="007F1905"/>
    <w:rsid w:val="007F554E"/>
    <w:rsid w:val="00802C64"/>
    <w:rsid w:val="008047E8"/>
    <w:rsid w:val="00805E52"/>
    <w:rsid w:val="008061D0"/>
    <w:rsid w:val="00810B38"/>
    <w:rsid w:val="00810C42"/>
    <w:rsid w:val="008154AC"/>
    <w:rsid w:val="00816138"/>
    <w:rsid w:val="008204C7"/>
    <w:rsid w:val="00820992"/>
    <w:rsid w:val="00823602"/>
    <w:rsid w:val="008236B3"/>
    <w:rsid w:val="00824831"/>
    <w:rsid w:val="008255F5"/>
    <w:rsid w:val="0083014E"/>
    <w:rsid w:val="0083214A"/>
    <w:rsid w:val="00834220"/>
    <w:rsid w:val="00843A36"/>
    <w:rsid w:val="00844C91"/>
    <w:rsid w:val="00845723"/>
    <w:rsid w:val="008471AB"/>
    <w:rsid w:val="008519E7"/>
    <w:rsid w:val="00851EF9"/>
    <w:rsid w:val="008532EE"/>
    <w:rsid w:val="008577C4"/>
    <w:rsid w:val="008577FD"/>
    <w:rsid w:val="00860B03"/>
    <w:rsid w:val="00863BAC"/>
    <w:rsid w:val="0086497A"/>
    <w:rsid w:val="00867066"/>
    <w:rsid w:val="008713A1"/>
    <w:rsid w:val="00872584"/>
    <w:rsid w:val="008754AB"/>
    <w:rsid w:val="0088060C"/>
    <w:rsid w:val="00882CD5"/>
    <w:rsid w:val="00883151"/>
    <w:rsid w:val="00893576"/>
    <w:rsid w:val="00893E73"/>
    <w:rsid w:val="008A318C"/>
    <w:rsid w:val="008B02DC"/>
    <w:rsid w:val="008B57CE"/>
    <w:rsid w:val="008C26DE"/>
    <w:rsid w:val="008C3693"/>
    <w:rsid w:val="008D2225"/>
    <w:rsid w:val="008D4752"/>
    <w:rsid w:val="008D5A13"/>
    <w:rsid w:val="008E271C"/>
    <w:rsid w:val="008E3A08"/>
    <w:rsid w:val="008E418E"/>
    <w:rsid w:val="008E5823"/>
    <w:rsid w:val="008E5BC6"/>
    <w:rsid w:val="008E6217"/>
    <w:rsid w:val="008E6A25"/>
    <w:rsid w:val="008F2554"/>
    <w:rsid w:val="008F3AEC"/>
    <w:rsid w:val="008F4D80"/>
    <w:rsid w:val="008F5193"/>
    <w:rsid w:val="008F6B36"/>
    <w:rsid w:val="008F7C2A"/>
    <w:rsid w:val="009013A7"/>
    <w:rsid w:val="009017FB"/>
    <w:rsid w:val="009017FC"/>
    <w:rsid w:val="0090506B"/>
    <w:rsid w:val="009050C9"/>
    <w:rsid w:val="009058D6"/>
    <w:rsid w:val="009066FC"/>
    <w:rsid w:val="009140A3"/>
    <w:rsid w:val="009144A2"/>
    <w:rsid w:val="0091510C"/>
    <w:rsid w:val="009259AC"/>
    <w:rsid w:val="00926F38"/>
    <w:rsid w:val="00927BEB"/>
    <w:rsid w:val="00934301"/>
    <w:rsid w:val="00936CD1"/>
    <w:rsid w:val="00941747"/>
    <w:rsid w:val="00941EFB"/>
    <w:rsid w:val="009430BD"/>
    <w:rsid w:val="009455AA"/>
    <w:rsid w:val="00947AFB"/>
    <w:rsid w:val="00951AA3"/>
    <w:rsid w:val="00951D7D"/>
    <w:rsid w:val="00956D0C"/>
    <w:rsid w:val="00957264"/>
    <w:rsid w:val="00957C84"/>
    <w:rsid w:val="009630C7"/>
    <w:rsid w:val="00965A3C"/>
    <w:rsid w:val="00972B55"/>
    <w:rsid w:val="009743B7"/>
    <w:rsid w:val="00976825"/>
    <w:rsid w:val="0098228B"/>
    <w:rsid w:val="009828DA"/>
    <w:rsid w:val="009833F9"/>
    <w:rsid w:val="0098410D"/>
    <w:rsid w:val="00985BAB"/>
    <w:rsid w:val="00986B3C"/>
    <w:rsid w:val="009873FD"/>
    <w:rsid w:val="009A2817"/>
    <w:rsid w:val="009A335F"/>
    <w:rsid w:val="009B1B5F"/>
    <w:rsid w:val="009B6673"/>
    <w:rsid w:val="009C191B"/>
    <w:rsid w:val="009C2BD6"/>
    <w:rsid w:val="009D16AB"/>
    <w:rsid w:val="009E1F32"/>
    <w:rsid w:val="009E2CC2"/>
    <w:rsid w:val="009E776C"/>
    <w:rsid w:val="009F003C"/>
    <w:rsid w:val="009F4C8F"/>
    <w:rsid w:val="00A0238E"/>
    <w:rsid w:val="00A05588"/>
    <w:rsid w:val="00A12FB3"/>
    <w:rsid w:val="00A1726E"/>
    <w:rsid w:val="00A204CF"/>
    <w:rsid w:val="00A21D2B"/>
    <w:rsid w:val="00A22518"/>
    <w:rsid w:val="00A23D49"/>
    <w:rsid w:val="00A27004"/>
    <w:rsid w:val="00A308CE"/>
    <w:rsid w:val="00A30C29"/>
    <w:rsid w:val="00A315D7"/>
    <w:rsid w:val="00A34DD6"/>
    <w:rsid w:val="00A36819"/>
    <w:rsid w:val="00A36989"/>
    <w:rsid w:val="00A40DC3"/>
    <w:rsid w:val="00A43628"/>
    <w:rsid w:val="00A46B6F"/>
    <w:rsid w:val="00A51D0F"/>
    <w:rsid w:val="00A54192"/>
    <w:rsid w:val="00A54EC8"/>
    <w:rsid w:val="00A57147"/>
    <w:rsid w:val="00A6035E"/>
    <w:rsid w:val="00A6144C"/>
    <w:rsid w:val="00A62E08"/>
    <w:rsid w:val="00A63CEA"/>
    <w:rsid w:val="00A66617"/>
    <w:rsid w:val="00A671F8"/>
    <w:rsid w:val="00A673A4"/>
    <w:rsid w:val="00A724AE"/>
    <w:rsid w:val="00A73329"/>
    <w:rsid w:val="00A74327"/>
    <w:rsid w:val="00A82359"/>
    <w:rsid w:val="00A865D2"/>
    <w:rsid w:val="00A906FB"/>
    <w:rsid w:val="00A90BCD"/>
    <w:rsid w:val="00A94C20"/>
    <w:rsid w:val="00AA1B09"/>
    <w:rsid w:val="00AA227F"/>
    <w:rsid w:val="00AA3203"/>
    <w:rsid w:val="00AA3BC7"/>
    <w:rsid w:val="00AA4F0E"/>
    <w:rsid w:val="00AA60F1"/>
    <w:rsid w:val="00AA754A"/>
    <w:rsid w:val="00AB0168"/>
    <w:rsid w:val="00AB099E"/>
    <w:rsid w:val="00AB4328"/>
    <w:rsid w:val="00AB5096"/>
    <w:rsid w:val="00AB5C38"/>
    <w:rsid w:val="00AB6AF5"/>
    <w:rsid w:val="00AC2CD7"/>
    <w:rsid w:val="00AD1792"/>
    <w:rsid w:val="00AD3ADC"/>
    <w:rsid w:val="00AD604F"/>
    <w:rsid w:val="00AE0A2E"/>
    <w:rsid w:val="00AE354C"/>
    <w:rsid w:val="00AF4B07"/>
    <w:rsid w:val="00AF6186"/>
    <w:rsid w:val="00AF7A3A"/>
    <w:rsid w:val="00B05155"/>
    <w:rsid w:val="00B0573A"/>
    <w:rsid w:val="00B12B5C"/>
    <w:rsid w:val="00B160DB"/>
    <w:rsid w:val="00B1777C"/>
    <w:rsid w:val="00B17AC2"/>
    <w:rsid w:val="00B20836"/>
    <w:rsid w:val="00B235BB"/>
    <w:rsid w:val="00B27A44"/>
    <w:rsid w:val="00B3070D"/>
    <w:rsid w:val="00B30BBF"/>
    <w:rsid w:val="00B33C03"/>
    <w:rsid w:val="00B4421F"/>
    <w:rsid w:val="00B44E56"/>
    <w:rsid w:val="00B45917"/>
    <w:rsid w:val="00B46543"/>
    <w:rsid w:val="00B47D33"/>
    <w:rsid w:val="00B52BE0"/>
    <w:rsid w:val="00B54133"/>
    <w:rsid w:val="00B57CD8"/>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4D5F"/>
    <w:rsid w:val="00BB68EA"/>
    <w:rsid w:val="00BC0813"/>
    <w:rsid w:val="00BC0B99"/>
    <w:rsid w:val="00BC1C27"/>
    <w:rsid w:val="00BC3A56"/>
    <w:rsid w:val="00BC6BBF"/>
    <w:rsid w:val="00BD1572"/>
    <w:rsid w:val="00BD56FA"/>
    <w:rsid w:val="00BE14E3"/>
    <w:rsid w:val="00BE2A5B"/>
    <w:rsid w:val="00BE2BA0"/>
    <w:rsid w:val="00BE3774"/>
    <w:rsid w:val="00BE41E5"/>
    <w:rsid w:val="00BF030F"/>
    <w:rsid w:val="00BF118F"/>
    <w:rsid w:val="00BF337E"/>
    <w:rsid w:val="00BF4109"/>
    <w:rsid w:val="00BF4CC3"/>
    <w:rsid w:val="00BF603B"/>
    <w:rsid w:val="00C03DC3"/>
    <w:rsid w:val="00C051E0"/>
    <w:rsid w:val="00C054C7"/>
    <w:rsid w:val="00C057B5"/>
    <w:rsid w:val="00C05E8E"/>
    <w:rsid w:val="00C115C3"/>
    <w:rsid w:val="00C15547"/>
    <w:rsid w:val="00C22687"/>
    <w:rsid w:val="00C24997"/>
    <w:rsid w:val="00C32E4D"/>
    <w:rsid w:val="00C333A0"/>
    <w:rsid w:val="00C36A81"/>
    <w:rsid w:val="00C41974"/>
    <w:rsid w:val="00C44A2C"/>
    <w:rsid w:val="00C477F7"/>
    <w:rsid w:val="00C509A6"/>
    <w:rsid w:val="00C53F4A"/>
    <w:rsid w:val="00C54125"/>
    <w:rsid w:val="00C55B54"/>
    <w:rsid w:val="00C56425"/>
    <w:rsid w:val="00C6098E"/>
    <w:rsid w:val="00C6152C"/>
    <w:rsid w:val="00C66174"/>
    <w:rsid w:val="00C71F2C"/>
    <w:rsid w:val="00C72CF0"/>
    <w:rsid w:val="00C74810"/>
    <w:rsid w:val="00C767AC"/>
    <w:rsid w:val="00C90D68"/>
    <w:rsid w:val="00C9198B"/>
    <w:rsid w:val="00C9390E"/>
    <w:rsid w:val="00C939FE"/>
    <w:rsid w:val="00CA00D2"/>
    <w:rsid w:val="00CA21F0"/>
    <w:rsid w:val="00CA2DA8"/>
    <w:rsid w:val="00CA4BDA"/>
    <w:rsid w:val="00CA6C96"/>
    <w:rsid w:val="00CA782C"/>
    <w:rsid w:val="00CB11B0"/>
    <w:rsid w:val="00CB13E3"/>
    <w:rsid w:val="00CB1F66"/>
    <w:rsid w:val="00CB2951"/>
    <w:rsid w:val="00CB3B28"/>
    <w:rsid w:val="00CB4277"/>
    <w:rsid w:val="00CB6CCE"/>
    <w:rsid w:val="00CC3F80"/>
    <w:rsid w:val="00CC5067"/>
    <w:rsid w:val="00CD11D3"/>
    <w:rsid w:val="00CD282B"/>
    <w:rsid w:val="00CD4C35"/>
    <w:rsid w:val="00CD7369"/>
    <w:rsid w:val="00CE0B0E"/>
    <w:rsid w:val="00CE26D3"/>
    <w:rsid w:val="00CE3831"/>
    <w:rsid w:val="00CF2397"/>
    <w:rsid w:val="00CF5FB9"/>
    <w:rsid w:val="00CF77DF"/>
    <w:rsid w:val="00CF7FEC"/>
    <w:rsid w:val="00D00ABB"/>
    <w:rsid w:val="00D02EEC"/>
    <w:rsid w:val="00D03551"/>
    <w:rsid w:val="00D06A63"/>
    <w:rsid w:val="00D0765A"/>
    <w:rsid w:val="00D07E0E"/>
    <w:rsid w:val="00D11478"/>
    <w:rsid w:val="00D13EDD"/>
    <w:rsid w:val="00D15ED0"/>
    <w:rsid w:val="00D164BF"/>
    <w:rsid w:val="00D21B3E"/>
    <w:rsid w:val="00D21FED"/>
    <w:rsid w:val="00D23048"/>
    <w:rsid w:val="00D24251"/>
    <w:rsid w:val="00D25F64"/>
    <w:rsid w:val="00D26E72"/>
    <w:rsid w:val="00D33ACD"/>
    <w:rsid w:val="00D343E2"/>
    <w:rsid w:val="00D34F17"/>
    <w:rsid w:val="00D34F86"/>
    <w:rsid w:val="00D36176"/>
    <w:rsid w:val="00D361A2"/>
    <w:rsid w:val="00D40D96"/>
    <w:rsid w:val="00D43D8A"/>
    <w:rsid w:val="00D4465E"/>
    <w:rsid w:val="00D44C2E"/>
    <w:rsid w:val="00D4539A"/>
    <w:rsid w:val="00D45414"/>
    <w:rsid w:val="00D50A0A"/>
    <w:rsid w:val="00D566BD"/>
    <w:rsid w:val="00D57A4D"/>
    <w:rsid w:val="00D60AA7"/>
    <w:rsid w:val="00D6435F"/>
    <w:rsid w:val="00D65C65"/>
    <w:rsid w:val="00D70641"/>
    <w:rsid w:val="00D74888"/>
    <w:rsid w:val="00D74EF7"/>
    <w:rsid w:val="00D75841"/>
    <w:rsid w:val="00D75E28"/>
    <w:rsid w:val="00D772C2"/>
    <w:rsid w:val="00D778FF"/>
    <w:rsid w:val="00D77CA5"/>
    <w:rsid w:val="00D8008E"/>
    <w:rsid w:val="00D82C45"/>
    <w:rsid w:val="00D85DE5"/>
    <w:rsid w:val="00D86ED2"/>
    <w:rsid w:val="00D908A8"/>
    <w:rsid w:val="00D977B6"/>
    <w:rsid w:val="00DA1223"/>
    <w:rsid w:val="00DA3E88"/>
    <w:rsid w:val="00DA45CF"/>
    <w:rsid w:val="00DA4A31"/>
    <w:rsid w:val="00DA7B04"/>
    <w:rsid w:val="00DB05BD"/>
    <w:rsid w:val="00DB36C2"/>
    <w:rsid w:val="00DC169B"/>
    <w:rsid w:val="00DC2AB9"/>
    <w:rsid w:val="00DC63F0"/>
    <w:rsid w:val="00DD20C3"/>
    <w:rsid w:val="00DD3132"/>
    <w:rsid w:val="00DD37EA"/>
    <w:rsid w:val="00DD6EE5"/>
    <w:rsid w:val="00DD76B5"/>
    <w:rsid w:val="00DE386C"/>
    <w:rsid w:val="00DE4D35"/>
    <w:rsid w:val="00DF08C9"/>
    <w:rsid w:val="00DF091B"/>
    <w:rsid w:val="00DF098B"/>
    <w:rsid w:val="00DF11C4"/>
    <w:rsid w:val="00DF210C"/>
    <w:rsid w:val="00DF24BE"/>
    <w:rsid w:val="00DF2C68"/>
    <w:rsid w:val="00DF4B6A"/>
    <w:rsid w:val="00E02C09"/>
    <w:rsid w:val="00E04D59"/>
    <w:rsid w:val="00E07DA1"/>
    <w:rsid w:val="00E123CB"/>
    <w:rsid w:val="00E13B09"/>
    <w:rsid w:val="00E17F53"/>
    <w:rsid w:val="00E20E13"/>
    <w:rsid w:val="00E21DBC"/>
    <w:rsid w:val="00E23FE9"/>
    <w:rsid w:val="00E275D7"/>
    <w:rsid w:val="00E27DBE"/>
    <w:rsid w:val="00E31FC9"/>
    <w:rsid w:val="00E32AB1"/>
    <w:rsid w:val="00E36C71"/>
    <w:rsid w:val="00E40404"/>
    <w:rsid w:val="00E40A77"/>
    <w:rsid w:val="00E4126A"/>
    <w:rsid w:val="00E42A06"/>
    <w:rsid w:val="00E455F5"/>
    <w:rsid w:val="00E459C6"/>
    <w:rsid w:val="00E47589"/>
    <w:rsid w:val="00E6045B"/>
    <w:rsid w:val="00E62CDB"/>
    <w:rsid w:val="00E63EC7"/>
    <w:rsid w:val="00E64915"/>
    <w:rsid w:val="00E64D3A"/>
    <w:rsid w:val="00E656EA"/>
    <w:rsid w:val="00E661D4"/>
    <w:rsid w:val="00E66707"/>
    <w:rsid w:val="00E6711E"/>
    <w:rsid w:val="00E70091"/>
    <w:rsid w:val="00E70D2E"/>
    <w:rsid w:val="00E720F5"/>
    <w:rsid w:val="00E76D47"/>
    <w:rsid w:val="00E827BC"/>
    <w:rsid w:val="00E849F7"/>
    <w:rsid w:val="00E90302"/>
    <w:rsid w:val="00E95C1E"/>
    <w:rsid w:val="00E97396"/>
    <w:rsid w:val="00EA185E"/>
    <w:rsid w:val="00EA592A"/>
    <w:rsid w:val="00EA6783"/>
    <w:rsid w:val="00EB14E4"/>
    <w:rsid w:val="00EB32A5"/>
    <w:rsid w:val="00EB34ED"/>
    <w:rsid w:val="00EB354D"/>
    <w:rsid w:val="00EB447C"/>
    <w:rsid w:val="00EB4AD6"/>
    <w:rsid w:val="00EB51E3"/>
    <w:rsid w:val="00EB7BE0"/>
    <w:rsid w:val="00EC315E"/>
    <w:rsid w:val="00ED0351"/>
    <w:rsid w:val="00ED077C"/>
    <w:rsid w:val="00ED10A9"/>
    <w:rsid w:val="00ED1190"/>
    <w:rsid w:val="00ED4BC8"/>
    <w:rsid w:val="00ED5EED"/>
    <w:rsid w:val="00ED6544"/>
    <w:rsid w:val="00EE0277"/>
    <w:rsid w:val="00EE1120"/>
    <w:rsid w:val="00EE2899"/>
    <w:rsid w:val="00EE3E00"/>
    <w:rsid w:val="00EE43AE"/>
    <w:rsid w:val="00EE5DD2"/>
    <w:rsid w:val="00EF3DB4"/>
    <w:rsid w:val="00F00A79"/>
    <w:rsid w:val="00F00E86"/>
    <w:rsid w:val="00F0740F"/>
    <w:rsid w:val="00F07C1E"/>
    <w:rsid w:val="00F105DB"/>
    <w:rsid w:val="00F132BC"/>
    <w:rsid w:val="00F13D80"/>
    <w:rsid w:val="00F15B4D"/>
    <w:rsid w:val="00F16AAA"/>
    <w:rsid w:val="00F1709C"/>
    <w:rsid w:val="00F17AA3"/>
    <w:rsid w:val="00F21161"/>
    <w:rsid w:val="00F218EF"/>
    <w:rsid w:val="00F21BC7"/>
    <w:rsid w:val="00F266A2"/>
    <w:rsid w:val="00F32269"/>
    <w:rsid w:val="00F35B7A"/>
    <w:rsid w:val="00F44445"/>
    <w:rsid w:val="00F461DC"/>
    <w:rsid w:val="00F474F7"/>
    <w:rsid w:val="00F56A6F"/>
    <w:rsid w:val="00F5709C"/>
    <w:rsid w:val="00F64EF1"/>
    <w:rsid w:val="00F70759"/>
    <w:rsid w:val="00F7349B"/>
    <w:rsid w:val="00F73677"/>
    <w:rsid w:val="00F7666F"/>
    <w:rsid w:val="00F84BFB"/>
    <w:rsid w:val="00F8765F"/>
    <w:rsid w:val="00F90767"/>
    <w:rsid w:val="00FA1637"/>
    <w:rsid w:val="00FA3DCC"/>
    <w:rsid w:val="00FA685B"/>
    <w:rsid w:val="00FB0C01"/>
    <w:rsid w:val="00FB401A"/>
    <w:rsid w:val="00FB5934"/>
    <w:rsid w:val="00FC18F2"/>
    <w:rsid w:val="00FC2A17"/>
    <w:rsid w:val="00FC38CF"/>
    <w:rsid w:val="00FC39E5"/>
    <w:rsid w:val="00FC3A78"/>
    <w:rsid w:val="00FC6C5A"/>
    <w:rsid w:val="00FD1005"/>
    <w:rsid w:val="00FD24EB"/>
    <w:rsid w:val="00FD32D4"/>
    <w:rsid w:val="00FD5FFA"/>
    <w:rsid w:val="00FD6C75"/>
    <w:rsid w:val="00FD7972"/>
    <w:rsid w:val="00FE0F4B"/>
    <w:rsid w:val="00FE1420"/>
    <w:rsid w:val="00FE1B11"/>
    <w:rsid w:val="00FE60A5"/>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13B40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D34F17"/>
    <w:rPr>
      <w:rFonts w:eastAsiaTheme="minorEastAsia"/>
      <w:sz w:val="24"/>
    </w:rPr>
  </w:style>
  <w:style w:type="paragraph" w:styleId="Nagwek1">
    <w:name w:val="heading 1"/>
    <w:basedOn w:val="Normalny"/>
    <w:next w:val="Normalny"/>
    <w:link w:val="Nagwek1Znak"/>
    <w:uiPriority w:val="99"/>
    <w:semiHidden/>
    <w:rsid w:val="00D34F1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34F1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34F1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34F1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34F17"/>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D34F1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34F17"/>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D34F1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34F1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34F17"/>
    <w:rPr>
      <w:rFonts w:ascii="Tahoma" w:hAnsi="Tahoma" w:cs="Tahoma"/>
      <w:sz w:val="16"/>
      <w:szCs w:val="16"/>
    </w:rPr>
  </w:style>
  <w:style w:type="character" w:customStyle="1" w:styleId="TekstdymkaZnak">
    <w:name w:val="Tekst dymka Znak"/>
    <w:basedOn w:val="Domylnaczcionkaakapitu"/>
    <w:link w:val="Tekstdymka"/>
    <w:uiPriority w:val="99"/>
    <w:semiHidden/>
    <w:rsid w:val="00D34F17"/>
    <w:rPr>
      <w:rFonts w:ascii="Tahoma" w:eastAsiaTheme="minorEastAsia" w:hAnsi="Tahoma" w:cs="Tahoma"/>
      <w:sz w:val="16"/>
      <w:szCs w:val="16"/>
      <w:lang w:val="pl-PL"/>
    </w:rPr>
  </w:style>
  <w:style w:type="character" w:styleId="Tytuksiki">
    <w:name w:val="Book Title"/>
    <w:uiPriority w:val="99"/>
    <w:semiHidden/>
    <w:qFormat/>
    <w:rsid w:val="00D34F17"/>
    <w:rPr>
      <w:i/>
      <w:iCs/>
      <w:smallCaps/>
      <w:spacing w:val="5"/>
    </w:rPr>
  </w:style>
  <w:style w:type="paragraph" w:customStyle="1" w:styleId="JuHeader">
    <w:name w:val="Ju_Header"/>
    <w:aliases w:val="_Header"/>
    <w:basedOn w:val="Nagwek"/>
    <w:uiPriority w:val="29"/>
    <w:qFormat/>
    <w:rsid w:val="00D34F17"/>
    <w:pPr>
      <w:tabs>
        <w:tab w:val="clear" w:pos="4536"/>
        <w:tab w:val="clear" w:pos="9072"/>
        <w:tab w:val="center" w:pos="3686"/>
        <w:tab w:val="right" w:pos="7371"/>
      </w:tabs>
    </w:pPr>
    <w:rPr>
      <w:sz w:val="18"/>
    </w:rPr>
  </w:style>
  <w:style w:type="paragraph" w:customStyle="1" w:styleId="DecList">
    <w:name w:val="Dec_List"/>
    <w:aliases w:val="_List"/>
    <w:basedOn w:val="Normalny"/>
    <w:uiPriority w:val="22"/>
    <w:rsid w:val="00D34F17"/>
    <w:pPr>
      <w:spacing w:before="280" w:after="60"/>
      <w:ind w:left="340"/>
    </w:pPr>
    <w:rPr>
      <w:rFonts w:eastAsiaTheme="minorHAnsi"/>
    </w:rPr>
  </w:style>
  <w:style w:type="character" w:styleId="Pogrubienie">
    <w:name w:val="Strong"/>
    <w:uiPriority w:val="99"/>
    <w:semiHidden/>
    <w:qFormat/>
    <w:rsid w:val="00D34F17"/>
    <w:rPr>
      <w:b/>
      <w:bCs/>
    </w:rPr>
  </w:style>
  <w:style w:type="paragraph" w:styleId="Bezodstpw">
    <w:name w:val="No Spacing"/>
    <w:basedOn w:val="Normalny"/>
    <w:link w:val="BezodstpwZnak"/>
    <w:semiHidden/>
    <w:qFormat/>
    <w:rsid w:val="00D34F17"/>
  </w:style>
  <w:style w:type="character" w:customStyle="1" w:styleId="BezodstpwZnak">
    <w:name w:val="Bez odstępów Znak"/>
    <w:basedOn w:val="Domylnaczcionkaakapitu"/>
    <w:link w:val="Bezodstpw"/>
    <w:semiHidden/>
    <w:rsid w:val="00D34F17"/>
    <w:rPr>
      <w:rFonts w:eastAsiaTheme="minorEastAsia"/>
      <w:sz w:val="24"/>
      <w:lang w:val="pl-PL"/>
    </w:rPr>
  </w:style>
  <w:style w:type="paragraph" w:customStyle="1" w:styleId="JuQuot">
    <w:name w:val="Ju_Quot"/>
    <w:aliases w:val="_Quote"/>
    <w:basedOn w:val="NormalJustified"/>
    <w:uiPriority w:val="21"/>
    <w:qFormat/>
    <w:rsid w:val="00D34F17"/>
    <w:pPr>
      <w:spacing w:before="120" w:after="120"/>
      <w:ind w:left="425" w:firstLine="142"/>
    </w:pPr>
    <w:rPr>
      <w:sz w:val="20"/>
    </w:rPr>
  </w:style>
  <w:style w:type="paragraph" w:customStyle="1" w:styleId="DecHTitle">
    <w:name w:val="Dec_H_Title"/>
    <w:aliases w:val="_Title_1"/>
    <w:basedOn w:val="JuPara"/>
    <w:next w:val="JuPara"/>
    <w:uiPriority w:val="35"/>
    <w:qFormat/>
    <w:rsid w:val="00D34F17"/>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D34F17"/>
    <w:pPr>
      <w:keepNext/>
      <w:keepLines/>
      <w:tabs>
        <w:tab w:val="right" w:pos="7938"/>
      </w:tabs>
      <w:ind w:firstLine="0"/>
      <w:jc w:val="center"/>
    </w:pPr>
    <w:rPr>
      <w:rFonts w:eastAsiaTheme="minorHAnsi"/>
      <w:i/>
    </w:rPr>
  </w:style>
  <w:style w:type="paragraph" w:customStyle="1" w:styleId="NormalJustified">
    <w:name w:val="Normal_Justified"/>
    <w:basedOn w:val="Normalny"/>
    <w:semiHidden/>
    <w:rsid w:val="00D34F17"/>
    <w:pPr>
      <w:jc w:val="both"/>
    </w:pPr>
  </w:style>
  <w:style w:type="numbering" w:customStyle="1" w:styleId="ECHRA1StyleBulletedSquare">
    <w:name w:val="ECHR_A1_Style_Bulleted_Square"/>
    <w:basedOn w:val="Bezlisty"/>
    <w:rsid w:val="00D34F17"/>
    <w:pPr>
      <w:numPr>
        <w:numId w:val="6"/>
      </w:numPr>
    </w:pPr>
  </w:style>
  <w:style w:type="paragraph" w:customStyle="1" w:styleId="JuHArticle">
    <w:name w:val="Ju_H_Article"/>
    <w:aliases w:val="_Title_Quote"/>
    <w:basedOn w:val="Normalny"/>
    <w:next w:val="JuQuot"/>
    <w:uiPriority w:val="20"/>
    <w:qFormat/>
    <w:rsid w:val="00D34F17"/>
    <w:pPr>
      <w:keepNext/>
      <w:spacing w:before="100" w:beforeAutospacing="1" w:after="120"/>
      <w:contextualSpacing/>
      <w:jc w:val="center"/>
    </w:pPr>
    <w:rPr>
      <w:rFonts w:eastAsiaTheme="minorHAnsi"/>
      <w:b/>
      <w:sz w:val="20"/>
    </w:rPr>
  </w:style>
  <w:style w:type="numbering" w:customStyle="1" w:styleId="ECHRA1StyleList">
    <w:name w:val="ECHR_A1_Style_List"/>
    <w:basedOn w:val="Bezlisty"/>
    <w:uiPriority w:val="99"/>
    <w:rsid w:val="00D34F17"/>
    <w:pPr>
      <w:numPr>
        <w:numId w:val="7"/>
      </w:numPr>
    </w:pPr>
  </w:style>
  <w:style w:type="numbering" w:customStyle="1" w:styleId="ECHRA1StyleNumberedList">
    <w:name w:val="ECHR_A1_Style_Numbered_List"/>
    <w:basedOn w:val="Bezlisty"/>
    <w:rsid w:val="00D34F17"/>
    <w:pPr>
      <w:numPr>
        <w:numId w:val="8"/>
      </w:numPr>
    </w:pPr>
  </w:style>
  <w:style w:type="paragraph" w:customStyle="1" w:styleId="JuHHead">
    <w:name w:val="Ju_H_Head"/>
    <w:aliases w:val="_Head_1"/>
    <w:basedOn w:val="Normalny"/>
    <w:next w:val="JuPara"/>
    <w:uiPriority w:val="19"/>
    <w:qFormat/>
    <w:rsid w:val="00D34F17"/>
    <w:pPr>
      <w:keepNext/>
      <w:keepLines/>
      <w:numPr>
        <w:numId w:val="1"/>
      </w:numPr>
      <w:spacing w:before="100" w:beforeAutospacing="1" w:after="240"/>
      <w:jc w:val="both"/>
      <w:outlineLvl w:val="0"/>
    </w:pPr>
    <w:rPr>
      <w:caps/>
      <w:sz w:val="28"/>
    </w:rPr>
  </w:style>
  <w:style w:type="paragraph" w:customStyle="1" w:styleId="JuCourt">
    <w:name w:val="Ju_Court"/>
    <w:basedOn w:val="Normalny"/>
    <w:next w:val="Normalny"/>
    <w:uiPriority w:val="31"/>
    <w:qFormat/>
    <w:rsid w:val="00D34F17"/>
    <w:pPr>
      <w:tabs>
        <w:tab w:val="left" w:pos="907"/>
        <w:tab w:val="left" w:pos="1701"/>
        <w:tab w:val="right" w:pos="7371"/>
      </w:tabs>
      <w:spacing w:before="240"/>
      <w:ind w:left="397" w:hanging="397"/>
    </w:pPr>
    <w:rPr>
      <w:lang w:bidi="en-US"/>
    </w:rPr>
  </w:style>
  <w:style w:type="paragraph" w:customStyle="1" w:styleId="JuSigned">
    <w:name w:val="Ju_Signed"/>
    <w:aliases w:val="_Signature"/>
    <w:basedOn w:val="Normalny"/>
    <w:next w:val="JuPara"/>
    <w:uiPriority w:val="30"/>
    <w:qFormat/>
    <w:rsid w:val="00D34F17"/>
    <w:pPr>
      <w:tabs>
        <w:tab w:val="center" w:pos="851"/>
        <w:tab w:val="center" w:pos="6407"/>
      </w:tabs>
      <w:spacing w:before="720"/>
    </w:pPr>
  </w:style>
  <w:style w:type="paragraph" w:styleId="Tytu">
    <w:name w:val="Title"/>
    <w:basedOn w:val="Normalny"/>
    <w:next w:val="Normalny"/>
    <w:link w:val="TytuZnak"/>
    <w:uiPriority w:val="99"/>
    <w:semiHidden/>
    <w:qFormat/>
    <w:rsid w:val="00D34F1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34F17"/>
    <w:rPr>
      <w:rFonts w:asciiTheme="majorHAnsi" w:eastAsiaTheme="majorEastAsia" w:hAnsiTheme="majorHAnsi" w:cstheme="majorBidi"/>
      <w:spacing w:val="5"/>
      <w:sz w:val="52"/>
      <w:szCs w:val="52"/>
      <w:lang w:val="pl-PL" w:bidi="en-US"/>
    </w:rPr>
  </w:style>
  <w:style w:type="paragraph" w:customStyle="1" w:styleId="JuInitialled">
    <w:name w:val="Ju_Initialled"/>
    <w:aliases w:val="_Right"/>
    <w:basedOn w:val="Normalny"/>
    <w:uiPriority w:val="30"/>
    <w:qFormat/>
    <w:rsid w:val="00D34F17"/>
    <w:pPr>
      <w:tabs>
        <w:tab w:val="center" w:pos="6407"/>
      </w:tabs>
      <w:spacing w:before="720"/>
      <w:jc w:val="right"/>
    </w:pPr>
  </w:style>
  <w:style w:type="character" w:customStyle="1" w:styleId="JUNAMES">
    <w:name w:val="JU_NAMES"/>
    <w:uiPriority w:val="34"/>
    <w:qFormat/>
    <w:rsid w:val="00D34F17"/>
    <w:rPr>
      <w:caps w:val="0"/>
      <w:smallCaps/>
    </w:rPr>
  </w:style>
  <w:style w:type="character" w:customStyle="1" w:styleId="JuITMark">
    <w:name w:val="Ju_ITMark"/>
    <w:basedOn w:val="Domylnaczcionkaakapitu"/>
    <w:uiPriority w:val="38"/>
    <w:qFormat/>
    <w:rsid w:val="00D34F17"/>
    <w:rPr>
      <w:vanish w:val="0"/>
      <w:color w:val="auto"/>
      <w:sz w:val="14"/>
      <w:bdr w:val="none" w:sz="0" w:space="0" w:color="auto"/>
      <w:shd w:val="clear" w:color="auto" w:fill="BEE5FF" w:themeFill="background1" w:themeFillTint="33"/>
    </w:rPr>
  </w:style>
  <w:style w:type="paragraph" w:customStyle="1" w:styleId="JuLista">
    <w:name w:val="Ju_List_a"/>
    <w:aliases w:val="_List_2"/>
    <w:basedOn w:val="NormalJustified"/>
    <w:uiPriority w:val="23"/>
    <w:rsid w:val="00D34F17"/>
    <w:pPr>
      <w:numPr>
        <w:ilvl w:val="1"/>
        <w:numId w:val="2"/>
      </w:numPr>
    </w:pPr>
  </w:style>
  <w:style w:type="paragraph" w:customStyle="1" w:styleId="JuListi">
    <w:name w:val="Ju_List_i"/>
    <w:aliases w:val="_List_3"/>
    <w:basedOn w:val="NormalJustified"/>
    <w:uiPriority w:val="23"/>
    <w:rsid w:val="00D34F17"/>
    <w:pPr>
      <w:numPr>
        <w:ilvl w:val="2"/>
        <w:numId w:val="2"/>
      </w:numPr>
    </w:pPr>
  </w:style>
  <w:style w:type="paragraph" w:customStyle="1" w:styleId="JuHIRoman">
    <w:name w:val="Ju_H_I_Roman"/>
    <w:aliases w:val="_Head_2"/>
    <w:basedOn w:val="Normalny"/>
    <w:next w:val="JuPara"/>
    <w:uiPriority w:val="19"/>
    <w:qFormat/>
    <w:rsid w:val="00D34F17"/>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D34F17"/>
    <w:pPr>
      <w:keepNext/>
      <w:keepLines/>
      <w:numPr>
        <w:ilvl w:val="2"/>
        <w:numId w:val="1"/>
      </w:numPr>
      <w:spacing w:before="100" w:beforeAutospacing="1" w:after="240"/>
      <w:jc w:val="both"/>
      <w:outlineLvl w:val="2"/>
    </w:pPr>
    <w:rPr>
      <w:b/>
    </w:rPr>
  </w:style>
  <w:style w:type="paragraph" w:customStyle="1" w:styleId="JuH1">
    <w:name w:val="Ju_H_1."/>
    <w:aliases w:val="_Head_4"/>
    <w:basedOn w:val="Normalny"/>
    <w:next w:val="JuPara"/>
    <w:uiPriority w:val="19"/>
    <w:rsid w:val="00D34F17"/>
    <w:pPr>
      <w:keepNext/>
      <w:keepLines/>
      <w:numPr>
        <w:ilvl w:val="3"/>
        <w:numId w:val="1"/>
      </w:numPr>
      <w:spacing w:before="100" w:beforeAutospacing="1" w:after="120"/>
      <w:jc w:val="both"/>
      <w:outlineLvl w:val="3"/>
    </w:pPr>
    <w:rPr>
      <w:i/>
    </w:rPr>
  </w:style>
  <w:style w:type="paragraph" w:styleId="Nagwek">
    <w:name w:val="header"/>
    <w:basedOn w:val="Normalny"/>
    <w:link w:val="NagwekZnak"/>
    <w:uiPriority w:val="57"/>
    <w:semiHidden/>
    <w:rsid w:val="00D34F1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34F17"/>
    <w:rPr>
      <w:sz w:val="24"/>
      <w:lang w:val="pl-PL"/>
    </w:rPr>
  </w:style>
  <w:style w:type="character" w:customStyle="1" w:styleId="Nagwek1Znak">
    <w:name w:val="Nagłówek 1 Znak"/>
    <w:basedOn w:val="Domylnaczcionkaakapitu"/>
    <w:link w:val="Nagwek1"/>
    <w:uiPriority w:val="99"/>
    <w:semiHidden/>
    <w:rsid w:val="00D34F17"/>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ormalny"/>
    <w:next w:val="JuPara"/>
    <w:uiPriority w:val="19"/>
    <w:rsid w:val="00D34F17"/>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D34F17"/>
    <w:pPr>
      <w:keepNext/>
      <w:keepLines/>
      <w:numPr>
        <w:ilvl w:val="5"/>
        <w:numId w:val="1"/>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D34F17"/>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ormalny"/>
    <w:next w:val="JuPara"/>
    <w:uiPriority w:val="19"/>
    <w:rsid w:val="00D34F17"/>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ny"/>
    <w:next w:val="JuPara"/>
    <w:uiPriority w:val="19"/>
    <w:rsid w:val="00D34F17"/>
    <w:pPr>
      <w:keepNext/>
      <w:keepLines/>
      <w:numPr>
        <w:ilvl w:val="7"/>
        <w:numId w:val="1"/>
      </w:numPr>
      <w:spacing w:before="100" w:beforeAutospacing="1" w:after="120"/>
      <w:outlineLvl w:val="7"/>
    </w:pPr>
    <w:rPr>
      <w:i/>
      <w:sz w:val="20"/>
    </w:rPr>
  </w:style>
  <w:style w:type="character" w:customStyle="1" w:styleId="Nagwek3Znak">
    <w:name w:val="Nagłówek 3 Znak"/>
    <w:basedOn w:val="Domylnaczcionkaakapitu"/>
    <w:link w:val="Nagwek3"/>
    <w:uiPriority w:val="99"/>
    <w:semiHidden/>
    <w:rsid w:val="00D34F17"/>
    <w:rPr>
      <w:rFonts w:asciiTheme="majorHAnsi" w:eastAsiaTheme="majorEastAsia" w:hAnsiTheme="majorHAnsi" w:cstheme="majorBidi"/>
      <w:b/>
      <w:bCs/>
      <w:color w:val="5F5F5F"/>
      <w:sz w:val="24"/>
      <w:lang w:val="pl-PL"/>
    </w:rPr>
  </w:style>
  <w:style w:type="paragraph" w:customStyle="1" w:styleId="JuParaLast">
    <w:name w:val="Ju_Para_Last"/>
    <w:aliases w:val="_Para_Spaced"/>
    <w:basedOn w:val="NormalJustified"/>
    <w:uiPriority w:val="9"/>
    <w:qFormat/>
    <w:rsid w:val="00D34F17"/>
    <w:pPr>
      <w:keepNext/>
      <w:keepLines/>
      <w:spacing w:before="240" w:after="240"/>
      <w:ind w:firstLine="284"/>
    </w:pPr>
    <w:rPr>
      <w:rFonts w:eastAsiaTheme="minorHAnsi"/>
    </w:rPr>
  </w:style>
  <w:style w:type="paragraph" w:customStyle="1" w:styleId="JuJudges">
    <w:name w:val="Ju_Judges"/>
    <w:basedOn w:val="Normalny"/>
    <w:uiPriority w:val="31"/>
    <w:qFormat/>
    <w:rsid w:val="00D34F17"/>
    <w:pPr>
      <w:tabs>
        <w:tab w:val="left" w:pos="567"/>
        <w:tab w:val="left" w:pos="1134"/>
      </w:tabs>
    </w:pPr>
  </w:style>
  <w:style w:type="character" w:customStyle="1" w:styleId="Nagwek4Znak">
    <w:name w:val="Nagłówek 4 Znak"/>
    <w:basedOn w:val="Domylnaczcionkaakapitu"/>
    <w:link w:val="Nagwek4"/>
    <w:uiPriority w:val="99"/>
    <w:semiHidden/>
    <w:rsid w:val="00D34F17"/>
    <w:rPr>
      <w:rFonts w:asciiTheme="majorHAnsi" w:eastAsiaTheme="majorEastAsia" w:hAnsiTheme="majorHAnsi" w:cstheme="majorBidi"/>
      <w:b/>
      <w:bCs/>
      <w:i/>
      <w:iCs/>
      <w:color w:val="777777"/>
      <w:sz w:val="24"/>
      <w:lang w:val="pl-PL"/>
    </w:rPr>
  </w:style>
  <w:style w:type="paragraph" w:customStyle="1" w:styleId="JuList">
    <w:name w:val="Ju_List"/>
    <w:aliases w:val="_List_1"/>
    <w:basedOn w:val="NormalJustified"/>
    <w:uiPriority w:val="23"/>
    <w:qFormat/>
    <w:rsid w:val="00D34F17"/>
    <w:pPr>
      <w:numPr>
        <w:numId w:val="2"/>
      </w:numPr>
      <w:spacing w:before="280" w:after="60"/>
    </w:pPr>
    <w:rPr>
      <w:rFonts w:eastAsiaTheme="minorHAnsi"/>
    </w:rPr>
  </w:style>
  <w:style w:type="character" w:customStyle="1" w:styleId="Nagwek5Znak">
    <w:name w:val="Nagłówek 5 Znak"/>
    <w:basedOn w:val="Domylnaczcionkaakapitu"/>
    <w:link w:val="Nagwek5"/>
    <w:uiPriority w:val="99"/>
    <w:semiHidden/>
    <w:rsid w:val="00D34F17"/>
    <w:rPr>
      <w:rFonts w:asciiTheme="majorHAnsi" w:eastAsiaTheme="majorEastAsia" w:hAnsiTheme="majorHAnsi" w:cstheme="majorBidi"/>
      <w:b/>
      <w:bCs/>
      <w:color w:val="808080"/>
      <w:sz w:val="24"/>
      <w:lang w:val="pl-PL"/>
    </w:rPr>
  </w:style>
  <w:style w:type="table" w:customStyle="1" w:styleId="ECHRTable2019">
    <w:name w:val="ECHR_Table_2019"/>
    <w:basedOn w:val="Standardowy"/>
    <w:uiPriority w:val="99"/>
    <w:rsid w:val="00D34F17"/>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JuTitle">
    <w:name w:val="Ju_Title"/>
    <w:aliases w:val="_Title_2"/>
    <w:basedOn w:val="Normalny"/>
    <w:next w:val="JuPara"/>
    <w:uiPriority w:val="35"/>
    <w:qFormat/>
    <w:rsid w:val="00D34F17"/>
    <w:pPr>
      <w:keepNext/>
      <w:keepLines/>
      <w:spacing w:before="1320" w:after="280"/>
      <w:contextualSpacing/>
      <w:jc w:val="center"/>
    </w:pPr>
    <w:rPr>
      <w:rFonts w:eastAsiaTheme="minorHAnsi"/>
      <w:b/>
    </w:rPr>
  </w:style>
  <w:style w:type="character" w:styleId="Wyrnieniedelikatne">
    <w:name w:val="Subtle Emphasis"/>
    <w:uiPriority w:val="99"/>
    <w:semiHidden/>
    <w:qFormat/>
    <w:rsid w:val="00D34F17"/>
    <w:rPr>
      <w:i/>
      <w:iCs/>
    </w:rPr>
  </w:style>
  <w:style w:type="paragraph" w:customStyle="1" w:styleId="Footer">
    <w:name w:val="_Footer"/>
    <w:aliases w:val="Footer_"/>
    <w:basedOn w:val="Stopka"/>
    <w:uiPriority w:val="57"/>
    <w:semiHidden/>
    <w:rsid w:val="00D34F17"/>
    <w:rPr>
      <w:sz w:val="8"/>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D34F17"/>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D34F17"/>
    <w:rPr>
      <w:b/>
      <w:bCs/>
      <w:i/>
      <w:iCs/>
      <w:spacing w:val="10"/>
      <w:bdr w:val="none" w:sz="0" w:space="0" w:color="auto"/>
      <w:shd w:val="clear" w:color="auto" w:fill="auto"/>
    </w:rPr>
  </w:style>
  <w:style w:type="paragraph" w:styleId="Stopka">
    <w:name w:val="footer"/>
    <w:basedOn w:val="Normalny"/>
    <w:link w:val="StopkaZnak"/>
    <w:uiPriority w:val="57"/>
    <w:semiHidden/>
    <w:rsid w:val="00D34F1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34F17"/>
    <w:rPr>
      <w:sz w:val="24"/>
      <w:lang w:val="pl-PL"/>
    </w:rPr>
  </w:style>
  <w:style w:type="character" w:styleId="Odwoanieprzypisudolnego">
    <w:name w:val="footnote reference"/>
    <w:basedOn w:val="Domylnaczcionkaakapitu"/>
    <w:uiPriority w:val="99"/>
    <w:semiHidden/>
    <w:rsid w:val="00D34F17"/>
    <w:rPr>
      <w:vertAlign w:val="superscript"/>
    </w:rPr>
  </w:style>
  <w:style w:type="paragraph" w:styleId="Tekstprzypisudolnego">
    <w:name w:val="footnote text"/>
    <w:basedOn w:val="Normalny"/>
    <w:link w:val="TekstprzypisudolnegoZnak"/>
    <w:uiPriority w:val="99"/>
    <w:semiHidden/>
    <w:rsid w:val="00D34F17"/>
    <w:rPr>
      <w:sz w:val="20"/>
      <w:szCs w:val="20"/>
    </w:rPr>
  </w:style>
  <w:style w:type="character" w:customStyle="1" w:styleId="TekstprzypisudolnegoZnak">
    <w:name w:val="Tekst przypisu dolnego Znak"/>
    <w:basedOn w:val="Domylnaczcionkaakapitu"/>
    <w:link w:val="Tekstprzypisudolnego"/>
    <w:uiPriority w:val="99"/>
    <w:semiHidden/>
    <w:rsid w:val="00D34F17"/>
    <w:rPr>
      <w:rFonts w:eastAsiaTheme="minorEastAsia"/>
      <w:sz w:val="20"/>
      <w:szCs w:val="20"/>
      <w:lang w:val="pl-PL"/>
    </w:rPr>
  </w:style>
  <w:style w:type="character" w:customStyle="1" w:styleId="Nagwek6Znak">
    <w:name w:val="Nagłówek 6 Znak"/>
    <w:basedOn w:val="Domylnaczcionkaakapitu"/>
    <w:link w:val="Nagwek6"/>
    <w:uiPriority w:val="99"/>
    <w:semiHidden/>
    <w:rsid w:val="00D34F17"/>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D34F17"/>
    <w:rPr>
      <w:rFonts w:asciiTheme="majorHAnsi" w:eastAsiaTheme="majorEastAsia" w:hAnsiTheme="majorHAnsi" w:cstheme="majorBidi"/>
      <w:i/>
      <w:iCs/>
      <w:sz w:val="24"/>
      <w:lang w:val="pl-PL" w:bidi="en-US"/>
    </w:rPr>
  </w:style>
  <w:style w:type="character" w:customStyle="1" w:styleId="Nagwek8Znak">
    <w:name w:val="Nagłówek 8 Znak"/>
    <w:basedOn w:val="Domylnaczcionkaakapitu"/>
    <w:link w:val="Nagwek8"/>
    <w:uiPriority w:val="99"/>
    <w:semiHidden/>
    <w:rsid w:val="00D34F17"/>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9"/>
    <w:semiHidden/>
    <w:rsid w:val="00D34F17"/>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9"/>
    <w:semiHidden/>
    <w:rsid w:val="00D34F17"/>
    <w:rPr>
      <w:color w:val="0072BC" w:themeColor="hyperlink"/>
      <w:u w:val="single"/>
    </w:rPr>
  </w:style>
  <w:style w:type="character" w:styleId="Wyrnienieintensywne">
    <w:name w:val="Intense Emphasis"/>
    <w:uiPriority w:val="99"/>
    <w:semiHidden/>
    <w:qFormat/>
    <w:rsid w:val="00D34F17"/>
    <w:rPr>
      <w:b/>
      <w:bCs/>
    </w:rPr>
  </w:style>
  <w:style w:type="paragraph" w:styleId="Cytatintensywny">
    <w:name w:val="Intense Quote"/>
    <w:basedOn w:val="Normalny"/>
    <w:next w:val="Normalny"/>
    <w:link w:val="CytatintensywnyZnak"/>
    <w:uiPriority w:val="99"/>
    <w:semiHidden/>
    <w:qFormat/>
    <w:rsid w:val="00D34F1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D34F17"/>
    <w:rPr>
      <w:rFonts w:eastAsiaTheme="minorEastAsia"/>
      <w:b/>
      <w:bCs/>
      <w:i/>
      <w:iCs/>
      <w:sz w:val="24"/>
      <w:lang w:val="pl-PL" w:bidi="en-US"/>
    </w:rPr>
  </w:style>
  <w:style w:type="character" w:styleId="Odwoanieintensywne">
    <w:name w:val="Intense Reference"/>
    <w:uiPriority w:val="99"/>
    <w:semiHidden/>
    <w:qFormat/>
    <w:rsid w:val="00D34F17"/>
    <w:rPr>
      <w:smallCaps/>
      <w:spacing w:val="5"/>
      <w:u w:val="single"/>
    </w:rPr>
  </w:style>
  <w:style w:type="paragraph" w:styleId="Akapitzlist">
    <w:name w:val="List Paragraph"/>
    <w:basedOn w:val="Normalny"/>
    <w:uiPriority w:val="99"/>
    <w:semiHidden/>
    <w:qFormat/>
    <w:rsid w:val="00D34F1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34F17"/>
    <w:pPr>
      <w:spacing w:before="200"/>
      <w:ind w:left="360" w:right="360"/>
    </w:pPr>
    <w:rPr>
      <w:i/>
      <w:iCs/>
      <w:lang w:bidi="en-US"/>
    </w:rPr>
  </w:style>
  <w:style w:type="character" w:customStyle="1" w:styleId="CytatZnak">
    <w:name w:val="Cytat Znak"/>
    <w:basedOn w:val="Domylnaczcionkaakapitu"/>
    <w:link w:val="Cytat"/>
    <w:uiPriority w:val="99"/>
    <w:semiHidden/>
    <w:rsid w:val="00D34F17"/>
    <w:rPr>
      <w:rFonts w:eastAsiaTheme="minorEastAsia"/>
      <w:i/>
      <w:iCs/>
      <w:sz w:val="24"/>
      <w:lang w:val="pl-PL" w:bidi="en-US"/>
    </w:rPr>
  </w:style>
  <w:style w:type="character" w:styleId="Odwoaniedelikatne">
    <w:name w:val="Subtle Reference"/>
    <w:uiPriority w:val="99"/>
    <w:semiHidden/>
    <w:qFormat/>
    <w:rsid w:val="00D34F17"/>
    <w:rPr>
      <w:smallCaps/>
    </w:rPr>
  </w:style>
  <w:style w:type="table" w:styleId="Tabela-Siatka">
    <w:name w:val="Table Grid"/>
    <w:basedOn w:val="Standardowy"/>
    <w:uiPriority w:val="59"/>
    <w:semiHidden/>
    <w:rsid w:val="00D34F1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D34F1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D34F1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D34F1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D34F1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D34F1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34F1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D34F17"/>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D34F17"/>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D34F17"/>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34F1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D34F1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34F17"/>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D34F17"/>
    <w:pPr>
      <w:numPr>
        <w:numId w:val="3"/>
      </w:numPr>
    </w:pPr>
  </w:style>
  <w:style w:type="paragraph" w:customStyle="1" w:styleId="JuPara">
    <w:name w:val="Ju_Para"/>
    <w:aliases w:val="_Para"/>
    <w:basedOn w:val="NormalJustified"/>
    <w:link w:val="ECHRParaChar"/>
    <w:uiPriority w:val="8"/>
    <w:qFormat/>
    <w:rsid w:val="00D34F17"/>
    <w:pPr>
      <w:ind w:firstLine="284"/>
    </w:pPr>
  </w:style>
  <w:style w:type="numbering" w:styleId="1ai">
    <w:name w:val="Outline List 1"/>
    <w:basedOn w:val="Bezlisty"/>
    <w:uiPriority w:val="99"/>
    <w:semiHidden/>
    <w:unhideWhenUsed/>
    <w:rsid w:val="00D34F17"/>
    <w:pPr>
      <w:numPr>
        <w:numId w:val="4"/>
      </w:numPr>
    </w:pPr>
  </w:style>
  <w:style w:type="table" w:customStyle="1" w:styleId="ECHRTableSimpleBox">
    <w:name w:val="ECHR_Table_Simple_Box"/>
    <w:basedOn w:val="Standardowy"/>
    <w:uiPriority w:val="99"/>
    <w:rsid w:val="00D34F17"/>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D34F17"/>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34F17"/>
    <w:pPr>
      <w:numPr>
        <w:numId w:val="5"/>
      </w:numPr>
    </w:pPr>
  </w:style>
  <w:style w:type="table" w:customStyle="1" w:styleId="ECHRTableForInternalUse">
    <w:name w:val="ECHR_Table_For_Internal_Use"/>
    <w:basedOn w:val="Standardowy"/>
    <w:uiPriority w:val="99"/>
    <w:rsid w:val="00D34F1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F337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34F17"/>
  </w:style>
  <w:style w:type="paragraph" w:styleId="Tekstblokowy">
    <w:name w:val="Block Text"/>
    <w:basedOn w:val="Normalny"/>
    <w:uiPriority w:val="99"/>
    <w:semiHidden/>
    <w:rsid w:val="00D34F1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D34F17"/>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34F17"/>
    <w:pPr>
      <w:spacing w:after="120"/>
    </w:pPr>
  </w:style>
  <w:style w:type="character" w:customStyle="1" w:styleId="TekstpodstawowyZnak">
    <w:name w:val="Tekst podstawowy Znak"/>
    <w:basedOn w:val="Domylnaczcionkaakapitu"/>
    <w:link w:val="Tekstpodstawowy"/>
    <w:uiPriority w:val="99"/>
    <w:semiHidden/>
    <w:rsid w:val="00D34F17"/>
    <w:rPr>
      <w:rFonts w:eastAsiaTheme="minorEastAsia"/>
      <w:sz w:val="24"/>
      <w:lang w:val="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34F17"/>
    <w:pPr>
      <w:spacing w:after="120" w:line="480" w:lineRule="auto"/>
    </w:pPr>
  </w:style>
  <w:style w:type="table" w:customStyle="1" w:styleId="ECHRHeaderTableReduced">
    <w:name w:val="ECHR_Header_Table_Reduced"/>
    <w:basedOn w:val="Standardowy"/>
    <w:uiPriority w:val="99"/>
    <w:rsid w:val="00D34F17"/>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JuPara"/>
    <w:uiPriority w:val="31"/>
    <w:rsid w:val="00D34F17"/>
    <w:pPr>
      <w:ind w:firstLine="284"/>
    </w:pPr>
    <w:rPr>
      <w:b/>
    </w:rPr>
  </w:style>
  <w:style w:type="character" w:styleId="Numerstrony">
    <w:name w:val="page number"/>
    <w:uiPriority w:val="99"/>
    <w:semiHidden/>
    <w:rsid w:val="00D34F17"/>
    <w:rPr>
      <w:sz w:val="18"/>
    </w:rPr>
  </w:style>
  <w:style w:type="paragraph" w:styleId="Listapunktowana">
    <w:name w:val="List Bullet"/>
    <w:basedOn w:val="Normalny"/>
    <w:uiPriority w:val="99"/>
    <w:semiHidden/>
    <w:rsid w:val="00D34F17"/>
    <w:pPr>
      <w:numPr>
        <w:numId w:val="9"/>
      </w:numPr>
    </w:pPr>
  </w:style>
  <w:style w:type="paragraph" w:styleId="Listapunktowana3">
    <w:name w:val="List Bullet 3"/>
    <w:basedOn w:val="Normalny"/>
    <w:uiPriority w:val="99"/>
    <w:semiHidden/>
    <w:rsid w:val="00D34F17"/>
    <w:pPr>
      <w:numPr>
        <w:numId w:val="11"/>
      </w:numPr>
      <w:contextualSpacing/>
    </w:pPr>
  </w:style>
  <w:style w:type="character" w:customStyle="1" w:styleId="Tekstpodstawowy2Znak">
    <w:name w:val="Tekst podstawowy 2 Znak"/>
    <w:basedOn w:val="Domylnaczcionkaakapitu"/>
    <w:link w:val="Tekstpodstawowy2"/>
    <w:uiPriority w:val="99"/>
    <w:semiHidden/>
    <w:rsid w:val="00D34F17"/>
    <w:rPr>
      <w:rFonts w:eastAsiaTheme="minorEastAsia"/>
      <w:sz w:val="24"/>
      <w:lang w:val="pl-PL"/>
    </w:rPr>
  </w:style>
  <w:style w:type="paragraph" w:styleId="Tekstpodstawowy3">
    <w:name w:val="Body Text 3"/>
    <w:basedOn w:val="Normalny"/>
    <w:link w:val="Tekstpodstawowy3Znak"/>
    <w:uiPriority w:val="99"/>
    <w:semiHidden/>
    <w:rsid w:val="00D34F17"/>
    <w:pPr>
      <w:spacing w:after="120"/>
    </w:pPr>
    <w:rPr>
      <w:sz w:val="16"/>
      <w:szCs w:val="16"/>
    </w:rPr>
  </w:style>
  <w:style w:type="character" w:customStyle="1" w:styleId="Tekstpodstawowy3Znak">
    <w:name w:val="Tekst podstawowy 3 Znak"/>
    <w:basedOn w:val="Domylnaczcionkaakapitu"/>
    <w:link w:val="Tekstpodstawowy3"/>
    <w:uiPriority w:val="99"/>
    <w:semiHidden/>
    <w:rsid w:val="00D34F17"/>
    <w:rPr>
      <w:rFonts w:eastAsiaTheme="minorEastAsia"/>
      <w:sz w:val="16"/>
      <w:szCs w:val="16"/>
      <w:lang w:val="pl-PL"/>
    </w:rPr>
  </w:style>
  <w:style w:type="paragraph" w:styleId="Tekstpodstawowyzwciciem">
    <w:name w:val="Body Text First Indent"/>
    <w:basedOn w:val="Tekstpodstawowy"/>
    <w:link w:val="TekstpodstawowyzwciciemZnak"/>
    <w:uiPriority w:val="99"/>
    <w:semiHidden/>
    <w:rsid w:val="00D34F1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34F17"/>
    <w:rPr>
      <w:rFonts w:eastAsiaTheme="minorEastAsia"/>
      <w:sz w:val="24"/>
      <w:lang w:val="pl-PL"/>
    </w:rPr>
  </w:style>
  <w:style w:type="paragraph" w:styleId="Tekstpodstawowywcity">
    <w:name w:val="Body Text Indent"/>
    <w:basedOn w:val="Normalny"/>
    <w:link w:val="TekstpodstawowywcityZnak"/>
    <w:uiPriority w:val="99"/>
    <w:semiHidden/>
    <w:rsid w:val="00D34F17"/>
    <w:pPr>
      <w:spacing w:after="120"/>
      <w:ind w:left="283"/>
    </w:pPr>
  </w:style>
  <w:style w:type="character" w:customStyle="1" w:styleId="TekstpodstawowywcityZnak">
    <w:name w:val="Tekst podstawowy wcięty Znak"/>
    <w:basedOn w:val="Domylnaczcionkaakapitu"/>
    <w:link w:val="Tekstpodstawowywcity"/>
    <w:uiPriority w:val="99"/>
    <w:semiHidden/>
    <w:rsid w:val="00D34F17"/>
    <w:rPr>
      <w:rFonts w:eastAsiaTheme="minorEastAsia"/>
      <w:sz w:val="24"/>
      <w:lang w:val="pl-PL"/>
    </w:rPr>
  </w:style>
  <w:style w:type="paragraph" w:styleId="Tekstpodstawowyzwciciem2">
    <w:name w:val="Body Text First Indent 2"/>
    <w:basedOn w:val="Tekstpodstawowywcity"/>
    <w:link w:val="Tekstpodstawowyzwciciem2Znak"/>
    <w:uiPriority w:val="99"/>
    <w:semiHidden/>
    <w:rsid w:val="00D34F1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34F17"/>
    <w:rPr>
      <w:rFonts w:eastAsiaTheme="minorEastAsia"/>
      <w:sz w:val="24"/>
      <w:lang w:val="pl-PL"/>
    </w:rPr>
  </w:style>
  <w:style w:type="paragraph" w:styleId="Tekstpodstawowywcity2">
    <w:name w:val="Body Text Indent 2"/>
    <w:basedOn w:val="Normalny"/>
    <w:link w:val="Tekstpodstawowywcity2Znak"/>
    <w:uiPriority w:val="99"/>
    <w:semiHidden/>
    <w:rsid w:val="00D34F1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34F17"/>
    <w:rPr>
      <w:rFonts w:eastAsiaTheme="minorEastAsia"/>
      <w:sz w:val="24"/>
      <w:lang w:val="pl-PL"/>
    </w:rPr>
  </w:style>
  <w:style w:type="paragraph" w:styleId="Tekstpodstawowywcity3">
    <w:name w:val="Body Text Indent 3"/>
    <w:basedOn w:val="Normalny"/>
    <w:link w:val="Tekstpodstawowywcity3Znak"/>
    <w:uiPriority w:val="99"/>
    <w:semiHidden/>
    <w:rsid w:val="00D34F1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34F17"/>
    <w:rPr>
      <w:rFonts w:eastAsiaTheme="minorEastAsia"/>
      <w:sz w:val="16"/>
      <w:szCs w:val="16"/>
      <w:lang w:val="pl-PL"/>
    </w:rPr>
  </w:style>
  <w:style w:type="paragraph" w:styleId="Legenda">
    <w:name w:val="caption"/>
    <w:basedOn w:val="Normalny"/>
    <w:next w:val="Normalny"/>
    <w:uiPriority w:val="99"/>
    <w:semiHidden/>
    <w:qFormat/>
    <w:rsid w:val="00D34F17"/>
    <w:pPr>
      <w:spacing w:after="200"/>
    </w:pPr>
    <w:rPr>
      <w:b/>
      <w:bCs/>
      <w:color w:val="0072BC" w:themeColor="accent1"/>
      <w:sz w:val="18"/>
      <w:szCs w:val="18"/>
    </w:rPr>
  </w:style>
  <w:style w:type="paragraph" w:styleId="Zwrotpoegnalny">
    <w:name w:val="Closing"/>
    <w:basedOn w:val="Normalny"/>
    <w:link w:val="ZwrotpoegnalnyZnak"/>
    <w:uiPriority w:val="99"/>
    <w:semiHidden/>
    <w:rsid w:val="00D34F17"/>
    <w:pPr>
      <w:ind w:left="4252"/>
    </w:pPr>
  </w:style>
  <w:style w:type="character" w:customStyle="1" w:styleId="ZwrotpoegnalnyZnak">
    <w:name w:val="Zwrot pożegnalny Znak"/>
    <w:basedOn w:val="Domylnaczcionkaakapitu"/>
    <w:link w:val="Zwrotpoegnalny"/>
    <w:uiPriority w:val="99"/>
    <w:semiHidden/>
    <w:rsid w:val="00D34F17"/>
    <w:rPr>
      <w:rFonts w:eastAsiaTheme="minorEastAsia"/>
      <w:sz w:val="24"/>
      <w:lang w:val="pl-PL"/>
    </w:rPr>
  </w:style>
  <w:style w:type="table" w:customStyle="1" w:styleId="Kolorowasiatka1">
    <w:name w:val="Kolorowa siatka1"/>
    <w:basedOn w:val="Standardowy"/>
    <w:uiPriority w:val="73"/>
    <w:semiHidden/>
    <w:rsid w:val="00D34F1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34F1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34F1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34F1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34F1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34F1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34F1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72"/>
    <w:semiHidden/>
    <w:rsid w:val="00D34F1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34F1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34F1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34F1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34F1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34F1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34F1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71"/>
    <w:semiHidden/>
    <w:rsid w:val="00D34F1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34F1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34F1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34F1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34F1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34F1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34F1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D34F17"/>
    <w:rPr>
      <w:sz w:val="16"/>
      <w:szCs w:val="16"/>
    </w:rPr>
  </w:style>
  <w:style w:type="paragraph" w:styleId="Tekstkomentarza">
    <w:name w:val="annotation text"/>
    <w:basedOn w:val="Normalny"/>
    <w:link w:val="TekstkomentarzaZnak"/>
    <w:semiHidden/>
    <w:rsid w:val="00D34F17"/>
    <w:rPr>
      <w:sz w:val="20"/>
      <w:szCs w:val="20"/>
    </w:rPr>
  </w:style>
  <w:style w:type="character" w:customStyle="1" w:styleId="TekstkomentarzaZnak">
    <w:name w:val="Tekst komentarza Znak"/>
    <w:basedOn w:val="Domylnaczcionkaakapitu"/>
    <w:link w:val="Tekstkomentarza"/>
    <w:semiHidden/>
    <w:rsid w:val="00D34F17"/>
    <w:rPr>
      <w:rFonts w:eastAsiaTheme="minorEastAsia"/>
      <w:sz w:val="20"/>
      <w:szCs w:val="20"/>
      <w:lang w:val="pl-PL"/>
    </w:rPr>
  </w:style>
  <w:style w:type="paragraph" w:styleId="Tematkomentarza">
    <w:name w:val="annotation subject"/>
    <w:basedOn w:val="Tekstkomentarza"/>
    <w:next w:val="Tekstkomentarza"/>
    <w:link w:val="TematkomentarzaZnak"/>
    <w:uiPriority w:val="99"/>
    <w:semiHidden/>
    <w:rsid w:val="00D34F17"/>
    <w:rPr>
      <w:b/>
      <w:bCs/>
    </w:rPr>
  </w:style>
  <w:style w:type="character" w:customStyle="1" w:styleId="TematkomentarzaZnak">
    <w:name w:val="Temat komentarza Znak"/>
    <w:basedOn w:val="TekstkomentarzaZnak"/>
    <w:link w:val="Tematkomentarza"/>
    <w:uiPriority w:val="99"/>
    <w:semiHidden/>
    <w:rsid w:val="00D34F17"/>
    <w:rPr>
      <w:rFonts w:eastAsiaTheme="minorEastAsia"/>
      <w:b/>
      <w:bCs/>
      <w:sz w:val="20"/>
      <w:szCs w:val="20"/>
      <w:lang w:val="pl-PL"/>
    </w:rPr>
  </w:style>
  <w:style w:type="table" w:customStyle="1" w:styleId="Ciemnalista1">
    <w:name w:val="Ciemna lista1"/>
    <w:basedOn w:val="Standardowy"/>
    <w:uiPriority w:val="70"/>
    <w:semiHidden/>
    <w:rsid w:val="00D34F1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34F1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34F1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34F1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34F1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34F1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34F1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34F17"/>
  </w:style>
  <w:style w:type="character" w:customStyle="1" w:styleId="DataZnak">
    <w:name w:val="Data Znak"/>
    <w:basedOn w:val="Domylnaczcionkaakapitu"/>
    <w:link w:val="Data"/>
    <w:uiPriority w:val="99"/>
    <w:semiHidden/>
    <w:rsid w:val="00D34F17"/>
    <w:rPr>
      <w:rFonts w:eastAsiaTheme="minorEastAsia"/>
      <w:sz w:val="24"/>
      <w:lang w:val="pl-PL"/>
    </w:rPr>
  </w:style>
  <w:style w:type="paragraph" w:styleId="Mapadokumentu">
    <w:name w:val="Document Map"/>
    <w:basedOn w:val="Normalny"/>
    <w:link w:val="MapadokumentuZnak"/>
    <w:uiPriority w:val="99"/>
    <w:semiHidden/>
    <w:rsid w:val="00D34F17"/>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34F17"/>
    <w:rPr>
      <w:rFonts w:ascii="Tahoma" w:eastAsiaTheme="minorEastAsia" w:hAnsi="Tahoma" w:cs="Tahoma"/>
      <w:sz w:val="16"/>
      <w:szCs w:val="16"/>
      <w:lang w:val="pl-PL"/>
    </w:rPr>
  </w:style>
  <w:style w:type="paragraph" w:styleId="Podpise-mail">
    <w:name w:val="E-mail Signature"/>
    <w:basedOn w:val="Normalny"/>
    <w:link w:val="Podpise-mailZnak"/>
    <w:uiPriority w:val="99"/>
    <w:semiHidden/>
    <w:rsid w:val="00D34F17"/>
  </w:style>
  <w:style w:type="character" w:customStyle="1" w:styleId="Podpise-mailZnak">
    <w:name w:val="Podpis e-mail Znak"/>
    <w:basedOn w:val="Domylnaczcionkaakapitu"/>
    <w:link w:val="Podpise-mail"/>
    <w:uiPriority w:val="99"/>
    <w:semiHidden/>
    <w:rsid w:val="00D34F17"/>
    <w:rPr>
      <w:rFonts w:eastAsiaTheme="minorEastAsia"/>
      <w:sz w:val="24"/>
      <w:lang w:val="pl-PL"/>
    </w:rPr>
  </w:style>
  <w:style w:type="character" w:styleId="Odwoanieprzypisukocowego">
    <w:name w:val="endnote reference"/>
    <w:basedOn w:val="Domylnaczcionkaakapitu"/>
    <w:uiPriority w:val="99"/>
    <w:semiHidden/>
    <w:rsid w:val="00D34F17"/>
    <w:rPr>
      <w:vertAlign w:val="superscript"/>
    </w:rPr>
  </w:style>
  <w:style w:type="paragraph" w:styleId="Tekstprzypisukocowego">
    <w:name w:val="endnote text"/>
    <w:basedOn w:val="Normalny"/>
    <w:link w:val="TekstprzypisukocowegoZnak"/>
    <w:uiPriority w:val="99"/>
    <w:semiHidden/>
    <w:rsid w:val="00D34F17"/>
    <w:rPr>
      <w:sz w:val="20"/>
      <w:szCs w:val="20"/>
    </w:rPr>
  </w:style>
  <w:style w:type="character" w:customStyle="1" w:styleId="TekstprzypisukocowegoZnak">
    <w:name w:val="Tekst przypisu końcowego Znak"/>
    <w:basedOn w:val="Domylnaczcionkaakapitu"/>
    <w:link w:val="Tekstprzypisukocowego"/>
    <w:uiPriority w:val="99"/>
    <w:semiHidden/>
    <w:rsid w:val="00D34F17"/>
    <w:rPr>
      <w:rFonts w:eastAsiaTheme="minorEastAsia"/>
      <w:sz w:val="20"/>
      <w:szCs w:val="20"/>
      <w:lang w:val="pl-PL"/>
    </w:rPr>
  </w:style>
  <w:style w:type="paragraph" w:styleId="Adresnakopercie">
    <w:name w:val="envelope address"/>
    <w:basedOn w:val="Normalny"/>
    <w:uiPriority w:val="99"/>
    <w:semiHidden/>
    <w:rsid w:val="00D34F17"/>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34F17"/>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34F17"/>
    <w:rPr>
      <w:color w:val="7030A0" w:themeColor="followedHyperlink"/>
      <w:u w:val="single"/>
    </w:rPr>
  </w:style>
  <w:style w:type="character" w:styleId="HTML-akronim">
    <w:name w:val="HTML Acronym"/>
    <w:basedOn w:val="Domylnaczcionkaakapitu"/>
    <w:uiPriority w:val="99"/>
    <w:semiHidden/>
    <w:rsid w:val="00D34F17"/>
  </w:style>
  <w:style w:type="paragraph" w:styleId="HTML-adres">
    <w:name w:val="HTML Address"/>
    <w:basedOn w:val="Normalny"/>
    <w:link w:val="HTML-adresZnak"/>
    <w:uiPriority w:val="99"/>
    <w:semiHidden/>
    <w:rsid w:val="00D34F17"/>
    <w:rPr>
      <w:i/>
      <w:iCs/>
    </w:rPr>
  </w:style>
  <w:style w:type="character" w:customStyle="1" w:styleId="HTML-adresZnak">
    <w:name w:val="HTML - adres Znak"/>
    <w:basedOn w:val="Domylnaczcionkaakapitu"/>
    <w:link w:val="HTML-adres"/>
    <w:uiPriority w:val="99"/>
    <w:semiHidden/>
    <w:rsid w:val="00D34F17"/>
    <w:rPr>
      <w:rFonts w:eastAsiaTheme="minorEastAsia"/>
      <w:i/>
      <w:iCs/>
      <w:sz w:val="24"/>
      <w:lang w:val="pl-PL"/>
    </w:rPr>
  </w:style>
  <w:style w:type="character" w:styleId="HTML-cytat">
    <w:name w:val="HTML Cite"/>
    <w:basedOn w:val="Domylnaczcionkaakapitu"/>
    <w:uiPriority w:val="99"/>
    <w:semiHidden/>
    <w:rsid w:val="00D34F17"/>
    <w:rPr>
      <w:i/>
      <w:iCs/>
    </w:rPr>
  </w:style>
  <w:style w:type="character" w:styleId="HTML-kod">
    <w:name w:val="HTML Code"/>
    <w:basedOn w:val="Domylnaczcionkaakapitu"/>
    <w:uiPriority w:val="99"/>
    <w:semiHidden/>
    <w:rsid w:val="00D34F17"/>
    <w:rPr>
      <w:rFonts w:ascii="Consolas" w:hAnsi="Consolas" w:cs="Consolas"/>
      <w:sz w:val="20"/>
      <w:szCs w:val="20"/>
    </w:rPr>
  </w:style>
  <w:style w:type="character" w:styleId="HTML-definicja">
    <w:name w:val="HTML Definition"/>
    <w:basedOn w:val="Domylnaczcionkaakapitu"/>
    <w:uiPriority w:val="99"/>
    <w:semiHidden/>
    <w:rsid w:val="00D34F17"/>
    <w:rPr>
      <w:i/>
      <w:iCs/>
    </w:rPr>
  </w:style>
  <w:style w:type="character" w:styleId="HTML-klawiatura">
    <w:name w:val="HTML Keyboard"/>
    <w:basedOn w:val="Domylnaczcionkaakapitu"/>
    <w:uiPriority w:val="99"/>
    <w:semiHidden/>
    <w:rsid w:val="00D34F17"/>
    <w:rPr>
      <w:rFonts w:ascii="Consolas" w:hAnsi="Consolas" w:cs="Consolas"/>
      <w:sz w:val="20"/>
      <w:szCs w:val="20"/>
    </w:rPr>
  </w:style>
  <w:style w:type="paragraph" w:styleId="HTML-wstpniesformatowany">
    <w:name w:val="HTML Preformatted"/>
    <w:basedOn w:val="Normalny"/>
    <w:link w:val="HTML-wstpniesformatowanyZnak"/>
    <w:uiPriority w:val="99"/>
    <w:semiHidden/>
    <w:rsid w:val="00D34F1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34F17"/>
    <w:rPr>
      <w:rFonts w:ascii="Consolas" w:eastAsiaTheme="minorEastAsia" w:hAnsi="Consolas" w:cs="Consolas"/>
      <w:sz w:val="20"/>
      <w:szCs w:val="20"/>
      <w:lang w:val="pl-PL"/>
    </w:rPr>
  </w:style>
  <w:style w:type="character" w:styleId="HTML-przykad">
    <w:name w:val="HTML Sample"/>
    <w:basedOn w:val="Domylnaczcionkaakapitu"/>
    <w:uiPriority w:val="99"/>
    <w:semiHidden/>
    <w:rsid w:val="00D34F17"/>
    <w:rPr>
      <w:rFonts w:ascii="Consolas" w:hAnsi="Consolas" w:cs="Consolas"/>
      <w:sz w:val="24"/>
      <w:szCs w:val="24"/>
    </w:rPr>
  </w:style>
  <w:style w:type="character" w:styleId="HTML-staaszeroko">
    <w:name w:val="HTML Typewriter"/>
    <w:basedOn w:val="Domylnaczcionkaakapitu"/>
    <w:uiPriority w:val="99"/>
    <w:semiHidden/>
    <w:rsid w:val="00D34F17"/>
    <w:rPr>
      <w:rFonts w:ascii="Consolas" w:hAnsi="Consolas" w:cs="Consolas"/>
      <w:sz w:val="20"/>
      <w:szCs w:val="20"/>
    </w:rPr>
  </w:style>
  <w:style w:type="character" w:styleId="HTML-zmienna">
    <w:name w:val="HTML Variable"/>
    <w:basedOn w:val="Domylnaczcionkaakapitu"/>
    <w:uiPriority w:val="99"/>
    <w:semiHidden/>
    <w:rsid w:val="00D34F17"/>
    <w:rPr>
      <w:i/>
      <w:iCs/>
    </w:rPr>
  </w:style>
  <w:style w:type="paragraph" w:styleId="Indeks1">
    <w:name w:val="index 1"/>
    <w:basedOn w:val="Normalny"/>
    <w:next w:val="Normalny"/>
    <w:autoRedefine/>
    <w:uiPriority w:val="99"/>
    <w:semiHidden/>
    <w:rsid w:val="00D34F17"/>
    <w:pPr>
      <w:ind w:left="240" w:hanging="240"/>
    </w:pPr>
  </w:style>
  <w:style w:type="paragraph" w:styleId="Indeks2">
    <w:name w:val="index 2"/>
    <w:basedOn w:val="Normalny"/>
    <w:next w:val="Normalny"/>
    <w:autoRedefine/>
    <w:uiPriority w:val="99"/>
    <w:semiHidden/>
    <w:rsid w:val="00D34F17"/>
    <w:pPr>
      <w:ind w:left="480" w:hanging="240"/>
    </w:pPr>
  </w:style>
  <w:style w:type="paragraph" w:styleId="Indeks3">
    <w:name w:val="index 3"/>
    <w:basedOn w:val="Normalny"/>
    <w:next w:val="Normalny"/>
    <w:autoRedefine/>
    <w:uiPriority w:val="99"/>
    <w:semiHidden/>
    <w:rsid w:val="00D34F17"/>
    <w:pPr>
      <w:ind w:left="720" w:hanging="240"/>
    </w:pPr>
  </w:style>
  <w:style w:type="paragraph" w:styleId="Indeks4">
    <w:name w:val="index 4"/>
    <w:basedOn w:val="Normalny"/>
    <w:next w:val="Normalny"/>
    <w:autoRedefine/>
    <w:uiPriority w:val="99"/>
    <w:semiHidden/>
    <w:rsid w:val="00D34F17"/>
    <w:pPr>
      <w:ind w:left="960" w:hanging="240"/>
    </w:pPr>
  </w:style>
  <w:style w:type="paragraph" w:styleId="Indeks5">
    <w:name w:val="index 5"/>
    <w:basedOn w:val="Normalny"/>
    <w:next w:val="Normalny"/>
    <w:autoRedefine/>
    <w:uiPriority w:val="99"/>
    <w:semiHidden/>
    <w:rsid w:val="00D34F17"/>
    <w:pPr>
      <w:ind w:left="1200" w:hanging="240"/>
    </w:pPr>
  </w:style>
  <w:style w:type="paragraph" w:styleId="Indeks6">
    <w:name w:val="index 6"/>
    <w:basedOn w:val="Normalny"/>
    <w:next w:val="Normalny"/>
    <w:autoRedefine/>
    <w:uiPriority w:val="99"/>
    <w:semiHidden/>
    <w:rsid w:val="00D34F17"/>
    <w:pPr>
      <w:ind w:left="1440" w:hanging="240"/>
    </w:pPr>
  </w:style>
  <w:style w:type="paragraph" w:styleId="Indeks7">
    <w:name w:val="index 7"/>
    <w:basedOn w:val="Normalny"/>
    <w:next w:val="Normalny"/>
    <w:autoRedefine/>
    <w:uiPriority w:val="99"/>
    <w:semiHidden/>
    <w:rsid w:val="00D34F17"/>
    <w:pPr>
      <w:ind w:left="1680" w:hanging="240"/>
    </w:pPr>
  </w:style>
  <w:style w:type="paragraph" w:styleId="Indeks8">
    <w:name w:val="index 8"/>
    <w:basedOn w:val="Normalny"/>
    <w:next w:val="Normalny"/>
    <w:autoRedefine/>
    <w:uiPriority w:val="99"/>
    <w:semiHidden/>
    <w:rsid w:val="00D34F17"/>
    <w:pPr>
      <w:ind w:left="1920" w:hanging="240"/>
    </w:pPr>
  </w:style>
  <w:style w:type="paragraph" w:styleId="Indeks9">
    <w:name w:val="index 9"/>
    <w:basedOn w:val="Normalny"/>
    <w:next w:val="Normalny"/>
    <w:autoRedefine/>
    <w:uiPriority w:val="99"/>
    <w:semiHidden/>
    <w:rsid w:val="00D34F17"/>
    <w:pPr>
      <w:ind w:left="2160" w:hanging="240"/>
    </w:pPr>
  </w:style>
  <w:style w:type="paragraph" w:styleId="Nagwekindeksu">
    <w:name w:val="index heading"/>
    <w:basedOn w:val="Normalny"/>
    <w:next w:val="Indeks1"/>
    <w:uiPriority w:val="99"/>
    <w:semiHidden/>
    <w:rsid w:val="00D34F17"/>
    <w:rPr>
      <w:rFonts w:asciiTheme="majorHAnsi" w:eastAsiaTheme="majorEastAsia" w:hAnsiTheme="majorHAnsi" w:cstheme="majorBidi"/>
      <w:b/>
      <w:bCs/>
    </w:rPr>
  </w:style>
  <w:style w:type="table" w:customStyle="1" w:styleId="Jasnasiatka1">
    <w:name w:val="Jasna siatka1"/>
    <w:basedOn w:val="Standardowy"/>
    <w:uiPriority w:val="62"/>
    <w:semiHidden/>
    <w:rsid w:val="00D34F1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62"/>
    <w:semiHidden/>
    <w:rsid w:val="00D34F1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34F1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34F1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34F1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34F1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34F1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61"/>
    <w:semiHidden/>
    <w:rsid w:val="00D34F1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61"/>
    <w:semiHidden/>
    <w:rsid w:val="00D34F1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34F1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34F1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34F1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34F1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34F1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60"/>
    <w:semiHidden/>
    <w:rsid w:val="00D34F1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60"/>
    <w:semiHidden/>
    <w:rsid w:val="00D34F1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34F1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34F1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34F1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34F1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34F1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34F17"/>
  </w:style>
  <w:style w:type="paragraph" w:styleId="Lista">
    <w:name w:val="List"/>
    <w:basedOn w:val="Normalny"/>
    <w:uiPriority w:val="99"/>
    <w:semiHidden/>
    <w:rsid w:val="00D34F17"/>
    <w:pPr>
      <w:ind w:left="283" w:hanging="283"/>
      <w:contextualSpacing/>
    </w:pPr>
  </w:style>
  <w:style w:type="paragraph" w:styleId="Lista2">
    <w:name w:val="List 2"/>
    <w:basedOn w:val="Normalny"/>
    <w:uiPriority w:val="99"/>
    <w:semiHidden/>
    <w:rsid w:val="00D34F17"/>
    <w:pPr>
      <w:ind w:left="566" w:hanging="283"/>
      <w:contextualSpacing/>
    </w:pPr>
  </w:style>
  <w:style w:type="paragraph" w:styleId="Lista3">
    <w:name w:val="List 3"/>
    <w:basedOn w:val="Normalny"/>
    <w:uiPriority w:val="99"/>
    <w:semiHidden/>
    <w:rsid w:val="00D34F17"/>
    <w:pPr>
      <w:ind w:left="849" w:hanging="283"/>
      <w:contextualSpacing/>
    </w:pPr>
  </w:style>
  <w:style w:type="paragraph" w:styleId="Lista4">
    <w:name w:val="List 4"/>
    <w:basedOn w:val="Normalny"/>
    <w:uiPriority w:val="99"/>
    <w:semiHidden/>
    <w:rsid w:val="00D34F17"/>
    <w:pPr>
      <w:ind w:left="1132" w:hanging="283"/>
      <w:contextualSpacing/>
    </w:pPr>
  </w:style>
  <w:style w:type="paragraph" w:styleId="Lista5">
    <w:name w:val="List 5"/>
    <w:basedOn w:val="Normalny"/>
    <w:uiPriority w:val="99"/>
    <w:semiHidden/>
    <w:rsid w:val="00D34F17"/>
    <w:pPr>
      <w:ind w:left="1415" w:hanging="283"/>
      <w:contextualSpacing/>
    </w:pPr>
  </w:style>
  <w:style w:type="paragraph" w:styleId="Listapunktowana2">
    <w:name w:val="List Bullet 2"/>
    <w:basedOn w:val="Normalny"/>
    <w:uiPriority w:val="99"/>
    <w:semiHidden/>
    <w:rsid w:val="00D34F17"/>
    <w:pPr>
      <w:numPr>
        <w:numId w:val="10"/>
      </w:numPr>
      <w:contextualSpacing/>
    </w:pPr>
  </w:style>
  <w:style w:type="paragraph" w:styleId="Listapunktowana4">
    <w:name w:val="List Bullet 4"/>
    <w:basedOn w:val="Normalny"/>
    <w:uiPriority w:val="99"/>
    <w:semiHidden/>
    <w:rsid w:val="00D34F17"/>
    <w:pPr>
      <w:numPr>
        <w:numId w:val="12"/>
      </w:numPr>
      <w:contextualSpacing/>
    </w:pPr>
  </w:style>
  <w:style w:type="paragraph" w:styleId="Listapunktowana5">
    <w:name w:val="List Bullet 5"/>
    <w:basedOn w:val="Normalny"/>
    <w:uiPriority w:val="99"/>
    <w:semiHidden/>
    <w:rsid w:val="00D34F17"/>
    <w:pPr>
      <w:numPr>
        <w:numId w:val="13"/>
      </w:numPr>
      <w:contextualSpacing/>
    </w:pPr>
  </w:style>
  <w:style w:type="paragraph" w:styleId="Lista-kontynuacja">
    <w:name w:val="List Continue"/>
    <w:basedOn w:val="Normalny"/>
    <w:uiPriority w:val="99"/>
    <w:semiHidden/>
    <w:rsid w:val="00D34F17"/>
    <w:pPr>
      <w:spacing w:after="120"/>
      <w:ind w:left="283"/>
      <w:contextualSpacing/>
    </w:pPr>
  </w:style>
  <w:style w:type="paragraph" w:styleId="Lista-kontynuacja2">
    <w:name w:val="List Continue 2"/>
    <w:basedOn w:val="Normalny"/>
    <w:uiPriority w:val="99"/>
    <w:semiHidden/>
    <w:rsid w:val="00D34F17"/>
    <w:pPr>
      <w:spacing w:after="120"/>
      <w:ind w:left="566"/>
      <w:contextualSpacing/>
    </w:pPr>
  </w:style>
  <w:style w:type="paragraph" w:styleId="Lista-kontynuacja3">
    <w:name w:val="List Continue 3"/>
    <w:basedOn w:val="Normalny"/>
    <w:uiPriority w:val="99"/>
    <w:semiHidden/>
    <w:rsid w:val="00D34F17"/>
    <w:pPr>
      <w:spacing w:after="120"/>
      <w:ind w:left="849"/>
      <w:contextualSpacing/>
    </w:pPr>
  </w:style>
  <w:style w:type="paragraph" w:styleId="Lista-kontynuacja4">
    <w:name w:val="List Continue 4"/>
    <w:basedOn w:val="Normalny"/>
    <w:uiPriority w:val="99"/>
    <w:semiHidden/>
    <w:rsid w:val="00D34F17"/>
    <w:pPr>
      <w:spacing w:after="120"/>
      <w:ind w:left="1132"/>
      <w:contextualSpacing/>
    </w:pPr>
  </w:style>
  <w:style w:type="paragraph" w:styleId="Lista-kontynuacja5">
    <w:name w:val="List Continue 5"/>
    <w:basedOn w:val="Normalny"/>
    <w:uiPriority w:val="99"/>
    <w:semiHidden/>
    <w:rsid w:val="00D34F17"/>
    <w:pPr>
      <w:spacing w:after="120"/>
      <w:ind w:left="1415"/>
      <w:contextualSpacing/>
    </w:pPr>
  </w:style>
  <w:style w:type="paragraph" w:styleId="Listanumerowana">
    <w:name w:val="List Number"/>
    <w:basedOn w:val="Normalny"/>
    <w:uiPriority w:val="99"/>
    <w:semiHidden/>
    <w:rsid w:val="00D34F17"/>
    <w:pPr>
      <w:numPr>
        <w:numId w:val="14"/>
      </w:numPr>
      <w:contextualSpacing/>
    </w:pPr>
  </w:style>
  <w:style w:type="paragraph" w:styleId="Listanumerowana2">
    <w:name w:val="List Number 2"/>
    <w:basedOn w:val="Normalny"/>
    <w:uiPriority w:val="99"/>
    <w:semiHidden/>
    <w:rsid w:val="00D34F17"/>
    <w:pPr>
      <w:numPr>
        <w:numId w:val="15"/>
      </w:numPr>
      <w:contextualSpacing/>
    </w:pPr>
  </w:style>
  <w:style w:type="paragraph" w:styleId="Listanumerowana3">
    <w:name w:val="List Number 3"/>
    <w:basedOn w:val="Normalny"/>
    <w:uiPriority w:val="99"/>
    <w:semiHidden/>
    <w:rsid w:val="00D34F17"/>
    <w:pPr>
      <w:numPr>
        <w:numId w:val="16"/>
      </w:numPr>
      <w:contextualSpacing/>
    </w:pPr>
  </w:style>
  <w:style w:type="paragraph" w:styleId="Listanumerowana4">
    <w:name w:val="List Number 4"/>
    <w:basedOn w:val="Normalny"/>
    <w:uiPriority w:val="99"/>
    <w:semiHidden/>
    <w:rsid w:val="00D34F17"/>
    <w:pPr>
      <w:numPr>
        <w:numId w:val="17"/>
      </w:numPr>
      <w:contextualSpacing/>
    </w:pPr>
  </w:style>
  <w:style w:type="paragraph" w:styleId="Listanumerowana5">
    <w:name w:val="List Number 5"/>
    <w:basedOn w:val="Normalny"/>
    <w:uiPriority w:val="99"/>
    <w:semiHidden/>
    <w:rsid w:val="00D34F17"/>
    <w:pPr>
      <w:numPr>
        <w:numId w:val="18"/>
      </w:numPr>
      <w:contextualSpacing/>
    </w:pPr>
  </w:style>
  <w:style w:type="paragraph" w:styleId="Tekstmakra">
    <w:name w:val="macro"/>
    <w:link w:val="TekstmakraZnak"/>
    <w:uiPriority w:val="99"/>
    <w:semiHidden/>
    <w:rsid w:val="00D34F1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34F17"/>
    <w:rPr>
      <w:rFonts w:ascii="Consolas" w:eastAsiaTheme="minorEastAsia" w:hAnsi="Consolas" w:cs="Consolas"/>
      <w:sz w:val="20"/>
      <w:szCs w:val="20"/>
    </w:rPr>
  </w:style>
  <w:style w:type="table" w:customStyle="1" w:styleId="redniasiatka11">
    <w:name w:val="Średnia siatka 11"/>
    <w:basedOn w:val="Standardowy"/>
    <w:uiPriority w:val="67"/>
    <w:semiHidden/>
    <w:rsid w:val="00D34F1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34F1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34F1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34F1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34F1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34F1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34F1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68"/>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69"/>
    <w:semiHidden/>
    <w:rsid w:val="00D34F1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34F1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34F1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34F1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34F1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34F1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34F1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65"/>
    <w:semiHidden/>
    <w:rsid w:val="00D34F1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65"/>
    <w:semiHidden/>
    <w:rsid w:val="00D34F1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34F1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34F1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34F1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34F1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34F1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66"/>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34F1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63"/>
    <w:semiHidden/>
    <w:rsid w:val="00D34F1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63"/>
    <w:semiHidden/>
    <w:rsid w:val="00D34F1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34F1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34F1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34F1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34F1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34F1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64"/>
    <w:semiHidden/>
    <w:rsid w:val="00D34F1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64"/>
    <w:semiHidden/>
    <w:rsid w:val="00D34F1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34F1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34F1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34F1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34F1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34F1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34F1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34F17"/>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9"/>
    <w:semiHidden/>
    <w:rsid w:val="00D34F17"/>
    <w:rPr>
      <w:rFonts w:ascii="Times New Roman" w:hAnsi="Times New Roman" w:cs="Times New Roman"/>
      <w:szCs w:val="24"/>
    </w:rPr>
  </w:style>
  <w:style w:type="paragraph" w:styleId="Wcicienormalne">
    <w:name w:val="Normal Indent"/>
    <w:basedOn w:val="Normalny"/>
    <w:uiPriority w:val="99"/>
    <w:semiHidden/>
    <w:rsid w:val="00D34F17"/>
    <w:pPr>
      <w:ind w:left="720"/>
    </w:pPr>
  </w:style>
  <w:style w:type="paragraph" w:styleId="Nagweknotatki">
    <w:name w:val="Note Heading"/>
    <w:basedOn w:val="Normalny"/>
    <w:next w:val="Normalny"/>
    <w:link w:val="NagweknotatkiZnak"/>
    <w:uiPriority w:val="99"/>
    <w:semiHidden/>
    <w:rsid w:val="00D34F17"/>
  </w:style>
  <w:style w:type="character" w:customStyle="1" w:styleId="NagweknotatkiZnak">
    <w:name w:val="Nagłówek notatki Znak"/>
    <w:basedOn w:val="Domylnaczcionkaakapitu"/>
    <w:link w:val="Nagweknotatki"/>
    <w:uiPriority w:val="99"/>
    <w:semiHidden/>
    <w:rsid w:val="00D34F17"/>
    <w:rPr>
      <w:rFonts w:eastAsiaTheme="minorEastAsia"/>
      <w:sz w:val="24"/>
      <w:lang w:val="pl-PL"/>
    </w:rPr>
  </w:style>
  <w:style w:type="character" w:styleId="Tekstzastpczy">
    <w:name w:val="Placeholder Text"/>
    <w:basedOn w:val="Domylnaczcionkaakapitu"/>
    <w:uiPriority w:val="99"/>
    <w:semiHidden/>
    <w:rsid w:val="00D34F1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34F17"/>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34F17"/>
    <w:rPr>
      <w:rFonts w:ascii="Consolas" w:eastAsiaTheme="minorEastAsia" w:hAnsi="Consolas" w:cs="Consolas"/>
      <w:sz w:val="21"/>
      <w:szCs w:val="21"/>
      <w:lang w:val="pl-PL"/>
    </w:rPr>
  </w:style>
  <w:style w:type="paragraph" w:styleId="Zwrotgrzecznociowy">
    <w:name w:val="Salutation"/>
    <w:basedOn w:val="Normalny"/>
    <w:next w:val="Normalny"/>
    <w:link w:val="ZwrotgrzecznociowyZnak"/>
    <w:uiPriority w:val="99"/>
    <w:semiHidden/>
    <w:rsid w:val="00D34F17"/>
  </w:style>
  <w:style w:type="character" w:customStyle="1" w:styleId="ZwrotgrzecznociowyZnak">
    <w:name w:val="Zwrot grzecznościowy Znak"/>
    <w:basedOn w:val="Domylnaczcionkaakapitu"/>
    <w:link w:val="Zwrotgrzecznociowy"/>
    <w:uiPriority w:val="99"/>
    <w:semiHidden/>
    <w:rsid w:val="00D34F17"/>
    <w:rPr>
      <w:rFonts w:eastAsiaTheme="minorEastAsia"/>
      <w:sz w:val="24"/>
      <w:lang w:val="pl-PL"/>
    </w:rPr>
  </w:style>
  <w:style w:type="paragraph" w:styleId="Podpis">
    <w:name w:val="Signature"/>
    <w:basedOn w:val="Normalny"/>
    <w:link w:val="PodpisZnak"/>
    <w:uiPriority w:val="99"/>
    <w:semiHidden/>
    <w:rsid w:val="00D34F17"/>
    <w:pPr>
      <w:ind w:left="4252"/>
    </w:pPr>
  </w:style>
  <w:style w:type="character" w:customStyle="1" w:styleId="PodpisZnak">
    <w:name w:val="Podpis Znak"/>
    <w:basedOn w:val="Domylnaczcionkaakapitu"/>
    <w:link w:val="Podpis"/>
    <w:uiPriority w:val="99"/>
    <w:semiHidden/>
    <w:rsid w:val="00D34F17"/>
    <w:rPr>
      <w:rFonts w:eastAsiaTheme="minorEastAsia"/>
      <w:sz w:val="24"/>
      <w:lang w:val="pl-PL"/>
    </w:rPr>
  </w:style>
  <w:style w:type="table" w:styleId="Tabela-Efekty3D1">
    <w:name w:val="Table 3D effects 1"/>
    <w:basedOn w:val="Standardowy"/>
    <w:uiPriority w:val="99"/>
    <w:semiHidden/>
    <w:unhideWhenUsed/>
    <w:rsid w:val="00D34F1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34F1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34F1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34F1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34F1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34F1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34F1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34F1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34F1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34F1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34F1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34F1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34F1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34F1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34F1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34F1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34F1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34F1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34F1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34F1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34F1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34F1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34F1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34F1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34F1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34F1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34F1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34F1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34F1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34F1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34F1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34F1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34F1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34F17"/>
    <w:pPr>
      <w:ind w:left="240" w:hanging="240"/>
    </w:pPr>
  </w:style>
  <w:style w:type="paragraph" w:styleId="Spisilustracji">
    <w:name w:val="table of figures"/>
    <w:basedOn w:val="Normalny"/>
    <w:next w:val="Normalny"/>
    <w:uiPriority w:val="99"/>
    <w:semiHidden/>
    <w:rsid w:val="00D34F17"/>
  </w:style>
  <w:style w:type="table" w:styleId="Tabela-Profesjonalny">
    <w:name w:val="Table Professional"/>
    <w:basedOn w:val="Standardowy"/>
    <w:uiPriority w:val="99"/>
    <w:semiHidden/>
    <w:unhideWhenUsed/>
    <w:rsid w:val="00D34F1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34F1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34F1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34F1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34F1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34F1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34F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34F1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34F1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34F1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34F1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D34F1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34F17"/>
    <w:pPr>
      <w:spacing w:after="100"/>
      <w:ind w:left="1680"/>
    </w:pPr>
  </w:style>
  <w:style w:type="paragraph" w:styleId="Spistreci9">
    <w:name w:val="toc 9"/>
    <w:basedOn w:val="Normalny"/>
    <w:next w:val="Normalny"/>
    <w:autoRedefine/>
    <w:uiPriority w:val="99"/>
    <w:semiHidden/>
    <w:rsid w:val="00D34F17"/>
    <w:pPr>
      <w:spacing w:after="100"/>
      <w:ind w:left="1920"/>
    </w:pPr>
  </w:style>
  <w:style w:type="paragraph" w:customStyle="1" w:styleId="ECHRFooter">
    <w:name w:val="ECHR_Footer"/>
    <w:aliases w:val="Footer_ECHR"/>
    <w:basedOn w:val="Stopka"/>
    <w:uiPriority w:val="57"/>
    <w:semiHidden/>
    <w:rsid w:val="00BF337E"/>
    <w:rPr>
      <w:sz w:val="8"/>
    </w:rPr>
  </w:style>
  <w:style w:type="paragraph" w:customStyle="1" w:styleId="FooterLine">
    <w:name w:val="_Footer_Line"/>
    <w:aliases w:val="Footer_Line"/>
    <w:basedOn w:val="Normalny"/>
    <w:next w:val="Footer"/>
    <w:uiPriority w:val="57"/>
    <w:semiHidden/>
    <w:rsid w:val="00D34F17"/>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D34F17"/>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D34F17"/>
    <w:pPr>
      <w:tabs>
        <w:tab w:val="clear" w:pos="3686"/>
        <w:tab w:val="clear" w:pos="7371"/>
        <w:tab w:val="center" w:pos="6146"/>
        <w:tab w:val="right" w:pos="12293"/>
      </w:tabs>
    </w:pPr>
  </w:style>
  <w:style w:type="character" w:customStyle="1" w:styleId="ECHRParaChar">
    <w:name w:val="ECHR_Para Char"/>
    <w:aliases w:val="Ju_Para Char"/>
    <w:link w:val="JuPara"/>
    <w:uiPriority w:val="8"/>
    <w:rsid w:val="00B3070D"/>
    <w:rPr>
      <w:rFonts w:eastAsiaTheme="minorEastAsia"/>
      <w:sz w:val="24"/>
      <w:lang w:val="pl-PL"/>
    </w:rPr>
  </w:style>
  <w:style w:type="paragraph" w:customStyle="1" w:styleId="ECHRHeaderRefIt">
    <w:name w:val="ECHR_Header_Ref_It"/>
    <w:aliases w:val="Ref_Ital"/>
    <w:basedOn w:val="Normalny"/>
    <w:next w:val="Normalny"/>
    <w:uiPriority w:val="38"/>
    <w:rsid w:val="00B3070D"/>
    <w:pPr>
      <w:jc w:val="right"/>
    </w:pPr>
    <w:rPr>
      <w:rFonts w:eastAsiaTheme="minorHAnsi"/>
      <w:i/>
      <w:sz w:val="20"/>
    </w:rPr>
  </w:style>
  <w:style w:type="paragraph" w:customStyle="1" w:styleId="jupara0">
    <w:name w:val="jupara"/>
    <w:basedOn w:val="Normalny"/>
    <w:rsid w:val="00EE43AE"/>
    <w:pPr>
      <w:ind w:firstLine="284"/>
      <w:jc w:val="both"/>
    </w:pPr>
    <w:rPr>
      <w:rFonts w:ascii="Times New Roman" w:eastAsia="Times New Roman" w:hAnsi="Times New Roman" w:cs="Times New Roman"/>
      <w:szCs w:val="24"/>
      <w:lang w:eastAsia="en-GB"/>
    </w:rPr>
  </w:style>
  <w:style w:type="paragraph" w:customStyle="1" w:styleId="jucase0">
    <w:name w:val="jucase"/>
    <w:basedOn w:val="Normalny"/>
    <w:rsid w:val="00EE43AE"/>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133819009">
      <w:bodyDiv w:val="1"/>
      <w:marLeft w:val="0"/>
      <w:marRight w:val="0"/>
      <w:marTop w:val="0"/>
      <w:marBottom w:val="0"/>
      <w:divBdr>
        <w:top w:val="none" w:sz="0" w:space="0" w:color="auto"/>
        <w:left w:val="none" w:sz="0" w:space="0" w:color="auto"/>
        <w:bottom w:val="none" w:sz="0" w:space="0" w:color="auto"/>
        <w:right w:val="none" w:sz="0" w:space="0" w:color="auto"/>
      </w:divBdr>
      <w:divsChild>
        <w:div w:id="948779612">
          <w:marLeft w:val="0"/>
          <w:marRight w:val="0"/>
          <w:marTop w:val="0"/>
          <w:marBottom w:val="0"/>
          <w:divBdr>
            <w:top w:val="none" w:sz="0" w:space="0" w:color="auto"/>
            <w:left w:val="none" w:sz="0" w:space="0" w:color="auto"/>
            <w:bottom w:val="none" w:sz="0" w:space="0" w:color="auto"/>
            <w:right w:val="none" w:sz="0" w:space="0" w:color="auto"/>
          </w:divBdr>
          <w:divsChild>
            <w:div w:id="871454150">
              <w:marLeft w:val="0"/>
              <w:marRight w:val="0"/>
              <w:marTop w:val="0"/>
              <w:marBottom w:val="0"/>
              <w:divBdr>
                <w:top w:val="none" w:sz="0" w:space="0" w:color="auto"/>
                <w:left w:val="none" w:sz="0" w:space="0" w:color="auto"/>
                <w:bottom w:val="none" w:sz="0" w:space="0" w:color="auto"/>
                <w:right w:val="none" w:sz="0" w:space="0" w:color="auto"/>
              </w:divBdr>
              <w:divsChild>
                <w:div w:id="1792820600">
                  <w:marLeft w:val="0"/>
                  <w:marRight w:val="0"/>
                  <w:marTop w:val="0"/>
                  <w:marBottom w:val="0"/>
                  <w:divBdr>
                    <w:top w:val="none" w:sz="0" w:space="0" w:color="auto"/>
                    <w:left w:val="none" w:sz="0" w:space="0" w:color="auto"/>
                    <w:bottom w:val="none" w:sz="0" w:space="0" w:color="auto"/>
                    <w:right w:val="none" w:sz="0" w:space="0" w:color="auto"/>
                  </w:divBdr>
                  <w:divsChild>
                    <w:div w:id="1213931218">
                      <w:marLeft w:val="0"/>
                      <w:marRight w:val="0"/>
                      <w:marTop w:val="0"/>
                      <w:marBottom w:val="0"/>
                      <w:divBdr>
                        <w:top w:val="none" w:sz="0" w:space="0" w:color="auto"/>
                        <w:left w:val="none" w:sz="0" w:space="0" w:color="auto"/>
                        <w:bottom w:val="none" w:sz="0" w:space="0" w:color="auto"/>
                        <w:right w:val="none" w:sz="0" w:space="0" w:color="auto"/>
                      </w:divBdr>
                      <w:divsChild>
                        <w:div w:id="207768336">
                          <w:marLeft w:val="0"/>
                          <w:marRight w:val="0"/>
                          <w:marTop w:val="0"/>
                          <w:marBottom w:val="0"/>
                          <w:divBdr>
                            <w:top w:val="none" w:sz="0" w:space="0" w:color="auto"/>
                            <w:left w:val="none" w:sz="0" w:space="0" w:color="auto"/>
                            <w:bottom w:val="none" w:sz="0" w:space="0" w:color="auto"/>
                            <w:right w:val="none" w:sz="0" w:space="0" w:color="auto"/>
                          </w:divBdr>
                          <w:divsChild>
                            <w:div w:id="144025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goodreads.com/author/show/1774448.Jaroslav_Ha_ek" TargetMode="External"/><Relationship Id="rId1" Type="http://schemas.openxmlformats.org/officeDocument/2006/relationships/hyperlink" Target="https://www.goodreads.com/author/show/1774448.Jaroslav_Ha_e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0B6B89-ACC8-4909-B617-75CFA1177B61}">
  <ds:schemaRefs>
    <ds:schemaRef ds:uri="http://schemas.microsoft.com/sharepoint/v3/contenttype/forms"/>
  </ds:schemaRefs>
</ds:datastoreItem>
</file>

<file path=customXml/itemProps2.xml><?xml version="1.0" encoding="utf-8"?>
<ds:datastoreItem xmlns:ds="http://schemas.openxmlformats.org/officeDocument/2006/customXml" ds:itemID="{5067EE51-1CC5-4DB2-9714-F7273D9BEB9B}">
  <ds:schemaRefs>
    <ds:schemaRef ds:uri="http://schemas.openxmlformats.org/officeDocument/2006/bibliography"/>
  </ds:schemaRefs>
</ds:datastoreItem>
</file>

<file path=customXml/itemProps3.xml><?xml version="1.0" encoding="utf-8"?>
<ds:datastoreItem xmlns:ds="http://schemas.openxmlformats.org/officeDocument/2006/customXml" ds:itemID="{EC162237-A25E-45BA-9E27-C8F449712A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9640CE5-C9CF-4F24-8DB3-54CF7E9D29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15085</Words>
  <Characters>90516</Characters>
  <Application>Microsoft Office Word</Application>
  <DocSecurity>0</DocSecurity>
  <Lines>754</Lines>
  <Paragraphs>210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105391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dc:description/>
  <cp:lastModifiedBy/>
  <cp:revision>1</cp:revision>
  <dcterms:created xsi:type="dcterms:W3CDTF">2021-12-17T15:22:00Z</dcterms:created>
  <dcterms:modified xsi:type="dcterms:W3CDTF">2021-12-20T08:22:00Z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51979/17</vt:lpwstr>
  </property>
  <property fmtid="{D5CDD505-2E9C-101B-9397-08002B2CF9AE}" pid="4" name="CASEID">
    <vt:lpwstr>1325236</vt:lpwstr>
  </property>
  <property fmtid="{D5CDD505-2E9C-101B-9397-08002B2CF9AE}" pid="5" name="ContentTypeId">
    <vt:lpwstr>0x010100558EB02BDB9E204AB350EDD385B68E10</vt:lpwstr>
  </property>
</Properties>
</file>