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AE" w:rsidRPr="00C408DC" w:rsidRDefault="001377AE" w:rsidP="00072604">
      <w:pPr>
        <w:jc w:val="center"/>
        <w:rPr>
          <w:lang w:val="pl-PL"/>
        </w:rPr>
      </w:pPr>
      <w:r w:rsidRPr="00C408DC">
        <w:rPr>
          <w:rStyle w:val="s4f807e54"/>
          <w:rFonts w:ascii="Arial" w:hAnsi="Arial" w:cs="Arial"/>
          <w:sz w:val="18"/>
          <w:szCs w:val="18"/>
          <w:lang w:val="pl-PL"/>
        </w:rPr>
        <w:t>© Copyright for the Polish translation by Naczelny Sąd Administracyjny, Warszawa 2021</w:t>
      </w: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5F6F5D" w:rsidP="00072604">
      <w:pPr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tabs>
          <w:tab w:val="left" w:pos="5529"/>
        </w:tabs>
        <w:jc w:val="center"/>
        <w:rPr>
          <w:lang w:val="pl-PL"/>
        </w:rPr>
      </w:pPr>
      <w:r w:rsidRPr="00C408DC">
        <w:rPr>
          <w:lang w:val="pl-PL"/>
        </w:rPr>
        <w:t>WIELKA IZBA</w:t>
      </w: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b/>
          <w:bCs/>
          <w:lang w:val="pl-PL"/>
        </w:rPr>
      </w:pPr>
      <w:bookmarkStart w:id="0" w:name="To"/>
      <w:r w:rsidRPr="00C408DC">
        <w:rPr>
          <w:b/>
          <w:bCs/>
          <w:lang w:val="pl-PL"/>
        </w:rPr>
        <w:t xml:space="preserve">SPRAWA </w:t>
      </w:r>
      <w:bookmarkEnd w:id="0"/>
      <w:r w:rsidRPr="00C408DC">
        <w:rPr>
          <w:b/>
          <w:bCs/>
          <w:lang w:val="pl-PL"/>
        </w:rPr>
        <w:t>Z.A. I</w:t>
      </w:r>
      <w:r w:rsidR="005C05E6">
        <w:rPr>
          <w:b/>
          <w:bCs/>
          <w:lang w:val="pl-PL"/>
        </w:rPr>
        <w:t xml:space="preserve"> </w:t>
      </w:r>
      <w:r w:rsidRPr="00C408DC">
        <w:rPr>
          <w:b/>
          <w:bCs/>
          <w:lang w:val="pl-PL"/>
        </w:rPr>
        <w:t>INNI przeciwko Rosji</w:t>
      </w: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i/>
          <w:iCs/>
          <w:lang w:val="pl-PL"/>
        </w:rPr>
      </w:pPr>
      <w:r w:rsidRPr="00C408DC">
        <w:rPr>
          <w:i/>
          <w:iCs/>
          <w:lang w:val="pl-PL"/>
        </w:rPr>
        <w:t>(Skargi nr 61411/15, 61420/15, 61427/15 oraz 3028/16)</w:t>
      </w: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Default="001377AE" w:rsidP="00072604">
      <w:pPr>
        <w:jc w:val="center"/>
        <w:rPr>
          <w:lang w:val="pl-PL"/>
        </w:rPr>
      </w:pPr>
      <w:r w:rsidRPr="00C408DC">
        <w:rPr>
          <w:lang w:val="pl-PL"/>
        </w:rPr>
        <w:t>WYROK</w:t>
      </w:r>
    </w:p>
    <w:p w:rsidR="007662F2" w:rsidRPr="00C408DC" w:rsidRDefault="007662F2" w:rsidP="00072604">
      <w:pPr>
        <w:jc w:val="center"/>
        <w:rPr>
          <w:lang w:val="pl-PL"/>
        </w:rPr>
      </w:pPr>
      <w:r>
        <w:rPr>
          <w:lang w:val="pl-PL"/>
        </w:rPr>
        <w:t>[wyciąg]</w:t>
      </w:r>
      <w:bookmarkStart w:id="1" w:name="_GoBack"/>
      <w:bookmarkEnd w:id="1"/>
    </w:p>
    <w:p w:rsidR="001377AE" w:rsidRPr="00C408DC" w:rsidRDefault="001377AE" w:rsidP="00072604">
      <w:pPr>
        <w:jc w:val="center"/>
        <w:rPr>
          <w:i/>
          <w:iCs/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  <w:r w:rsidRPr="00C408DC">
        <w:rPr>
          <w:lang w:val="pl-PL"/>
        </w:rPr>
        <w:t>STRASBURG</w:t>
      </w: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  <w:r w:rsidRPr="00C408DC">
        <w:rPr>
          <w:lang w:val="pl-PL"/>
        </w:rPr>
        <w:t>21 listopada 2019</w:t>
      </w:r>
      <w:r w:rsidR="005B2137" w:rsidRPr="00C408DC">
        <w:rPr>
          <w:lang w:val="pl-PL"/>
        </w:rPr>
        <w:t xml:space="preserve"> r.</w:t>
      </w: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72604">
      <w:pPr>
        <w:jc w:val="center"/>
        <w:rPr>
          <w:lang w:val="pl-PL"/>
        </w:rPr>
      </w:pPr>
    </w:p>
    <w:p w:rsidR="001377AE" w:rsidRPr="00C408DC" w:rsidRDefault="001377AE" w:rsidP="000D0FA6">
      <w:pPr>
        <w:jc w:val="center"/>
        <w:rPr>
          <w:i/>
          <w:iCs/>
          <w:sz w:val="22"/>
          <w:szCs w:val="22"/>
          <w:lang w:val="pl-PL"/>
        </w:rPr>
      </w:pPr>
      <w:r w:rsidRPr="00C408DC">
        <w:rPr>
          <w:i/>
          <w:iCs/>
          <w:sz w:val="22"/>
          <w:szCs w:val="22"/>
          <w:lang w:val="pl-PL"/>
        </w:rPr>
        <w:t>Niniejszy wyrok jest ostateczny, ale może podlegać korekcie wydawniczej.</w:t>
      </w:r>
    </w:p>
    <w:p w:rsidR="001377AE" w:rsidRPr="00C408DC" w:rsidRDefault="001377AE" w:rsidP="00072604">
      <w:pPr>
        <w:rPr>
          <w:sz w:val="22"/>
          <w:szCs w:val="22"/>
          <w:lang w:val="pl-PL"/>
        </w:rPr>
        <w:sectPr w:rsidR="001377AE" w:rsidRPr="00C408DC" w:rsidSect="001F1CD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noEndnote/>
        </w:sectPr>
      </w:pPr>
    </w:p>
    <w:p w:rsidR="001377AE" w:rsidRPr="00C408DC" w:rsidRDefault="001377AE" w:rsidP="00072604">
      <w:pPr>
        <w:pStyle w:val="JuCase"/>
        <w:rPr>
          <w:b w:val="0"/>
          <w:bCs w:val="0"/>
          <w:lang w:val="pl-PL"/>
        </w:rPr>
      </w:pPr>
      <w:r w:rsidRPr="00C408DC">
        <w:rPr>
          <w:lang w:val="pl-PL"/>
        </w:rPr>
        <w:lastRenderedPageBreak/>
        <w:t>W sprawie Z.A. i Inni przeciwko Rosji,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Europejski Trybunał Praw Człowieka, zasiadając jako Wielka Izba w</w:t>
      </w:r>
      <w:r w:rsidR="00C221D8">
        <w:rPr>
          <w:lang w:val="pl-PL"/>
        </w:rPr>
        <w:t> </w:t>
      </w:r>
      <w:r w:rsidRPr="00C408DC">
        <w:rPr>
          <w:lang w:val="pl-PL"/>
        </w:rPr>
        <w:t>składzie:</w:t>
      </w:r>
    </w:p>
    <w:p w:rsidR="001377AE" w:rsidRPr="00C408DC" w:rsidRDefault="001377AE" w:rsidP="00072604">
      <w:pPr>
        <w:pStyle w:val="JuJudges"/>
        <w:rPr>
          <w:lang w:val="pl-PL"/>
        </w:rPr>
      </w:pPr>
      <w:r w:rsidRPr="00C408DC">
        <w:rPr>
          <w:lang w:val="pl-PL"/>
        </w:rPr>
        <w:tab/>
        <w:t xml:space="preserve">Linos-Alexandre Sicilianos, </w:t>
      </w:r>
      <w:r w:rsidRPr="00C408DC">
        <w:rPr>
          <w:i/>
          <w:iCs/>
          <w:lang w:val="pl-PL"/>
        </w:rPr>
        <w:t>Przewodniczący</w:t>
      </w:r>
      <w:r w:rsidRPr="00C408DC">
        <w:rPr>
          <w:lang w:val="pl-PL"/>
        </w:rPr>
        <w:t>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Angelika Nußberger,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Robert Spano,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Jon Fridrik Kjølbro,</w:t>
      </w:r>
    </w:p>
    <w:p w:rsidR="001377AE" w:rsidRPr="00C408DC" w:rsidRDefault="001377AE" w:rsidP="00072604">
      <w:pPr>
        <w:pStyle w:val="JuJudges"/>
        <w:rPr>
          <w:lang w:val="pl-PL"/>
        </w:rPr>
      </w:pPr>
      <w:r w:rsidRPr="00C408DC">
        <w:rPr>
          <w:lang w:val="pl-PL"/>
        </w:rPr>
        <w:tab/>
        <w:t>Ksenija Turković,</w:t>
      </w:r>
    </w:p>
    <w:p w:rsidR="001377AE" w:rsidRPr="00C408DC" w:rsidRDefault="001377AE" w:rsidP="00072604">
      <w:pPr>
        <w:pStyle w:val="JuJudges"/>
        <w:rPr>
          <w:lang w:val="pl-PL"/>
        </w:rPr>
      </w:pPr>
      <w:r w:rsidRPr="00C408DC">
        <w:rPr>
          <w:lang w:val="pl-PL"/>
        </w:rPr>
        <w:tab/>
        <w:t>Paul Lemmens,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Ledi Bianku,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Işıl Karakaş,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Nebojša Vučinić,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André Potocki,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Aleš Pejchal,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Dmitry Dedov,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Yonko Grozev,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Mārtiņš Mits,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Georges Ravarani,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Jolien Schukking,</w:t>
      </w:r>
      <w:r w:rsidRPr="00C408DC">
        <w:rPr>
          <w:lang w:val="pl-PL"/>
        </w:rPr>
        <w:br/>
      </w:r>
      <w:r w:rsidRPr="00C408DC">
        <w:rPr>
          <w:lang w:val="pl-PL"/>
        </w:rPr>
        <w:tab/>
        <w:t>Péter Paczolay</w:t>
      </w:r>
      <w:r w:rsidRPr="00C408DC">
        <w:rPr>
          <w:i/>
          <w:iCs/>
          <w:lang w:val="pl-PL"/>
        </w:rPr>
        <w:t>, sędziowie</w:t>
      </w:r>
      <w:r w:rsidRPr="00C408DC">
        <w:rPr>
          <w:lang w:val="pl-PL"/>
        </w:rPr>
        <w:t>,</w:t>
      </w:r>
      <w:r w:rsidRPr="00C408DC">
        <w:rPr>
          <w:lang w:val="pl-PL"/>
        </w:rPr>
        <w:br/>
        <w:t xml:space="preserve">oraz Johan Callewaert, </w:t>
      </w:r>
      <w:r w:rsidRPr="00C408DC">
        <w:rPr>
          <w:i/>
          <w:iCs/>
          <w:lang w:val="pl-PL"/>
        </w:rPr>
        <w:t>Zastępca Kanclerza Wielkiej Izby,</w:t>
      </w:r>
    </w:p>
    <w:p w:rsidR="001377AE" w:rsidRPr="00C408DC" w:rsidRDefault="00EC10B1" w:rsidP="00072604">
      <w:pPr>
        <w:pStyle w:val="JuPara"/>
        <w:rPr>
          <w:lang w:val="pl-PL"/>
        </w:rPr>
      </w:pPr>
      <w:r>
        <w:rPr>
          <w:lang w:val="pl-PL"/>
        </w:rPr>
        <w:t xml:space="preserve">po </w:t>
      </w:r>
      <w:r w:rsidR="001377AE" w:rsidRPr="00C408DC">
        <w:rPr>
          <w:lang w:val="pl-PL"/>
        </w:rPr>
        <w:t>o</w:t>
      </w:r>
      <w:r>
        <w:rPr>
          <w:lang w:val="pl-PL"/>
        </w:rPr>
        <w:t>bradach</w:t>
      </w:r>
      <w:r w:rsidR="001377AE" w:rsidRPr="00C408DC">
        <w:rPr>
          <w:lang w:val="pl-PL"/>
        </w:rPr>
        <w:t xml:space="preserve"> na posiedzeniu zamkniętym w dniach 18 i 19 kwietnia 2018</w:t>
      </w:r>
      <w:r w:rsidR="00C221D8">
        <w:rPr>
          <w:lang w:val="pl-PL"/>
        </w:rPr>
        <w:t> </w:t>
      </w:r>
      <w:r w:rsidR="00F75CB4" w:rsidRPr="00C408DC">
        <w:rPr>
          <w:lang w:val="pl-PL"/>
        </w:rPr>
        <w:t>r.</w:t>
      </w:r>
      <w:r w:rsidR="001377AE" w:rsidRPr="00C408DC">
        <w:rPr>
          <w:lang w:val="pl-PL"/>
        </w:rPr>
        <w:t xml:space="preserve"> oraz 13 marca i 3 października 2019</w:t>
      </w:r>
      <w:r w:rsidR="00F75CB4" w:rsidRPr="00C408DC">
        <w:rPr>
          <w:lang w:val="pl-PL"/>
        </w:rPr>
        <w:t xml:space="preserve"> r.</w:t>
      </w:r>
      <w:r w:rsidR="001377AE" w:rsidRPr="00C408DC">
        <w:rPr>
          <w:lang w:val="pl-PL"/>
        </w:rPr>
        <w:t>,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wydaje następujący wyrok, który został przyjęty w ostatnim z wyżej wymienionych dni:</w:t>
      </w:r>
    </w:p>
    <w:p w:rsidR="001377AE" w:rsidRPr="00C408DC" w:rsidRDefault="001377AE" w:rsidP="00072604">
      <w:pPr>
        <w:pStyle w:val="JuHHead"/>
        <w:rPr>
          <w:lang w:val="pl-PL"/>
        </w:rPr>
      </w:pPr>
      <w:r w:rsidRPr="00C408DC">
        <w:rPr>
          <w:lang w:val="pl-PL"/>
        </w:rPr>
        <w:t>POSTĘPOWANIE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Sprawa wywodzi się z czterech skarg (nr 61411/15, 61420/15, 61427/15 oraz 3028/16) wniesionych w dniu 12 grudnia 2015</w:t>
      </w:r>
      <w:r w:rsidR="00F75CB4" w:rsidRPr="00C408DC">
        <w:rPr>
          <w:lang w:val="pl-PL"/>
        </w:rPr>
        <w:t xml:space="preserve"> r.</w:t>
      </w:r>
      <w:r w:rsidR="005E0897" w:rsidRPr="005E0897">
        <w:rPr>
          <w:lang w:val="pl-PL"/>
        </w:rPr>
        <w:t xml:space="preserve"> </w:t>
      </w:r>
      <w:r w:rsidR="005E0897" w:rsidRPr="00C408DC">
        <w:rPr>
          <w:lang w:val="pl-PL"/>
        </w:rPr>
        <w:t>(pierwsze trzy skargi)</w:t>
      </w:r>
      <w:r w:rsidRPr="00C408DC">
        <w:rPr>
          <w:lang w:val="pl-PL"/>
        </w:rPr>
        <w:t xml:space="preserve"> </w:t>
      </w:r>
      <w:r w:rsidR="005E0897" w:rsidRPr="00C408DC">
        <w:rPr>
          <w:lang w:val="pl-PL"/>
        </w:rPr>
        <w:t>oraz w dniu 14 stycznia 2016 r. (późniejsza skarga)</w:t>
      </w:r>
      <w:r w:rsidR="005E0897">
        <w:rPr>
          <w:lang w:val="pl-PL"/>
        </w:rPr>
        <w:t xml:space="preserve"> </w:t>
      </w:r>
      <w:r w:rsidRPr="00C408DC">
        <w:rPr>
          <w:lang w:val="pl-PL"/>
        </w:rPr>
        <w:t xml:space="preserve">przeciwko Federacji Rosyjskiej do Trybunału na podstawie art. 34 Konwencji o ochronie praw człowieka i podstawowych wolności („Konwencja”) przez </w:t>
      </w:r>
      <w:r w:rsidR="005E0897" w:rsidRPr="00C408DC">
        <w:rPr>
          <w:lang w:val="pl-PL"/>
        </w:rPr>
        <w:t xml:space="preserve">pana Z.A., </w:t>
      </w:r>
      <w:r w:rsidRPr="00C408DC">
        <w:rPr>
          <w:lang w:val="pl-PL"/>
        </w:rPr>
        <w:t>obywatela Iraku</w:t>
      </w:r>
      <w:r w:rsidR="005E0897">
        <w:rPr>
          <w:lang w:val="pl-PL"/>
        </w:rPr>
        <w:t xml:space="preserve">, </w:t>
      </w:r>
      <w:r w:rsidR="005E0897" w:rsidRPr="00C408DC">
        <w:rPr>
          <w:lang w:val="pl-PL"/>
        </w:rPr>
        <w:t xml:space="preserve">pana M.B., </w:t>
      </w:r>
      <w:r w:rsidRPr="00C408DC">
        <w:rPr>
          <w:lang w:val="pl-PL"/>
        </w:rPr>
        <w:t xml:space="preserve">posiadacza paszportu wystawionego przez Autonomię Palestyńską, </w:t>
      </w:r>
      <w:r w:rsidR="005E0897" w:rsidRPr="00C408DC">
        <w:rPr>
          <w:lang w:val="pl-PL"/>
        </w:rPr>
        <w:t xml:space="preserve">pana A.M., </w:t>
      </w:r>
      <w:r w:rsidRPr="00C408DC">
        <w:rPr>
          <w:lang w:val="pl-PL"/>
        </w:rPr>
        <w:t xml:space="preserve">obywatela Somalii, </w:t>
      </w:r>
      <w:r w:rsidR="005E0897">
        <w:rPr>
          <w:lang w:val="pl-PL"/>
        </w:rPr>
        <w:t xml:space="preserve">oraz </w:t>
      </w:r>
      <w:r w:rsidR="005E0897" w:rsidRPr="00C408DC">
        <w:rPr>
          <w:lang w:val="pl-PL"/>
        </w:rPr>
        <w:t>pana Hasana Yasiena</w:t>
      </w:r>
      <w:r w:rsidR="005E0897">
        <w:rPr>
          <w:lang w:val="pl-PL"/>
        </w:rPr>
        <w:t>,</w:t>
      </w:r>
      <w:r w:rsidR="005E0897" w:rsidRPr="00C408DC">
        <w:rPr>
          <w:lang w:val="pl-PL"/>
        </w:rPr>
        <w:t xml:space="preserve"> </w:t>
      </w:r>
      <w:r w:rsidRPr="00C408DC">
        <w:rPr>
          <w:lang w:val="pl-PL"/>
        </w:rPr>
        <w:t>obywatela Syrii („skarżący”). Przewodniczący Wielkiej Izby przychylił się do prośby pierwszych trzech skarżących o niepodawanie do</w:t>
      </w:r>
      <w:r w:rsidR="00C221D8">
        <w:rPr>
          <w:lang w:val="pl-PL"/>
        </w:rPr>
        <w:t> </w:t>
      </w:r>
      <w:r w:rsidRPr="00C408DC">
        <w:rPr>
          <w:lang w:val="pl-PL"/>
        </w:rPr>
        <w:t>publicznej wiadomości ich danych osobowych (</w:t>
      </w:r>
      <w:r w:rsidR="005B2137" w:rsidRPr="00C408DC">
        <w:rPr>
          <w:lang w:val="pl-PL"/>
        </w:rPr>
        <w:t>Reguła</w:t>
      </w:r>
      <w:r w:rsidRPr="00C408DC">
        <w:rPr>
          <w:lang w:val="pl-PL"/>
        </w:rPr>
        <w:t xml:space="preserve"> 47 </w:t>
      </w:r>
      <w:r w:rsidR="005B2137" w:rsidRPr="00C408DC">
        <w:rPr>
          <w:lang w:val="pl-PL"/>
        </w:rPr>
        <w:t>§</w:t>
      </w:r>
      <w:r w:rsidRPr="00C408DC">
        <w:rPr>
          <w:lang w:val="pl-PL"/>
        </w:rPr>
        <w:t xml:space="preserve"> 4 Regulaminu Trybunału).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2.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Skarżący byli reprezentowani przez </w:t>
      </w:r>
      <w:r w:rsidR="00810EE1">
        <w:rPr>
          <w:lang w:val="pl-PL"/>
        </w:rPr>
        <w:t>p</w:t>
      </w:r>
      <w:r w:rsidRPr="00C408DC">
        <w:rPr>
          <w:lang w:val="pl-PL"/>
        </w:rPr>
        <w:t xml:space="preserve">anią E. Davidyan, </w:t>
      </w:r>
      <w:r w:rsidR="00810EE1">
        <w:rPr>
          <w:lang w:val="pl-PL"/>
        </w:rPr>
        <w:t>p</w:t>
      </w:r>
      <w:r w:rsidRPr="00C408DC">
        <w:rPr>
          <w:lang w:val="pl-PL"/>
        </w:rPr>
        <w:t>anią D. Trenin</w:t>
      </w:r>
      <w:r w:rsidR="005E0897">
        <w:rPr>
          <w:lang w:val="pl-PL"/>
        </w:rPr>
        <w:t>ę</w:t>
      </w:r>
      <w:r w:rsidRPr="00C408DC">
        <w:rPr>
          <w:lang w:val="pl-PL"/>
        </w:rPr>
        <w:t xml:space="preserve">, oraz </w:t>
      </w:r>
      <w:r w:rsidR="00810EE1">
        <w:rPr>
          <w:lang w:val="pl-PL"/>
        </w:rPr>
        <w:t>p</w:t>
      </w:r>
      <w:r w:rsidRPr="00C408DC">
        <w:rPr>
          <w:lang w:val="pl-PL"/>
        </w:rPr>
        <w:t xml:space="preserve">ana K. Zharinova, adwokatów praktykujących w Moskwie. Rosyjski Rząd („Rząd”) reprezentowany był przez pana G. Matushkina, </w:t>
      </w:r>
      <w:r w:rsidR="00F77030">
        <w:rPr>
          <w:lang w:val="pl-PL"/>
        </w:rPr>
        <w:t>Pełnomocnika</w:t>
      </w:r>
      <w:r w:rsidR="00F77030" w:rsidRPr="00C408DC">
        <w:rPr>
          <w:lang w:val="pl-PL"/>
        </w:rPr>
        <w:t xml:space="preserve"> </w:t>
      </w:r>
      <w:r w:rsidRPr="00C408DC">
        <w:rPr>
          <w:lang w:val="pl-PL"/>
        </w:rPr>
        <w:t xml:space="preserve">Federacji Rosyjskiej przy Europejskim Trybunale Praw </w:t>
      </w:r>
      <w:r w:rsidRPr="00C408DC">
        <w:rPr>
          <w:lang w:val="pl-PL"/>
        </w:rPr>
        <w:lastRenderedPageBreak/>
        <w:t xml:space="preserve">Człowieka, a następnie przez </w:t>
      </w:r>
      <w:r w:rsidR="00810EE1">
        <w:rPr>
          <w:lang w:val="pl-PL"/>
        </w:rPr>
        <w:t>p</w:t>
      </w:r>
      <w:r w:rsidRPr="00C408DC">
        <w:rPr>
          <w:lang w:val="pl-PL"/>
        </w:rPr>
        <w:t>ana M. Galperina, jego następcę na tym urzędzie.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3.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Skarżący podnieśli zarzut na podstawie art. 5 ust. 1 Konwencji, że byli oni bezprawnie</w:t>
      </w:r>
      <w:r w:rsidR="005E0897">
        <w:rPr>
          <w:lang w:val="pl-PL"/>
        </w:rPr>
        <w:t xml:space="preserve"> pozbawieni wolności</w:t>
      </w:r>
      <w:r w:rsidRPr="00C408DC">
        <w:rPr>
          <w:lang w:val="pl-PL"/>
        </w:rPr>
        <w:t xml:space="preserve"> w strefie tranzytowej Portu Lotniczego Szeremietiewo, oczekując na rozpatrzenie ich wniosków o udzielenie azylu. Powołując się na art. 3 Konwencji, zarzucili ponadto, że warunki ich </w:t>
      </w:r>
      <w:r w:rsidR="005E0897">
        <w:rPr>
          <w:lang w:val="pl-PL"/>
        </w:rPr>
        <w:t xml:space="preserve">pozbawienia wolności </w:t>
      </w:r>
      <w:r w:rsidRPr="00C408DC">
        <w:rPr>
          <w:lang w:val="pl-PL"/>
        </w:rPr>
        <w:t>były nieodpowiednie.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4.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Skarga została przydzielona do Sekcji Trzeciej Trybunału (</w:t>
      </w:r>
      <w:r w:rsidR="005B2137" w:rsidRPr="00C408DC">
        <w:rPr>
          <w:lang w:val="pl-PL"/>
        </w:rPr>
        <w:t>Reguła</w:t>
      </w:r>
      <w:r w:rsidRPr="00C408DC">
        <w:rPr>
          <w:lang w:val="pl-PL"/>
        </w:rPr>
        <w:t xml:space="preserve"> 52 </w:t>
      </w:r>
      <w:r w:rsidR="005B2137" w:rsidRPr="00C408DC">
        <w:rPr>
          <w:lang w:val="pl-PL"/>
        </w:rPr>
        <w:t>§</w:t>
      </w:r>
      <w:r w:rsidR="00C221D8">
        <w:rPr>
          <w:lang w:val="pl-PL"/>
        </w:rPr>
        <w:t> </w:t>
      </w:r>
      <w:r w:rsidRPr="00C408DC">
        <w:rPr>
          <w:lang w:val="pl-PL"/>
        </w:rPr>
        <w:t>1 Regulaminu Trybunału). W dniu 28 marca 2017</w:t>
      </w:r>
      <w:r w:rsidR="00F75CB4" w:rsidRPr="00C408DC">
        <w:rPr>
          <w:lang w:val="pl-PL"/>
        </w:rPr>
        <w:t xml:space="preserve"> r.</w:t>
      </w:r>
      <w:r w:rsidRPr="00C408DC">
        <w:rPr>
          <w:lang w:val="pl-PL"/>
        </w:rPr>
        <w:t xml:space="preserve"> Izba w składzie: Helena Jäderblom, Branko Lubarda,</w:t>
      </w:r>
      <w:r w:rsidRPr="00C408DC">
        <w:rPr>
          <w:i/>
          <w:iCs/>
          <w:lang w:val="pl-PL"/>
        </w:rPr>
        <w:t xml:space="preserve"> </w:t>
      </w:r>
      <w:r w:rsidRPr="00C408DC">
        <w:rPr>
          <w:lang w:val="pl-PL"/>
        </w:rPr>
        <w:t>Helen Keller,</w:t>
      </w:r>
      <w:r w:rsidRPr="00C408DC">
        <w:rPr>
          <w:i/>
          <w:iCs/>
          <w:lang w:val="pl-PL"/>
        </w:rPr>
        <w:t xml:space="preserve"> </w:t>
      </w:r>
      <w:r w:rsidRPr="00C408DC">
        <w:rPr>
          <w:lang w:val="pl-PL"/>
        </w:rPr>
        <w:t>Dmitry Dedov,</w:t>
      </w:r>
      <w:r w:rsidRPr="00C408DC">
        <w:rPr>
          <w:i/>
          <w:iCs/>
          <w:lang w:val="pl-PL"/>
        </w:rPr>
        <w:t xml:space="preserve"> </w:t>
      </w:r>
      <w:r w:rsidRPr="00C408DC">
        <w:rPr>
          <w:lang w:val="pl-PL"/>
        </w:rPr>
        <w:t>Pere Pastor Vilanova,</w:t>
      </w:r>
      <w:r w:rsidRPr="00C408DC">
        <w:rPr>
          <w:i/>
          <w:iCs/>
          <w:lang w:val="pl-PL"/>
        </w:rPr>
        <w:t xml:space="preserve"> </w:t>
      </w:r>
      <w:r w:rsidRPr="00C408DC">
        <w:rPr>
          <w:lang w:val="pl-PL"/>
        </w:rPr>
        <w:t>Alena Poláčková,</w:t>
      </w:r>
      <w:r w:rsidRPr="00C408DC">
        <w:rPr>
          <w:i/>
          <w:iCs/>
          <w:lang w:val="pl-PL"/>
        </w:rPr>
        <w:t xml:space="preserve"> </w:t>
      </w:r>
      <w:r w:rsidRPr="00C408DC">
        <w:rPr>
          <w:lang w:val="pl-PL"/>
        </w:rPr>
        <w:t>Georgios A. Serghides</w:t>
      </w:r>
      <w:r w:rsidR="005E0897">
        <w:rPr>
          <w:lang w:val="pl-PL"/>
        </w:rPr>
        <w:t xml:space="preserve"> –</w:t>
      </w:r>
      <w:r w:rsidRPr="00C408DC">
        <w:rPr>
          <w:lang w:val="pl-PL"/>
        </w:rPr>
        <w:t xml:space="preserve"> s</w:t>
      </w:r>
      <w:r w:rsidR="005E0897">
        <w:rPr>
          <w:lang w:val="pl-PL"/>
        </w:rPr>
        <w:t>ędziowie,</w:t>
      </w:r>
      <w:r w:rsidRPr="00C408DC">
        <w:rPr>
          <w:lang w:val="pl-PL"/>
        </w:rPr>
        <w:t xml:space="preserve"> oraz</w:t>
      </w:r>
      <w:r w:rsidR="00C221D8">
        <w:rPr>
          <w:lang w:val="pl-PL"/>
        </w:rPr>
        <w:t> </w:t>
      </w:r>
      <w:r w:rsidRPr="00C408DC">
        <w:rPr>
          <w:lang w:val="pl-PL"/>
        </w:rPr>
        <w:t xml:space="preserve">Stephen Phillips </w:t>
      </w:r>
      <w:r w:rsidR="005E0897">
        <w:rPr>
          <w:lang w:val="pl-PL"/>
        </w:rPr>
        <w:t>–</w:t>
      </w:r>
      <w:r w:rsidRPr="00C408DC">
        <w:rPr>
          <w:lang w:val="pl-PL"/>
        </w:rPr>
        <w:t xml:space="preserve"> Kanclerz Sekcji, wydała swój wyrok. W swoim wyroku Izba połączyła skargi oraz uznała je jednogłośnie za dopuszczalne, oraz stwierdziła większością głosów, że doszło do naruszenia art. 5 ust. 1 i</w:t>
      </w:r>
      <w:r w:rsidR="00C221D8">
        <w:rPr>
          <w:lang w:val="pl-PL"/>
        </w:rPr>
        <w:t> </w:t>
      </w:r>
      <w:r w:rsidRPr="00C408DC">
        <w:rPr>
          <w:lang w:val="pl-PL"/>
        </w:rPr>
        <w:t>art. 3 Konwencji.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Do wyroku została załączona rozbieżna odrębna opinia sędziego Dedova.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5.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Rząd w dniu 27 czerwca 2017</w:t>
      </w:r>
      <w:r w:rsidR="00F75CB4" w:rsidRPr="00C408DC">
        <w:rPr>
          <w:lang w:val="pl-PL"/>
        </w:rPr>
        <w:t xml:space="preserve"> r.</w:t>
      </w:r>
      <w:r w:rsidRPr="00C408DC">
        <w:rPr>
          <w:lang w:val="pl-PL"/>
        </w:rPr>
        <w:t xml:space="preserve"> złożył wniosek o przekazanie sprawy do Wielkiej Izby na podstawie art. 43 Konwencji, a Panel Wielkiej Izby przyjął wniosek dnia 19 września 2017</w:t>
      </w:r>
      <w:r w:rsidR="00F75CB4" w:rsidRPr="00C408DC">
        <w:rPr>
          <w:lang w:val="pl-PL"/>
        </w:rPr>
        <w:t xml:space="preserve"> </w:t>
      </w:r>
      <w:r w:rsidR="00941092">
        <w:rPr>
          <w:lang w:val="pl-PL"/>
        </w:rPr>
        <w:t>r.</w:t>
      </w:r>
    </w:p>
    <w:p w:rsidR="00802E0B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6.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Skład Wielkiej Izby został ustalony zgodnie z postanowieniami art. 26 ust. 4 i 5 Konwencji oraz </w:t>
      </w:r>
      <w:r w:rsidR="005B2137" w:rsidRPr="00C408DC">
        <w:rPr>
          <w:lang w:val="pl-PL"/>
        </w:rPr>
        <w:t>Reguły</w:t>
      </w:r>
      <w:r w:rsidRPr="00C408DC">
        <w:rPr>
          <w:lang w:val="pl-PL"/>
        </w:rPr>
        <w:t xml:space="preserve"> 24 Regulaminu Trybunału. Prezes Trybunału postanowił, iż leży w interesie prawidłowego wymiaru sprawiedliwości, aby niniejsza sprawa</w:t>
      </w:r>
      <w:r w:rsidR="00941092">
        <w:rPr>
          <w:lang w:val="pl-PL"/>
        </w:rPr>
        <w:t xml:space="preserve"> oraz </w:t>
      </w:r>
      <w:r w:rsidRPr="00C408DC">
        <w:rPr>
          <w:lang w:val="pl-PL"/>
        </w:rPr>
        <w:t xml:space="preserve">sprawa </w:t>
      </w:r>
      <w:r w:rsidRPr="00941092">
        <w:rPr>
          <w:i/>
          <w:lang w:val="pl-PL"/>
        </w:rPr>
        <w:t>Ilias i Ahmed przeciwko Węgrom</w:t>
      </w:r>
      <w:r w:rsidR="00941092">
        <w:rPr>
          <w:lang w:val="pl-PL"/>
        </w:rPr>
        <w:t xml:space="preserve"> (skarga nr 47287/15) zostały przydzielone</w:t>
      </w:r>
      <w:r w:rsidRPr="00C408DC">
        <w:rPr>
          <w:lang w:val="pl-PL"/>
        </w:rPr>
        <w:t xml:space="preserve"> temu samemu składo</w:t>
      </w:r>
      <w:r w:rsidR="00941092">
        <w:rPr>
          <w:lang w:val="pl-PL"/>
        </w:rPr>
        <w:t xml:space="preserve">wi orzekającemu Wielkiej Izby (Reguły </w:t>
      </w:r>
      <w:r w:rsidRPr="00C408DC">
        <w:rPr>
          <w:lang w:val="pl-PL"/>
        </w:rPr>
        <w:t xml:space="preserve">24, 42 </w:t>
      </w:r>
      <w:r w:rsidR="00802E0B" w:rsidRPr="00C408DC">
        <w:rPr>
          <w:lang w:val="pl-PL"/>
        </w:rPr>
        <w:t>§</w:t>
      </w:r>
      <w:r w:rsidR="00802E0B">
        <w:rPr>
          <w:lang w:val="pl-PL"/>
        </w:rPr>
        <w:t xml:space="preserve"> </w:t>
      </w:r>
      <w:r w:rsidRPr="00C408DC">
        <w:rPr>
          <w:lang w:val="pl-PL"/>
        </w:rPr>
        <w:t>2 i 71).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7.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Zarówno skarżący, jak i Rząd przedstawili dalsze pisemne uwagi (</w:t>
      </w:r>
      <w:r w:rsidR="005B2137" w:rsidRPr="00C408DC">
        <w:rPr>
          <w:lang w:val="pl-PL"/>
        </w:rPr>
        <w:t>Reguła</w:t>
      </w:r>
      <w:r w:rsidRPr="00C408DC">
        <w:rPr>
          <w:lang w:val="pl-PL"/>
        </w:rPr>
        <w:t xml:space="preserve"> 59 </w:t>
      </w:r>
      <w:r w:rsidR="005B2137" w:rsidRPr="00C408DC">
        <w:rPr>
          <w:lang w:val="pl-PL"/>
        </w:rPr>
        <w:t>§</w:t>
      </w:r>
      <w:r w:rsidRPr="00C408DC">
        <w:rPr>
          <w:lang w:val="pl-PL"/>
        </w:rPr>
        <w:t xml:space="preserve"> 1 Regulaminu Trybunału) dotyczące przedmiotu sprawy.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8.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Ponadto pisemne uwagi strony trzeciej zostały przedłożone przez Rząd</w:t>
      </w:r>
      <w:r w:rsidR="00802E0B">
        <w:rPr>
          <w:lang w:val="pl-PL"/>
        </w:rPr>
        <w:t xml:space="preserve"> węgierski</w:t>
      </w:r>
      <w:r w:rsidRPr="00C408DC">
        <w:rPr>
          <w:lang w:val="pl-PL"/>
        </w:rPr>
        <w:t xml:space="preserve">, na którego interwencję w ramach procedury pisemnej wyraził zgodę Przewodniczący Wielkiej Izby (art. 36 ust. 2 Konwencji oraz </w:t>
      </w:r>
      <w:r w:rsidR="00880669" w:rsidRPr="00C408DC">
        <w:rPr>
          <w:lang w:val="pl-PL"/>
        </w:rPr>
        <w:t>Reguła</w:t>
      </w:r>
      <w:r w:rsidRPr="00C408DC">
        <w:rPr>
          <w:lang w:val="pl-PL"/>
        </w:rPr>
        <w:t xml:space="preserve"> 44 </w:t>
      </w:r>
      <w:r w:rsidR="00880669" w:rsidRPr="00C408DC">
        <w:rPr>
          <w:lang w:val="pl-PL"/>
        </w:rPr>
        <w:t>§</w:t>
      </w:r>
      <w:r w:rsidRPr="00C408DC">
        <w:rPr>
          <w:lang w:val="pl-PL"/>
        </w:rPr>
        <w:t xml:space="preserve"> 3 Regulaminu Trybunału). W trakcie postępowania pisemne uwagi strony trzeciej zostały przedłożone przez Urząd Wysokiego Komisarza NZ ds. Uchodźców (UNHCR), na którego interwencję w ramach procedury pisemnej wyraził zgodę Przewodniczący Trzeciej Sekcji w przedmiocie skargi nr 3028/16, które to uwagi zostały włączone do akt przed Wielką Izbę.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9.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Publiczna rozprawa odbyła się w </w:t>
      </w:r>
      <w:r w:rsidR="00810EE1">
        <w:rPr>
          <w:lang w:val="pl-PL"/>
        </w:rPr>
        <w:t>g</w:t>
      </w:r>
      <w:r w:rsidRPr="00C408DC">
        <w:rPr>
          <w:lang w:val="pl-PL"/>
        </w:rPr>
        <w:t>machu Europejskiego Trybunału Praw Człowieka w Strasburgu, w dniu 18 kwietnia 2018</w:t>
      </w:r>
      <w:r w:rsidR="00F75CB4" w:rsidRPr="00C408DC">
        <w:rPr>
          <w:lang w:val="pl-PL"/>
        </w:rPr>
        <w:t xml:space="preserve"> r.</w:t>
      </w:r>
      <w:r w:rsidRPr="00C408DC">
        <w:rPr>
          <w:lang w:val="pl-PL"/>
        </w:rPr>
        <w:t xml:space="preserve"> (</w:t>
      </w:r>
      <w:r w:rsidR="00880669" w:rsidRPr="00C408DC">
        <w:rPr>
          <w:lang w:val="pl-PL"/>
        </w:rPr>
        <w:t>Reguła</w:t>
      </w:r>
      <w:r w:rsidRPr="00C408DC">
        <w:rPr>
          <w:lang w:val="pl-PL"/>
        </w:rPr>
        <w:t xml:space="preserve"> 59 </w:t>
      </w:r>
      <w:r w:rsidR="00880669" w:rsidRPr="00C408DC">
        <w:rPr>
          <w:lang w:val="pl-PL"/>
        </w:rPr>
        <w:t>§</w:t>
      </w:r>
      <w:r w:rsidRPr="00C408DC">
        <w:rPr>
          <w:lang w:val="pl-PL"/>
        </w:rPr>
        <w:t xml:space="preserve"> 3 Regulaminu Trybunału).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Przed Trybunałem stawili się:</w:t>
      </w:r>
    </w:p>
    <w:p w:rsidR="001377AE" w:rsidRPr="00C408DC" w:rsidRDefault="001377AE" w:rsidP="00072604">
      <w:pPr>
        <w:pStyle w:val="JuCourt"/>
        <w:keepNext/>
        <w:keepLines/>
        <w:rPr>
          <w:lang w:val="pl-PL"/>
        </w:rPr>
      </w:pPr>
      <w:r w:rsidRPr="00C408DC">
        <w:rPr>
          <w:lang w:val="pl-PL"/>
        </w:rPr>
        <w:lastRenderedPageBreak/>
        <w:t>(a)</w:t>
      </w:r>
      <w:r w:rsidR="005C05E6">
        <w:rPr>
          <w:lang w:val="pl-PL"/>
        </w:rPr>
        <w:t xml:space="preserve"> </w:t>
      </w:r>
      <w:r w:rsidRPr="00C408DC">
        <w:rPr>
          <w:i/>
          <w:iCs/>
          <w:lang w:val="pl-PL"/>
        </w:rPr>
        <w:t>w imieniu Rządy</w:t>
      </w:r>
      <w:r w:rsidRPr="00C408DC">
        <w:rPr>
          <w:lang w:val="pl-PL"/>
        </w:rPr>
        <w:br/>
        <w:t>Pan</w:t>
      </w:r>
      <w:r w:rsidRPr="00C408DC">
        <w:rPr>
          <w:lang w:val="pl-PL"/>
        </w:rPr>
        <w:tab/>
      </w:r>
      <w:r w:rsidRPr="00C408DC">
        <w:rPr>
          <w:rStyle w:val="JuNames0"/>
          <w:lang w:val="pl-PL"/>
        </w:rPr>
        <w:t>M. Galperin</w:t>
      </w:r>
      <w:r w:rsidRPr="00C408DC">
        <w:rPr>
          <w:lang w:val="pl-PL"/>
        </w:rPr>
        <w:t>, Przedstawiciel Federacji Rosyjskiej</w:t>
      </w:r>
      <w:r w:rsidRPr="00C408DC">
        <w:rPr>
          <w:lang w:val="pl-PL"/>
        </w:rPr>
        <w:br/>
      </w:r>
      <w:r w:rsidRPr="00C408DC">
        <w:rPr>
          <w:lang w:val="pl-PL"/>
        </w:rPr>
        <w:tab/>
        <w:t>przy Europejskim Trybunale Praw Człowieka,</w:t>
      </w:r>
      <w:r w:rsidRPr="00C408DC">
        <w:rPr>
          <w:lang w:val="pl-PL"/>
        </w:rPr>
        <w:tab/>
      </w:r>
      <w:r w:rsidRPr="00C408DC">
        <w:rPr>
          <w:i/>
          <w:iCs/>
          <w:lang w:val="pl-PL"/>
        </w:rPr>
        <w:t>Pełnomocnik</w:t>
      </w:r>
      <w:r w:rsidRPr="00C408DC">
        <w:rPr>
          <w:lang w:val="pl-PL"/>
        </w:rPr>
        <w:t>,</w:t>
      </w:r>
      <w:r w:rsidRPr="00C408DC">
        <w:rPr>
          <w:lang w:val="pl-PL"/>
        </w:rPr>
        <w:br/>
        <w:t>Pani</w:t>
      </w:r>
      <w:r w:rsidRPr="00C408DC">
        <w:rPr>
          <w:lang w:val="pl-PL"/>
        </w:rPr>
        <w:tab/>
      </w:r>
      <w:r w:rsidRPr="00C408DC">
        <w:rPr>
          <w:rStyle w:val="JuNames0"/>
          <w:lang w:val="pl-PL"/>
        </w:rPr>
        <w:t>Ya. Borisova</w:t>
      </w:r>
      <w:r w:rsidRPr="00C408DC">
        <w:rPr>
          <w:lang w:val="pl-PL"/>
        </w:rPr>
        <w:t xml:space="preserve">, </w:t>
      </w:r>
      <w:r w:rsidRPr="00C408DC">
        <w:rPr>
          <w:lang w:val="pl-PL"/>
        </w:rPr>
        <w:tab/>
      </w:r>
      <w:r w:rsidRPr="00C408DC">
        <w:rPr>
          <w:lang w:val="pl-PL"/>
        </w:rPr>
        <w:br/>
        <w:t>Pani</w:t>
      </w:r>
      <w:r w:rsidRPr="00C408DC">
        <w:rPr>
          <w:lang w:val="pl-PL"/>
        </w:rPr>
        <w:tab/>
      </w:r>
      <w:r w:rsidRPr="00C408DC">
        <w:rPr>
          <w:smallCaps/>
          <w:lang w:val="pl-PL"/>
        </w:rPr>
        <w:t>O. Ocheretyanaya</w:t>
      </w:r>
      <w:r w:rsidRPr="00C408DC">
        <w:rPr>
          <w:lang w:val="pl-PL"/>
        </w:rPr>
        <w:t xml:space="preserve">, </w:t>
      </w:r>
      <w:r w:rsidRPr="00C408DC">
        <w:rPr>
          <w:lang w:val="pl-PL"/>
        </w:rPr>
        <w:tab/>
      </w:r>
      <w:r w:rsidRPr="00C408DC">
        <w:rPr>
          <w:i/>
          <w:iCs/>
          <w:lang w:val="pl-PL"/>
        </w:rPr>
        <w:t>Doradcy</w:t>
      </w:r>
      <w:r w:rsidRPr="00C408DC">
        <w:rPr>
          <w:lang w:val="pl-PL"/>
        </w:rPr>
        <w:t>;</w:t>
      </w:r>
    </w:p>
    <w:p w:rsidR="001377AE" w:rsidRPr="00C408DC" w:rsidRDefault="001377AE" w:rsidP="00072604">
      <w:pPr>
        <w:pStyle w:val="JuCourt"/>
        <w:keepLines/>
        <w:rPr>
          <w:i/>
          <w:iCs/>
          <w:lang w:val="pl-PL"/>
        </w:rPr>
      </w:pPr>
      <w:r w:rsidRPr="00C408DC">
        <w:rPr>
          <w:lang w:val="pl-PL"/>
        </w:rPr>
        <w:t>(b)</w:t>
      </w:r>
      <w:r w:rsidR="005C05E6">
        <w:rPr>
          <w:lang w:val="pl-PL"/>
        </w:rPr>
        <w:t xml:space="preserve"> </w:t>
      </w:r>
      <w:r w:rsidRPr="00C408DC">
        <w:rPr>
          <w:i/>
          <w:iCs/>
          <w:lang w:val="pl-PL"/>
        </w:rPr>
        <w:t>w imieniu Skarżących</w:t>
      </w:r>
      <w:r w:rsidRPr="00C408DC">
        <w:rPr>
          <w:lang w:val="pl-PL"/>
        </w:rPr>
        <w:br/>
        <w:t>Pani</w:t>
      </w:r>
      <w:r w:rsidRPr="00C408DC">
        <w:rPr>
          <w:lang w:val="pl-PL"/>
        </w:rPr>
        <w:tab/>
      </w:r>
      <w:r w:rsidRPr="00C408DC">
        <w:rPr>
          <w:rStyle w:val="JuNames0"/>
          <w:lang w:val="pl-PL"/>
        </w:rPr>
        <w:t>E. Davidyan</w:t>
      </w:r>
      <w:r w:rsidRPr="00C408DC">
        <w:rPr>
          <w:lang w:val="pl-PL"/>
        </w:rPr>
        <w:t xml:space="preserve">, </w:t>
      </w:r>
      <w:r w:rsidRPr="00C408DC">
        <w:rPr>
          <w:lang w:val="pl-PL"/>
        </w:rPr>
        <w:tab/>
        <w:t xml:space="preserve"> </w:t>
      </w:r>
      <w:r w:rsidRPr="00C408DC">
        <w:rPr>
          <w:lang w:val="pl-PL"/>
        </w:rPr>
        <w:br/>
        <w:t>Pani</w:t>
      </w:r>
      <w:r w:rsidRPr="00C408DC">
        <w:rPr>
          <w:lang w:val="pl-PL"/>
        </w:rPr>
        <w:tab/>
      </w:r>
      <w:r w:rsidRPr="00C408DC">
        <w:rPr>
          <w:rStyle w:val="JuNames0"/>
          <w:lang w:val="pl-PL"/>
        </w:rPr>
        <w:t>D. Trenina</w:t>
      </w:r>
      <w:r w:rsidRPr="00C408DC">
        <w:rPr>
          <w:lang w:val="pl-PL"/>
        </w:rPr>
        <w:t xml:space="preserve">, </w:t>
      </w:r>
      <w:r w:rsidRPr="00C408DC">
        <w:rPr>
          <w:lang w:val="pl-PL"/>
        </w:rPr>
        <w:br/>
        <w:t>Pan</w:t>
      </w:r>
      <w:r w:rsidRPr="00C408DC">
        <w:rPr>
          <w:lang w:val="pl-PL"/>
        </w:rPr>
        <w:tab/>
      </w:r>
      <w:r w:rsidRPr="00C408DC">
        <w:rPr>
          <w:rStyle w:val="JuNames0"/>
          <w:lang w:val="pl-PL"/>
        </w:rPr>
        <w:t>K. Zharinov</w:t>
      </w:r>
      <w:r w:rsidRPr="00C408DC">
        <w:rPr>
          <w:lang w:val="pl-PL"/>
        </w:rPr>
        <w:t xml:space="preserve">, </w:t>
      </w:r>
      <w:r w:rsidRPr="00C408DC">
        <w:rPr>
          <w:lang w:val="pl-PL"/>
        </w:rPr>
        <w:tab/>
      </w:r>
      <w:r w:rsidR="00802E0B">
        <w:rPr>
          <w:i/>
          <w:iCs/>
          <w:lang w:val="pl-PL"/>
        </w:rPr>
        <w:t>Radcy</w:t>
      </w:r>
      <w:r w:rsidRPr="00C408DC">
        <w:rPr>
          <w:i/>
          <w:iCs/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 xml:space="preserve">Trybunał wysłuchał wystąpień </w:t>
      </w:r>
      <w:r w:rsidR="00810EE1">
        <w:rPr>
          <w:lang w:val="pl-PL"/>
        </w:rPr>
        <w:t>p</w:t>
      </w:r>
      <w:r w:rsidRPr="00C408DC">
        <w:rPr>
          <w:lang w:val="pl-PL"/>
        </w:rPr>
        <w:t xml:space="preserve">ani Treniny, </w:t>
      </w:r>
      <w:r w:rsidR="00810EE1">
        <w:rPr>
          <w:lang w:val="pl-PL"/>
        </w:rPr>
        <w:t>p</w:t>
      </w:r>
      <w:r w:rsidRPr="00C408DC">
        <w:rPr>
          <w:lang w:val="pl-PL"/>
        </w:rPr>
        <w:t xml:space="preserve">ana Zharinova, </w:t>
      </w:r>
      <w:r w:rsidR="00810EE1">
        <w:rPr>
          <w:lang w:val="pl-PL"/>
        </w:rPr>
        <w:t>p</w:t>
      </w:r>
      <w:r w:rsidRPr="00C408DC">
        <w:rPr>
          <w:lang w:val="pl-PL"/>
        </w:rPr>
        <w:t xml:space="preserve">ani Davidyan i </w:t>
      </w:r>
      <w:r w:rsidR="00810EE1">
        <w:rPr>
          <w:lang w:val="pl-PL"/>
        </w:rPr>
        <w:t>p</w:t>
      </w:r>
      <w:r w:rsidRPr="00C408DC">
        <w:rPr>
          <w:lang w:val="pl-PL"/>
        </w:rPr>
        <w:t>ana Galperina oraz ich odpowiedzi na pytania, które zadali sędziowie.</w:t>
      </w:r>
    </w:p>
    <w:p w:rsidR="001377AE" w:rsidRPr="00C408DC" w:rsidRDefault="001377AE" w:rsidP="00072604">
      <w:pPr>
        <w:pStyle w:val="JuHHead"/>
        <w:rPr>
          <w:lang w:val="pl-PL"/>
        </w:rPr>
      </w:pPr>
      <w:r w:rsidRPr="00C408DC">
        <w:rPr>
          <w:lang w:val="pl-PL"/>
        </w:rPr>
        <w:t>FAKTY</w:t>
      </w:r>
    </w:p>
    <w:p w:rsidR="001377AE" w:rsidRPr="00C408DC" w:rsidRDefault="001377AE" w:rsidP="00AF4146">
      <w:pPr>
        <w:pStyle w:val="JuPara"/>
        <w:ind w:firstLine="0"/>
        <w:rPr>
          <w:i/>
          <w:iCs/>
          <w:lang w:val="pl-PL"/>
        </w:rPr>
      </w:pPr>
      <w:r w:rsidRPr="00C408DC">
        <w:rPr>
          <w:i/>
          <w:iCs/>
          <w:lang w:val="pl-PL"/>
        </w:rPr>
        <w:t>[Paragrafy 10-105 wyroku pominięte i zastąpione tłumaczeniem poniższego streszczenia przygotowanego przez Kancelarię Europejskiego Trybunału Praw Człowieka</w:t>
      </w:r>
    </w:p>
    <w:p w:rsidR="001377AE" w:rsidRPr="00C408DC" w:rsidRDefault="001377AE" w:rsidP="00AF4146">
      <w:pPr>
        <w:pStyle w:val="JuPara"/>
        <w:spacing w:line="360" w:lineRule="auto"/>
        <w:rPr>
          <w:i/>
          <w:iCs/>
          <w:u w:val="single"/>
          <w:lang w:val="pl-PL"/>
        </w:rPr>
      </w:pPr>
    </w:p>
    <w:p w:rsidR="001377AE" w:rsidRPr="00C408DC" w:rsidRDefault="001377AE" w:rsidP="00AF4146">
      <w:pPr>
        <w:pStyle w:val="JuPara"/>
        <w:spacing w:line="360" w:lineRule="auto"/>
        <w:rPr>
          <w:u w:val="single"/>
          <w:lang w:val="pl-PL"/>
        </w:rPr>
      </w:pPr>
      <w:r w:rsidRPr="00C408DC">
        <w:rPr>
          <w:i/>
          <w:iCs/>
          <w:u w:val="single"/>
          <w:lang w:val="pl-PL"/>
        </w:rPr>
        <w:t>Streszczenie stanu faktycznego</w:t>
      </w:r>
      <w:r w:rsidRPr="00C408DC">
        <w:rPr>
          <w:rStyle w:val="Odwoanieprzypisudolnego"/>
          <w:u w:val="single"/>
          <w:lang w:val="pl-PL"/>
        </w:rPr>
        <w:footnoteReference w:id="2"/>
      </w:r>
      <w:r w:rsidRPr="00C408DC">
        <w:rPr>
          <w:u w:val="single"/>
          <w:lang w:val="pl-PL"/>
        </w:rPr>
        <w:t>:</w:t>
      </w:r>
    </w:p>
    <w:p w:rsidR="001377AE" w:rsidRPr="00C408DC" w:rsidRDefault="001377AE" w:rsidP="00AF4146">
      <w:pPr>
        <w:pStyle w:val="ClinContent"/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 w:rsidRPr="00C408DC">
        <w:rPr>
          <w:rFonts w:ascii="Times New Roman" w:hAnsi="Times New Roman" w:cs="Times New Roman"/>
          <w:sz w:val="24"/>
          <w:szCs w:val="24"/>
          <w:lang w:val="pl-PL"/>
        </w:rPr>
        <w:t>Czterej skarżący, którzy byli osobami ubiegającymi się o azyl, byli</w:t>
      </w:r>
      <w:r w:rsidR="005C05E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przetrzymywani w międzynarodowej strefie tranzytowej Lotniska Szeremietiewo w</w:t>
      </w:r>
      <w:r w:rsidR="005C05E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Rosji przez okres od pięciu miesięcy do jednego</w:t>
      </w:r>
      <w:r w:rsidR="004D76CC">
        <w:rPr>
          <w:rFonts w:ascii="Times New Roman" w:hAnsi="Times New Roman" w:cs="Times New Roman"/>
          <w:sz w:val="24"/>
          <w:szCs w:val="24"/>
          <w:lang w:val="pl-PL"/>
        </w:rPr>
        <w:t xml:space="preserve"> roku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 xml:space="preserve"> i</w:t>
      </w:r>
      <w:r w:rsidR="00C221D8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dziesięciu miesięcy po</w:t>
      </w:r>
      <w:r w:rsidR="005C05E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odmówieniu im wjazdu do Rosji. Musieli spać na</w:t>
      </w:r>
      <w:r w:rsidR="00C221D8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materacach na podłodze w strefie odlotów, która była stale oświetlona i</w:t>
      </w:r>
      <w:r w:rsidR="00C221D8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zatłoczona i panował w niej hałas. Otrzymywali wsparcie w postaci racji żywnościowych od rosyjskiego biura Wysokiego Komisarza Narodów Zjednoczonych do spraw Uchodźców (UNHCR). Nie było pryszniców. W</w:t>
      </w:r>
      <w:r w:rsidR="00C221D8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postępowaniu przed Trybunałem skarżyli się, że zostali bezprawnie pozbawieni wolności (art. 5 ust. 1 Konwencji [o ochronie praw człowieka i</w:t>
      </w:r>
      <w:r w:rsidR="00C221D8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podstawowych wolności]), a także na warunki, w jakich byli przetrzymywani (art. 3).</w:t>
      </w:r>
    </w:p>
    <w:p w:rsidR="001377AE" w:rsidRPr="00C408DC" w:rsidRDefault="001377AE" w:rsidP="00AF4146">
      <w:pPr>
        <w:pStyle w:val="ClinContent"/>
        <w:spacing w:before="0"/>
        <w:rPr>
          <w:rFonts w:ascii="Times New Roman" w:hAnsi="Times New Roman" w:cs="Times New Roman"/>
          <w:sz w:val="24"/>
          <w:szCs w:val="24"/>
          <w:lang w:val="pl-PL"/>
        </w:rPr>
      </w:pPr>
    </w:p>
    <w:p w:rsidR="001377AE" w:rsidRPr="00C408DC" w:rsidRDefault="001377AE" w:rsidP="00AF4146">
      <w:pPr>
        <w:pStyle w:val="ClinContent"/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 w:rsidRPr="00C408DC">
        <w:rPr>
          <w:rFonts w:ascii="Times New Roman" w:hAnsi="Times New Roman" w:cs="Times New Roman"/>
          <w:sz w:val="24"/>
          <w:szCs w:val="24"/>
          <w:lang w:val="pl-PL"/>
        </w:rPr>
        <w:t xml:space="preserve">W wyroku z dnia 28 marca 2017 r. (zobacz Nota informacyjna nr 205) Izba Trybunału orzekła, sześcioma głosami do jednego, że doszło do naruszenia art. 5 ust. 1 Konwencji. Uwięzienie skarżących – osób ubiegających się o azyl – przez długi czas w strefie tranzytowej lotniska bez możliwości wjazdu 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lastRenderedPageBreak/>
        <w:t>na</w:t>
      </w:r>
      <w:r w:rsidR="00C221D8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terytorium Rosji lub państwa innego niż</w:t>
      </w:r>
      <w:r w:rsidR="005C05E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 xml:space="preserve">to, które opuścili, </w:t>
      </w:r>
      <w:r w:rsidRPr="00C408DC">
        <w:rPr>
          <w:rFonts w:ascii="Times New Roman" w:hAnsi="Times New Roman" w:cs="Times New Roman"/>
          <w:i/>
          <w:iCs/>
          <w:sz w:val="24"/>
          <w:szCs w:val="24"/>
          <w:lang w:val="pl-PL"/>
        </w:rPr>
        <w:t>de facto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 xml:space="preserve"> stanowiło pozbawienie wolności, które nie miało podstawy prawnej w prawie rosyjskim. Izba stwierdziła również, sześcioma głosami do jednego, naruszenie art. 3 z uwagi na warunki, które skarżący musieli znosić przez długi czas w</w:t>
      </w:r>
      <w:r w:rsidR="005C05E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08DC">
        <w:rPr>
          <w:rFonts w:ascii="Times New Roman" w:hAnsi="Times New Roman" w:cs="Times New Roman"/>
          <w:sz w:val="24"/>
          <w:szCs w:val="24"/>
          <w:lang w:val="pl-PL"/>
        </w:rPr>
        <w:t>strefie tranzytowej.</w:t>
      </w:r>
    </w:p>
    <w:p w:rsidR="001377AE" w:rsidRPr="00C408DC" w:rsidRDefault="001377AE" w:rsidP="00AF4146">
      <w:pPr>
        <w:pStyle w:val="JuPara"/>
        <w:ind w:firstLine="0"/>
        <w:rPr>
          <w:lang w:val="pl-PL"/>
        </w:rPr>
      </w:pPr>
    </w:p>
    <w:p w:rsidR="001377AE" w:rsidRPr="00C408DC" w:rsidRDefault="001377AE" w:rsidP="00AF4146">
      <w:pPr>
        <w:pStyle w:val="JuPara"/>
        <w:ind w:firstLine="0"/>
        <w:rPr>
          <w:u w:val="single"/>
          <w:lang w:val="pl-PL"/>
        </w:rPr>
      </w:pPr>
      <w:r w:rsidRPr="00C408DC">
        <w:rPr>
          <w:lang w:val="pl-PL"/>
        </w:rPr>
        <w:t>W dniu 18 września 2017 r. sprawa została przekazana do Wielkiej Izby na</w:t>
      </w:r>
      <w:r w:rsidR="00C221D8">
        <w:rPr>
          <w:lang w:val="pl-PL"/>
        </w:rPr>
        <w:t> </w:t>
      </w:r>
      <w:r w:rsidRPr="00C408DC">
        <w:rPr>
          <w:lang w:val="pl-PL"/>
        </w:rPr>
        <w:t xml:space="preserve">wniosek </w:t>
      </w:r>
      <w:r w:rsidR="00F75CB4" w:rsidRPr="00C408DC">
        <w:rPr>
          <w:lang w:val="pl-PL"/>
        </w:rPr>
        <w:t>Rządu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HHead"/>
        <w:rPr>
          <w:lang w:val="pl-PL"/>
        </w:rPr>
      </w:pPr>
      <w:r w:rsidRPr="00C408DC">
        <w:rPr>
          <w:lang w:val="pl-PL"/>
        </w:rPr>
        <w:t>PRAWO</w:t>
      </w:r>
    </w:p>
    <w:p w:rsidR="001377AE" w:rsidRPr="00C408DC" w:rsidRDefault="001377AE" w:rsidP="00072604">
      <w:pPr>
        <w:pStyle w:val="JuHIRoman"/>
        <w:rPr>
          <w:lang w:val="pl-PL"/>
        </w:rPr>
      </w:pPr>
      <w:r w:rsidRPr="00C408DC">
        <w:rPr>
          <w:lang w:val="pl-PL"/>
        </w:rPr>
        <w:t>ZARZUT NARUSZENIA ART. 5 UST. 1 KONWENCJI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106.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Skarżący podnieśli zarzut, że ich przetrzymywanie w strefie tranzytowej </w:t>
      </w:r>
      <w:r w:rsidR="00810EE1" w:rsidRPr="00702E32">
        <w:rPr>
          <w:lang w:val="pl-PL"/>
        </w:rPr>
        <w:t>l</w:t>
      </w:r>
      <w:r w:rsidRPr="00702E32">
        <w:rPr>
          <w:lang w:val="pl-PL"/>
        </w:rPr>
        <w:t>o</w:t>
      </w:r>
      <w:r w:rsidRPr="00C408DC">
        <w:rPr>
          <w:lang w:val="pl-PL"/>
        </w:rPr>
        <w:t xml:space="preserve">tniska Szeremietiewo było równoznaczne z </w:t>
      </w:r>
      <w:r w:rsidR="005616E5">
        <w:rPr>
          <w:lang w:val="pl-PL"/>
        </w:rPr>
        <w:t>niezgodnym z</w:t>
      </w:r>
      <w:r w:rsidR="00C221D8">
        <w:rPr>
          <w:lang w:val="pl-PL"/>
        </w:rPr>
        <w:t> </w:t>
      </w:r>
      <w:r w:rsidR="005616E5">
        <w:rPr>
          <w:lang w:val="pl-PL"/>
        </w:rPr>
        <w:t>prawem</w:t>
      </w:r>
      <w:r w:rsidR="005F1BB5">
        <w:rPr>
          <w:lang w:val="pl-PL"/>
        </w:rPr>
        <w:t xml:space="preserve"> </w:t>
      </w:r>
      <w:r w:rsidRPr="00C408DC">
        <w:rPr>
          <w:lang w:val="pl-PL"/>
        </w:rPr>
        <w:t>pozbawieniem wolności</w:t>
      </w:r>
      <w:r w:rsidR="005F1BB5">
        <w:rPr>
          <w:lang w:val="pl-PL"/>
        </w:rPr>
        <w:t>, stanowiącym</w:t>
      </w:r>
      <w:r w:rsidRPr="00C408DC">
        <w:rPr>
          <w:lang w:val="pl-PL"/>
        </w:rPr>
        <w:t xml:space="preserve"> naruszenie art. 5 ust. 1 Konwencji, której właściwe fragmenty mają następujące brzmienie:</w:t>
      </w:r>
    </w:p>
    <w:p w:rsidR="001377AE" w:rsidRPr="00C408DC" w:rsidRDefault="00A57CD6" w:rsidP="00072604">
      <w:pPr>
        <w:pStyle w:val="JuQuot"/>
        <w:rPr>
          <w:lang w:val="pl-PL"/>
        </w:rPr>
      </w:pPr>
      <w:r>
        <w:rPr>
          <w:lang w:val="pl-PL"/>
        </w:rPr>
        <w:t>„</w:t>
      </w:r>
      <w:r w:rsidR="001377AE" w:rsidRPr="00C408DC">
        <w:rPr>
          <w:lang w:val="pl-PL"/>
        </w:rPr>
        <w:t>1</w:t>
      </w:r>
      <w:r w:rsidR="001A733E" w:rsidRPr="008B1356">
        <w:rPr>
          <w:rFonts w:ascii="Calibri" w:eastAsia="Calibri" w:hAnsi="Calibri" w:cs="Calibri"/>
          <w:sz w:val="18"/>
          <w:szCs w:val="18"/>
          <w:lang w:val="pl-PL"/>
        </w:rPr>
        <w:t xml:space="preserve"> </w:t>
      </w:r>
      <w:r w:rsidR="001A733E" w:rsidRPr="00C408DC">
        <w:rPr>
          <w:lang w:val="pl-PL"/>
        </w:rPr>
        <w:t>Każdy ma prawo do wolności i bezpieczeństwa osobistego. Nikt nie może być pozbawiony wolności, z wyjątkiem następujących przypadków i w trybie ustalonym przez prawo</w:t>
      </w:r>
      <w:r w:rsidR="001377AE" w:rsidRPr="00C408DC">
        <w:rPr>
          <w:lang w:val="pl-PL"/>
        </w:rPr>
        <w:t>:</w:t>
      </w:r>
    </w:p>
    <w:p w:rsidR="001377AE" w:rsidRPr="00C408DC" w:rsidRDefault="001377AE" w:rsidP="00072604">
      <w:pPr>
        <w:pStyle w:val="JuQuot"/>
        <w:rPr>
          <w:lang w:val="pl-PL"/>
        </w:rPr>
      </w:pPr>
      <w:r w:rsidRPr="00C408DC">
        <w:rPr>
          <w:lang w:val="pl-PL"/>
        </w:rPr>
        <w:t>...</w:t>
      </w:r>
    </w:p>
    <w:p w:rsidR="001377AE" w:rsidRPr="00C408DC" w:rsidRDefault="001377AE" w:rsidP="00072604">
      <w:pPr>
        <w:pStyle w:val="JuQuot"/>
        <w:rPr>
          <w:lang w:val="pl-PL"/>
        </w:rPr>
      </w:pPr>
      <w:r w:rsidRPr="00C408DC">
        <w:rPr>
          <w:lang w:val="pl-PL"/>
        </w:rPr>
        <w:t>(f)</w:t>
      </w:r>
      <w:r w:rsidR="005C05E6">
        <w:rPr>
          <w:lang w:val="pl-PL"/>
        </w:rPr>
        <w:t xml:space="preserve"> </w:t>
      </w:r>
      <w:r w:rsidR="001A733E" w:rsidRPr="00C408DC">
        <w:rPr>
          <w:lang w:val="pl-PL"/>
        </w:rPr>
        <w:t>zgodnego z prawem zatrzymania lub aresztowania osoby, w celu zapobieżenia jej</w:t>
      </w:r>
      <w:r w:rsidR="00C221D8">
        <w:rPr>
          <w:lang w:val="pl-PL"/>
        </w:rPr>
        <w:t> </w:t>
      </w:r>
      <w:r w:rsidR="001A733E" w:rsidRPr="00C408DC">
        <w:rPr>
          <w:lang w:val="pl-PL"/>
        </w:rPr>
        <w:t>nielegalnemu wkroczeniu na terytorium państwa, lub osoby, przeciwko której toczy się postępowanie o wydalenie lub ekstradycję</w:t>
      </w:r>
      <w:r w:rsidR="00305F02" w:rsidRPr="00C408DC">
        <w:rPr>
          <w:lang w:val="pl-PL"/>
        </w:rPr>
        <w:t>”.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Wyrok Izby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107.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Izba stwierdziła,</w:t>
      </w:r>
      <w:r w:rsidR="003B6630">
        <w:rPr>
          <w:lang w:val="pl-PL"/>
        </w:rPr>
        <w:t xml:space="preserve"> ż</w:t>
      </w:r>
      <w:r w:rsidRPr="00C408DC">
        <w:rPr>
          <w:lang w:val="pl-PL"/>
        </w:rPr>
        <w:t>e skarga na podstawie art.</w:t>
      </w:r>
      <w:r w:rsidR="005F1BB5">
        <w:rPr>
          <w:lang w:val="pl-PL"/>
        </w:rPr>
        <w:t xml:space="preserve"> </w:t>
      </w:r>
      <w:r w:rsidRPr="00C408DC">
        <w:rPr>
          <w:lang w:val="pl-PL"/>
        </w:rPr>
        <w:t xml:space="preserve">5 ust. 1 jest dopuszczalna oraz orzekła, że przetrzymywanie skarżących w strefie tranzytowej Lotniska Szeremietiewo stanowiło </w:t>
      </w:r>
      <w:r w:rsidRPr="00C408DC">
        <w:rPr>
          <w:i/>
          <w:iCs/>
          <w:lang w:val="pl-PL"/>
        </w:rPr>
        <w:t xml:space="preserve">de facto </w:t>
      </w:r>
      <w:r w:rsidRPr="00C408DC">
        <w:rPr>
          <w:lang w:val="pl-PL"/>
        </w:rPr>
        <w:t>pozbawienie wolności.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108.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Izba ponadto zbadała zgodność z prawem </w:t>
      </w:r>
      <w:r w:rsidRPr="00C408DC">
        <w:rPr>
          <w:i/>
          <w:iCs/>
          <w:lang w:val="pl-PL"/>
        </w:rPr>
        <w:t xml:space="preserve">de facto </w:t>
      </w:r>
      <w:r w:rsidRPr="00C408DC">
        <w:rPr>
          <w:lang w:val="pl-PL"/>
        </w:rPr>
        <w:t xml:space="preserve">pozbawienia wolności skarżących. W braku powołania się przez </w:t>
      </w:r>
      <w:r w:rsidR="00F75CB4" w:rsidRPr="00C408DC">
        <w:rPr>
          <w:lang w:val="pl-PL"/>
        </w:rPr>
        <w:t xml:space="preserve">Rząd </w:t>
      </w:r>
      <w:r w:rsidRPr="00C408DC">
        <w:rPr>
          <w:lang w:val="pl-PL"/>
        </w:rPr>
        <w:t>na przepisy prawa mogące stanowić podstawę prawną, Izba uznała, że długotrwałe przetrzymywanie skarżących w strefie tranzytowej Lotniska Szeremietiewo nie miało żadnych podstaw prawnych w przepisach prawa krajowego, naruszając wymóg zawarty w art. 5 ust. 1 Konwencji, w związku z czym stwierdziła naruszenie tego przepisu.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Stanowiska stron</w:t>
      </w:r>
    </w:p>
    <w:p w:rsidR="001377AE" w:rsidRPr="00C408DC" w:rsidRDefault="001377AE" w:rsidP="00072604">
      <w:pPr>
        <w:pStyle w:val="JuH1"/>
        <w:rPr>
          <w:lang w:val="pl-PL"/>
        </w:rPr>
      </w:pPr>
      <w:r w:rsidRPr="00C408DC">
        <w:rPr>
          <w:lang w:val="pl-PL"/>
        </w:rPr>
        <w:t>Skarżący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109.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Skarżący podnoszą, iż w trakcie przebywania w strefie tranzytowej lotniska, znaleźli się oni w sytuacji osób ubiegających się o azyl, których wnioski nie zostały jeszcze rozpatrzone. Nie mieli oni możliwości wjazdu </w:t>
      </w:r>
      <w:r w:rsidRPr="00C408DC">
        <w:rPr>
          <w:lang w:val="pl-PL"/>
        </w:rPr>
        <w:lastRenderedPageBreak/>
        <w:t>do</w:t>
      </w:r>
      <w:r w:rsidR="00C221D8">
        <w:rPr>
          <w:lang w:val="pl-PL"/>
        </w:rPr>
        <w:t> </w:t>
      </w:r>
      <w:r w:rsidRPr="00C408DC">
        <w:rPr>
          <w:lang w:val="pl-PL"/>
        </w:rPr>
        <w:t xml:space="preserve">innego państwa niż do tego, z którego zbiegli, </w:t>
      </w:r>
      <w:r w:rsidR="00D83716">
        <w:rPr>
          <w:lang w:val="pl-PL"/>
        </w:rPr>
        <w:t xml:space="preserve">oraz że znajdowali się </w:t>
      </w:r>
      <w:r w:rsidRPr="00C408DC">
        <w:rPr>
          <w:lang w:val="pl-PL"/>
        </w:rPr>
        <w:t>pod</w:t>
      </w:r>
      <w:r w:rsidR="00C221D8">
        <w:rPr>
          <w:lang w:val="pl-PL"/>
        </w:rPr>
        <w:t> </w:t>
      </w:r>
      <w:r w:rsidRPr="00C408DC">
        <w:rPr>
          <w:lang w:val="pl-PL"/>
        </w:rPr>
        <w:t xml:space="preserve">jurysdykcją rosyjską. W trakcie ich długotrwałego pobytu w strefie tranzytowej lotniska, nie mieli oni możliwości wjazdu na terytorium Rosji ani przyjmowania lekarzy bądź notariuszy; dostęp prawników do nich został obarczony warunkami, a niekiedy był odmawiany; zaś </w:t>
      </w:r>
      <w:r w:rsidR="00EB5377">
        <w:rPr>
          <w:lang w:val="pl-PL"/>
        </w:rPr>
        <w:t>Straż Graniczna (</w:t>
      </w:r>
      <w:r w:rsidRPr="005616E5">
        <w:rPr>
          <w:lang w:val="pl-PL"/>
        </w:rPr>
        <w:t>BGS</w:t>
      </w:r>
      <w:r w:rsidR="00EB5377">
        <w:rPr>
          <w:lang w:val="pl-PL"/>
        </w:rPr>
        <w:t>)</w:t>
      </w:r>
      <w:r w:rsidRPr="00C408DC">
        <w:rPr>
          <w:lang w:val="pl-PL"/>
        </w:rPr>
        <w:t xml:space="preserve"> odebrała im paszporty.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W konsekwencji skarżący nie przebywali w</w:t>
      </w:r>
      <w:r w:rsidR="00C221D8">
        <w:rPr>
          <w:lang w:val="pl-PL"/>
        </w:rPr>
        <w:t> </w:t>
      </w:r>
      <w:r w:rsidRPr="00C408DC">
        <w:rPr>
          <w:lang w:val="pl-PL"/>
        </w:rPr>
        <w:t>strefie tranzytowej z własnego z własnego wyboru, a tym samym, nie</w:t>
      </w:r>
      <w:r w:rsidR="00C221D8">
        <w:rPr>
          <w:lang w:val="pl-PL"/>
        </w:rPr>
        <w:t> </w:t>
      </w:r>
      <w:r w:rsidRPr="00C408DC">
        <w:rPr>
          <w:lang w:val="pl-PL"/>
        </w:rPr>
        <w:t>można twierdzić, że wyrazili w sposób skuteczny zgodę na pozbawienie ich wolności.</w:t>
      </w:r>
      <w:r w:rsidR="00D83716">
        <w:rPr>
          <w:lang w:val="pl-PL"/>
        </w:rPr>
        <w:t xml:space="preserve"> </w:t>
      </w:r>
      <w:r w:rsidR="005616E5">
        <w:rPr>
          <w:lang w:val="pl-PL"/>
        </w:rPr>
        <w:t>Stwierdzają</w:t>
      </w:r>
      <w:r w:rsidR="00D83716">
        <w:rPr>
          <w:lang w:val="pl-PL"/>
        </w:rPr>
        <w:t xml:space="preserve">, że przetrzymywanie ich w strefie tranzytowej stanowiło </w:t>
      </w:r>
      <w:r w:rsidR="00D83716" w:rsidRPr="00D83716">
        <w:rPr>
          <w:i/>
          <w:lang w:val="pl-PL"/>
        </w:rPr>
        <w:t>de facto</w:t>
      </w:r>
      <w:r w:rsidR="00D83716">
        <w:rPr>
          <w:lang w:val="pl-PL"/>
        </w:rPr>
        <w:t xml:space="preserve"> pozbawienie wolności. 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2" w:name="hundredten"/>
      <w:bookmarkStart w:id="3" w:name="p110"/>
      <w:r w:rsidRPr="00C408DC">
        <w:rPr>
          <w:lang w:val="pl-PL"/>
        </w:rPr>
        <w:t>110</w:t>
      </w:r>
      <w:bookmarkEnd w:id="2"/>
      <w:bookmarkEnd w:id="3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Co się tyczy zgodności ich </w:t>
      </w:r>
      <w:r w:rsidRPr="00C408DC">
        <w:rPr>
          <w:i/>
          <w:iCs/>
          <w:lang w:val="pl-PL"/>
        </w:rPr>
        <w:t xml:space="preserve">de facto </w:t>
      </w:r>
      <w:r w:rsidR="00D83716">
        <w:rPr>
          <w:lang w:val="pl-PL"/>
        </w:rPr>
        <w:t>pozbawienia</w:t>
      </w:r>
      <w:r w:rsidRPr="00C408DC">
        <w:rPr>
          <w:lang w:val="pl-PL"/>
        </w:rPr>
        <w:t xml:space="preserve"> wolności z art. 5 ust.</w:t>
      </w:r>
      <w:r w:rsidR="00C221D8">
        <w:rPr>
          <w:lang w:val="pl-PL"/>
        </w:rPr>
        <w:t> </w:t>
      </w:r>
      <w:r w:rsidRPr="00C408DC">
        <w:rPr>
          <w:lang w:val="pl-PL"/>
        </w:rPr>
        <w:t xml:space="preserve">1, skarżący podnoszą, że brak </w:t>
      </w:r>
      <w:r w:rsidR="00D83716">
        <w:rPr>
          <w:lang w:val="pl-PL"/>
        </w:rPr>
        <w:t xml:space="preserve">było </w:t>
      </w:r>
      <w:r w:rsidRPr="00C408DC">
        <w:rPr>
          <w:lang w:val="pl-PL"/>
        </w:rPr>
        <w:t>jakiegokolwiek orzeczenia sądowego bądź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innej urzędowej decyzji zezwalającej na ich zatrzymanie.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W braku procedury prawnej mającej na celu dokonanie oceny zgodności z prawem lub</w:t>
      </w:r>
      <w:r w:rsidR="00C221D8">
        <w:rPr>
          <w:lang w:val="pl-PL"/>
        </w:rPr>
        <w:t> </w:t>
      </w:r>
      <w:r w:rsidR="000F445B">
        <w:rPr>
          <w:lang w:val="pl-PL"/>
        </w:rPr>
        <w:t>czasu trwania</w:t>
      </w:r>
      <w:r w:rsidR="00D83716">
        <w:rPr>
          <w:lang w:val="pl-PL"/>
        </w:rPr>
        <w:t xml:space="preserve"> </w:t>
      </w:r>
      <w:r w:rsidRPr="00C408DC">
        <w:rPr>
          <w:lang w:val="pl-PL"/>
        </w:rPr>
        <w:t>ich</w:t>
      </w:r>
      <w:r w:rsidR="00D83716">
        <w:rPr>
          <w:lang w:val="pl-PL"/>
        </w:rPr>
        <w:t xml:space="preserve"> pozbawienia wolności</w:t>
      </w:r>
      <w:r w:rsidRPr="00C408DC">
        <w:rPr>
          <w:lang w:val="pl-PL"/>
        </w:rPr>
        <w:t xml:space="preserve">, skarżący znaleźli się w „próżni prawnej”. Stwierdzili oni, iż ich długotrwałe przetrzymywanie w strefie tranzytowej lotniska przez nieokreślony i nieprzewidywalny czas w braku konkretnego </w:t>
      </w:r>
      <w:r w:rsidRPr="008222D1">
        <w:rPr>
          <w:lang w:val="pl-PL"/>
        </w:rPr>
        <w:t xml:space="preserve">przepisu prawa </w:t>
      </w:r>
      <w:r w:rsidR="00E605E3" w:rsidRPr="00C408DC">
        <w:rPr>
          <w:lang w:val="pl-PL"/>
        </w:rPr>
        <w:t>uzasadniającego</w:t>
      </w:r>
      <w:r w:rsidR="005616E5">
        <w:rPr>
          <w:lang w:val="pl-PL"/>
        </w:rPr>
        <w:t xml:space="preserve"> to przetrzymywanie</w:t>
      </w:r>
      <w:r w:rsidRPr="008222D1">
        <w:rPr>
          <w:lang w:val="pl-PL"/>
        </w:rPr>
        <w:t xml:space="preserve"> </w:t>
      </w:r>
      <w:r w:rsidRPr="00C408DC">
        <w:rPr>
          <w:lang w:val="pl-PL"/>
        </w:rPr>
        <w:t xml:space="preserve">oraz </w:t>
      </w:r>
      <w:r w:rsidR="00E605E3">
        <w:rPr>
          <w:lang w:val="pl-PL"/>
        </w:rPr>
        <w:t xml:space="preserve">zezwolenia </w:t>
      </w:r>
      <w:r w:rsidRPr="00C408DC">
        <w:rPr>
          <w:lang w:val="pl-PL"/>
        </w:rPr>
        <w:t>sądowego bądź możliwości odwołania nie m</w:t>
      </w:r>
      <w:r w:rsidR="00E605E3">
        <w:rPr>
          <w:lang w:val="pl-PL"/>
        </w:rPr>
        <w:t>iało</w:t>
      </w:r>
      <w:r w:rsidRPr="00C408DC">
        <w:rPr>
          <w:lang w:val="pl-PL"/>
        </w:rPr>
        <w:t xml:space="preserve"> żadnych podstaw prawnych w prawie krajowym, tym samym naruszając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art. 5 ust. 1.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111.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Skarżący podnoszą, iż przedmiot ich skargi </w:t>
      </w:r>
      <w:r w:rsidR="00E605E3">
        <w:rPr>
          <w:lang w:val="pl-PL"/>
        </w:rPr>
        <w:t>do Trybunału</w:t>
      </w:r>
      <w:r w:rsidRPr="00C408DC">
        <w:rPr>
          <w:lang w:val="pl-PL"/>
        </w:rPr>
        <w:t xml:space="preserve"> nie dotyczy odmowy władz rosyjskich udzielenia im azylu. Istota ich odpowiednich skarg polega na tym, że „ich prawa zostały naruszone poprzez brak uregulowań prawnych i naruszenie przez organy przepisów, które powinny być zastosowane</w:t>
      </w:r>
      <w:r w:rsidR="00E605E3">
        <w:rPr>
          <w:lang w:val="pl-PL"/>
        </w:rPr>
        <w:t>,</w:t>
      </w:r>
      <w:r w:rsidRPr="00C408DC">
        <w:rPr>
          <w:lang w:val="pl-PL"/>
        </w:rPr>
        <w:t xml:space="preserve"> oraz </w:t>
      </w:r>
      <w:r w:rsidR="00E605E3">
        <w:rPr>
          <w:lang w:val="pl-PL"/>
        </w:rPr>
        <w:t xml:space="preserve">przez </w:t>
      </w:r>
      <w:r w:rsidRPr="00C408DC">
        <w:rPr>
          <w:lang w:val="pl-PL"/>
        </w:rPr>
        <w:t>ich zupełny brak zainteresowania bądź zamiaru zachowania godności ludzkiej”.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112.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Skarżący oświadcz</w:t>
      </w:r>
      <w:r w:rsidR="00612685">
        <w:rPr>
          <w:lang w:val="pl-PL"/>
        </w:rPr>
        <w:t>aj</w:t>
      </w:r>
      <w:r w:rsidR="00B850A3">
        <w:rPr>
          <w:lang w:val="pl-PL"/>
        </w:rPr>
        <w:t>ą</w:t>
      </w:r>
      <w:r w:rsidRPr="00C408DC">
        <w:rPr>
          <w:lang w:val="pl-PL"/>
        </w:rPr>
        <w:t xml:space="preserve">, że złożyli wnioski o przyznanie statusu uchodźców i tymczasowego azylu zgodnie z rosyjskim prawem krajowym, pomimo braku informacji nt. procedury </w:t>
      </w:r>
      <w:r w:rsidR="00E605E3">
        <w:rPr>
          <w:lang w:val="pl-PL"/>
        </w:rPr>
        <w:t xml:space="preserve">dostępnej </w:t>
      </w:r>
      <w:r w:rsidRPr="00C408DC">
        <w:rPr>
          <w:lang w:val="pl-PL"/>
        </w:rPr>
        <w:t>w strefie tranzytowej lotniska oraz okoliczności, że funkcjonariusze BGS posługiwali się wyłącznie językiem rosyjskim. Okoliczność, że organy rosyjskie nie</w:t>
      </w:r>
      <w:r w:rsidR="00C221D8">
        <w:rPr>
          <w:lang w:val="pl-PL"/>
        </w:rPr>
        <w:t> </w:t>
      </w:r>
      <w:r w:rsidRPr="00C408DC">
        <w:rPr>
          <w:lang w:val="pl-PL"/>
        </w:rPr>
        <w:t>potraktowały skarżących jako osób ubiegających się o azyl oraz że</w:t>
      </w:r>
      <w:r w:rsidR="00C221D8">
        <w:rPr>
          <w:lang w:val="pl-PL"/>
        </w:rPr>
        <w:t> </w:t>
      </w:r>
      <w:r w:rsidRPr="00C408DC">
        <w:rPr>
          <w:lang w:val="pl-PL"/>
        </w:rPr>
        <w:t>nie</w:t>
      </w:r>
      <w:r w:rsidR="00C221D8">
        <w:rPr>
          <w:lang w:val="pl-PL"/>
        </w:rPr>
        <w:t> </w:t>
      </w:r>
      <w:r w:rsidRPr="00C408DC">
        <w:rPr>
          <w:lang w:val="pl-PL"/>
        </w:rPr>
        <w:t>przekazały im zaświadczeń o rozpatrywaniu wniosku o udzielenie azylu pozbawiło ich możliwości skorzystania z praw zagwarantowanych w</w:t>
      </w:r>
      <w:r w:rsidR="00C221D8">
        <w:rPr>
          <w:lang w:val="pl-PL"/>
        </w:rPr>
        <w:t> </w:t>
      </w:r>
      <w:r w:rsidRPr="00C408DC">
        <w:rPr>
          <w:lang w:val="pl-PL"/>
        </w:rPr>
        <w:t>ustawie o uchodźcach.</w:t>
      </w:r>
    </w:p>
    <w:p w:rsidR="001377AE" w:rsidRPr="00C408DC" w:rsidRDefault="001377AE" w:rsidP="00072604">
      <w:pPr>
        <w:pStyle w:val="JuH1"/>
        <w:rPr>
          <w:lang w:val="pl-PL"/>
        </w:rPr>
      </w:pPr>
      <w:r w:rsidRPr="00C408DC">
        <w:rPr>
          <w:lang w:val="pl-PL"/>
        </w:rPr>
        <w:t>Rząd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4" w:name="hundredthirteen"/>
      <w:bookmarkStart w:id="5" w:name="p113"/>
      <w:r w:rsidRPr="00C408DC">
        <w:rPr>
          <w:lang w:val="pl-PL"/>
        </w:rPr>
        <w:t>113</w:t>
      </w:r>
      <w:bookmarkEnd w:id="4"/>
      <w:bookmarkEnd w:id="5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Rząd kład</w:t>
      </w:r>
      <w:r w:rsidR="005E27A5">
        <w:rPr>
          <w:lang w:val="pl-PL"/>
        </w:rPr>
        <w:t>zie</w:t>
      </w:r>
      <w:r w:rsidRPr="00C408DC">
        <w:rPr>
          <w:lang w:val="pl-PL"/>
        </w:rPr>
        <w:t xml:space="preserve"> nacisk, że „ważne jest dokonanie rozróżnienia pomiędzy autentycznymi uchodźcami a migrantami”, przy czy ta druga kategoria obejmuje osoby przemieszczające się do państwa trzeciego zasadniczo z przyczyn ekonomicznych. Zdaniem Rządu, skarżący nie</w:t>
      </w:r>
      <w:r w:rsidR="00C221D8">
        <w:rPr>
          <w:lang w:val="pl-PL"/>
        </w:rPr>
        <w:t> </w:t>
      </w:r>
      <w:r w:rsidRPr="00C408DC">
        <w:rPr>
          <w:lang w:val="pl-PL"/>
        </w:rPr>
        <w:t xml:space="preserve">spełniali kryteriów dla uchodźców określonych w konwencji genewskiej, nie przybyli oni bowiem do Rosji bezpośrednio z krajów, w których istnieje domniemane zagrożenie, nie wybrali jej jako pierwszego bezpiecznego </w:t>
      </w:r>
      <w:r w:rsidRPr="00C408DC">
        <w:rPr>
          <w:lang w:val="pl-PL"/>
        </w:rPr>
        <w:lastRenderedPageBreak/>
        <w:t>państwa dla potrzeb wystąpienia o udzielenie azylu, nie wystąpili z</w:t>
      </w:r>
      <w:r w:rsidR="00C221D8">
        <w:rPr>
          <w:lang w:val="pl-PL"/>
        </w:rPr>
        <w:t> </w:t>
      </w:r>
      <w:r w:rsidRPr="00C408DC">
        <w:rPr>
          <w:lang w:val="pl-PL"/>
        </w:rPr>
        <w:t>wnioskiem o udzielenie azylu bezpośrednio po wjeździe do Rosji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ani</w:t>
      </w:r>
      <w:r w:rsidR="00C221D8">
        <w:rPr>
          <w:lang w:val="pl-PL"/>
        </w:rPr>
        <w:t> </w:t>
      </w:r>
      <w:r w:rsidRPr="00C408DC">
        <w:rPr>
          <w:lang w:val="pl-PL"/>
        </w:rPr>
        <w:t>nie</w:t>
      </w:r>
      <w:r w:rsidR="00C221D8">
        <w:rPr>
          <w:lang w:val="pl-PL"/>
        </w:rPr>
        <w:t> </w:t>
      </w:r>
      <w:r w:rsidRPr="00C408DC">
        <w:rPr>
          <w:lang w:val="pl-PL"/>
        </w:rPr>
        <w:t>ubiegali się o udzielenie azylu w państwach, w których wcześniej przebywali. Podczas przesłuchań dokonywanych przez rosyjski</w:t>
      </w:r>
      <w:r w:rsidR="005E27A5">
        <w:rPr>
          <w:lang w:val="pl-PL"/>
        </w:rPr>
        <w:t>e</w:t>
      </w:r>
      <w:r w:rsidRPr="00C408DC">
        <w:rPr>
          <w:lang w:val="pl-PL"/>
        </w:rPr>
        <w:t xml:space="preserve"> organ</w:t>
      </w:r>
      <w:r w:rsidR="005E27A5">
        <w:rPr>
          <w:lang w:val="pl-PL"/>
        </w:rPr>
        <w:t>y</w:t>
      </w:r>
      <w:r w:rsidRPr="00C408DC">
        <w:rPr>
          <w:lang w:val="pl-PL"/>
        </w:rPr>
        <w:t xml:space="preserve"> ds.</w:t>
      </w:r>
      <w:r w:rsidR="00C221D8">
        <w:rPr>
          <w:lang w:val="pl-PL"/>
        </w:rPr>
        <w:t> </w:t>
      </w:r>
      <w:r w:rsidRPr="00C408DC">
        <w:rPr>
          <w:lang w:val="pl-PL"/>
        </w:rPr>
        <w:t xml:space="preserve">migracji, skarżący nie uprawdopodobnili swoich twierdzeń, </w:t>
      </w:r>
      <w:r w:rsidR="005E27A5">
        <w:rPr>
          <w:lang w:val="pl-PL"/>
        </w:rPr>
        <w:t>ż</w:t>
      </w:r>
      <w:r w:rsidRPr="00C408DC">
        <w:rPr>
          <w:lang w:val="pl-PL"/>
        </w:rPr>
        <w:t>e ich życie jest zagrożone w państwach pochodzenia, natomiast powoływali się na złą sytuację gospodarczą. Twierdzenia o ewentualnych zagrożeniach zostały przedstawione dopiero po nawiązaniu kontaktu z prawnikami specjalizującymi się w sprawach o azyl. W konsekwencji, skarżący nie byli „osobami autentycznie ubiegającymi się o azyl”, lecz „zwykłymi migrantami”, których wnioski o udzielenie azylu zostały „wytworzone w</w:t>
      </w:r>
      <w:r w:rsidR="00C221D8">
        <w:rPr>
          <w:lang w:val="pl-PL"/>
        </w:rPr>
        <w:t> </w:t>
      </w:r>
      <w:r w:rsidRPr="00C408DC">
        <w:rPr>
          <w:lang w:val="pl-PL"/>
        </w:rPr>
        <w:t>sztuczny sposób, z małym prawdopodobieństwem, iż zostaną uwzględnione”.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6" w:name="OBSG_difficulties"/>
      <w:r w:rsidRPr="00C408DC">
        <w:rPr>
          <w:lang w:val="pl-PL"/>
        </w:rPr>
        <w:t>114</w:t>
      </w:r>
      <w:bookmarkEnd w:id="6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Rząd podnosi, że nie może być </w:t>
      </w:r>
      <w:r w:rsidR="0088126C" w:rsidRPr="00C408DC">
        <w:rPr>
          <w:lang w:val="pl-PL"/>
        </w:rPr>
        <w:t xml:space="preserve">on </w:t>
      </w:r>
      <w:r w:rsidRPr="00C408DC">
        <w:rPr>
          <w:lang w:val="pl-PL"/>
        </w:rPr>
        <w:t>uznany za odpowiedzialny za</w:t>
      </w:r>
      <w:r w:rsidR="00C221D8">
        <w:rPr>
          <w:lang w:val="pl-PL"/>
        </w:rPr>
        <w:t> </w:t>
      </w:r>
      <w:r w:rsidRPr="00C408DC">
        <w:rPr>
          <w:lang w:val="pl-PL"/>
        </w:rPr>
        <w:t>trudności będące skutkiem własnego wyboru skarżących. Stanowisko Trybunału w sprawach dotyczących osób ubiegających się o azyl zachęca migrantów „do nadużywania prawa do azylu”.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7" w:name="hundredfifteen"/>
      <w:bookmarkStart w:id="8" w:name="p115"/>
      <w:r w:rsidRPr="00C408DC">
        <w:rPr>
          <w:lang w:val="pl-PL"/>
        </w:rPr>
        <w:t>115</w:t>
      </w:r>
      <w:bookmarkEnd w:id="7"/>
      <w:bookmarkEnd w:id="8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Rząd podnosi, iż okoliczność, że dana osoba pod jurysdykcją państwa niekoniecznie </w:t>
      </w:r>
      <w:r w:rsidR="009C7993" w:rsidRPr="00C408DC">
        <w:rPr>
          <w:lang w:val="pl-PL"/>
        </w:rPr>
        <w:t xml:space="preserve">znajduje się </w:t>
      </w:r>
      <w:r w:rsidRPr="00A57CD6">
        <w:rPr>
          <w:lang w:val="pl-PL"/>
        </w:rPr>
        <w:t>„w</w:t>
      </w:r>
      <w:r w:rsidR="009C7993" w:rsidRPr="00A57CD6">
        <w:rPr>
          <w:lang w:val="pl-PL"/>
        </w:rPr>
        <w:t xml:space="preserve"> rękach</w:t>
      </w:r>
      <w:r w:rsidRPr="00A57CD6">
        <w:rPr>
          <w:lang w:val="pl-PL"/>
        </w:rPr>
        <w:t xml:space="preserve"> organów”</w:t>
      </w:r>
      <w:r w:rsidR="009C7993" w:rsidRPr="00A57CD6">
        <w:rPr>
          <w:lang w:val="pl-PL"/>
        </w:rPr>
        <w:t>,</w:t>
      </w:r>
      <w:r w:rsidRPr="00C408DC">
        <w:rPr>
          <w:lang w:val="pl-PL"/>
        </w:rPr>
        <w:t xml:space="preserve"> oraz stwierdz</w:t>
      </w:r>
      <w:r w:rsidR="00612685">
        <w:rPr>
          <w:lang w:val="pl-PL"/>
        </w:rPr>
        <w:t>a</w:t>
      </w:r>
      <w:r w:rsidRPr="00C408DC">
        <w:rPr>
          <w:lang w:val="pl-PL"/>
        </w:rPr>
        <w:t xml:space="preserve"> ponadto, że</w:t>
      </w:r>
      <w:r w:rsidR="00C221D8">
        <w:rPr>
          <w:lang w:val="pl-PL"/>
        </w:rPr>
        <w:t> </w:t>
      </w:r>
      <w:r w:rsidRPr="00C408DC">
        <w:rPr>
          <w:lang w:val="pl-PL"/>
        </w:rPr>
        <w:t>skarżący powinni być doskonale świadomi, iż nie posiadali wymaganych dokumentów oraz że nie mieli ważnych podstaw wjazdu do Rosji. Usiłując umyślnie wjechać do Rosji bez ważnych wiz i podstaw, aby ich uznać za</w:t>
      </w:r>
      <w:r w:rsidR="00C221D8">
        <w:rPr>
          <w:lang w:val="pl-PL"/>
        </w:rPr>
        <w:t> </w:t>
      </w:r>
      <w:r w:rsidRPr="00C408DC">
        <w:rPr>
          <w:lang w:val="pl-PL"/>
        </w:rPr>
        <w:t>uchodźców, skarżący naruszyli prawo rosyjskie, a tym samym w sposób skuteczny wyrazili zgodę na pozbawienie ich wolności. Okoliczność, że</w:t>
      </w:r>
      <w:r w:rsidR="00C221D8">
        <w:rPr>
          <w:lang w:val="pl-PL"/>
        </w:rPr>
        <w:t> </w:t>
      </w:r>
      <w:r w:rsidRPr="00C408DC">
        <w:rPr>
          <w:lang w:val="pl-PL"/>
        </w:rPr>
        <w:t>organy rosyjskie badały wnioski skarżących o udzielenie azylu</w:t>
      </w:r>
      <w:r w:rsidR="009C7993">
        <w:rPr>
          <w:lang w:val="pl-PL"/>
        </w:rPr>
        <w:t>,</w:t>
      </w:r>
      <w:r w:rsidRPr="00C408DC">
        <w:rPr>
          <w:lang w:val="pl-PL"/>
        </w:rPr>
        <w:t xml:space="preserve"> nie</w:t>
      </w:r>
      <w:r w:rsidR="00C221D8">
        <w:rPr>
          <w:lang w:val="pl-PL"/>
        </w:rPr>
        <w:t> </w:t>
      </w:r>
      <w:r w:rsidRPr="00C408DC">
        <w:rPr>
          <w:lang w:val="pl-PL"/>
        </w:rPr>
        <w:t>oznacza, że musieli oni przebywać w strefie tranzytowej lotniska, bowiem perspektywa uwzględnienia tych wniosków była znikoma. Powołuje się on również na margines</w:t>
      </w:r>
      <w:r w:rsidR="00E33562" w:rsidRPr="00C408DC">
        <w:rPr>
          <w:lang w:val="pl-PL"/>
        </w:rPr>
        <w:t xml:space="preserve"> oceny</w:t>
      </w:r>
      <w:r w:rsidRPr="00C408DC">
        <w:rPr>
          <w:lang w:val="pl-PL"/>
        </w:rPr>
        <w:t>, z którego korzystają państwa przy udzielaniu azylu. Stwierdz</w:t>
      </w:r>
      <w:r w:rsidR="00612685">
        <w:rPr>
          <w:lang w:val="pl-PL"/>
        </w:rPr>
        <w:t>a</w:t>
      </w:r>
      <w:r w:rsidRPr="00C408DC">
        <w:rPr>
          <w:lang w:val="pl-PL"/>
        </w:rPr>
        <w:t>, że art. 5 nie ma zastosowania w niniejszej sprawie.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9" w:name="hundredsixteen"/>
      <w:bookmarkStart w:id="10" w:name="p116"/>
      <w:r w:rsidRPr="00C408DC">
        <w:rPr>
          <w:lang w:val="pl-PL"/>
        </w:rPr>
        <w:t>116</w:t>
      </w:r>
      <w:bookmarkEnd w:id="9"/>
      <w:bookmarkEnd w:id="10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Rząd ponadto powołuje się na „nieodłączne suwerenne prawo państwa do kontrolowania wjazdu i pobytu cudzoziemców na jego terytorium” oraz podnosi, ze paszporty skarżących nie zostały odebrane. Skarżący nie podlegali postępowaniu o wydalenie, deportację ani</w:t>
      </w:r>
      <w:r w:rsidR="00C221D8">
        <w:rPr>
          <w:lang w:val="pl-PL"/>
        </w:rPr>
        <w:t> </w:t>
      </w:r>
      <w:r w:rsidRPr="00C408DC">
        <w:rPr>
          <w:lang w:val="pl-PL"/>
        </w:rPr>
        <w:t>o</w:t>
      </w:r>
      <w:r w:rsidR="00C221D8">
        <w:rPr>
          <w:lang w:val="pl-PL"/>
        </w:rPr>
        <w:t> </w:t>
      </w:r>
      <w:r w:rsidRPr="00C408DC">
        <w:rPr>
          <w:lang w:val="pl-PL"/>
        </w:rPr>
        <w:t>ekstradycję, w związku z czym nie miało miejsce pozbawienie wolności, bowiem skarżący mieli swobodę opuszczenia Rosji w dowolnej chwili, co w końcu uczynili.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117.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Ponadto podnosi on, iż jeżeli państwo zakazuje cudzoziemcowi wjazdu na swoje terytorium, to</w:t>
      </w:r>
      <w:r w:rsidR="00312700">
        <w:rPr>
          <w:lang w:val="pl-PL"/>
        </w:rPr>
        <w:t xml:space="preserve"> wówczas zostaje on zmuszony do </w:t>
      </w:r>
      <w:r w:rsidRPr="00C408DC">
        <w:rPr>
          <w:lang w:val="pl-PL"/>
        </w:rPr>
        <w:t>opuszczenia państwa. Jeżeli wnioskodawca spełniający kryteria osoby ubiegającej się o azyl, określone w konwencji genewskiej, zostanie zmuszony do powrotu do kraju w którym był prześladowany, mogłoby powstać zagadnienie na gruncie art. 3 Konwencji, jednakże wyłącznie w sytuacji zgłoszenia stosownej skargi przez tegoż wnioskodawcę.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11" w:name="hundredeighteen"/>
      <w:bookmarkStart w:id="12" w:name="p118"/>
      <w:r w:rsidRPr="00C408DC">
        <w:rPr>
          <w:lang w:val="pl-PL"/>
        </w:rPr>
        <w:lastRenderedPageBreak/>
        <w:t>118</w:t>
      </w:r>
      <w:bookmarkEnd w:id="11"/>
      <w:bookmarkEnd w:id="12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Rząd ponadto podnosi, że Trybunał „wynalazł” nowe prawo na</w:t>
      </w:r>
      <w:r w:rsidR="00312700">
        <w:rPr>
          <w:lang w:val="pl-PL"/>
        </w:rPr>
        <w:t> </w:t>
      </w:r>
      <w:r w:rsidRPr="00C408DC">
        <w:rPr>
          <w:lang w:val="pl-PL"/>
        </w:rPr>
        <w:t>gruncie Konwencji – któr</w:t>
      </w:r>
      <w:r w:rsidR="009C7993">
        <w:rPr>
          <w:lang w:val="pl-PL"/>
        </w:rPr>
        <w:t>a</w:t>
      </w:r>
      <w:r w:rsidRPr="00C408DC">
        <w:rPr>
          <w:lang w:val="pl-PL"/>
        </w:rPr>
        <w:t xml:space="preserve"> nie gwarantuje prawa do azylu – nakładające na państwa obowiązek zezwolenia </w:t>
      </w:r>
      <w:r w:rsidR="004F064E" w:rsidRPr="00C408DC">
        <w:rPr>
          <w:lang w:val="pl-PL"/>
        </w:rPr>
        <w:t xml:space="preserve">bez przeszkód </w:t>
      </w:r>
      <w:r w:rsidR="00612685">
        <w:rPr>
          <w:lang w:val="pl-PL"/>
        </w:rPr>
        <w:t>na wjazd</w:t>
      </w:r>
      <w:r w:rsidR="00612685" w:rsidRPr="00C408DC">
        <w:rPr>
          <w:lang w:val="pl-PL"/>
        </w:rPr>
        <w:t xml:space="preserve"> na swoje terytorium </w:t>
      </w:r>
      <w:r w:rsidRPr="00C408DC">
        <w:rPr>
          <w:lang w:val="pl-PL"/>
        </w:rPr>
        <w:t>każdej osobie twierdzącej, iż ubiega się o azyl</w:t>
      </w:r>
      <w:r w:rsidR="004F064E">
        <w:rPr>
          <w:lang w:val="pl-PL"/>
        </w:rPr>
        <w:t>.</w:t>
      </w:r>
      <w:r w:rsidRPr="00C408DC">
        <w:rPr>
          <w:lang w:val="pl-PL"/>
        </w:rPr>
        <w:t xml:space="preserve"> Stwierdz</w:t>
      </w:r>
      <w:r w:rsidR="004F064E">
        <w:rPr>
          <w:lang w:val="pl-PL"/>
        </w:rPr>
        <w:t>a</w:t>
      </w:r>
      <w:r w:rsidRPr="00C408DC">
        <w:rPr>
          <w:lang w:val="pl-PL"/>
        </w:rPr>
        <w:t xml:space="preserve"> on, że</w:t>
      </w:r>
      <w:r w:rsidR="00312700">
        <w:rPr>
          <w:lang w:val="pl-PL"/>
        </w:rPr>
        <w:t> </w:t>
      </w:r>
      <w:r w:rsidRPr="00C408DC">
        <w:rPr>
          <w:lang w:val="pl-PL"/>
        </w:rPr>
        <w:t>w</w:t>
      </w:r>
      <w:r w:rsidR="00312700">
        <w:rPr>
          <w:lang w:val="pl-PL"/>
        </w:rPr>
        <w:t> </w:t>
      </w:r>
      <w:r w:rsidRPr="00C408DC">
        <w:rPr>
          <w:lang w:val="pl-PL"/>
        </w:rPr>
        <w:t>niniejszej sprawie nie miało miejsce naruszenie art. 5 ust. 1 Konwencji.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Twierdzenia strony trzeciej występującej z interwencją</w:t>
      </w:r>
    </w:p>
    <w:p w:rsidR="001377AE" w:rsidRPr="00C408DC" w:rsidRDefault="001377AE" w:rsidP="00072604">
      <w:pPr>
        <w:pStyle w:val="JuH1"/>
        <w:rPr>
          <w:lang w:val="pl-PL"/>
        </w:rPr>
      </w:pPr>
      <w:r w:rsidRPr="00C408DC">
        <w:rPr>
          <w:lang w:val="pl-PL"/>
        </w:rPr>
        <w:t>UNHCR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119.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W swoich uwagach UNCHR odn</w:t>
      </w:r>
      <w:r w:rsidR="004F064E">
        <w:rPr>
          <w:lang w:val="pl-PL"/>
        </w:rPr>
        <w:t>osi</w:t>
      </w:r>
      <w:r w:rsidRPr="00C408DC">
        <w:rPr>
          <w:lang w:val="pl-PL"/>
        </w:rPr>
        <w:t xml:space="preserve"> się do rosyjskich ram prawnych i praktyki mającej zastosowanie odnośnie do traktowania osób ubiegających się o azyl w strefach tranzytowych lotnisk w Feder</w:t>
      </w:r>
      <w:r w:rsidR="004F064E">
        <w:rPr>
          <w:lang w:val="pl-PL"/>
        </w:rPr>
        <w:t>acji Rosyjskiej oraz przedstawia</w:t>
      </w:r>
      <w:r w:rsidRPr="00C408DC">
        <w:rPr>
          <w:lang w:val="pl-PL"/>
        </w:rPr>
        <w:t xml:space="preserve"> swoją wykładnię mających znaczenie dla sprawy zasad prawa międzynarodowego.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13" w:name="hundredtwenty"/>
      <w:r w:rsidRPr="00C408DC">
        <w:rPr>
          <w:lang w:val="pl-PL"/>
        </w:rPr>
        <w:t>120</w:t>
      </w:r>
      <w:bookmarkEnd w:id="13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Prawo rosyjskie nie zawiera żadnych przepisów odnoszących się do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podstaw lub </w:t>
      </w:r>
      <w:r w:rsidR="006F277D">
        <w:rPr>
          <w:lang w:val="pl-PL"/>
        </w:rPr>
        <w:t>długości</w:t>
      </w:r>
      <w:r w:rsidRPr="00C408DC">
        <w:rPr>
          <w:lang w:val="pl-PL"/>
        </w:rPr>
        <w:t xml:space="preserve"> pobytu w strefach przygranicznych i strefach tranzytowych bądź przewidujących gwarancje procesowe dla osób ubiegających się o azyl na granicy; ani nie przewiduje ono możliwości kontroli sądowej w odniesieniu do sytuacji osób, które utk</w:t>
      </w:r>
      <w:r w:rsidR="006F277D">
        <w:rPr>
          <w:lang w:val="pl-PL"/>
        </w:rPr>
        <w:t>nęły</w:t>
      </w:r>
      <w:r w:rsidRPr="00C408DC">
        <w:rPr>
          <w:lang w:val="pl-PL"/>
        </w:rPr>
        <w:t xml:space="preserve"> w strefie tranzytowej. Warunki pobytu w strefach tranzytowych lotniska nie zostały uregulowane przepisami prawa krajowego. Prawo rosyjskie nie nakłada na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żaden organ państwowy </w:t>
      </w:r>
      <w:r w:rsidR="006F277D">
        <w:rPr>
          <w:lang w:val="pl-PL"/>
        </w:rPr>
        <w:t>odpowiedzialności za zapewnienie</w:t>
      </w:r>
      <w:r w:rsidRPr="00C408DC">
        <w:rPr>
          <w:lang w:val="pl-PL"/>
        </w:rPr>
        <w:t xml:space="preserve"> minimalnej opieki podstawowej w strefach tranzytowych dla osób ubiegających się o</w:t>
      </w:r>
      <w:r w:rsidR="00312700">
        <w:rPr>
          <w:lang w:val="pl-PL"/>
        </w:rPr>
        <w:t> </w:t>
      </w:r>
      <w:r w:rsidRPr="00C408DC">
        <w:rPr>
          <w:lang w:val="pl-PL"/>
        </w:rPr>
        <w:t>azyl.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EB5377">
        <w:rPr>
          <w:lang w:val="pl-PL"/>
        </w:rPr>
        <w:t>121.</w:t>
      </w:r>
      <w:r w:rsidR="005C05E6" w:rsidRPr="00EB5377">
        <w:rPr>
          <w:lang w:val="pl-PL"/>
        </w:rPr>
        <w:t xml:space="preserve"> </w:t>
      </w:r>
      <w:r w:rsidRPr="00EB5377">
        <w:rPr>
          <w:lang w:val="pl-PL"/>
        </w:rPr>
        <w:t>Organy migracyjne</w:t>
      </w:r>
      <w:r w:rsidRPr="00C408DC">
        <w:rPr>
          <w:lang w:val="pl-PL"/>
        </w:rPr>
        <w:t xml:space="preserve"> nie mają swojego personelu w strefach tranzytowych pozostających pod pełną kontrolą BGS.</w:t>
      </w:r>
      <w:r w:rsidR="000B04D2">
        <w:rPr>
          <w:lang w:val="pl-PL"/>
        </w:rPr>
        <w:t xml:space="preserve"> BGS nie podejmuje</w:t>
      </w:r>
      <w:r w:rsidR="00EB5377">
        <w:rPr>
          <w:lang w:val="pl-PL"/>
        </w:rPr>
        <w:t xml:space="preserve"> </w:t>
      </w:r>
      <w:r w:rsidRPr="00C408DC">
        <w:rPr>
          <w:lang w:val="pl-PL"/>
        </w:rPr>
        <w:t>decyzji o przetrzymywaniu danej osoby w strefie tra</w:t>
      </w:r>
      <w:r w:rsidR="000B04D2">
        <w:rPr>
          <w:lang w:val="pl-PL"/>
        </w:rPr>
        <w:t>nzytowej; po prostu nie zezwala</w:t>
      </w:r>
      <w:r w:rsidRPr="00C408DC">
        <w:rPr>
          <w:lang w:val="pl-PL"/>
        </w:rPr>
        <w:t xml:space="preserve"> tej osobie na przejście przez kontrolę paszportową. Może on</w:t>
      </w:r>
      <w:r w:rsidR="000B04D2">
        <w:rPr>
          <w:lang w:val="pl-PL"/>
        </w:rPr>
        <w:t>a</w:t>
      </w:r>
      <w:r w:rsidRPr="00C408DC">
        <w:rPr>
          <w:lang w:val="pl-PL"/>
        </w:rPr>
        <w:t xml:space="preserve"> także odmówić przyjęcia wniosków o udzielenie azylu bez podawania przyczyn. Osoby ubiegające się o azyl znajdujące się w strefach tranzytowych lotniska pozbawione są minimum praw zagwarantowanych w ustawie o uchodźcach, dopóki pozostają w próżni prawnej, nawet po wydaniu im zaświadczeń o</w:t>
      </w:r>
      <w:r w:rsidR="00312700">
        <w:rPr>
          <w:lang w:val="pl-PL"/>
        </w:rPr>
        <w:t> </w:t>
      </w:r>
      <w:r w:rsidRPr="00C408DC">
        <w:rPr>
          <w:lang w:val="pl-PL"/>
        </w:rPr>
        <w:t>rozpatrywaniu wniosku o udzielenie azylu. Nie mogą oni skutecznie korzystać z prawa do złożenia odwołania od odrzucenia w pierwszej instancji wniosków o nadanie statusu uchodźców.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14" w:name="CONDT_UNHCR"/>
      <w:bookmarkStart w:id="15" w:name="p122"/>
      <w:r w:rsidRPr="00C408DC">
        <w:rPr>
          <w:lang w:val="pl-PL"/>
        </w:rPr>
        <w:t>122</w:t>
      </w:r>
      <w:bookmarkEnd w:id="14"/>
      <w:bookmarkEnd w:id="15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Osoby ubiegające się o azyl, które utk</w:t>
      </w:r>
      <w:r w:rsidR="000B04D2">
        <w:rPr>
          <w:lang w:val="pl-PL"/>
        </w:rPr>
        <w:t>nęły</w:t>
      </w:r>
      <w:r w:rsidRPr="00C408DC">
        <w:rPr>
          <w:lang w:val="pl-PL"/>
        </w:rPr>
        <w:t xml:space="preserve"> w strefach tranzytowych</w:t>
      </w:r>
      <w:r w:rsidR="000B04D2">
        <w:rPr>
          <w:lang w:val="pl-PL"/>
        </w:rPr>
        <w:t>,</w:t>
      </w:r>
      <w:r w:rsidRPr="00C408DC">
        <w:rPr>
          <w:lang w:val="pl-PL"/>
        </w:rPr>
        <w:t xml:space="preserve"> </w:t>
      </w:r>
      <w:r w:rsidR="000B04D2">
        <w:rPr>
          <w:lang w:val="pl-PL"/>
        </w:rPr>
        <w:t>są</w:t>
      </w:r>
      <w:r w:rsidRPr="00C408DC">
        <w:rPr>
          <w:lang w:val="pl-PL"/>
        </w:rPr>
        <w:t xml:space="preserve"> pozbawione dostępu do świeżego powietrza, prywatności, żywności oraz</w:t>
      </w:r>
      <w:r w:rsidR="00312700">
        <w:rPr>
          <w:lang w:val="pl-PL"/>
        </w:rPr>
        <w:t> </w:t>
      </w:r>
      <w:r w:rsidRPr="00C408DC">
        <w:rPr>
          <w:lang w:val="pl-PL"/>
        </w:rPr>
        <w:t>dostępu do opieki lekarskiej i socjalnej. Okres, w którym osoba ubiegająca się o azyl musi znosić tak dramatyczny brak podstawowej infrastruktury</w:t>
      </w:r>
      <w:r w:rsidR="000B04D2">
        <w:rPr>
          <w:lang w:val="pl-PL"/>
        </w:rPr>
        <w:t>,</w:t>
      </w:r>
      <w:r w:rsidRPr="00C408DC">
        <w:rPr>
          <w:lang w:val="pl-PL"/>
        </w:rPr>
        <w:t xml:space="preserve"> może zostać wydłużony, bowiem przeciętny okres trwania postępowania o udzielenie azylu, włącznie z postępowaniem odwoławczym, może trwać od</w:t>
      </w:r>
      <w:r w:rsidR="00F75CB4" w:rsidRPr="00C408DC">
        <w:rPr>
          <w:lang w:val="pl-PL"/>
        </w:rPr>
        <w:t xml:space="preserve"> r</w:t>
      </w:r>
      <w:r w:rsidR="00921814">
        <w:rPr>
          <w:lang w:val="pl-PL"/>
        </w:rPr>
        <w:t>oku</w:t>
      </w:r>
      <w:r w:rsidRPr="00C408DC">
        <w:rPr>
          <w:lang w:val="pl-PL"/>
        </w:rPr>
        <w:t xml:space="preserve"> do dwóch lat.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123.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UNCHR stwierdz</w:t>
      </w:r>
      <w:r w:rsidR="004F064E">
        <w:rPr>
          <w:lang w:val="pl-PL"/>
        </w:rPr>
        <w:t>a</w:t>
      </w:r>
      <w:r w:rsidRPr="00C408DC">
        <w:rPr>
          <w:lang w:val="pl-PL"/>
        </w:rPr>
        <w:t>, iż w sytuacji</w:t>
      </w:r>
      <w:r w:rsidR="000B04D2">
        <w:rPr>
          <w:lang w:val="pl-PL"/>
        </w:rPr>
        <w:t>,</w:t>
      </w:r>
      <w:r w:rsidRPr="00C408DC">
        <w:rPr>
          <w:lang w:val="pl-PL"/>
        </w:rPr>
        <w:t xml:space="preserve"> gdy </w:t>
      </w:r>
      <w:r w:rsidR="00A57CD6">
        <w:rPr>
          <w:lang w:val="pl-PL"/>
        </w:rPr>
        <w:t>stosowane jest</w:t>
      </w:r>
      <w:r w:rsidR="000B04D2">
        <w:rPr>
          <w:lang w:val="pl-PL"/>
        </w:rPr>
        <w:t xml:space="preserve"> </w:t>
      </w:r>
      <w:r w:rsidR="000B04D2" w:rsidRPr="00A57CD6">
        <w:rPr>
          <w:lang w:val="pl-PL"/>
        </w:rPr>
        <w:t xml:space="preserve">pozbawienie wolności </w:t>
      </w:r>
      <w:r w:rsidRPr="00A57CD6">
        <w:rPr>
          <w:lang w:val="pl-PL"/>
        </w:rPr>
        <w:t>osób ubiegających się azyl, powinno ono zostać uz</w:t>
      </w:r>
      <w:r w:rsidRPr="00C408DC">
        <w:rPr>
          <w:lang w:val="pl-PL"/>
        </w:rPr>
        <w:t xml:space="preserve">asadnione </w:t>
      </w:r>
      <w:r w:rsidRPr="00C408DC">
        <w:rPr>
          <w:lang w:val="pl-PL"/>
        </w:rPr>
        <w:lastRenderedPageBreak/>
        <w:t>na</w:t>
      </w:r>
      <w:r w:rsidR="00312700">
        <w:rPr>
          <w:lang w:val="pl-PL"/>
        </w:rPr>
        <w:t> </w:t>
      </w:r>
      <w:r w:rsidRPr="00C408DC">
        <w:rPr>
          <w:lang w:val="pl-PL"/>
        </w:rPr>
        <w:t>gruncie zasad konieczności, racjonalności i proporcjonalności, a także powinno podlegać istotnym gwarancjom procesowym –</w:t>
      </w:r>
      <w:r w:rsidR="00606426">
        <w:rPr>
          <w:lang w:val="pl-PL"/>
        </w:rPr>
        <w:t xml:space="preserve"> </w:t>
      </w:r>
      <w:r w:rsidRPr="00C408DC">
        <w:rPr>
          <w:lang w:val="pl-PL"/>
        </w:rPr>
        <w:t xml:space="preserve">wszystkiego </w:t>
      </w:r>
      <w:r w:rsidR="00606426">
        <w:rPr>
          <w:lang w:val="pl-PL"/>
        </w:rPr>
        <w:t xml:space="preserve">tego </w:t>
      </w:r>
      <w:r w:rsidRPr="00C408DC">
        <w:rPr>
          <w:lang w:val="pl-PL"/>
        </w:rPr>
        <w:t>zabrakło w kontekście osób przetrzymywanych w strefach tranzytowych lotniska w Federacji Rosyjskiej.</w:t>
      </w:r>
    </w:p>
    <w:p w:rsidR="001377AE" w:rsidRPr="00C408DC" w:rsidRDefault="001377AE" w:rsidP="00072604">
      <w:pPr>
        <w:pStyle w:val="JuH1"/>
        <w:rPr>
          <w:lang w:val="pl-PL"/>
        </w:rPr>
      </w:pPr>
      <w:r w:rsidRPr="00C408DC">
        <w:rPr>
          <w:lang w:val="pl-PL"/>
        </w:rPr>
        <w:t xml:space="preserve">Rząd </w:t>
      </w:r>
      <w:r w:rsidR="003B6630" w:rsidRPr="00C408DC">
        <w:rPr>
          <w:lang w:val="pl-PL"/>
        </w:rPr>
        <w:t>Węgier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124.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Rząd Węgier podn</w:t>
      </w:r>
      <w:r w:rsidRPr="00AB47B3">
        <w:rPr>
          <w:lang w:val="pl-PL"/>
        </w:rPr>
        <w:t>os</w:t>
      </w:r>
      <w:r w:rsidR="00606426">
        <w:rPr>
          <w:lang w:val="pl-PL"/>
        </w:rPr>
        <w:t>i</w:t>
      </w:r>
      <w:r w:rsidRPr="00C408DC">
        <w:rPr>
          <w:lang w:val="pl-PL"/>
        </w:rPr>
        <w:t xml:space="preserve"> wobec Wielkiej Izby, że </w:t>
      </w:r>
      <w:r w:rsidR="00606426" w:rsidRPr="00C408DC">
        <w:rPr>
          <w:lang w:val="pl-PL"/>
        </w:rPr>
        <w:t xml:space="preserve">na gruncie obowiązującego prawa międzynarodowego </w:t>
      </w:r>
      <w:r w:rsidRPr="00C408DC">
        <w:rPr>
          <w:lang w:val="pl-PL"/>
        </w:rPr>
        <w:t>nie istnieje „prawo do turystyki azylowej” (to znaczy prawo do wyboru państwa, w którym ubiegać się o</w:t>
      </w:r>
      <w:r w:rsidR="00312700">
        <w:rPr>
          <w:lang w:val="pl-PL"/>
        </w:rPr>
        <w:t> </w:t>
      </w:r>
      <w:r w:rsidRPr="00C408DC">
        <w:rPr>
          <w:lang w:val="pl-PL"/>
        </w:rPr>
        <w:t>azyl), pomimo że UNCHR i „inne organizacje międzynarodowe promujące prawa uchodźców” są jego rzecznikami.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125.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Zdaniem </w:t>
      </w:r>
      <w:r w:rsidR="00F75CB4" w:rsidRPr="00C408DC">
        <w:rPr>
          <w:lang w:val="pl-PL"/>
        </w:rPr>
        <w:t xml:space="preserve">Rządu </w:t>
      </w:r>
      <w:r w:rsidRPr="00C408DC">
        <w:rPr>
          <w:lang w:val="pl-PL"/>
        </w:rPr>
        <w:t xml:space="preserve">Węgier, nie istnieje </w:t>
      </w:r>
      <w:r w:rsidRPr="00905201">
        <w:rPr>
          <w:lang w:val="pl-PL"/>
        </w:rPr>
        <w:t>prawo</w:t>
      </w:r>
      <w:r w:rsidR="00905201" w:rsidRPr="00905201">
        <w:rPr>
          <w:lang w:val="pl-PL"/>
        </w:rPr>
        <w:t xml:space="preserve"> do udzielenia </w:t>
      </w:r>
      <w:r w:rsidRPr="00905201">
        <w:rPr>
          <w:lang w:val="pl-PL"/>
        </w:rPr>
        <w:t>azyl</w:t>
      </w:r>
      <w:r w:rsidR="00905201" w:rsidRPr="00905201">
        <w:rPr>
          <w:lang w:val="pl-PL"/>
        </w:rPr>
        <w:t>u</w:t>
      </w:r>
      <w:r w:rsidRPr="00C408DC">
        <w:rPr>
          <w:lang w:val="pl-PL"/>
        </w:rPr>
        <w:t>. Art</w:t>
      </w:r>
      <w:r w:rsidR="00606426">
        <w:rPr>
          <w:lang w:val="pl-PL"/>
        </w:rPr>
        <w:t>.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14 </w:t>
      </w:r>
      <w:r w:rsidR="00606426" w:rsidRPr="00905201">
        <w:rPr>
          <w:lang w:val="pl-PL"/>
        </w:rPr>
        <w:t xml:space="preserve">Powszechnej Deklaracji Praw Człowieka </w:t>
      </w:r>
      <w:r w:rsidRPr="00905201">
        <w:rPr>
          <w:lang w:val="pl-PL"/>
        </w:rPr>
        <w:t>gwarant</w:t>
      </w:r>
      <w:r w:rsidR="00606426" w:rsidRPr="00905201">
        <w:rPr>
          <w:lang w:val="pl-PL"/>
        </w:rPr>
        <w:t>uje</w:t>
      </w:r>
      <w:r w:rsidRPr="00905201">
        <w:rPr>
          <w:lang w:val="pl-PL"/>
        </w:rPr>
        <w:t xml:space="preserve"> prawo do</w:t>
      </w:r>
      <w:r w:rsidR="00312700">
        <w:rPr>
          <w:lang w:val="pl-PL"/>
        </w:rPr>
        <w:t> </w:t>
      </w:r>
      <w:r w:rsidRPr="00905201">
        <w:rPr>
          <w:lang w:val="pl-PL"/>
        </w:rPr>
        <w:t xml:space="preserve">korzystania z azylu; art. 12 ust. 2 </w:t>
      </w:r>
      <w:r w:rsidR="00606426" w:rsidRPr="00905201">
        <w:rPr>
          <w:lang w:val="pl-PL"/>
        </w:rPr>
        <w:t xml:space="preserve">Międzynarodowego Paktu </w:t>
      </w:r>
      <w:r w:rsidRPr="00905201">
        <w:rPr>
          <w:lang w:val="pl-PL"/>
        </w:rPr>
        <w:t>praw obywatelskich i politycznych oraz art. 2 ust. 2 Protokołu nr 4 do Konwencji ustan</w:t>
      </w:r>
      <w:r w:rsidR="00606426" w:rsidRPr="00905201">
        <w:rPr>
          <w:lang w:val="pl-PL"/>
        </w:rPr>
        <w:t>awiają</w:t>
      </w:r>
      <w:r w:rsidRPr="00905201">
        <w:rPr>
          <w:lang w:val="pl-PL"/>
        </w:rPr>
        <w:t xml:space="preserve"> prawo opuszczenia własnego kraju. Jednakże prawo międzynarodowe nie uznaje</w:t>
      </w:r>
      <w:r w:rsidRPr="00C408DC">
        <w:rPr>
          <w:lang w:val="pl-PL"/>
        </w:rPr>
        <w:t xml:space="preserve"> prawa do wjazdu do państwa w celu ubiegania się o azyl. Turystyka azylowa przysporzyła korzyści zorganizowanej przestępczości międzynarodowej oraz doprowadziła do eskalacji „kryzysu migracyjnego” w Europie. Konwencja nie </w:t>
      </w:r>
      <w:r w:rsidR="00B47704">
        <w:rPr>
          <w:lang w:val="pl-PL"/>
        </w:rPr>
        <w:t>„</w:t>
      </w:r>
      <w:r w:rsidRPr="00C408DC">
        <w:rPr>
          <w:lang w:val="pl-PL"/>
        </w:rPr>
        <w:t>przyznaje prawa do wjazdu na</w:t>
      </w:r>
      <w:r w:rsidR="00312700">
        <w:rPr>
          <w:lang w:val="pl-PL"/>
        </w:rPr>
        <w:t> </w:t>
      </w:r>
      <w:r w:rsidRPr="00C408DC">
        <w:rPr>
          <w:lang w:val="pl-PL"/>
        </w:rPr>
        <w:t>terytorium państwa, a tym samym do pełnej jurysdykcji państwa”. Próg stosowania art. 3 i 5 oraz ich standardów pozostawia „szerokie pole dla</w:t>
      </w:r>
      <w:r w:rsidR="00312700">
        <w:rPr>
          <w:lang w:val="pl-PL"/>
        </w:rPr>
        <w:t> </w:t>
      </w:r>
      <w:r w:rsidRPr="00C408DC">
        <w:rPr>
          <w:lang w:val="pl-PL"/>
        </w:rPr>
        <w:t>interpretacji w świetle art. 1 Konwencji”.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Ocena Trybunału</w:t>
      </w:r>
    </w:p>
    <w:p w:rsidR="001377AE" w:rsidRPr="00C408DC" w:rsidRDefault="001377AE" w:rsidP="00072604">
      <w:pPr>
        <w:pStyle w:val="JuH1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Uwagi wstępne</w:t>
      </w:r>
    </w:p>
    <w:p w:rsidR="001377AE" w:rsidRPr="00C408DC" w:rsidRDefault="001377AE" w:rsidP="00072604">
      <w:pPr>
        <w:pStyle w:val="JuHa0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Zakres sprawy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126.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 xml:space="preserve">Trybunał odnotowuje obawy wyrażone przez </w:t>
      </w:r>
      <w:r w:rsidR="00F75CB4" w:rsidRPr="00C408DC">
        <w:rPr>
          <w:lang w:val="pl-PL"/>
        </w:rPr>
        <w:t xml:space="preserve">Rządy </w:t>
      </w:r>
      <w:r w:rsidRPr="00C408DC">
        <w:rPr>
          <w:lang w:val="pl-PL"/>
        </w:rPr>
        <w:t>Rosji i Węgier w swoich uwagach oraz podziela pogląd, że niniejszą sprawę należy postrzegać w kontekście praktycznych, administracyjnych, budżetowych i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prawnych wyzwań stojących przed państwami członkowskimi wskutek napływu uchodźców i migrantów. Jednakże wbrew uwagom </w:t>
      </w:r>
      <w:r w:rsidR="00F75CB4" w:rsidRPr="00C408DC">
        <w:rPr>
          <w:lang w:val="pl-PL"/>
        </w:rPr>
        <w:t xml:space="preserve">Rządów </w:t>
      </w:r>
      <w:r w:rsidRPr="00C408DC">
        <w:rPr>
          <w:lang w:val="pl-PL"/>
        </w:rPr>
        <w:t>Rosji i</w:t>
      </w:r>
      <w:r w:rsidR="00312700">
        <w:rPr>
          <w:lang w:val="pl-PL"/>
        </w:rPr>
        <w:t> </w:t>
      </w:r>
      <w:r w:rsidRPr="00C408DC">
        <w:rPr>
          <w:lang w:val="pl-PL"/>
        </w:rPr>
        <w:t>Węgier przedstawionym Wielkiej Izbie, w ocenie Trybunału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niniejsza sprawa ma niewiele wspólnego z zagadnieniem, czy prawo do azylu jako takie</w:t>
      </w:r>
      <w:r w:rsidR="00391888">
        <w:rPr>
          <w:lang w:val="pl-PL"/>
        </w:rPr>
        <w:t>go</w:t>
      </w:r>
      <w:r w:rsidRPr="00C408DC">
        <w:rPr>
          <w:lang w:val="pl-PL"/>
        </w:rPr>
        <w:t xml:space="preserve"> bądź prawo do turystyki azylowej istnieją na gruncie obecnie obowiązującego prawa międzynarodowego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127.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>Istota stwierdzeń Izby nie dotyczy okoliczności, iż żadnemu ze</w:t>
      </w:r>
      <w:r w:rsidR="00312700">
        <w:rPr>
          <w:lang w:val="pl-PL"/>
        </w:rPr>
        <w:t> </w:t>
      </w:r>
      <w:r w:rsidRPr="00C408DC">
        <w:rPr>
          <w:lang w:val="pl-PL"/>
        </w:rPr>
        <w:t>skarżących nie udzielono azylu w Rosji, lecz brak</w:t>
      </w:r>
      <w:r w:rsidR="00391888">
        <w:rPr>
          <w:lang w:val="pl-PL"/>
        </w:rPr>
        <w:t>u</w:t>
      </w:r>
      <w:r w:rsidRPr="00C408DC">
        <w:rPr>
          <w:lang w:val="pl-PL"/>
        </w:rPr>
        <w:t xml:space="preserve"> podstaw prawnych ich</w:t>
      </w:r>
      <w:r w:rsidR="00312700">
        <w:rPr>
          <w:lang w:val="pl-PL"/>
        </w:rPr>
        <w:t> </w:t>
      </w:r>
      <w:r w:rsidRPr="00C408DC">
        <w:rPr>
          <w:lang w:val="pl-PL"/>
        </w:rPr>
        <w:t>długotrwałego przetrzymywania w strefie tranzytowej lotniska oraz</w:t>
      </w:r>
      <w:r w:rsidR="00312700">
        <w:rPr>
          <w:lang w:val="pl-PL"/>
        </w:rPr>
        <w:t> </w:t>
      </w:r>
      <w:r w:rsidRPr="00C408DC">
        <w:rPr>
          <w:lang w:val="pl-PL"/>
        </w:rPr>
        <w:t>niezadbanie o ich podstawowe potrzeby w okresie oczekiwania na</w:t>
      </w:r>
      <w:r w:rsidR="00312700">
        <w:rPr>
          <w:lang w:val="pl-PL"/>
        </w:rPr>
        <w:t> </w:t>
      </w:r>
      <w:r w:rsidRPr="00C408DC">
        <w:rPr>
          <w:lang w:val="pl-PL"/>
        </w:rPr>
        <w:t>rozpatrzenie ich wniosków o udzielenie azylu. Trybunał przypomina, że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Konwencja została stworzona w celu ustanowienia minimalnych </w:t>
      </w:r>
      <w:r w:rsidRPr="00C408DC">
        <w:rPr>
          <w:lang w:val="pl-PL"/>
        </w:rPr>
        <w:lastRenderedPageBreak/>
        <w:t>standardów. Prawo do ograniczania wolności wyłącznie w sposób zgodny z</w:t>
      </w:r>
      <w:r w:rsidR="00312700">
        <w:rPr>
          <w:lang w:val="pl-PL"/>
        </w:rPr>
        <w:t> </w:t>
      </w:r>
      <w:r w:rsidRPr="00C408DC">
        <w:rPr>
          <w:lang w:val="pl-PL"/>
        </w:rPr>
        <w:t>prawem oraz prawo do humanitarnych warunków w sytuacji zatrzymania osoby pod kontrolą państwa, są minimalnymi gwarancjami</w:t>
      </w:r>
      <w:r w:rsidR="00391888">
        <w:rPr>
          <w:lang w:val="pl-PL"/>
        </w:rPr>
        <w:t>, jakie powinny być dostępne</w:t>
      </w:r>
      <w:r w:rsidRPr="00C408DC">
        <w:rPr>
          <w:lang w:val="pl-PL"/>
        </w:rPr>
        <w:t xml:space="preserve"> dla osób podlegających jurysdykcji wszystkich państw członkowskich, pomimo rosnącego „kryzysu migracyjnego” w Europie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128.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 xml:space="preserve">W związku z powyższym zadanie Trybunału w niniejszej sprawie polega na weryfikacji przestrzegania przez pozwany </w:t>
      </w:r>
      <w:r w:rsidR="00F75CB4" w:rsidRPr="00C408DC">
        <w:rPr>
          <w:lang w:val="pl-PL"/>
        </w:rPr>
        <w:t xml:space="preserve">Rząd </w:t>
      </w:r>
      <w:r w:rsidR="00305584">
        <w:rPr>
          <w:lang w:val="pl-PL"/>
        </w:rPr>
        <w:t xml:space="preserve">tych zobowiązań </w:t>
      </w:r>
      <w:r w:rsidRPr="00C408DC">
        <w:rPr>
          <w:lang w:val="pl-PL"/>
        </w:rPr>
        <w:t>wynikają</w:t>
      </w:r>
      <w:r w:rsidR="00305584">
        <w:rPr>
          <w:lang w:val="pl-PL"/>
        </w:rPr>
        <w:t>cych</w:t>
      </w:r>
      <w:r w:rsidRPr="00C408DC">
        <w:rPr>
          <w:lang w:val="pl-PL"/>
        </w:rPr>
        <w:t xml:space="preserve"> z Konwencji</w:t>
      </w:r>
      <w:r w:rsidRPr="00C408DC">
        <w:rPr>
          <w:rFonts w:eastAsia="Times New Roman"/>
          <w:lang w:val="pl-PL"/>
        </w:rPr>
        <w:t>.</w:t>
      </w:r>
    </w:p>
    <w:p w:rsidR="001377AE" w:rsidRPr="000A764D" w:rsidRDefault="001377AE" w:rsidP="00072604">
      <w:pPr>
        <w:pStyle w:val="JuHa0"/>
        <w:rPr>
          <w:rFonts w:eastAsia="Times New Roman"/>
          <w:lang w:val="pl-PL"/>
        </w:rPr>
      </w:pPr>
      <w:r w:rsidRPr="000A764D">
        <w:rPr>
          <w:rFonts w:eastAsia="Times New Roman"/>
          <w:lang w:val="pl-PL"/>
        </w:rPr>
        <w:t>Artykuł 1 Konwencji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lang w:val="pl-PL"/>
        </w:rPr>
        <w:t>129.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Pierwsze</w:t>
      </w:r>
      <w:r w:rsidR="003B6630">
        <w:rPr>
          <w:lang w:val="pl-PL"/>
        </w:rPr>
        <w:t xml:space="preserve"> </w:t>
      </w:r>
      <w:r w:rsidRPr="00C408DC">
        <w:rPr>
          <w:lang w:val="pl-PL"/>
        </w:rPr>
        <w:t>zagadnienie, do którego należy się odnieść, dotyczy</w:t>
      </w:r>
      <w:r w:rsidR="004F064E">
        <w:rPr>
          <w:lang w:val="pl-PL"/>
        </w:rPr>
        <w:t xml:space="preserve"> kwestii</w:t>
      </w:r>
      <w:r w:rsidRPr="00C408DC">
        <w:rPr>
          <w:lang w:val="pl-PL"/>
        </w:rPr>
        <w:t>, czy skarżący podlegali jurysdykcji rosyjskiej w rozumieniu art. 1 Konwencji. Trybunał w związku z tym zwraca uwagę, że w trakcie przedmiotowych zdarzeń skarżący byli fizycznie obecni na terytorium Rosji i znajdowali się pod kontrolą organów rosyjskich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130.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 xml:space="preserve">Trybunał przypomina, że lotnisko, w tym lotnisko międzynarodowe, położone na terytorium państwa stanowi prawnie terytorium tego państwa (zob. </w:t>
      </w:r>
      <w:r w:rsidRPr="00C408DC">
        <w:rPr>
          <w:i/>
          <w:iCs/>
          <w:lang w:val="pl-PL"/>
        </w:rPr>
        <w:t>Amuur przeciwko Francji</w:t>
      </w:r>
      <w:r w:rsidRPr="00C408DC">
        <w:rPr>
          <w:lang w:val="pl-PL"/>
        </w:rPr>
        <w:t xml:space="preserve">, 25 czerwca 1996 r., §§ 41 i 43-45, </w:t>
      </w:r>
      <w:r w:rsidRPr="00C408DC">
        <w:rPr>
          <w:i/>
          <w:iCs/>
          <w:lang w:val="pl-PL"/>
        </w:rPr>
        <w:t>Reports of Judgments and Decisions</w:t>
      </w:r>
      <w:r w:rsidRPr="00C408DC">
        <w:rPr>
          <w:lang w:val="pl-PL"/>
        </w:rPr>
        <w:t xml:space="preserve"> 1996</w:t>
      </w:r>
      <w:r w:rsidRPr="00C408DC">
        <w:rPr>
          <w:lang w:val="pl-PL"/>
        </w:rPr>
        <w:noBreakHyphen/>
        <w:t xml:space="preserve">III; </w:t>
      </w:r>
      <w:r w:rsidRPr="00C408DC">
        <w:rPr>
          <w:i/>
          <w:iCs/>
          <w:lang w:val="pl-PL"/>
        </w:rPr>
        <w:t>Shamsa przeciwko Polsce</w:t>
      </w:r>
      <w:r w:rsidRPr="00C408DC">
        <w:rPr>
          <w:lang w:val="pl-PL"/>
        </w:rPr>
        <w:t>, nr 45355/99 i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45357/99,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45, 27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listopada 2003 r.; </w:t>
      </w:r>
      <w:r w:rsidRPr="00C408DC">
        <w:rPr>
          <w:i/>
          <w:iCs/>
          <w:lang w:val="pl-PL"/>
        </w:rPr>
        <w:t>Riad i Idiab przeciwko Belgii</w:t>
      </w:r>
      <w:r w:rsidRPr="00C408DC">
        <w:rPr>
          <w:lang w:val="pl-PL"/>
        </w:rPr>
        <w:t>, nr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29787/03 i 29810/03, § 68, 24 stycznia 2008 r.; </w:t>
      </w:r>
      <w:r w:rsidRPr="00C408DC">
        <w:rPr>
          <w:i/>
          <w:iCs/>
          <w:lang w:val="pl-PL"/>
        </w:rPr>
        <w:t>Rashed przeciwko Republice Czeskiej</w:t>
      </w:r>
      <w:r w:rsidRPr="00C408DC">
        <w:rPr>
          <w:lang w:val="pl-PL"/>
        </w:rPr>
        <w:t>, nr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298/07, § 70, 27 listopada 2008 r.; </w:t>
      </w:r>
      <w:r w:rsidRPr="00C408DC">
        <w:rPr>
          <w:i/>
          <w:iCs/>
          <w:lang w:val="pl-PL"/>
        </w:rPr>
        <w:t>Abou Amer przeciwko</w:t>
      </w:r>
      <w:r w:rsidR="005C05E6">
        <w:rPr>
          <w:i/>
          <w:iCs/>
          <w:lang w:val="pl-PL"/>
        </w:rPr>
        <w:t xml:space="preserve"> </w:t>
      </w:r>
      <w:r w:rsidRPr="00C408DC">
        <w:rPr>
          <w:i/>
          <w:iCs/>
          <w:lang w:val="pl-PL"/>
        </w:rPr>
        <w:t>Rumunii</w:t>
      </w:r>
      <w:r w:rsidRPr="00C408DC">
        <w:rPr>
          <w:lang w:val="pl-PL"/>
        </w:rPr>
        <w:t>, nr 14521/03, § 39, 24 maja 2011 r.)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131.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Należy zauważyć, że </w:t>
      </w:r>
      <w:r w:rsidR="00F75CB4" w:rsidRPr="00C408DC">
        <w:rPr>
          <w:lang w:val="pl-PL"/>
        </w:rPr>
        <w:t xml:space="preserve">Rząd </w:t>
      </w:r>
      <w:r w:rsidRPr="00C408DC">
        <w:rPr>
          <w:lang w:val="pl-PL"/>
        </w:rPr>
        <w:t>rosyjski nie zaprzeczał wobec Wielkiej Izby, że strefa tranzytowa Lotniska Szeremietiewo stanowi część terytorium rosyjskiego; ani nie kwestionował, że skarżący znaleźli się pod kontrolą organów podczas mającego znaczenie dla sprawy okresu (</w:t>
      </w:r>
      <w:r w:rsidR="005B2137" w:rsidRPr="00C408DC">
        <w:rPr>
          <w:lang w:val="pl-PL"/>
        </w:rPr>
        <w:t>zob. paragraf</w:t>
      </w:r>
      <w:r w:rsidRPr="00C408DC">
        <w:rPr>
          <w:lang w:val="pl-PL"/>
        </w:rPr>
        <w:t xml:space="preserve"> 115 powyżej).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132.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Trybunał stwierdza, że skarżący po</w:t>
      </w:r>
      <w:r w:rsidR="000A764D">
        <w:rPr>
          <w:lang w:val="pl-PL"/>
        </w:rPr>
        <w:t xml:space="preserve">dlegali jurysdykcji rosyjskiej </w:t>
      </w:r>
      <w:r w:rsidRPr="00C408DC">
        <w:rPr>
          <w:lang w:val="pl-PL"/>
        </w:rPr>
        <w:t>w</w:t>
      </w:r>
      <w:r w:rsidR="00312700">
        <w:rPr>
          <w:lang w:val="pl-PL"/>
        </w:rPr>
        <w:t> </w:t>
      </w:r>
      <w:r w:rsidRPr="00C408DC">
        <w:rPr>
          <w:lang w:val="pl-PL"/>
        </w:rPr>
        <w:t>trakcie zdarzeń związanych z niniejszą sprawą.</w:t>
      </w:r>
    </w:p>
    <w:p w:rsidR="001377AE" w:rsidRPr="00C408DC" w:rsidRDefault="001377AE" w:rsidP="00072604">
      <w:pPr>
        <w:pStyle w:val="JuH1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Artkuł 5 ust. 1</w:t>
      </w:r>
    </w:p>
    <w:p w:rsidR="001377AE" w:rsidRPr="00C408DC" w:rsidRDefault="001377AE" w:rsidP="00072604">
      <w:pPr>
        <w:pStyle w:val="JuHa0"/>
        <w:rPr>
          <w:lang w:val="pl-PL"/>
        </w:rPr>
      </w:pPr>
      <w:r w:rsidRPr="00C408DC">
        <w:rPr>
          <w:lang w:val="pl-PL"/>
        </w:rPr>
        <w:t>Zastosowanie art. 5 ust. 1</w:t>
      </w:r>
    </w:p>
    <w:p w:rsidR="001377AE" w:rsidRPr="00C408DC" w:rsidRDefault="001377AE" w:rsidP="00072604">
      <w:pPr>
        <w:pStyle w:val="JuHi"/>
        <w:rPr>
          <w:lang w:val="pl-PL"/>
        </w:rPr>
      </w:pPr>
      <w:r w:rsidRPr="00C408DC">
        <w:rPr>
          <w:lang w:val="pl-PL"/>
        </w:rPr>
        <w:t>Zasady ogólne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lang w:val="pl-PL"/>
        </w:rPr>
        <w:t>133.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 xml:space="preserve">Ustanawiając „prawo do wolności”, art. 5 ust. 1 przewiduje fizyczną wolność osoby. Zatem nie dotyczy on </w:t>
      </w:r>
      <w:r w:rsidR="00A57CD6">
        <w:rPr>
          <w:lang w:val="pl-PL" w:eastAsia="en-US"/>
        </w:rPr>
        <w:t>zaledwie</w:t>
      </w:r>
      <w:r w:rsidRPr="00C408DC">
        <w:rPr>
          <w:lang w:val="pl-PL" w:eastAsia="en-US"/>
        </w:rPr>
        <w:t xml:space="preserve"> ograniczeń związanych ze</w:t>
      </w:r>
      <w:r w:rsidR="00312700">
        <w:rPr>
          <w:lang w:val="pl-PL" w:eastAsia="en-US"/>
        </w:rPr>
        <w:t> </w:t>
      </w:r>
      <w:r w:rsidRPr="00C408DC">
        <w:rPr>
          <w:lang w:val="pl-PL" w:eastAsia="en-US"/>
        </w:rPr>
        <w:t xml:space="preserve">swobodnym poruszaniem się, uregulowanych w art. 2 Protokołu nr 4. Pomimo iż proces kwalifikacji do tych kategorii stanowi niekiedy trudne zadanie, gdyż niektóre przypadki będące na pograniczu są wyłącznie </w:t>
      </w:r>
      <w:r w:rsidRPr="00BD36C8">
        <w:rPr>
          <w:lang w:val="pl-PL" w:eastAsia="en-US"/>
        </w:rPr>
        <w:t>kwestią uznania, to</w:t>
      </w:r>
      <w:r w:rsidRPr="00C408DC">
        <w:rPr>
          <w:lang w:val="pl-PL" w:eastAsia="en-US"/>
        </w:rPr>
        <w:t xml:space="preserve"> jednak Trybunał nie może uchylać się od dokonania wyboru, od</w:t>
      </w:r>
      <w:r w:rsidR="00312700">
        <w:rPr>
          <w:lang w:val="pl-PL" w:eastAsia="en-US"/>
        </w:rPr>
        <w:t> </w:t>
      </w:r>
      <w:r w:rsidRPr="00C408DC">
        <w:rPr>
          <w:lang w:val="pl-PL" w:eastAsia="en-US"/>
        </w:rPr>
        <w:t>którego uzależnione jest zastosowanie lub niezastosowanie art. 5 (zob.</w:t>
      </w:r>
      <w:r w:rsidR="00312700">
        <w:rPr>
          <w:lang w:val="pl-PL" w:eastAsia="en-US"/>
        </w:rPr>
        <w:t> </w:t>
      </w:r>
      <w:r w:rsidRPr="00C408DC">
        <w:rPr>
          <w:i/>
          <w:iCs/>
          <w:lang w:val="pl-PL"/>
        </w:rPr>
        <w:t xml:space="preserve">Khlaifia i Inni przeciwko Włochom </w:t>
      </w:r>
      <w:r w:rsidR="001A733E" w:rsidRPr="00C408DC">
        <w:rPr>
          <w:lang w:val="pl-PL"/>
        </w:rPr>
        <w:t>[WI]</w:t>
      </w:r>
      <w:r w:rsidRPr="00C408DC">
        <w:rPr>
          <w:lang w:val="pl-PL"/>
        </w:rPr>
        <w:t>, nr 16483/12, § 64, 15 grudnia 2016 r., z dalszymi odniesieniami).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lastRenderedPageBreak/>
        <w:t>134.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>W celu stwierdzenia, czy dana osoba została „pozbawiona wolności” w rozumieniu art. 5, punktem wyjścia musi być jej konkretna rzeczywista sytuacja, przy czym należy wziąć pod uwagę szereg czynników, takich jak</w:t>
      </w:r>
      <w:r w:rsidR="00312700">
        <w:rPr>
          <w:lang w:val="pl-PL"/>
        </w:rPr>
        <w:t> </w:t>
      </w:r>
      <w:r w:rsidRPr="00C408DC">
        <w:rPr>
          <w:lang w:val="pl-PL"/>
        </w:rPr>
        <w:t>rodzaj, czas</w:t>
      </w:r>
      <w:r w:rsidR="00BD36C8">
        <w:rPr>
          <w:lang w:val="pl-PL"/>
        </w:rPr>
        <w:t xml:space="preserve"> trwania</w:t>
      </w:r>
      <w:r w:rsidRPr="00C408DC">
        <w:rPr>
          <w:lang w:val="pl-PL"/>
        </w:rPr>
        <w:t xml:space="preserve">, skutki i sposób wdrażania przedmiotowego środka (zob. </w:t>
      </w:r>
      <w:r w:rsidRPr="00C408DC">
        <w:rPr>
          <w:i/>
          <w:iCs/>
          <w:lang w:val="pl-PL"/>
        </w:rPr>
        <w:t xml:space="preserve">Nada przeciwko Szwajcarii </w:t>
      </w:r>
      <w:r w:rsidR="001A733E" w:rsidRPr="00C408DC">
        <w:rPr>
          <w:lang w:val="pl-PL"/>
        </w:rPr>
        <w:t>[WI]</w:t>
      </w:r>
      <w:r w:rsidRPr="00C408DC">
        <w:rPr>
          <w:lang w:val="pl-PL"/>
        </w:rPr>
        <w:t>, nr 10593/08,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225, </w:t>
      </w:r>
      <w:r w:rsidR="005C05E6">
        <w:rPr>
          <w:snapToGrid w:val="0"/>
          <w:lang w:val="pl-PL"/>
        </w:rPr>
        <w:t>ETPC</w:t>
      </w:r>
      <w:r w:rsidRPr="00C408DC">
        <w:rPr>
          <w:snapToGrid w:val="0"/>
          <w:lang w:val="pl-PL"/>
        </w:rPr>
        <w:t xml:space="preserve"> 2012</w:t>
      </w:r>
      <w:r w:rsidRPr="00C408DC">
        <w:rPr>
          <w:lang w:val="pl-PL"/>
        </w:rPr>
        <w:t xml:space="preserve">; </w:t>
      </w:r>
      <w:r w:rsidRPr="00C408DC">
        <w:rPr>
          <w:i/>
          <w:iCs/>
          <w:lang w:val="pl-PL"/>
        </w:rPr>
        <w:t>Gahramanov przeciwko</w:t>
      </w:r>
      <w:r w:rsidR="005C05E6">
        <w:rPr>
          <w:i/>
          <w:iCs/>
          <w:lang w:val="pl-PL"/>
        </w:rPr>
        <w:t xml:space="preserve"> </w:t>
      </w:r>
      <w:r w:rsidRPr="00C408DC">
        <w:rPr>
          <w:i/>
          <w:iCs/>
          <w:lang w:val="pl-PL"/>
        </w:rPr>
        <w:t xml:space="preserve">Azerbejdżanowi </w:t>
      </w:r>
      <w:r w:rsidRPr="00C408DC">
        <w:rPr>
          <w:lang w:val="pl-PL"/>
        </w:rPr>
        <w:t>(decyzja), nr 26291/06,</w:t>
      </w:r>
      <w:r w:rsidRPr="00C408DC">
        <w:rPr>
          <w:i/>
          <w:iCs/>
          <w:lang w:val="pl-PL"/>
        </w:rPr>
        <w:t xml:space="preserve"> </w:t>
      </w:r>
      <w:r w:rsidRPr="00C408DC">
        <w:rPr>
          <w:lang w:val="pl-PL"/>
        </w:rPr>
        <w:t>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40, 15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października 2013 r.). Różnica pomiędzy pozbawieniem a ograniczeniem wolności jest różnicą stopnia i intensywności, a nie charakteru bądź istoty (zob. </w:t>
      </w:r>
      <w:r w:rsidRPr="00C408DC">
        <w:rPr>
          <w:i/>
          <w:iCs/>
          <w:lang w:val="pl-PL"/>
        </w:rPr>
        <w:t>De Tommaso przeciwko</w:t>
      </w:r>
      <w:r w:rsidRPr="00C408DC">
        <w:rPr>
          <w:lang w:val="pl-PL"/>
        </w:rPr>
        <w:t xml:space="preserve"> Włochom </w:t>
      </w:r>
      <w:r w:rsidR="001A733E" w:rsidRPr="00C408DC">
        <w:rPr>
          <w:lang w:val="pl-PL"/>
        </w:rPr>
        <w:t>[WI]</w:t>
      </w:r>
      <w:r w:rsidRPr="00C408DC">
        <w:rPr>
          <w:lang w:val="pl-PL"/>
        </w:rPr>
        <w:t xml:space="preserve">, nr 43395/09, § 80, 23 lutego 2017 r., z dalszymi odniesieniami; zob. także </w:t>
      </w:r>
      <w:r w:rsidRPr="00C408DC">
        <w:rPr>
          <w:i/>
          <w:iCs/>
          <w:lang w:val="pl-PL"/>
        </w:rPr>
        <w:t>Kasparov</w:t>
      </w:r>
      <w:r w:rsidRPr="00C408DC">
        <w:rPr>
          <w:lang w:val="pl-PL"/>
        </w:rPr>
        <w:t xml:space="preserve"> </w:t>
      </w:r>
      <w:r w:rsidRPr="00C408DC">
        <w:rPr>
          <w:i/>
          <w:iCs/>
          <w:lang w:val="pl-PL"/>
        </w:rPr>
        <w:t xml:space="preserve">przeciwko Rosji, </w:t>
      </w:r>
      <w:r w:rsidRPr="00C408DC">
        <w:rPr>
          <w:lang w:val="pl-PL"/>
        </w:rPr>
        <w:t>nr</w:t>
      </w:r>
      <w:r w:rsidR="00312700">
        <w:rPr>
          <w:lang w:val="pl-PL"/>
        </w:rPr>
        <w:t> </w:t>
      </w:r>
      <w:r w:rsidRPr="00C408DC">
        <w:rPr>
          <w:lang w:val="pl-PL"/>
        </w:rPr>
        <w:t>53659/07,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36, 11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października 2016 r.).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135.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>Trybunał uważa, iż przy dokonywaniu rozróżnienia pomiędzy ograniczeniem wolności a pozbawieniem wolności w kontekście przetrzymywania osób ubiegających się o azyl, jego podejście winno być praktyczne i realistyczne, mając na względzie obecne uwarunkowania i</w:t>
      </w:r>
      <w:r w:rsidR="00312700">
        <w:rPr>
          <w:lang w:val="pl-PL"/>
        </w:rPr>
        <w:t> </w:t>
      </w:r>
      <w:r w:rsidRPr="00C408DC">
        <w:rPr>
          <w:lang w:val="pl-PL"/>
        </w:rPr>
        <w:t>wyzwania. Należy w szczególności uznać prawo państw, z zastrzeżeniem ich zobowiązań międzynarodowych, do kontrolowania ich granic i</w:t>
      </w:r>
      <w:r w:rsidR="00312700">
        <w:rPr>
          <w:lang w:val="pl-PL"/>
        </w:rPr>
        <w:t> </w:t>
      </w:r>
      <w:r w:rsidRPr="00C408DC">
        <w:rPr>
          <w:lang w:val="pl-PL"/>
        </w:rPr>
        <w:t>do</w:t>
      </w:r>
      <w:r w:rsidR="00312700">
        <w:rPr>
          <w:lang w:val="pl-PL"/>
        </w:rPr>
        <w:t> </w:t>
      </w:r>
      <w:r w:rsidRPr="00C408DC">
        <w:rPr>
          <w:lang w:val="pl-PL"/>
        </w:rPr>
        <w:t>podejmowania środków wobec cudzoziemców obchodzących ograniczenia związane z migracją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color w:val="0070C0"/>
          <w:lang w:val="pl-PL"/>
        </w:rPr>
      </w:pPr>
      <w:r w:rsidRPr="00C408DC">
        <w:rPr>
          <w:rFonts w:eastAsia="Times New Roman"/>
          <w:lang w:val="pl-PL"/>
        </w:rPr>
        <w:t>136.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>Zagadnienie, czy przebywanie w międzynarodowych strefach lotniska stanowi pozbawienie wolności</w:t>
      </w:r>
      <w:r w:rsidR="00BD36C8">
        <w:rPr>
          <w:lang w:val="pl-PL"/>
        </w:rPr>
        <w:t>,</w:t>
      </w:r>
      <w:r w:rsidRPr="00C408DC">
        <w:rPr>
          <w:lang w:val="pl-PL"/>
        </w:rPr>
        <w:t xml:space="preserve"> było przedmiotem wielu spraw (zob.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m.in. </w:t>
      </w:r>
      <w:r w:rsidRPr="00C408DC">
        <w:rPr>
          <w:i/>
          <w:iCs/>
          <w:lang w:val="pl-PL"/>
        </w:rPr>
        <w:t>Amuur</w:t>
      </w:r>
      <w:r w:rsidRPr="00C408DC">
        <w:rPr>
          <w:lang w:val="pl-PL"/>
        </w:rPr>
        <w:t>, cyt</w:t>
      </w:r>
      <w:r w:rsidR="00BD36C8">
        <w:rPr>
          <w:lang w:val="pl-PL"/>
        </w:rPr>
        <w:t>.</w:t>
      </w:r>
      <w:r w:rsidRPr="00C408DC">
        <w:rPr>
          <w:lang w:val="pl-PL"/>
        </w:rPr>
        <w:t xml:space="preserve"> powyżej, § 43; </w:t>
      </w:r>
      <w:r w:rsidRPr="00C408DC">
        <w:rPr>
          <w:i/>
          <w:iCs/>
          <w:lang w:val="pl-PL"/>
        </w:rPr>
        <w:t>Shamsa</w:t>
      </w:r>
      <w:r w:rsidRPr="00C408DC">
        <w:rPr>
          <w:lang w:val="pl-PL"/>
        </w:rPr>
        <w:t>, cyt</w:t>
      </w:r>
      <w:r w:rsidR="00BD36C8">
        <w:rPr>
          <w:lang w:val="pl-PL"/>
        </w:rPr>
        <w:t>.</w:t>
      </w:r>
      <w:r w:rsidRPr="00C408DC">
        <w:rPr>
          <w:lang w:val="pl-PL"/>
        </w:rPr>
        <w:t xml:space="preserve"> powyżej,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47; </w:t>
      </w:r>
      <w:r w:rsidRPr="00C408DC">
        <w:rPr>
          <w:i/>
          <w:iCs/>
          <w:lang w:val="pl-PL"/>
        </w:rPr>
        <w:t>Mogoş przeciwko</w:t>
      </w:r>
      <w:r w:rsidR="005C05E6">
        <w:rPr>
          <w:i/>
          <w:iCs/>
          <w:lang w:val="pl-PL"/>
        </w:rPr>
        <w:t xml:space="preserve"> </w:t>
      </w:r>
      <w:r w:rsidRPr="00C408DC">
        <w:rPr>
          <w:i/>
          <w:iCs/>
          <w:lang w:val="pl-PL"/>
        </w:rPr>
        <w:t>Rumunii</w:t>
      </w:r>
      <w:r w:rsidRPr="00C408DC">
        <w:rPr>
          <w:lang w:val="pl-PL"/>
        </w:rPr>
        <w:t xml:space="preserve"> (decyzja), nr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20420/02, 6 maja 2004 r.;</w:t>
      </w:r>
      <w:r w:rsidRPr="00C408DC">
        <w:rPr>
          <w:i/>
          <w:iCs/>
          <w:lang w:val="pl-PL"/>
        </w:rPr>
        <w:t xml:space="preserve"> Mahdid i Haddar przeciwko</w:t>
      </w:r>
      <w:r w:rsidR="005C05E6">
        <w:rPr>
          <w:i/>
          <w:iCs/>
          <w:lang w:val="pl-PL"/>
        </w:rPr>
        <w:t xml:space="preserve"> </w:t>
      </w:r>
      <w:r w:rsidRPr="00C408DC">
        <w:rPr>
          <w:i/>
          <w:iCs/>
          <w:lang w:val="pl-PL"/>
        </w:rPr>
        <w:t>Austrii</w:t>
      </w:r>
      <w:r w:rsidRPr="00C408DC">
        <w:rPr>
          <w:lang w:val="pl-PL"/>
        </w:rPr>
        <w:t xml:space="preserve"> (decyzja), nr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74762/01, </w:t>
      </w:r>
      <w:r w:rsidR="005C05E6">
        <w:rPr>
          <w:lang w:val="pl-PL"/>
        </w:rPr>
        <w:t>ETPC</w:t>
      </w:r>
      <w:r w:rsidRPr="00C408DC">
        <w:rPr>
          <w:lang w:val="pl-PL"/>
        </w:rPr>
        <w:t xml:space="preserve"> 2005-XIII (wyciągi); </w:t>
      </w:r>
      <w:r w:rsidRPr="00C408DC">
        <w:rPr>
          <w:i/>
          <w:iCs/>
          <w:lang w:val="pl-PL"/>
        </w:rPr>
        <w:t>Riad i</w:t>
      </w:r>
      <w:r w:rsidR="00312700">
        <w:rPr>
          <w:i/>
          <w:iCs/>
          <w:lang w:val="pl-PL"/>
        </w:rPr>
        <w:t> </w:t>
      </w:r>
      <w:r w:rsidRPr="00C408DC">
        <w:rPr>
          <w:i/>
          <w:iCs/>
          <w:lang w:val="pl-PL"/>
        </w:rPr>
        <w:t>Idiab</w:t>
      </w:r>
      <w:r w:rsidRPr="00C408DC">
        <w:rPr>
          <w:lang w:val="pl-PL"/>
        </w:rPr>
        <w:t>, cyt</w:t>
      </w:r>
      <w:r w:rsidR="00F01F0C">
        <w:rPr>
          <w:lang w:val="pl-PL"/>
        </w:rPr>
        <w:t>.</w:t>
      </w:r>
      <w:r w:rsidRPr="00C408DC">
        <w:rPr>
          <w:lang w:val="pl-PL"/>
        </w:rPr>
        <w:t xml:space="preserve"> powyżej,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68; </w:t>
      </w:r>
      <w:r w:rsidRPr="00C408DC">
        <w:rPr>
          <w:i/>
          <w:iCs/>
          <w:lang w:val="pl-PL"/>
        </w:rPr>
        <w:t>Nolan i K. przeciwko Rosji</w:t>
      </w:r>
      <w:r w:rsidRPr="00C408DC">
        <w:rPr>
          <w:lang w:val="pl-PL"/>
        </w:rPr>
        <w:t>, nr 2512/04, §§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93-96, 12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lutego 2009 r.;</w:t>
      </w:r>
      <w:r w:rsidR="005C05E6">
        <w:rPr>
          <w:lang w:val="pl-PL"/>
        </w:rPr>
        <w:t xml:space="preserve"> </w:t>
      </w:r>
      <w:r w:rsidRPr="00C408DC">
        <w:rPr>
          <w:i/>
          <w:iCs/>
          <w:lang w:val="pl-PL"/>
        </w:rPr>
        <w:t>Gahramanov</w:t>
      </w:r>
      <w:r w:rsidRPr="00C408DC">
        <w:rPr>
          <w:lang w:val="pl-PL"/>
        </w:rPr>
        <w:t>, cyt</w:t>
      </w:r>
      <w:r w:rsidR="00F01F0C">
        <w:rPr>
          <w:lang w:val="pl-PL"/>
        </w:rPr>
        <w:t>.</w:t>
      </w:r>
      <w:r w:rsidRPr="00C408DC">
        <w:rPr>
          <w:lang w:val="pl-PL"/>
        </w:rPr>
        <w:t xml:space="preserve"> powyżej, §§ 35-47).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137.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W sprawie </w:t>
      </w:r>
      <w:r w:rsidRPr="00C408DC">
        <w:rPr>
          <w:i/>
          <w:iCs/>
          <w:lang w:val="pl-PL"/>
        </w:rPr>
        <w:t>Amuur</w:t>
      </w:r>
      <w:r w:rsidRPr="00C408DC">
        <w:rPr>
          <w:lang w:val="pl-PL"/>
        </w:rPr>
        <w:t>, w § 43, Trybunał stwierdził, co następuje:</w:t>
      </w:r>
    </w:p>
    <w:p w:rsidR="001377AE" w:rsidRPr="00C408DC" w:rsidRDefault="00F01F0C" w:rsidP="00072604">
      <w:pPr>
        <w:pStyle w:val="JuQuot"/>
        <w:rPr>
          <w:lang w:val="pl-PL"/>
        </w:rPr>
      </w:pPr>
      <w:r>
        <w:rPr>
          <w:lang w:val="pl-PL"/>
        </w:rPr>
        <w:t>„</w:t>
      </w:r>
      <w:r w:rsidR="001377AE" w:rsidRPr="00C408DC">
        <w:rPr>
          <w:lang w:val="pl-PL"/>
        </w:rPr>
        <w:t>Przetrzymywanie cudzoziemców w strefie międzynarodowej istotnie wiąże się z</w:t>
      </w:r>
      <w:r w:rsidR="00312700">
        <w:rPr>
          <w:lang w:val="pl-PL"/>
        </w:rPr>
        <w:t> </w:t>
      </w:r>
      <w:r w:rsidR="001377AE" w:rsidRPr="00C408DC">
        <w:rPr>
          <w:lang w:val="pl-PL"/>
        </w:rPr>
        <w:t>ograniczeniem wolności, jednakże z takim, które nie pod każdym względem jest porównywalne z</w:t>
      </w:r>
      <w:r>
        <w:rPr>
          <w:lang w:val="pl-PL"/>
        </w:rPr>
        <w:t>e</w:t>
      </w:r>
      <w:r w:rsidR="001377AE" w:rsidRPr="00C408DC">
        <w:rPr>
          <w:lang w:val="pl-PL"/>
        </w:rPr>
        <w:t xml:space="preserve"> stosowanym w ośrodkach zatrzymania cudzoziemców oczekujących na deportację. Takie przetrzymywanie, któremu towarzyszą odpowiednie gwarancje dla</w:t>
      </w:r>
      <w:r w:rsidR="00312700">
        <w:rPr>
          <w:lang w:val="pl-PL"/>
        </w:rPr>
        <w:t> </w:t>
      </w:r>
      <w:r w:rsidR="001377AE" w:rsidRPr="00C408DC">
        <w:rPr>
          <w:lang w:val="pl-PL"/>
        </w:rPr>
        <w:t>osoby zainteresowanej, jest dopuszczalne wyłącznie w celu umożliwienia państwom zapobiegania niezgodnej z prawem imigracji, z jednoczesnym przestrzeganiem ich zobowiązań międzynarodowych, w szczególności wynikających z</w:t>
      </w:r>
      <w:r w:rsidR="00312700">
        <w:rPr>
          <w:lang w:val="pl-PL"/>
        </w:rPr>
        <w:t> </w:t>
      </w:r>
      <w:r w:rsidR="005A3976">
        <w:rPr>
          <w:shd w:val="clear" w:color="auto" w:fill="FFFFFF"/>
          <w:lang w:val="pl-PL"/>
        </w:rPr>
        <w:t>K</w:t>
      </w:r>
      <w:r w:rsidR="001377AE" w:rsidRPr="00C408DC">
        <w:rPr>
          <w:shd w:val="clear" w:color="auto" w:fill="FFFFFF"/>
          <w:lang w:val="pl-PL"/>
        </w:rPr>
        <w:t>onwencji dotyczącej statusu uchodźców sporządzonej w Genewie dnia 28 lipca 1951</w:t>
      </w:r>
      <w:r w:rsidR="005C05E6">
        <w:rPr>
          <w:shd w:val="clear" w:color="auto" w:fill="FFFFFF"/>
          <w:lang w:val="pl-PL"/>
        </w:rPr>
        <w:t xml:space="preserve"> </w:t>
      </w:r>
      <w:r w:rsidR="001377AE" w:rsidRPr="00C408DC">
        <w:rPr>
          <w:shd w:val="clear" w:color="auto" w:fill="FFFFFF"/>
          <w:lang w:val="pl-PL"/>
        </w:rPr>
        <w:t xml:space="preserve">r. i z </w:t>
      </w:r>
      <w:r w:rsidR="00905201" w:rsidRPr="00905201">
        <w:rPr>
          <w:shd w:val="clear" w:color="auto" w:fill="FFFFFF"/>
          <w:lang w:val="pl-PL"/>
        </w:rPr>
        <w:t>Konwencji o ochronie praw człowieka i podstawowych wolności</w:t>
      </w:r>
      <w:r w:rsidR="001377AE" w:rsidRPr="00C408DC">
        <w:rPr>
          <w:shd w:val="clear" w:color="auto" w:fill="FFFFFF"/>
          <w:lang w:val="pl-PL"/>
        </w:rPr>
        <w:t>. Słuszna troska państw związana z zapobieganiem coraz częstszym próbom obchodzenia ograniczeń imigracyjnych nie może pozbawiać osób ubiegających się o azyl ochrony przyznanej na podstawie tych konwencji</w:t>
      </w:r>
      <w:r w:rsidR="001377AE" w:rsidRPr="00C408DC">
        <w:rPr>
          <w:lang w:val="pl-PL"/>
        </w:rPr>
        <w:t>.</w:t>
      </w:r>
    </w:p>
    <w:p w:rsidR="001377AE" w:rsidRPr="00C408DC" w:rsidRDefault="001377AE" w:rsidP="00072604">
      <w:pPr>
        <w:pStyle w:val="JuQuot"/>
        <w:rPr>
          <w:lang w:val="pl-PL"/>
        </w:rPr>
      </w:pPr>
      <w:r w:rsidRPr="00C408DC">
        <w:rPr>
          <w:lang w:val="pl-PL"/>
        </w:rPr>
        <w:t xml:space="preserve">Taki </w:t>
      </w:r>
      <w:r w:rsidRPr="00C408DC">
        <w:rPr>
          <w:shd w:val="clear" w:color="auto" w:fill="FFFFFF"/>
          <w:lang w:val="pl-PL"/>
        </w:rPr>
        <w:t>sposób przetrzymywania nie powinien być nadmiernie przedłużany, w</w:t>
      </w:r>
      <w:r w:rsidR="00312700">
        <w:rPr>
          <w:shd w:val="clear" w:color="auto" w:fill="FFFFFF"/>
          <w:lang w:val="pl-PL"/>
        </w:rPr>
        <w:t> </w:t>
      </w:r>
      <w:r w:rsidRPr="00C408DC">
        <w:rPr>
          <w:shd w:val="clear" w:color="auto" w:fill="FFFFFF"/>
          <w:lang w:val="pl-PL"/>
        </w:rPr>
        <w:t xml:space="preserve">przeciwnym wypadku istnieje zagrożenie, że ograniczenie wolności – nieuniknione w celu zorganizowania praktycznych aspektów repatriacji cudzoziemca lub, jeżeli </w:t>
      </w:r>
      <w:r w:rsidR="00F01F0C">
        <w:rPr>
          <w:shd w:val="clear" w:color="auto" w:fill="FFFFFF"/>
          <w:lang w:val="pl-PL"/>
        </w:rPr>
        <w:t>wnioskował</w:t>
      </w:r>
      <w:r w:rsidRPr="00C408DC">
        <w:rPr>
          <w:shd w:val="clear" w:color="auto" w:fill="FFFFFF"/>
          <w:lang w:val="pl-PL"/>
        </w:rPr>
        <w:t xml:space="preserve"> on o azyl, </w:t>
      </w:r>
      <w:r w:rsidR="00D3520F">
        <w:rPr>
          <w:shd w:val="clear" w:color="auto" w:fill="FFFFFF"/>
          <w:lang w:val="pl-PL"/>
        </w:rPr>
        <w:t>w czasie</w:t>
      </w:r>
      <w:r w:rsidR="001C1329">
        <w:rPr>
          <w:shd w:val="clear" w:color="auto" w:fill="FFFFFF"/>
          <w:lang w:val="pl-PL"/>
        </w:rPr>
        <w:t xml:space="preserve"> rozpatr</w:t>
      </w:r>
      <w:r w:rsidR="00D3520F">
        <w:rPr>
          <w:shd w:val="clear" w:color="auto" w:fill="FFFFFF"/>
          <w:lang w:val="pl-PL"/>
        </w:rPr>
        <w:t>ywa</w:t>
      </w:r>
      <w:r w:rsidR="001C1329">
        <w:rPr>
          <w:shd w:val="clear" w:color="auto" w:fill="FFFFFF"/>
          <w:lang w:val="pl-PL"/>
        </w:rPr>
        <w:t xml:space="preserve">nia </w:t>
      </w:r>
      <w:r w:rsidRPr="00C408DC">
        <w:rPr>
          <w:shd w:val="clear" w:color="auto" w:fill="FFFFFF"/>
          <w:lang w:val="pl-PL"/>
        </w:rPr>
        <w:t>jego wniosk</w:t>
      </w:r>
      <w:r w:rsidR="001C1329">
        <w:rPr>
          <w:shd w:val="clear" w:color="auto" w:fill="FFFFFF"/>
          <w:lang w:val="pl-PL"/>
        </w:rPr>
        <w:t>u</w:t>
      </w:r>
      <w:r w:rsidRPr="00C408DC">
        <w:rPr>
          <w:shd w:val="clear" w:color="auto" w:fill="FFFFFF"/>
          <w:lang w:val="pl-PL"/>
        </w:rPr>
        <w:t xml:space="preserve"> o wydanie zgody na wjazd w tym celu</w:t>
      </w:r>
      <w:r w:rsidR="001C1329">
        <w:rPr>
          <w:shd w:val="clear" w:color="auto" w:fill="FFFFFF"/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 xml:space="preserve">– przekształci się w pozbawienie wolności. W związku z powyższym należy mieć na uwadze, że środek ten nie jest stosowany wobec osób, które popełniły </w:t>
      </w:r>
      <w:r w:rsidRPr="00C408DC">
        <w:rPr>
          <w:shd w:val="clear" w:color="auto" w:fill="FFFFFF"/>
          <w:lang w:val="pl-PL"/>
        </w:rPr>
        <w:lastRenderedPageBreak/>
        <w:t>przestępstwo, lecz wobec cudzoziemców, którzy, często obawiając się o swoje życie, zbiegli z własnego kraju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Quot"/>
        <w:rPr>
          <w:lang w:val="pl-PL"/>
        </w:rPr>
      </w:pPr>
      <w:r w:rsidRPr="00C408DC">
        <w:rPr>
          <w:lang w:val="pl-PL"/>
        </w:rPr>
        <w:t xml:space="preserve">Pomimo </w:t>
      </w:r>
      <w:r w:rsidRPr="00C408DC">
        <w:rPr>
          <w:shd w:val="clear" w:color="auto" w:fill="FFFFFF"/>
          <w:lang w:val="pl-PL"/>
        </w:rPr>
        <w:t>iż okoliczności wymuszają, że decyzja o przetrzymywaniu musi z</w:t>
      </w:r>
      <w:r w:rsidR="00312700">
        <w:rPr>
          <w:shd w:val="clear" w:color="auto" w:fill="FFFFFF"/>
          <w:lang w:val="pl-PL"/>
        </w:rPr>
        <w:t> </w:t>
      </w:r>
      <w:r w:rsidRPr="00C408DC">
        <w:rPr>
          <w:shd w:val="clear" w:color="auto" w:fill="FFFFFF"/>
          <w:lang w:val="pl-PL"/>
        </w:rPr>
        <w:t>konieczności zostać podjęta</w:t>
      </w:r>
      <w:r w:rsidR="005C05E6">
        <w:rPr>
          <w:shd w:val="clear" w:color="auto" w:fill="FFFFFF"/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>przez organy administracji lub policję, jego przedłużenie wymaga szybkie</w:t>
      </w:r>
      <w:r w:rsidR="001C1329">
        <w:rPr>
          <w:shd w:val="clear" w:color="auto" w:fill="FFFFFF"/>
          <w:lang w:val="pl-PL"/>
        </w:rPr>
        <w:t xml:space="preserve">j kontroli </w:t>
      </w:r>
      <w:r w:rsidRPr="00C408DC">
        <w:rPr>
          <w:shd w:val="clear" w:color="auto" w:fill="FFFFFF"/>
          <w:lang w:val="pl-PL"/>
        </w:rPr>
        <w:t>przez sądy, tradycyjnych strażników swobód osobistych. Przede wszystkim, takie przetrzymywanie nie może pozbawiać osoby ubiegającej się o</w:t>
      </w:r>
      <w:r w:rsidR="00312700">
        <w:rPr>
          <w:shd w:val="clear" w:color="auto" w:fill="FFFFFF"/>
          <w:lang w:val="pl-PL"/>
        </w:rPr>
        <w:t> </w:t>
      </w:r>
      <w:r w:rsidRPr="00C408DC">
        <w:rPr>
          <w:shd w:val="clear" w:color="auto" w:fill="FFFFFF"/>
          <w:lang w:val="pl-PL"/>
        </w:rPr>
        <w:t>azyl prawa uzyskania skutecznego dostępu do postępowania mającego na celu przyznanie statusu uchodźcy</w:t>
      </w:r>
      <w:r w:rsidR="00305F02" w:rsidRPr="00C408DC">
        <w:rPr>
          <w:lang w:val="pl-PL"/>
        </w:rPr>
        <w:t>”.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138.</w:t>
      </w:r>
      <w:r w:rsidR="005C05E6">
        <w:rPr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>Przy dokonywaniu rozróżnienia pomiędzy ograniczeniem swobody p</w:t>
      </w:r>
      <w:r w:rsidR="001C1329">
        <w:rPr>
          <w:shd w:val="clear" w:color="auto" w:fill="FFFFFF"/>
          <w:lang w:val="pl-PL"/>
        </w:rPr>
        <w:t>oruszania</w:t>
      </w:r>
      <w:r w:rsidRPr="00C408DC">
        <w:rPr>
          <w:shd w:val="clear" w:color="auto" w:fill="FFFFFF"/>
          <w:lang w:val="pl-PL"/>
        </w:rPr>
        <w:t xml:space="preserve"> się a pozbawieniem wolności w kontekście przetrzymywania cudzoziemców w strefach tranzytowych lotniska i ośrodkach przyjmowania uchodźców w celu zidentyfikowania i rejestracji migrantów, czynniki brane pod uwagę przez Trybunał można streścić w </w:t>
      </w:r>
      <w:r w:rsidRPr="00354433">
        <w:rPr>
          <w:shd w:val="clear" w:color="auto" w:fill="FFFFFF"/>
          <w:lang w:val="pl-PL"/>
        </w:rPr>
        <w:t>następujący sposób: i)</w:t>
      </w:r>
      <w:r w:rsidR="00312700" w:rsidRPr="00312700">
        <w:rPr>
          <w:lang w:val="pl-PL"/>
        </w:rPr>
        <w:t> </w:t>
      </w:r>
      <w:r w:rsidRPr="00354433">
        <w:rPr>
          <w:shd w:val="clear" w:color="auto" w:fill="FFFFFF"/>
          <w:lang w:val="pl-PL"/>
        </w:rPr>
        <w:t xml:space="preserve">indywidualna sytuacja skarżących i ich wybory, ii) </w:t>
      </w:r>
      <w:r w:rsidR="0095010D" w:rsidRPr="00354433">
        <w:rPr>
          <w:shd w:val="clear" w:color="auto" w:fill="FFFFFF"/>
          <w:lang w:val="pl-PL"/>
        </w:rPr>
        <w:t>mające zastosowanie</w:t>
      </w:r>
      <w:r w:rsidRPr="00354433">
        <w:rPr>
          <w:shd w:val="clear" w:color="auto" w:fill="FFFFFF"/>
          <w:lang w:val="pl-PL"/>
        </w:rPr>
        <w:t xml:space="preserve"> </w:t>
      </w:r>
      <w:r w:rsidR="0095010D" w:rsidRPr="00354433">
        <w:rPr>
          <w:shd w:val="clear" w:color="auto" w:fill="FFFFFF"/>
          <w:lang w:val="pl-PL"/>
        </w:rPr>
        <w:t>uregulowania prawne</w:t>
      </w:r>
      <w:r w:rsidRPr="00354433">
        <w:rPr>
          <w:shd w:val="clear" w:color="auto" w:fill="FFFFFF"/>
          <w:lang w:val="pl-PL"/>
        </w:rPr>
        <w:t xml:space="preserve"> danego państwa i </w:t>
      </w:r>
      <w:r w:rsidR="0095010D" w:rsidRPr="00354433">
        <w:rPr>
          <w:shd w:val="clear" w:color="auto" w:fill="FFFFFF"/>
          <w:lang w:val="pl-PL"/>
        </w:rPr>
        <w:t xml:space="preserve">ich </w:t>
      </w:r>
      <w:r w:rsidRPr="00354433">
        <w:rPr>
          <w:shd w:val="clear" w:color="auto" w:fill="FFFFFF"/>
          <w:lang w:val="pl-PL"/>
        </w:rPr>
        <w:t>cel, iii)</w:t>
      </w:r>
      <w:r w:rsidRPr="00C408DC">
        <w:rPr>
          <w:shd w:val="clear" w:color="auto" w:fill="FFFFFF"/>
          <w:lang w:val="pl-PL"/>
        </w:rPr>
        <w:t xml:space="preserve"> </w:t>
      </w:r>
      <w:r w:rsidR="003B1DF7">
        <w:rPr>
          <w:shd w:val="clear" w:color="auto" w:fill="FFFFFF"/>
          <w:lang w:val="pl-PL"/>
        </w:rPr>
        <w:t>dany okres</w:t>
      </w:r>
      <w:r w:rsidR="0095010D">
        <w:rPr>
          <w:shd w:val="clear" w:color="auto" w:fill="FFFFFF"/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>trwania, w</w:t>
      </w:r>
      <w:r w:rsidR="00312700">
        <w:rPr>
          <w:shd w:val="clear" w:color="auto" w:fill="FFFFFF"/>
          <w:lang w:val="pl-PL"/>
        </w:rPr>
        <w:t> </w:t>
      </w:r>
      <w:r w:rsidRPr="00C408DC">
        <w:rPr>
          <w:shd w:val="clear" w:color="auto" w:fill="FFFFFF"/>
          <w:lang w:val="pl-PL"/>
        </w:rPr>
        <w:t>szczególności w świetle celu i ochrony procesowej</w:t>
      </w:r>
      <w:r w:rsidR="0095010D">
        <w:rPr>
          <w:shd w:val="clear" w:color="auto" w:fill="FFFFFF"/>
          <w:lang w:val="pl-PL"/>
        </w:rPr>
        <w:t>,</w:t>
      </w:r>
      <w:r w:rsidRPr="00C408DC">
        <w:rPr>
          <w:shd w:val="clear" w:color="auto" w:fill="FFFFFF"/>
          <w:lang w:val="pl-PL"/>
        </w:rPr>
        <w:t xml:space="preserve"> z których korzystają wnioskodawcy oczekujący na zdarzenia oraz iv) charakter i stopień faktycznych ograniczeń nałożonych na wnioskodawców lub doświadczonych przez nich (zob. sprawy cytowane w </w:t>
      </w:r>
      <w:r w:rsidR="0095010D" w:rsidRPr="00C408DC">
        <w:rPr>
          <w:shd w:val="clear" w:color="auto" w:fill="FFFFFF"/>
          <w:lang w:val="pl-PL"/>
        </w:rPr>
        <w:t xml:space="preserve">trzech </w:t>
      </w:r>
      <w:r w:rsidRPr="00C408DC">
        <w:rPr>
          <w:shd w:val="clear" w:color="auto" w:fill="FFFFFF"/>
          <w:lang w:val="pl-PL"/>
        </w:rPr>
        <w:t>powyższych p</w:t>
      </w:r>
      <w:r w:rsidR="0095010D">
        <w:rPr>
          <w:shd w:val="clear" w:color="auto" w:fill="FFFFFF"/>
          <w:lang w:val="pl-PL"/>
        </w:rPr>
        <w:t>aragrafach</w:t>
      </w:r>
      <w:r w:rsidRPr="00C408DC">
        <w:rPr>
          <w:shd w:val="clear" w:color="auto" w:fill="FFFFFF"/>
          <w:lang w:val="pl-PL"/>
        </w:rPr>
        <w:t>)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139.</w:t>
      </w:r>
      <w:r w:rsidR="005C05E6">
        <w:rPr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 xml:space="preserve">Trybunał uważa, że wskazane powyżej czynniki mają także znaczenie, </w:t>
      </w:r>
      <w:r w:rsidRPr="00C408DC">
        <w:rPr>
          <w:i/>
          <w:iCs/>
          <w:shd w:val="clear" w:color="auto" w:fill="FFFFFF"/>
          <w:lang w:val="pl-PL"/>
        </w:rPr>
        <w:t xml:space="preserve">mutatis mutandis, </w:t>
      </w:r>
      <w:r w:rsidRPr="00C408DC">
        <w:rPr>
          <w:shd w:val="clear" w:color="auto" w:fill="FFFFFF"/>
          <w:lang w:val="pl-PL"/>
        </w:rPr>
        <w:t>w niniejszej sprawie</w:t>
      </w:r>
      <w:r w:rsidRPr="00C408DC">
        <w:rPr>
          <w:lang w:val="pl-PL"/>
        </w:rPr>
        <w:t>.</w:t>
      </w:r>
    </w:p>
    <w:p w:rsidR="001377AE" w:rsidRPr="00CF5DCA" w:rsidRDefault="001377AE" w:rsidP="00072604">
      <w:pPr>
        <w:pStyle w:val="JuHi"/>
        <w:rPr>
          <w:lang w:val="pl-PL"/>
        </w:rPr>
      </w:pPr>
      <w:r w:rsidRPr="00CF5DCA">
        <w:rPr>
          <w:lang w:val="pl-PL"/>
        </w:rPr>
        <w:t>Zastosowanie powyższych zasad</w:t>
      </w:r>
    </w:p>
    <w:p w:rsidR="001377AE" w:rsidRPr="00C408DC" w:rsidRDefault="001377AE" w:rsidP="00B52A7F">
      <w:pPr>
        <w:pStyle w:val="JuHalpha"/>
        <w:numPr>
          <w:ilvl w:val="0"/>
          <w:numId w:val="0"/>
        </w:numPr>
        <w:ind w:left="1038"/>
        <w:rPr>
          <w:lang w:val="pl-PL"/>
        </w:rPr>
      </w:pPr>
      <w:r w:rsidRPr="003B6630">
        <w:rPr>
          <w:lang w:val="pl-PL"/>
        </w:rPr>
        <w:t>α</w:t>
      </w:r>
      <w:r w:rsidRPr="00C408DC">
        <w:rPr>
          <w:lang w:val="pl-PL"/>
        </w:rPr>
        <w:t>)</w:t>
      </w:r>
      <w:r w:rsidRPr="00C408DC">
        <w:rPr>
          <w:rFonts w:ascii="Symbol" w:hAnsi="Symbol" w:cs="Symbol"/>
          <w:lang w:val="pl-PL"/>
        </w:rPr>
        <w:tab/>
      </w:r>
      <w:r w:rsidR="0095010D" w:rsidRPr="00C408DC">
        <w:rPr>
          <w:shd w:val="clear" w:color="auto" w:fill="FFFFFF"/>
          <w:lang w:val="pl-PL"/>
        </w:rPr>
        <w:t xml:space="preserve">Indywidualna </w:t>
      </w:r>
      <w:r w:rsidRPr="00C408DC">
        <w:rPr>
          <w:shd w:val="clear" w:color="auto" w:fill="FFFFFF"/>
          <w:lang w:val="pl-PL"/>
        </w:rPr>
        <w:t>sytuacja skarżących i ich wybory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140.</w:t>
      </w:r>
      <w:r w:rsidR="005C05E6">
        <w:rPr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>Trybunał zauważa, że wszyscy czterej skarżący znaleźli się na</w:t>
      </w:r>
      <w:r w:rsidR="00312700">
        <w:rPr>
          <w:shd w:val="clear" w:color="auto" w:fill="FFFFFF"/>
          <w:lang w:val="pl-PL"/>
        </w:rPr>
        <w:t> </w:t>
      </w:r>
      <w:r w:rsidRPr="00C408DC">
        <w:rPr>
          <w:shd w:val="clear" w:color="auto" w:fill="FFFFFF"/>
          <w:lang w:val="pl-PL"/>
        </w:rPr>
        <w:t xml:space="preserve">lotnisku </w:t>
      </w:r>
      <w:r w:rsidR="002E600B">
        <w:rPr>
          <w:shd w:val="clear" w:color="auto" w:fill="FFFFFF"/>
          <w:lang w:val="pl-PL"/>
        </w:rPr>
        <w:t>nie</w:t>
      </w:r>
      <w:r w:rsidRPr="00C408DC">
        <w:rPr>
          <w:shd w:val="clear" w:color="auto" w:fill="FFFFFF"/>
          <w:lang w:val="pl-PL"/>
        </w:rPr>
        <w:t xml:space="preserve">dobrowolnie, choć bez zaangażowania ze strony organów rosyjskich, </w:t>
      </w:r>
      <w:r w:rsidR="002E600B">
        <w:rPr>
          <w:shd w:val="clear" w:color="auto" w:fill="FFFFFF"/>
          <w:lang w:val="pl-PL"/>
        </w:rPr>
        <w:t xml:space="preserve">ponieważ </w:t>
      </w:r>
      <w:r w:rsidRPr="00C408DC">
        <w:rPr>
          <w:shd w:val="clear" w:color="auto" w:fill="FFFFFF"/>
          <w:lang w:val="pl-PL"/>
        </w:rPr>
        <w:t xml:space="preserve">albo odmówiono im wjazdu do kraju, do którego pragnęli się udać, albo zostali deportowani do Rosji. </w:t>
      </w:r>
      <w:r w:rsidR="0095010D">
        <w:rPr>
          <w:shd w:val="clear" w:color="auto" w:fill="FFFFFF"/>
          <w:lang w:val="pl-PL"/>
        </w:rPr>
        <w:t xml:space="preserve">Zmuszeni </w:t>
      </w:r>
      <w:r w:rsidRPr="00C408DC">
        <w:rPr>
          <w:shd w:val="clear" w:color="auto" w:fill="FFFFFF"/>
          <w:lang w:val="pl-PL"/>
        </w:rPr>
        <w:t xml:space="preserve">okolicznościami, wszyscy postanowili ubiegać się o </w:t>
      </w:r>
      <w:r w:rsidRPr="00905201">
        <w:rPr>
          <w:shd w:val="clear" w:color="auto" w:fill="FFFFFF"/>
          <w:lang w:val="pl-PL"/>
        </w:rPr>
        <w:t>azyl w Rosji. Choć</w:t>
      </w:r>
      <w:r w:rsidR="00312700">
        <w:rPr>
          <w:shd w:val="clear" w:color="auto" w:fill="FFFFFF"/>
          <w:lang w:val="pl-PL"/>
        </w:rPr>
        <w:t> </w:t>
      </w:r>
      <w:r w:rsidRPr="00905201">
        <w:rPr>
          <w:shd w:val="clear" w:color="auto" w:fill="FFFFFF"/>
          <w:lang w:val="pl-PL"/>
        </w:rPr>
        <w:t>okoliczność ta sama w sobie nie wyklucza możliwości, że skarżący</w:t>
      </w:r>
      <w:r w:rsidRPr="00C408DC">
        <w:rPr>
          <w:shd w:val="clear" w:color="auto" w:fill="FFFFFF"/>
          <w:lang w:val="pl-PL"/>
        </w:rPr>
        <w:t xml:space="preserve"> znajdą się w sytuacji </w:t>
      </w:r>
      <w:r w:rsidRPr="00C408DC">
        <w:rPr>
          <w:i/>
          <w:iCs/>
          <w:shd w:val="clear" w:color="auto" w:fill="FFFFFF"/>
          <w:lang w:val="pl-PL"/>
        </w:rPr>
        <w:t>de facto</w:t>
      </w:r>
      <w:r w:rsidR="005C05E6">
        <w:rPr>
          <w:i/>
          <w:iCs/>
          <w:shd w:val="clear" w:color="auto" w:fill="FFFFFF"/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>pozbawienia wolności po wjeździe, Trybunał uważa, że jest to istotny wzgląd, który należy poddać analizie w świetle pozostałych okoliczności sprawy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141.</w:t>
      </w:r>
      <w:r w:rsidR="005C05E6">
        <w:rPr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 xml:space="preserve">Prawdą jest, iż w szeregu spraw Trybunał stwierdził, że </w:t>
      </w:r>
      <w:r w:rsidR="002E600B">
        <w:rPr>
          <w:shd w:val="clear" w:color="auto" w:fill="FFFFFF"/>
          <w:lang w:val="pl-PL"/>
        </w:rPr>
        <w:t xml:space="preserve">pozbawienie wolności </w:t>
      </w:r>
      <w:r w:rsidRPr="00C408DC">
        <w:rPr>
          <w:shd w:val="clear" w:color="auto" w:fill="FFFFFF"/>
          <w:lang w:val="pl-PL"/>
        </w:rPr>
        <w:t xml:space="preserve">może stanowić naruszenie art. 5 </w:t>
      </w:r>
      <w:r w:rsidR="002E600B" w:rsidRPr="00C408DC">
        <w:rPr>
          <w:shd w:val="clear" w:color="auto" w:fill="FFFFFF"/>
          <w:lang w:val="pl-PL"/>
        </w:rPr>
        <w:t>Konwencji</w:t>
      </w:r>
      <w:r w:rsidRPr="00C408DC">
        <w:rPr>
          <w:shd w:val="clear" w:color="auto" w:fill="FFFFFF"/>
          <w:lang w:val="pl-PL"/>
        </w:rPr>
        <w:t>, nawet jeżeli osoba zainteresowana wyraziła na</w:t>
      </w:r>
      <w:r w:rsidR="002E600B">
        <w:rPr>
          <w:shd w:val="clear" w:color="auto" w:fill="FFFFFF"/>
          <w:lang w:val="pl-PL"/>
        </w:rPr>
        <w:t xml:space="preserve"> nie</w:t>
      </w:r>
      <w:r w:rsidRPr="00C408DC">
        <w:rPr>
          <w:shd w:val="clear" w:color="auto" w:fill="FFFFFF"/>
          <w:lang w:val="pl-PL"/>
        </w:rPr>
        <w:t xml:space="preserve"> z</w:t>
      </w:r>
      <w:r w:rsidRPr="00C408DC">
        <w:rPr>
          <w:lang w:val="pl-PL"/>
        </w:rPr>
        <w:t>godę</w:t>
      </w:r>
      <w:r w:rsidR="002E600B">
        <w:rPr>
          <w:lang w:val="pl-PL"/>
        </w:rPr>
        <w:t>,</w:t>
      </w:r>
      <w:r w:rsidRPr="00C408DC">
        <w:rPr>
          <w:lang w:val="pl-PL"/>
        </w:rPr>
        <w:t xml:space="preserve"> oraz podkreślał, że prawo do wolności jest nazbyt ważne, aby dana osoba utraciła dobrodziejstwo ochrony </w:t>
      </w:r>
      <w:r w:rsidR="002E600B" w:rsidRPr="00C408DC">
        <w:rPr>
          <w:lang w:val="pl-PL"/>
        </w:rPr>
        <w:t xml:space="preserve">Konwencji </w:t>
      </w:r>
      <w:r w:rsidRPr="00C408DC">
        <w:rPr>
          <w:lang w:val="pl-PL"/>
        </w:rPr>
        <w:t xml:space="preserve">tylko z tej przyczyny, że poddała się </w:t>
      </w:r>
      <w:r w:rsidR="002E600B">
        <w:rPr>
          <w:lang w:val="pl-PL"/>
        </w:rPr>
        <w:t xml:space="preserve">pozbawieniu wolności </w:t>
      </w:r>
      <w:r w:rsidRPr="00C408DC">
        <w:rPr>
          <w:lang w:val="pl-PL"/>
        </w:rPr>
        <w:t xml:space="preserve">(zobacz </w:t>
      </w:r>
      <w:r w:rsidRPr="00C408DC">
        <w:rPr>
          <w:i/>
          <w:iCs/>
          <w:lang w:val="pl-PL"/>
        </w:rPr>
        <w:t>De Wilde, Ooms i Versyp przeciwko Belgii</w:t>
      </w:r>
      <w:r w:rsidRPr="00C408DC">
        <w:rPr>
          <w:lang w:val="pl-PL"/>
        </w:rPr>
        <w:t xml:space="preserve">, 18 czerwca 1971 r., § 65, Seria A nr 12; </w:t>
      </w:r>
      <w:r w:rsidRPr="00C408DC">
        <w:rPr>
          <w:i/>
          <w:iCs/>
          <w:lang w:val="pl-PL"/>
        </w:rPr>
        <w:t>I.I.</w:t>
      </w:r>
      <w:r w:rsidR="005C05E6">
        <w:rPr>
          <w:i/>
          <w:iCs/>
          <w:lang w:val="pl-PL"/>
        </w:rPr>
        <w:t xml:space="preserve"> </w:t>
      </w:r>
      <w:r w:rsidRPr="00C408DC">
        <w:rPr>
          <w:i/>
          <w:iCs/>
          <w:lang w:val="pl-PL"/>
        </w:rPr>
        <w:t>przeciwko</w:t>
      </w:r>
      <w:r w:rsidR="005C05E6">
        <w:rPr>
          <w:i/>
          <w:iCs/>
          <w:lang w:val="pl-PL"/>
        </w:rPr>
        <w:t xml:space="preserve"> </w:t>
      </w:r>
      <w:r w:rsidRPr="00C408DC">
        <w:rPr>
          <w:i/>
          <w:iCs/>
          <w:lang w:val="pl-PL"/>
        </w:rPr>
        <w:t>Bułgarii</w:t>
      </w:r>
      <w:r w:rsidRPr="00C408DC">
        <w:rPr>
          <w:lang w:val="pl-PL"/>
        </w:rPr>
        <w:t>, nr 44082/98, §§ 84-87, 9 czerwca 2005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r.; </w:t>
      </w:r>
      <w:r w:rsidRPr="00C408DC">
        <w:rPr>
          <w:i/>
          <w:iCs/>
          <w:lang w:val="pl-PL"/>
        </w:rPr>
        <w:t>Osypenko przeciwko Ukrainie</w:t>
      </w:r>
      <w:r w:rsidRPr="00C408DC">
        <w:rPr>
          <w:lang w:val="pl-PL"/>
        </w:rPr>
        <w:t xml:space="preserve">, nr 4634/04, § 48, 9 listopada 2010 r.; </w:t>
      </w:r>
      <w:r w:rsidRPr="00C408DC">
        <w:rPr>
          <w:i/>
          <w:iCs/>
          <w:lang w:val="pl-PL"/>
        </w:rPr>
        <w:t>Venskutė przeciwko Litwie</w:t>
      </w:r>
      <w:r w:rsidRPr="00C408DC">
        <w:rPr>
          <w:lang w:val="pl-PL"/>
        </w:rPr>
        <w:t>, nr 10645/08,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72, 11 grudnia 2012 r.; </w:t>
      </w:r>
      <w:r w:rsidRPr="00C408DC">
        <w:rPr>
          <w:i/>
          <w:iCs/>
          <w:lang w:val="pl-PL"/>
        </w:rPr>
        <w:t>Buzadji przeciwko Mołdowie</w:t>
      </w:r>
      <w:r w:rsidRPr="00C408DC">
        <w:rPr>
          <w:lang w:val="pl-PL"/>
        </w:rPr>
        <w:t xml:space="preserve"> </w:t>
      </w:r>
      <w:r w:rsidR="001A733E" w:rsidRPr="00C408DC">
        <w:rPr>
          <w:lang w:val="pl-PL"/>
        </w:rPr>
        <w:t>[WI]</w:t>
      </w:r>
      <w:r w:rsidRPr="00C408DC">
        <w:rPr>
          <w:lang w:val="pl-PL"/>
        </w:rPr>
        <w:t>, nr 23755/07, §§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106-10, 5 lipca 2016 r.). Sprawy </w:t>
      </w:r>
      <w:r w:rsidRPr="00C408DC">
        <w:rPr>
          <w:lang w:val="pl-PL"/>
        </w:rPr>
        <w:lastRenderedPageBreak/>
        <w:t>te dotyczyły jednak sytuacji, w których przepisy prawa przewidywały pozbawienie wolności</w:t>
      </w:r>
      <w:r w:rsidR="00C92654">
        <w:rPr>
          <w:lang w:val="pl-PL"/>
        </w:rPr>
        <w:t>,</w:t>
      </w:r>
      <w:r w:rsidRPr="00C408DC">
        <w:rPr>
          <w:lang w:val="pl-PL"/>
        </w:rPr>
        <w:t xml:space="preserve"> lub sytuacji, w których skarżący spełnili obowiązek, taki jak m.in. zgłoszenie się do zakładu karnego lub na posterunek policji albo</w:t>
      </w:r>
      <w:r w:rsidR="00312700">
        <w:rPr>
          <w:lang w:val="pl-PL"/>
        </w:rPr>
        <w:t> </w:t>
      </w:r>
      <w:r w:rsidRPr="00C408DC">
        <w:rPr>
          <w:lang w:val="pl-PL"/>
        </w:rPr>
        <w:t>poddanie się aresztowi domowemu. W ocenie Tryb</w:t>
      </w:r>
      <w:r w:rsidR="00CF5DCA">
        <w:rPr>
          <w:lang w:val="pl-PL"/>
        </w:rPr>
        <w:t>unału, okoliczności są odmienne</w:t>
      </w:r>
      <w:r w:rsidRPr="00C408DC">
        <w:rPr>
          <w:lang w:val="pl-PL"/>
        </w:rPr>
        <w:t xml:space="preserve"> w sytuacji</w:t>
      </w:r>
      <w:r w:rsidR="00CF5DCA">
        <w:rPr>
          <w:lang w:val="pl-PL"/>
        </w:rPr>
        <w:t>,</w:t>
      </w:r>
      <w:r w:rsidRPr="00C408DC">
        <w:rPr>
          <w:lang w:val="pl-PL"/>
        </w:rPr>
        <w:t xml:space="preserve"> gdy – jak w niniejszej sprawie – skarżący nie mieli żadnych mających znaczenie powiązań z zainteresowanym państwem ani</w:t>
      </w:r>
      <w:r w:rsidR="00312700">
        <w:rPr>
          <w:lang w:val="pl-PL"/>
        </w:rPr>
        <w:t> </w:t>
      </w:r>
      <w:r w:rsidRPr="00C408DC">
        <w:rPr>
          <w:lang w:val="pl-PL"/>
        </w:rPr>
        <w:t>obowiązku, na który</w:t>
      </w:r>
      <w:r w:rsidR="00C92654">
        <w:rPr>
          <w:lang w:val="pl-PL"/>
        </w:rPr>
        <w:t xml:space="preserve"> by</w:t>
      </w:r>
      <w:r w:rsidRPr="00C408DC">
        <w:rPr>
          <w:lang w:val="pl-PL"/>
        </w:rPr>
        <w:t xml:space="preserve"> przystali, lecz zwrócili się o wjazd na terytorium tego państwa z własnej inicjatywy, ubiegając się w nim o udzielenie azylu. W takim przypadku punkt wyjścia dotyczący indywidualnej pozycji skarżących wobec organów jest zupełnie odmienny.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142.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W niniejszej sprawie, mając wzgląd na znane</w:t>
      </w:r>
      <w:r w:rsidR="00C92654">
        <w:rPr>
          <w:lang w:val="pl-PL"/>
        </w:rPr>
        <w:t xml:space="preserve"> informacje</w:t>
      </w:r>
      <w:r w:rsidRPr="00C408DC">
        <w:rPr>
          <w:lang w:val="pl-PL"/>
        </w:rPr>
        <w:t xml:space="preserve"> o</w:t>
      </w:r>
      <w:r w:rsidR="00312700">
        <w:rPr>
          <w:lang w:val="pl-PL"/>
        </w:rPr>
        <w:t> </w:t>
      </w:r>
      <w:r w:rsidRPr="00C408DC">
        <w:rPr>
          <w:lang w:val="pl-PL"/>
        </w:rPr>
        <w:t xml:space="preserve">skarżących i ich </w:t>
      </w:r>
      <w:r w:rsidR="003B6630" w:rsidRPr="00C408DC">
        <w:rPr>
          <w:lang w:val="pl-PL"/>
        </w:rPr>
        <w:t>poszczególnych</w:t>
      </w:r>
      <w:r w:rsidRPr="00C408DC">
        <w:rPr>
          <w:lang w:val="pl-PL"/>
        </w:rPr>
        <w:t xml:space="preserve"> podróżach, a w szczególności okoliczność, że nie przybyli do Rosji z powodu bezpośredniego zagrożenia dla ich życia lub zdrowia, lecz z powodu szczególnych okoliczności związanych z trasą ich podróży, nie ma wątpliwości, że znaleźli się na</w:t>
      </w:r>
      <w:r w:rsidR="00312700">
        <w:rPr>
          <w:lang w:val="pl-PL"/>
        </w:rPr>
        <w:t> </w:t>
      </w:r>
      <w:r w:rsidR="008D00E6">
        <w:rPr>
          <w:lang w:val="pl-PL"/>
        </w:rPr>
        <w:t>l</w:t>
      </w:r>
      <w:r w:rsidRPr="00C408DC">
        <w:rPr>
          <w:lang w:val="pl-PL"/>
        </w:rPr>
        <w:t xml:space="preserve">otnisku Szeremietiewo </w:t>
      </w:r>
      <w:r w:rsidR="008D00E6">
        <w:rPr>
          <w:lang w:val="pl-PL"/>
        </w:rPr>
        <w:t>nie</w:t>
      </w:r>
      <w:r w:rsidRPr="00C408DC">
        <w:rPr>
          <w:lang w:val="pl-PL"/>
        </w:rPr>
        <w:t>dobrowolnie, jednakże bez zaangażowania ze</w:t>
      </w:r>
      <w:r w:rsidR="00312700">
        <w:rPr>
          <w:lang w:val="pl-PL"/>
        </w:rPr>
        <w:t> </w:t>
      </w:r>
      <w:r w:rsidRPr="00C408DC">
        <w:rPr>
          <w:lang w:val="pl-PL"/>
        </w:rPr>
        <w:t>strony organów rosyjskich. Jest zatem oczywiste, że organy rosyjskie były uprawnione do dokonania koniecznych czynności sprawdzających i</w:t>
      </w:r>
      <w:r w:rsidR="00312700">
        <w:rPr>
          <w:lang w:val="pl-PL"/>
        </w:rPr>
        <w:t> </w:t>
      </w:r>
      <w:r w:rsidRPr="00C408DC">
        <w:rPr>
          <w:lang w:val="pl-PL"/>
        </w:rPr>
        <w:t>do</w:t>
      </w:r>
      <w:r w:rsidR="00312700">
        <w:rPr>
          <w:lang w:val="pl-PL"/>
        </w:rPr>
        <w:t> </w:t>
      </w:r>
      <w:r w:rsidRPr="00C408DC">
        <w:rPr>
          <w:lang w:val="pl-PL"/>
        </w:rPr>
        <w:t>zbadania ich twierdzeń przed podjęciem decyzji o ich wpuszczeniu lub</w:t>
      </w:r>
      <w:r w:rsidR="00312700">
        <w:rPr>
          <w:lang w:val="pl-PL"/>
        </w:rPr>
        <w:t> </w:t>
      </w:r>
      <w:r w:rsidRPr="00C408DC">
        <w:rPr>
          <w:lang w:val="pl-PL"/>
        </w:rPr>
        <w:t>o</w:t>
      </w:r>
      <w:r w:rsidR="00312700">
        <w:rPr>
          <w:lang w:val="pl-PL"/>
        </w:rPr>
        <w:t> </w:t>
      </w:r>
      <w:r w:rsidRPr="00C408DC">
        <w:rPr>
          <w:lang w:val="pl-PL"/>
        </w:rPr>
        <w:t>odmowie wpuszczenia ich.</w:t>
      </w:r>
    </w:p>
    <w:p w:rsidR="001377AE" w:rsidRPr="00C408DC" w:rsidRDefault="001377AE" w:rsidP="00B52A7F">
      <w:pPr>
        <w:pStyle w:val="JuHalpha"/>
        <w:numPr>
          <w:ilvl w:val="0"/>
          <w:numId w:val="0"/>
        </w:numPr>
        <w:ind w:left="1038"/>
        <w:rPr>
          <w:lang w:val="pl-PL"/>
        </w:rPr>
      </w:pPr>
      <w:r w:rsidRPr="003B6630">
        <w:rPr>
          <w:lang w:val="pl-PL"/>
        </w:rPr>
        <w:t>β</w:t>
      </w:r>
      <w:r w:rsidRPr="00C408DC">
        <w:rPr>
          <w:lang w:val="pl-PL"/>
        </w:rPr>
        <w:t>)</w:t>
      </w:r>
      <w:r w:rsidRPr="00C408DC">
        <w:rPr>
          <w:rFonts w:ascii="Symbol" w:hAnsi="Symbol" w:cs="Symbol"/>
          <w:lang w:val="pl-PL"/>
        </w:rPr>
        <w:tab/>
      </w:r>
      <w:r w:rsidR="00F84B94" w:rsidRPr="00C408DC">
        <w:rPr>
          <w:shd w:val="clear" w:color="auto" w:fill="FFFFFF"/>
          <w:lang w:val="pl-PL"/>
        </w:rPr>
        <w:t>Właściw</w:t>
      </w:r>
      <w:r w:rsidR="00F84B94">
        <w:rPr>
          <w:shd w:val="clear" w:color="auto" w:fill="FFFFFF"/>
          <w:lang w:val="pl-PL"/>
        </w:rPr>
        <w:t xml:space="preserve">e </w:t>
      </w:r>
      <w:r w:rsidR="003B1DF7">
        <w:rPr>
          <w:shd w:val="clear" w:color="auto" w:fill="FFFFFF"/>
          <w:lang w:val="pl-PL"/>
        </w:rPr>
        <w:t xml:space="preserve">uregulowania prawne </w:t>
      </w:r>
      <w:r w:rsidRPr="00C408DC">
        <w:rPr>
          <w:shd w:val="clear" w:color="auto" w:fill="FFFFFF"/>
          <w:lang w:val="pl-PL"/>
        </w:rPr>
        <w:t xml:space="preserve">danego państwa i </w:t>
      </w:r>
      <w:r w:rsidR="003B1DF7">
        <w:rPr>
          <w:shd w:val="clear" w:color="auto" w:fill="FFFFFF"/>
          <w:lang w:val="pl-PL"/>
        </w:rPr>
        <w:t xml:space="preserve">ich </w:t>
      </w:r>
      <w:r w:rsidRPr="00C408DC">
        <w:rPr>
          <w:shd w:val="clear" w:color="auto" w:fill="FFFFFF"/>
          <w:lang w:val="pl-PL"/>
        </w:rPr>
        <w:t>cel</w:t>
      </w:r>
      <w:r w:rsidRPr="00C408DC">
        <w:rPr>
          <w:lang w:val="pl-PL"/>
        </w:rPr>
        <w:t xml:space="preserve"> oraz </w:t>
      </w:r>
      <w:r w:rsidR="003B1DF7">
        <w:rPr>
          <w:shd w:val="clear" w:color="auto" w:fill="FFFFFF"/>
          <w:lang w:val="pl-PL"/>
        </w:rPr>
        <w:t>dany okres trwania</w:t>
      </w:r>
      <w:r w:rsidRPr="00C408DC">
        <w:rPr>
          <w:shd w:val="clear" w:color="auto" w:fill="FFFFFF"/>
          <w:lang w:val="pl-PL"/>
        </w:rPr>
        <w:t xml:space="preserve"> w świetle tego celu i towarzyszącej ochrony procesowej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143.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Po drugie, znaczenie ma także okoliczność, że uzasadnienie</w:t>
      </w:r>
      <w:r w:rsidR="003B1DF7">
        <w:rPr>
          <w:lang w:val="pl-PL" w:eastAsia="en-US"/>
        </w:rPr>
        <w:t>m</w:t>
      </w:r>
      <w:r w:rsidRPr="00C408DC">
        <w:rPr>
          <w:lang w:val="pl-PL" w:eastAsia="en-US"/>
        </w:rPr>
        <w:t xml:space="preserve"> i cel</w:t>
      </w:r>
      <w:r w:rsidR="003B1DF7">
        <w:rPr>
          <w:lang w:val="pl-PL" w:eastAsia="en-US"/>
        </w:rPr>
        <w:t>em</w:t>
      </w:r>
      <w:r w:rsidRPr="00C408DC">
        <w:rPr>
          <w:lang w:val="pl-PL" w:eastAsia="en-US"/>
        </w:rPr>
        <w:t xml:space="preserve"> </w:t>
      </w:r>
      <w:r w:rsidR="003B1DF7">
        <w:rPr>
          <w:lang w:val="pl-PL" w:eastAsia="en-US"/>
        </w:rPr>
        <w:t xml:space="preserve">krajowych uregulowań prawnych </w:t>
      </w:r>
      <w:r w:rsidRPr="00C408DC">
        <w:rPr>
          <w:lang w:val="pl-PL" w:eastAsia="en-US"/>
        </w:rPr>
        <w:t>mając</w:t>
      </w:r>
      <w:r w:rsidR="003B1DF7">
        <w:rPr>
          <w:lang w:val="pl-PL" w:eastAsia="en-US"/>
        </w:rPr>
        <w:t>ych</w:t>
      </w:r>
      <w:r w:rsidRPr="00C408DC">
        <w:rPr>
          <w:lang w:val="pl-PL" w:eastAsia="en-US"/>
        </w:rPr>
        <w:t xml:space="preserve"> zastosowanie wobec strefy tranzytowej na </w:t>
      </w:r>
      <w:r w:rsidR="00CF5DCA">
        <w:rPr>
          <w:lang w:val="pl-PL" w:eastAsia="en-US"/>
        </w:rPr>
        <w:t>l</w:t>
      </w:r>
      <w:r w:rsidRPr="00C408DC">
        <w:rPr>
          <w:lang w:val="pl-PL" w:eastAsia="en-US"/>
        </w:rPr>
        <w:t xml:space="preserve">otnisku Szeremietiewo </w:t>
      </w:r>
      <w:r w:rsidR="003B1DF7">
        <w:rPr>
          <w:lang w:val="pl-PL" w:eastAsia="en-US"/>
        </w:rPr>
        <w:t xml:space="preserve">było </w:t>
      </w:r>
      <w:r w:rsidRPr="00C408DC">
        <w:rPr>
          <w:lang w:val="pl-PL" w:eastAsia="en-US"/>
        </w:rPr>
        <w:t>wprowadz</w:t>
      </w:r>
      <w:r w:rsidR="003B1DF7">
        <w:rPr>
          <w:lang w:val="pl-PL" w:eastAsia="en-US"/>
        </w:rPr>
        <w:t>enie</w:t>
      </w:r>
      <w:r w:rsidRPr="00C408DC">
        <w:rPr>
          <w:lang w:val="pl-PL" w:eastAsia="en-US"/>
        </w:rPr>
        <w:t xml:space="preserve"> </w:t>
      </w:r>
      <w:r w:rsidR="003B1DF7">
        <w:rPr>
          <w:lang w:val="pl-PL" w:eastAsia="en-US"/>
        </w:rPr>
        <w:t xml:space="preserve"> obszaru oczekiwania</w:t>
      </w:r>
      <w:r w:rsidRPr="00C408DC">
        <w:rPr>
          <w:lang w:val="pl-PL" w:eastAsia="en-US"/>
        </w:rPr>
        <w:t>, podczas gdy organy podejmowały decyzję czy</w:t>
      </w:r>
      <w:r w:rsidR="005C05E6">
        <w:rPr>
          <w:lang w:val="pl-PL" w:eastAsia="en-US"/>
        </w:rPr>
        <w:t xml:space="preserve"> </w:t>
      </w:r>
      <w:r w:rsidRPr="00C408DC">
        <w:rPr>
          <w:lang w:val="pl-PL" w:eastAsia="en-US"/>
        </w:rPr>
        <w:t>wpuścić do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Rosji osoby ubiegające się o azyl (</w:t>
      </w:r>
      <w:r w:rsidR="005B2137" w:rsidRPr="00C408DC">
        <w:rPr>
          <w:lang w:val="pl-PL" w:eastAsia="en-US"/>
        </w:rPr>
        <w:t>zob. paragrafy</w:t>
      </w:r>
      <w:r w:rsidRPr="00C408DC">
        <w:rPr>
          <w:lang w:val="pl-PL" w:eastAsia="en-US"/>
        </w:rPr>
        <w:t xml:space="preserve"> 99 i 100 powyżej). Choć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samo w sobie na ma to decydującego znaczenia, należy zauważyć, że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organy rosyjskie nie dążyły do pozbawienia skarżących wolności, natomiast odmówiły im natychmiast</w:t>
      </w:r>
      <w:r w:rsidR="00CF63E0">
        <w:rPr>
          <w:lang w:val="pl-PL" w:eastAsia="en-US"/>
        </w:rPr>
        <w:t>owego</w:t>
      </w:r>
      <w:r w:rsidRPr="00C408DC">
        <w:rPr>
          <w:lang w:val="pl-PL" w:eastAsia="en-US"/>
        </w:rPr>
        <w:t xml:space="preserve"> wjazdu (</w:t>
      </w:r>
      <w:r w:rsidR="005B2137" w:rsidRPr="00C408DC">
        <w:rPr>
          <w:lang w:val="pl-PL" w:eastAsia="en-US"/>
        </w:rPr>
        <w:t>zob. paragrafy</w:t>
      </w:r>
      <w:r w:rsidRPr="00C408DC">
        <w:rPr>
          <w:lang w:val="pl-PL" w:eastAsia="en-US"/>
        </w:rPr>
        <w:t xml:space="preserve"> </w:t>
      </w:r>
      <w:r w:rsidRPr="00C408DC">
        <w:rPr>
          <w:rFonts w:eastAsia="Times New Roman"/>
          <w:lang w:val="pl-PL"/>
        </w:rPr>
        <w:t>14</w:t>
      </w:r>
      <w:r w:rsidRPr="00C408DC">
        <w:rPr>
          <w:lang w:val="pl-PL"/>
        </w:rPr>
        <w:t xml:space="preserve">, </w:t>
      </w:r>
      <w:r w:rsidRPr="00C408DC">
        <w:rPr>
          <w:rFonts w:eastAsia="Times New Roman"/>
          <w:lang w:val="pl-PL"/>
        </w:rPr>
        <w:t>20</w:t>
      </w:r>
      <w:r w:rsidRPr="00C408DC">
        <w:rPr>
          <w:lang w:val="pl-PL"/>
        </w:rPr>
        <w:t xml:space="preserve">, </w:t>
      </w:r>
      <w:r w:rsidRPr="00C408DC">
        <w:rPr>
          <w:rFonts w:eastAsia="Times New Roman"/>
          <w:lang w:val="pl-PL"/>
        </w:rPr>
        <w:t>29</w:t>
      </w:r>
      <w:r w:rsidRPr="00C408DC">
        <w:rPr>
          <w:lang w:val="pl-PL"/>
        </w:rPr>
        <w:t xml:space="preserve"> i </w:t>
      </w:r>
      <w:r w:rsidRPr="00C408DC">
        <w:rPr>
          <w:rFonts w:eastAsia="Times New Roman"/>
          <w:lang w:val="pl-PL"/>
        </w:rPr>
        <w:t>39</w:t>
      </w:r>
      <w:r w:rsidRPr="00C408DC">
        <w:rPr>
          <w:lang w:val="pl-PL" w:eastAsia="en-US"/>
        </w:rPr>
        <w:t xml:space="preserve"> powyżej). Skarżący pozostawali w strefie tranzytowej zasadniczo z tej przyczyny, że oczekiwali na wynik postępowania w przedmiocie udzielenia im azylu (</w:t>
      </w:r>
      <w:r w:rsidR="005B2137" w:rsidRPr="00C408DC">
        <w:rPr>
          <w:lang w:val="pl-PL" w:eastAsia="en-US"/>
        </w:rPr>
        <w:t>zob. paragrafy</w:t>
      </w:r>
      <w:r w:rsidRPr="00C408DC">
        <w:rPr>
          <w:lang w:val="pl-PL" w:eastAsia="en-US"/>
        </w:rPr>
        <w:t xml:space="preserve"> 46-96 powyżej)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144.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Prawo państw do kontroli wjazdu cudzoziemców na ich terytorium z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 xml:space="preserve">konieczności oznacza, że zgoda na wjazd może być uwarunkowana spełnieniem stosownych wymogów. Zatem, </w:t>
      </w:r>
      <w:r w:rsidRPr="00AB47B3">
        <w:rPr>
          <w:lang w:val="pl-PL" w:eastAsia="en-US"/>
        </w:rPr>
        <w:t>w</w:t>
      </w:r>
      <w:r w:rsidRPr="00C408DC">
        <w:rPr>
          <w:lang w:val="pl-PL" w:eastAsia="en-US"/>
        </w:rPr>
        <w:t xml:space="preserve"> braku innych istotnych czynników, sytuacji osoby fizycznej ubiegającej się o wjazd i oczekującej przez krótki okres na weryfikację prawa do wjazdu nie można określać jako przypisane</w:t>
      </w:r>
      <w:r w:rsidR="00CF63E0">
        <w:rPr>
          <w:lang w:val="pl-PL" w:eastAsia="en-US"/>
        </w:rPr>
        <w:t>go państwu pozbawienia</w:t>
      </w:r>
      <w:r w:rsidRPr="00C408DC">
        <w:rPr>
          <w:lang w:val="pl-PL" w:eastAsia="en-US"/>
        </w:rPr>
        <w:t xml:space="preserve"> wolności, w takich bowiem przypadkach organy państwowe nie podjęły wobec tej osoby żadnych czynności poza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 xml:space="preserve">zareagowaniem na jej życzenie wjazdu poprzez przeprowadzenie koniecznej weryfikacji (zob. </w:t>
      </w:r>
      <w:r w:rsidRPr="00C408DC">
        <w:rPr>
          <w:i/>
          <w:iCs/>
          <w:lang w:val="pl-PL" w:eastAsia="en-US"/>
        </w:rPr>
        <w:t>mutatis mutandis, Gahramanov,</w:t>
      </w:r>
      <w:r w:rsidRPr="00C408DC">
        <w:rPr>
          <w:lang w:val="pl-PL" w:eastAsia="en-US"/>
        </w:rPr>
        <w:t xml:space="preserve"> </w:t>
      </w:r>
      <w:r w:rsidR="00F01F0C">
        <w:rPr>
          <w:lang w:val="pl-PL" w:eastAsia="en-US"/>
        </w:rPr>
        <w:t>cyt. powyżej</w:t>
      </w:r>
      <w:r w:rsidRPr="00C408DC">
        <w:rPr>
          <w:lang w:val="pl-PL" w:eastAsia="en-US"/>
        </w:rPr>
        <w:t xml:space="preserve">, §§ 35-47; zob. także </w:t>
      </w:r>
      <w:r w:rsidRPr="00C408DC">
        <w:rPr>
          <w:i/>
          <w:iCs/>
          <w:lang w:val="pl-PL" w:eastAsia="en-US"/>
        </w:rPr>
        <w:t>Mahid i Haddar</w:t>
      </w:r>
      <w:r w:rsidRPr="00C408DC">
        <w:rPr>
          <w:lang w:val="pl-PL" w:eastAsia="en-US"/>
        </w:rPr>
        <w:t xml:space="preserve">, </w:t>
      </w:r>
      <w:r w:rsidR="00F01F0C">
        <w:rPr>
          <w:lang w:val="pl-PL" w:eastAsia="en-US"/>
        </w:rPr>
        <w:t>cyt. powyżej</w:t>
      </w:r>
      <w:r w:rsidRPr="00C408DC">
        <w:rPr>
          <w:lang w:val="pl-PL" w:eastAsia="en-US"/>
        </w:rPr>
        <w:t>, dot</w:t>
      </w:r>
      <w:r w:rsidR="005F4111">
        <w:rPr>
          <w:lang w:val="pl-PL" w:eastAsia="en-US"/>
        </w:rPr>
        <w:t>.</w:t>
      </w:r>
      <w:r w:rsidRPr="00C408DC">
        <w:rPr>
          <w:lang w:val="pl-PL" w:eastAsia="en-US"/>
        </w:rPr>
        <w:t xml:space="preserve"> sytuacji, w której </w:t>
      </w:r>
      <w:r w:rsidRPr="00C408DC">
        <w:rPr>
          <w:lang w:val="pl-PL" w:eastAsia="en-US"/>
        </w:rPr>
        <w:lastRenderedPageBreak/>
        <w:t>wnioski skarżących o udzielenie azylu zostały oddalone</w:t>
      </w:r>
      <w:r w:rsidR="005C05E6">
        <w:rPr>
          <w:lang w:val="pl-PL" w:eastAsia="en-US"/>
        </w:rPr>
        <w:t xml:space="preserve"> </w:t>
      </w:r>
      <w:r w:rsidRPr="00C408DC">
        <w:rPr>
          <w:lang w:val="pl-PL" w:eastAsia="en-US"/>
        </w:rPr>
        <w:t>w strefie tranzytowej lotniska w przeciągu trzech dni, w związku z czym Trybunał stwierdził, ze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nie miało miejsce pozbawienie wolności (biorąc pod uwagę dodatkowe czynniki, takie jak</w:t>
      </w:r>
      <w:r w:rsidR="005F4111">
        <w:rPr>
          <w:lang w:val="pl-PL" w:eastAsia="en-US"/>
        </w:rPr>
        <w:t xml:space="preserve"> fakt</w:t>
      </w:r>
      <w:r w:rsidRPr="00C408DC">
        <w:rPr>
          <w:lang w:val="pl-PL" w:eastAsia="en-US"/>
        </w:rPr>
        <w:t>, że skarżący nie znajdowali się pod ciągłą kontrolą policyjną)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145.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Ma ponadto znaczenie</w:t>
      </w:r>
      <w:r w:rsidR="005F4111">
        <w:rPr>
          <w:lang w:val="pl-PL" w:eastAsia="en-US"/>
        </w:rPr>
        <w:t>, czy</w:t>
      </w:r>
      <w:r w:rsidRPr="00C408DC">
        <w:rPr>
          <w:lang w:val="pl-PL" w:eastAsia="en-US"/>
        </w:rPr>
        <w:t xml:space="preserve"> zgodnie z celem mając</w:t>
      </w:r>
      <w:r w:rsidR="005F4111">
        <w:rPr>
          <w:lang w:val="pl-PL" w:eastAsia="en-US"/>
        </w:rPr>
        <w:t xml:space="preserve">ych </w:t>
      </w:r>
      <w:r w:rsidRPr="00C408DC">
        <w:rPr>
          <w:lang w:val="pl-PL" w:eastAsia="en-US"/>
        </w:rPr>
        <w:t xml:space="preserve">zastosowanie </w:t>
      </w:r>
      <w:r w:rsidR="005F4111">
        <w:rPr>
          <w:lang w:val="pl-PL" w:eastAsia="en-US"/>
        </w:rPr>
        <w:t xml:space="preserve">regulacji </w:t>
      </w:r>
      <w:r w:rsidRPr="00C408DC">
        <w:rPr>
          <w:lang w:val="pl-PL" w:eastAsia="en-US"/>
        </w:rPr>
        <w:t>prawn</w:t>
      </w:r>
      <w:r w:rsidR="005F4111">
        <w:rPr>
          <w:lang w:val="pl-PL" w:eastAsia="en-US"/>
        </w:rPr>
        <w:t>ych</w:t>
      </w:r>
      <w:r w:rsidRPr="00C408DC">
        <w:rPr>
          <w:lang w:val="pl-PL" w:eastAsia="en-US"/>
        </w:rPr>
        <w:t xml:space="preserve"> istniały gwarancje procesowe dotyczące załatwiania wniosków </w:t>
      </w:r>
      <w:r w:rsidR="005F4111">
        <w:rPr>
          <w:lang w:val="pl-PL" w:eastAsia="en-US"/>
        </w:rPr>
        <w:t xml:space="preserve">skarżących </w:t>
      </w:r>
      <w:r w:rsidRPr="00C408DC">
        <w:rPr>
          <w:lang w:val="pl-PL" w:eastAsia="en-US"/>
        </w:rPr>
        <w:t xml:space="preserve">o udzielenie azylu </w:t>
      </w:r>
      <w:r w:rsidR="005F4111">
        <w:rPr>
          <w:lang w:val="pl-PL" w:eastAsia="en-US"/>
        </w:rPr>
        <w:t>oraz</w:t>
      </w:r>
      <w:r w:rsidRPr="00C408DC">
        <w:rPr>
          <w:lang w:val="pl-PL" w:eastAsia="en-US"/>
        </w:rPr>
        <w:t xml:space="preserve"> przepisy krajowe ustalające maksymalny okres przebywania przez nich w strefie tranzytowej oraz czy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zostały one zastosowane w niniejszej sprawie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146.</w:t>
      </w:r>
      <w:r w:rsidR="005C05E6">
        <w:rPr>
          <w:lang w:val="pl-PL"/>
        </w:rPr>
        <w:t xml:space="preserve"> </w:t>
      </w:r>
      <w:r w:rsidR="005F4111">
        <w:rPr>
          <w:lang w:val="pl-PL"/>
        </w:rPr>
        <w:t xml:space="preserve">W odniesieniu do </w:t>
      </w:r>
      <w:r w:rsidRPr="00C408DC">
        <w:rPr>
          <w:lang w:val="pl-PL" w:eastAsia="en-US"/>
        </w:rPr>
        <w:t xml:space="preserve">stanu faktycznego Trybunał zauważa, że pozwany </w:t>
      </w:r>
      <w:r w:rsidR="00F75CB4" w:rsidRPr="00C408DC">
        <w:rPr>
          <w:lang w:val="pl-PL" w:eastAsia="en-US"/>
        </w:rPr>
        <w:t xml:space="preserve">Rząd </w:t>
      </w:r>
      <w:r w:rsidRPr="00C408DC">
        <w:rPr>
          <w:lang w:val="pl-PL" w:eastAsia="en-US"/>
        </w:rPr>
        <w:t xml:space="preserve">nie potrafił wskazać żadnych przepisów krajowych określających maksymalny okres przebywania w strefie tranzytowej, a ponadto, </w:t>
      </w:r>
      <w:r w:rsidR="00664E2C">
        <w:rPr>
          <w:lang w:val="pl-PL" w:eastAsia="en-US"/>
        </w:rPr>
        <w:t>wbrew rosyjskim</w:t>
      </w:r>
      <w:r w:rsidRPr="00C408DC">
        <w:rPr>
          <w:lang w:val="pl-PL" w:eastAsia="en-US"/>
        </w:rPr>
        <w:t xml:space="preserve"> pr</w:t>
      </w:r>
      <w:r w:rsidR="00664E2C">
        <w:rPr>
          <w:lang w:val="pl-PL" w:eastAsia="en-US"/>
        </w:rPr>
        <w:t>zepisom krajowym, przyznającym</w:t>
      </w:r>
      <w:r w:rsidRPr="00C408DC">
        <w:rPr>
          <w:lang w:val="pl-PL" w:eastAsia="en-US"/>
        </w:rPr>
        <w:t xml:space="preserve"> każdej osobie ubiegającej się o azyl prawo do </w:t>
      </w:r>
      <w:r w:rsidR="00664E2C">
        <w:rPr>
          <w:lang w:val="pl-PL" w:eastAsia="en-US"/>
        </w:rPr>
        <w:t xml:space="preserve">uzyskania </w:t>
      </w:r>
      <w:r w:rsidRPr="00C408DC">
        <w:rPr>
          <w:lang w:val="pl-PL"/>
        </w:rPr>
        <w:t>zaświadczenia o rozpatrywaniu wniosku o</w:t>
      </w:r>
      <w:r w:rsidR="00E3698C">
        <w:rPr>
          <w:lang w:val="pl-PL"/>
        </w:rPr>
        <w:t> </w:t>
      </w:r>
      <w:r w:rsidRPr="00C408DC">
        <w:rPr>
          <w:lang w:val="pl-PL"/>
        </w:rPr>
        <w:t xml:space="preserve">udzielenie azylu oraz do umieszczenia w tymczasowych obiektach zakwaterowania </w:t>
      </w:r>
      <w:r w:rsidR="00981F42">
        <w:rPr>
          <w:lang w:val="pl-PL"/>
        </w:rPr>
        <w:t>na czas</w:t>
      </w:r>
      <w:r w:rsidR="00664E2C">
        <w:rPr>
          <w:lang w:val="pl-PL"/>
        </w:rPr>
        <w:t xml:space="preserve"> oczekiwania </w:t>
      </w:r>
      <w:r w:rsidRPr="00C408DC">
        <w:rPr>
          <w:lang w:val="pl-PL"/>
        </w:rPr>
        <w:t>na rozpatrzenie wniosku o udzielenie azylu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99, 100 powyżej; por. </w:t>
      </w:r>
      <w:r w:rsidRPr="00C408DC">
        <w:rPr>
          <w:i/>
          <w:iCs/>
          <w:lang w:val="pl-PL"/>
        </w:rPr>
        <w:t>Riad i Idiab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</w:t>
      </w:r>
      <w:r w:rsidR="00E3698C">
        <w:rPr>
          <w:lang w:val="pl-PL"/>
        </w:rPr>
        <w:t> </w:t>
      </w:r>
      <w:r w:rsidRPr="00C408DC">
        <w:rPr>
          <w:lang w:val="pl-PL"/>
        </w:rPr>
        <w:t>101), skarżący zostali w zasadniczo pozostawieni sami sobie w strefie tranzytowej. Organy rosyjskie nie potwierdziły, iż w jakikolwiek sposób są odpowiedzialne za skarżących, pozostawiając ich w próżni prawnej bez</w:t>
      </w:r>
      <w:r w:rsidR="00E3698C">
        <w:rPr>
          <w:lang w:val="pl-PL"/>
        </w:rPr>
        <w:t> </w:t>
      </w:r>
      <w:r w:rsidRPr="00C408DC">
        <w:rPr>
          <w:lang w:val="pl-PL"/>
        </w:rPr>
        <w:t>możliwości zaskarżenia środków ograniczających ich wolność (</w:t>
      </w:r>
      <w:r w:rsidR="005B2137" w:rsidRPr="00C408DC">
        <w:rPr>
          <w:lang w:val="pl-PL"/>
        </w:rPr>
        <w:t>zob.</w:t>
      </w:r>
      <w:r w:rsidR="00E3698C">
        <w:rPr>
          <w:lang w:val="pl-PL"/>
        </w:rPr>
        <w:t> </w:t>
      </w:r>
      <w:r w:rsidR="005B2137" w:rsidRPr="00C408DC">
        <w:rPr>
          <w:lang w:val="pl-PL"/>
        </w:rPr>
        <w:t>paragraf</w:t>
      </w:r>
      <w:r w:rsidRPr="00C408DC">
        <w:rPr>
          <w:lang w:val="pl-PL"/>
        </w:rPr>
        <w:t xml:space="preserve"> 44 powyżej). W trakcie pr</w:t>
      </w:r>
      <w:r w:rsidR="00664E2C">
        <w:rPr>
          <w:lang w:val="pl-PL"/>
        </w:rPr>
        <w:t>zebywania w strefie tranzytowej</w:t>
      </w:r>
      <w:r w:rsidRPr="00C408DC">
        <w:rPr>
          <w:lang w:val="pl-PL"/>
        </w:rPr>
        <w:t xml:space="preserve"> wszyscy czterej skarżący uzyskiwali niewiele informacji </w:t>
      </w:r>
      <w:r w:rsidR="00664E2C">
        <w:rPr>
          <w:lang w:val="pl-PL"/>
        </w:rPr>
        <w:t xml:space="preserve">na temat rozstrzygnięcia </w:t>
      </w:r>
      <w:r w:rsidRPr="00C408DC">
        <w:rPr>
          <w:lang w:val="pl-PL"/>
        </w:rPr>
        <w:t>ich odpowiednich wniosków o przyznanie statusu uchodźcy i udzielenie tymczasowego azylu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41</w:t>
      </w:r>
      <w:r w:rsidR="00833758">
        <w:rPr>
          <w:lang w:val="pl-PL"/>
        </w:rPr>
        <w:t>-</w:t>
      </w:r>
      <w:r w:rsidRPr="00C408DC">
        <w:rPr>
          <w:lang w:val="pl-PL"/>
        </w:rPr>
        <w:t>44 powyżej).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147.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W orzecznictwie Trybunału dotyczącym przetrzymywania cudzoziemców w kontekście imigracji, czas</w:t>
      </w:r>
      <w:r w:rsidR="00664E2C">
        <w:rPr>
          <w:lang w:val="pl-PL"/>
        </w:rPr>
        <w:t xml:space="preserve"> trwania</w:t>
      </w:r>
      <w:r w:rsidRPr="00C408DC">
        <w:rPr>
          <w:lang w:val="pl-PL"/>
        </w:rPr>
        <w:t xml:space="preserve"> ograniczenia poruszania się oraz związek pomiędzy działaniami organów a ograniczoną wolnością mogą stanowić elementy mające wpływ na zakwalifikowanie sytuacji</w:t>
      </w:r>
      <w:r w:rsidR="008C1266">
        <w:rPr>
          <w:lang w:val="pl-PL"/>
        </w:rPr>
        <w:t xml:space="preserve"> jako stanowiącej w istocie pozbawienie</w:t>
      </w:r>
      <w:r w:rsidRPr="00C408DC">
        <w:rPr>
          <w:lang w:val="pl-PL"/>
        </w:rPr>
        <w:t xml:space="preserve"> wolności </w:t>
      </w:r>
      <w:r w:rsidR="008C1266">
        <w:rPr>
          <w:lang w:val="pl-PL"/>
        </w:rPr>
        <w:t xml:space="preserve">lub nie </w:t>
      </w:r>
      <w:r w:rsidRPr="00C408DC">
        <w:rPr>
          <w:lang w:val="pl-PL"/>
        </w:rPr>
        <w:t>(zob.</w:t>
      </w:r>
      <w:r w:rsidR="005C05E6">
        <w:rPr>
          <w:lang w:val="pl-PL"/>
        </w:rPr>
        <w:t xml:space="preserve"> </w:t>
      </w:r>
      <w:r w:rsidRPr="00C408DC">
        <w:rPr>
          <w:i/>
          <w:iCs/>
          <w:lang w:val="pl-PL" w:eastAsia="en-US"/>
        </w:rPr>
        <w:t xml:space="preserve">mutatis mutandis, Amuur, </w:t>
      </w:r>
      <w:r w:rsidR="00F01F0C">
        <w:rPr>
          <w:lang w:val="pl-PL" w:eastAsia="en-US"/>
        </w:rPr>
        <w:t>cyt. powyżej</w:t>
      </w:r>
      <w:r w:rsidRPr="00C408DC">
        <w:rPr>
          <w:lang w:val="pl-PL" w:eastAsia="en-US"/>
        </w:rPr>
        <w:t xml:space="preserve">, </w:t>
      </w:r>
      <w:r w:rsidRPr="00C408DC">
        <w:rPr>
          <w:lang w:val="pl-PL"/>
        </w:rPr>
        <w:t xml:space="preserve">§ 43 </w:t>
      </w:r>
      <w:r w:rsidRPr="00C408DC">
        <w:rPr>
          <w:i/>
          <w:iCs/>
          <w:lang w:val="pl-PL" w:eastAsia="en-US"/>
        </w:rPr>
        <w:t>Gahramanov,</w:t>
      </w:r>
      <w:r w:rsidRPr="00C408DC">
        <w:rPr>
          <w:lang w:val="pl-PL" w:eastAsia="en-US"/>
        </w:rPr>
        <w:t xml:space="preserve"> </w:t>
      </w:r>
      <w:r w:rsidR="00F01F0C">
        <w:rPr>
          <w:lang w:val="pl-PL" w:eastAsia="en-US"/>
        </w:rPr>
        <w:t>cyt. powyżej</w:t>
      </w:r>
      <w:r w:rsidRPr="00C408DC">
        <w:rPr>
          <w:lang w:val="pl-PL" w:eastAsia="en-US"/>
        </w:rPr>
        <w:t>,</w:t>
      </w:r>
      <w:r w:rsidR="005C05E6">
        <w:rPr>
          <w:lang w:val="pl-PL" w:eastAsia="en-US"/>
        </w:rPr>
        <w:t xml:space="preserve"> </w:t>
      </w:r>
      <w:r w:rsidRPr="00C408DC">
        <w:rPr>
          <w:lang w:val="pl-PL"/>
        </w:rPr>
        <w:t>§§ 35-47;</w:t>
      </w:r>
      <w:r w:rsidR="005C05E6">
        <w:rPr>
          <w:lang w:val="pl-PL"/>
        </w:rPr>
        <w:t xml:space="preserve"> </w:t>
      </w:r>
      <w:r w:rsidRPr="00C408DC">
        <w:rPr>
          <w:i/>
          <w:iCs/>
          <w:lang w:val="pl-PL"/>
        </w:rPr>
        <w:t>Mahdid i</w:t>
      </w:r>
      <w:r w:rsidR="00E3698C">
        <w:rPr>
          <w:i/>
          <w:iCs/>
          <w:lang w:val="pl-PL"/>
        </w:rPr>
        <w:t> </w:t>
      </w:r>
      <w:r w:rsidRPr="00C408DC">
        <w:rPr>
          <w:i/>
          <w:iCs/>
          <w:lang w:val="pl-PL"/>
        </w:rPr>
        <w:t xml:space="preserve">Haddar, </w:t>
      </w:r>
      <w:r w:rsidR="00F01F0C">
        <w:rPr>
          <w:lang w:val="pl-PL" w:eastAsia="en-US"/>
        </w:rPr>
        <w:t>cyt. powyżej</w:t>
      </w:r>
      <w:r w:rsidRPr="00C408DC">
        <w:rPr>
          <w:lang w:val="pl-PL" w:eastAsia="en-US"/>
        </w:rPr>
        <w:t>). O ile jednak pobyt skarżącego w strefie tranzytowej nie przekracza w sposób istotny czasu potrzebnego na rozpatrzenie wniosku o udzielenie azylu oraz nie występują wyjątkowe okoliczności, sam czas</w:t>
      </w:r>
      <w:r w:rsidR="008C1266">
        <w:rPr>
          <w:lang w:val="pl-PL" w:eastAsia="en-US"/>
        </w:rPr>
        <w:t xml:space="preserve"> trwania</w:t>
      </w:r>
      <w:r w:rsidRPr="00C408DC">
        <w:rPr>
          <w:lang w:val="pl-PL" w:eastAsia="en-US"/>
        </w:rPr>
        <w:t xml:space="preserve"> nie powinien mieć decydującego wpływu na analizę Trybunału odnośnie do zastosowania art. 5. Tak jest w szczególności w sytuacji, gdy</w:t>
      </w:r>
      <w:r w:rsidR="00E3698C">
        <w:rPr>
          <w:lang w:val="pl-PL" w:eastAsia="en-US"/>
        </w:rPr>
        <w:t> </w:t>
      </w:r>
      <w:r w:rsidR="008C1266">
        <w:rPr>
          <w:lang w:val="pl-PL" w:eastAsia="en-US"/>
        </w:rPr>
        <w:t>w</w:t>
      </w:r>
      <w:r w:rsidR="00E3698C">
        <w:rPr>
          <w:lang w:val="pl-PL" w:eastAsia="en-US"/>
        </w:rPr>
        <w:t> </w:t>
      </w:r>
      <w:r w:rsidR="008C1266">
        <w:rPr>
          <w:lang w:val="pl-PL" w:eastAsia="en-US"/>
        </w:rPr>
        <w:t>czasie oczekiwania</w:t>
      </w:r>
      <w:r w:rsidRPr="00C408DC">
        <w:rPr>
          <w:lang w:val="pl-PL" w:eastAsia="en-US"/>
        </w:rPr>
        <w:t xml:space="preserve"> na załatwienie wniosków o udzielenie azylu </w:t>
      </w:r>
      <w:r w:rsidR="008C1266">
        <w:rPr>
          <w:lang w:val="pl-PL" w:eastAsia="en-US"/>
        </w:rPr>
        <w:t xml:space="preserve">osoby </w:t>
      </w:r>
      <w:r w:rsidRPr="00C408DC">
        <w:rPr>
          <w:lang w:val="pl-PL" w:eastAsia="en-US"/>
        </w:rPr>
        <w:t>korzystały z praw i gwarancji procesowych zabezpieczających przed nadmiernymi okresami oczekiwania. W tym względzie istotne znaczenie ma istnienie przepisów krajowych ograniczających czas pobytu w strefie tranzytowej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16" w:name="p148"/>
      <w:r w:rsidRPr="00C408DC">
        <w:rPr>
          <w:lang w:val="pl-PL"/>
        </w:rPr>
        <w:t>148</w:t>
      </w:r>
      <w:bookmarkEnd w:id="16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W niniejszej sprawie, załatwianie, a następnie zbadanie przez sąd poszczególnych spraw skarżących nie był</w:t>
      </w:r>
      <w:r w:rsidR="008C1266">
        <w:rPr>
          <w:lang w:val="pl-PL" w:eastAsia="en-US"/>
        </w:rPr>
        <w:t>o bynajmniej szybkie, zważywszy</w:t>
      </w:r>
      <w:r w:rsidRPr="00C408DC">
        <w:rPr>
          <w:lang w:val="pl-PL" w:eastAsia="en-US"/>
        </w:rPr>
        <w:t xml:space="preserve"> </w:t>
      </w:r>
      <w:r w:rsidRPr="00C408DC">
        <w:rPr>
          <w:lang w:val="pl-PL" w:eastAsia="en-US"/>
        </w:rPr>
        <w:lastRenderedPageBreak/>
        <w:t>iż pan Z.A. spędził siedem miesięcy i dziewiętnaście dni oczekując na wynik postępowania w przedmiocie udzielenia mu azylu (</w:t>
      </w:r>
      <w:r w:rsidR="005B2137" w:rsidRPr="00C408DC">
        <w:rPr>
          <w:lang w:val="pl-PL" w:eastAsia="en-US"/>
        </w:rPr>
        <w:t>zob. paragrafy</w:t>
      </w:r>
      <w:r w:rsidRPr="00C408DC">
        <w:rPr>
          <w:lang w:val="pl-PL" w:eastAsia="en-US"/>
        </w:rPr>
        <w:t xml:space="preserve"> 46-55 powyżej), pan M.B. </w:t>
      </w:r>
      <w:r w:rsidR="00F84B94">
        <w:rPr>
          <w:lang w:val="pl-PL" w:eastAsia="en-US"/>
        </w:rPr>
        <w:t xml:space="preserve">– </w:t>
      </w:r>
      <w:r w:rsidRPr="00C408DC">
        <w:rPr>
          <w:lang w:val="pl-PL" w:eastAsia="en-US"/>
        </w:rPr>
        <w:t>pięć miesięcy i jeden dzień (</w:t>
      </w:r>
      <w:r w:rsidR="005B2137" w:rsidRPr="00C408DC">
        <w:rPr>
          <w:lang w:val="pl-PL" w:eastAsia="en-US"/>
        </w:rPr>
        <w:t>zob. paragrafy</w:t>
      </w:r>
      <w:r w:rsidRPr="00C408DC">
        <w:rPr>
          <w:lang w:val="pl-PL" w:eastAsia="en-US"/>
        </w:rPr>
        <w:t xml:space="preserve"> 57-64 powyżej), pan A.M. </w:t>
      </w:r>
      <w:r w:rsidR="00F84B94">
        <w:rPr>
          <w:lang w:val="pl-PL" w:eastAsia="en-US"/>
        </w:rPr>
        <w:t xml:space="preserve">– </w:t>
      </w:r>
      <w:r w:rsidRPr="00C408DC">
        <w:rPr>
          <w:lang w:val="pl-PL" w:eastAsia="en-US"/>
        </w:rPr>
        <w:t>rok, dziewięć miesięcy i co najmniej dwadzieścia osiem dni (</w:t>
      </w:r>
      <w:r w:rsidR="005B2137" w:rsidRPr="00C408DC">
        <w:rPr>
          <w:lang w:val="pl-PL" w:eastAsia="en-US"/>
        </w:rPr>
        <w:t>zob. paragrafy</w:t>
      </w:r>
      <w:r w:rsidRPr="00C408DC">
        <w:rPr>
          <w:lang w:val="pl-PL" w:eastAsia="en-US"/>
        </w:rPr>
        <w:t xml:space="preserve"> 66</w:t>
      </w:r>
      <w:r w:rsidR="00F84B94">
        <w:rPr>
          <w:lang w:val="pl-PL" w:eastAsia="en-US"/>
        </w:rPr>
        <w:t>-</w:t>
      </w:r>
      <w:r w:rsidRPr="00C408DC">
        <w:rPr>
          <w:lang w:val="pl-PL" w:eastAsia="en-US"/>
        </w:rPr>
        <w:t>82 powyżej)</w:t>
      </w:r>
      <w:r w:rsidR="00F84B94">
        <w:rPr>
          <w:lang w:val="pl-PL" w:eastAsia="en-US"/>
        </w:rPr>
        <w:t>,</w:t>
      </w:r>
      <w:r w:rsidRPr="00C408DC">
        <w:rPr>
          <w:lang w:val="pl-PL" w:eastAsia="en-US"/>
        </w:rPr>
        <w:t xml:space="preserve"> </w:t>
      </w:r>
      <w:r w:rsidR="00F84B94">
        <w:rPr>
          <w:lang w:val="pl-PL" w:eastAsia="en-US"/>
        </w:rPr>
        <w:t xml:space="preserve">a </w:t>
      </w:r>
      <w:r w:rsidRPr="00C408DC">
        <w:rPr>
          <w:lang w:val="pl-PL" w:eastAsia="en-US"/>
        </w:rPr>
        <w:t xml:space="preserve">pan Yasien </w:t>
      </w:r>
      <w:r w:rsidR="00F84B94">
        <w:rPr>
          <w:lang w:val="pl-PL" w:eastAsia="en-US"/>
        </w:rPr>
        <w:t xml:space="preserve">– </w:t>
      </w:r>
      <w:r w:rsidRPr="00C408DC">
        <w:rPr>
          <w:lang w:val="pl-PL" w:eastAsia="en-US"/>
        </w:rPr>
        <w:t>siedem miesięcy i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dwadzieścia dwa dni (</w:t>
      </w:r>
      <w:r w:rsidR="005B2137" w:rsidRPr="00C408DC">
        <w:rPr>
          <w:lang w:val="pl-PL" w:eastAsia="en-US"/>
        </w:rPr>
        <w:t>zob. paragrafy</w:t>
      </w:r>
      <w:r w:rsidRPr="00C408DC">
        <w:rPr>
          <w:lang w:val="pl-PL" w:eastAsia="en-US"/>
        </w:rPr>
        <w:t xml:space="preserve"> 83 – 95 powyżej). Trybunał tym samym uważa, że poważny wpływ na sytuację skarżących miały opóźnienia i bezczynność organów rosyjskich, </w:t>
      </w:r>
      <w:r w:rsidR="00F84B94">
        <w:rPr>
          <w:lang w:val="pl-PL" w:eastAsia="en-US"/>
        </w:rPr>
        <w:t xml:space="preserve">które </w:t>
      </w:r>
      <w:r w:rsidRPr="00C408DC">
        <w:rPr>
          <w:lang w:val="pl-PL" w:eastAsia="en-US"/>
        </w:rPr>
        <w:t>w sposób oczywist</w:t>
      </w:r>
      <w:r w:rsidR="00F84B94">
        <w:rPr>
          <w:lang w:val="pl-PL" w:eastAsia="en-US"/>
        </w:rPr>
        <w:t xml:space="preserve">y należy przypisać tym organom i co do których </w:t>
      </w:r>
      <w:r w:rsidRPr="00C408DC">
        <w:rPr>
          <w:lang w:val="pl-PL" w:eastAsia="en-US"/>
        </w:rPr>
        <w:t xml:space="preserve">nie </w:t>
      </w:r>
      <w:r w:rsidR="00F84B94">
        <w:rPr>
          <w:lang w:val="pl-PL" w:eastAsia="en-US"/>
        </w:rPr>
        <w:t xml:space="preserve">przedstawiono </w:t>
      </w:r>
      <w:r w:rsidR="00571B68">
        <w:rPr>
          <w:lang w:val="pl-PL" w:eastAsia="en-US"/>
        </w:rPr>
        <w:t>uzasadnienia</w:t>
      </w:r>
      <w:r w:rsidR="00F84B94">
        <w:rPr>
          <w:lang w:val="pl-PL" w:eastAsia="en-US"/>
        </w:rPr>
        <w:t xml:space="preserve"> z</w:t>
      </w:r>
      <w:r w:rsidR="00E3698C">
        <w:rPr>
          <w:lang w:val="pl-PL" w:eastAsia="en-US"/>
        </w:rPr>
        <w:t> </w:t>
      </w:r>
      <w:r w:rsidR="00F84B94">
        <w:rPr>
          <w:lang w:val="pl-PL" w:eastAsia="en-US"/>
        </w:rPr>
        <w:t>powołaniem uprawnionych przyczyn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149.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Trybunał pragnie dodać, że nic w aktach sprawy nie wskazuje, iż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skarżący w niniejszej sprawie nie zastosowali się do obowiązujących przepisów prawa ani że nie działali oni w dobrej wierze w jakimkolwiek czasie podczas ich przetrzymywania w strefie tranzytowej bądź na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 xml:space="preserve">jakimkolwiek etapie krajowego postępowania sądowego, np. poprzez utrudnianie zbadania ich spraw o udzielenie azylu (zob. odmiennie, </w:t>
      </w:r>
      <w:r w:rsidRPr="00C408DC">
        <w:rPr>
          <w:i/>
          <w:iCs/>
          <w:lang w:val="pl-PL"/>
        </w:rPr>
        <w:t xml:space="preserve">Mahdid i Haddar, </w:t>
      </w:r>
      <w:r w:rsidR="00F01F0C">
        <w:rPr>
          <w:lang w:val="pl-PL" w:eastAsia="en-US"/>
        </w:rPr>
        <w:t>cyt. powyżej</w:t>
      </w:r>
      <w:r w:rsidRPr="00C408DC">
        <w:rPr>
          <w:lang w:val="pl-PL" w:eastAsia="en-US"/>
        </w:rPr>
        <w:t xml:space="preserve"> – skarżący pozostali w strefie międzynarodowej lotniska po odrzuceniu ich wniosku o udzielenie azylu oraz zniszczyli swoje dokumenty, podejmując próbę wymuszenia na organach austriackich przyjęcia ich)</w:t>
      </w:r>
      <w:r w:rsidRPr="00C408DC">
        <w:rPr>
          <w:lang w:val="pl-PL"/>
        </w:rPr>
        <w:t>.</w:t>
      </w:r>
    </w:p>
    <w:p w:rsidR="001377AE" w:rsidRPr="00C408DC" w:rsidRDefault="001377AE" w:rsidP="003D4A07">
      <w:pPr>
        <w:pStyle w:val="JuHalpha"/>
        <w:numPr>
          <w:ilvl w:val="0"/>
          <w:numId w:val="0"/>
        </w:numPr>
        <w:ind w:left="1038"/>
        <w:rPr>
          <w:lang w:val="pl-PL"/>
        </w:rPr>
      </w:pPr>
      <w:r w:rsidRPr="003B6630">
        <w:rPr>
          <w:lang w:val="pl-PL"/>
        </w:rPr>
        <w:t>γ)</w:t>
      </w:r>
      <w:r w:rsidRPr="00C408DC">
        <w:rPr>
          <w:rFonts w:ascii="Symbol" w:hAnsi="Symbol" w:cs="Symbol"/>
          <w:lang w:val="pl-PL"/>
        </w:rPr>
        <w:tab/>
      </w:r>
      <w:r w:rsidRPr="00C408DC">
        <w:rPr>
          <w:lang w:val="pl-PL"/>
        </w:rPr>
        <w:t xml:space="preserve">Charakter i stopień </w:t>
      </w:r>
      <w:r w:rsidR="00F84B94">
        <w:rPr>
          <w:lang w:val="pl-PL"/>
        </w:rPr>
        <w:t>faktycznych</w:t>
      </w:r>
      <w:r w:rsidRPr="00C408DC">
        <w:rPr>
          <w:lang w:val="pl-PL"/>
        </w:rPr>
        <w:t xml:space="preserve"> ograniczeń nałożonych na skarżących lub</w:t>
      </w:r>
      <w:r w:rsidR="00E3698C">
        <w:rPr>
          <w:lang w:val="pl-PL"/>
        </w:rPr>
        <w:t> </w:t>
      </w:r>
      <w:r w:rsidRPr="00C408DC">
        <w:rPr>
          <w:lang w:val="pl-PL"/>
        </w:rPr>
        <w:t>doświadczonych przez nich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17" w:name="assess_Roszkte_for_A5"/>
      <w:r w:rsidRPr="00C408DC">
        <w:rPr>
          <w:lang w:val="pl-PL"/>
        </w:rPr>
        <w:t>150.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 xml:space="preserve">Osobom przebywającym w strefie tranzytowej </w:t>
      </w:r>
      <w:r w:rsidR="00B12653">
        <w:rPr>
          <w:lang w:val="pl-PL" w:eastAsia="en-US"/>
        </w:rPr>
        <w:t>l</w:t>
      </w:r>
      <w:r w:rsidRPr="00C408DC">
        <w:rPr>
          <w:lang w:val="pl-PL" w:eastAsia="en-US"/>
        </w:rPr>
        <w:t xml:space="preserve">otniska Szeremietiewo nie zezwolono na udanie się w kierunku pozostałego terytorium Rosji, czyli państwa, w którym strefa ta jest położona (porównaj na tle </w:t>
      </w:r>
      <w:r w:rsidRPr="00C408DC">
        <w:rPr>
          <w:i/>
          <w:iCs/>
          <w:lang w:val="pl-PL"/>
        </w:rPr>
        <w:t>Mogoş</w:t>
      </w:r>
      <w:r w:rsidRPr="00C408DC">
        <w:rPr>
          <w:lang w:val="pl-PL"/>
        </w:rPr>
        <w:t xml:space="preserve">, </w:t>
      </w:r>
      <w:r w:rsidR="00F01F0C">
        <w:rPr>
          <w:lang w:val="pl-PL" w:eastAsia="en-US"/>
        </w:rPr>
        <w:t>cyt. powyżej</w:t>
      </w:r>
      <w:r w:rsidRPr="00C408DC">
        <w:rPr>
          <w:lang w:val="pl-PL" w:eastAsia="en-US"/>
        </w:rPr>
        <w:t xml:space="preserve">). Nie stanowi to zaskoczenia, mając na uwadze samo przeznaczenie strefy tranzytowej jako </w:t>
      </w:r>
      <w:r w:rsidR="00B12653">
        <w:rPr>
          <w:lang w:val="pl-PL" w:eastAsia="en-US"/>
        </w:rPr>
        <w:t xml:space="preserve">miejsca oczekiwania w czasie </w:t>
      </w:r>
      <w:r w:rsidRPr="00C408DC">
        <w:rPr>
          <w:lang w:val="pl-PL" w:eastAsia="en-US"/>
        </w:rPr>
        <w:t xml:space="preserve">podejmowania przez organy </w:t>
      </w:r>
      <w:r w:rsidR="00B12653" w:rsidRPr="00C408DC">
        <w:rPr>
          <w:lang w:val="pl-PL" w:eastAsia="en-US"/>
        </w:rPr>
        <w:t xml:space="preserve">decyzji </w:t>
      </w:r>
      <w:r w:rsidRPr="00C408DC">
        <w:rPr>
          <w:lang w:val="pl-PL" w:eastAsia="en-US"/>
        </w:rPr>
        <w:t>w przedmiocie, czy formalnie zezwolić osobom ubiegającym się o azyl na wjazd do Rosji</w:t>
      </w:r>
      <w:r w:rsidRPr="00C408DC">
        <w:rPr>
          <w:lang w:val="pl-PL"/>
        </w:rPr>
        <w:t>.</w:t>
      </w:r>
      <w:bookmarkEnd w:id="17"/>
    </w:p>
    <w:p w:rsidR="001377AE" w:rsidRPr="00C408DC" w:rsidRDefault="001377AE" w:rsidP="00072604">
      <w:pPr>
        <w:pStyle w:val="JuPara"/>
        <w:rPr>
          <w:lang w:val="pl-PL"/>
        </w:rPr>
      </w:pPr>
      <w:bookmarkStart w:id="18" w:name="p151"/>
      <w:r w:rsidRPr="00C408DC">
        <w:rPr>
          <w:lang w:val="pl-PL"/>
        </w:rPr>
        <w:t>151</w:t>
      </w:r>
      <w:bookmarkEnd w:id="18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Trybunał ponadto zauważa, co pozostaje bezsporn</w:t>
      </w:r>
      <w:r w:rsidR="00B12653">
        <w:rPr>
          <w:lang w:val="pl-PL" w:eastAsia="en-US"/>
        </w:rPr>
        <w:t>e pomiędzy stronami, że chociaż</w:t>
      </w:r>
      <w:r w:rsidRPr="00C408DC">
        <w:rPr>
          <w:lang w:val="pl-PL" w:eastAsia="en-US"/>
        </w:rPr>
        <w:t xml:space="preserve"> skarżący zostali w </w:t>
      </w:r>
      <w:r w:rsidR="00B12653">
        <w:rPr>
          <w:lang w:val="pl-PL" w:eastAsia="en-US"/>
        </w:rPr>
        <w:t>dużej mierze</w:t>
      </w:r>
      <w:r w:rsidRPr="00C408DC">
        <w:rPr>
          <w:lang w:val="pl-PL" w:eastAsia="en-US"/>
        </w:rPr>
        <w:t xml:space="preserve"> pozostawieni samym sobie w obrębie strefy tranzytowej, </w:t>
      </w:r>
      <w:r w:rsidR="00B12653" w:rsidRPr="00C408DC">
        <w:rPr>
          <w:lang w:val="pl-PL" w:eastAsia="en-US"/>
        </w:rPr>
        <w:t xml:space="preserve">niemniej </w:t>
      </w:r>
      <w:r w:rsidRPr="00C408DC">
        <w:rPr>
          <w:lang w:val="pl-PL" w:eastAsia="en-US"/>
        </w:rPr>
        <w:t xml:space="preserve">ograniczenia ich wolności były znaczne, biorąc pod uwagę, że cały obszar pozostawał pod kontrolą BSG, jednostki FSB. Trybunał stwierdza, iż ogólnie rzecz biorąc, wielkość </w:t>
      </w:r>
      <w:r w:rsidR="009C18EC">
        <w:rPr>
          <w:lang w:val="pl-PL" w:eastAsia="en-US"/>
        </w:rPr>
        <w:t xml:space="preserve">obszaru </w:t>
      </w:r>
      <w:r w:rsidR="007610B9">
        <w:rPr>
          <w:lang w:val="pl-PL" w:eastAsia="en-US"/>
        </w:rPr>
        <w:t>i sposób, w jaki nad nim</w:t>
      </w:r>
      <w:r w:rsidR="009C18EC">
        <w:rPr>
          <w:lang w:val="pl-PL" w:eastAsia="en-US"/>
        </w:rPr>
        <w:t xml:space="preserve"> sprawowano kontrolę, skutkowały</w:t>
      </w:r>
      <w:r w:rsidRPr="00C408DC">
        <w:rPr>
          <w:lang w:val="pl-PL" w:eastAsia="en-US"/>
        </w:rPr>
        <w:t xml:space="preserve"> </w:t>
      </w:r>
      <w:r w:rsidR="009C18EC">
        <w:rPr>
          <w:lang w:val="pl-PL" w:eastAsia="en-US"/>
        </w:rPr>
        <w:t>tym</w:t>
      </w:r>
      <w:r w:rsidRPr="00C408DC">
        <w:rPr>
          <w:lang w:val="pl-PL" w:eastAsia="en-US"/>
        </w:rPr>
        <w:t>, że swoboda poruszania się skarżących została w znacznym stopniu ograniczona, w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sposób podobny jak w przypadku pewnych rodzajów ośrodków zatrzymania o złagodzonym rygorze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152.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Pozostaje pytanie, czy skarżący mogli opuścić strefę tranzytową w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innym kierunku niż terytorium Rosji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153.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 xml:space="preserve">Trybunał przypomina swoje uzasadnienie w sprawie </w:t>
      </w:r>
      <w:r w:rsidRPr="00C408DC">
        <w:rPr>
          <w:i/>
          <w:iCs/>
          <w:lang w:val="pl-PL" w:eastAsia="en-US"/>
        </w:rPr>
        <w:t xml:space="preserve">Amuur </w:t>
      </w:r>
      <w:r w:rsidRPr="00C408DC">
        <w:rPr>
          <w:lang w:val="pl-PL" w:eastAsia="en-US"/>
        </w:rPr>
        <w:t>(</w:t>
      </w:r>
      <w:r w:rsidR="00F01F0C">
        <w:rPr>
          <w:lang w:val="pl-PL" w:eastAsia="en-US"/>
        </w:rPr>
        <w:t>cyt.</w:t>
      </w:r>
      <w:r w:rsidR="00E3698C">
        <w:rPr>
          <w:lang w:val="pl-PL" w:eastAsia="en-US"/>
        </w:rPr>
        <w:t> </w:t>
      </w:r>
      <w:r w:rsidR="00F01F0C">
        <w:rPr>
          <w:lang w:val="pl-PL" w:eastAsia="en-US"/>
        </w:rPr>
        <w:t>powyżej</w:t>
      </w:r>
      <w:r w:rsidRPr="00C408DC">
        <w:rPr>
          <w:lang w:val="pl-PL" w:eastAsia="en-US"/>
        </w:rPr>
        <w:t>),</w:t>
      </w:r>
      <w:r w:rsidRPr="00C408DC">
        <w:rPr>
          <w:i/>
          <w:iCs/>
          <w:lang w:val="pl-PL" w:eastAsia="en-US"/>
        </w:rPr>
        <w:t xml:space="preserve"> </w:t>
      </w:r>
      <w:r w:rsidRPr="00C408DC">
        <w:rPr>
          <w:lang w:val="pl-PL" w:eastAsia="en-US"/>
        </w:rPr>
        <w:t xml:space="preserve">w której stwierdził, iż „sama okoliczność, że </w:t>
      </w:r>
      <w:r w:rsidR="009C18EC" w:rsidRPr="00C408DC">
        <w:rPr>
          <w:lang w:val="pl-PL" w:eastAsia="en-US"/>
        </w:rPr>
        <w:t xml:space="preserve">dla osób ubiegających się o azyl </w:t>
      </w:r>
      <w:r w:rsidRPr="00C408DC">
        <w:rPr>
          <w:lang w:val="pl-PL" w:eastAsia="en-US"/>
        </w:rPr>
        <w:t xml:space="preserve">istnieje możliwość opuszczenia kraju, w którym </w:t>
      </w:r>
      <w:r w:rsidRPr="00C408DC">
        <w:rPr>
          <w:lang w:val="pl-PL" w:eastAsia="en-US"/>
        </w:rPr>
        <w:lastRenderedPageBreak/>
        <w:t>pragną uzyskać schronienie</w:t>
      </w:r>
      <w:r w:rsidR="009C18EC">
        <w:rPr>
          <w:lang w:val="pl-PL" w:eastAsia="en-US"/>
        </w:rPr>
        <w:t>,</w:t>
      </w:r>
      <w:r w:rsidRPr="00C408DC">
        <w:rPr>
          <w:lang w:val="pl-PL" w:eastAsia="en-US"/>
        </w:rPr>
        <w:t xml:space="preserve"> nie wy</w:t>
      </w:r>
      <w:r w:rsidR="009C18EC">
        <w:rPr>
          <w:lang w:val="pl-PL" w:eastAsia="en-US"/>
        </w:rPr>
        <w:t>klucza</w:t>
      </w:r>
      <w:r w:rsidRPr="00C408DC">
        <w:rPr>
          <w:lang w:val="pl-PL" w:eastAsia="en-US"/>
        </w:rPr>
        <w:t xml:space="preserve"> ograniczenia wolności”</w:t>
      </w:r>
      <w:r w:rsidR="009C18EC">
        <w:rPr>
          <w:lang w:val="pl-PL" w:eastAsia="en-US"/>
        </w:rPr>
        <w:t>, oraz</w:t>
      </w:r>
      <w:r w:rsidR="00E3698C">
        <w:rPr>
          <w:lang w:val="pl-PL" w:eastAsia="en-US"/>
        </w:rPr>
        <w:t> </w:t>
      </w:r>
      <w:r w:rsidR="009C18EC">
        <w:rPr>
          <w:lang w:val="pl-PL" w:eastAsia="en-US"/>
        </w:rPr>
        <w:t>zauważył</w:t>
      </w:r>
      <w:r w:rsidRPr="00C408DC">
        <w:rPr>
          <w:lang w:val="pl-PL" w:eastAsia="en-US"/>
        </w:rPr>
        <w:t>, że możliwość opuszczenia „staje się teoretyczna, jeżeli żadne inne państwo oferujące ochronę porównywalną z ochroną oczekiwaną przez nich w państwie, w którym ubiegają się o udzielenie azylu</w:t>
      </w:r>
      <w:r w:rsidR="009C18EC">
        <w:rPr>
          <w:lang w:val="pl-PL" w:eastAsia="en-US"/>
        </w:rPr>
        <w:t>,</w:t>
      </w:r>
      <w:r w:rsidRPr="00C408DC">
        <w:rPr>
          <w:lang w:val="pl-PL" w:eastAsia="en-US"/>
        </w:rPr>
        <w:t xml:space="preserve"> nie jest skłonne lub przygotowane, aby ich przyjąć” (ibid,</w:t>
      </w:r>
      <w:r w:rsidR="005C05E6">
        <w:rPr>
          <w:lang w:val="pl-PL" w:eastAsia="en-US"/>
        </w:rPr>
        <w:t xml:space="preserve"> </w:t>
      </w:r>
      <w:r w:rsidRPr="00C408DC">
        <w:rPr>
          <w:lang w:val="pl-PL" w:eastAsia="en-US"/>
        </w:rPr>
        <w:t>§48)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154.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W tym względzie Trybuna zauważa, iż w odróżnieniu od stref tranzytowych na granicach lądowych, w tym szczególnym przypadku opuszczenie strefy tranzytowej </w:t>
      </w:r>
      <w:r w:rsidR="000568E2">
        <w:rPr>
          <w:lang w:val="pl-PL"/>
        </w:rPr>
        <w:t>l</w:t>
      </w:r>
      <w:r w:rsidRPr="00C408DC">
        <w:rPr>
          <w:lang w:val="pl-PL"/>
        </w:rPr>
        <w:t>otniska Szeremietiewo wymagałoby planowania, skontaktowania się z firmami lotniczymi, nabyci</w:t>
      </w:r>
      <w:r w:rsidR="000568E2">
        <w:rPr>
          <w:lang w:val="pl-PL"/>
        </w:rPr>
        <w:t>a</w:t>
      </w:r>
      <w:r w:rsidRPr="00C408DC">
        <w:rPr>
          <w:lang w:val="pl-PL"/>
        </w:rPr>
        <w:t xml:space="preserve"> biletów i</w:t>
      </w:r>
      <w:r w:rsidR="00E3698C">
        <w:rPr>
          <w:lang w:val="pl-PL"/>
        </w:rPr>
        <w:t> </w:t>
      </w:r>
      <w:r w:rsidRPr="00C408DC">
        <w:rPr>
          <w:lang w:val="pl-PL"/>
        </w:rPr>
        <w:t>ewentualnie złożenia wniosku o wydanie wizy, w zależności od miejsca docelowego. Trybunał uważa, że Rząd nie uprawdopodobnił twierd</w:t>
      </w:r>
      <w:r w:rsidR="000568E2">
        <w:rPr>
          <w:lang w:val="pl-PL"/>
        </w:rPr>
        <w:t>zenia, iż</w:t>
      </w:r>
      <w:r w:rsidR="00E3698C">
        <w:rPr>
          <w:lang w:val="pl-PL"/>
        </w:rPr>
        <w:t> </w:t>
      </w:r>
      <w:r w:rsidR="000568E2">
        <w:rPr>
          <w:lang w:val="pl-PL"/>
        </w:rPr>
        <w:t>pomimo tych przeszkód</w:t>
      </w:r>
      <w:r w:rsidRPr="00C408DC">
        <w:rPr>
          <w:lang w:val="pl-PL"/>
        </w:rPr>
        <w:t xml:space="preserve"> „skarżący mieli swobodę opuszczenia Rosji w</w:t>
      </w:r>
      <w:r w:rsidR="00E3698C">
        <w:rPr>
          <w:lang w:val="pl-PL"/>
        </w:rPr>
        <w:t> </w:t>
      </w:r>
      <w:r w:rsidRPr="00C408DC">
        <w:rPr>
          <w:lang w:val="pl-PL"/>
        </w:rPr>
        <w:t>dowolnej chwili i w dowolnym kierunku, w jakim sobie życzyli”. Należy przekonująco wykazać istnienie praktycznej i realnej możliwości opuszczenia strefy tranzytowej lotniska przez skarżących, bez</w:t>
      </w:r>
      <w:r w:rsidR="00E3698C">
        <w:rPr>
          <w:lang w:val="pl-PL"/>
        </w:rPr>
        <w:t> </w:t>
      </w:r>
      <w:r w:rsidR="000568E2">
        <w:rPr>
          <w:lang w:val="pl-PL"/>
        </w:rPr>
        <w:t xml:space="preserve">bezpośredniego </w:t>
      </w:r>
      <w:r w:rsidRPr="00C408DC">
        <w:rPr>
          <w:lang w:val="pl-PL"/>
        </w:rPr>
        <w:t xml:space="preserve">narażenia ich życia i zdrowia </w:t>
      </w:r>
      <w:r w:rsidR="000568E2">
        <w:rPr>
          <w:lang w:val="pl-PL"/>
        </w:rPr>
        <w:t>znanego organom lub</w:t>
      </w:r>
      <w:r w:rsidR="00E3698C">
        <w:rPr>
          <w:lang w:val="pl-PL"/>
        </w:rPr>
        <w:t> </w:t>
      </w:r>
      <w:r w:rsidR="000568E2">
        <w:rPr>
          <w:lang w:val="pl-PL"/>
        </w:rPr>
        <w:t>przedstawionego</w:t>
      </w:r>
      <w:r w:rsidRPr="00C408DC">
        <w:rPr>
          <w:lang w:val="pl-PL"/>
        </w:rPr>
        <w:t xml:space="preserve"> im w </w:t>
      </w:r>
      <w:r w:rsidR="000568E2">
        <w:rPr>
          <w:lang w:val="pl-PL"/>
        </w:rPr>
        <w:t xml:space="preserve">odpowiednim </w:t>
      </w:r>
      <w:r w:rsidRPr="00C408DC">
        <w:rPr>
          <w:lang w:val="pl-PL"/>
        </w:rPr>
        <w:t>czasie.</w:t>
      </w:r>
    </w:p>
    <w:p w:rsidR="001377AE" w:rsidRPr="00C408DC" w:rsidRDefault="001377AE" w:rsidP="00072604">
      <w:pPr>
        <w:pStyle w:val="JuPara"/>
        <w:rPr>
          <w:i/>
          <w:iCs/>
          <w:lang w:val="pl-PL"/>
        </w:rPr>
      </w:pPr>
      <w:r w:rsidRPr="00C408DC">
        <w:rPr>
          <w:lang w:val="pl-PL"/>
        </w:rPr>
        <w:t>155.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W świetle tej konkluzji Trybunał nie widzi potrzeby odniesienia się do argumentów stron</w:t>
      </w:r>
      <w:r w:rsidR="00683F5B">
        <w:rPr>
          <w:lang w:val="pl-PL"/>
        </w:rPr>
        <w:t xml:space="preserve"> odnoszących się do </w:t>
      </w:r>
      <w:r w:rsidRPr="00C408DC">
        <w:rPr>
          <w:lang w:val="pl-PL"/>
        </w:rPr>
        <w:t>istoty wniosków skarżących o</w:t>
      </w:r>
      <w:r w:rsidR="00E3698C">
        <w:rPr>
          <w:lang w:val="pl-PL"/>
        </w:rPr>
        <w:t> </w:t>
      </w:r>
      <w:r w:rsidRPr="00C408DC">
        <w:rPr>
          <w:lang w:val="pl-PL"/>
        </w:rPr>
        <w:t>udzielenie azylu. Konwencja nie może być interpretowana w ten sposób, że</w:t>
      </w:r>
      <w:r w:rsidR="00E3698C">
        <w:rPr>
          <w:lang w:val="pl-PL"/>
        </w:rPr>
        <w:t> </w:t>
      </w:r>
      <w:r w:rsidRPr="00C408DC">
        <w:rPr>
          <w:lang w:val="pl-PL"/>
        </w:rPr>
        <w:t>łączy się zastosowa</w:t>
      </w:r>
      <w:r w:rsidR="006541AE">
        <w:rPr>
          <w:lang w:val="pl-PL"/>
        </w:rPr>
        <w:t>nie</w:t>
      </w:r>
      <w:r w:rsidRPr="00C408DC">
        <w:rPr>
          <w:lang w:val="pl-PL"/>
        </w:rPr>
        <w:t xml:space="preserve"> art. 5 z odrębnym zagadnieniem dotyczącym przestrzegania przez organy art. 3 (zob. </w:t>
      </w:r>
      <w:r w:rsidRPr="00C408DC">
        <w:rPr>
          <w:i/>
          <w:iCs/>
          <w:lang w:val="pl-PL"/>
        </w:rPr>
        <w:t xml:space="preserve">Ilias i Ahmed </w:t>
      </w:r>
      <w:r w:rsidR="001A733E" w:rsidRPr="00C408DC">
        <w:rPr>
          <w:lang w:val="pl-PL"/>
        </w:rPr>
        <w:t>[WI]</w:t>
      </w:r>
      <w:r w:rsidRPr="00C408DC">
        <w:rPr>
          <w:lang w:val="pl-PL"/>
        </w:rPr>
        <w:t xml:space="preserve">, </w:t>
      </w:r>
      <w:r w:rsidRPr="00C408DC">
        <w:rPr>
          <w:lang w:val="pl-PL" w:eastAsia="en-GB"/>
        </w:rPr>
        <w:t>nr</w:t>
      </w:r>
      <w:r w:rsidR="005C05E6">
        <w:rPr>
          <w:lang w:val="pl-PL" w:eastAsia="en-GB"/>
        </w:rPr>
        <w:t xml:space="preserve"> </w:t>
      </w:r>
      <w:r w:rsidRPr="00C408DC">
        <w:rPr>
          <w:lang w:val="pl-PL" w:eastAsia="en-GB"/>
        </w:rPr>
        <w:t>47287/15</w:t>
      </w:r>
      <w:r w:rsidRPr="00C408DC">
        <w:rPr>
          <w:lang w:val="pl-PL"/>
        </w:rPr>
        <w:t>, §§</w:t>
      </w:r>
      <w:r w:rsidR="00E3698C">
        <w:rPr>
          <w:lang w:val="pl-PL"/>
        </w:rPr>
        <w:t> </w:t>
      </w:r>
      <w:r w:rsidRPr="00C408DC">
        <w:rPr>
          <w:lang w:val="pl-PL"/>
        </w:rPr>
        <w:t>244-46, 21 listopada 2019 r.).</w:t>
      </w:r>
    </w:p>
    <w:p w:rsidR="001377AE" w:rsidRPr="00C408DC" w:rsidRDefault="001377AE" w:rsidP="00B52A7F">
      <w:pPr>
        <w:pStyle w:val="JuHalpha"/>
        <w:numPr>
          <w:ilvl w:val="0"/>
          <w:numId w:val="0"/>
        </w:numPr>
        <w:ind w:left="1038"/>
        <w:rPr>
          <w:lang w:val="pl-PL"/>
        </w:rPr>
      </w:pPr>
      <w:r w:rsidRPr="003B6630">
        <w:rPr>
          <w:lang w:val="pl-PL"/>
        </w:rPr>
        <w:t>δ)</w:t>
      </w:r>
      <w:bookmarkStart w:id="19" w:name=""/>
      <w:bookmarkEnd w:id="19"/>
      <w:r w:rsidRPr="00C408DC">
        <w:rPr>
          <w:rFonts w:ascii="Symbol" w:hAnsi="Symbol" w:cs="Symbol"/>
          <w:lang w:val="pl-PL"/>
        </w:rPr>
        <w:tab/>
      </w:r>
      <w:r w:rsidRPr="00C408DC">
        <w:rPr>
          <w:lang w:val="pl-PL"/>
        </w:rPr>
        <w:t xml:space="preserve">Konkluzja w przedmiocie zastosowania </w:t>
      </w:r>
      <w:r w:rsidR="003B6630">
        <w:rPr>
          <w:lang w:val="pl-PL"/>
        </w:rPr>
        <w:t>a</w:t>
      </w:r>
      <w:r w:rsidRPr="00C408DC">
        <w:rPr>
          <w:lang w:val="pl-PL"/>
        </w:rPr>
        <w:t>rt. 5</w:t>
      </w:r>
    </w:p>
    <w:p w:rsidR="001377AE" w:rsidRPr="00FD2BC0" w:rsidRDefault="001377AE" w:rsidP="00072604">
      <w:pPr>
        <w:pStyle w:val="JuPara"/>
        <w:rPr>
          <w:lang w:val="pl-PL"/>
        </w:rPr>
      </w:pPr>
      <w:bookmarkStart w:id="20" w:name="p156"/>
      <w:r w:rsidRPr="00C408DC">
        <w:rPr>
          <w:lang w:val="pl-PL"/>
        </w:rPr>
        <w:t>156</w:t>
      </w:r>
      <w:bookmarkEnd w:id="20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Tym samym, mając w szczególności na względzie brak przepisów krajowych ustalających maksymalny okres przebywania skarżących, w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 xml:space="preserve">dużym stopniu nieprawidłowy charakter przebywania skarżących w strefie tranzytowej </w:t>
      </w:r>
      <w:r w:rsidR="006541AE">
        <w:rPr>
          <w:lang w:val="pl-PL" w:eastAsia="en-US"/>
        </w:rPr>
        <w:t>l</w:t>
      </w:r>
      <w:r w:rsidRPr="00C408DC">
        <w:rPr>
          <w:lang w:val="pl-PL" w:eastAsia="en-US"/>
        </w:rPr>
        <w:t>otniska Szeremietiewo, nadmierny czas</w:t>
      </w:r>
      <w:r w:rsidR="006541AE">
        <w:rPr>
          <w:lang w:val="pl-PL" w:eastAsia="en-US"/>
        </w:rPr>
        <w:t xml:space="preserve"> trwania</w:t>
      </w:r>
      <w:r w:rsidRPr="00C408DC">
        <w:rPr>
          <w:lang w:val="pl-PL" w:eastAsia="en-US"/>
        </w:rPr>
        <w:t xml:space="preserve"> tegoż pobytu </w:t>
      </w:r>
      <w:r w:rsidR="006541AE">
        <w:rPr>
          <w:lang w:val="pl-PL" w:eastAsia="en-US"/>
        </w:rPr>
        <w:t>i</w:t>
      </w:r>
      <w:r w:rsidR="00E3698C">
        <w:rPr>
          <w:lang w:val="pl-PL" w:eastAsia="en-US"/>
        </w:rPr>
        <w:t> </w:t>
      </w:r>
      <w:r w:rsidRPr="00C408DC">
        <w:rPr>
          <w:lang w:val="pl-PL" w:eastAsia="en-US"/>
        </w:rPr>
        <w:t>znaczne opóźnienia w zbadaniu wniosków skarżących o udzielenie azylu, cechy</w:t>
      </w:r>
      <w:r w:rsidR="006541AE">
        <w:rPr>
          <w:lang w:val="pl-PL" w:eastAsia="en-US"/>
        </w:rPr>
        <w:t xml:space="preserve"> obszaru, w którym</w:t>
      </w:r>
      <w:r w:rsidRPr="00C408DC">
        <w:rPr>
          <w:lang w:val="pl-PL" w:eastAsia="en-US"/>
        </w:rPr>
        <w:t xml:space="preserve"> skarżący byli przetrzymywani</w:t>
      </w:r>
      <w:r w:rsidR="006541AE">
        <w:rPr>
          <w:lang w:val="pl-PL" w:eastAsia="en-US"/>
        </w:rPr>
        <w:t xml:space="preserve">, i kontrolę, jakiej podlegali przez ten czas, </w:t>
      </w:r>
      <w:r w:rsidRPr="00C408DC">
        <w:rPr>
          <w:lang w:val="pl-PL" w:eastAsia="en-US"/>
        </w:rPr>
        <w:t xml:space="preserve">oraz okoliczność, że skarżący nie mieli żadnej praktycznej możliwości opuszczenia tej strefy, </w:t>
      </w:r>
      <w:r w:rsidR="006541AE">
        <w:rPr>
          <w:lang w:val="pl-PL" w:eastAsia="en-US"/>
        </w:rPr>
        <w:t xml:space="preserve">Trybunał uznaje, że </w:t>
      </w:r>
      <w:r w:rsidRPr="00C408DC">
        <w:rPr>
          <w:lang w:val="pl-PL" w:eastAsia="en-US"/>
        </w:rPr>
        <w:t>skarżący zostali pozbawieni wolności w rozumieniu art. 5. Art</w:t>
      </w:r>
      <w:r w:rsidR="006541AE">
        <w:rPr>
          <w:lang w:val="pl-PL" w:eastAsia="en-US"/>
        </w:rPr>
        <w:t>.</w:t>
      </w:r>
      <w:r w:rsidRPr="00C408DC">
        <w:rPr>
          <w:lang w:val="pl-PL" w:eastAsia="en-US"/>
        </w:rPr>
        <w:t xml:space="preserve"> 5 ust. 1 ma zatem </w:t>
      </w:r>
      <w:r w:rsidRPr="00FD2BC0">
        <w:rPr>
          <w:lang w:val="pl-PL" w:eastAsia="en-US"/>
        </w:rPr>
        <w:t>zastosowanie</w:t>
      </w:r>
      <w:r w:rsidRPr="00FD2BC0">
        <w:rPr>
          <w:lang w:val="pl-PL"/>
        </w:rPr>
        <w:t>.</w:t>
      </w:r>
    </w:p>
    <w:p w:rsidR="001377AE" w:rsidRPr="00FD2BC0" w:rsidRDefault="001377AE" w:rsidP="00072604">
      <w:pPr>
        <w:pStyle w:val="JuHa0"/>
        <w:rPr>
          <w:lang w:val="pl-PL"/>
        </w:rPr>
      </w:pPr>
      <w:r w:rsidRPr="00FD2BC0">
        <w:rPr>
          <w:lang w:val="pl-PL"/>
        </w:rPr>
        <w:t>Zgodność</w:t>
      </w:r>
      <w:r w:rsidR="005C05E6" w:rsidRPr="00FD2BC0">
        <w:rPr>
          <w:lang w:val="pl-PL"/>
        </w:rPr>
        <w:t xml:space="preserve"> </w:t>
      </w:r>
      <w:r w:rsidRPr="00FD2BC0">
        <w:rPr>
          <w:lang w:val="pl-PL"/>
        </w:rPr>
        <w:t>pozbawienia wolności skarżących z art. 5 ust. 1 Konwencji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157.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>Pozbawienie wolności skarżących miało na celu „</w:t>
      </w:r>
      <w:r w:rsidR="008C2AE6">
        <w:rPr>
          <w:lang w:val="pl-PL" w:eastAsia="en-US"/>
        </w:rPr>
        <w:t>zapobieżenie [ich] nielegalnemu wkroczeniu na terytorium państwa</w:t>
      </w:r>
      <w:r w:rsidRPr="00C408DC">
        <w:rPr>
          <w:lang w:val="pl-PL" w:eastAsia="en-US"/>
        </w:rPr>
        <w:t xml:space="preserve">”, w związku z czym należy je zbadać pod kątem pierwszej części art. 5 ust. 1 lit. f (zob. </w:t>
      </w:r>
      <w:bookmarkStart w:id="21" w:name="File3"/>
      <w:r w:rsidRPr="00C408DC">
        <w:rPr>
          <w:i/>
          <w:iCs/>
          <w:lang w:val="pl-PL"/>
        </w:rPr>
        <w:t>Saadi</w:t>
      </w:r>
      <w:bookmarkEnd w:id="21"/>
      <w:r w:rsidRPr="00C408DC">
        <w:rPr>
          <w:i/>
          <w:iCs/>
          <w:lang w:val="pl-PL"/>
        </w:rPr>
        <w:t xml:space="preserve"> przeciwko Zjednoczonemu Królestwu </w:t>
      </w:r>
      <w:r w:rsidR="001A733E" w:rsidRPr="00C408DC">
        <w:rPr>
          <w:lang w:val="pl-PL"/>
        </w:rPr>
        <w:t>[WI]</w:t>
      </w:r>
      <w:r w:rsidRPr="00C408DC">
        <w:rPr>
          <w:lang w:val="pl-PL"/>
        </w:rPr>
        <w:t xml:space="preserve">, nr 13229/03, §§ 64-66, </w:t>
      </w:r>
      <w:r w:rsidR="005C05E6">
        <w:rPr>
          <w:lang w:val="pl-PL"/>
        </w:rPr>
        <w:t>ETPC</w:t>
      </w:r>
      <w:r w:rsidRPr="00C408DC">
        <w:rPr>
          <w:lang w:val="pl-PL"/>
        </w:rPr>
        <w:t xml:space="preserve"> 2008 r.).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lastRenderedPageBreak/>
        <w:t>158.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Pierwsze zagadnienie, do którego należy się odnieść, to czy zatrzymanie miało miejsce „w trybie ustalonym przez prawo” w rozumieniu art. 5 ust. 1 Konwencji.</w:t>
      </w:r>
    </w:p>
    <w:p w:rsidR="001377AE" w:rsidRPr="00C408DC" w:rsidRDefault="001377AE" w:rsidP="00072604">
      <w:pPr>
        <w:pStyle w:val="JuHi"/>
        <w:rPr>
          <w:lang w:val="pl-PL"/>
        </w:rPr>
      </w:pPr>
      <w:r w:rsidRPr="00C408DC">
        <w:rPr>
          <w:lang w:val="pl-PL"/>
        </w:rPr>
        <w:t>Zasady ogólne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159.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Artykuł 5 ust. 1 Konwencji wytycza okoliczności, w których osoby fizyczne mogą zostać zgodnie z prawem pozbawione wolności, przy czym należy pokreślić, iż okoliczności te należy interpretować w sposób zawężający, mając na względzie, że stanowią one wyjątki od najbardziej podstawowej gwarancji indywidualnej wolności (zob., wraz z dalszymi odniesieniami, </w:t>
      </w:r>
      <w:r w:rsidRPr="00C408DC">
        <w:rPr>
          <w:i/>
          <w:iCs/>
          <w:lang w:val="pl-PL"/>
        </w:rPr>
        <w:t xml:space="preserve">El-Masri przeciwko b. Republice Jugosłowiańskiej Macedonii </w:t>
      </w:r>
      <w:r w:rsidRPr="00C408DC">
        <w:rPr>
          <w:lang w:val="pl-PL"/>
        </w:rPr>
        <w:t>[WI], nr 39630/09, § 230,</w:t>
      </w:r>
      <w:r w:rsidRPr="00C408DC">
        <w:rPr>
          <w:snapToGrid w:val="0"/>
          <w:lang w:val="pl-PL"/>
        </w:rPr>
        <w:t xml:space="preserve"> </w:t>
      </w:r>
      <w:r w:rsidR="005C05E6">
        <w:rPr>
          <w:lang w:val="pl-PL"/>
        </w:rPr>
        <w:t>ETPC</w:t>
      </w:r>
      <w:r w:rsidRPr="00C408DC">
        <w:rPr>
          <w:snapToGrid w:val="0"/>
          <w:lang w:val="pl-PL"/>
        </w:rPr>
        <w:t xml:space="preserve"> 2012 r.</w:t>
      </w:r>
      <w:r w:rsidRPr="00C408DC">
        <w:rPr>
          <w:lang w:val="pl-PL"/>
        </w:rPr>
        <w:t>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160.</w:t>
      </w:r>
      <w:r w:rsidR="005C05E6">
        <w:rPr>
          <w:lang w:val="pl-PL"/>
        </w:rPr>
        <w:t xml:space="preserve"> </w:t>
      </w:r>
      <w:r w:rsidRPr="00B7298D">
        <w:rPr>
          <w:lang w:val="pl-PL"/>
        </w:rPr>
        <w:t xml:space="preserve">W </w:t>
      </w:r>
      <w:r w:rsidR="00E4325C" w:rsidRPr="00B7298D">
        <w:rPr>
          <w:lang w:val="pl-PL"/>
        </w:rPr>
        <w:t>świetle</w:t>
      </w:r>
      <w:r w:rsidRPr="00B7298D">
        <w:rPr>
          <w:lang w:val="pl-PL"/>
        </w:rPr>
        <w:t xml:space="preserve"> utr</w:t>
      </w:r>
      <w:r w:rsidR="008C2AE6" w:rsidRPr="00B7298D">
        <w:rPr>
          <w:lang w:val="pl-PL"/>
        </w:rPr>
        <w:t>walonego prawa międzynarodowego</w:t>
      </w:r>
      <w:r w:rsidR="00E4325C" w:rsidRPr="00B7298D">
        <w:rPr>
          <w:lang w:val="pl-PL"/>
        </w:rPr>
        <w:t>,</w:t>
      </w:r>
      <w:r w:rsidR="008C2AE6" w:rsidRPr="00B7298D">
        <w:rPr>
          <w:lang w:val="pl-PL"/>
        </w:rPr>
        <w:t xml:space="preserve"> </w:t>
      </w:r>
      <w:r w:rsidRPr="00B7298D">
        <w:rPr>
          <w:lang w:val="pl-PL"/>
        </w:rPr>
        <w:t>z zastrzeżeniem zobowiązań wynikających z umów międzynarodowych, w tym z</w:t>
      </w:r>
      <w:r w:rsidRPr="00C408DC">
        <w:rPr>
          <w:lang w:val="pl-PL"/>
        </w:rPr>
        <w:t xml:space="preserve"> Konwencji, państwa uprawnione są do sprawowania kontroli nad wjazdem, pobytem i</w:t>
      </w:r>
      <w:r w:rsidR="00E3698C">
        <w:rPr>
          <w:lang w:val="pl-PL"/>
        </w:rPr>
        <w:t> </w:t>
      </w:r>
      <w:r w:rsidRPr="00C408DC">
        <w:rPr>
          <w:lang w:val="pl-PL"/>
        </w:rPr>
        <w:t xml:space="preserve">wydalaniem cudzoziemców (zob. </w:t>
      </w:r>
      <w:r w:rsidRPr="00C408DC">
        <w:rPr>
          <w:i/>
          <w:iCs/>
          <w:lang w:val="pl-PL"/>
        </w:rPr>
        <w:t xml:space="preserve">Abdulaziz, Cabales i Balkandali przeciwko Zjednoczonemu Królestwu, 28 </w:t>
      </w:r>
      <w:r w:rsidRPr="00C408DC">
        <w:rPr>
          <w:lang w:val="pl-PL"/>
        </w:rPr>
        <w:t>maja 1985 r.,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67, Seria A nr 94; </w:t>
      </w:r>
      <w:r w:rsidRPr="00C408DC">
        <w:rPr>
          <w:i/>
          <w:iCs/>
          <w:lang w:val="pl-PL"/>
        </w:rPr>
        <w:t>Chahal przeciwko Zjednoczonemu Królestwu</w:t>
      </w:r>
      <w:r w:rsidRPr="00C408DC">
        <w:rPr>
          <w:lang w:val="pl-PL"/>
        </w:rPr>
        <w:t>, 15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listopada 1996 r.,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73, </w:t>
      </w:r>
      <w:r w:rsidRPr="00C408DC">
        <w:rPr>
          <w:i/>
          <w:iCs/>
          <w:lang w:val="pl-PL"/>
        </w:rPr>
        <w:t xml:space="preserve">Reports </w:t>
      </w:r>
      <w:r w:rsidRPr="00C408DC">
        <w:rPr>
          <w:lang w:val="pl-PL"/>
        </w:rPr>
        <w:t>1996</w:t>
      </w:r>
      <w:r w:rsidRPr="00C408DC">
        <w:rPr>
          <w:lang w:val="pl-PL"/>
        </w:rPr>
        <w:noBreakHyphen/>
        <w:t xml:space="preserve">V). Niezbędnym uzupełnieniem tego prawa jest możliwość zatrzymywania przez państwa potencjalnych imigrantów, którzy złożyli wniosek o wydanie zgody na wjazd, czy to w drodze azylu czy też w inny sposób. Pozbawienie wolności osób ubiegających się o azyl w celu zapobieżenia ich nielegalnemu wkroczeniu na terytorium państwa nie jest samo w sobie niezgodne z Konwencją (zob. </w:t>
      </w:r>
      <w:r w:rsidRPr="00C408DC">
        <w:rPr>
          <w:i/>
          <w:iCs/>
          <w:lang w:val="pl-PL"/>
        </w:rPr>
        <w:t xml:space="preserve">Saadi,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64</w:t>
      </w:r>
      <w:r w:rsidRPr="00C408DC">
        <w:rPr>
          <w:lang w:val="pl-PL"/>
        </w:rPr>
        <w:noBreakHyphen/>
        <w:t xml:space="preserve">65; </w:t>
      </w:r>
      <w:r w:rsidRPr="00C408DC">
        <w:rPr>
          <w:i/>
          <w:iCs/>
          <w:lang w:val="pl-PL"/>
        </w:rPr>
        <w:t>Suso Musa</w:t>
      </w:r>
      <w:r w:rsidRPr="00C408DC">
        <w:rPr>
          <w:snapToGrid w:val="0"/>
          <w:lang w:val="pl-PL"/>
        </w:rPr>
        <w:t xml:space="preserve"> </w:t>
      </w:r>
      <w:r w:rsidRPr="00C408DC">
        <w:rPr>
          <w:i/>
          <w:iCs/>
          <w:lang w:val="pl-PL"/>
        </w:rPr>
        <w:t xml:space="preserve">przeciwko Malcie, </w:t>
      </w:r>
      <w:r w:rsidRPr="00C408DC">
        <w:rPr>
          <w:lang w:val="pl-PL"/>
        </w:rPr>
        <w:t>nr</w:t>
      </w:r>
      <w:r w:rsidRPr="00C408DC">
        <w:rPr>
          <w:snapToGrid w:val="0"/>
          <w:lang w:val="pl-PL"/>
        </w:rPr>
        <w:t xml:space="preserve"> 42337/12, §</w:t>
      </w:r>
      <w:r w:rsidRPr="00C408DC">
        <w:rPr>
          <w:lang w:val="pl-PL"/>
        </w:rPr>
        <w:t>§ 89-</w:t>
      </w:r>
      <w:r w:rsidRPr="00C408DC">
        <w:rPr>
          <w:snapToGrid w:val="0"/>
          <w:lang w:val="pl-PL"/>
        </w:rPr>
        <w:t>90, 23 lipca 2013 r.</w:t>
      </w:r>
      <w:r w:rsidRPr="00C408DC">
        <w:rPr>
          <w:lang w:val="pl-PL"/>
        </w:rPr>
        <w:t>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161.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Ewentualne pozbawienie wolności musi być „w trybie ustalonym przez prawo”</w:t>
      </w:r>
      <w:r w:rsidR="00B850A3">
        <w:rPr>
          <w:lang w:val="pl-PL"/>
        </w:rPr>
        <w:t>,</w:t>
      </w:r>
      <w:r w:rsidR="00E4325C">
        <w:rPr>
          <w:lang w:val="pl-PL"/>
        </w:rPr>
        <w:t xml:space="preserve"> </w:t>
      </w:r>
      <w:r w:rsidR="00571B68">
        <w:rPr>
          <w:lang w:val="pl-PL"/>
        </w:rPr>
        <w:t>które</w:t>
      </w:r>
      <w:r w:rsidR="00E4325C">
        <w:rPr>
          <w:lang w:val="pl-PL"/>
        </w:rPr>
        <w:t xml:space="preserve"> spełnia</w:t>
      </w:r>
      <w:r w:rsidRPr="00C408DC">
        <w:rPr>
          <w:lang w:val="pl-PL"/>
        </w:rPr>
        <w:t xml:space="preserve"> kryteria, „jakości prawa”, jak również </w:t>
      </w:r>
      <w:r w:rsidR="00E4325C">
        <w:rPr>
          <w:lang w:val="pl-PL"/>
        </w:rPr>
        <w:t>musi być pozbawione arbitralności</w:t>
      </w:r>
      <w:r w:rsidRPr="00C408DC">
        <w:rPr>
          <w:lang w:val="pl-PL"/>
        </w:rPr>
        <w:t xml:space="preserve">. </w:t>
      </w:r>
      <w:r w:rsidR="00E4325C" w:rsidRPr="00E4325C">
        <w:rPr>
          <w:lang w:val="pl-PL"/>
        </w:rPr>
        <w:t>W przypadku pozbawienia wolności</w:t>
      </w:r>
      <w:r w:rsidR="00E4325C">
        <w:rPr>
          <w:lang w:val="pl-PL"/>
        </w:rPr>
        <w:t xml:space="preserve"> istotne</w:t>
      </w:r>
      <w:r w:rsidRPr="00C408DC">
        <w:rPr>
          <w:lang w:val="pl-PL"/>
        </w:rPr>
        <w:t xml:space="preserve"> jest</w:t>
      </w:r>
      <w:r w:rsidR="00E4325C">
        <w:rPr>
          <w:lang w:val="pl-PL"/>
        </w:rPr>
        <w:t>,</w:t>
      </w:r>
      <w:r w:rsidRPr="00C408DC">
        <w:rPr>
          <w:lang w:val="pl-PL"/>
        </w:rPr>
        <w:t xml:space="preserve"> aby została spełniona zasada pewności prawa, a zatem aby warunki zastosowania pozbawienia wolności na podstawie prawa krajowego </w:t>
      </w:r>
      <w:r w:rsidR="00581E16">
        <w:rPr>
          <w:lang w:val="pl-PL"/>
        </w:rPr>
        <w:t>były</w:t>
      </w:r>
      <w:r w:rsidRPr="00C408DC">
        <w:rPr>
          <w:lang w:val="pl-PL"/>
        </w:rPr>
        <w:t xml:space="preserve"> jasno określone oraz </w:t>
      </w:r>
      <w:r w:rsidR="00581E16">
        <w:rPr>
          <w:lang w:val="pl-PL"/>
        </w:rPr>
        <w:t>by</w:t>
      </w:r>
      <w:r w:rsidRPr="00C408DC">
        <w:rPr>
          <w:lang w:val="pl-PL"/>
        </w:rPr>
        <w:t xml:space="preserve"> samo prawo </w:t>
      </w:r>
      <w:r w:rsidR="00581E16">
        <w:rPr>
          <w:lang w:val="pl-PL"/>
        </w:rPr>
        <w:t xml:space="preserve">było </w:t>
      </w:r>
      <w:r w:rsidRPr="00C408DC">
        <w:rPr>
          <w:lang w:val="pl-PL"/>
        </w:rPr>
        <w:t xml:space="preserve">przewidywalne przy jego stosowaniu (zob. </w:t>
      </w:r>
      <w:r w:rsidRPr="00C408DC">
        <w:rPr>
          <w:i/>
          <w:iCs/>
          <w:lang w:val="pl-PL"/>
        </w:rPr>
        <w:t>Khlaifia i Inni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 xml:space="preserve">, § 92, z dalszymi odesłaniami). Ponadto </w:t>
      </w:r>
      <w:r w:rsidR="00581E16">
        <w:rPr>
          <w:lang w:val="pl-PL"/>
        </w:rPr>
        <w:t>pozbawienie wolności</w:t>
      </w:r>
      <w:r w:rsidRPr="00C408DC">
        <w:rPr>
          <w:lang w:val="pl-PL"/>
        </w:rPr>
        <w:t xml:space="preserve"> osoby stanowi poważną ingerencję w</w:t>
      </w:r>
      <w:r w:rsidR="00E3698C" w:rsidRPr="00E3698C">
        <w:rPr>
          <w:lang w:val="pl-PL"/>
        </w:rPr>
        <w:t> </w:t>
      </w:r>
      <w:r w:rsidRPr="00C408DC">
        <w:rPr>
          <w:lang w:val="pl-PL"/>
        </w:rPr>
        <w:t>wolność osobistą, a zatem musi zawsze podlegać rygorystycznej kontroli.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162.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 xml:space="preserve">Trybunał ma pełną świadomość trudności napotykanych przez państwa członkowskie w trakcie wzmożonego przybywania na ich granice osób ubiegających się o azyl. Z zastrzeżeniem zakazu </w:t>
      </w:r>
      <w:r w:rsidR="00581E16">
        <w:rPr>
          <w:lang w:val="pl-PL" w:eastAsia="en-US"/>
        </w:rPr>
        <w:t>arbitralności</w:t>
      </w:r>
      <w:r w:rsidRPr="00C408DC">
        <w:rPr>
          <w:lang w:val="pl-PL" w:eastAsia="en-US"/>
        </w:rPr>
        <w:t xml:space="preserve">, wymóg zgodności z prawem </w:t>
      </w:r>
      <w:r w:rsidR="00581E16">
        <w:rPr>
          <w:lang w:val="pl-PL" w:eastAsia="en-US"/>
        </w:rPr>
        <w:t xml:space="preserve">zawarty w tym przepisie </w:t>
      </w:r>
      <w:r w:rsidRPr="00C408DC">
        <w:rPr>
          <w:lang w:val="pl-PL" w:eastAsia="en-US"/>
        </w:rPr>
        <w:t xml:space="preserve">może zostać uznany za ogólnie spełniony przez krajowy system prawny, który na </w:t>
      </w:r>
      <w:r w:rsidRPr="00812DD4">
        <w:rPr>
          <w:lang w:val="pl-PL" w:eastAsia="en-US"/>
        </w:rPr>
        <w:t xml:space="preserve">przykład przewiduje </w:t>
      </w:r>
      <w:r w:rsidR="00354433" w:rsidRPr="00812DD4">
        <w:rPr>
          <w:lang w:val="pl-PL" w:eastAsia="en-US"/>
        </w:rPr>
        <w:t>zaledwie organ właściwy</w:t>
      </w:r>
      <w:r w:rsidRPr="00812DD4">
        <w:rPr>
          <w:lang w:val="pl-PL" w:eastAsia="en-US"/>
        </w:rPr>
        <w:t xml:space="preserve"> do zarządzenia pozbawienia wolno</w:t>
      </w:r>
      <w:r w:rsidR="00354433" w:rsidRPr="00812DD4">
        <w:rPr>
          <w:lang w:val="pl-PL" w:eastAsia="en-US"/>
        </w:rPr>
        <w:t>ści w strefie tranzytowej, formę zarządzenia, jego ewentualne</w:t>
      </w:r>
      <w:r w:rsidRPr="00812DD4">
        <w:rPr>
          <w:lang w:val="pl-PL" w:eastAsia="en-US"/>
        </w:rPr>
        <w:t xml:space="preserve"> podstaw</w:t>
      </w:r>
      <w:r w:rsidR="00354433" w:rsidRPr="00812DD4">
        <w:rPr>
          <w:lang w:val="pl-PL" w:eastAsia="en-US"/>
        </w:rPr>
        <w:t>y</w:t>
      </w:r>
      <w:r w:rsidRPr="00812DD4">
        <w:rPr>
          <w:lang w:val="pl-PL" w:eastAsia="en-US"/>
        </w:rPr>
        <w:t xml:space="preserve"> i</w:t>
      </w:r>
      <w:r w:rsidRPr="00C408DC">
        <w:rPr>
          <w:lang w:val="pl-PL" w:eastAsia="en-US"/>
        </w:rPr>
        <w:t xml:space="preserve"> ogr</w:t>
      </w:r>
      <w:r w:rsidR="00354433">
        <w:rPr>
          <w:lang w:val="pl-PL" w:eastAsia="en-US"/>
        </w:rPr>
        <w:t>aniczenia, maksymalny czas</w:t>
      </w:r>
      <w:r w:rsidR="00581E16">
        <w:rPr>
          <w:lang w:val="pl-PL" w:eastAsia="en-US"/>
        </w:rPr>
        <w:t xml:space="preserve"> trwania</w:t>
      </w:r>
      <w:r w:rsidRPr="00C408DC">
        <w:rPr>
          <w:lang w:val="pl-PL" w:eastAsia="en-US"/>
        </w:rPr>
        <w:t xml:space="preserve"> przetrzymywania, a także, zgodnie z wymogam</w:t>
      </w:r>
      <w:r w:rsidR="00354433">
        <w:rPr>
          <w:lang w:val="pl-PL" w:eastAsia="en-US"/>
        </w:rPr>
        <w:t>i art. 5 ust. 4, tryb</w:t>
      </w:r>
      <w:r w:rsidRPr="00C408DC">
        <w:rPr>
          <w:lang w:val="pl-PL" w:eastAsia="en-US"/>
        </w:rPr>
        <w:t xml:space="preserve"> odwołania do sądu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lastRenderedPageBreak/>
        <w:t>163.</w:t>
      </w:r>
      <w:r w:rsidR="005C05E6">
        <w:rPr>
          <w:lang w:val="pl-PL"/>
        </w:rPr>
        <w:t xml:space="preserve"> </w:t>
      </w:r>
      <w:r w:rsidR="00581E16">
        <w:rPr>
          <w:lang w:val="pl-PL" w:eastAsia="en-US"/>
        </w:rPr>
        <w:t>Ponadto</w:t>
      </w:r>
      <w:r w:rsidRPr="00C408DC">
        <w:rPr>
          <w:lang w:val="pl-PL" w:eastAsia="en-US"/>
        </w:rPr>
        <w:t xml:space="preserve"> art. 5 ust. 1 lit. f nie uniemożliwia państwom wprowadzenia przepisów prawa krajowego, które przewidują podstawy zarządzenia </w:t>
      </w:r>
      <w:r w:rsidR="00581E16">
        <w:rPr>
          <w:lang w:val="pl-PL" w:eastAsia="en-US"/>
        </w:rPr>
        <w:t xml:space="preserve">pozbawienia wolności </w:t>
      </w:r>
      <w:r w:rsidRPr="00C408DC">
        <w:rPr>
          <w:lang w:val="pl-PL" w:eastAsia="en-US"/>
        </w:rPr>
        <w:t>z należytym uwzględnieniem praktycznych realiów masowego napływu osób ubiegających się o azyl.</w:t>
      </w:r>
      <w:r w:rsidR="005B2137" w:rsidRPr="00C408DC">
        <w:rPr>
          <w:lang w:val="pl-PL" w:eastAsia="en-US"/>
        </w:rPr>
        <w:t xml:space="preserve"> W szczególności, ust. 1 lit.</w:t>
      </w:r>
      <w:r w:rsidR="00E3698C">
        <w:rPr>
          <w:lang w:val="pl-PL" w:eastAsia="en-US"/>
        </w:rPr>
        <w:t> </w:t>
      </w:r>
      <w:r w:rsidR="005B2137" w:rsidRPr="00C408DC">
        <w:rPr>
          <w:lang w:val="pl-PL" w:eastAsia="en-US"/>
        </w:rPr>
        <w:t>f</w:t>
      </w:r>
      <w:r w:rsidRPr="00C408DC">
        <w:rPr>
          <w:lang w:val="pl-PL" w:eastAsia="en-US"/>
        </w:rPr>
        <w:t xml:space="preserve"> nie zakazuje pozbawienia wolności w strefie tranzytowej przez ograniczony czas na tej podstawie, że przetrzymanie takie jest na ogół konieczne w celu zapewnienia obecności osób ubiegających się o azyl </w:t>
      </w:r>
      <w:r w:rsidR="0028710F">
        <w:rPr>
          <w:lang w:val="pl-PL" w:eastAsia="en-US"/>
        </w:rPr>
        <w:t>w</w:t>
      </w:r>
      <w:r w:rsidR="00E3698C">
        <w:rPr>
          <w:lang w:val="pl-PL" w:eastAsia="en-US"/>
        </w:rPr>
        <w:t> </w:t>
      </w:r>
      <w:r w:rsidR="0028710F">
        <w:rPr>
          <w:lang w:val="pl-PL" w:eastAsia="en-US"/>
        </w:rPr>
        <w:t xml:space="preserve">czasie </w:t>
      </w:r>
      <w:r w:rsidRPr="00C408DC">
        <w:rPr>
          <w:lang w:val="pl-PL" w:eastAsia="en-US"/>
        </w:rPr>
        <w:t>badan</w:t>
      </w:r>
      <w:r w:rsidR="0028710F">
        <w:rPr>
          <w:lang w:val="pl-PL" w:eastAsia="en-US"/>
        </w:rPr>
        <w:t>ia</w:t>
      </w:r>
      <w:r w:rsidRPr="00C408DC">
        <w:rPr>
          <w:lang w:val="pl-PL" w:eastAsia="en-US"/>
        </w:rPr>
        <w:t xml:space="preserve"> ich wniosków o udzielenie azylu bądź</w:t>
      </w:r>
      <w:r w:rsidR="0028710F">
        <w:rPr>
          <w:lang w:val="pl-PL" w:eastAsia="en-US"/>
        </w:rPr>
        <w:t>,</w:t>
      </w:r>
      <w:r w:rsidRPr="00C408DC">
        <w:rPr>
          <w:lang w:val="pl-PL"/>
        </w:rPr>
        <w:t xml:space="preserve"> tym bardziej, na tej podstawie, że zachodzi potrzeba szybkiego zbadania dopuszczalności wniosków o udzielenie azylu, przy czym w tym celu został</w:t>
      </w:r>
      <w:r w:rsidR="00A57CD6">
        <w:rPr>
          <w:lang w:val="pl-PL"/>
        </w:rPr>
        <w:t>y</w:t>
      </w:r>
      <w:r w:rsidRPr="00C408DC">
        <w:rPr>
          <w:lang w:val="pl-PL"/>
        </w:rPr>
        <w:t xml:space="preserve"> </w:t>
      </w:r>
      <w:r w:rsidR="00A57CD6">
        <w:rPr>
          <w:lang w:val="pl-PL"/>
        </w:rPr>
        <w:t xml:space="preserve">stworzone </w:t>
      </w:r>
      <w:r w:rsidR="003B6D9E">
        <w:rPr>
          <w:lang w:val="pl-PL"/>
        </w:rPr>
        <w:t>struktury</w:t>
      </w:r>
      <w:r w:rsidRPr="00C408DC">
        <w:rPr>
          <w:lang w:val="pl-PL"/>
        </w:rPr>
        <w:t xml:space="preserve"> i procedury w strefie tranzytowej (zob. podobne podejście, (zob.</w:t>
      </w:r>
      <w:r w:rsidR="00E3698C">
        <w:rPr>
          <w:lang w:val="pl-PL"/>
        </w:rPr>
        <w:t> </w:t>
      </w:r>
      <w:r w:rsidRPr="00C408DC">
        <w:rPr>
          <w:i/>
          <w:iCs/>
          <w:lang w:val="pl-PL"/>
        </w:rPr>
        <w:t xml:space="preserve">Saadi,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80).</w:t>
      </w:r>
    </w:p>
    <w:p w:rsidR="001377AE" w:rsidRPr="00C408DC" w:rsidRDefault="001377AE" w:rsidP="00072604">
      <w:pPr>
        <w:pStyle w:val="JuHi"/>
        <w:rPr>
          <w:lang w:val="pl-PL"/>
        </w:rPr>
      </w:pPr>
      <w:r w:rsidRPr="00C408DC">
        <w:rPr>
          <w:lang w:val="pl-PL"/>
        </w:rPr>
        <w:t>Zastosowanie powyższych zasad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164.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Trybunał odnotowuje argument skarżących i UNHCR wskazujący brak podstaw prawnych przetrzymywania skarżących w strefie tranzytowej </w:t>
      </w:r>
      <w:r w:rsidR="00A354EA">
        <w:rPr>
          <w:lang w:val="pl-PL"/>
        </w:rPr>
        <w:t>l</w:t>
      </w:r>
      <w:r w:rsidRPr="00C408DC">
        <w:rPr>
          <w:lang w:val="pl-PL"/>
        </w:rPr>
        <w:t>otniska Szeremietiewo (</w:t>
      </w:r>
      <w:r w:rsidR="005B2137" w:rsidRPr="00C408DC">
        <w:rPr>
          <w:lang w:val="pl-PL"/>
        </w:rPr>
        <w:t>zob. paragraf</w:t>
      </w:r>
      <w:r w:rsidRPr="00C408DC">
        <w:rPr>
          <w:lang w:val="pl-PL"/>
        </w:rPr>
        <w:t xml:space="preserve"> 100 powyżej). Zauważa o także, iż</w:t>
      </w:r>
      <w:r w:rsidR="00E3698C">
        <w:rPr>
          <w:lang w:val="pl-PL"/>
        </w:rPr>
        <w:t> </w:t>
      </w:r>
      <w:r w:rsidRPr="00C408DC">
        <w:rPr>
          <w:lang w:val="pl-PL"/>
        </w:rPr>
        <w:t>Rząd w istocie nie kwestionował tego zarzutu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113-118 powyżej). Zbadawszy mające zastosowanie przepisy prawa krajowego (</w:t>
      </w:r>
      <w:r w:rsidR="005B2137" w:rsidRPr="00C408DC">
        <w:rPr>
          <w:lang w:val="pl-PL"/>
        </w:rPr>
        <w:t>zob.</w:t>
      </w:r>
      <w:r w:rsidR="00E3698C">
        <w:rPr>
          <w:lang w:val="pl-PL"/>
        </w:rPr>
        <w:t> </w:t>
      </w:r>
      <w:r w:rsidR="005B2137" w:rsidRPr="00C408DC">
        <w:rPr>
          <w:lang w:val="pl-PL"/>
        </w:rPr>
        <w:t>paragrafy</w:t>
      </w:r>
      <w:r w:rsidRPr="00C408DC">
        <w:rPr>
          <w:lang w:val="pl-PL"/>
        </w:rPr>
        <w:t xml:space="preserve"> 97-100 powyżej), Trybunał nie znalazł śladu przepisów prawa rosyjskiego mogących stanowić podstawę uzasadni</w:t>
      </w:r>
      <w:r w:rsidR="00A354EA">
        <w:rPr>
          <w:lang w:val="pl-PL"/>
        </w:rPr>
        <w:t>ającą pozbawienie</w:t>
      </w:r>
      <w:r w:rsidRPr="00C408DC">
        <w:rPr>
          <w:lang w:val="pl-PL"/>
        </w:rPr>
        <w:t xml:space="preserve"> wolności skarżących. W konsekwencji dochodzi on do wniosku, że brak </w:t>
      </w:r>
      <w:r w:rsidR="00A354EA">
        <w:rPr>
          <w:lang w:val="pl-PL"/>
        </w:rPr>
        <w:t xml:space="preserve">było </w:t>
      </w:r>
      <w:r w:rsidRPr="00C408DC">
        <w:rPr>
          <w:lang w:val="pl-PL"/>
        </w:rPr>
        <w:t>ściśle określonej podstawy ustawowej zatrzymania skarżących.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lang w:val="pl-PL"/>
        </w:rPr>
        <w:t>165.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To samo w sobie byłoby wystarczające d</w:t>
      </w:r>
      <w:r w:rsidR="00A354EA">
        <w:rPr>
          <w:lang w:val="pl-PL"/>
        </w:rPr>
        <w:t>o</w:t>
      </w:r>
      <w:r w:rsidRPr="00C408DC">
        <w:rPr>
          <w:lang w:val="pl-PL"/>
        </w:rPr>
        <w:t xml:space="preserve"> stwierdzenia naruszenia art. 5 ust. 1 Konwencji. Trybunał jednakże zwraca uwagę także na</w:t>
      </w:r>
      <w:r w:rsidR="00E3698C">
        <w:rPr>
          <w:lang w:val="pl-PL"/>
        </w:rPr>
        <w:t> </w:t>
      </w:r>
      <w:r w:rsidRPr="00C408DC">
        <w:rPr>
          <w:lang w:val="pl-PL"/>
        </w:rPr>
        <w:t xml:space="preserve">następujące dodatkowe czynniki, które jeszcze bardziej pogorszyły sytuację skarżących w niniejszej sprawie. Jak wynika z okoliczności sprawy, dostęp skarżących do procedury rozpatrywania wniosków o azyl był znacznie utrudniony wskutek ich </w:t>
      </w:r>
      <w:r w:rsidR="00A354EA">
        <w:rPr>
          <w:lang w:val="pl-PL"/>
        </w:rPr>
        <w:t>pozbawienia wolności</w:t>
      </w:r>
      <w:r w:rsidRPr="00C408DC">
        <w:rPr>
          <w:lang w:val="pl-PL"/>
        </w:rPr>
        <w:t>, bowiem w strefie tranzytowej nie były dostępne informacje nt. procedur rozpatrywania wniosków o azyl w</w:t>
      </w:r>
      <w:r w:rsidR="00E3698C">
        <w:rPr>
          <w:lang w:val="pl-PL"/>
        </w:rPr>
        <w:t> </w:t>
      </w:r>
      <w:r w:rsidRPr="00C408DC">
        <w:rPr>
          <w:lang w:val="pl-PL"/>
        </w:rPr>
        <w:t xml:space="preserve">Rosji, dostęp do pomocy prawnej był </w:t>
      </w:r>
      <w:r w:rsidR="000A0A95" w:rsidRPr="00C408DC">
        <w:rPr>
          <w:lang w:val="pl-PL"/>
        </w:rPr>
        <w:t xml:space="preserve">zaś </w:t>
      </w:r>
      <w:r w:rsidRPr="00C408DC">
        <w:rPr>
          <w:lang w:val="pl-PL"/>
        </w:rPr>
        <w:t xml:space="preserve">poważnie </w:t>
      </w:r>
      <w:r w:rsidR="00A354EA">
        <w:rPr>
          <w:lang w:val="pl-PL"/>
        </w:rPr>
        <w:t xml:space="preserve">ograniczony </w:t>
      </w:r>
      <w:r w:rsidRPr="00C408DC">
        <w:rPr>
          <w:lang w:val="pl-PL"/>
        </w:rPr>
        <w:t>(</w:t>
      </w:r>
      <w:r w:rsidR="005B2137" w:rsidRPr="00C408DC">
        <w:rPr>
          <w:lang w:val="pl-PL"/>
        </w:rPr>
        <w:t>zob.</w:t>
      </w:r>
      <w:r w:rsidR="00E3698C">
        <w:rPr>
          <w:lang w:val="pl-PL"/>
        </w:rPr>
        <w:t> </w:t>
      </w:r>
      <w:r w:rsidR="005B2137" w:rsidRPr="00C408DC">
        <w:rPr>
          <w:lang w:val="pl-PL"/>
        </w:rPr>
        <w:t>paragrafy</w:t>
      </w:r>
      <w:r w:rsidRPr="00C408DC">
        <w:rPr>
          <w:lang w:val="pl-PL"/>
        </w:rPr>
        <w:t xml:space="preserve"> 42-44 powyżej).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166.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>Trybunał następnie zauważa, że skarżący doświadczyli poważnych opóźnień</w:t>
      </w:r>
      <w:r w:rsidR="00A354EA">
        <w:rPr>
          <w:lang w:val="pl-PL"/>
        </w:rPr>
        <w:t>,</w:t>
      </w:r>
      <w:r w:rsidRPr="00C408DC">
        <w:rPr>
          <w:lang w:val="pl-PL"/>
        </w:rPr>
        <w:t xml:space="preserve"> gdy usiłowali złożyć i zarejestrować swoje wnioski o udzielenie azylu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46-49, 57-59, 66-67, 83-85 powyżej)</w:t>
      </w:r>
      <w:r w:rsidR="00A354EA">
        <w:rPr>
          <w:lang w:val="pl-PL"/>
        </w:rPr>
        <w:t>,</w:t>
      </w:r>
      <w:r w:rsidRPr="00C408DC">
        <w:rPr>
          <w:lang w:val="pl-PL"/>
        </w:rPr>
        <w:t xml:space="preserve"> </w:t>
      </w:r>
      <w:r w:rsidR="00A354EA">
        <w:rPr>
          <w:lang w:val="pl-PL"/>
        </w:rPr>
        <w:t xml:space="preserve">a </w:t>
      </w:r>
      <w:r w:rsidRPr="00C408DC">
        <w:rPr>
          <w:lang w:val="pl-PL"/>
        </w:rPr>
        <w:t>pomimo pisemnych próśb nie wystawiono ani nie doręczono im zaświadczeń o</w:t>
      </w:r>
      <w:r w:rsidR="00E3698C">
        <w:rPr>
          <w:lang w:val="pl-PL"/>
        </w:rPr>
        <w:t> </w:t>
      </w:r>
      <w:r w:rsidRPr="00C408DC">
        <w:rPr>
          <w:lang w:val="pl-PL"/>
        </w:rPr>
        <w:t>rozpatrywaniu wniosku o udzielenie azylu stosownie do wymogów prawa krajowego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49, 51, 59, 60, 68, 71, 86 powyżej)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167.</w:t>
      </w:r>
      <w:r w:rsidR="005C05E6">
        <w:rPr>
          <w:rFonts w:eastAsia="Times New Roman"/>
          <w:lang w:val="pl-PL"/>
        </w:rPr>
        <w:t xml:space="preserve"> </w:t>
      </w:r>
      <w:r w:rsidRPr="000A250A">
        <w:rPr>
          <w:lang w:val="pl-PL"/>
        </w:rPr>
        <w:t>Trybunał zauważa</w:t>
      </w:r>
      <w:r w:rsidRPr="00C408DC">
        <w:rPr>
          <w:lang w:val="pl-PL"/>
        </w:rPr>
        <w:t>, że decyzje podejmowane przez rosyjskie organy administracji i sądy były im przekazywane z opóźnieniem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50, 69, 75, 88 powyżej)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168.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>Skarżący byli także przetrzymywani w miejscu, które w oczywisty sposób było nieodpowiednie na długotrwały pobyt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</w:t>
      </w:r>
      <w:r w:rsidRPr="00C408DC">
        <w:rPr>
          <w:color w:val="000000"/>
          <w:lang w:val="pl-PL"/>
        </w:rPr>
        <w:t>191</w:t>
      </w:r>
      <w:r w:rsidRPr="00C408DC">
        <w:rPr>
          <w:lang w:val="pl-PL"/>
        </w:rPr>
        <w:t>-195 poniżej)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lastRenderedPageBreak/>
        <w:t>169.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>Wreszcie, czas</w:t>
      </w:r>
      <w:r w:rsidR="000A250A">
        <w:rPr>
          <w:lang w:val="pl-PL"/>
        </w:rPr>
        <w:t xml:space="preserve"> trwania</w:t>
      </w:r>
      <w:r w:rsidRPr="00C408DC">
        <w:rPr>
          <w:lang w:val="pl-PL"/>
        </w:rPr>
        <w:t xml:space="preserve"> pobytu każdego ze skarżących w strefie tranzytowej</w:t>
      </w:r>
      <w:r w:rsidR="000A250A">
        <w:rPr>
          <w:lang w:val="pl-PL"/>
        </w:rPr>
        <w:t xml:space="preserve">, </w:t>
      </w:r>
      <w:r w:rsidR="000A250A" w:rsidRPr="00C408DC">
        <w:rPr>
          <w:lang w:val="pl-PL"/>
        </w:rPr>
        <w:t xml:space="preserve">od pięciu miesięcy do </w:t>
      </w:r>
      <w:r w:rsidR="000A250A">
        <w:rPr>
          <w:lang w:val="pl-PL"/>
        </w:rPr>
        <w:t xml:space="preserve">ponad </w:t>
      </w:r>
      <w:r w:rsidR="000A250A" w:rsidRPr="00C408DC">
        <w:rPr>
          <w:lang w:val="pl-PL"/>
        </w:rPr>
        <w:t>r</w:t>
      </w:r>
      <w:r w:rsidR="000A250A">
        <w:rPr>
          <w:lang w:val="pl-PL"/>
        </w:rPr>
        <w:t>oku</w:t>
      </w:r>
      <w:r w:rsidR="000A250A" w:rsidRPr="00C408DC">
        <w:rPr>
          <w:lang w:val="pl-PL"/>
        </w:rPr>
        <w:t xml:space="preserve"> i dziewięciu miesięcy</w:t>
      </w:r>
      <w:r w:rsidR="000A250A">
        <w:rPr>
          <w:lang w:val="pl-PL"/>
        </w:rPr>
        <w:t>,</w:t>
      </w:r>
      <w:r w:rsidRPr="00C408DC">
        <w:rPr>
          <w:lang w:val="pl-PL"/>
        </w:rPr>
        <w:t xml:space="preserve"> był znaczny i w sposób oczywisty nadmierny w świetle charakteru i celu przedmiotowej procedury (por. </w:t>
      </w:r>
      <w:r w:rsidRPr="00C408DC">
        <w:rPr>
          <w:i/>
          <w:iCs/>
          <w:lang w:val="pl-PL"/>
        </w:rPr>
        <w:t>Kanagaratnam przeciwko Belgii</w:t>
      </w:r>
      <w:r w:rsidRPr="00C408DC">
        <w:rPr>
          <w:lang w:val="pl-PL"/>
        </w:rPr>
        <w:t>, nr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15297/09, §§ 94-95, 13 grudnia 2011 r.; zob. także </w:t>
      </w:r>
      <w:r w:rsidRPr="00C408DC">
        <w:rPr>
          <w:i/>
          <w:iCs/>
          <w:lang w:val="pl-PL"/>
        </w:rPr>
        <w:t>Longa Yonkeu przeciwko Łotwie</w:t>
      </w:r>
      <w:r w:rsidRPr="00C408DC">
        <w:rPr>
          <w:lang w:val="pl-PL"/>
        </w:rPr>
        <w:t>, nr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57229/09, § 131, 15 listopada 2011 r., w której to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sprawie łączna długość trzech okresów </w:t>
      </w:r>
      <w:r w:rsidR="000A250A">
        <w:rPr>
          <w:lang w:val="pl-PL"/>
        </w:rPr>
        <w:t xml:space="preserve">pozbawienia wolności </w:t>
      </w:r>
      <w:r w:rsidRPr="00C408DC">
        <w:rPr>
          <w:lang w:val="pl-PL"/>
        </w:rPr>
        <w:t xml:space="preserve">przy braku podstawy prawnej wynosiła trzy miesiące i siedem dni; </w:t>
      </w:r>
      <w:r w:rsidR="000A250A">
        <w:rPr>
          <w:lang w:val="pl-PL"/>
        </w:rPr>
        <w:t xml:space="preserve">i </w:t>
      </w:r>
      <w:r w:rsidRPr="00C408DC">
        <w:rPr>
          <w:i/>
          <w:iCs/>
          <w:lang w:val="pl-PL"/>
        </w:rPr>
        <w:t xml:space="preserve">Suso Musa, </w:t>
      </w:r>
      <w:r w:rsidR="00F01F0C">
        <w:rPr>
          <w:lang w:val="pl-PL"/>
        </w:rPr>
        <w:t>cyt.</w:t>
      </w:r>
      <w:r w:rsidR="00307C05">
        <w:rPr>
          <w:lang w:val="pl-PL"/>
        </w:rPr>
        <w:t> </w:t>
      </w:r>
      <w:r w:rsidR="00F01F0C">
        <w:rPr>
          <w:lang w:val="pl-PL"/>
        </w:rPr>
        <w:t>powyżej</w:t>
      </w:r>
      <w:r w:rsidRPr="00C408DC">
        <w:rPr>
          <w:lang w:val="pl-PL"/>
        </w:rPr>
        <w:t xml:space="preserve">, </w:t>
      </w:r>
      <w:r w:rsidRPr="00C408DC">
        <w:rPr>
          <w:snapToGrid w:val="0"/>
          <w:lang w:val="pl-PL"/>
        </w:rPr>
        <w:t>§ 102,</w:t>
      </w:r>
      <w:r w:rsidRPr="00C408DC">
        <w:rPr>
          <w:lang w:val="pl-PL"/>
        </w:rPr>
        <w:t xml:space="preserve"> w której to sprawie przedmiotowy okres wyniósł „powyżej sześciu miesięcy”).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170.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/>
        </w:rPr>
        <w:t>Trybunał stwierdza, że</w:t>
      </w:r>
      <w:r w:rsidR="000A250A">
        <w:rPr>
          <w:lang w:val="pl-PL"/>
        </w:rPr>
        <w:t xml:space="preserve"> pozbawienie wolności</w:t>
      </w:r>
      <w:r w:rsidRPr="00C408DC">
        <w:rPr>
          <w:lang w:val="pl-PL"/>
        </w:rPr>
        <w:t xml:space="preserve"> skarżących dla potrzeb pierws</w:t>
      </w:r>
      <w:r w:rsidR="005B2137" w:rsidRPr="00C408DC">
        <w:rPr>
          <w:lang w:val="pl-PL"/>
        </w:rPr>
        <w:t>zej części art. 5 ust. 1 lit. f</w:t>
      </w:r>
      <w:r w:rsidRPr="00C408DC">
        <w:rPr>
          <w:lang w:val="pl-PL"/>
        </w:rPr>
        <w:t xml:space="preserve"> nie spełnia</w:t>
      </w:r>
      <w:r w:rsidR="000A250A">
        <w:rPr>
          <w:lang w:val="pl-PL"/>
        </w:rPr>
        <w:t>ło</w:t>
      </w:r>
      <w:r w:rsidRPr="00C408DC">
        <w:rPr>
          <w:lang w:val="pl-PL"/>
        </w:rPr>
        <w:t xml:space="preserve"> standardów Konwencji.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171.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W konsekwencji miało miejsce naruszenie art. 5 ust. 1 Konwencji wobec każdego skarżącego.</w:t>
      </w:r>
    </w:p>
    <w:p w:rsidR="001377AE" w:rsidRPr="00C408DC" w:rsidRDefault="001377AE" w:rsidP="00072604">
      <w:pPr>
        <w:pStyle w:val="JuHIRoman"/>
        <w:rPr>
          <w:lang w:val="pl-PL"/>
        </w:rPr>
      </w:pPr>
      <w:r w:rsidRPr="00C408DC">
        <w:rPr>
          <w:lang w:val="pl-PL"/>
        </w:rPr>
        <w:t>ZARZUT NARUSZENIA ART</w:t>
      </w:r>
      <w:r w:rsidR="005B2137" w:rsidRPr="00C408DC">
        <w:rPr>
          <w:lang w:val="pl-PL"/>
        </w:rPr>
        <w:t>.</w:t>
      </w:r>
      <w:r w:rsidRPr="00C408DC">
        <w:rPr>
          <w:lang w:val="pl-PL"/>
        </w:rPr>
        <w:t xml:space="preserve"> 3 KONWENCJI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172.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Skarżący skarżyli się, że złe warunki materialne ich pobytu w strefie tranzytowej </w:t>
      </w:r>
      <w:r w:rsidR="000A250A">
        <w:rPr>
          <w:lang w:val="pl-PL"/>
        </w:rPr>
        <w:t>l</w:t>
      </w:r>
      <w:r w:rsidRPr="00C408DC">
        <w:rPr>
          <w:lang w:val="pl-PL"/>
        </w:rPr>
        <w:t>otniska Szeremietiewo były niezgodne z gwarancjami zawartymi w art. 3 Konwencji, który stanowi:</w:t>
      </w:r>
    </w:p>
    <w:p w:rsidR="001377AE" w:rsidRPr="00C408DC" w:rsidRDefault="0007458D" w:rsidP="00072604">
      <w:pPr>
        <w:pStyle w:val="JuQuot"/>
        <w:rPr>
          <w:lang w:val="pl-PL"/>
        </w:rPr>
      </w:pPr>
      <w:r>
        <w:rPr>
          <w:lang w:val="pl-PL"/>
        </w:rPr>
        <w:t>„</w:t>
      </w:r>
      <w:r w:rsidR="001A733E" w:rsidRPr="00C408DC">
        <w:rPr>
          <w:lang w:val="pl-PL"/>
        </w:rPr>
        <w:t>Nikt nie może być poddany torturom ani nieludzkiemu lub poniżającemu traktowaniu albo karaniu</w:t>
      </w:r>
      <w:r w:rsidR="00305F02" w:rsidRPr="00C408DC">
        <w:rPr>
          <w:lang w:val="pl-PL"/>
        </w:rPr>
        <w:t>”.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Wyrok Izby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173.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Izba stwierdziła, że skarga w przedmiocie złych warunków materialnych </w:t>
      </w:r>
      <w:r w:rsidR="0007458D">
        <w:rPr>
          <w:lang w:val="pl-PL"/>
        </w:rPr>
        <w:t>pozbawienia wolności</w:t>
      </w:r>
      <w:r w:rsidRPr="00C408DC">
        <w:rPr>
          <w:lang w:val="pl-PL"/>
        </w:rPr>
        <w:t xml:space="preserve"> skarżących w strefie tranzytowej </w:t>
      </w:r>
      <w:r w:rsidR="0007458D">
        <w:rPr>
          <w:lang w:val="pl-PL"/>
        </w:rPr>
        <w:t>l</w:t>
      </w:r>
      <w:r w:rsidRPr="00C408DC">
        <w:rPr>
          <w:lang w:val="pl-PL"/>
        </w:rPr>
        <w:t>otniska Szeremietiewo jest dopuszczalna.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174.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Odwołując się do utrwalonych standardów Trybunału w odniesieniu do ogólnych warunków</w:t>
      </w:r>
      <w:r w:rsidR="0007458D">
        <w:rPr>
          <w:lang w:val="pl-PL"/>
        </w:rPr>
        <w:t xml:space="preserve"> pozbawienia wolności</w:t>
      </w:r>
      <w:r w:rsidRPr="00C408DC">
        <w:rPr>
          <w:lang w:val="pl-PL"/>
        </w:rPr>
        <w:t xml:space="preserve">, jak również istotnych warunków w kontekście przetrzymywania cudzoziemców, zwróciwszy uwagę na zasady rozłożenia ciężaru dowodu w sprawach </w:t>
      </w:r>
      <w:r w:rsidR="0007458D">
        <w:rPr>
          <w:lang w:val="pl-PL"/>
        </w:rPr>
        <w:t xml:space="preserve">dotyczących </w:t>
      </w:r>
      <w:r w:rsidRPr="00C408DC">
        <w:rPr>
          <w:lang w:val="pl-PL"/>
        </w:rPr>
        <w:t>warunków</w:t>
      </w:r>
      <w:r w:rsidR="0007458D">
        <w:rPr>
          <w:lang w:val="pl-PL"/>
        </w:rPr>
        <w:t xml:space="preserve"> pozbawienia wolności</w:t>
      </w:r>
      <w:r w:rsidRPr="00C408DC">
        <w:rPr>
          <w:lang w:val="pl-PL"/>
        </w:rPr>
        <w:t>, Izba potwierdziła, że skarżący przedstawili wiarygodny i zasadnie szczegółowy opis zarzucanych poniżających warunków</w:t>
      </w:r>
      <w:r w:rsidR="0007458D">
        <w:rPr>
          <w:lang w:val="pl-PL"/>
        </w:rPr>
        <w:t xml:space="preserve"> pozbawienia wolności</w:t>
      </w:r>
      <w:r w:rsidRPr="00C408DC">
        <w:rPr>
          <w:lang w:val="pl-PL"/>
        </w:rPr>
        <w:t>, stanowiących na pierwszy rzut oka przypadek złego traktowania. Zważywszy, iż Rząd nie przedstawił opisu warunków przetrzymywania skarżących w strefie tranzytowej, Izba uznała za ustalone, iż skarż</w:t>
      </w:r>
      <w:r w:rsidR="0007458D">
        <w:rPr>
          <w:lang w:val="pl-PL"/>
        </w:rPr>
        <w:t>ący nie mieli indywidualnych łóż</w:t>
      </w:r>
      <w:r w:rsidRPr="00C408DC">
        <w:rPr>
          <w:lang w:val="pl-PL"/>
        </w:rPr>
        <w:t xml:space="preserve">ek ani nie korzystali z dostępu do prysznica bądź do miejsca do gotowania oraz uznała za niedopuszczalne, aby jakakolwiek osoba mogła być </w:t>
      </w:r>
      <w:r w:rsidR="0007458D">
        <w:rPr>
          <w:lang w:val="pl-PL"/>
        </w:rPr>
        <w:t xml:space="preserve">pozbawiona wolności </w:t>
      </w:r>
      <w:r w:rsidRPr="00C408DC">
        <w:rPr>
          <w:lang w:val="pl-PL"/>
        </w:rPr>
        <w:t xml:space="preserve">w warunkach, w których zupełnie nie zadbano o jej podstawowe potrzeby. Izba stwierdziła, iż okoliczność, że skarżący zostali </w:t>
      </w:r>
      <w:r w:rsidR="0007458D">
        <w:rPr>
          <w:lang w:val="pl-PL"/>
        </w:rPr>
        <w:t xml:space="preserve">pozbawieni wolności </w:t>
      </w:r>
      <w:r w:rsidRPr="00C408DC">
        <w:rPr>
          <w:lang w:val="pl-PL"/>
        </w:rPr>
        <w:t xml:space="preserve">przez wiele miesięcy w strefie tranzytowej </w:t>
      </w:r>
      <w:r w:rsidR="0007458D">
        <w:rPr>
          <w:lang w:val="pl-PL"/>
        </w:rPr>
        <w:t>l</w:t>
      </w:r>
      <w:r w:rsidRPr="00C408DC">
        <w:rPr>
          <w:lang w:val="pl-PL"/>
        </w:rPr>
        <w:t xml:space="preserve">otniska Szeremietiewo </w:t>
      </w:r>
      <w:r w:rsidRPr="00C408DC">
        <w:rPr>
          <w:lang w:val="pl-PL"/>
        </w:rPr>
        <w:lastRenderedPageBreak/>
        <w:t>w</w:t>
      </w:r>
      <w:r w:rsidR="00307C05">
        <w:rPr>
          <w:lang w:val="pl-PL"/>
        </w:rPr>
        <w:t> </w:t>
      </w:r>
      <w:r w:rsidRPr="00C408DC">
        <w:rPr>
          <w:lang w:val="pl-PL"/>
        </w:rPr>
        <w:t>niedopuszczalnych warunkach stanowi nieludzkie i poniżające traktowanie w rozumieniu art. 3 Konwencji.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Stanowiska stron</w:t>
      </w:r>
    </w:p>
    <w:p w:rsidR="001377AE" w:rsidRPr="00C408DC" w:rsidRDefault="001377AE" w:rsidP="00072604">
      <w:pPr>
        <w:pStyle w:val="JuH1"/>
        <w:rPr>
          <w:lang w:val="pl-PL"/>
        </w:rPr>
      </w:pPr>
      <w:r w:rsidRPr="00C408DC">
        <w:rPr>
          <w:lang w:val="pl-PL"/>
        </w:rPr>
        <w:t>Skarżący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175.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Powtórzywszy, iż ich przetrzymywanie w strefie tranzytowej oznaczało pozbawienie wolności, skarżący podkreślają, iż zgodnie z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orzecznictwem Trybunału, państwo zobowiązane jest zapewnić, </w:t>
      </w:r>
      <w:r w:rsidR="00A36935">
        <w:rPr>
          <w:lang w:val="pl-PL"/>
        </w:rPr>
        <w:t>by</w:t>
      </w:r>
      <w:r w:rsidRPr="00C408DC">
        <w:rPr>
          <w:lang w:val="pl-PL"/>
        </w:rPr>
        <w:t xml:space="preserve"> dana osoba </w:t>
      </w:r>
      <w:r w:rsidR="00A36935">
        <w:rPr>
          <w:lang w:val="pl-PL"/>
        </w:rPr>
        <w:t xml:space="preserve">była pozbawiona wolności </w:t>
      </w:r>
      <w:r w:rsidRPr="00C408DC">
        <w:rPr>
          <w:lang w:val="pl-PL"/>
        </w:rPr>
        <w:t>w warunkach zgodnych z poszanowaniem godności ludzkiej oraz że przetrzymywaniu cudzoziemców muszą towarzyszyć odpowiednie standardy; utrzymywali oni, że przebywali w</w:t>
      </w:r>
      <w:r w:rsidR="00307C05">
        <w:rPr>
          <w:lang w:val="pl-PL"/>
        </w:rPr>
        <w:t> </w:t>
      </w:r>
      <w:r w:rsidRPr="00C408DC">
        <w:rPr>
          <w:lang w:val="pl-PL"/>
        </w:rPr>
        <w:t>strefie tranzytowej przez długie okresy czasu w niedopuszczalnych warunkach wbrew swojej woli, nie mogąc powrócić do swoich krajów ojczystych. Stwierdzili oni, że miało miejsce naruszenie art. 3 Konwencji.</w:t>
      </w:r>
    </w:p>
    <w:p w:rsidR="001377AE" w:rsidRPr="00C408DC" w:rsidRDefault="001377AE" w:rsidP="00072604">
      <w:pPr>
        <w:pStyle w:val="JuH1"/>
        <w:rPr>
          <w:lang w:val="pl-PL"/>
        </w:rPr>
      </w:pPr>
      <w:r w:rsidRPr="00C408DC">
        <w:rPr>
          <w:lang w:val="pl-PL"/>
        </w:rPr>
        <w:t>Rząd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176.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Rząd podkreśla, że osoba podlegająca jurysdykcji państwa niekoniecznie „znajduje się w rękach państwa”. W</w:t>
      </w:r>
      <w:r w:rsidR="00A36935">
        <w:rPr>
          <w:lang w:val="pl-PL"/>
        </w:rPr>
        <w:t xml:space="preserve"> braku naruszenia art. 5 ust. 1</w:t>
      </w:r>
      <w:r w:rsidRPr="00C408DC">
        <w:rPr>
          <w:lang w:val="pl-PL"/>
        </w:rPr>
        <w:t xml:space="preserve"> </w:t>
      </w:r>
      <w:r w:rsidR="00F75CB4" w:rsidRPr="00C408DC">
        <w:rPr>
          <w:lang w:val="pl-PL"/>
        </w:rPr>
        <w:t xml:space="preserve">Rząd </w:t>
      </w:r>
      <w:r w:rsidRPr="00C408DC">
        <w:rPr>
          <w:lang w:val="pl-PL"/>
        </w:rPr>
        <w:t xml:space="preserve">rosyjski nie miał żadnych </w:t>
      </w:r>
      <w:r w:rsidR="00A36935" w:rsidRPr="00C408DC">
        <w:rPr>
          <w:lang w:val="pl-PL"/>
        </w:rPr>
        <w:t>wynikających z art. 3</w:t>
      </w:r>
      <w:r w:rsidR="00A36935">
        <w:rPr>
          <w:lang w:val="pl-PL"/>
        </w:rPr>
        <w:t xml:space="preserve"> </w:t>
      </w:r>
      <w:r w:rsidR="00A36935" w:rsidRPr="00C408DC">
        <w:rPr>
          <w:lang w:val="pl-PL"/>
        </w:rPr>
        <w:t xml:space="preserve">zobowiązań </w:t>
      </w:r>
      <w:r w:rsidRPr="00C408DC">
        <w:rPr>
          <w:lang w:val="pl-PL"/>
        </w:rPr>
        <w:t>wobec skarżących, którzy znaleźli się w trudnych warunkach wskutek własnych działań.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177.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Rząd ponadto stwierdził, że nie istnieje prawo do azylu, w związku z</w:t>
      </w:r>
      <w:r w:rsidR="00307C05">
        <w:rPr>
          <w:lang w:val="pl-PL"/>
        </w:rPr>
        <w:t> </w:t>
      </w:r>
      <w:r w:rsidRPr="00C408DC">
        <w:rPr>
          <w:lang w:val="pl-PL"/>
        </w:rPr>
        <w:t>czym na państwo nie zostały nałożone odpowiadające temuż prawu zobowiązania; państwo może jednak przyznać „odpowiednią ochronę” osobom uciekającym przed prześladowaniami. W niniejsze sprawie skarżący działali w złej wierze przy składaniu wniosku o udzielenie azylu, powinni oni bowiem wiedzieć, że nie przysługuje im taka ochrona, w związku z czym powinni przewidzieć, że nie uzyskają zezwolenia na wjazd do Rosji. Rząd stwierdził, że nie miało miejsca naruszenie art. 3 Konwencji.</w:t>
      </w:r>
    </w:p>
    <w:p w:rsidR="001377AE" w:rsidRPr="005B46D5" w:rsidRDefault="001377AE" w:rsidP="001840D0">
      <w:pPr>
        <w:pStyle w:val="JuHA"/>
        <w:rPr>
          <w:lang w:val="pl-PL"/>
        </w:rPr>
      </w:pPr>
      <w:r w:rsidRPr="00C408DC">
        <w:rPr>
          <w:lang w:val="pl-PL"/>
        </w:rPr>
        <w:t xml:space="preserve">Twierdzenia </w:t>
      </w:r>
      <w:r w:rsidRPr="005B46D5">
        <w:rPr>
          <w:lang w:val="pl-PL"/>
        </w:rPr>
        <w:t>strony trzeciej występującej z interwencją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178.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UNCHR opisał warunki materialne pobytu w rosyjskich strefach tranzytowych lotniska osób ubiegających się o azyl w następujący sposób.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22" w:name="hundredsixtysix"/>
      <w:bookmarkStart w:id="23" w:name="p176"/>
      <w:r w:rsidRPr="00C408DC">
        <w:rPr>
          <w:lang w:val="pl-PL"/>
        </w:rPr>
        <w:t>179</w:t>
      </w:r>
      <w:bookmarkEnd w:id="22"/>
      <w:bookmarkEnd w:id="23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Warunki pobytu w strefach </w:t>
      </w:r>
      <w:r w:rsidRPr="00905201">
        <w:rPr>
          <w:lang w:val="pl-PL"/>
        </w:rPr>
        <w:t xml:space="preserve">tranzytowych nie </w:t>
      </w:r>
      <w:r w:rsidR="00921814" w:rsidRPr="00905201">
        <w:rPr>
          <w:lang w:val="pl-PL"/>
        </w:rPr>
        <w:t>są</w:t>
      </w:r>
      <w:r w:rsidRPr="00905201">
        <w:rPr>
          <w:lang w:val="pl-PL"/>
        </w:rPr>
        <w:t xml:space="preserve"> przed</w:t>
      </w:r>
      <w:r w:rsidRPr="00C408DC">
        <w:rPr>
          <w:lang w:val="pl-PL"/>
        </w:rPr>
        <w:t xml:space="preserve">miotem uregulowań prawa rosyjskiego. Nie uległy </w:t>
      </w:r>
      <w:r w:rsidR="00A36935" w:rsidRPr="00C408DC">
        <w:rPr>
          <w:lang w:val="pl-PL"/>
        </w:rPr>
        <w:t xml:space="preserve">one </w:t>
      </w:r>
      <w:r w:rsidRPr="00C408DC">
        <w:rPr>
          <w:lang w:val="pl-PL"/>
        </w:rPr>
        <w:t>także poprawie w przeciągu poprzednich kilku lat. Osoby ubiegające się o azyl, które utk</w:t>
      </w:r>
      <w:r w:rsidR="00BF37E1">
        <w:rPr>
          <w:lang w:val="pl-PL"/>
        </w:rPr>
        <w:t>nęły</w:t>
      </w:r>
      <w:r w:rsidRPr="00C408DC">
        <w:rPr>
          <w:lang w:val="pl-PL"/>
        </w:rPr>
        <w:t xml:space="preserve"> w strefach tranzytowych, </w:t>
      </w:r>
      <w:r w:rsidR="00921814">
        <w:rPr>
          <w:lang w:val="pl-PL"/>
        </w:rPr>
        <w:t xml:space="preserve">są </w:t>
      </w:r>
      <w:r w:rsidRPr="00C408DC">
        <w:rPr>
          <w:lang w:val="pl-PL"/>
        </w:rPr>
        <w:t>pozbawione dostępu do świeżego powietrza,</w:t>
      </w:r>
      <w:r w:rsidR="00BF37E1">
        <w:rPr>
          <w:lang w:val="pl-PL"/>
        </w:rPr>
        <w:t xml:space="preserve"> prywatności,</w:t>
      </w:r>
      <w:r w:rsidRPr="00C408DC">
        <w:rPr>
          <w:lang w:val="pl-PL"/>
        </w:rPr>
        <w:t xml:space="preserve"> żywności oraz dostępu do opieki lekarskiej i socjalnej. Nie m</w:t>
      </w:r>
      <w:r w:rsidR="00921814">
        <w:rPr>
          <w:lang w:val="pl-PL"/>
        </w:rPr>
        <w:t>ają</w:t>
      </w:r>
      <w:r w:rsidR="00BF37E1">
        <w:rPr>
          <w:lang w:val="pl-PL"/>
        </w:rPr>
        <w:t xml:space="preserve"> one</w:t>
      </w:r>
      <w:r w:rsidRPr="00C408DC">
        <w:rPr>
          <w:lang w:val="pl-PL"/>
        </w:rPr>
        <w:t xml:space="preserve"> żadnego wyboru poza przebywaniem na otwartym obszarze przedmiotowej strefy tranzytowej bez dostępu do pomieszczeń sanitarnych oraz poza spaniem </w:t>
      </w:r>
      <w:r w:rsidRPr="00C408DC">
        <w:rPr>
          <w:lang w:val="pl-PL"/>
        </w:rPr>
        <w:lastRenderedPageBreak/>
        <w:t>na</w:t>
      </w:r>
      <w:r w:rsidR="005B1C6C">
        <w:rPr>
          <w:lang w:val="pl-PL"/>
        </w:rPr>
        <w:t> </w:t>
      </w:r>
      <w:r w:rsidRPr="00C408DC">
        <w:rPr>
          <w:lang w:val="pl-PL"/>
        </w:rPr>
        <w:t>podłodze. UNHCR rozprowa</w:t>
      </w:r>
      <w:r w:rsidR="00921814">
        <w:rPr>
          <w:lang w:val="pl-PL"/>
        </w:rPr>
        <w:t>dza</w:t>
      </w:r>
      <w:r w:rsidRPr="00C408DC">
        <w:rPr>
          <w:lang w:val="pl-PL"/>
        </w:rPr>
        <w:t xml:space="preserve"> co tydzień podstawowe artykuły żywnościowe i pościel, odzież oraz produkty higien</w:t>
      </w:r>
      <w:r w:rsidR="00BF37E1">
        <w:rPr>
          <w:lang w:val="pl-PL"/>
        </w:rPr>
        <w:t>iczne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24" w:name="hundredsixtyseven"/>
      <w:bookmarkStart w:id="25" w:name="p177"/>
      <w:r w:rsidRPr="00C408DC">
        <w:rPr>
          <w:lang w:val="pl-PL"/>
        </w:rPr>
        <w:t>180</w:t>
      </w:r>
      <w:bookmarkEnd w:id="24"/>
      <w:bookmarkEnd w:id="25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="00921814">
        <w:rPr>
          <w:lang w:val="pl-PL"/>
        </w:rPr>
        <w:t>Prawo rosyjskie nie obarcza</w:t>
      </w:r>
      <w:r w:rsidRPr="00C408DC">
        <w:rPr>
          <w:lang w:val="pl-PL"/>
        </w:rPr>
        <w:t xml:space="preserve"> żadnego organu państwa obowiązkiem zapewnienia podstawowej opieki dla osób ubiegających się o azyl, przebywających w strefach tranzytowych. Okres</w:t>
      </w:r>
      <w:r w:rsidR="00BF37E1">
        <w:rPr>
          <w:lang w:val="pl-PL"/>
        </w:rPr>
        <w:t>,</w:t>
      </w:r>
      <w:r w:rsidRPr="00C408DC">
        <w:rPr>
          <w:lang w:val="pl-PL"/>
        </w:rPr>
        <w:t xml:space="preserve"> przez jaki oso</w:t>
      </w:r>
      <w:r w:rsidR="00921814">
        <w:rPr>
          <w:lang w:val="pl-PL"/>
        </w:rPr>
        <w:t>ba ubiegająca się o azyl musi</w:t>
      </w:r>
      <w:r w:rsidRPr="00C408DC">
        <w:rPr>
          <w:lang w:val="pl-PL"/>
        </w:rPr>
        <w:t xml:space="preserve"> znosić dramatyczny brak podstawowej infrastruktury</w:t>
      </w:r>
      <w:r w:rsidR="00BF37E1">
        <w:rPr>
          <w:lang w:val="pl-PL"/>
        </w:rPr>
        <w:t>,</w:t>
      </w:r>
      <w:r w:rsidRPr="00C408DC">
        <w:rPr>
          <w:lang w:val="pl-PL"/>
        </w:rPr>
        <w:t xml:space="preserve"> m</w:t>
      </w:r>
      <w:r w:rsidR="00921814">
        <w:rPr>
          <w:lang w:val="pl-PL"/>
        </w:rPr>
        <w:t>oże</w:t>
      </w:r>
      <w:r w:rsidRPr="00C408DC">
        <w:rPr>
          <w:lang w:val="pl-PL"/>
        </w:rPr>
        <w:t xml:space="preserve"> być długotrwały, bowiem pełna procedura o udzielenie azylu, w tym postępowanie odwoławcze, średnio trwają od</w:t>
      </w:r>
      <w:r w:rsidR="00F75CB4" w:rsidRPr="00C408DC">
        <w:rPr>
          <w:lang w:val="pl-PL"/>
        </w:rPr>
        <w:t xml:space="preserve"> r</w:t>
      </w:r>
      <w:r w:rsidR="00BF37E1">
        <w:rPr>
          <w:lang w:val="pl-PL"/>
        </w:rPr>
        <w:t>oku</w:t>
      </w:r>
      <w:r w:rsidRPr="00C408DC">
        <w:rPr>
          <w:lang w:val="pl-PL"/>
        </w:rPr>
        <w:t xml:space="preserve"> do dwóch lat.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Ocena Trybunału</w:t>
      </w:r>
    </w:p>
    <w:p w:rsidR="001377AE" w:rsidRPr="00C408DC" w:rsidRDefault="001377AE" w:rsidP="00072604">
      <w:pPr>
        <w:pStyle w:val="JuH1"/>
        <w:rPr>
          <w:lang w:val="pl-PL"/>
        </w:rPr>
      </w:pPr>
      <w:r w:rsidRPr="00C408DC">
        <w:rPr>
          <w:lang w:val="pl-PL"/>
        </w:rPr>
        <w:t>Zasady ogólne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color w:val="000000"/>
          <w:lang w:val="pl-PL"/>
        </w:rPr>
        <w:t>181.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lang w:val="pl-PL"/>
        </w:rPr>
        <w:t xml:space="preserve">Złe traktowanie musi osiągnąć minimalny poziom nasilenia, jeżeli ma ono wchodzić w zakres zastosowania art. 3. Ocena tego poziomu jest względna i jest uzależniona od </w:t>
      </w:r>
      <w:r w:rsidR="00CD6ED7">
        <w:rPr>
          <w:lang w:val="pl-PL"/>
        </w:rPr>
        <w:t xml:space="preserve">wszystkich </w:t>
      </w:r>
      <w:r w:rsidRPr="00C408DC">
        <w:rPr>
          <w:lang w:val="pl-PL"/>
        </w:rPr>
        <w:t>okoliczności sprawy, zasadniczo od czas</w:t>
      </w:r>
      <w:r w:rsidR="00E32D0F">
        <w:rPr>
          <w:lang w:val="pl-PL"/>
        </w:rPr>
        <w:t>u</w:t>
      </w:r>
      <w:r w:rsidR="00CD6ED7">
        <w:rPr>
          <w:lang w:val="pl-PL"/>
        </w:rPr>
        <w:t xml:space="preserve"> trwania</w:t>
      </w:r>
      <w:r w:rsidRPr="00C408DC">
        <w:rPr>
          <w:lang w:val="pl-PL"/>
        </w:rPr>
        <w:t xml:space="preserve"> traktowania, </w:t>
      </w:r>
      <w:r w:rsidR="00CD6ED7">
        <w:rPr>
          <w:lang w:val="pl-PL"/>
        </w:rPr>
        <w:t xml:space="preserve">jego </w:t>
      </w:r>
      <w:r w:rsidRPr="00C408DC">
        <w:rPr>
          <w:lang w:val="pl-PL"/>
        </w:rPr>
        <w:t>fizycznych lub psychicznych skutków, a</w:t>
      </w:r>
      <w:r w:rsidR="00307C05">
        <w:rPr>
          <w:lang w:val="pl-PL"/>
        </w:rPr>
        <w:t> </w:t>
      </w:r>
      <w:r w:rsidRPr="00C408DC">
        <w:rPr>
          <w:lang w:val="pl-PL"/>
        </w:rPr>
        <w:t>w niektórych przypadkach od płci, wieku i stanu zdrowia ofiary. W</w:t>
      </w:r>
      <w:r w:rsidR="00307C05">
        <w:rPr>
          <w:lang w:val="pl-PL"/>
        </w:rPr>
        <w:t> </w:t>
      </w:r>
      <w:r w:rsidRPr="00C408DC">
        <w:rPr>
          <w:lang w:val="pl-PL"/>
        </w:rPr>
        <w:t>kontekście przetrzymywania i warunków życia osób ubiegających się o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azyl Trybunał podsumował właściwe zasady ogólne w sprawie </w:t>
      </w:r>
      <w:r w:rsidRPr="00C408DC">
        <w:rPr>
          <w:i/>
          <w:iCs/>
          <w:lang w:val="pl-PL"/>
        </w:rPr>
        <w:t>Khlaif</w:t>
      </w:r>
      <w:r w:rsidR="003B6630">
        <w:rPr>
          <w:i/>
          <w:iCs/>
          <w:lang w:val="pl-PL"/>
        </w:rPr>
        <w:t>i</w:t>
      </w:r>
      <w:r w:rsidRPr="00C408DC">
        <w:rPr>
          <w:i/>
          <w:iCs/>
          <w:lang w:val="pl-PL"/>
        </w:rPr>
        <w:t>a i</w:t>
      </w:r>
      <w:r w:rsidR="00307C05">
        <w:rPr>
          <w:i/>
          <w:iCs/>
          <w:lang w:val="pl-PL"/>
        </w:rPr>
        <w:t> </w:t>
      </w:r>
      <w:r w:rsidRPr="00C408DC">
        <w:rPr>
          <w:i/>
          <w:iCs/>
          <w:lang w:val="pl-PL"/>
        </w:rPr>
        <w:t>Inni,</w:t>
      </w:r>
      <w:r w:rsidRPr="00C408DC">
        <w:rPr>
          <w:lang w:val="pl-PL"/>
        </w:rPr>
        <w:t xml:space="preserve"> </w:t>
      </w:r>
      <w:r w:rsidR="00F01F0C">
        <w:rPr>
          <w:lang w:val="pl-PL"/>
        </w:rPr>
        <w:t>cyt. powyżej</w:t>
      </w:r>
      <w:r w:rsidRPr="00C408DC">
        <w:rPr>
          <w:lang w:val="pl-PL"/>
        </w:rPr>
        <w:t xml:space="preserve">, </w:t>
      </w:r>
      <w:r w:rsidRPr="00C408DC">
        <w:rPr>
          <w:snapToGrid w:val="0"/>
          <w:lang w:val="pl-PL"/>
        </w:rPr>
        <w:t>§§ 158-69)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rFonts w:eastAsia="Times New Roman"/>
          <w:color w:val="000000"/>
          <w:sz w:val="17"/>
          <w:szCs w:val="17"/>
          <w:lang w:val="pl-PL"/>
        </w:rPr>
      </w:pPr>
      <w:r w:rsidRPr="00C408DC">
        <w:rPr>
          <w:rFonts w:eastAsia="Times New Roman"/>
          <w:color w:val="000000"/>
          <w:lang w:val="pl-PL"/>
        </w:rPr>
        <w:t>182.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lang w:val="pl-PL"/>
        </w:rPr>
        <w:t xml:space="preserve">Artykuł 3 Konwencji zobowiązuje państwo do zapewnienia, by osoba </w:t>
      </w:r>
      <w:r w:rsidR="00CD6ED7">
        <w:rPr>
          <w:lang w:val="pl-PL"/>
        </w:rPr>
        <w:t xml:space="preserve">pozbawiona wolności </w:t>
      </w:r>
      <w:r w:rsidRPr="00C408DC">
        <w:rPr>
          <w:lang w:val="pl-PL"/>
        </w:rPr>
        <w:t>miała zapewnione warunki, które są zgodne z</w:t>
      </w:r>
      <w:r w:rsidR="00307C05">
        <w:rPr>
          <w:lang w:val="pl-PL"/>
        </w:rPr>
        <w:t> </w:t>
      </w:r>
      <w:r w:rsidRPr="00C408DC">
        <w:rPr>
          <w:lang w:val="pl-PL"/>
        </w:rPr>
        <w:t>poszanowaniem jej godności ludzkiej</w:t>
      </w:r>
      <w:r w:rsidR="00CD6ED7">
        <w:rPr>
          <w:lang w:val="pl-PL"/>
        </w:rPr>
        <w:t>,</w:t>
      </w:r>
      <w:r w:rsidRPr="00C408DC">
        <w:rPr>
          <w:lang w:val="pl-PL"/>
        </w:rPr>
        <w:t xml:space="preserve"> oraz by rodzaj i sposób wykonywania tego środka nie poddawał jej cierpieniu lub trudowi przekraczającemu nieunikniony poziom związany z</w:t>
      </w:r>
      <w:r w:rsidR="00CD6ED7">
        <w:rPr>
          <w:lang w:val="pl-PL"/>
        </w:rPr>
        <w:t xml:space="preserve"> pozbawieniem wolności</w:t>
      </w:r>
      <w:r w:rsidRPr="00C408DC">
        <w:rPr>
          <w:lang w:val="pl-PL"/>
        </w:rPr>
        <w:t>,</w:t>
      </w:r>
      <w:r w:rsidR="00CD6ED7">
        <w:rPr>
          <w:lang w:val="pl-PL"/>
        </w:rPr>
        <w:t xml:space="preserve"> a także – </w:t>
      </w:r>
      <w:r w:rsidRPr="00C408DC">
        <w:rPr>
          <w:lang w:val="pl-PL"/>
        </w:rPr>
        <w:t>biorąc pod uwagę praktyczne</w:t>
      </w:r>
      <w:r w:rsidR="00CD6ED7">
        <w:rPr>
          <w:lang w:val="pl-PL"/>
        </w:rPr>
        <w:t xml:space="preserve"> wymagania pozbawienia wolności – by </w:t>
      </w:r>
      <w:r w:rsidRPr="00C408DC">
        <w:rPr>
          <w:lang w:val="pl-PL"/>
        </w:rPr>
        <w:t>jej zdrowie i dobre samopoczucie były odpowiednio zabezpieczone (zob.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np. </w:t>
      </w:r>
      <w:r w:rsidRPr="00C408DC">
        <w:rPr>
          <w:i/>
          <w:iCs/>
          <w:lang w:val="pl-PL"/>
        </w:rPr>
        <w:t xml:space="preserve">Kudła przeciwko Polsce </w:t>
      </w:r>
      <w:r w:rsidRPr="00C408DC">
        <w:rPr>
          <w:lang w:val="pl-PL"/>
        </w:rPr>
        <w:t xml:space="preserve">[WI], nr 30210/96, § 94, </w:t>
      </w:r>
      <w:r w:rsidR="005C05E6">
        <w:rPr>
          <w:lang w:val="pl-PL"/>
        </w:rPr>
        <w:t>ETPC</w:t>
      </w:r>
      <w:r w:rsidRPr="00C408DC">
        <w:rPr>
          <w:lang w:val="pl-PL"/>
        </w:rPr>
        <w:t xml:space="preserve"> 2000</w:t>
      </w:r>
      <w:r w:rsidRPr="00C408DC">
        <w:rPr>
          <w:lang w:val="pl-PL"/>
        </w:rPr>
        <w:noBreakHyphen/>
        <w:t>XI</w:t>
      </w:r>
      <w:r w:rsidRPr="00C408DC">
        <w:rPr>
          <w:rFonts w:eastAsia="Times New Roman"/>
          <w:color w:val="000000"/>
          <w:lang w:val="pl-PL"/>
        </w:rPr>
        <w:t>).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rFonts w:eastAsia="Times New Roman"/>
          <w:lang w:val="pl-PL"/>
        </w:rPr>
        <w:t>183.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>Co się tyczy przetrzymywanie cudzoziemców i osób ubiegających się</w:t>
      </w:r>
      <w:r w:rsidR="00307C05">
        <w:rPr>
          <w:rFonts w:eastAsia="Times New Roman"/>
          <w:color w:val="000000"/>
          <w:lang w:val="pl-PL"/>
        </w:rPr>
        <w:t> </w:t>
      </w:r>
      <w:r w:rsidRPr="00C408DC">
        <w:rPr>
          <w:rFonts w:eastAsia="Times New Roman"/>
          <w:color w:val="000000"/>
          <w:lang w:val="pl-PL"/>
        </w:rPr>
        <w:t>o azyl, Trybunał powtarza standard wynikający z art. 3 Konwencji, co</w:t>
      </w:r>
      <w:r w:rsidR="00307C05">
        <w:rPr>
          <w:rFonts w:eastAsia="Times New Roman"/>
          <w:color w:val="000000"/>
          <w:lang w:val="pl-PL"/>
        </w:rPr>
        <w:t> </w:t>
      </w:r>
      <w:r w:rsidRPr="00C408DC">
        <w:rPr>
          <w:rFonts w:eastAsia="Times New Roman"/>
          <w:color w:val="000000"/>
          <w:lang w:val="pl-PL"/>
        </w:rPr>
        <w:t xml:space="preserve">zostało przypomniane w </w:t>
      </w:r>
      <w:r w:rsidRPr="00C408DC">
        <w:rPr>
          <w:rFonts w:eastAsia="Times New Roman"/>
          <w:i/>
          <w:iCs/>
          <w:lang w:val="pl-PL"/>
        </w:rPr>
        <w:t xml:space="preserve">M.S.S. </w:t>
      </w:r>
      <w:r w:rsidRPr="00C408DC">
        <w:rPr>
          <w:i/>
          <w:iCs/>
          <w:lang w:val="pl-PL"/>
        </w:rPr>
        <w:t>przeciwko Belgi i Grecji</w:t>
      </w:r>
      <w:r w:rsidRPr="00C408DC">
        <w:rPr>
          <w:rFonts w:eastAsia="Times New Roman"/>
          <w:lang w:val="pl-PL"/>
        </w:rPr>
        <w:t xml:space="preserve"> ([</w:t>
      </w:r>
      <w:r w:rsidRPr="00C408DC">
        <w:rPr>
          <w:lang w:val="pl-PL"/>
        </w:rPr>
        <w:t>WI], nr</w:t>
      </w:r>
      <w:r w:rsidR="00307C05">
        <w:rPr>
          <w:lang w:val="pl-PL"/>
        </w:rPr>
        <w:t> </w:t>
      </w:r>
      <w:r w:rsidRPr="00C408DC">
        <w:rPr>
          <w:lang w:val="pl-PL"/>
        </w:rPr>
        <w:t>30696/09, §§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216-18, </w:t>
      </w:r>
      <w:r w:rsidR="005C05E6">
        <w:rPr>
          <w:lang w:val="pl-PL"/>
        </w:rPr>
        <w:t>ETPC</w:t>
      </w:r>
      <w:r w:rsidRPr="00C408DC">
        <w:rPr>
          <w:lang w:val="pl-PL"/>
        </w:rPr>
        <w:t xml:space="preserve"> 2011 (zob. także </w:t>
      </w:r>
      <w:r w:rsidRPr="00C408DC">
        <w:rPr>
          <w:i/>
          <w:iCs/>
          <w:lang w:val="pl-PL"/>
        </w:rPr>
        <w:t>Dougoz przeciwko Grecji</w:t>
      </w:r>
      <w:r w:rsidRPr="00C408DC">
        <w:rPr>
          <w:lang w:val="pl-PL"/>
        </w:rPr>
        <w:t>, nr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40907/98, § 44, </w:t>
      </w:r>
      <w:r w:rsidR="005C05E6">
        <w:rPr>
          <w:lang w:val="pl-PL"/>
        </w:rPr>
        <w:t>ETPC</w:t>
      </w:r>
      <w:r w:rsidRPr="00C408DC">
        <w:rPr>
          <w:lang w:val="pl-PL"/>
        </w:rPr>
        <w:t xml:space="preserve"> 2001</w:t>
      </w:r>
      <w:r w:rsidRPr="00C408DC">
        <w:rPr>
          <w:lang w:val="pl-PL"/>
        </w:rPr>
        <w:noBreakHyphen/>
        <w:t xml:space="preserve">II; </w:t>
      </w:r>
      <w:r w:rsidRPr="00C408DC">
        <w:rPr>
          <w:i/>
          <w:iCs/>
          <w:lang w:val="pl-PL"/>
        </w:rPr>
        <w:t>Kaja przeciwko Grecji</w:t>
      </w:r>
      <w:r w:rsidRPr="00C408DC">
        <w:rPr>
          <w:lang w:val="pl-PL"/>
        </w:rPr>
        <w:t>, nr 32927/03, §§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45-46, 27 lipca 2006 r.; </w:t>
      </w:r>
      <w:r w:rsidRPr="00C408DC">
        <w:rPr>
          <w:i/>
          <w:iCs/>
          <w:lang w:val="pl-PL"/>
        </w:rPr>
        <w:t>S.D. przeciwko Grecji</w:t>
      </w:r>
      <w:r w:rsidRPr="00C408DC">
        <w:rPr>
          <w:lang w:val="pl-PL"/>
        </w:rPr>
        <w:t xml:space="preserve">, nr 53541/07, </w:t>
      </w:r>
      <w:r w:rsidRPr="00C408DC">
        <w:rPr>
          <w:snapToGrid w:val="0"/>
          <w:lang w:val="pl-PL"/>
        </w:rPr>
        <w:t>§§ 45-48, 11</w:t>
      </w:r>
      <w:r w:rsidR="00307C05">
        <w:rPr>
          <w:snapToGrid w:val="0"/>
          <w:lang w:val="pl-PL"/>
        </w:rPr>
        <w:t> </w:t>
      </w:r>
      <w:r w:rsidRPr="00C408DC">
        <w:rPr>
          <w:snapToGrid w:val="0"/>
          <w:lang w:val="pl-PL"/>
        </w:rPr>
        <w:t xml:space="preserve">czerwca 2009 r.; </w:t>
      </w:r>
      <w:r w:rsidRPr="00C408DC">
        <w:rPr>
          <w:i/>
          <w:iCs/>
          <w:lang w:val="pl-PL"/>
        </w:rPr>
        <w:t>Mahamed Jama</w:t>
      </w:r>
      <w:r w:rsidRPr="00C408DC">
        <w:rPr>
          <w:lang w:val="pl-PL"/>
        </w:rPr>
        <w:t xml:space="preserve"> </w:t>
      </w:r>
      <w:r w:rsidRPr="00C408DC">
        <w:rPr>
          <w:i/>
          <w:iCs/>
          <w:lang w:val="pl-PL"/>
        </w:rPr>
        <w:t>przeciwko Malcie</w:t>
      </w:r>
      <w:r w:rsidRPr="00C408DC">
        <w:rPr>
          <w:snapToGrid w:val="0"/>
          <w:lang w:val="pl-PL"/>
        </w:rPr>
        <w:t xml:space="preserve">, </w:t>
      </w:r>
      <w:r w:rsidRPr="00C408DC">
        <w:rPr>
          <w:lang w:val="pl-PL"/>
        </w:rPr>
        <w:t>nr 10290/13</w:t>
      </w:r>
      <w:r w:rsidRPr="00C408DC">
        <w:rPr>
          <w:snapToGrid w:val="0"/>
          <w:lang w:val="pl-PL"/>
        </w:rPr>
        <w:t xml:space="preserve">, §§ 86-89, 26 </w:t>
      </w:r>
      <w:r w:rsidRPr="00C408DC">
        <w:rPr>
          <w:lang w:val="pl-PL"/>
        </w:rPr>
        <w:t xml:space="preserve">listopada 2015 r.; </w:t>
      </w:r>
      <w:r w:rsidRPr="00C408DC">
        <w:rPr>
          <w:i/>
          <w:iCs/>
          <w:lang w:val="pl-PL"/>
        </w:rPr>
        <w:t>Khlaifia i Inni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163-67; </w:t>
      </w:r>
      <w:r w:rsidRPr="00C408DC">
        <w:rPr>
          <w:i/>
          <w:iCs/>
          <w:lang w:val="pl-PL"/>
        </w:rPr>
        <w:t>Boudraa przeciwko Turcji</w:t>
      </w:r>
      <w:r w:rsidRPr="00C408DC">
        <w:rPr>
          <w:lang w:val="pl-PL"/>
        </w:rPr>
        <w:t xml:space="preserve">, </w:t>
      </w:r>
      <w:r w:rsidRPr="00C408DC">
        <w:rPr>
          <w:lang w:val="pl-PL" w:eastAsia="en-GB"/>
        </w:rPr>
        <w:t>nr</w:t>
      </w:r>
      <w:r w:rsidR="005C05E6">
        <w:rPr>
          <w:lang w:val="pl-PL" w:eastAsia="en-GB"/>
        </w:rPr>
        <w:t xml:space="preserve"> </w:t>
      </w:r>
      <w:r w:rsidRPr="00C408DC">
        <w:rPr>
          <w:lang w:val="pl-PL"/>
        </w:rPr>
        <w:t>1009/16, §§ 28-29, 28 listopada 2017 r.; S</w:t>
      </w:r>
      <w:r w:rsidRPr="00C408DC">
        <w:rPr>
          <w:i/>
          <w:iCs/>
          <w:lang w:val="pl-PL"/>
        </w:rPr>
        <w:t>.F. i Inni przeciwko Bułgarii</w:t>
      </w:r>
      <w:r w:rsidRPr="00C408DC">
        <w:rPr>
          <w:lang w:val="pl-PL"/>
        </w:rPr>
        <w:t xml:space="preserve">, </w:t>
      </w:r>
      <w:r w:rsidRPr="00C408DC">
        <w:rPr>
          <w:lang w:val="pl-PL" w:eastAsia="en-GB"/>
        </w:rPr>
        <w:t>nr</w:t>
      </w:r>
      <w:r w:rsidR="005C05E6">
        <w:rPr>
          <w:lang w:val="pl-PL" w:eastAsia="en-GB"/>
        </w:rPr>
        <w:t xml:space="preserve"> </w:t>
      </w:r>
      <w:r w:rsidRPr="00C408DC">
        <w:rPr>
          <w:lang w:val="pl-PL"/>
        </w:rPr>
        <w:t>8138/16, §§ 78-83, 7 grudnia 2017 r.)</w:t>
      </w:r>
      <w:r w:rsidRPr="00C408DC">
        <w:rPr>
          <w:rFonts w:eastAsia="Times New Roman"/>
          <w:lang w:val="pl-PL"/>
        </w:rPr>
        <w:t>, zgodnie z</w:t>
      </w:r>
      <w:r w:rsidR="00307C05">
        <w:rPr>
          <w:rFonts w:eastAsia="Times New Roman"/>
          <w:lang w:val="pl-PL"/>
        </w:rPr>
        <w:t> </w:t>
      </w:r>
      <w:r w:rsidRPr="00C408DC">
        <w:rPr>
          <w:rFonts w:eastAsia="Times New Roman"/>
          <w:lang w:val="pl-PL"/>
        </w:rPr>
        <w:t>którym to standardem muszą mu towarzyszyć odpowiednie gwarancje dla</w:t>
      </w:r>
      <w:r w:rsidR="00307C05">
        <w:rPr>
          <w:rFonts w:eastAsia="Times New Roman"/>
          <w:lang w:val="pl-PL"/>
        </w:rPr>
        <w:t> </w:t>
      </w:r>
      <w:r w:rsidRPr="00C408DC">
        <w:rPr>
          <w:rFonts w:eastAsia="Times New Roman"/>
          <w:lang w:val="pl-PL"/>
        </w:rPr>
        <w:t xml:space="preserve">zainteresowanych osób, przy czym przetrzymywanie jest dopuszczalne wyłącznie w celu </w:t>
      </w:r>
      <w:r w:rsidR="009F7825">
        <w:rPr>
          <w:rFonts w:eastAsia="Times New Roman"/>
          <w:lang w:val="pl-PL"/>
        </w:rPr>
        <w:t>zapobieżenia</w:t>
      </w:r>
      <w:r w:rsidRPr="00C408DC">
        <w:rPr>
          <w:rFonts w:eastAsia="Times New Roman"/>
          <w:lang w:val="pl-PL"/>
        </w:rPr>
        <w:t xml:space="preserve"> niezgodnej z prawem migracji, przy</w:t>
      </w:r>
      <w:r w:rsidR="00307C05">
        <w:rPr>
          <w:rFonts w:eastAsia="Times New Roman"/>
          <w:lang w:val="pl-PL"/>
        </w:rPr>
        <w:t> </w:t>
      </w:r>
      <w:r w:rsidRPr="00C408DC">
        <w:rPr>
          <w:rFonts w:eastAsia="Times New Roman"/>
          <w:lang w:val="pl-PL"/>
        </w:rPr>
        <w:t>jednoczesnym dochowaniu zobowiązań międzynarodowych, bez</w:t>
      </w:r>
      <w:r w:rsidR="00307C05">
        <w:rPr>
          <w:rFonts w:eastAsia="Times New Roman"/>
          <w:lang w:val="pl-PL"/>
        </w:rPr>
        <w:t> </w:t>
      </w:r>
      <w:r w:rsidRPr="00C408DC">
        <w:rPr>
          <w:rFonts w:eastAsia="Times New Roman"/>
          <w:lang w:val="pl-PL"/>
        </w:rPr>
        <w:t>pozbawiania osób ubiegających się o azyl ochrony przyznanej w</w:t>
      </w:r>
      <w:r w:rsidR="00307C05">
        <w:rPr>
          <w:rFonts w:eastAsia="Times New Roman"/>
          <w:lang w:val="pl-PL"/>
        </w:rPr>
        <w:t> </w:t>
      </w:r>
      <w:r w:rsidRPr="00C408DC">
        <w:rPr>
          <w:shd w:val="clear" w:color="auto" w:fill="FFFFFF"/>
          <w:lang w:val="pl-PL"/>
        </w:rPr>
        <w:t xml:space="preserve">konwencji dotyczącej statusu uchodźców sporządzonej w Genewie </w:t>
      </w:r>
      <w:r w:rsidRPr="00C408DC">
        <w:rPr>
          <w:shd w:val="clear" w:color="auto" w:fill="FFFFFF"/>
          <w:lang w:val="pl-PL"/>
        </w:rPr>
        <w:lastRenderedPageBreak/>
        <w:t>dnia</w:t>
      </w:r>
      <w:r w:rsidR="005B1C6C">
        <w:rPr>
          <w:shd w:val="clear" w:color="auto" w:fill="FFFFFF"/>
          <w:lang w:val="pl-PL"/>
        </w:rPr>
        <w:t> </w:t>
      </w:r>
      <w:r w:rsidRPr="00C408DC">
        <w:rPr>
          <w:shd w:val="clear" w:color="auto" w:fill="FFFFFF"/>
          <w:lang w:val="pl-PL"/>
        </w:rPr>
        <w:t>28</w:t>
      </w:r>
      <w:r w:rsidR="00307C05">
        <w:rPr>
          <w:shd w:val="clear" w:color="auto" w:fill="FFFFFF"/>
          <w:lang w:val="pl-PL"/>
        </w:rPr>
        <w:t> </w:t>
      </w:r>
      <w:r w:rsidRPr="00C408DC">
        <w:rPr>
          <w:shd w:val="clear" w:color="auto" w:fill="FFFFFF"/>
          <w:lang w:val="pl-PL"/>
        </w:rPr>
        <w:t>lipca 1951</w:t>
      </w:r>
      <w:r w:rsidR="005C05E6">
        <w:rPr>
          <w:shd w:val="clear" w:color="auto" w:fill="FFFFFF"/>
          <w:lang w:val="pl-PL"/>
        </w:rPr>
        <w:t xml:space="preserve"> </w:t>
      </w:r>
      <w:r w:rsidRPr="00C408DC">
        <w:rPr>
          <w:shd w:val="clear" w:color="auto" w:fill="FFFFFF"/>
          <w:lang w:val="pl-PL"/>
        </w:rPr>
        <w:t xml:space="preserve">r. i w </w:t>
      </w:r>
      <w:r w:rsidR="005A3976" w:rsidRPr="005A3976">
        <w:rPr>
          <w:shd w:val="clear" w:color="auto" w:fill="FFFFFF"/>
          <w:lang w:val="pl-PL"/>
        </w:rPr>
        <w:t>Konwencji o ochronie praw człowieka i</w:t>
      </w:r>
      <w:r w:rsidR="005B1C6C">
        <w:rPr>
          <w:shd w:val="clear" w:color="auto" w:fill="FFFFFF"/>
          <w:lang w:val="pl-PL"/>
        </w:rPr>
        <w:t> </w:t>
      </w:r>
      <w:r w:rsidR="005A3976" w:rsidRPr="005A3976">
        <w:rPr>
          <w:shd w:val="clear" w:color="auto" w:fill="FFFFFF"/>
          <w:lang w:val="pl-PL"/>
        </w:rPr>
        <w:t xml:space="preserve">podstawowych wolności </w:t>
      </w:r>
      <w:r w:rsidRPr="00C408DC">
        <w:rPr>
          <w:shd w:val="clear" w:color="auto" w:fill="FFFFFF"/>
          <w:lang w:val="pl-PL"/>
        </w:rPr>
        <w:t xml:space="preserve">(zob. także </w:t>
      </w:r>
      <w:r w:rsidRPr="00C408DC">
        <w:rPr>
          <w:i/>
          <w:iCs/>
          <w:lang w:val="pl-PL"/>
        </w:rPr>
        <w:t>Rahimi przeciwko Grecji</w:t>
      </w:r>
      <w:r w:rsidRPr="00C408DC">
        <w:rPr>
          <w:lang w:val="pl-PL"/>
        </w:rPr>
        <w:t xml:space="preserve">, nr 8687/08, § 62, 5 kwietnia 2011 r., </w:t>
      </w:r>
      <w:r w:rsidRPr="00C408DC">
        <w:rPr>
          <w:i/>
          <w:iCs/>
          <w:lang w:val="pl-PL"/>
        </w:rPr>
        <w:t>Khlaifia i Inni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162, w kontekście pozytywnych obowiązków wobec obcych obywateli </w:t>
      </w:r>
      <w:r w:rsidR="009F7825">
        <w:rPr>
          <w:lang w:val="pl-PL"/>
        </w:rPr>
        <w:t xml:space="preserve">w czasie oczekiwania </w:t>
      </w:r>
      <w:r w:rsidRPr="00C408DC">
        <w:rPr>
          <w:lang w:val="pl-PL"/>
        </w:rPr>
        <w:t>na</w:t>
      </w:r>
      <w:r w:rsidR="005B1C6C">
        <w:rPr>
          <w:lang w:val="pl-PL"/>
        </w:rPr>
        <w:t> </w:t>
      </w:r>
      <w:r w:rsidRPr="00C408DC">
        <w:rPr>
          <w:lang w:val="pl-PL"/>
        </w:rPr>
        <w:t xml:space="preserve">wydanie wizy tranzytowej; oraz </w:t>
      </w:r>
      <w:r w:rsidRPr="00C408DC">
        <w:rPr>
          <w:i/>
          <w:iCs/>
          <w:lang w:val="pl-PL"/>
        </w:rPr>
        <w:t>Shioshvili i Inni przeciwko Rosji</w:t>
      </w:r>
      <w:r w:rsidRPr="00C408DC">
        <w:rPr>
          <w:snapToGrid w:val="0"/>
          <w:lang w:val="pl-PL"/>
        </w:rPr>
        <w:t xml:space="preserve">, </w:t>
      </w:r>
      <w:r w:rsidRPr="00C408DC">
        <w:rPr>
          <w:lang w:val="pl-PL"/>
        </w:rPr>
        <w:t>nr</w:t>
      </w:r>
      <w:r w:rsidR="005B1C6C">
        <w:rPr>
          <w:lang w:val="pl-PL"/>
        </w:rPr>
        <w:t> </w:t>
      </w:r>
      <w:r w:rsidRPr="00C408DC">
        <w:rPr>
          <w:lang w:val="pl-PL"/>
        </w:rPr>
        <w:t>19356/07, §§ 83-86, 20 grudnia 2016 r.</w:t>
      </w:r>
      <w:r w:rsidRPr="00C408DC">
        <w:rPr>
          <w:rFonts w:eastAsia="Times New Roman"/>
          <w:color w:val="000000"/>
          <w:lang w:val="pl-PL"/>
        </w:rPr>
        <w:t>).</w:t>
      </w:r>
    </w:p>
    <w:p w:rsidR="001377AE" w:rsidRPr="00C408DC" w:rsidRDefault="001377AE" w:rsidP="00072604">
      <w:pPr>
        <w:pStyle w:val="JuPara"/>
        <w:rPr>
          <w:rFonts w:eastAsia="Times New Roman"/>
          <w:color w:val="000000"/>
          <w:lang w:val="pl-PL"/>
        </w:rPr>
      </w:pPr>
      <w:r w:rsidRPr="00C408DC">
        <w:rPr>
          <w:rFonts w:eastAsia="Times New Roman"/>
          <w:color w:val="000000"/>
          <w:lang w:val="pl-PL"/>
        </w:rPr>
        <w:t>184.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>U</w:t>
      </w:r>
      <w:r w:rsidR="009F7825">
        <w:rPr>
          <w:rFonts w:eastAsia="Times New Roman"/>
          <w:color w:val="000000"/>
          <w:lang w:val="pl-PL"/>
        </w:rPr>
        <w:t>prawniona</w:t>
      </w:r>
      <w:r w:rsidRPr="00C408DC">
        <w:rPr>
          <w:rFonts w:eastAsia="Times New Roman"/>
          <w:color w:val="000000"/>
          <w:lang w:val="pl-PL"/>
        </w:rPr>
        <w:t xml:space="preserve"> troska państw o udaremnienie coraz częstszych prób obchodzenia ograniczeń imigracyjnych nie może pozbawiać osób ubiegających się o azyl ochrony przyznanej w tych konwencjach (zob.</w:t>
      </w:r>
      <w:r w:rsidR="00307C05" w:rsidRPr="00307C05">
        <w:rPr>
          <w:lang w:val="pl-PL"/>
        </w:rPr>
        <w:t> </w:t>
      </w:r>
      <w:r w:rsidRPr="00C408DC">
        <w:rPr>
          <w:rFonts w:eastAsia="Times New Roman"/>
          <w:i/>
          <w:iCs/>
          <w:color w:val="000000"/>
          <w:lang w:val="pl-PL"/>
        </w:rPr>
        <w:t>Amuur</w:t>
      </w:r>
      <w:r w:rsidRPr="00C408DC">
        <w:rPr>
          <w:rFonts w:eastAsia="Times New Roman"/>
          <w:color w:val="000000"/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rFonts w:eastAsia="Times New Roman"/>
          <w:color w:val="000000"/>
          <w:lang w:val="pl-PL"/>
        </w:rPr>
        <w:t>, §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>43).</w:t>
      </w:r>
    </w:p>
    <w:p w:rsidR="001377AE" w:rsidRPr="00C408DC" w:rsidRDefault="001377AE" w:rsidP="00072604">
      <w:pPr>
        <w:pStyle w:val="JuPara"/>
        <w:rPr>
          <w:rFonts w:eastAsia="Times New Roman"/>
          <w:color w:val="000000"/>
          <w:lang w:val="pl-PL"/>
        </w:rPr>
      </w:pPr>
      <w:r w:rsidRPr="00C408DC">
        <w:rPr>
          <w:rFonts w:eastAsia="Times New Roman"/>
          <w:color w:val="000000"/>
          <w:lang w:val="pl-PL"/>
        </w:rPr>
        <w:t>185.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 xml:space="preserve">Jeżeli Trybunał ma zbadać zgodność sposobu wykonania danego środka z przepisami Konwencji, to musi on przyjrzeć się konkretnym sytuacjom zainteresowanych osób (zob. </w:t>
      </w:r>
      <w:r w:rsidRPr="00C408DC">
        <w:rPr>
          <w:rFonts w:eastAsia="Times New Roman"/>
          <w:i/>
          <w:iCs/>
          <w:color w:val="000000"/>
          <w:lang w:val="pl-PL"/>
        </w:rPr>
        <w:t>Riad i Idiab</w:t>
      </w:r>
      <w:r w:rsidRPr="00C408DC">
        <w:rPr>
          <w:rFonts w:eastAsia="Times New Roman"/>
          <w:color w:val="000000"/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rFonts w:eastAsia="Times New Roman"/>
          <w:color w:val="000000"/>
          <w:lang w:val="pl-PL"/>
        </w:rPr>
        <w:t>, §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>100). Państwa muszą mieć szczególny wzgląd na art. 3 Konwencji, który zawiera jedną z najbardziej podstawowych wartości demokratycznych społeczeństw i zakazuje w bezwzględny</w:t>
      </w:r>
      <w:r w:rsidR="009F7825">
        <w:rPr>
          <w:rFonts w:eastAsia="Times New Roman"/>
          <w:color w:val="000000"/>
          <w:lang w:val="pl-PL"/>
        </w:rPr>
        <w:t xml:space="preserve"> sposób</w:t>
      </w:r>
      <w:r w:rsidRPr="00C408DC">
        <w:rPr>
          <w:rFonts w:eastAsia="Times New Roman"/>
          <w:color w:val="000000"/>
          <w:lang w:val="pl-PL"/>
        </w:rPr>
        <w:t xml:space="preserve"> </w:t>
      </w:r>
      <w:r w:rsidRPr="00C408DC">
        <w:rPr>
          <w:lang w:val="pl-PL"/>
        </w:rPr>
        <w:t>tortur oraz nieludzkiego lub poniżającego traktowania albo karania</w:t>
      </w:r>
      <w:r w:rsidR="005C05E6">
        <w:rPr>
          <w:rFonts w:eastAsia="Times New Roman"/>
          <w:color w:val="000000"/>
          <w:lang w:val="pl-PL"/>
        </w:rPr>
        <w:t xml:space="preserve"> </w:t>
      </w:r>
      <w:r w:rsidR="009F7825">
        <w:rPr>
          <w:rFonts w:eastAsia="Times New Roman"/>
          <w:color w:val="000000"/>
          <w:lang w:val="pl-PL"/>
        </w:rPr>
        <w:t xml:space="preserve">(zob. m.in. </w:t>
      </w:r>
      <w:r w:rsidRPr="00C408DC">
        <w:rPr>
          <w:rFonts w:eastAsia="Times New Roman"/>
          <w:i/>
          <w:iCs/>
          <w:color w:val="000000"/>
          <w:lang w:val="pl-PL"/>
        </w:rPr>
        <w:t xml:space="preserve">Labita przeciwko Włochom </w:t>
      </w:r>
      <w:r w:rsidRPr="00C408DC">
        <w:rPr>
          <w:rFonts w:eastAsia="Times New Roman"/>
          <w:color w:val="000000"/>
          <w:lang w:val="pl-PL"/>
        </w:rPr>
        <w:t>[WI], nr</w:t>
      </w:r>
      <w:r w:rsidR="00307C05">
        <w:rPr>
          <w:rFonts w:eastAsia="Times New Roman"/>
          <w:color w:val="000000"/>
          <w:lang w:val="pl-PL"/>
        </w:rPr>
        <w:t> </w:t>
      </w:r>
      <w:r w:rsidRPr="00C408DC">
        <w:rPr>
          <w:rFonts w:eastAsia="Times New Roman"/>
          <w:color w:val="000000"/>
          <w:lang w:val="pl-PL"/>
        </w:rPr>
        <w:t xml:space="preserve">26772/95, § 119, </w:t>
      </w:r>
      <w:r w:rsidR="005C05E6">
        <w:rPr>
          <w:rFonts w:eastAsia="Times New Roman"/>
          <w:color w:val="000000"/>
          <w:lang w:val="pl-PL"/>
        </w:rPr>
        <w:t xml:space="preserve">ETPC </w:t>
      </w:r>
      <w:r w:rsidRPr="00C408DC">
        <w:rPr>
          <w:rFonts w:eastAsia="Times New Roman"/>
          <w:color w:val="000000"/>
          <w:lang w:val="pl-PL"/>
        </w:rPr>
        <w:t>2000</w:t>
      </w:r>
      <w:r w:rsidRPr="00C408DC">
        <w:rPr>
          <w:rFonts w:eastAsia="Times New Roman"/>
          <w:color w:val="000000"/>
          <w:lang w:val="pl-PL"/>
        </w:rPr>
        <w:noBreakHyphen/>
        <w:t>IV).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rFonts w:eastAsia="Times New Roman"/>
          <w:lang w:val="pl-PL"/>
        </w:rPr>
        <w:t>186.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 xml:space="preserve">Trybunał ponadto przypomina, iż oprócz konieczności zapewnienia wystarczającej przestrzeni osobistej, inne aspekty fizycznych warunków </w:t>
      </w:r>
      <w:r w:rsidR="00A62897">
        <w:rPr>
          <w:rFonts w:eastAsia="Times New Roman"/>
          <w:color w:val="000000"/>
          <w:lang w:val="pl-PL"/>
        </w:rPr>
        <w:t xml:space="preserve">pozbawienia wolności </w:t>
      </w:r>
      <w:r w:rsidRPr="00C408DC">
        <w:rPr>
          <w:rFonts w:eastAsia="Times New Roman"/>
          <w:color w:val="000000"/>
          <w:lang w:val="pl-PL"/>
        </w:rPr>
        <w:t xml:space="preserve">mają znaczenie dla oceny zgodności z art. 3 w takich przypadkach. Istotne elementy to m.in. dostęp do </w:t>
      </w:r>
      <w:r w:rsidR="00A62897">
        <w:rPr>
          <w:rFonts w:eastAsia="Times New Roman"/>
          <w:color w:val="000000"/>
          <w:lang w:val="pl-PL"/>
        </w:rPr>
        <w:t>zajęć na świeżym powietrzu</w:t>
      </w:r>
      <w:r w:rsidRPr="00C408DC">
        <w:rPr>
          <w:rFonts w:eastAsia="Times New Roman"/>
          <w:color w:val="000000"/>
          <w:lang w:val="pl-PL"/>
        </w:rPr>
        <w:t>, naturalnego światła lub powietrza, dostępność wentylacji oraz</w:t>
      </w:r>
      <w:r w:rsidR="00307C05">
        <w:rPr>
          <w:rFonts w:eastAsia="Times New Roman"/>
          <w:color w:val="000000"/>
          <w:lang w:val="pl-PL"/>
        </w:rPr>
        <w:t> </w:t>
      </w:r>
      <w:r w:rsidRPr="00C408DC">
        <w:rPr>
          <w:rFonts w:eastAsia="Times New Roman"/>
          <w:color w:val="000000"/>
          <w:lang w:val="pl-PL"/>
        </w:rPr>
        <w:t>zgodność z podstawowymi wymogami sanitarno-higienicznymi (zob.</w:t>
      </w:r>
      <w:r w:rsidR="00307C05">
        <w:rPr>
          <w:rFonts w:eastAsia="Times New Roman"/>
          <w:color w:val="000000"/>
          <w:lang w:val="pl-PL"/>
        </w:rPr>
        <w:t> </w:t>
      </w:r>
      <w:r w:rsidRPr="00C408DC">
        <w:rPr>
          <w:rFonts w:eastAsia="Times New Roman"/>
          <w:color w:val="000000"/>
          <w:lang w:val="pl-PL"/>
        </w:rPr>
        <w:t xml:space="preserve">np. </w:t>
      </w:r>
      <w:r w:rsidRPr="00C408DC">
        <w:rPr>
          <w:rFonts w:eastAsia="Times New Roman"/>
          <w:i/>
          <w:iCs/>
          <w:color w:val="000000"/>
          <w:lang w:val="pl-PL"/>
        </w:rPr>
        <w:t xml:space="preserve">S.D. </w:t>
      </w:r>
      <w:r w:rsidRPr="00C408DC">
        <w:rPr>
          <w:i/>
          <w:iCs/>
          <w:lang w:val="pl-PL"/>
        </w:rPr>
        <w:t>przeciwko Grecji</w:t>
      </w:r>
      <w:r w:rsidRPr="00C408DC">
        <w:rPr>
          <w:rFonts w:eastAsia="Times New Roman"/>
          <w:color w:val="000000"/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rFonts w:eastAsia="Times New Roman"/>
          <w:color w:val="000000"/>
          <w:lang w:val="pl-PL"/>
        </w:rPr>
        <w:t>, §§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 xml:space="preserve">49-54; </w:t>
      </w:r>
      <w:r w:rsidRPr="00C408DC">
        <w:rPr>
          <w:rFonts w:eastAsia="Times New Roman"/>
          <w:i/>
          <w:iCs/>
          <w:color w:val="000000"/>
          <w:lang w:val="pl-PL"/>
        </w:rPr>
        <w:t xml:space="preserve">Tabesh </w:t>
      </w:r>
      <w:r w:rsidRPr="00C408DC">
        <w:rPr>
          <w:i/>
          <w:iCs/>
          <w:lang w:val="pl-PL"/>
        </w:rPr>
        <w:t>przeciwko Grecji</w:t>
      </w:r>
      <w:r w:rsidRPr="00C408DC">
        <w:rPr>
          <w:rFonts w:eastAsia="Times New Roman"/>
          <w:color w:val="000000"/>
          <w:lang w:val="pl-PL"/>
        </w:rPr>
        <w:t>, nr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>8256/07, §§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>38-44, 26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 xml:space="preserve">listopada 2009 r.; </w:t>
      </w:r>
      <w:r w:rsidRPr="00C408DC">
        <w:rPr>
          <w:rFonts w:eastAsia="Times New Roman"/>
          <w:i/>
          <w:iCs/>
          <w:color w:val="000000"/>
          <w:lang w:val="pl-PL"/>
        </w:rPr>
        <w:t xml:space="preserve">A.A. </w:t>
      </w:r>
      <w:r w:rsidRPr="00C408DC">
        <w:rPr>
          <w:i/>
          <w:iCs/>
          <w:lang w:val="pl-PL"/>
        </w:rPr>
        <w:t>przeciwko Grecji</w:t>
      </w:r>
      <w:r w:rsidRPr="00C408DC">
        <w:rPr>
          <w:rFonts w:eastAsia="Times New Roman"/>
          <w:color w:val="000000"/>
          <w:lang w:val="pl-PL"/>
        </w:rPr>
        <w:t>, nr</w:t>
      </w:r>
      <w:r w:rsidR="00307C05">
        <w:rPr>
          <w:rFonts w:eastAsia="Times New Roman"/>
          <w:color w:val="000000"/>
          <w:lang w:val="pl-PL"/>
        </w:rPr>
        <w:t> </w:t>
      </w:r>
      <w:r w:rsidRPr="00C408DC">
        <w:rPr>
          <w:rFonts w:eastAsia="Times New Roman"/>
          <w:color w:val="000000"/>
          <w:lang w:val="pl-PL"/>
        </w:rPr>
        <w:t xml:space="preserve">12186/08, §§ 57-65, 22 lipca 2010 r.; </w:t>
      </w:r>
      <w:r w:rsidRPr="00C408DC">
        <w:rPr>
          <w:i/>
          <w:iCs/>
          <w:lang w:val="pl-PL"/>
        </w:rPr>
        <w:t>E.A.</w:t>
      </w:r>
      <w:r w:rsidRPr="00C408DC">
        <w:rPr>
          <w:lang w:val="pl-PL"/>
        </w:rPr>
        <w:t xml:space="preserve"> </w:t>
      </w:r>
      <w:r w:rsidRPr="00C408DC">
        <w:rPr>
          <w:i/>
          <w:iCs/>
          <w:lang w:val="pl-PL"/>
        </w:rPr>
        <w:t>przeciwko Grecji</w:t>
      </w:r>
      <w:r w:rsidRPr="00C408DC">
        <w:rPr>
          <w:lang w:val="pl-PL"/>
        </w:rPr>
        <w:t>, nr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74308/10,</w:t>
      </w:r>
      <w:r w:rsidRPr="00C408DC">
        <w:rPr>
          <w:snapToGrid w:val="0"/>
          <w:lang w:val="pl-PL"/>
        </w:rPr>
        <w:t xml:space="preserve"> §§ 50-51, 30 lipca 2015 r.; </w:t>
      </w:r>
      <w:r w:rsidRPr="00C408DC">
        <w:rPr>
          <w:i/>
          <w:iCs/>
          <w:lang w:val="pl-PL"/>
        </w:rPr>
        <w:t>Abdi Mahamud</w:t>
      </w:r>
      <w:r w:rsidRPr="00C408DC">
        <w:rPr>
          <w:lang w:val="pl-PL"/>
        </w:rPr>
        <w:t xml:space="preserve"> </w:t>
      </w:r>
      <w:r w:rsidRPr="00C408DC">
        <w:rPr>
          <w:i/>
          <w:iCs/>
          <w:lang w:val="pl-PL"/>
        </w:rPr>
        <w:t>przeciwko Malcie</w:t>
      </w:r>
      <w:r w:rsidRPr="00C408DC">
        <w:rPr>
          <w:lang w:val="pl-PL"/>
        </w:rPr>
        <w:t>, nr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56796/13</w:t>
      </w:r>
      <w:r w:rsidRPr="00C408DC">
        <w:rPr>
          <w:snapToGrid w:val="0"/>
          <w:lang w:val="pl-PL"/>
        </w:rPr>
        <w:t>, §§</w:t>
      </w:r>
      <w:r w:rsidR="005C05E6">
        <w:rPr>
          <w:snapToGrid w:val="0"/>
          <w:lang w:val="pl-PL"/>
        </w:rPr>
        <w:t xml:space="preserve"> </w:t>
      </w:r>
      <w:r w:rsidRPr="00C408DC">
        <w:rPr>
          <w:snapToGrid w:val="0"/>
          <w:lang w:val="pl-PL"/>
        </w:rPr>
        <w:t xml:space="preserve">89-90, 3 maja 2016 r.; </w:t>
      </w:r>
      <w:r w:rsidRPr="00C408DC">
        <w:rPr>
          <w:i/>
          <w:iCs/>
          <w:lang w:val="pl-PL"/>
        </w:rPr>
        <w:t>Alimov przeciwko Turcji</w:t>
      </w:r>
      <w:r w:rsidRPr="00C408DC">
        <w:rPr>
          <w:snapToGrid w:val="0"/>
          <w:lang w:val="pl-PL"/>
        </w:rPr>
        <w:t xml:space="preserve">, </w:t>
      </w:r>
      <w:r w:rsidRPr="00C408DC">
        <w:rPr>
          <w:lang w:val="pl-PL"/>
        </w:rPr>
        <w:t>nr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14344/13</w:t>
      </w:r>
      <w:r w:rsidRPr="00C408DC">
        <w:rPr>
          <w:snapToGrid w:val="0"/>
          <w:lang w:val="pl-PL"/>
        </w:rPr>
        <w:t>, §§</w:t>
      </w:r>
      <w:r w:rsidR="005C05E6">
        <w:rPr>
          <w:snapToGrid w:val="0"/>
          <w:lang w:val="pl-PL"/>
        </w:rPr>
        <w:t xml:space="preserve"> </w:t>
      </w:r>
      <w:r w:rsidRPr="00C408DC">
        <w:rPr>
          <w:snapToGrid w:val="0"/>
          <w:lang w:val="pl-PL"/>
        </w:rPr>
        <w:t>84-85, 6</w:t>
      </w:r>
      <w:r w:rsidR="00307C05">
        <w:rPr>
          <w:snapToGrid w:val="0"/>
          <w:lang w:val="pl-PL"/>
        </w:rPr>
        <w:t> </w:t>
      </w:r>
      <w:r w:rsidRPr="00C408DC">
        <w:rPr>
          <w:snapToGrid w:val="0"/>
          <w:lang w:val="pl-PL"/>
        </w:rPr>
        <w:t xml:space="preserve">września 2016; </w:t>
      </w:r>
      <w:r w:rsidRPr="00C408DC">
        <w:rPr>
          <w:i/>
          <w:iCs/>
          <w:lang w:val="pl-PL"/>
        </w:rPr>
        <w:t>Abdullahi Elmi i Aweys Abubakar przeciwko Malcie</w:t>
      </w:r>
      <w:r w:rsidRPr="00C408DC">
        <w:rPr>
          <w:lang w:val="pl-PL"/>
        </w:rPr>
        <w:t>, nr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25794/13 i 28151/13, </w:t>
      </w:r>
      <w:r w:rsidRPr="00C408DC">
        <w:rPr>
          <w:snapToGrid w:val="0"/>
          <w:lang w:val="pl-PL"/>
        </w:rPr>
        <w:t>§</w:t>
      </w:r>
      <w:r w:rsidRPr="00C408DC">
        <w:rPr>
          <w:lang w:val="pl-PL"/>
        </w:rPr>
        <w:t xml:space="preserve">§ 113-14, 22 listopada 2016 r.; </w:t>
      </w:r>
      <w:r w:rsidRPr="00C408DC">
        <w:rPr>
          <w:i/>
          <w:iCs/>
          <w:lang w:val="pl-PL"/>
        </w:rPr>
        <w:t>Khlaifia i Inni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</w:t>
      </w:r>
      <w:r w:rsidR="00307C05">
        <w:rPr>
          <w:lang w:val="pl-PL"/>
        </w:rPr>
        <w:t> </w:t>
      </w:r>
      <w:r w:rsidR="00F01F0C">
        <w:rPr>
          <w:lang w:val="pl-PL"/>
        </w:rPr>
        <w:t>powyżej</w:t>
      </w:r>
      <w:r w:rsidRPr="00C408DC">
        <w:rPr>
          <w:lang w:val="pl-PL"/>
        </w:rPr>
        <w:t>, § 167).</w:t>
      </w:r>
    </w:p>
    <w:p w:rsidR="001377AE" w:rsidRPr="00C408DC" w:rsidRDefault="001377AE" w:rsidP="00072604">
      <w:pPr>
        <w:pStyle w:val="JuH1"/>
        <w:rPr>
          <w:lang w:val="pl-PL"/>
        </w:rPr>
      </w:pPr>
      <w:r w:rsidRPr="00C408DC">
        <w:rPr>
          <w:lang w:val="pl-PL"/>
        </w:rPr>
        <w:t>Zastosowanie powyższych zasad</w:t>
      </w:r>
    </w:p>
    <w:p w:rsidR="001377AE" w:rsidRPr="00C408DC" w:rsidRDefault="001377AE" w:rsidP="00072604">
      <w:pPr>
        <w:pStyle w:val="JuPara"/>
        <w:rPr>
          <w:color w:val="000000"/>
          <w:lang w:val="pl-PL"/>
        </w:rPr>
      </w:pPr>
      <w:r w:rsidRPr="00C408DC">
        <w:rPr>
          <w:color w:val="000000"/>
          <w:lang w:val="pl-PL"/>
        </w:rPr>
        <w:t>187.</w:t>
      </w:r>
      <w:r w:rsidR="005C05E6">
        <w:rPr>
          <w:color w:val="000000"/>
          <w:lang w:val="pl-PL"/>
        </w:rPr>
        <w:t xml:space="preserve"> </w:t>
      </w:r>
      <w:r w:rsidRPr="00C408DC">
        <w:rPr>
          <w:lang w:val="pl-PL"/>
        </w:rPr>
        <w:t>Trybunał przede wszystkim zauważa, że wiele z U</w:t>
      </w:r>
      <w:r w:rsidR="00E33562" w:rsidRPr="00C408DC">
        <w:rPr>
          <w:lang w:val="pl-PL"/>
        </w:rPr>
        <w:t>kłada</w:t>
      </w:r>
      <w:r w:rsidRPr="00C408DC">
        <w:rPr>
          <w:lang w:val="pl-PL"/>
        </w:rPr>
        <w:t>jących się Stron Konwencji doświadcza znacznych trudności w radzeniu sobie z</w:t>
      </w:r>
      <w:r w:rsidR="00307C05">
        <w:rPr>
          <w:lang w:val="pl-PL"/>
        </w:rPr>
        <w:t> </w:t>
      </w:r>
      <w:r w:rsidRPr="00C408DC">
        <w:rPr>
          <w:lang w:val="pl-PL"/>
        </w:rPr>
        <w:t>napływem migrantów i osób ubiegających się o azyl. Trybunał bynajmniej nie lekceważy obciążenia i presji, które sytuacja ta wywiera na</w:t>
      </w:r>
      <w:r w:rsidR="00307C05">
        <w:rPr>
          <w:lang w:val="pl-PL"/>
        </w:rPr>
        <w:t> </w:t>
      </w:r>
      <w:r w:rsidRPr="00C408DC">
        <w:rPr>
          <w:lang w:val="pl-PL"/>
        </w:rPr>
        <w:t>zainteresowane państwa; ma on w szczególności świadomość trudności związanych z przyjmowaniem migrantów i osób ubiegających się o azyl na</w:t>
      </w:r>
      <w:r w:rsidR="00307C05">
        <w:rPr>
          <w:lang w:val="pl-PL"/>
        </w:rPr>
        <w:t> </w:t>
      </w:r>
      <w:r w:rsidRPr="00C408DC">
        <w:rPr>
          <w:lang w:val="pl-PL"/>
        </w:rPr>
        <w:t>głównych lotniskach międzynarodowych po ich przybyciu</w:t>
      </w:r>
      <w:r w:rsidRPr="00C408DC">
        <w:rPr>
          <w:color w:val="000000"/>
          <w:lang w:val="pl-PL"/>
        </w:rPr>
        <w:t>.</w:t>
      </w:r>
    </w:p>
    <w:p w:rsidR="001377AE" w:rsidRPr="00C408DC" w:rsidRDefault="001377AE" w:rsidP="00072604">
      <w:pPr>
        <w:pStyle w:val="JuPara"/>
        <w:rPr>
          <w:color w:val="000000"/>
          <w:lang w:val="pl-PL"/>
        </w:rPr>
      </w:pPr>
      <w:r w:rsidRPr="00C408DC">
        <w:rPr>
          <w:color w:val="000000"/>
          <w:lang w:val="pl-PL"/>
        </w:rPr>
        <w:t>188.</w:t>
      </w:r>
      <w:r w:rsidR="005C05E6">
        <w:rPr>
          <w:color w:val="000000"/>
          <w:lang w:val="pl-PL"/>
        </w:rPr>
        <w:t xml:space="preserve"> </w:t>
      </w:r>
      <w:r w:rsidRPr="00C408DC">
        <w:rPr>
          <w:lang w:val="pl-PL"/>
        </w:rPr>
        <w:t xml:space="preserve">Trybunał jednak w związku z powyższym przypomina, że zakaz nieludzkiego lub poniżającego traktowania jest podstawową wartością demokratycznych społeczeństw. Jest to także wartość cywilizacyjna blisko </w:t>
      </w:r>
      <w:r w:rsidRPr="00C408DC">
        <w:rPr>
          <w:lang w:val="pl-PL"/>
        </w:rPr>
        <w:lastRenderedPageBreak/>
        <w:t>związana z poszanowaniem godności ludzkiej, stanowiącej część samej istoty Konwencji. Przedmiotowy zakaz jest bezwzględny, bowiem żadne odstępstwo nie jest dopuszczalne od niego, nawet w pr</w:t>
      </w:r>
      <w:r w:rsidR="00A62897">
        <w:rPr>
          <w:lang w:val="pl-PL"/>
        </w:rPr>
        <w:t>zypadku sytuacji nadzwyczajnych</w:t>
      </w:r>
      <w:r w:rsidRPr="00C408DC">
        <w:rPr>
          <w:lang w:val="pl-PL"/>
        </w:rPr>
        <w:t xml:space="preserve"> zagrażających życiu państwa lub w najtrudniejszych okolicznościach, takich jak walka z terroryzmem i zorganizowaną przestępczością, niezależnie od zachowania zainteresowanej osoby (zob.</w:t>
      </w:r>
      <w:r w:rsidR="00307C05">
        <w:rPr>
          <w:lang w:val="pl-PL"/>
        </w:rPr>
        <w:t> </w:t>
      </w:r>
      <w:r w:rsidRPr="00C408DC">
        <w:rPr>
          <w:i/>
          <w:iCs/>
          <w:lang w:val="pl-PL"/>
        </w:rPr>
        <w:t>Khlaifia i Inni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 158, z dalszymi odniesieniami). Trudności, o których mowa w powyższym punkcie</w:t>
      </w:r>
      <w:r w:rsidR="00A62897">
        <w:rPr>
          <w:lang w:val="pl-PL"/>
        </w:rPr>
        <w:t>,</w:t>
      </w:r>
      <w:r w:rsidRPr="00C408DC">
        <w:rPr>
          <w:lang w:val="pl-PL"/>
        </w:rPr>
        <w:t xml:space="preserve"> nie zwalniają zatem państwa z jego zobowiązań wynikających z art. 3</w:t>
      </w:r>
      <w:r w:rsidRPr="00C408DC">
        <w:rPr>
          <w:color w:val="000000"/>
          <w:lang w:val="pl-PL"/>
        </w:rPr>
        <w:t>.</w:t>
      </w:r>
    </w:p>
    <w:p w:rsidR="001377AE" w:rsidRPr="00C408DC" w:rsidRDefault="001377AE" w:rsidP="00072604">
      <w:pPr>
        <w:pStyle w:val="JuPara"/>
        <w:rPr>
          <w:rFonts w:eastAsia="Times New Roman"/>
          <w:lang w:val="pl-PL"/>
        </w:rPr>
      </w:pPr>
      <w:r w:rsidRPr="00C408DC">
        <w:rPr>
          <w:color w:val="000000"/>
          <w:lang w:val="pl-PL"/>
        </w:rPr>
        <w:t>189.</w:t>
      </w:r>
      <w:r w:rsidR="005C05E6">
        <w:rPr>
          <w:color w:val="000000"/>
          <w:lang w:val="pl-PL"/>
        </w:rPr>
        <w:t xml:space="preserve"> </w:t>
      </w:r>
      <w:r w:rsidRPr="00C408DC">
        <w:rPr>
          <w:lang w:val="pl-PL"/>
        </w:rPr>
        <w:t>Mając wzgląd na wcześniejsze stwierdzenie, iż pobyt skarżących w</w:t>
      </w:r>
      <w:r w:rsidR="00307C05">
        <w:rPr>
          <w:lang w:val="pl-PL"/>
        </w:rPr>
        <w:t> </w:t>
      </w:r>
      <w:r w:rsidRPr="00C408DC">
        <w:rPr>
          <w:lang w:val="pl-PL"/>
        </w:rPr>
        <w:t>strefie tranzytowej lotniska był równoznaczny z pozbawieniem wolności (</w:t>
      </w:r>
      <w:r w:rsidR="005B2137" w:rsidRPr="00C408DC">
        <w:rPr>
          <w:lang w:val="pl-PL"/>
        </w:rPr>
        <w:t>zob. paragraf</w:t>
      </w:r>
      <w:r w:rsidRPr="00C408DC">
        <w:rPr>
          <w:lang w:val="pl-PL"/>
        </w:rPr>
        <w:t xml:space="preserve"> 156 powyżej), zadanie Trybunału w niniejszej sprawie polega na </w:t>
      </w:r>
      <w:r w:rsidR="0007571F">
        <w:rPr>
          <w:lang w:val="pl-PL"/>
        </w:rPr>
        <w:t xml:space="preserve">skontrolowaniu </w:t>
      </w:r>
      <w:r w:rsidR="00A62897">
        <w:rPr>
          <w:lang w:val="pl-PL"/>
        </w:rPr>
        <w:t>pozbawienia wolności</w:t>
      </w:r>
      <w:r w:rsidRPr="00C408DC">
        <w:rPr>
          <w:lang w:val="pl-PL"/>
        </w:rPr>
        <w:t xml:space="preserve"> skarżących wedle miary przepisów Konwencji oraz </w:t>
      </w:r>
      <w:r w:rsidR="0007571F">
        <w:rPr>
          <w:lang w:val="pl-PL"/>
        </w:rPr>
        <w:t>zbadaniu</w:t>
      </w:r>
      <w:r w:rsidRPr="00C408DC">
        <w:rPr>
          <w:lang w:val="pl-PL"/>
        </w:rPr>
        <w:t xml:space="preserve"> w szczególności, czy skarżący byli </w:t>
      </w:r>
      <w:r w:rsidR="0007571F">
        <w:rPr>
          <w:lang w:val="pl-PL"/>
        </w:rPr>
        <w:t xml:space="preserve">pozbawieni wolności </w:t>
      </w:r>
      <w:r w:rsidRPr="00C408DC">
        <w:rPr>
          <w:lang w:val="pl-PL"/>
        </w:rPr>
        <w:t>w warunkach zgodnych z poszanowaniem godności ludzkiej (zob.</w:t>
      </w:r>
      <w:r w:rsidR="00307C05">
        <w:rPr>
          <w:lang w:val="pl-PL"/>
        </w:rPr>
        <w:t> </w:t>
      </w:r>
      <w:r w:rsidRPr="00C408DC">
        <w:rPr>
          <w:i/>
          <w:iCs/>
          <w:lang w:val="pl-PL"/>
        </w:rPr>
        <w:t>Riad i Idiab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 xml:space="preserve">, § 100; </w:t>
      </w:r>
      <w:r w:rsidRPr="00C408DC">
        <w:rPr>
          <w:i/>
          <w:iCs/>
          <w:lang w:val="pl-PL"/>
        </w:rPr>
        <w:t>Khlaifia i Inni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 162</w:t>
      </w:r>
      <w:r w:rsidRPr="00C408DC">
        <w:rPr>
          <w:rFonts w:eastAsia="Times New Roman"/>
          <w:lang w:val="pl-PL"/>
        </w:rPr>
        <w:t>).</w:t>
      </w:r>
    </w:p>
    <w:p w:rsidR="001377AE" w:rsidRPr="00C408DC" w:rsidRDefault="001377AE" w:rsidP="00072604">
      <w:pPr>
        <w:pStyle w:val="JuPara"/>
        <w:rPr>
          <w:color w:val="000000"/>
          <w:lang w:val="pl-PL"/>
        </w:rPr>
      </w:pPr>
      <w:r w:rsidRPr="00C408DC">
        <w:rPr>
          <w:color w:val="000000"/>
          <w:lang w:val="pl-PL"/>
        </w:rPr>
        <w:t>190.</w:t>
      </w:r>
      <w:r w:rsidR="005C05E6">
        <w:rPr>
          <w:color w:val="000000"/>
          <w:lang w:val="pl-PL"/>
        </w:rPr>
        <w:t xml:space="preserve"> </w:t>
      </w:r>
      <w:r w:rsidRPr="00C408DC">
        <w:rPr>
          <w:rFonts w:eastAsia="Times New Roman"/>
          <w:lang w:val="pl-PL"/>
        </w:rPr>
        <w:t>Co istotne, należy zauważyć, że skarżący przedstawili wiarygodny i</w:t>
      </w:r>
      <w:r w:rsidR="00307C05">
        <w:rPr>
          <w:rFonts w:eastAsia="Times New Roman"/>
          <w:lang w:val="pl-PL"/>
        </w:rPr>
        <w:t> </w:t>
      </w:r>
      <w:r w:rsidRPr="00C408DC">
        <w:rPr>
          <w:rFonts w:eastAsia="Times New Roman"/>
          <w:lang w:val="pl-PL"/>
        </w:rPr>
        <w:t>zasadnie szczegółowy opis ich warunków życia w strefie tranzytowej lotniska, potwierdzony podobnymi ustaleniami UNHCR (</w:t>
      </w:r>
      <w:r w:rsidR="005B2137" w:rsidRPr="00C408DC">
        <w:rPr>
          <w:rFonts w:eastAsia="Times New Roman"/>
          <w:lang w:val="pl-PL"/>
        </w:rPr>
        <w:t>zob. paragrafy</w:t>
      </w:r>
      <w:r w:rsidRPr="00C408DC">
        <w:rPr>
          <w:rFonts w:eastAsia="Times New Roman"/>
          <w:lang w:val="pl-PL"/>
        </w:rPr>
        <w:t xml:space="preserve"> 122, 179, 180 powyżej), który nie został wyraźnie zakwestionowany przez Rząd. W takim przypadku, przytaczając utrwalony standard dowodu w sprawach dotyczących warunków </w:t>
      </w:r>
      <w:r w:rsidR="0007571F">
        <w:rPr>
          <w:rFonts w:eastAsia="Times New Roman"/>
          <w:lang w:val="pl-PL"/>
        </w:rPr>
        <w:t>pozbawienia wolności</w:t>
      </w:r>
      <w:r w:rsidRPr="00C408DC">
        <w:rPr>
          <w:rFonts w:eastAsia="Times New Roman"/>
          <w:lang w:val="pl-PL"/>
        </w:rPr>
        <w:t xml:space="preserve"> (zob. </w:t>
      </w:r>
      <w:r w:rsidRPr="00C408DC">
        <w:rPr>
          <w:i/>
          <w:iCs/>
          <w:lang w:val="pl-PL"/>
        </w:rPr>
        <w:t>Muršić przeciwko Chorwacji</w:t>
      </w:r>
      <w:r w:rsidRPr="00C408DC">
        <w:rPr>
          <w:snapToGrid w:val="0"/>
          <w:lang w:val="pl-PL"/>
        </w:rPr>
        <w:t xml:space="preserve"> </w:t>
      </w:r>
      <w:r w:rsidR="001A733E" w:rsidRPr="00C408DC">
        <w:rPr>
          <w:snapToGrid w:val="0"/>
          <w:lang w:val="pl-PL"/>
        </w:rPr>
        <w:t>[WI]</w:t>
      </w:r>
      <w:r w:rsidRPr="00C408DC">
        <w:rPr>
          <w:snapToGrid w:val="0"/>
          <w:lang w:val="pl-PL"/>
        </w:rPr>
        <w:t>, nr</w:t>
      </w:r>
      <w:r w:rsidR="005C05E6">
        <w:rPr>
          <w:snapToGrid w:val="0"/>
          <w:lang w:val="pl-PL"/>
        </w:rPr>
        <w:t xml:space="preserve"> </w:t>
      </w:r>
      <w:r w:rsidRPr="00C408DC">
        <w:rPr>
          <w:snapToGrid w:val="0"/>
          <w:lang w:val="pl-PL"/>
        </w:rPr>
        <w:t>7334/13</w:t>
      </w:r>
      <w:r w:rsidRPr="00C408DC">
        <w:rPr>
          <w:lang w:val="pl-PL"/>
        </w:rPr>
        <w:t>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128, 20 października 2016 r.; zob. także </w:t>
      </w:r>
      <w:r w:rsidRPr="00C408DC">
        <w:rPr>
          <w:i/>
          <w:iCs/>
          <w:lang w:val="pl-PL"/>
        </w:rPr>
        <w:t>Ananyev i Inni przeciwko</w:t>
      </w:r>
      <w:r w:rsidR="005C05E6">
        <w:rPr>
          <w:i/>
          <w:iCs/>
          <w:lang w:val="pl-PL"/>
        </w:rPr>
        <w:t xml:space="preserve"> </w:t>
      </w:r>
      <w:r w:rsidRPr="00C408DC">
        <w:rPr>
          <w:i/>
          <w:iCs/>
          <w:lang w:val="pl-PL"/>
        </w:rPr>
        <w:t>Rosji</w:t>
      </w:r>
      <w:r w:rsidRPr="00C408DC">
        <w:rPr>
          <w:lang w:val="pl-PL"/>
        </w:rPr>
        <w:t>, nr 42525/07 i 60800/08, §§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121-23, 10</w:t>
      </w:r>
      <w:r w:rsidR="00307C05">
        <w:rPr>
          <w:lang w:val="pl-PL"/>
        </w:rPr>
        <w:t> </w:t>
      </w:r>
      <w:r w:rsidRPr="00C408DC">
        <w:rPr>
          <w:lang w:val="pl-PL"/>
        </w:rPr>
        <w:t>stycznia 2012 r.</w:t>
      </w:r>
      <w:r w:rsidRPr="00C408DC">
        <w:rPr>
          <w:rFonts w:eastAsia="MS Gothic"/>
          <w:lang w:val="pl-PL"/>
        </w:rPr>
        <w:t>), Trybunał przyjmuje opis ten za rzetelny</w:t>
      </w:r>
      <w:r w:rsidRPr="00C408DC">
        <w:rPr>
          <w:color w:val="000000"/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26" w:name="hundredeightyone"/>
      <w:bookmarkStart w:id="27" w:name="p190"/>
      <w:r w:rsidRPr="00C408DC">
        <w:rPr>
          <w:color w:val="000000"/>
          <w:lang w:val="pl-PL"/>
        </w:rPr>
        <w:t>191</w:t>
      </w:r>
      <w:bookmarkEnd w:id="26"/>
      <w:bookmarkEnd w:id="27"/>
      <w:r w:rsidRPr="00C408DC">
        <w:rPr>
          <w:color w:val="000000"/>
          <w:lang w:val="pl-PL"/>
        </w:rPr>
        <w:t>.</w:t>
      </w:r>
      <w:r w:rsidR="005C05E6">
        <w:rPr>
          <w:color w:val="000000"/>
          <w:lang w:val="pl-PL"/>
        </w:rPr>
        <w:t xml:space="preserve"> </w:t>
      </w:r>
      <w:r w:rsidRPr="00C408DC">
        <w:rPr>
          <w:rFonts w:eastAsia="MS Gothic"/>
          <w:lang w:val="pl-PL"/>
        </w:rPr>
        <w:t xml:space="preserve">Opierając się na dostępnych materiałach, dla Trybunału jest oczywiste, że warunki pobytu skarżących w strefie tranzytowej </w:t>
      </w:r>
      <w:r w:rsidR="00906F8E">
        <w:rPr>
          <w:rFonts w:eastAsia="MS Gothic"/>
          <w:lang w:val="pl-PL"/>
        </w:rPr>
        <w:t>l</w:t>
      </w:r>
      <w:r w:rsidRPr="00C408DC">
        <w:rPr>
          <w:rFonts w:eastAsia="MS Gothic"/>
          <w:lang w:val="pl-PL"/>
        </w:rPr>
        <w:t xml:space="preserve">otniska Szeremietiewo nie były odpowiednie dla potrzeb długotrwałego przymusowego pobytu. W ocenie Trybunału, sytuacja, w której dana osoba musi spać przez kilka miesięcy na kawałku podłogi w ciągle oświetlonej, zatłoczonej i hałaśliwej strefie tranzytowej lotniska bez nieutrudnionego dostępu do prysznica </w:t>
      </w:r>
      <w:r w:rsidRPr="00C408DC">
        <w:rPr>
          <w:rFonts w:eastAsia="Times New Roman"/>
          <w:lang w:val="pl-PL"/>
        </w:rPr>
        <w:t xml:space="preserve">bądź miejsca do gotowania, bez </w:t>
      </w:r>
      <w:r w:rsidR="00906F8E">
        <w:rPr>
          <w:rFonts w:eastAsia="Times New Roman"/>
          <w:lang w:val="pl-PL"/>
        </w:rPr>
        <w:t>zajęć na świeżym powietrzu</w:t>
      </w:r>
      <w:r w:rsidRPr="00C408DC">
        <w:rPr>
          <w:rFonts w:eastAsia="Times New Roman"/>
          <w:lang w:val="pl-PL"/>
        </w:rPr>
        <w:t>, jak również bez dostępu do pomocy lekarskiej lub socjalnej (</w:t>
      </w:r>
      <w:r w:rsidR="005B2137" w:rsidRPr="00C408DC">
        <w:rPr>
          <w:rFonts w:eastAsia="Times New Roman"/>
          <w:lang w:val="pl-PL"/>
        </w:rPr>
        <w:t>zob.</w:t>
      </w:r>
      <w:r w:rsidR="00307C05">
        <w:rPr>
          <w:rFonts w:eastAsia="Times New Roman"/>
          <w:lang w:val="pl-PL"/>
        </w:rPr>
        <w:t> </w:t>
      </w:r>
      <w:r w:rsidR="005B2137" w:rsidRPr="00C408DC">
        <w:rPr>
          <w:rFonts w:eastAsia="Times New Roman"/>
          <w:lang w:val="pl-PL"/>
        </w:rPr>
        <w:t>paragrafy</w:t>
      </w:r>
      <w:r w:rsidRPr="00C408DC">
        <w:rPr>
          <w:rFonts w:eastAsia="Times New Roman"/>
          <w:lang w:val="pl-PL"/>
        </w:rPr>
        <w:t xml:space="preserve"> 41, 42 powyżej) nie spełnia minimalnych standardów poszanowania godności ludzkiej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color w:val="000000"/>
          <w:lang w:val="pl-PL"/>
        </w:rPr>
        <w:t>192.</w:t>
      </w:r>
      <w:r w:rsidR="005C05E6">
        <w:rPr>
          <w:color w:val="000000"/>
          <w:lang w:val="pl-PL"/>
        </w:rPr>
        <w:t xml:space="preserve"> </w:t>
      </w:r>
      <w:r w:rsidRPr="00C408DC">
        <w:rPr>
          <w:rFonts w:eastAsia="Times New Roman"/>
          <w:lang w:val="pl-PL"/>
        </w:rPr>
        <w:t xml:space="preserve">W okolicznościach sprawy sytuację pogorszyło to, że skarżący zostali pozostawieni samym sobie w strefie tranzytowej, z pominięciem rosyjskich przepisów krajowych przyznających każdej osobie ubiegającej się o azyl prawo </w:t>
      </w:r>
      <w:r w:rsidRPr="00C408DC">
        <w:rPr>
          <w:lang w:val="pl-PL" w:eastAsia="en-US"/>
        </w:rPr>
        <w:t xml:space="preserve">do wystawienia jej </w:t>
      </w:r>
      <w:r w:rsidRPr="00C408DC">
        <w:rPr>
          <w:lang w:val="pl-PL"/>
        </w:rPr>
        <w:t>zaświadczenia o rozpatrywaniu wniosku o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udzielenie azylu oraz do umieszczenia jej w tymczasowych obiektach zakwaterowania </w:t>
      </w:r>
      <w:r w:rsidR="00906F8E">
        <w:rPr>
          <w:lang w:val="pl-PL"/>
        </w:rPr>
        <w:t xml:space="preserve">na czas oczekiwania </w:t>
      </w:r>
      <w:r w:rsidRPr="00C408DC">
        <w:rPr>
          <w:lang w:val="pl-PL"/>
        </w:rPr>
        <w:t>na rozpatrzenie wniosku o udzielenie azylu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99, 100 powyżej, por. </w:t>
      </w:r>
      <w:r w:rsidRPr="00C408DC">
        <w:rPr>
          <w:rFonts w:eastAsia="Times New Roman"/>
          <w:i/>
          <w:iCs/>
          <w:color w:val="000000"/>
          <w:lang w:val="pl-PL"/>
        </w:rPr>
        <w:t>Riad i Idiab</w:t>
      </w:r>
      <w:r w:rsidRPr="00C408DC">
        <w:rPr>
          <w:rFonts w:eastAsia="Times New Roman"/>
          <w:color w:val="000000"/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rFonts w:eastAsia="Times New Roman"/>
          <w:color w:val="000000"/>
          <w:lang w:val="pl-PL"/>
        </w:rPr>
        <w:t>, §</w:t>
      </w:r>
      <w:r w:rsidR="005C05E6">
        <w:rPr>
          <w:rFonts w:eastAsia="Times New Roman"/>
          <w:color w:val="000000"/>
          <w:lang w:val="pl-PL"/>
        </w:rPr>
        <w:t xml:space="preserve"> </w:t>
      </w:r>
      <w:r w:rsidRPr="00C408DC">
        <w:rPr>
          <w:rFonts w:eastAsia="Times New Roman"/>
          <w:color w:val="000000"/>
          <w:lang w:val="pl-PL"/>
        </w:rPr>
        <w:t>101)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color w:val="000000"/>
          <w:lang w:val="pl-PL"/>
        </w:rPr>
        <w:t>193.</w:t>
      </w:r>
      <w:r w:rsidR="005C05E6">
        <w:rPr>
          <w:color w:val="000000"/>
          <w:lang w:val="pl-PL"/>
        </w:rPr>
        <w:t xml:space="preserve"> </w:t>
      </w:r>
      <w:r w:rsidRPr="00C408DC">
        <w:rPr>
          <w:lang w:val="pl-PL"/>
        </w:rPr>
        <w:t xml:space="preserve">Trybunał także zwraca uwagę, iż trzech spośród skarżących zostało później uznanych przez UNCHR za osoby potrzebujące ochrony </w:t>
      </w:r>
      <w:r w:rsidRPr="00C408DC">
        <w:rPr>
          <w:lang w:val="pl-PL"/>
        </w:rPr>
        <w:lastRenderedPageBreak/>
        <w:t>międzynarodowej (</w:t>
      </w:r>
      <w:r w:rsidR="005B2137" w:rsidRPr="00C408DC">
        <w:rPr>
          <w:lang w:val="pl-PL"/>
        </w:rPr>
        <w:t>zob. paragrafy</w:t>
      </w:r>
      <w:r w:rsidRPr="00C408DC">
        <w:rPr>
          <w:lang w:val="pl-PL"/>
        </w:rPr>
        <w:t xml:space="preserve"> </w:t>
      </w:r>
      <w:r w:rsidRPr="00C408DC">
        <w:rPr>
          <w:rFonts w:eastAsia="Times New Roman"/>
          <w:lang w:val="pl-PL"/>
        </w:rPr>
        <w:t>54</w:t>
      </w:r>
      <w:r w:rsidRPr="00C408DC">
        <w:rPr>
          <w:lang w:val="pl-PL"/>
        </w:rPr>
        <w:t xml:space="preserve">, </w:t>
      </w:r>
      <w:r w:rsidRPr="00C408DC">
        <w:rPr>
          <w:rFonts w:eastAsia="Times New Roman"/>
          <w:lang w:val="pl-PL"/>
        </w:rPr>
        <w:t>77</w:t>
      </w:r>
      <w:r w:rsidRPr="00C408DC">
        <w:rPr>
          <w:lang w:val="pl-PL"/>
        </w:rPr>
        <w:t xml:space="preserve">, </w:t>
      </w:r>
      <w:r w:rsidRPr="00C408DC">
        <w:rPr>
          <w:rFonts w:eastAsia="Times New Roman"/>
          <w:lang w:val="pl-PL"/>
        </w:rPr>
        <w:t>94</w:t>
      </w:r>
      <w:r w:rsidRPr="00C408DC">
        <w:rPr>
          <w:lang w:val="pl-PL"/>
        </w:rPr>
        <w:t xml:space="preserve"> powyżej), co wskazuje, że ich niepokój został wzmożony wskutek zdarzeń, które przeszli w trakcie swojej migracji (zob. </w:t>
      </w:r>
      <w:r w:rsidRPr="00C408DC">
        <w:rPr>
          <w:i/>
          <w:iCs/>
          <w:lang w:val="pl-PL"/>
        </w:rPr>
        <w:t>M.S.S. przeciwko Belgii i Grecji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232).</w:t>
      </w:r>
    </w:p>
    <w:p w:rsidR="001377AE" w:rsidRPr="00C408DC" w:rsidRDefault="001377AE" w:rsidP="00072604">
      <w:pPr>
        <w:pStyle w:val="JuPara"/>
        <w:rPr>
          <w:color w:val="000000"/>
          <w:lang w:val="pl-PL"/>
        </w:rPr>
      </w:pPr>
      <w:r w:rsidRPr="00C408DC">
        <w:rPr>
          <w:lang w:val="pl-PL"/>
        </w:rPr>
        <w:t>194.</w:t>
      </w:r>
      <w:r w:rsidR="005C05E6">
        <w:rPr>
          <w:lang w:val="pl-PL"/>
        </w:rPr>
        <w:t xml:space="preserve"> </w:t>
      </w:r>
      <w:r w:rsidR="00673171">
        <w:rPr>
          <w:lang w:val="pl-PL"/>
        </w:rPr>
        <w:t>Wreszcie</w:t>
      </w:r>
      <w:r w:rsidRPr="00C408DC">
        <w:rPr>
          <w:lang w:val="pl-PL"/>
        </w:rPr>
        <w:t xml:space="preserve"> Trybunał zwraca uwagę na skrajnie długi</w:t>
      </w:r>
      <w:r w:rsidR="00673171">
        <w:rPr>
          <w:lang w:val="pl-PL"/>
        </w:rPr>
        <w:t xml:space="preserve"> czas</w:t>
      </w:r>
      <w:r w:rsidRPr="00C408DC">
        <w:rPr>
          <w:lang w:val="pl-PL"/>
        </w:rPr>
        <w:t xml:space="preserve"> trwania </w:t>
      </w:r>
      <w:r w:rsidR="00673171">
        <w:rPr>
          <w:lang w:val="pl-PL"/>
        </w:rPr>
        <w:t xml:space="preserve">pozbawienia wolności </w:t>
      </w:r>
      <w:r w:rsidRPr="00C408DC">
        <w:rPr>
          <w:lang w:val="pl-PL"/>
        </w:rPr>
        <w:t xml:space="preserve">każdego ze skarżących. </w:t>
      </w:r>
      <w:r w:rsidR="00673171">
        <w:rPr>
          <w:lang w:val="pl-PL"/>
        </w:rPr>
        <w:t>Pozbawienie wolności</w:t>
      </w:r>
      <w:r w:rsidRPr="00C408DC">
        <w:rPr>
          <w:lang w:val="pl-PL"/>
        </w:rPr>
        <w:t xml:space="preserve"> skarżących trwało w sposób ciągły wiele miesięcy: </w:t>
      </w:r>
      <w:r w:rsidRPr="00C408DC">
        <w:rPr>
          <w:lang w:val="pl-PL" w:eastAsia="en-US"/>
        </w:rPr>
        <w:t>siedem miesięcy i</w:t>
      </w:r>
      <w:r w:rsidR="00307C05">
        <w:rPr>
          <w:lang w:val="pl-PL" w:eastAsia="en-US"/>
        </w:rPr>
        <w:t> </w:t>
      </w:r>
      <w:r w:rsidRPr="00C408DC">
        <w:rPr>
          <w:lang w:val="pl-PL" w:eastAsia="en-US"/>
        </w:rPr>
        <w:t xml:space="preserve">dziewiętnaście dni </w:t>
      </w:r>
      <w:r w:rsidRPr="00C408DC">
        <w:rPr>
          <w:lang w:val="pl-PL"/>
        </w:rPr>
        <w:t xml:space="preserve">w przypadku pana Z.A.; </w:t>
      </w:r>
      <w:r w:rsidRPr="00C408DC">
        <w:rPr>
          <w:lang w:val="pl-PL" w:eastAsia="en-US"/>
        </w:rPr>
        <w:t xml:space="preserve">pięć miesięcy i jeden dzień </w:t>
      </w:r>
      <w:r w:rsidRPr="00C408DC">
        <w:rPr>
          <w:lang w:val="pl-PL"/>
        </w:rPr>
        <w:t>w</w:t>
      </w:r>
      <w:r w:rsidR="00307C05">
        <w:rPr>
          <w:lang w:val="pl-PL"/>
        </w:rPr>
        <w:t> </w:t>
      </w:r>
      <w:r w:rsidRPr="00C408DC">
        <w:rPr>
          <w:lang w:val="pl-PL"/>
        </w:rPr>
        <w:t>przypadku pana M.B;</w:t>
      </w:r>
      <w:r w:rsidRPr="00C408DC">
        <w:rPr>
          <w:lang w:val="pl-PL" w:eastAsia="en-US"/>
        </w:rPr>
        <w:t xml:space="preserve"> rok, dziewięć miesięcy i co najmniej dwadzieścia osiem dni </w:t>
      </w:r>
      <w:r w:rsidRPr="00C408DC">
        <w:rPr>
          <w:lang w:val="pl-PL"/>
        </w:rPr>
        <w:t xml:space="preserve">w przypadku pana A.M. </w:t>
      </w:r>
      <w:r w:rsidRPr="00C408DC">
        <w:rPr>
          <w:lang w:val="pl-PL" w:eastAsia="en-US"/>
        </w:rPr>
        <w:t xml:space="preserve">oraz siedem miesięcy i dwadzieścia dwa dni </w:t>
      </w:r>
      <w:r w:rsidRPr="00C408DC">
        <w:rPr>
          <w:lang w:val="pl-PL"/>
        </w:rPr>
        <w:t>w przypadku pana</w:t>
      </w:r>
      <w:r w:rsidRPr="00C408DC">
        <w:rPr>
          <w:lang w:val="pl-PL" w:eastAsia="en-US"/>
        </w:rPr>
        <w:t xml:space="preserve"> Yasiena (</w:t>
      </w:r>
      <w:r w:rsidR="005B2137" w:rsidRPr="00C408DC">
        <w:rPr>
          <w:lang w:val="pl-PL" w:eastAsia="en-US"/>
        </w:rPr>
        <w:t>zob. paragraf</w:t>
      </w:r>
      <w:r w:rsidRPr="00C408DC">
        <w:rPr>
          <w:lang w:val="pl-PL" w:eastAsia="en-US"/>
        </w:rPr>
        <w:t xml:space="preserve"> 148 powyżej)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28" w:name="hundredeightyfour"/>
      <w:bookmarkStart w:id="29" w:name="p193"/>
      <w:r w:rsidRPr="00C408DC">
        <w:rPr>
          <w:lang w:val="pl-PL"/>
        </w:rPr>
        <w:t>195</w:t>
      </w:r>
      <w:bookmarkEnd w:id="28"/>
      <w:bookmarkEnd w:id="29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 w:eastAsia="en-US"/>
        </w:rPr>
        <w:t xml:space="preserve">Trybunał uważa, iż razem wzięte straszne warunki materialne, które skarżący musieli znosić przez </w:t>
      </w:r>
      <w:r w:rsidR="00673171">
        <w:rPr>
          <w:lang w:val="pl-PL" w:eastAsia="en-US"/>
        </w:rPr>
        <w:t xml:space="preserve">tak </w:t>
      </w:r>
      <w:r w:rsidRPr="00C408DC">
        <w:rPr>
          <w:lang w:val="pl-PL" w:eastAsia="en-US"/>
        </w:rPr>
        <w:t>długie okresy czasu</w:t>
      </w:r>
      <w:r w:rsidR="00673171">
        <w:rPr>
          <w:lang w:val="pl-PL" w:eastAsia="en-US"/>
        </w:rPr>
        <w:t>,</w:t>
      </w:r>
      <w:r w:rsidRPr="00C408DC">
        <w:rPr>
          <w:lang w:val="pl-PL" w:eastAsia="en-US"/>
        </w:rPr>
        <w:t xml:space="preserve"> oraz zupełny brak opieki dla skarżących ze strony organów stanowi poniżające traktowanie niezgodne z art. 3 Konwencji</w:t>
      </w:r>
      <w:r w:rsidRPr="00C408DC">
        <w:rPr>
          <w:lang w:val="pl-PL"/>
        </w:rPr>
        <w:t>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rFonts w:eastAsia="Times New Roman"/>
          <w:lang w:val="pl-PL"/>
        </w:rPr>
        <w:t>196.</w:t>
      </w:r>
      <w:r w:rsidR="005C05E6">
        <w:rPr>
          <w:rFonts w:eastAsia="Times New Roman"/>
          <w:lang w:val="pl-PL"/>
        </w:rPr>
        <w:t xml:space="preserve"> </w:t>
      </w:r>
      <w:r w:rsidRPr="00C408DC">
        <w:rPr>
          <w:lang w:val="pl-PL" w:eastAsia="en-US"/>
        </w:rPr>
        <w:t xml:space="preserve">Nic w uwagach Rządu nie pozwala na wyciągnięcie innych wniosków. Trybunał także orzekł, że skarżący pozostawali pod kontrolą pozwanego </w:t>
      </w:r>
      <w:r w:rsidR="00F75CB4" w:rsidRPr="00C408DC">
        <w:rPr>
          <w:lang w:val="pl-PL" w:eastAsia="en-US"/>
        </w:rPr>
        <w:t xml:space="preserve">Rządu </w:t>
      </w:r>
      <w:r w:rsidRPr="00C408DC">
        <w:rPr>
          <w:lang w:val="pl-PL" w:eastAsia="en-US"/>
        </w:rPr>
        <w:t>i pod jego pieczą w mającym znaczenie dla sprawy okresie (</w:t>
      </w:r>
      <w:r w:rsidR="005B2137" w:rsidRPr="00C408DC">
        <w:rPr>
          <w:lang w:val="pl-PL" w:eastAsia="en-US"/>
        </w:rPr>
        <w:t>zob. paragraf</w:t>
      </w:r>
      <w:r w:rsidRPr="00C408DC">
        <w:rPr>
          <w:lang w:val="pl-PL" w:eastAsia="en-US"/>
        </w:rPr>
        <w:t xml:space="preserve"> 151 powyżej)</w:t>
      </w:r>
      <w:r w:rsidRPr="00C408DC">
        <w:rPr>
          <w:rFonts w:eastAsia="Times New Roman"/>
          <w:lang w:val="pl-PL"/>
        </w:rPr>
        <w:t>.</w:t>
      </w:r>
    </w:p>
    <w:p w:rsidR="001377AE" w:rsidRPr="00C408DC" w:rsidRDefault="001377AE" w:rsidP="00072604">
      <w:pPr>
        <w:pStyle w:val="JuPara"/>
        <w:rPr>
          <w:color w:val="000000"/>
          <w:lang w:val="pl-PL"/>
        </w:rPr>
      </w:pPr>
      <w:r w:rsidRPr="00C408DC">
        <w:rPr>
          <w:color w:val="000000"/>
          <w:lang w:val="pl-PL"/>
        </w:rPr>
        <w:t>197.</w:t>
      </w:r>
      <w:r w:rsidR="005C05E6">
        <w:rPr>
          <w:color w:val="000000"/>
          <w:lang w:val="pl-PL"/>
        </w:rPr>
        <w:t xml:space="preserve"> </w:t>
      </w:r>
      <w:r w:rsidRPr="00C408DC">
        <w:rPr>
          <w:lang w:val="pl-PL"/>
        </w:rPr>
        <w:t>W związku z powyższym Trybunał uznaje, że nastąpiło naruszenie art. 3 Konwencji w stosunku do każdego ze skarżących</w:t>
      </w:r>
      <w:r w:rsidRPr="00C408DC">
        <w:rPr>
          <w:color w:val="000000"/>
          <w:lang w:val="pl-PL"/>
        </w:rPr>
        <w:t>.</w:t>
      </w:r>
    </w:p>
    <w:p w:rsidR="001377AE" w:rsidRPr="00C408DC" w:rsidRDefault="001377AE" w:rsidP="00072604">
      <w:pPr>
        <w:pStyle w:val="JuHIRoman"/>
        <w:rPr>
          <w:lang w:val="pl-PL"/>
        </w:rPr>
      </w:pPr>
      <w:r w:rsidRPr="00C408DC">
        <w:rPr>
          <w:lang w:val="pl-PL"/>
        </w:rPr>
        <w:t>ZASTOSOWANIE ART. 41 KONWENCJI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198.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Art. 41 Konwencji stanowi::</w:t>
      </w:r>
    </w:p>
    <w:p w:rsidR="001377AE" w:rsidRPr="00C408DC" w:rsidRDefault="00673171" w:rsidP="00072604">
      <w:pPr>
        <w:pStyle w:val="JuQuot"/>
        <w:rPr>
          <w:lang w:val="pl-PL"/>
        </w:rPr>
      </w:pPr>
      <w:r>
        <w:rPr>
          <w:lang w:val="pl-PL"/>
        </w:rPr>
        <w:t>„</w:t>
      </w:r>
      <w:r w:rsidR="001A733E" w:rsidRPr="00C408DC">
        <w:rPr>
          <w:lang w:val="pl-PL"/>
        </w:rPr>
        <w:t xml:space="preserve">Jeśli Trybunał stwierdzi, że nastąpiło naruszenie Konwencji lub jej </w:t>
      </w:r>
      <w:r w:rsidR="00981F42" w:rsidRPr="00C408DC">
        <w:rPr>
          <w:lang w:val="pl-PL"/>
        </w:rPr>
        <w:t>Protokołów</w:t>
      </w:r>
      <w:r w:rsidR="001A733E" w:rsidRPr="00C408DC">
        <w:rPr>
          <w:lang w:val="pl-PL"/>
        </w:rPr>
        <w:t>, oraz</w:t>
      </w:r>
      <w:r w:rsidR="00307C05">
        <w:rPr>
          <w:lang w:val="pl-PL"/>
        </w:rPr>
        <w:t> </w:t>
      </w:r>
      <w:r w:rsidR="001A733E" w:rsidRPr="00C408DC">
        <w:rPr>
          <w:lang w:val="pl-PL"/>
        </w:rPr>
        <w:t>jeśli prawo wewnętrzne zainteresowanej Wysokiej Układającej się Strony pozwala tylko na częściowe usunięcie konsekwencji tego naruszenia, Trybunał orzeka, gdy</w:t>
      </w:r>
      <w:r w:rsidR="00307C05">
        <w:rPr>
          <w:lang w:val="pl-PL"/>
        </w:rPr>
        <w:t> </w:t>
      </w:r>
      <w:r w:rsidR="001A733E" w:rsidRPr="00C408DC">
        <w:rPr>
          <w:lang w:val="pl-PL"/>
        </w:rPr>
        <w:t>zachodzi potrzeba, słuszne zadośćuczynienie pokrzywdzonej stronie</w:t>
      </w:r>
      <w:r w:rsidR="001377AE" w:rsidRPr="00C408DC">
        <w:rPr>
          <w:lang w:val="pl-PL"/>
        </w:rPr>
        <w:t>”</w:t>
      </w:r>
      <w:r w:rsidR="001A733E" w:rsidRPr="00C408DC">
        <w:rPr>
          <w:lang w:val="pl-PL"/>
        </w:rPr>
        <w:t>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Szkoda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199.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Skarżący domagali się przed Izbą wypłacenia następujących kwot w</w:t>
      </w:r>
      <w:r w:rsidR="00307C05">
        <w:rPr>
          <w:lang w:val="pl-PL"/>
        </w:rPr>
        <w:t> </w:t>
      </w:r>
      <w:r w:rsidRPr="00C408DC">
        <w:rPr>
          <w:lang w:val="pl-PL"/>
        </w:rPr>
        <w:t>zakresie szkody niematerialnej: po 20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dla pana Z.A. i pana Yasiena, 15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dla pana M.B. oraz 35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dla pana A.M.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200.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Izba stwierdziła, że skarżący doznali niepokoju i frustracji wskutek naruszenia art. 5 ust. 1 i art. 3 Konwencji, zaś </w:t>
      </w:r>
      <w:r w:rsidR="00673171">
        <w:rPr>
          <w:lang w:val="pl-PL"/>
        </w:rPr>
        <w:t xml:space="preserve">samo </w:t>
      </w:r>
      <w:r w:rsidRPr="00C408DC">
        <w:rPr>
          <w:lang w:val="pl-PL"/>
        </w:rPr>
        <w:t>stwierdzenie tychże naruszeń nie może stanowić wystarczającego zadośćuczynienia. Dokonując oceny w oparciu o zasadę słuszności, przyznała ona po 20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dla pana Z.A. i pana Yasiena, 15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dla pana M.B. oraz 26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dla pana A.M. w zakresie szkody niematerialnej.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201.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Skarżący domagali się identycznych kwot w postępowaniu przed Wielką Izbą, jak w postępowaniu przed Izbą.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202.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Trybunał uważa, że skarżący musieli doznać niepokoju i frustracji wskutek naruszenia art. 5 ust. 1 i art. 3 Konwencji w </w:t>
      </w:r>
      <w:r w:rsidR="00F327FF">
        <w:rPr>
          <w:lang w:val="pl-PL"/>
        </w:rPr>
        <w:t>ich sprawach</w:t>
      </w:r>
      <w:r w:rsidRPr="00C408DC">
        <w:rPr>
          <w:lang w:val="pl-PL"/>
        </w:rPr>
        <w:t xml:space="preserve">. </w:t>
      </w:r>
      <w:r w:rsidR="00F327FF">
        <w:rPr>
          <w:lang w:val="pl-PL"/>
        </w:rPr>
        <w:t xml:space="preserve">Bierze </w:t>
      </w:r>
      <w:r w:rsidRPr="00C408DC">
        <w:rPr>
          <w:lang w:val="pl-PL"/>
        </w:rPr>
        <w:lastRenderedPageBreak/>
        <w:t>on</w:t>
      </w:r>
      <w:r w:rsidR="005B1C6C">
        <w:rPr>
          <w:lang w:val="pl-PL"/>
        </w:rPr>
        <w:t> </w:t>
      </w:r>
      <w:r w:rsidRPr="00C408DC">
        <w:rPr>
          <w:lang w:val="pl-PL"/>
        </w:rPr>
        <w:t>pod uwagę okoliczności niniejszej sprawy, żądania każdego skarżącego oraz swoją praktykę przyjętą we wcześniejszych porównywalnych sprawach (zob.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np. </w:t>
      </w:r>
      <w:r w:rsidRPr="00C408DC">
        <w:rPr>
          <w:i/>
          <w:iCs/>
          <w:color w:val="000000"/>
          <w:lang w:val="pl-PL"/>
        </w:rPr>
        <w:t>Riad i Idiab</w:t>
      </w:r>
      <w:r w:rsidRPr="00C408DC">
        <w:rPr>
          <w:color w:val="000000"/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color w:val="000000"/>
          <w:lang w:val="pl-PL"/>
        </w:rPr>
        <w:t>, §</w:t>
      </w:r>
      <w:r w:rsidR="005C05E6">
        <w:rPr>
          <w:color w:val="000000"/>
          <w:lang w:val="pl-PL"/>
        </w:rPr>
        <w:t xml:space="preserve"> </w:t>
      </w:r>
      <w:r w:rsidRPr="00C408DC">
        <w:rPr>
          <w:color w:val="000000"/>
          <w:lang w:val="pl-PL"/>
        </w:rPr>
        <w:t xml:space="preserve">117, </w:t>
      </w:r>
      <w:r w:rsidRPr="00C408DC">
        <w:rPr>
          <w:i/>
          <w:iCs/>
          <w:color w:val="000000"/>
          <w:lang w:val="pl-PL"/>
        </w:rPr>
        <w:t xml:space="preserve">Shamsa, </w:t>
      </w:r>
      <w:r w:rsidR="00F01F0C">
        <w:rPr>
          <w:lang w:val="pl-PL"/>
        </w:rPr>
        <w:t>cyt. powyżej</w:t>
      </w:r>
      <w:r w:rsidRPr="00C408DC">
        <w:rPr>
          <w:color w:val="000000"/>
          <w:lang w:val="pl-PL"/>
        </w:rPr>
        <w:t>, §</w:t>
      </w:r>
      <w:r w:rsidR="005C05E6">
        <w:rPr>
          <w:color w:val="000000"/>
          <w:lang w:val="pl-PL"/>
        </w:rPr>
        <w:t xml:space="preserve"> </w:t>
      </w:r>
      <w:r w:rsidRPr="00C408DC">
        <w:rPr>
          <w:color w:val="000000"/>
          <w:lang w:val="pl-PL"/>
        </w:rPr>
        <w:t xml:space="preserve">165; </w:t>
      </w:r>
      <w:r w:rsidRPr="00C408DC">
        <w:rPr>
          <w:i/>
          <w:iCs/>
          <w:color w:val="000000"/>
          <w:lang w:val="pl-PL"/>
        </w:rPr>
        <w:t xml:space="preserve">Rashed, </w:t>
      </w:r>
      <w:r w:rsidR="00F01F0C">
        <w:rPr>
          <w:lang w:val="pl-PL"/>
        </w:rPr>
        <w:t>cyt. powyżej</w:t>
      </w:r>
      <w:r w:rsidRPr="00C408DC">
        <w:rPr>
          <w:color w:val="000000"/>
          <w:lang w:val="pl-PL"/>
        </w:rPr>
        <w:t>, §</w:t>
      </w:r>
      <w:r w:rsidR="005C05E6">
        <w:rPr>
          <w:color w:val="000000"/>
          <w:lang w:val="pl-PL"/>
        </w:rPr>
        <w:t xml:space="preserve"> </w:t>
      </w:r>
      <w:r w:rsidRPr="00C408DC">
        <w:rPr>
          <w:color w:val="000000"/>
          <w:lang w:val="pl-PL"/>
        </w:rPr>
        <w:t xml:space="preserve">81). Rozstrzygając </w:t>
      </w:r>
      <w:r w:rsidRPr="00C408DC">
        <w:rPr>
          <w:lang w:val="pl-PL"/>
        </w:rPr>
        <w:t>w oparciu o zasadę słuszności, Trybunał przyznaje im takie same kwoty w zakresie skody niematerialnej jak</w:t>
      </w:r>
      <w:r w:rsidR="00307C05">
        <w:rPr>
          <w:lang w:val="pl-PL"/>
        </w:rPr>
        <w:t> </w:t>
      </w:r>
      <w:r w:rsidRPr="00C408DC">
        <w:rPr>
          <w:lang w:val="pl-PL"/>
        </w:rPr>
        <w:t>Izba, to znaczy, po 20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dla pana Z.A. i pana Yasiena, 15</w:t>
      </w:r>
      <w:r w:rsidR="00F327FF">
        <w:rPr>
          <w:lang w:val="pl-PL"/>
        </w:rPr>
        <w:t xml:space="preserve"> </w:t>
      </w:r>
      <w:r w:rsidRPr="00C408DC">
        <w:rPr>
          <w:lang w:val="pl-PL"/>
        </w:rPr>
        <w:t>000 euro dla</w:t>
      </w:r>
      <w:r w:rsidR="00307C05">
        <w:rPr>
          <w:lang w:val="pl-PL"/>
        </w:rPr>
        <w:t> </w:t>
      </w:r>
      <w:r w:rsidRPr="00C408DC">
        <w:rPr>
          <w:lang w:val="pl-PL"/>
        </w:rPr>
        <w:t>pana M.B. oraz 26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dla pana A.M.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Koszty i wydatki</w:t>
      </w:r>
    </w:p>
    <w:p w:rsidR="001377AE" w:rsidRPr="00C408DC" w:rsidRDefault="001377AE" w:rsidP="00072604">
      <w:pPr>
        <w:pStyle w:val="JuPara"/>
        <w:rPr>
          <w:lang w:val="pl-PL"/>
        </w:rPr>
      </w:pPr>
      <w:bookmarkStart w:id="30" w:name="costs"/>
      <w:bookmarkStart w:id="31" w:name="p202"/>
      <w:r w:rsidRPr="00C408DC">
        <w:rPr>
          <w:lang w:val="pl-PL"/>
        </w:rPr>
        <w:t>203</w:t>
      </w:r>
      <w:bookmarkEnd w:id="30"/>
      <w:bookmarkEnd w:id="31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W postępowaniu przed Izbą skarżący przedłożyli następujące żądania z tytułu kosztów i wydatków poniesionych w postępowaniu krajowym: 1650</w:t>
      </w:r>
      <w:r w:rsidR="00307C05">
        <w:rPr>
          <w:lang w:val="pl-PL"/>
        </w:rPr>
        <w:t> </w:t>
      </w:r>
      <w:r w:rsidRPr="00C408DC">
        <w:rPr>
          <w:lang w:val="pl-PL"/>
        </w:rPr>
        <w:t>euro dla pana Z.A., 1.250 euro dla pana M.B., 3500 euro dla pana A.M. oraz 2000 euro dla pana Yasiena.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Co się tyczy kosztów i wydatków poniesionych w postępowaniu przed Trybunałem, skarżący domagali się po</w:t>
      </w:r>
      <w:r w:rsidR="00307C05">
        <w:rPr>
          <w:lang w:val="pl-PL"/>
        </w:rPr>
        <w:t> </w:t>
      </w:r>
      <w:r w:rsidRPr="00C408DC">
        <w:rPr>
          <w:lang w:val="pl-PL"/>
        </w:rPr>
        <w:t>3500 euro dla każdego z nich.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204.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Izba przyz</w:t>
      </w:r>
      <w:r w:rsidR="00C408DC">
        <w:rPr>
          <w:lang w:val="pl-PL"/>
        </w:rPr>
        <w:t>nała każdemu skarżącemu kwotę 3</w:t>
      </w:r>
      <w:r w:rsidRPr="00C408DC">
        <w:rPr>
          <w:lang w:val="pl-PL"/>
        </w:rPr>
        <w:t>500 euro na pokrycie kosztów i wydatków z każdego tytułu.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205.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 xml:space="preserve">W postępowaniu przed Wielką Izbą </w:t>
      </w:r>
      <w:r w:rsidR="00F327FF">
        <w:rPr>
          <w:lang w:val="pl-PL"/>
        </w:rPr>
        <w:t>s</w:t>
      </w:r>
      <w:r w:rsidR="00C408DC">
        <w:rPr>
          <w:lang w:val="pl-PL"/>
        </w:rPr>
        <w:t>karżący domagali się łącznie 4</w:t>
      </w:r>
      <w:r w:rsidRPr="00C408DC">
        <w:rPr>
          <w:lang w:val="pl-PL"/>
        </w:rPr>
        <w:t>900 euro z tytułu kosztów i wydatków poniesion</w:t>
      </w:r>
      <w:r w:rsidR="00C408DC">
        <w:rPr>
          <w:lang w:val="pl-PL"/>
        </w:rPr>
        <w:t xml:space="preserve">ych w postępowaniu krajowym, 14 </w:t>
      </w:r>
      <w:r w:rsidRPr="00C408DC">
        <w:rPr>
          <w:lang w:val="pl-PL"/>
        </w:rPr>
        <w:t>000 euro z tytułu kosztów i wydatków poniesionych w</w:t>
      </w:r>
      <w:r w:rsidR="00307C05">
        <w:rPr>
          <w:lang w:val="pl-PL"/>
        </w:rPr>
        <w:t> </w:t>
      </w:r>
      <w:r w:rsidRPr="00C408DC">
        <w:rPr>
          <w:lang w:val="pl-PL"/>
        </w:rPr>
        <w:t>postępowaniu przed Izbą oraz 7800 euro z tytułu kosztów i wydatków poniesionych w postępowaniu przed Wielką Izbą, tzn. łącznie 26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700 euro. Przedstawiciele skarżących wnieśli, aby przyznane kwoty zostały przekazane na ich odpowiednie rachunki bankowe.</w:t>
      </w:r>
    </w:p>
    <w:p w:rsidR="001377AE" w:rsidRPr="00C408DC" w:rsidRDefault="001377AE" w:rsidP="002815C3">
      <w:pPr>
        <w:ind w:firstLine="284"/>
        <w:jc w:val="both"/>
        <w:rPr>
          <w:lang w:val="pl-PL"/>
        </w:rPr>
      </w:pPr>
      <w:bookmarkStart w:id="32" w:name="costsexp"/>
      <w:bookmarkStart w:id="33" w:name="p205"/>
      <w:r w:rsidRPr="00C408DC">
        <w:rPr>
          <w:lang w:val="pl-PL"/>
        </w:rPr>
        <w:t>206</w:t>
      </w:r>
      <w:bookmarkEnd w:id="32"/>
      <w:bookmarkEnd w:id="33"/>
      <w:r w:rsidRPr="00C408DC">
        <w:rPr>
          <w:lang w:val="pl-PL"/>
        </w:rPr>
        <w:t>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Zgodnie z orzecznictwem Trybunału, skarżący uprawniony jest do</w:t>
      </w:r>
      <w:r w:rsidR="00307C05">
        <w:rPr>
          <w:lang w:val="pl-PL"/>
        </w:rPr>
        <w:t> </w:t>
      </w:r>
      <w:r w:rsidRPr="00C408DC">
        <w:rPr>
          <w:lang w:val="pl-PL"/>
        </w:rPr>
        <w:t>zwrotu kosztów i wydatków tylko w zakresie kosztów i wydatków, które</w:t>
      </w:r>
      <w:r w:rsidR="00307C05">
        <w:rPr>
          <w:lang w:val="pl-PL"/>
        </w:rPr>
        <w:t> </w:t>
      </w:r>
      <w:r w:rsidRPr="00C408DC">
        <w:rPr>
          <w:lang w:val="pl-PL"/>
        </w:rPr>
        <w:t>faktycznie zostały poniesione oraz były konieczne i rozsądne co do wysokości. W niniejszej sprawie, mając wzgląd na dokumenty znajdujące się w jego posiadaniu i swoje orzecznictwo, Trybunał uznaje łączną żądaną kwotę z tytułu kosztów i wydatków poniesionych w postępowaniu krajowym i w postępowaniu przed Trybunałem za wygórowan</w:t>
      </w:r>
      <w:r w:rsidR="002815C3">
        <w:rPr>
          <w:lang w:val="pl-PL"/>
        </w:rPr>
        <w:t>ą</w:t>
      </w:r>
      <w:r w:rsidRPr="00C408DC">
        <w:rPr>
          <w:lang w:val="pl-PL"/>
        </w:rPr>
        <w:t>.</w:t>
      </w:r>
      <w:r w:rsidR="002815C3">
        <w:rPr>
          <w:lang w:val="pl-PL"/>
        </w:rPr>
        <w:t xml:space="preserve"> </w:t>
      </w:r>
      <w:r w:rsidRPr="00C408DC">
        <w:rPr>
          <w:lang w:val="pl-PL"/>
        </w:rPr>
        <w:t>Trybunał przyznaje skarżącym kwotę 19</w:t>
      </w:r>
      <w:r w:rsidR="00C408DC">
        <w:rPr>
          <w:lang w:val="pl-PL"/>
        </w:rPr>
        <w:t xml:space="preserve"> </w:t>
      </w:r>
      <w:r w:rsidRPr="002815C3">
        <w:rPr>
          <w:lang w:val="pl-PL"/>
        </w:rPr>
        <w:t>00</w:t>
      </w:r>
      <w:r w:rsidR="00C408DC">
        <w:rPr>
          <w:lang w:val="pl-PL"/>
        </w:rPr>
        <w:t>0</w:t>
      </w:r>
      <w:r w:rsidRPr="00C408DC">
        <w:rPr>
          <w:lang w:val="pl-PL"/>
        </w:rPr>
        <w:t xml:space="preserve"> euro łącznie z tego tytułu. Kwotę tę</w:t>
      </w:r>
      <w:r w:rsidR="00307C05">
        <w:rPr>
          <w:lang w:val="pl-PL"/>
        </w:rPr>
        <w:t> </w:t>
      </w:r>
      <w:r w:rsidRPr="00C408DC">
        <w:rPr>
          <w:lang w:val="pl-PL"/>
        </w:rPr>
        <w:t xml:space="preserve">należy wpłacić </w:t>
      </w:r>
      <w:r w:rsidR="00092E75" w:rsidRPr="00C408DC">
        <w:rPr>
          <w:lang w:val="pl-PL"/>
        </w:rPr>
        <w:t xml:space="preserve">bezpośrednio </w:t>
      </w:r>
      <w:r w:rsidRPr="00C408DC">
        <w:rPr>
          <w:lang w:val="pl-PL"/>
        </w:rPr>
        <w:t xml:space="preserve">na rachunki bankowe przedstawicieli skarżących (zob. </w:t>
      </w:r>
      <w:r w:rsidRPr="00092E75">
        <w:rPr>
          <w:i/>
          <w:lang w:val="pl-PL"/>
        </w:rPr>
        <w:t>Khlaifia i Inni</w:t>
      </w:r>
      <w:r w:rsidRPr="00C408DC">
        <w:rPr>
          <w:lang w:val="pl-PL"/>
        </w:rPr>
        <w:t xml:space="preserve">, </w:t>
      </w:r>
      <w:r w:rsidR="00F01F0C">
        <w:rPr>
          <w:lang w:val="pl-PL"/>
        </w:rPr>
        <w:t>cyt. powyżej</w:t>
      </w:r>
      <w:r w:rsidRPr="00C408DC">
        <w:rPr>
          <w:lang w:val="pl-PL"/>
        </w:rPr>
        <w:t>, § 288).</w:t>
      </w:r>
    </w:p>
    <w:p w:rsidR="001377AE" w:rsidRPr="00C408DC" w:rsidRDefault="001377AE" w:rsidP="00072604">
      <w:pPr>
        <w:pStyle w:val="JuHA"/>
        <w:rPr>
          <w:lang w:val="pl-PL"/>
        </w:rPr>
      </w:pPr>
      <w:r w:rsidRPr="00C408DC">
        <w:rPr>
          <w:lang w:val="pl-PL"/>
        </w:rPr>
        <w:t>Odsetki ustawowe</w:t>
      </w:r>
    </w:p>
    <w:p w:rsidR="001377AE" w:rsidRPr="00C408DC" w:rsidRDefault="001377AE" w:rsidP="00072604">
      <w:pPr>
        <w:pStyle w:val="JuPara"/>
        <w:rPr>
          <w:lang w:val="pl-PL"/>
        </w:rPr>
      </w:pPr>
      <w:r w:rsidRPr="00C408DC">
        <w:rPr>
          <w:lang w:val="pl-PL"/>
        </w:rPr>
        <w:t>207.</w:t>
      </w:r>
      <w:r w:rsidR="005C05E6">
        <w:rPr>
          <w:lang w:val="pl-PL"/>
        </w:rPr>
        <w:t xml:space="preserve"> </w:t>
      </w:r>
      <w:r w:rsidRPr="00C408DC">
        <w:rPr>
          <w:lang w:val="pl-PL"/>
        </w:rPr>
        <w:t>Trybunał uważa za właściwe, aby stopę odsetek ustawowych oprzeć na stopie kredytu marginalnego Europejskiego Banku Centralnego, do której należy dodać trzy punkty procentowe.</w:t>
      </w:r>
    </w:p>
    <w:p w:rsidR="001377AE" w:rsidRPr="00C408DC" w:rsidRDefault="001377AE" w:rsidP="00072604">
      <w:pPr>
        <w:pStyle w:val="JuHHead"/>
        <w:rPr>
          <w:lang w:val="pl-PL"/>
        </w:rPr>
      </w:pPr>
      <w:r w:rsidRPr="00C408DC">
        <w:rPr>
          <w:lang w:val="pl-PL"/>
        </w:rPr>
        <w:lastRenderedPageBreak/>
        <w:t>Z TYCH PRZYCZYN, TRYBUNAŁ, JEDNOGŁOŚNIE,</w:t>
      </w:r>
    </w:p>
    <w:p w:rsidR="001377AE" w:rsidRPr="00C408DC" w:rsidRDefault="001377AE" w:rsidP="00072604">
      <w:pPr>
        <w:pStyle w:val="JuList"/>
        <w:rPr>
          <w:lang w:val="pl-PL"/>
        </w:rPr>
      </w:pPr>
      <w:r w:rsidRPr="00C408DC">
        <w:rPr>
          <w:i/>
          <w:iCs/>
          <w:lang w:val="pl-PL"/>
        </w:rPr>
        <w:t>stwierdza</w:t>
      </w:r>
      <w:r w:rsidRPr="00C408DC">
        <w:rPr>
          <w:lang w:val="pl-PL"/>
        </w:rPr>
        <w:t>, że naruszono art. 5 ust. 1 Konwencji;</w:t>
      </w:r>
    </w:p>
    <w:p w:rsidR="001377AE" w:rsidRPr="00C408DC" w:rsidRDefault="001377AE" w:rsidP="00072604">
      <w:pPr>
        <w:pStyle w:val="JuList"/>
        <w:rPr>
          <w:lang w:val="pl-PL"/>
        </w:rPr>
      </w:pPr>
      <w:r w:rsidRPr="00C408DC">
        <w:rPr>
          <w:i/>
          <w:iCs/>
          <w:lang w:val="pl-PL"/>
        </w:rPr>
        <w:t>stwierdza</w:t>
      </w:r>
      <w:r w:rsidRPr="00C408DC">
        <w:rPr>
          <w:lang w:val="pl-PL"/>
        </w:rPr>
        <w:t>, że naruszono art. 3 Konwencji;</w:t>
      </w:r>
    </w:p>
    <w:p w:rsidR="001377AE" w:rsidRPr="00C408DC" w:rsidRDefault="001377AE" w:rsidP="00072604">
      <w:pPr>
        <w:pStyle w:val="JuList"/>
        <w:rPr>
          <w:lang w:val="pl-PL"/>
        </w:rPr>
      </w:pPr>
      <w:r w:rsidRPr="00C408DC">
        <w:rPr>
          <w:i/>
          <w:iCs/>
          <w:lang w:val="pl-PL"/>
        </w:rPr>
        <w:t>uznaje</w:t>
      </w:r>
    </w:p>
    <w:p w:rsidR="001377AE" w:rsidRPr="00C408DC" w:rsidRDefault="001377AE" w:rsidP="00072604">
      <w:pPr>
        <w:pStyle w:val="JuLista"/>
        <w:rPr>
          <w:lang w:val="pl-PL"/>
        </w:rPr>
      </w:pPr>
      <w:r w:rsidRPr="00C408DC">
        <w:rPr>
          <w:lang w:val="pl-PL"/>
        </w:rPr>
        <w:t>że pozwane Państwo ma wypłacić skarżącym, w ciągu trzech miesięcy, następujące kwoty, które zostaną przeliczone na walutę pozwanego Państwa według kursu na dzień uregulowania płatności:</w:t>
      </w:r>
    </w:p>
    <w:p w:rsidR="001377AE" w:rsidRPr="00C408DC" w:rsidRDefault="001377AE" w:rsidP="00072604">
      <w:pPr>
        <w:pStyle w:val="JuListi"/>
        <w:rPr>
          <w:lang w:val="pl-PL"/>
        </w:rPr>
      </w:pPr>
      <w:r w:rsidRPr="00C408DC">
        <w:rPr>
          <w:lang w:val="pl-PL"/>
        </w:rPr>
        <w:t>tytułem szkody niepieniężnej:</w:t>
      </w:r>
    </w:p>
    <w:p w:rsidR="001377AE" w:rsidRPr="00C408DC" w:rsidRDefault="001377AE" w:rsidP="00072604">
      <w:pPr>
        <w:pStyle w:val="JuListi"/>
        <w:numPr>
          <w:ilvl w:val="0"/>
          <w:numId w:val="0"/>
        </w:numPr>
        <w:ind w:left="1134"/>
        <w:rPr>
          <w:lang w:val="pl-PL"/>
        </w:rPr>
      </w:pPr>
      <w:r w:rsidRPr="00C408DC">
        <w:rPr>
          <w:lang w:val="pl-PL"/>
        </w:rPr>
        <w:t>15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(piętnaście tysięcy euro), włącznie z jakimkolwiek podatkiem, który może zostać naliczony, na rzecz pana M.B.;</w:t>
      </w:r>
    </w:p>
    <w:p w:rsidR="001377AE" w:rsidRPr="00C408DC" w:rsidRDefault="001377AE" w:rsidP="00D40625">
      <w:pPr>
        <w:ind w:left="1134"/>
        <w:jc w:val="both"/>
        <w:rPr>
          <w:lang w:val="pl-PL"/>
        </w:rPr>
      </w:pPr>
      <w:r w:rsidRPr="00C408DC">
        <w:rPr>
          <w:lang w:val="pl-PL"/>
        </w:rPr>
        <w:t>20</w:t>
      </w:r>
      <w:r w:rsidR="003B6630">
        <w:rPr>
          <w:lang w:val="pl-PL"/>
        </w:rPr>
        <w:t> </w:t>
      </w:r>
      <w:r w:rsidRPr="00C408DC">
        <w:rPr>
          <w:lang w:val="pl-PL"/>
        </w:rPr>
        <w:t>000</w:t>
      </w:r>
      <w:r w:rsidR="003B6630">
        <w:rPr>
          <w:lang w:val="pl-PL"/>
        </w:rPr>
        <w:t xml:space="preserve"> </w:t>
      </w:r>
      <w:r w:rsidRPr="00C408DC">
        <w:rPr>
          <w:lang w:val="pl-PL"/>
        </w:rPr>
        <w:t>euro (dwadzieścia tysięcy euro), włącznie z jakimkolwiek podatkiem, który może zostać naliczony, na rzecz pana Z.A. i</w:t>
      </w:r>
      <w:r w:rsidR="00307C05">
        <w:rPr>
          <w:lang w:val="pl-PL"/>
        </w:rPr>
        <w:t> </w:t>
      </w:r>
      <w:r w:rsidRPr="00C408DC">
        <w:rPr>
          <w:lang w:val="pl-PL"/>
        </w:rPr>
        <w:t>pana Yasiena, każdemu z nich z osobna;</w:t>
      </w:r>
    </w:p>
    <w:p w:rsidR="001377AE" w:rsidRPr="00C408DC" w:rsidRDefault="001377AE" w:rsidP="00D40625">
      <w:pPr>
        <w:pStyle w:val="JuListi"/>
        <w:numPr>
          <w:ilvl w:val="0"/>
          <w:numId w:val="0"/>
        </w:numPr>
        <w:ind w:left="1134"/>
        <w:rPr>
          <w:lang w:val="pl-PL"/>
        </w:rPr>
      </w:pPr>
      <w:r w:rsidRPr="00C408DC">
        <w:rPr>
          <w:lang w:val="pl-PL"/>
        </w:rPr>
        <w:t>26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(dwadzieścia sześć tysięcy euro), włącznie z</w:t>
      </w:r>
      <w:r w:rsidR="00307C05">
        <w:rPr>
          <w:lang w:val="pl-PL"/>
        </w:rPr>
        <w:t> </w:t>
      </w:r>
      <w:r w:rsidRPr="00C408DC">
        <w:rPr>
          <w:lang w:val="pl-PL"/>
        </w:rPr>
        <w:t>jakimkolwiek podatkiem, który może zostać naliczony, na</w:t>
      </w:r>
      <w:r w:rsidR="00307C05">
        <w:rPr>
          <w:lang w:val="pl-PL"/>
        </w:rPr>
        <w:t> </w:t>
      </w:r>
      <w:r w:rsidRPr="00C408DC">
        <w:rPr>
          <w:lang w:val="pl-PL"/>
        </w:rPr>
        <w:t>rzecz pana A.M.;</w:t>
      </w:r>
    </w:p>
    <w:p w:rsidR="001377AE" w:rsidRPr="00C408DC" w:rsidRDefault="001377AE" w:rsidP="00072604">
      <w:pPr>
        <w:pStyle w:val="JuListi"/>
        <w:rPr>
          <w:lang w:val="pl-PL"/>
        </w:rPr>
      </w:pPr>
      <w:r w:rsidRPr="00C408DC">
        <w:rPr>
          <w:lang w:val="pl-PL"/>
        </w:rPr>
        <w:t>tytułem kosztów i wydatków:</w:t>
      </w:r>
    </w:p>
    <w:p w:rsidR="001377AE" w:rsidRPr="00C408DC" w:rsidRDefault="001377AE" w:rsidP="00072604">
      <w:pPr>
        <w:pStyle w:val="JuListi"/>
        <w:numPr>
          <w:ilvl w:val="0"/>
          <w:numId w:val="0"/>
        </w:numPr>
        <w:ind w:left="1134"/>
        <w:rPr>
          <w:lang w:val="pl-PL"/>
        </w:rPr>
      </w:pPr>
      <w:r w:rsidRPr="00C408DC">
        <w:rPr>
          <w:lang w:val="pl-PL"/>
        </w:rPr>
        <w:t>na rzecz skarżących łącznie, 19</w:t>
      </w:r>
      <w:r w:rsidR="00C408DC">
        <w:rPr>
          <w:lang w:val="pl-PL"/>
        </w:rPr>
        <w:t xml:space="preserve"> </w:t>
      </w:r>
      <w:r w:rsidRPr="00C408DC">
        <w:rPr>
          <w:lang w:val="pl-PL"/>
        </w:rPr>
        <w:t>000 euro (dziewiętnaście tysięcy euro), włącznie z jakimkolwiek podatkiem, który może zostać naliczony, którą należy wpłacić na rachunki bankowe ich przedstawicieli;</w:t>
      </w:r>
    </w:p>
    <w:p w:rsidR="001377AE" w:rsidRPr="00C408DC" w:rsidRDefault="00756E10" w:rsidP="00072604">
      <w:pPr>
        <w:pStyle w:val="JuLista"/>
        <w:rPr>
          <w:lang w:val="pl-PL"/>
        </w:rPr>
      </w:pPr>
      <w:r>
        <w:rPr>
          <w:lang w:val="pl-PL"/>
        </w:rPr>
        <w:t xml:space="preserve">że </w:t>
      </w:r>
      <w:r w:rsidR="001377AE" w:rsidRPr="00C408DC">
        <w:rPr>
          <w:lang w:val="pl-PL"/>
        </w:rPr>
        <w:t xml:space="preserve">odsetki </w:t>
      </w:r>
      <w:r w:rsidR="003B6630">
        <w:rPr>
          <w:lang w:val="pl-PL"/>
        </w:rPr>
        <w:t>–</w:t>
      </w:r>
      <w:r w:rsidR="001377AE" w:rsidRPr="00C408DC">
        <w:rPr>
          <w:lang w:val="pl-PL"/>
        </w:rPr>
        <w:t xml:space="preserve"> w</w:t>
      </w:r>
      <w:r w:rsidR="003B6630">
        <w:rPr>
          <w:lang w:val="pl-PL"/>
        </w:rPr>
        <w:t xml:space="preserve"> </w:t>
      </w:r>
      <w:r w:rsidR="001377AE" w:rsidRPr="00C408DC">
        <w:rPr>
          <w:lang w:val="pl-PL"/>
        </w:rPr>
        <w:t xml:space="preserve">wysokości stopy kredytu marginalnego Europejskiego Banku Centralnego, do której należy dodać trzy punkty procentowe </w:t>
      </w:r>
      <w:r w:rsidR="003B6630">
        <w:rPr>
          <w:lang w:val="pl-PL"/>
        </w:rPr>
        <w:t>–</w:t>
      </w:r>
      <w:r w:rsidR="001377AE" w:rsidRPr="00C408DC">
        <w:rPr>
          <w:lang w:val="pl-PL"/>
        </w:rPr>
        <w:t xml:space="preserve"> będą płatne po upływie wyżej wspomnianych trzech miesięcy do dnia uregulowania płatności;</w:t>
      </w:r>
    </w:p>
    <w:p w:rsidR="001377AE" w:rsidRPr="00C408DC" w:rsidRDefault="001377AE" w:rsidP="00072604">
      <w:pPr>
        <w:pStyle w:val="JuList"/>
        <w:rPr>
          <w:lang w:val="pl-PL"/>
        </w:rPr>
      </w:pPr>
      <w:r w:rsidRPr="00C408DC">
        <w:rPr>
          <w:i/>
          <w:iCs/>
          <w:lang w:val="pl-PL"/>
        </w:rPr>
        <w:t>oddala</w:t>
      </w:r>
      <w:r w:rsidRPr="00C408DC">
        <w:rPr>
          <w:lang w:val="pl-PL"/>
        </w:rPr>
        <w:t xml:space="preserve"> pozostałe roszczenia skarżących dotyczące s</w:t>
      </w:r>
      <w:r w:rsidR="00756E10">
        <w:rPr>
          <w:lang w:val="pl-PL"/>
        </w:rPr>
        <w:t>łusznego</w:t>
      </w:r>
      <w:r w:rsidRPr="00C408DC">
        <w:rPr>
          <w:lang w:val="pl-PL"/>
        </w:rPr>
        <w:t xml:space="preserve"> zadośćuczynienia.</w:t>
      </w:r>
    </w:p>
    <w:p w:rsidR="001377AE" w:rsidRPr="00C408DC" w:rsidRDefault="001377AE" w:rsidP="00072604">
      <w:pPr>
        <w:pStyle w:val="JuParaLast"/>
        <w:rPr>
          <w:lang w:val="pl-PL"/>
        </w:rPr>
      </w:pPr>
      <w:r w:rsidRPr="00C408DC">
        <w:rPr>
          <w:lang w:val="pl-PL"/>
        </w:rPr>
        <w:t>Sporządzono w języku angielskim i francuskim i ogłoszono na rozprawie jawnej w Pałacu Praw Człowieka w Strasburgu w dniu 21 listopada 2019 r.</w:t>
      </w:r>
    </w:p>
    <w:p w:rsidR="001377AE" w:rsidRPr="00C408DC" w:rsidRDefault="001377AE" w:rsidP="00072604">
      <w:pPr>
        <w:pStyle w:val="JuSigned"/>
        <w:tabs>
          <w:tab w:val="clear" w:pos="851"/>
          <w:tab w:val="clear" w:pos="6407"/>
          <w:tab w:val="center" w:pos="1134"/>
          <w:tab w:val="center" w:pos="5954"/>
        </w:tabs>
        <w:rPr>
          <w:lang w:val="pl-PL"/>
        </w:rPr>
      </w:pPr>
      <w:r w:rsidRPr="00C408DC">
        <w:rPr>
          <w:lang w:val="pl-PL"/>
        </w:rPr>
        <w:tab/>
        <w:t>Johan Callewaert</w:t>
      </w:r>
      <w:r w:rsidRPr="00C408DC">
        <w:rPr>
          <w:lang w:val="pl-PL"/>
        </w:rPr>
        <w:tab/>
        <w:t>Linos-Alexandre Sicilianos</w:t>
      </w:r>
      <w:r w:rsidRPr="00C408DC">
        <w:rPr>
          <w:lang w:val="pl-PL"/>
        </w:rPr>
        <w:br/>
      </w:r>
      <w:r w:rsidRPr="00C408DC">
        <w:rPr>
          <w:lang w:val="pl-PL"/>
        </w:rPr>
        <w:tab/>
        <w:t>Zast</w:t>
      </w:r>
      <w:r w:rsidR="001A09E7">
        <w:rPr>
          <w:lang w:val="pl-PL"/>
        </w:rPr>
        <w:t>ę</w:t>
      </w:r>
      <w:r w:rsidRPr="00C408DC">
        <w:rPr>
          <w:lang w:val="pl-PL"/>
        </w:rPr>
        <w:t>pca Kanclerza Wielkiej Izby</w:t>
      </w:r>
      <w:r w:rsidRPr="00C408DC">
        <w:rPr>
          <w:lang w:val="pl-PL"/>
        </w:rPr>
        <w:tab/>
        <w:t>Przewodniczący</w:t>
      </w:r>
    </w:p>
    <w:sectPr w:rsidR="001377AE" w:rsidRPr="00C408DC" w:rsidSect="00FB6C2A">
      <w:headerReference w:type="even" r:id="rId13"/>
      <w:headerReference w:type="default" r:id="rId14"/>
      <w:footerReference w:type="even" r:id="rId15"/>
      <w:footerReference w:type="default" r:id="rId16"/>
      <w:footnotePr>
        <w:numRestart w:val="eachSect"/>
      </w:footnotePr>
      <w:pgSz w:w="11906" w:h="16838" w:code="9"/>
      <w:pgMar w:top="2274" w:right="2274" w:bottom="2274" w:left="2274" w:header="1701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93F" w:rsidRPr="009E0462" w:rsidRDefault="002B793F" w:rsidP="00DC4033">
      <w:r w:rsidRPr="009E0462">
        <w:separator/>
      </w:r>
    </w:p>
  </w:endnote>
  <w:endnote w:type="continuationSeparator" w:id="0">
    <w:p w:rsidR="002B793F" w:rsidRPr="009E0462" w:rsidRDefault="002B793F" w:rsidP="00DC4033">
      <w:r w:rsidRPr="009E0462">
        <w:continuationSeparator/>
      </w:r>
    </w:p>
  </w:endnote>
  <w:endnote w:type="continuationNotice" w:id="1">
    <w:p w:rsidR="002B793F" w:rsidRDefault="002B79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C6C" w:rsidRDefault="005B1C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CA" w:rsidRPr="00150BFA" w:rsidRDefault="00CF5DCA" w:rsidP="00304172">
    <w:pPr>
      <w:jc w:val="center"/>
    </w:pPr>
    <w:r>
      <w:rPr>
        <w:noProof/>
        <w:lang w:val="pl-PL" w:eastAsia="pl-PL"/>
      </w:rPr>
      <w:drawing>
        <wp:inline distT="0" distB="0" distL="0" distR="0" wp14:editId="7E4B763F">
          <wp:extent cx="762000" cy="617220"/>
          <wp:effectExtent l="0" t="0" r="0" b="0"/>
          <wp:docPr id="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5DCA" w:rsidRPr="00A737D1" w:rsidRDefault="00CF5DCA" w:rsidP="00A737D1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C6C" w:rsidRDefault="005B1C6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CA" w:rsidRDefault="00CF5DCA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CA" w:rsidRPr="00F6348B" w:rsidRDefault="00CF5DCA" w:rsidP="003041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93F" w:rsidRPr="009E0462" w:rsidRDefault="002B793F" w:rsidP="00DC4033">
      <w:r w:rsidRPr="009E0462">
        <w:separator/>
      </w:r>
    </w:p>
  </w:footnote>
  <w:footnote w:type="continuationSeparator" w:id="0">
    <w:p w:rsidR="002B793F" w:rsidRPr="009E0462" w:rsidRDefault="002B793F" w:rsidP="00DC4033">
      <w:r w:rsidRPr="009E0462">
        <w:continuationSeparator/>
      </w:r>
    </w:p>
  </w:footnote>
  <w:footnote w:type="continuationNotice" w:id="1">
    <w:p w:rsidR="002B793F" w:rsidRDefault="002B793F"/>
  </w:footnote>
  <w:footnote w:id="2">
    <w:p w:rsidR="00CF5DCA" w:rsidRDefault="00CF5DCA" w:rsidP="00AF4146">
      <w:pPr>
        <w:pStyle w:val="s50c0b1c7"/>
        <w:jc w:val="both"/>
      </w:pPr>
      <w:r w:rsidRPr="00EB280A">
        <w:rPr>
          <w:rStyle w:val="Odwoanieprzypisudolnego"/>
          <w:rFonts w:eastAsia="MS Gothic"/>
          <w:sz w:val="20"/>
          <w:szCs w:val="20"/>
        </w:rPr>
        <w:footnoteRef/>
      </w:r>
      <w:r w:rsidRPr="00EB280A">
        <w:rPr>
          <w:sz w:val="20"/>
          <w:szCs w:val="20"/>
          <w:lang w:val="pl-PL"/>
        </w:rPr>
        <w:t xml:space="preserve"> Źródło: Nota informacyjna na temat orzecznictwa Trybunału nr 2</w:t>
      </w:r>
      <w:r>
        <w:rPr>
          <w:sz w:val="20"/>
          <w:szCs w:val="20"/>
          <w:lang w:val="pl-PL"/>
        </w:rPr>
        <w:t>34</w:t>
      </w:r>
      <w:r w:rsidRPr="00EB280A">
        <w:rPr>
          <w:sz w:val="20"/>
          <w:szCs w:val="20"/>
          <w:lang w:val="pl-PL"/>
        </w:rPr>
        <w:t xml:space="preserve">, </w:t>
      </w:r>
      <w:r>
        <w:rPr>
          <w:sz w:val="20"/>
          <w:szCs w:val="20"/>
          <w:lang w:val="pl-PL"/>
        </w:rPr>
        <w:t>listopad</w:t>
      </w:r>
      <w:r w:rsidRPr="00EB280A">
        <w:rPr>
          <w:sz w:val="20"/>
          <w:szCs w:val="20"/>
          <w:lang w:val="pl-PL"/>
        </w:rPr>
        <w:t xml:space="preserve"> 2019 r. (</w:t>
      </w:r>
      <w:r w:rsidRPr="00EB280A">
        <w:rPr>
          <w:rStyle w:val="s3aeeab2"/>
          <w:i/>
          <w:iCs/>
          <w:sz w:val="20"/>
          <w:szCs w:val="20"/>
          <w:lang w:val="pl-PL"/>
        </w:rPr>
        <w:t xml:space="preserve">Information Note. </w:t>
      </w:r>
      <w:r w:rsidRPr="00EB280A">
        <w:rPr>
          <w:rStyle w:val="s3aeeab2"/>
          <w:i/>
          <w:iCs/>
          <w:sz w:val="20"/>
          <w:szCs w:val="20"/>
        </w:rPr>
        <w:t>Case-law of the European Court of Human Rights No. 2</w:t>
      </w:r>
      <w:r>
        <w:rPr>
          <w:rStyle w:val="s3aeeab2"/>
          <w:i/>
          <w:iCs/>
          <w:sz w:val="20"/>
          <w:szCs w:val="20"/>
        </w:rPr>
        <w:t>34</w:t>
      </w:r>
      <w:r w:rsidRPr="00EB280A">
        <w:rPr>
          <w:rStyle w:val="s3aeeab2"/>
          <w:i/>
          <w:iCs/>
          <w:sz w:val="20"/>
          <w:szCs w:val="20"/>
        </w:rPr>
        <w:t xml:space="preserve">, </w:t>
      </w:r>
      <w:r>
        <w:rPr>
          <w:rStyle w:val="s3aeeab2"/>
          <w:i/>
          <w:iCs/>
          <w:sz w:val="20"/>
          <w:szCs w:val="20"/>
        </w:rPr>
        <w:t>November</w:t>
      </w:r>
      <w:r w:rsidRPr="00EB280A">
        <w:rPr>
          <w:rStyle w:val="s3aeeab2"/>
          <w:i/>
          <w:iCs/>
          <w:sz w:val="20"/>
          <w:szCs w:val="20"/>
        </w:rPr>
        <w:t xml:space="preserve"> 2019 / </w:t>
      </w:r>
      <w:r w:rsidRPr="00087652">
        <w:rPr>
          <w:rStyle w:val="sfbbfee58"/>
          <w:i/>
          <w:iCs/>
          <w:sz w:val="20"/>
          <w:szCs w:val="20"/>
        </w:rPr>
        <w:t>Note d’information sur la jurisprudence de la Cour 2</w:t>
      </w:r>
      <w:r>
        <w:rPr>
          <w:rStyle w:val="sfbbfee58"/>
          <w:i/>
          <w:iCs/>
          <w:sz w:val="20"/>
          <w:szCs w:val="20"/>
        </w:rPr>
        <w:t>34</w:t>
      </w:r>
      <w:r w:rsidRPr="00087652">
        <w:rPr>
          <w:rStyle w:val="sfbbfee58"/>
          <w:i/>
          <w:iCs/>
          <w:sz w:val="20"/>
          <w:szCs w:val="20"/>
        </w:rPr>
        <w:t xml:space="preserve"> / </w:t>
      </w:r>
      <w:r>
        <w:rPr>
          <w:rStyle w:val="sfbbfee58"/>
          <w:i/>
          <w:iCs/>
          <w:sz w:val="20"/>
          <w:szCs w:val="20"/>
        </w:rPr>
        <w:t>Novembre</w:t>
      </w:r>
      <w:r w:rsidRPr="00087652">
        <w:rPr>
          <w:rStyle w:val="sfbbfee58"/>
          <w:i/>
          <w:iCs/>
          <w:sz w:val="20"/>
          <w:szCs w:val="20"/>
        </w:rPr>
        <w:t xml:space="preserve"> 2019</w:t>
      </w:r>
      <w:r w:rsidRPr="00EB280A">
        <w:rPr>
          <w:rStyle w:val="s3aeeab2"/>
          <w:sz w:val="20"/>
          <w:szCs w:val="20"/>
        </w:rPr>
        <w:t>)</w:t>
      </w:r>
      <w:r>
        <w:rPr>
          <w:rStyle w:val="s3aeeab2"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C6C" w:rsidRDefault="005B1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CA" w:rsidRPr="00A45145" w:rsidRDefault="00CF5DCA" w:rsidP="00304172">
    <w:pPr>
      <w:jc w:val="center"/>
    </w:pPr>
    <w:r>
      <w:rPr>
        <w:noProof/>
        <w:lang w:val="pl-PL" w:eastAsia="pl-PL"/>
      </w:rPr>
      <w:drawing>
        <wp:inline distT="0" distB="0" distL="0" distR="0" wp14:editId="793C3F83">
          <wp:extent cx="2964180" cy="12192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418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5DCA" w:rsidRDefault="00CF5DCA" w:rsidP="0030417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C6C" w:rsidRDefault="005B1C6C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CA" w:rsidRPr="00554BD5" w:rsidRDefault="00CF5DCA" w:rsidP="006A1F8B">
    <w:pPr>
      <w:pStyle w:val="JuHeader"/>
      <w:rPr>
        <w:lang w:val="pl-PL"/>
      </w:rPr>
    </w:pPr>
    <w:r w:rsidRPr="00554BD5">
      <w:rPr>
        <w:rStyle w:val="Numerstrony"/>
        <w:lang w:val="pl-PL"/>
      </w:rPr>
      <w:fldChar w:fldCharType="begin"/>
    </w:r>
    <w:r w:rsidRPr="00554BD5">
      <w:rPr>
        <w:rStyle w:val="Numerstrony"/>
        <w:lang w:val="pl-PL"/>
      </w:rPr>
      <w:instrText xml:space="preserve"> PAGE </w:instrText>
    </w:r>
    <w:r w:rsidRPr="00554BD5">
      <w:rPr>
        <w:rStyle w:val="Numerstrony"/>
        <w:lang w:val="pl-PL"/>
      </w:rPr>
      <w:fldChar w:fldCharType="separate"/>
    </w:r>
    <w:r w:rsidR="007662F2">
      <w:rPr>
        <w:rStyle w:val="Numerstrony"/>
        <w:noProof/>
        <w:lang w:val="pl-PL"/>
      </w:rPr>
      <w:t>2</w:t>
    </w:r>
    <w:r w:rsidRPr="00554BD5">
      <w:rPr>
        <w:rStyle w:val="Numerstrony"/>
        <w:lang w:val="pl-PL"/>
      </w:rPr>
      <w:fldChar w:fldCharType="end"/>
    </w:r>
    <w:r w:rsidRPr="00554BD5">
      <w:rPr>
        <w:lang w:val="pl-PL"/>
      </w:rPr>
      <w:tab/>
      <w:t>WYROK W SPRAWIE Z.A. i</w:t>
    </w:r>
    <w:r>
      <w:rPr>
        <w:lang w:val="pl-PL"/>
      </w:rPr>
      <w:t xml:space="preserve"> </w:t>
    </w:r>
    <w:r w:rsidRPr="00554BD5">
      <w:rPr>
        <w:lang w:val="pl-PL"/>
      </w:rPr>
      <w:t>INNI PRZECIWKO ROSJI</w:t>
    </w:r>
    <w:r w:rsidRPr="00554BD5">
      <w:rPr>
        <w:noProof/>
        <w:lang w:val="pl-PL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DCA" w:rsidRPr="00554BD5" w:rsidRDefault="00CF5DCA" w:rsidP="00DC4033">
    <w:pPr>
      <w:pStyle w:val="JuHeader"/>
      <w:rPr>
        <w:lang w:val="pl-PL"/>
      </w:rPr>
    </w:pPr>
    <w:r w:rsidRPr="00DC4033">
      <w:tab/>
    </w:r>
    <w:r w:rsidRPr="00554BD5">
      <w:rPr>
        <w:lang w:val="pl-PL"/>
      </w:rPr>
      <w:t>WYROK W SPRAWIE Z.A. i</w:t>
    </w:r>
    <w:r>
      <w:rPr>
        <w:lang w:val="pl-PL"/>
      </w:rPr>
      <w:t xml:space="preserve"> </w:t>
    </w:r>
    <w:r w:rsidRPr="00554BD5">
      <w:rPr>
        <w:lang w:val="pl-PL"/>
      </w:rPr>
      <w:t>INNI PRZECIWKO ROSJI</w:t>
    </w:r>
    <w:r w:rsidRPr="00554BD5">
      <w:rPr>
        <w:lang w:val="pl-PL"/>
      </w:rPr>
      <w:tab/>
    </w:r>
    <w:r w:rsidRPr="00554BD5">
      <w:rPr>
        <w:rStyle w:val="Numerstrony"/>
        <w:lang w:val="pl-PL"/>
      </w:rPr>
      <w:fldChar w:fldCharType="begin"/>
    </w:r>
    <w:r w:rsidRPr="00554BD5">
      <w:rPr>
        <w:rStyle w:val="Numerstrony"/>
        <w:lang w:val="pl-PL"/>
      </w:rPr>
      <w:instrText xml:space="preserve"> PAGE </w:instrText>
    </w:r>
    <w:r w:rsidRPr="00554BD5">
      <w:rPr>
        <w:rStyle w:val="Numerstrony"/>
        <w:lang w:val="pl-PL"/>
      </w:rPr>
      <w:fldChar w:fldCharType="separate"/>
    </w:r>
    <w:r w:rsidR="007662F2">
      <w:rPr>
        <w:rStyle w:val="Numerstrony"/>
        <w:noProof/>
        <w:lang w:val="pl-PL"/>
      </w:rPr>
      <w:t>19</w:t>
    </w:r>
    <w:r w:rsidRPr="00554BD5">
      <w:rPr>
        <w:rStyle w:val="Numerstrony"/>
        <w:lang w:val="pl-PL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2E98D9AE"/>
    <w:lvl w:ilvl="0">
      <w:start w:val="1"/>
      <w:numFmt w:val="decimal"/>
      <w:pStyle w:val="Listanumerowana5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2F369A7C"/>
    <w:lvl w:ilvl="0">
      <w:start w:val="1"/>
      <w:numFmt w:val="decimal"/>
      <w:pStyle w:val="Listanumerowana4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3346880A"/>
    <w:lvl w:ilvl="0">
      <w:start w:val="1"/>
      <w:numFmt w:val="decimal"/>
      <w:pStyle w:val="Listanumerowana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0"/>
    <w:multiLevelType w:val="singleLevel"/>
    <w:tmpl w:val="552A83EC"/>
    <w:lvl w:ilvl="0">
      <w:start w:val="1"/>
      <w:numFmt w:val="bullet"/>
      <w:pStyle w:val="Listanumerowan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4" w15:restartNumberingAfterBreak="0">
    <w:nsid w:val="FFFFFF81"/>
    <w:multiLevelType w:val="singleLevel"/>
    <w:tmpl w:val="085AC83C"/>
    <w:lvl w:ilvl="0">
      <w:start w:val="1"/>
      <w:numFmt w:val="bullet"/>
      <w:pStyle w:val="Listapunktowana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2"/>
    <w:multiLevelType w:val="singleLevel"/>
    <w:tmpl w:val="87486FE2"/>
    <w:lvl w:ilvl="0">
      <w:start w:val="1"/>
      <w:numFmt w:val="bullet"/>
      <w:pStyle w:val="Listapunktowana4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3"/>
    <w:multiLevelType w:val="singleLevel"/>
    <w:tmpl w:val="4A528BA6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8"/>
    <w:multiLevelType w:val="singleLevel"/>
    <w:tmpl w:val="366C20B0"/>
    <w:lvl w:ilvl="0">
      <w:start w:val="1"/>
      <w:numFmt w:val="decimal"/>
      <w:pStyle w:val="Listanumerowana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66ECC718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9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</w:lvl>
    <w:lvl w:ilvl="1">
      <w:start w:val="1"/>
      <w:numFmt w:val="decimalZero"/>
      <w:isLgl/>
      <w:lvlText w:val="Section %1.%2"/>
      <w:lvlJc w:val="left"/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0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D5546B"/>
    <w:multiLevelType w:val="multilevel"/>
    <w:tmpl w:val="BD4225D2"/>
    <w:styleLink w:val="ECHRA1StyleList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85E6A40"/>
    <w:multiLevelType w:val="multilevel"/>
    <w:tmpl w:val="84A2DB16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cs="Symbol" w:hint="default"/>
        <w:sz w:val="20"/>
        <w:szCs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F842BC8C"/>
    <w:styleLink w:val="ECHRA1StyleBulletedSquare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cs="Wingdings" w:hint="default"/>
        <w:color w:val="0072BC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cs="Wingdings" w:hint="default"/>
        <w:color w:val="0072BC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cs="Wingdings" w:hint="default"/>
        <w:color w:val="7F7F7F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cs="Wingdings" w:hint="default"/>
        <w:color w:val="7F7F7F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cs="Wingdings" w:hint="default"/>
        <w:color w:val="0072BC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cs="Wingdings" w:hint="default"/>
        <w:color w:val="5F5F5F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cs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B7886602"/>
    <w:lvl w:ilvl="0">
      <w:start w:val="1"/>
      <w:numFmt w:val="none"/>
      <w:pStyle w:val="JuHHead"/>
      <w:suff w:val="nothing"/>
      <w:lvlText w:val=""/>
      <w:lvlJc w:val="left"/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  <w:szCs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pStyle w:val="JuHalpha"/>
      <w:lvlText w:val="(%7)"/>
      <w:lvlJc w:val="left"/>
      <w:pPr>
        <w:ind w:left="1372" w:hanging="334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cs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/>
      </w:pPr>
      <w:rPr>
        <w:rFonts w:ascii="Wingdings" w:hAnsi="Wingdings" w:cs="Wingdings" w:hint="default"/>
        <w:color w:val="808080"/>
        <w:sz w:val="16"/>
        <w:szCs w:val="16"/>
      </w:rPr>
    </w:lvl>
    <w:lvl w:ilvl="1" w:tplc="080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1"/>
  </w:num>
  <w:num w:numId="9">
    <w:abstractNumId w:val="0"/>
  </w:num>
  <w:num w:numId="10">
    <w:abstractNumId w:val="16"/>
  </w:num>
  <w:num w:numId="11">
    <w:abstractNumId w:val="12"/>
  </w:num>
  <w:num w:numId="12">
    <w:abstractNumId w:val="13"/>
  </w:num>
  <w:num w:numId="13">
    <w:abstractNumId w:val="10"/>
  </w:num>
  <w:num w:numId="14">
    <w:abstractNumId w:val="9"/>
  </w:num>
  <w:num w:numId="15">
    <w:abstractNumId w:val="14"/>
  </w:num>
  <w:num w:numId="16">
    <w:abstractNumId w:val="11"/>
  </w:num>
  <w:num w:numId="17">
    <w:abstractNumId w:val="15"/>
  </w:num>
  <w:num w:numId="18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defaultTabStop w:val="720"/>
  <w:hyphenationZone w:val="425"/>
  <w:doNotHyphenateCaps/>
  <w:evenAndOddHeader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MM" w:val="0"/>
    <w:docVar w:name="NBEMMDOC" w:val="0"/>
  </w:docVars>
  <w:rsids>
    <w:rsidRoot w:val="004A095B"/>
    <w:rsid w:val="000041F8"/>
    <w:rsid w:val="000042A8"/>
    <w:rsid w:val="00004308"/>
    <w:rsid w:val="00005BF0"/>
    <w:rsid w:val="0000621D"/>
    <w:rsid w:val="00007154"/>
    <w:rsid w:val="00007A11"/>
    <w:rsid w:val="000103AE"/>
    <w:rsid w:val="00011D69"/>
    <w:rsid w:val="00012AD3"/>
    <w:rsid w:val="00015C2D"/>
    <w:rsid w:val="00015F00"/>
    <w:rsid w:val="0002069C"/>
    <w:rsid w:val="00022C1D"/>
    <w:rsid w:val="00022E3B"/>
    <w:rsid w:val="0003300B"/>
    <w:rsid w:val="00034987"/>
    <w:rsid w:val="0003634F"/>
    <w:rsid w:val="000432BA"/>
    <w:rsid w:val="000477C3"/>
    <w:rsid w:val="00053266"/>
    <w:rsid w:val="00055DE3"/>
    <w:rsid w:val="000568E2"/>
    <w:rsid w:val="000602DF"/>
    <w:rsid w:val="00061B05"/>
    <w:rsid w:val="000632D5"/>
    <w:rsid w:val="000644EE"/>
    <w:rsid w:val="00065F6F"/>
    <w:rsid w:val="00072604"/>
    <w:rsid w:val="0007458D"/>
    <w:rsid w:val="0007571F"/>
    <w:rsid w:val="00087652"/>
    <w:rsid w:val="000925AD"/>
    <w:rsid w:val="00092E75"/>
    <w:rsid w:val="000A0A95"/>
    <w:rsid w:val="000A24EB"/>
    <w:rsid w:val="000A250A"/>
    <w:rsid w:val="000A31B4"/>
    <w:rsid w:val="000A4D72"/>
    <w:rsid w:val="000A764D"/>
    <w:rsid w:val="000A7B57"/>
    <w:rsid w:val="000B04D2"/>
    <w:rsid w:val="000B6923"/>
    <w:rsid w:val="000C5F3C"/>
    <w:rsid w:val="000C6DCC"/>
    <w:rsid w:val="000D0FA6"/>
    <w:rsid w:val="000D47AA"/>
    <w:rsid w:val="000D721F"/>
    <w:rsid w:val="000E069B"/>
    <w:rsid w:val="000E0E82"/>
    <w:rsid w:val="000E1DC5"/>
    <w:rsid w:val="000E223F"/>
    <w:rsid w:val="000E4FE3"/>
    <w:rsid w:val="000E7D45"/>
    <w:rsid w:val="000F1963"/>
    <w:rsid w:val="000F445B"/>
    <w:rsid w:val="000F7851"/>
    <w:rsid w:val="001029A9"/>
    <w:rsid w:val="00102DC1"/>
    <w:rsid w:val="00104E23"/>
    <w:rsid w:val="001054DF"/>
    <w:rsid w:val="001058C8"/>
    <w:rsid w:val="00111B0C"/>
    <w:rsid w:val="00120D6C"/>
    <w:rsid w:val="001257EC"/>
    <w:rsid w:val="00131A20"/>
    <w:rsid w:val="00133D33"/>
    <w:rsid w:val="00134D64"/>
    <w:rsid w:val="00135A30"/>
    <w:rsid w:val="0013612C"/>
    <w:rsid w:val="001377AE"/>
    <w:rsid w:val="00137FF6"/>
    <w:rsid w:val="0014054A"/>
    <w:rsid w:val="00141650"/>
    <w:rsid w:val="00141B75"/>
    <w:rsid w:val="001426F8"/>
    <w:rsid w:val="00150BFA"/>
    <w:rsid w:val="00162A12"/>
    <w:rsid w:val="00166530"/>
    <w:rsid w:val="00176B7F"/>
    <w:rsid w:val="0017763B"/>
    <w:rsid w:val="001832BD"/>
    <w:rsid w:val="001840D0"/>
    <w:rsid w:val="00192C2F"/>
    <w:rsid w:val="001943B5"/>
    <w:rsid w:val="00195134"/>
    <w:rsid w:val="001A09E7"/>
    <w:rsid w:val="001A145B"/>
    <w:rsid w:val="001A2608"/>
    <w:rsid w:val="001A674C"/>
    <w:rsid w:val="001A733E"/>
    <w:rsid w:val="001B3B24"/>
    <w:rsid w:val="001C0F98"/>
    <w:rsid w:val="001C1329"/>
    <w:rsid w:val="001C2A42"/>
    <w:rsid w:val="001C3028"/>
    <w:rsid w:val="001D63ED"/>
    <w:rsid w:val="001D7348"/>
    <w:rsid w:val="001D7E7C"/>
    <w:rsid w:val="001E035B"/>
    <w:rsid w:val="001E0961"/>
    <w:rsid w:val="001E3EAE"/>
    <w:rsid w:val="001E6F32"/>
    <w:rsid w:val="001F1CD9"/>
    <w:rsid w:val="001F2145"/>
    <w:rsid w:val="001F6262"/>
    <w:rsid w:val="001F6522"/>
    <w:rsid w:val="001F67B0"/>
    <w:rsid w:val="001F7B3D"/>
    <w:rsid w:val="00205ED9"/>
    <w:rsid w:val="00205F9F"/>
    <w:rsid w:val="002065E2"/>
    <w:rsid w:val="00210338"/>
    <w:rsid w:val="002115FC"/>
    <w:rsid w:val="0021423C"/>
    <w:rsid w:val="00217AD1"/>
    <w:rsid w:val="00230D00"/>
    <w:rsid w:val="00231DF7"/>
    <w:rsid w:val="00231FD1"/>
    <w:rsid w:val="002339E0"/>
    <w:rsid w:val="00233CF8"/>
    <w:rsid w:val="0023575D"/>
    <w:rsid w:val="00237148"/>
    <w:rsid w:val="0024222D"/>
    <w:rsid w:val="002448CF"/>
    <w:rsid w:val="00244B0E"/>
    <w:rsid w:val="00244F6C"/>
    <w:rsid w:val="002532C5"/>
    <w:rsid w:val="00260C03"/>
    <w:rsid w:val="0026540E"/>
    <w:rsid w:val="00275123"/>
    <w:rsid w:val="002815C3"/>
    <w:rsid w:val="00282240"/>
    <w:rsid w:val="0028710F"/>
    <w:rsid w:val="002948AD"/>
    <w:rsid w:val="002A01CC"/>
    <w:rsid w:val="002A0F0E"/>
    <w:rsid w:val="002A61B1"/>
    <w:rsid w:val="002A663C"/>
    <w:rsid w:val="002B0912"/>
    <w:rsid w:val="002B444B"/>
    <w:rsid w:val="002B5887"/>
    <w:rsid w:val="002B75A5"/>
    <w:rsid w:val="002B793F"/>
    <w:rsid w:val="002C0E27"/>
    <w:rsid w:val="002C3040"/>
    <w:rsid w:val="002D022D"/>
    <w:rsid w:val="002D24BB"/>
    <w:rsid w:val="002D5158"/>
    <w:rsid w:val="002E3705"/>
    <w:rsid w:val="002E600B"/>
    <w:rsid w:val="002F2AF7"/>
    <w:rsid w:val="002F7E1C"/>
    <w:rsid w:val="00300163"/>
    <w:rsid w:val="003006BF"/>
    <w:rsid w:val="00301A75"/>
    <w:rsid w:val="003024DA"/>
    <w:rsid w:val="00302F70"/>
    <w:rsid w:val="0030336F"/>
    <w:rsid w:val="0030375E"/>
    <w:rsid w:val="00304172"/>
    <w:rsid w:val="003054C5"/>
    <w:rsid w:val="00305584"/>
    <w:rsid w:val="00305F02"/>
    <w:rsid w:val="00307C05"/>
    <w:rsid w:val="00312700"/>
    <w:rsid w:val="00312A30"/>
    <w:rsid w:val="00320F72"/>
    <w:rsid w:val="0032463E"/>
    <w:rsid w:val="00326224"/>
    <w:rsid w:val="003311CF"/>
    <w:rsid w:val="00334E7F"/>
    <w:rsid w:val="00335891"/>
    <w:rsid w:val="00336879"/>
    <w:rsid w:val="00337EE4"/>
    <w:rsid w:val="00340FFD"/>
    <w:rsid w:val="0034383F"/>
    <w:rsid w:val="003505B5"/>
    <w:rsid w:val="003506B1"/>
    <w:rsid w:val="00351DAC"/>
    <w:rsid w:val="00353A4D"/>
    <w:rsid w:val="00354433"/>
    <w:rsid w:val="00356AC7"/>
    <w:rsid w:val="00360772"/>
    <w:rsid w:val="003609FA"/>
    <w:rsid w:val="003710C8"/>
    <w:rsid w:val="00371D96"/>
    <w:rsid w:val="003750BE"/>
    <w:rsid w:val="0038408F"/>
    <w:rsid w:val="00387B9D"/>
    <w:rsid w:val="00391888"/>
    <w:rsid w:val="0039364F"/>
    <w:rsid w:val="00396686"/>
    <w:rsid w:val="0039778E"/>
    <w:rsid w:val="003B1DF7"/>
    <w:rsid w:val="003B4941"/>
    <w:rsid w:val="003B6630"/>
    <w:rsid w:val="003B6D9E"/>
    <w:rsid w:val="003C3F8E"/>
    <w:rsid w:val="003C5714"/>
    <w:rsid w:val="003C6B9F"/>
    <w:rsid w:val="003C6DD9"/>
    <w:rsid w:val="003C6E2A"/>
    <w:rsid w:val="003D0299"/>
    <w:rsid w:val="003D315E"/>
    <w:rsid w:val="003D4A07"/>
    <w:rsid w:val="003D5F20"/>
    <w:rsid w:val="003E38F3"/>
    <w:rsid w:val="003E6D80"/>
    <w:rsid w:val="003F05FA"/>
    <w:rsid w:val="003F244A"/>
    <w:rsid w:val="003F30B8"/>
    <w:rsid w:val="003F4C45"/>
    <w:rsid w:val="003F5F7B"/>
    <w:rsid w:val="003F7D64"/>
    <w:rsid w:val="00402F46"/>
    <w:rsid w:val="00414300"/>
    <w:rsid w:val="00425C67"/>
    <w:rsid w:val="00427E7A"/>
    <w:rsid w:val="00436C49"/>
    <w:rsid w:val="0044284F"/>
    <w:rsid w:val="00445366"/>
    <w:rsid w:val="00446397"/>
    <w:rsid w:val="00447F5B"/>
    <w:rsid w:val="0045649E"/>
    <w:rsid w:val="00461DB0"/>
    <w:rsid w:val="00463926"/>
    <w:rsid w:val="00464C9A"/>
    <w:rsid w:val="00474F3D"/>
    <w:rsid w:val="00477E3A"/>
    <w:rsid w:val="00483E5F"/>
    <w:rsid w:val="00485FF9"/>
    <w:rsid w:val="004907F0"/>
    <w:rsid w:val="0049140B"/>
    <w:rsid w:val="004919DC"/>
    <w:rsid w:val="004923A5"/>
    <w:rsid w:val="004968AC"/>
    <w:rsid w:val="00496BFB"/>
    <w:rsid w:val="004A095B"/>
    <w:rsid w:val="004A15C7"/>
    <w:rsid w:val="004A523E"/>
    <w:rsid w:val="004B013B"/>
    <w:rsid w:val="004B112B"/>
    <w:rsid w:val="004C01E4"/>
    <w:rsid w:val="004C086C"/>
    <w:rsid w:val="004C1F56"/>
    <w:rsid w:val="004C27BC"/>
    <w:rsid w:val="004C3F7F"/>
    <w:rsid w:val="004C5BE7"/>
    <w:rsid w:val="004D15F3"/>
    <w:rsid w:val="004D5311"/>
    <w:rsid w:val="004D5DCC"/>
    <w:rsid w:val="004D76CC"/>
    <w:rsid w:val="004F064E"/>
    <w:rsid w:val="004F0CDE"/>
    <w:rsid w:val="004F10AF"/>
    <w:rsid w:val="004F11A4"/>
    <w:rsid w:val="004F19C5"/>
    <w:rsid w:val="004F2389"/>
    <w:rsid w:val="004F304D"/>
    <w:rsid w:val="004F61BE"/>
    <w:rsid w:val="004F66B1"/>
    <w:rsid w:val="00510E6F"/>
    <w:rsid w:val="00511C07"/>
    <w:rsid w:val="005173A6"/>
    <w:rsid w:val="00520BAA"/>
    <w:rsid w:val="00525208"/>
    <w:rsid w:val="005257A5"/>
    <w:rsid w:val="00526394"/>
    <w:rsid w:val="005264C0"/>
    <w:rsid w:val="00526A8A"/>
    <w:rsid w:val="00530A51"/>
    <w:rsid w:val="00531DF2"/>
    <w:rsid w:val="00533C33"/>
    <w:rsid w:val="0053494A"/>
    <w:rsid w:val="005442EE"/>
    <w:rsid w:val="00544BAA"/>
    <w:rsid w:val="0054656E"/>
    <w:rsid w:val="00547353"/>
    <w:rsid w:val="005474E7"/>
    <w:rsid w:val="005512A3"/>
    <w:rsid w:val="00554BD5"/>
    <w:rsid w:val="005578CE"/>
    <w:rsid w:val="005616E5"/>
    <w:rsid w:val="00562781"/>
    <w:rsid w:val="00571B68"/>
    <w:rsid w:val="0057271C"/>
    <w:rsid w:val="00572845"/>
    <w:rsid w:val="00573E97"/>
    <w:rsid w:val="00580161"/>
    <w:rsid w:val="00581E16"/>
    <w:rsid w:val="00592772"/>
    <w:rsid w:val="0059574A"/>
    <w:rsid w:val="005A1B9B"/>
    <w:rsid w:val="005A3976"/>
    <w:rsid w:val="005A6751"/>
    <w:rsid w:val="005B092E"/>
    <w:rsid w:val="005B152C"/>
    <w:rsid w:val="005B1C6C"/>
    <w:rsid w:val="005B1EE0"/>
    <w:rsid w:val="005B2137"/>
    <w:rsid w:val="005B2B24"/>
    <w:rsid w:val="005B4425"/>
    <w:rsid w:val="005B46D5"/>
    <w:rsid w:val="005B4B94"/>
    <w:rsid w:val="005B6D03"/>
    <w:rsid w:val="005B790A"/>
    <w:rsid w:val="005C00BD"/>
    <w:rsid w:val="005C05E6"/>
    <w:rsid w:val="005C3EE8"/>
    <w:rsid w:val="005D34F9"/>
    <w:rsid w:val="005D4190"/>
    <w:rsid w:val="005D67A3"/>
    <w:rsid w:val="005E0897"/>
    <w:rsid w:val="005E27A5"/>
    <w:rsid w:val="005E2988"/>
    <w:rsid w:val="005E3085"/>
    <w:rsid w:val="005F1BB5"/>
    <w:rsid w:val="005F4111"/>
    <w:rsid w:val="005F51E1"/>
    <w:rsid w:val="005F5290"/>
    <w:rsid w:val="005F6F5D"/>
    <w:rsid w:val="0060409F"/>
    <w:rsid w:val="00606426"/>
    <w:rsid w:val="00611C80"/>
    <w:rsid w:val="00612685"/>
    <w:rsid w:val="00613157"/>
    <w:rsid w:val="006166F4"/>
    <w:rsid w:val="00620692"/>
    <w:rsid w:val="006242CA"/>
    <w:rsid w:val="00627507"/>
    <w:rsid w:val="00630342"/>
    <w:rsid w:val="00633717"/>
    <w:rsid w:val="006344E1"/>
    <w:rsid w:val="00635FBC"/>
    <w:rsid w:val="00644DB3"/>
    <w:rsid w:val="006541AE"/>
    <w:rsid w:val="006545C4"/>
    <w:rsid w:val="00661971"/>
    <w:rsid w:val="00661CE8"/>
    <w:rsid w:val="006623D9"/>
    <w:rsid w:val="00664E2C"/>
    <w:rsid w:val="0066550C"/>
    <w:rsid w:val="006716F2"/>
    <w:rsid w:val="00673171"/>
    <w:rsid w:val="00675DC9"/>
    <w:rsid w:val="00682BF2"/>
    <w:rsid w:val="00683F5B"/>
    <w:rsid w:val="006859CE"/>
    <w:rsid w:val="00691270"/>
    <w:rsid w:val="00694BA8"/>
    <w:rsid w:val="006A037C"/>
    <w:rsid w:val="006A1E82"/>
    <w:rsid w:val="006A1F8B"/>
    <w:rsid w:val="006A36F4"/>
    <w:rsid w:val="006A406F"/>
    <w:rsid w:val="006A5D3A"/>
    <w:rsid w:val="006B0F25"/>
    <w:rsid w:val="006B7DFC"/>
    <w:rsid w:val="006C23D4"/>
    <w:rsid w:val="006C7BB0"/>
    <w:rsid w:val="006D3237"/>
    <w:rsid w:val="006E2E37"/>
    <w:rsid w:val="006E36AC"/>
    <w:rsid w:val="006E3CF1"/>
    <w:rsid w:val="006E7E80"/>
    <w:rsid w:val="006F277D"/>
    <w:rsid w:val="006F48CA"/>
    <w:rsid w:val="006F64DD"/>
    <w:rsid w:val="00702E32"/>
    <w:rsid w:val="0070539D"/>
    <w:rsid w:val="007058D5"/>
    <w:rsid w:val="00715127"/>
    <w:rsid w:val="00715E8E"/>
    <w:rsid w:val="00723580"/>
    <w:rsid w:val="00723755"/>
    <w:rsid w:val="007249AC"/>
    <w:rsid w:val="00726D36"/>
    <w:rsid w:val="0073136C"/>
    <w:rsid w:val="00731F0F"/>
    <w:rsid w:val="00733250"/>
    <w:rsid w:val="00741404"/>
    <w:rsid w:val="007449E5"/>
    <w:rsid w:val="00747FF0"/>
    <w:rsid w:val="00756E10"/>
    <w:rsid w:val="007610B9"/>
    <w:rsid w:val="00764D4E"/>
    <w:rsid w:val="00765A1F"/>
    <w:rsid w:val="007662F2"/>
    <w:rsid w:val="00766688"/>
    <w:rsid w:val="00767AD3"/>
    <w:rsid w:val="0077491B"/>
    <w:rsid w:val="00775B6D"/>
    <w:rsid w:val="00776D68"/>
    <w:rsid w:val="00781F37"/>
    <w:rsid w:val="007832BC"/>
    <w:rsid w:val="007850EE"/>
    <w:rsid w:val="00785B95"/>
    <w:rsid w:val="00790E96"/>
    <w:rsid w:val="00793366"/>
    <w:rsid w:val="007A3C94"/>
    <w:rsid w:val="007A716F"/>
    <w:rsid w:val="007B0CED"/>
    <w:rsid w:val="007B25B4"/>
    <w:rsid w:val="007B270A"/>
    <w:rsid w:val="007B3244"/>
    <w:rsid w:val="007C0695"/>
    <w:rsid w:val="007C419A"/>
    <w:rsid w:val="007C4CC8"/>
    <w:rsid w:val="007C5426"/>
    <w:rsid w:val="007C5798"/>
    <w:rsid w:val="007D4832"/>
    <w:rsid w:val="007E21B2"/>
    <w:rsid w:val="007E2298"/>
    <w:rsid w:val="007E2C4E"/>
    <w:rsid w:val="007F1905"/>
    <w:rsid w:val="007F7C56"/>
    <w:rsid w:val="00802C64"/>
    <w:rsid w:val="00802E0B"/>
    <w:rsid w:val="00805E52"/>
    <w:rsid w:val="008061D0"/>
    <w:rsid w:val="00810B38"/>
    <w:rsid w:val="00810EE1"/>
    <w:rsid w:val="00812DD4"/>
    <w:rsid w:val="008132E6"/>
    <w:rsid w:val="008204C7"/>
    <w:rsid w:val="00820992"/>
    <w:rsid w:val="008222D1"/>
    <w:rsid w:val="00823602"/>
    <w:rsid w:val="008236DF"/>
    <w:rsid w:val="00823B73"/>
    <w:rsid w:val="00823EF1"/>
    <w:rsid w:val="008255F5"/>
    <w:rsid w:val="0083014E"/>
    <w:rsid w:val="00830D7A"/>
    <w:rsid w:val="0083214A"/>
    <w:rsid w:val="00833758"/>
    <w:rsid w:val="00834220"/>
    <w:rsid w:val="00845723"/>
    <w:rsid w:val="00847E2B"/>
    <w:rsid w:val="00851EF9"/>
    <w:rsid w:val="008577FD"/>
    <w:rsid w:val="00860B03"/>
    <w:rsid w:val="0086497A"/>
    <w:rsid w:val="008713A1"/>
    <w:rsid w:val="008754AB"/>
    <w:rsid w:val="0088060C"/>
    <w:rsid w:val="00880669"/>
    <w:rsid w:val="0088126C"/>
    <w:rsid w:val="00893576"/>
    <w:rsid w:val="00893E73"/>
    <w:rsid w:val="008945EE"/>
    <w:rsid w:val="008A6DCA"/>
    <w:rsid w:val="008B02DC"/>
    <w:rsid w:val="008B1356"/>
    <w:rsid w:val="008B2457"/>
    <w:rsid w:val="008B57CE"/>
    <w:rsid w:val="008B68A4"/>
    <w:rsid w:val="008C1266"/>
    <w:rsid w:val="008C26DE"/>
    <w:rsid w:val="008C2AE6"/>
    <w:rsid w:val="008D00E6"/>
    <w:rsid w:val="008D2225"/>
    <w:rsid w:val="008D4752"/>
    <w:rsid w:val="008E271C"/>
    <w:rsid w:val="008E418E"/>
    <w:rsid w:val="008E5BC6"/>
    <w:rsid w:val="008E6A25"/>
    <w:rsid w:val="008E6C0F"/>
    <w:rsid w:val="008F1F64"/>
    <w:rsid w:val="008F5193"/>
    <w:rsid w:val="008F64B5"/>
    <w:rsid w:val="009013A7"/>
    <w:rsid w:val="009017FB"/>
    <w:rsid w:val="009017FC"/>
    <w:rsid w:val="0090506B"/>
    <w:rsid w:val="009050C9"/>
    <w:rsid w:val="00905201"/>
    <w:rsid w:val="009066FC"/>
    <w:rsid w:val="00906F8E"/>
    <w:rsid w:val="00913075"/>
    <w:rsid w:val="009140A3"/>
    <w:rsid w:val="009141EE"/>
    <w:rsid w:val="009144A2"/>
    <w:rsid w:val="0091510C"/>
    <w:rsid w:val="00917527"/>
    <w:rsid w:val="00921814"/>
    <w:rsid w:val="009220AA"/>
    <w:rsid w:val="009259AC"/>
    <w:rsid w:val="00926F38"/>
    <w:rsid w:val="00934301"/>
    <w:rsid w:val="009366CB"/>
    <w:rsid w:val="00936CD1"/>
    <w:rsid w:val="00941092"/>
    <w:rsid w:val="00941747"/>
    <w:rsid w:val="00941EFB"/>
    <w:rsid w:val="00947AFB"/>
    <w:rsid w:val="0095010D"/>
    <w:rsid w:val="00951D7D"/>
    <w:rsid w:val="00960FF6"/>
    <w:rsid w:val="009630C7"/>
    <w:rsid w:val="00972B55"/>
    <w:rsid w:val="009743B7"/>
    <w:rsid w:val="00975A5F"/>
    <w:rsid w:val="00981F42"/>
    <w:rsid w:val="0098228B"/>
    <w:rsid w:val="009828DA"/>
    <w:rsid w:val="00985BAB"/>
    <w:rsid w:val="00996DAA"/>
    <w:rsid w:val="009B1B5F"/>
    <w:rsid w:val="009B6673"/>
    <w:rsid w:val="009B7315"/>
    <w:rsid w:val="009C0818"/>
    <w:rsid w:val="009C1305"/>
    <w:rsid w:val="009C18EC"/>
    <w:rsid w:val="009C191B"/>
    <w:rsid w:val="009C2BD6"/>
    <w:rsid w:val="009C2FCF"/>
    <w:rsid w:val="009C3D41"/>
    <w:rsid w:val="009C7993"/>
    <w:rsid w:val="009E0462"/>
    <w:rsid w:val="009E1F32"/>
    <w:rsid w:val="009E6456"/>
    <w:rsid w:val="009E72CA"/>
    <w:rsid w:val="009E776C"/>
    <w:rsid w:val="009F7825"/>
    <w:rsid w:val="00A02703"/>
    <w:rsid w:val="00A1726E"/>
    <w:rsid w:val="00A204CF"/>
    <w:rsid w:val="00A23D49"/>
    <w:rsid w:val="00A27004"/>
    <w:rsid w:val="00A279A5"/>
    <w:rsid w:val="00A30C29"/>
    <w:rsid w:val="00A34DD6"/>
    <w:rsid w:val="00A353F3"/>
    <w:rsid w:val="00A354EA"/>
    <w:rsid w:val="00A36819"/>
    <w:rsid w:val="00A36935"/>
    <w:rsid w:val="00A36989"/>
    <w:rsid w:val="00A43628"/>
    <w:rsid w:val="00A45145"/>
    <w:rsid w:val="00A46A1D"/>
    <w:rsid w:val="00A54192"/>
    <w:rsid w:val="00A57CD6"/>
    <w:rsid w:val="00A6035E"/>
    <w:rsid w:val="00A6144C"/>
    <w:rsid w:val="00A62897"/>
    <w:rsid w:val="00A66617"/>
    <w:rsid w:val="00A671F8"/>
    <w:rsid w:val="00A673A4"/>
    <w:rsid w:val="00A724AE"/>
    <w:rsid w:val="00A73329"/>
    <w:rsid w:val="00A737D1"/>
    <w:rsid w:val="00A82359"/>
    <w:rsid w:val="00A865D2"/>
    <w:rsid w:val="00A94C20"/>
    <w:rsid w:val="00A96BFD"/>
    <w:rsid w:val="00AA227F"/>
    <w:rsid w:val="00AA3BC7"/>
    <w:rsid w:val="00AA754A"/>
    <w:rsid w:val="00AB099E"/>
    <w:rsid w:val="00AB1233"/>
    <w:rsid w:val="00AB4328"/>
    <w:rsid w:val="00AB47B3"/>
    <w:rsid w:val="00AC02B7"/>
    <w:rsid w:val="00AD7DA4"/>
    <w:rsid w:val="00AE0A2E"/>
    <w:rsid w:val="00AE354C"/>
    <w:rsid w:val="00AE71D7"/>
    <w:rsid w:val="00AF4146"/>
    <w:rsid w:val="00AF4B07"/>
    <w:rsid w:val="00AF6186"/>
    <w:rsid w:val="00AF7A3A"/>
    <w:rsid w:val="00B12653"/>
    <w:rsid w:val="00B160DB"/>
    <w:rsid w:val="00B20836"/>
    <w:rsid w:val="00B235BB"/>
    <w:rsid w:val="00B27A44"/>
    <w:rsid w:val="00B30BBF"/>
    <w:rsid w:val="00B32546"/>
    <w:rsid w:val="00B33C03"/>
    <w:rsid w:val="00B353AC"/>
    <w:rsid w:val="00B44E56"/>
    <w:rsid w:val="00B46543"/>
    <w:rsid w:val="00B47704"/>
    <w:rsid w:val="00B47D33"/>
    <w:rsid w:val="00B52A7F"/>
    <w:rsid w:val="00B52BE0"/>
    <w:rsid w:val="00B54133"/>
    <w:rsid w:val="00B61A60"/>
    <w:rsid w:val="00B701ED"/>
    <w:rsid w:val="00B7298D"/>
    <w:rsid w:val="00B8086C"/>
    <w:rsid w:val="00B850A3"/>
    <w:rsid w:val="00B861B4"/>
    <w:rsid w:val="00B86DFE"/>
    <w:rsid w:val="00B90990"/>
    <w:rsid w:val="00B922FF"/>
    <w:rsid w:val="00B9281E"/>
    <w:rsid w:val="00B93925"/>
    <w:rsid w:val="00B93E79"/>
    <w:rsid w:val="00B95187"/>
    <w:rsid w:val="00BA2D55"/>
    <w:rsid w:val="00BA71B1"/>
    <w:rsid w:val="00BB0637"/>
    <w:rsid w:val="00BB345F"/>
    <w:rsid w:val="00BB503A"/>
    <w:rsid w:val="00BB68EA"/>
    <w:rsid w:val="00BC1C27"/>
    <w:rsid w:val="00BC6BBF"/>
    <w:rsid w:val="00BD1572"/>
    <w:rsid w:val="00BD36C8"/>
    <w:rsid w:val="00BE14E3"/>
    <w:rsid w:val="00BE3774"/>
    <w:rsid w:val="00BE41E5"/>
    <w:rsid w:val="00BF37E1"/>
    <w:rsid w:val="00BF4109"/>
    <w:rsid w:val="00BF4CC3"/>
    <w:rsid w:val="00C054C7"/>
    <w:rsid w:val="00C057B5"/>
    <w:rsid w:val="00C221D8"/>
    <w:rsid w:val="00C22687"/>
    <w:rsid w:val="00C32E4D"/>
    <w:rsid w:val="00C333A0"/>
    <w:rsid w:val="00C36A81"/>
    <w:rsid w:val="00C408DC"/>
    <w:rsid w:val="00C41974"/>
    <w:rsid w:val="00C47297"/>
    <w:rsid w:val="00C529DF"/>
    <w:rsid w:val="00C53F4A"/>
    <w:rsid w:val="00C54125"/>
    <w:rsid w:val="00C55B54"/>
    <w:rsid w:val="00C6098E"/>
    <w:rsid w:val="00C6141A"/>
    <w:rsid w:val="00C6152C"/>
    <w:rsid w:val="00C656D0"/>
    <w:rsid w:val="00C74810"/>
    <w:rsid w:val="00C86410"/>
    <w:rsid w:val="00C90D68"/>
    <w:rsid w:val="00C92654"/>
    <w:rsid w:val="00C939FE"/>
    <w:rsid w:val="00CA4BDA"/>
    <w:rsid w:val="00CA6C89"/>
    <w:rsid w:val="00CB1A72"/>
    <w:rsid w:val="00CB1F66"/>
    <w:rsid w:val="00CB2951"/>
    <w:rsid w:val="00CB4104"/>
    <w:rsid w:val="00CC4A92"/>
    <w:rsid w:val="00CC6D62"/>
    <w:rsid w:val="00CD282B"/>
    <w:rsid w:val="00CD332A"/>
    <w:rsid w:val="00CD3FB6"/>
    <w:rsid w:val="00CD4C35"/>
    <w:rsid w:val="00CD6ED7"/>
    <w:rsid w:val="00CD7369"/>
    <w:rsid w:val="00CE02F9"/>
    <w:rsid w:val="00CE0B0E"/>
    <w:rsid w:val="00CE3831"/>
    <w:rsid w:val="00CF5DCA"/>
    <w:rsid w:val="00CF63E0"/>
    <w:rsid w:val="00D00ABB"/>
    <w:rsid w:val="00D02EEC"/>
    <w:rsid w:val="00D03551"/>
    <w:rsid w:val="00D03704"/>
    <w:rsid w:val="00D06A63"/>
    <w:rsid w:val="00D07DFB"/>
    <w:rsid w:val="00D07E0E"/>
    <w:rsid w:val="00D11478"/>
    <w:rsid w:val="00D131A4"/>
    <w:rsid w:val="00D14C4E"/>
    <w:rsid w:val="00D15ED0"/>
    <w:rsid w:val="00D21B3E"/>
    <w:rsid w:val="00D21FED"/>
    <w:rsid w:val="00D24251"/>
    <w:rsid w:val="00D30B57"/>
    <w:rsid w:val="00D342E9"/>
    <w:rsid w:val="00D343E2"/>
    <w:rsid w:val="00D3520F"/>
    <w:rsid w:val="00D361A2"/>
    <w:rsid w:val="00D40625"/>
    <w:rsid w:val="00D44C2E"/>
    <w:rsid w:val="00D45414"/>
    <w:rsid w:val="00D52046"/>
    <w:rsid w:val="00D566BD"/>
    <w:rsid w:val="00D57A4D"/>
    <w:rsid w:val="00D60AA7"/>
    <w:rsid w:val="00D6435F"/>
    <w:rsid w:val="00D75E28"/>
    <w:rsid w:val="00D772C2"/>
    <w:rsid w:val="00D8008E"/>
    <w:rsid w:val="00D81A6B"/>
    <w:rsid w:val="00D82C45"/>
    <w:rsid w:val="00D83716"/>
    <w:rsid w:val="00D908A8"/>
    <w:rsid w:val="00D96C1A"/>
    <w:rsid w:val="00D96F31"/>
    <w:rsid w:val="00D977B6"/>
    <w:rsid w:val="00DA4A31"/>
    <w:rsid w:val="00DA7B04"/>
    <w:rsid w:val="00DB36C2"/>
    <w:rsid w:val="00DC169B"/>
    <w:rsid w:val="00DC2427"/>
    <w:rsid w:val="00DC2AB9"/>
    <w:rsid w:val="00DC4033"/>
    <w:rsid w:val="00DC63F0"/>
    <w:rsid w:val="00DD2E5B"/>
    <w:rsid w:val="00DD6EE5"/>
    <w:rsid w:val="00DE2D71"/>
    <w:rsid w:val="00DE386C"/>
    <w:rsid w:val="00DE4D35"/>
    <w:rsid w:val="00DF098B"/>
    <w:rsid w:val="00DF11C4"/>
    <w:rsid w:val="00DF210C"/>
    <w:rsid w:val="00DF4B6A"/>
    <w:rsid w:val="00E01956"/>
    <w:rsid w:val="00E02C09"/>
    <w:rsid w:val="00E039C5"/>
    <w:rsid w:val="00E04D59"/>
    <w:rsid w:val="00E07DA1"/>
    <w:rsid w:val="00E123CB"/>
    <w:rsid w:val="00E13871"/>
    <w:rsid w:val="00E20E13"/>
    <w:rsid w:val="00E21DBC"/>
    <w:rsid w:val="00E275D7"/>
    <w:rsid w:val="00E27DBE"/>
    <w:rsid w:val="00E31313"/>
    <w:rsid w:val="00E32AB1"/>
    <w:rsid w:val="00E32D0F"/>
    <w:rsid w:val="00E33562"/>
    <w:rsid w:val="00E3698C"/>
    <w:rsid w:val="00E36C71"/>
    <w:rsid w:val="00E37C5E"/>
    <w:rsid w:val="00E40404"/>
    <w:rsid w:val="00E4325C"/>
    <w:rsid w:val="00E459C6"/>
    <w:rsid w:val="00E47589"/>
    <w:rsid w:val="00E605E3"/>
    <w:rsid w:val="00E64915"/>
    <w:rsid w:val="00E661D4"/>
    <w:rsid w:val="00E70091"/>
    <w:rsid w:val="00E720F5"/>
    <w:rsid w:val="00E75567"/>
    <w:rsid w:val="00E76D47"/>
    <w:rsid w:val="00E83552"/>
    <w:rsid w:val="00E849F7"/>
    <w:rsid w:val="00E90302"/>
    <w:rsid w:val="00E97396"/>
    <w:rsid w:val="00EA185E"/>
    <w:rsid w:val="00EA592A"/>
    <w:rsid w:val="00EA719E"/>
    <w:rsid w:val="00EB14E4"/>
    <w:rsid w:val="00EB280A"/>
    <w:rsid w:val="00EB32A5"/>
    <w:rsid w:val="00EB34ED"/>
    <w:rsid w:val="00EB447C"/>
    <w:rsid w:val="00EB5377"/>
    <w:rsid w:val="00EB7BE0"/>
    <w:rsid w:val="00EC10B1"/>
    <w:rsid w:val="00EC315E"/>
    <w:rsid w:val="00ED077C"/>
    <w:rsid w:val="00ED1190"/>
    <w:rsid w:val="00ED6544"/>
    <w:rsid w:val="00EE0277"/>
    <w:rsid w:val="00EE3E00"/>
    <w:rsid w:val="00EE5DD2"/>
    <w:rsid w:val="00EF3E7D"/>
    <w:rsid w:val="00F00A79"/>
    <w:rsid w:val="00F00E86"/>
    <w:rsid w:val="00F01F0C"/>
    <w:rsid w:val="00F07C1E"/>
    <w:rsid w:val="00F105DB"/>
    <w:rsid w:val="00F132BC"/>
    <w:rsid w:val="00F13D80"/>
    <w:rsid w:val="00F16AAA"/>
    <w:rsid w:val="00F21161"/>
    <w:rsid w:val="00F218EF"/>
    <w:rsid w:val="00F21BC7"/>
    <w:rsid w:val="00F227BA"/>
    <w:rsid w:val="00F266A2"/>
    <w:rsid w:val="00F32269"/>
    <w:rsid w:val="00F327FF"/>
    <w:rsid w:val="00F47FAF"/>
    <w:rsid w:val="00F56A6F"/>
    <w:rsid w:val="00F5709C"/>
    <w:rsid w:val="00F6348B"/>
    <w:rsid w:val="00F64EF1"/>
    <w:rsid w:val="00F75CB4"/>
    <w:rsid w:val="00F77030"/>
    <w:rsid w:val="00F80DCF"/>
    <w:rsid w:val="00F84B94"/>
    <w:rsid w:val="00F8765F"/>
    <w:rsid w:val="00F90767"/>
    <w:rsid w:val="00FA685B"/>
    <w:rsid w:val="00FB0C01"/>
    <w:rsid w:val="00FB6C2A"/>
    <w:rsid w:val="00FC18F2"/>
    <w:rsid w:val="00FC22D9"/>
    <w:rsid w:val="00FC39E5"/>
    <w:rsid w:val="00FC3A78"/>
    <w:rsid w:val="00FC40B9"/>
    <w:rsid w:val="00FD1005"/>
    <w:rsid w:val="00FD10FC"/>
    <w:rsid w:val="00FD2BC0"/>
    <w:rsid w:val="00FD6C75"/>
    <w:rsid w:val="00FE71B3"/>
    <w:rsid w:val="00FF42C5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E982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DAC"/>
    <w:rPr>
      <w:rFonts w:eastAsia="MS Mincho"/>
      <w:sz w:val="24"/>
      <w:szCs w:val="24"/>
      <w:lang w:val="en-GB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51DAC"/>
    <w:pPr>
      <w:spacing w:before="480"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51DAC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51DAC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51DAC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351DAC"/>
    <w:pPr>
      <w:spacing w:before="200"/>
      <w:outlineLvl w:val="4"/>
    </w:pPr>
    <w:rPr>
      <w:rFonts w:eastAsia="MS Gothic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51DAC"/>
    <w:pPr>
      <w:spacing w:line="271" w:lineRule="auto"/>
      <w:outlineLvl w:val="5"/>
    </w:pPr>
    <w:rPr>
      <w:rFonts w:eastAsia="MS Gothic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51DAC"/>
    <w:pPr>
      <w:outlineLvl w:val="6"/>
    </w:pPr>
    <w:rPr>
      <w:rFonts w:eastAsia="MS Gothic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51DAC"/>
    <w:pPr>
      <w:outlineLvl w:val="7"/>
    </w:pPr>
    <w:rPr>
      <w:rFonts w:eastAsia="MS Gothic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51DAC"/>
    <w:pPr>
      <w:outlineLvl w:val="8"/>
    </w:pPr>
    <w:rPr>
      <w:rFonts w:eastAsia="MS Gothic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semiHidden/>
    <w:locked/>
    <w:rsid w:val="00351DAC"/>
    <w:rPr>
      <w:rFonts w:ascii="Times New Roman" w:eastAsia="MS Gothic" w:hAnsi="Times New Roman" w:cs="Times New Roman"/>
      <w:b/>
      <w:bCs/>
      <w:color w:val="333333"/>
      <w:sz w:val="28"/>
      <w:szCs w:val="28"/>
      <w:lang w:val="en-GB"/>
    </w:rPr>
  </w:style>
  <w:style w:type="character" w:customStyle="1" w:styleId="Nagwek2Znak">
    <w:name w:val="Nagłówek 2 Znak"/>
    <w:link w:val="Nagwek2"/>
    <w:uiPriority w:val="99"/>
    <w:semiHidden/>
    <w:locked/>
    <w:rsid w:val="00351DAC"/>
    <w:rPr>
      <w:rFonts w:ascii="Times New Roman" w:eastAsia="MS Gothic" w:hAnsi="Times New Roman" w:cs="Times New Roman"/>
      <w:b/>
      <w:bCs/>
      <w:color w:val="4D4D4D"/>
      <w:sz w:val="26"/>
      <w:szCs w:val="26"/>
      <w:lang w:val="en-GB"/>
    </w:rPr>
  </w:style>
  <w:style w:type="character" w:customStyle="1" w:styleId="Nagwek3Znak">
    <w:name w:val="Nagłówek 3 Znak"/>
    <w:link w:val="Nagwek3"/>
    <w:uiPriority w:val="99"/>
    <w:semiHidden/>
    <w:locked/>
    <w:rsid w:val="00351DAC"/>
    <w:rPr>
      <w:rFonts w:ascii="Times New Roman" w:eastAsia="MS Gothic" w:hAnsi="Times New Roman" w:cs="Times New Roman"/>
      <w:b/>
      <w:bCs/>
      <w:color w:val="5F5F5F"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semiHidden/>
    <w:locked/>
    <w:rsid w:val="00351DAC"/>
    <w:rPr>
      <w:rFonts w:ascii="Times New Roman" w:eastAsia="MS Gothic" w:hAnsi="Times New Roman" w:cs="Times New Roman"/>
      <w:b/>
      <w:bCs/>
      <w:i/>
      <w:iCs/>
      <w:color w:val="777777"/>
      <w:sz w:val="24"/>
      <w:szCs w:val="24"/>
      <w:lang w:val="en-GB"/>
    </w:rPr>
  </w:style>
  <w:style w:type="character" w:customStyle="1" w:styleId="Nagwek5Znak">
    <w:name w:val="Nagłówek 5 Znak"/>
    <w:link w:val="Nagwek5"/>
    <w:uiPriority w:val="99"/>
    <w:semiHidden/>
    <w:locked/>
    <w:rsid w:val="00351DAC"/>
    <w:rPr>
      <w:rFonts w:ascii="Times New Roman" w:eastAsia="MS Gothic" w:hAnsi="Times New Roman" w:cs="Times New Roman"/>
      <w:b/>
      <w:bCs/>
      <w:color w:val="808080"/>
      <w:sz w:val="24"/>
      <w:szCs w:val="24"/>
      <w:lang w:val="en-GB"/>
    </w:rPr>
  </w:style>
  <w:style w:type="character" w:customStyle="1" w:styleId="Nagwek6Znak">
    <w:name w:val="Nagłówek 6 Znak"/>
    <w:link w:val="Nagwek6"/>
    <w:uiPriority w:val="99"/>
    <w:semiHidden/>
    <w:locked/>
    <w:rsid w:val="00351DAC"/>
    <w:rPr>
      <w:rFonts w:ascii="Times New Roman" w:eastAsia="MS Gothic" w:hAnsi="Times New Roman" w:cs="Times New Roman"/>
      <w:b/>
      <w:bCs/>
      <w:i/>
      <w:iCs/>
      <w:color w:val="7F7F7F"/>
      <w:sz w:val="24"/>
      <w:szCs w:val="24"/>
      <w:lang w:val="en-GB"/>
    </w:rPr>
  </w:style>
  <w:style w:type="character" w:customStyle="1" w:styleId="Nagwek7Znak">
    <w:name w:val="Nagłówek 7 Znak"/>
    <w:link w:val="Nagwek7"/>
    <w:uiPriority w:val="99"/>
    <w:semiHidden/>
    <w:locked/>
    <w:rsid w:val="00351DAC"/>
    <w:rPr>
      <w:rFonts w:ascii="Times New Roman" w:eastAsia="MS Gothic" w:hAnsi="Times New Roman" w:cs="Times New Roman"/>
      <w:i/>
      <w:iCs/>
      <w:sz w:val="24"/>
      <w:szCs w:val="24"/>
      <w:lang w:val="en-GB"/>
    </w:rPr>
  </w:style>
  <w:style w:type="character" w:customStyle="1" w:styleId="Nagwek8Znak">
    <w:name w:val="Nagłówek 8 Znak"/>
    <w:link w:val="Nagwek8"/>
    <w:uiPriority w:val="99"/>
    <w:semiHidden/>
    <w:locked/>
    <w:rsid w:val="00351DAC"/>
    <w:rPr>
      <w:rFonts w:ascii="Times New Roman" w:eastAsia="MS Gothic" w:hAnsi="Times New Roman" w:cs="Times New Roman"/>
      <w:sz w:val="20"/>
      <w:szCs w:val="20"/>
      <w:lang w:val="en-GB"/>
    </w:rPr>
  </w:style>
  <w:style w:type="character" w:customStyle="1" w:styleId="Nagwek9Znak">
    <w:name w:val="Nagłówek 9 Znak"/>
    <w:link w:val="Nagwek9"/>
    <w:uiPriority w:val="99"/>
    <w:semiHidden/>
    <w:locked/>
    <w:rsid w:val="00351DAC"/>
    <w:rPr>
      <w:rFonts w:ascii="Times New Roman" w:eastAsia="MS Gothic" w:hAnsi="Times New Roman" w:cs="Times New Roman"/>
      <w:i/>
      <w:iCs/>
      <w:spacing w:val="5"/>
      <w:sz w:val="20"/>
      <w:szCs w:val="20"/>
      <w:lang w:val="en-GB"/>
    </w:rPr>
  </w:style>
  <w:style w:type="paragraph" w:styleId="Tekstdymka">
    <w:name w:val="Balloon Text"/>
    <w:basedOn w:val="Normalny"/>
    <w:link w:val="TekstdymkaZnak"/>
    <w:uiPriority w:val="99"/>
    <w:semiHidden/>
    <w:rsid w:val="00351D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351DAC"/>
    <w:rPr>
      <w:rFonts w:ascii="Tahoma" w:eastAsia="MS Mincho" w:hAnsi="Tahoma" w:cs="Tahoma"/>
      <w:sz w:val="16"/>
      <w:szCs w:val="16"/>
      <w:lang w:val="en-GB"/>
    </w:rPr>
  </w:style>
  <w:style w:type="character" w:styleId="Tytuksiki">
    <w:name w:val="Book Title"/>
    <w:uiPriority w:val="99"/>
    <w:qFormat/>
    <w:rsid w:val="00351DAC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99"/>
    <w:rsid w:val="00351DAC"/>
    <w:pPr>
      <w:tabs>
        <w:tab w:val="clear" w:pos="4536"/>
        <w:tab w:val="clear" w:pos="9072"/>
        <w:tab w:val="center" w:pos="3686"/>
        <w:tab w:val="right" w:pos="7371"/>
      </w:tabs>
    </w:pPr>
    <w:rPr>
      <w:sz w:val="18"/>
      <w:szCs w:val="18"/>
    </w:rPr>
  </w:style>
  <w:style w:type="character" w:styleId="Pogrubienie">
    <w:name w:val="Strong"/>
    <w:uiPriority w:val="99"/>
    <w:qFormat/>
    <w:rsid w:val="00351DAC"/>
    <w:rPr>
      <w:b/>
      <w:bCs/>
    </w:rPr>
  </w:style>
  <w:style w:type="paragraph" w:styleId="Bezodstpw">
    <w:name w:val="No Spacing"/>
    <w:basedOn w:val="Normalny"/>
    <w:link w:val="BezodstpwZnak"/>
    <w:uiPriority w:val="99"/>
    <w:qFormat/>
    <w:rsid w:val="00351DAC"/>
  </w:style>
  <w:style w:type="character" w:customStyle="1" w:styleId="BezodstpwZnak">
    <w:name w:val="Bez odstępów Znak"/>
    <w:link w:val="Bezodstpw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link w:val="JuQuotChar"/>
    <w:uiPriority w:val="99"/>
    <w:rsid w:val="00351DAC"/>
    <w:pPr>
      <w:spacing w:before="120" w:after="120"/>
      <w:ind w:left="425" w:firstLine="142"/>
    </w:pPr>
    <w:rPr>
      <w:sz w:val="20"/>
      <w:szCs w:val="20"/>
    </w:rPr>
  </w:style>
  <w:style w:type="paragraph" w:customStyle="1" w:styleId="DecList">
    <w:name w:val="Dec_List"/>
    <w:aliases w:val="_List"/>
    <w:basedOn w:val="Normalny"/>
    <w:uiPriority w:val="99"/>
    <w:rsid w:val="00351DAC"/>
    <w:pPr>
      <w:spacing w:before="280" w:after="60"/>
      <w:ind w:left="340"/>
    </w:pPr>
    <w:rPr>
      <w:rFonts w:eastAsia="Times New Roman"/>
    </w:rPr>
  </w:style>
  <w:style w:type="paragraph" w:customStyle="1" w:styleId="JuHArticle">
    <w:name w:val="Ju_H_Article"/>
    <w:aliases w:val="_Title_Quote"/>
    <w:basedOn w:val="Normalny"/>
    <w:next w:val="JuQuot"/>
    <w:uiPriority w:val="99"/>
    <w:rsid w:val="00351DAC"/>
    <w:pPr>
      <w:keepNext/>
      <w:spacing w:before="100" w:beforeAutospacing="1" w:after="120"/>
      <w:jc w:val="center"/>
    </w:pPr>
    <w:rPr>
      <w:rFonts w:eastAsia="Times New Roman"/>
      <w:b/>
      <w:bCs/>
      <w:sz w:val="20"/>
      <w:szCs w:val="20"/>
    </w:rPr>
  </w:style>
  <w:style w:type="paragraph" w:customStyle="1" w:styleId="Title4">
    <w:name w:val="_Title_4"/>
    <w:basedOn w:val="JuPara"/>
    <w:next w:val="JuPara"/>
    <w:uiPriority w:val="99"/>
    <w:rsid w:val="00351DAC"/>
    <w:pPr>
      <w:keepNext/>
      <w:keepLines/>
      <w:tabs>
        <w:tab w:val="right" w:pos="7938"/>
      </w:tabs>
      <w:ind w:firstLine="0"/>
      <w:jc w:val="center"/>
    </w:pPr>
    <w:rPr>
      <w:rFonts w:eastAsia="Times New Roman"/>
      <w:i/>
      <w:iCs/>
    </w:rPr>
  </w:style>
  <w:style w:type="paragraph" w:customStyle="1" w:styleId="JuHHead">
    <w:name w:val="Ju_H_Head"/>
    <w:aliases w:val="_Head_1"/>
    <w:basedOn w:val="Normalny"/>
    <w:next w:val="JuPara"/>
    <w:uiPriority w:val="99"/>
    <w:rsid w:val="00351DAC"/>
    <w:pPr>
      <w:keepNext/>
      <w:keepLines/>
      <w:numPr>
        <w:numId w:val="10"/>
      </w:numPr>
      <w:spacing w:before="100" w:beforeAutospacing="1" w:after="240"/>
      <w:jc w:val="both"/>
      <w:outlineLvl w:val="0"/>
    </w:pPr>
    <w:rPr>
      <w:caps/>
      <w:sz w:val="28"/>
      <w:szCs w:val="28"/>
    </w:rPr>
  </w:style>
  <w:style w:type="paragraph" w:customStyle="1" w:styleId="JuInitialled">
    <w:name w:val="Ju_Initialled"/>
    <w:aliases w:val="_Right"/>
    <w:basedOn w:val="Normalny"/>
    <w:uiPriority w:val="99"/>
    <w:rsid w:val="00351DAC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aliases w:val="_Signature"/>
    <w:basedOn w:val="Normalny"/>
    <w:next w:val="JuPara"/>
    <w:uiPriority w:val="99"/>
    <w:rsid w:val="00351DAC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9"/>
    <w:qFormat/>
    <w:rsid w:val="00351DAC"/>
    <w:pPr>
      <w:pBdr>
        <w:bottom w:val="single" w:sz="4" w:space="1" w:color="auto"/>
      </w:pBdr>
    </w:pPr>
    <w:rPr>
      <w:rFonts w:eastAsia="MS Gothic"/>
      <w:spacing w:val="5"/>
      <w:sz w:val="52"/>
      <w:szCs w:val="52"/>
    </w:rPr>
  </w:style>
  <w:style w:type="character" w:customStyle="1" w:styleId="TytuZnak">
    <w:name w:val="Tytuł Znak"/>
    <w:link w:val="Tytu"/>
    <w:uiPriority w:val="99"/>
    <w:semiHidden/>
    <w:locked/>
    <w:rsid w:val="00351DAC"/>
    <w:rPr>
      <w:rFonts w:ascii="Times New Roman" w:eastAsia="MS Gothic" w:hAnsi="Times New Roman" w:cs="Times New Roman"/>
      <w:spacing w:val="5"/>
      <w:sz w:val="52"/>
      <w:szCs w:val="52"/>
      <w:lang w:val="en-GB"/>
    </w:rPr>
  </w:style>
  <w:style w:type="character" w:customStyle="1" w:styleId="JUNAMES">
    <w:name w:val="JU_NAMES"/>
    <w:uiPriority w:val="99"/>
    <w:rsid w:val="00351DAC"/>
    <w:rPr>
      <w:smallCaps/>
    </w:rPr>
  </w:style>
  <w:style w:type="character" w:customStyle="1" w:styleId="JuITMark">
    <w:name w:val="Ju_ITMark"/>
    <w:uiPriority w:val="99"/>
    <w:rsid w:val="00351DAC"/>
    <w:rPr>
      <w:color w:val="auto"/>
      <w:sz w:val="14"/>
      <w:szCs w:val="14"/>
      <w:shd w:val="clear" w:color="auto" w:fill="BEE5FF"/>
    </w:rPr>
  </w:style>
  <w:style w:type="paragraph" w:customStyle="1" w:styleId="JuCourt">
    <w:name w:val="Ju_Court"/>
    <w:basedOn w:val="Normalny"/>
    <w:next w:val="Normalny"/>
    <w:uiPriority w:val="99"/>
    <w:rsid w:val="00351DAC"/>
    <w:pPr>
      <w:tabs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IRoman">
    <w:name w:val="Ju_H_I_Roman"/>
    <w:aliases w:val="_Head_2"/>
    <w:basedOn w:val="Normalny"/>
    <w:next w:val="JuPara"/>
    <w:uiPriority w:val="99"/>
    <w:rsid w:val="00351DAC"/>
    <w:pPr>
      <w:keepNext/>
      <w:keepLines/>
      <w:numPr>
        <w:ilvl w:val="1"/>
        <w:numId w:val="10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99"/>
    <w:rsid w:val="00351DAC"/>
    <w:pPr>
      <w:keepNext/>
      <w:keepLines/>
      <w:numPr>
        <w:ilvl w:val="2"/>
        <w:numId w:val="10"/>
      </w:numPr>
      <w:spacing w:before="100" w:beforeAutospacing="1" w:after="240"/>
      <w:jc w:val="both"/>
      <w:outlineLvl w:val="2"/>
    </w:pPr>
    <w:rPr>
      <w:b/>
      <w:bCs/>
    </w:rPr>
  </w:style>
  <w:style w:type="paragraph" w:customStyle="1" w:styleId="JuH1">
    <w:name w:val="Ju_H_1."/>
    <w:aliases w:val="_Head_4"/>
    <w:basedOn w:val="Normalny"/>
    <w:next w:val="JuPara"/>
    <w:uiPriority w:val="99"/>
    <w:rsid w:val="00351DAC"/>
    <w:pPr>
      <w:keepNext/>
      <w:keepLines/>
      <w:numPr>
        <w:ilvl w:val="3"/>
        <w:numId w:val="10"/>
      </w:numPr>
      <w:spacing w:before="100" w:beforeAutospacing="1" w:after="120"/>
      <w:jc w:val="both"/>
      <w:outlineLvl w:val="3"/>
    </w:pPr>
    <w:rPr>
      <w:i/>
      <w:iCs/>
    </w:rPr>
  </w:style>
  <w:style w:type="paragraph" w:styleId="Nagwek">
    <w:name w:val="header"/>
    <w:basedOn w:val="Normalny"/>
    <w:link w:val="NagwekZnak"/>
    <w:uiPriority w:val="99"/>
    <w:semiHidden/>
    <w:rsid w:val="00351DAC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semiHidden/>
    <w:locked/>
    <w:rsid w:val="00351DAC"/>
    <w:rPr>
      <w:sz w:val="24"/>
      <w:szCs w:val="24"/>
      <w:lang w:val="en-GB"/>
    </w:rPr>
  </w:style>
  <w:style w:type="paragraph" w:customStyle="1" w:styleId="JuHa0">
    <w:name w:val="Ju_H_a"/>
    <w:aliases w:val="_Head_5"/>
    <w:basedOn w:val="Normalny"/>
    <w:next w:val="JuPara"/>
    <w:uiPriority w:val="99"/>
    <w:rsid w:val="00351DAC"/>
    <w:pPr>
      <w:keepNext/>
      <w:keepLines/>
      <w:numPr>
        <w:ilvl w:val="4"/>
        <w:numId w:val="10"/>
      </w:numPr>
      <w:spacing w:before="100" w:beforeAutospacing="1" w:after="120"/>
      <w:jc w:val="both"/>
      <w:outlineLvl w:val="4"/>
    </w:pPr>
    <w:rPr>
      <w:b/>
      <w:bCs/>
      <w:sz w:val="20"/>
      <w:szCs w:val="20"/>
    </w:rPr>
  </w:style>
  <w:style w:type="paragraph" w:customStyle="1" w:styleId="JuHi">
    <w:name w:val="Ju_H_i"/>
    <w:aliases w:val="_Head_6"/>
    <w:basedOn w:val="Normalny"/>
    <w:next w:val="JuPara"/>
    <w:uiPriority w:val="99"/>
    <w:rsid w:val="00351DAC"/>
    <w:pPr>
      <w:keepNext/>
      <w:keepLines/>
      <w:numPr>
        <w:ilvl w:val="5"/>
        <w:numId w:val="10"/>
      </w:numPr>
      <w:spacing w:before="100" w:beforeAutospacing="1" w:after="120"/>
      <w:jc w:val="both"/>
      <w:outlineLvl w:val="5"/>
    </w:pPr>
    <w:rPr>
      <w:i/>
      <w:iCs/>
      <w:sz w:val="20"/>
      <w:szCs w:val="20"/>
    </w:rPr>
  </w:style>
  <w:style w:type="paragraph" w:customStyle="1" w:styleId="JuHalpha">
    <w:name w:val="Ju_H_alpha"/>
    <w:aliases w:val="_Head_7"/>
    <w:basedOn w:val="Normalny"/>
    <w:next w:val="JuPara"/>
    <w:uiPriority w:val="99"/>
    <w:rsid w:val="00351DAC"/>
    <w:pPr>
      <w:keepNext/>
      <w:keepLines/>
      <w:numPr>
        <w:ilvl w:val="6"/>
        <w:numId w:val="10"/>
      </w:numPr>
      <w:spacing w:before="100" w:beforeAutospacing="1" w:after="120"/>
      <w:jc w:val="both"/>
      <w:outlineLvl w:val="6"/>
    </w:pPr>
    <w:rPr>
      <w:sz w:val="20"/>
      <w:szCs w:val="20"/>
    </w:rPr>
  </w:style>
  <w:style w:type="paragraph" w:customStyle="1" w:styleId="JuH">
    <w:name w:val="Ju_H_–"/>
    <w:aliases w:val="_Head_8"/>
    <w:basedOn w:val="Normalny"/>
    <w:next w:val="JuPara"/>
    <w:uiPriority w:val="99"/>
    <w:rsid w:val="00351DAC"/>
    <w:pPr>
      <w:keepNext/>
      <w:keepLines/>
      <w:numPr>
        <w:ilvl w:val="7"/>
        <w:numId w:val="10"/>
      </w:numPr>
      <w:spacing w:before="100" w:beforeAutospacing="1" w:after="120"/>
      <w:outlineLvl w:val="7"/>
    </w:pPr>
    <w:rPr>
      <w:i/>
      <w:iCs/>
      <w:sz w:val="20"/>
      <w:szCs w:val="20"/>
    </w:rPr>
  </w:style>
  <w:style w:type="paragraph" w:customStyle="1" w:styleId="JuParaLast">
    <w:name w:val="Ju_Para_Last"/>
    <w:aliases w:val="_Para_Spaced"/>
    <w:basedOn w:val="NormalJustified"/>
    <w:uiPriority w:val="99"/>
    <w:rsid w:val="00351DAC"/>
    <w:pPr>
      <w:keepNext/>
      <w:keepLines/>
      <w:spacing w:before="240" w:after="240"/>
      <w:ind w:firstLine="284"/>
    </w:pPr>
    <w:rPr>
      <w:rFonts w:eastAsia="Times New Roman"/>
    </w:rPr>
  </w:style>
  <w:style w:type="paragraph" w:customStyle="1" w:styleId="JuJudges">
    <w:name w:val="Ju_Judges"/>
    <w:basedOn w:val="Normalny"/>
    <w:uiPriority w:val="99"/>
    <w:rsid w:val="00351DAC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99"/>
    <w:rsid w:val="00351DAC"/>
    <w:pPr>
      <w:numPr>
        <w:numId w:val="11"/>
      </w:numPr>
      <w:spacing w:before="280" w:after="60"/>
    </w:pPr>
    <w:rPr>
      <w:rFonts w:eastAsia="Times New Roman"/>
    </w:rPr>
  </w:style>
  <w:style w:type="paragraph" w:customStyle="1" w:styleId="JuLista">
    <w:name w:val="Ju_List_a"/>
    <w:aliases w:val="_List_2"/>
    <w:basedOn w:val="NormalJustified"/>
    <w:uiPriority w:val="99"/>
    <w:rsid w:val="00351DAC"/>
    <w:pPr>
      <w:numPr>
        <w:ilvl w:val="1"/>
        <w:numId w:val="11"/>
      </w:numPr>
    </w:pPr>
  </w:style>
  <w:style w:type="paragraph" w:customStyle="1" w:styleId="JuListi">
    <w:name w:val="Ju_List_i"/>
    <w:aliases w:val="_List_3"/>
    <w:basedOn w:val="NormalJustified"/>
    <w:uiPriority w:val="99"/>
    <w:rsid w:val="00351DAC"/>
    <w:pPr>
      <w:numPr>
        <w:ilvl w:val="2"/>
        <w:numId w:val="11"/>
      </w:numPr>
    </w:pPr>
  </w:style>
  <w:style w:type="character" w:styleId="Wyrnieniedelikatne">
    <w:name w:val="Subtle Emphasis"/>
    <w:uiPriority w:val="99"/>
    <w:qFormat/>
    <w:rsid w:val="00351DAC"/>
    <w:rPr>
      <w:i/>
      <w:iCs/>
    </w:rPr>
  </w:style>
  <w:style w:type="table" w:customStyle="1" w:styleId="ECHRTable">
    <w:name w:val="ECHR_Table"/>
    <w:uiPriority w:val="99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351DAC"/>
    <w:rPr>
      <w:rFonts w:ascii="Verdana" w:hAnsi="Verdana" w:cs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character" w:styleId="Uwydatnienie">
    <w:name w:val="Emphasis"/>
    <w:uiPriority w:val="99"/>
    <w:qFormat/>
    <w:rsid w:val="00351DAC"/>
    <w:rPr>
      <w:b/>
      <w:bCs/>
      <w:i/>
      <w:iCs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351DAC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StopkaZnak">
    <w:name w:val="Stopka Znak"/>
    <w:link w:val="Stopka"/>
    <w:uiPriority w:val="99"/>
    <w:semiHidden/>
    <w:locked/>
    <w:rsid w:val="00351DAC"/>
    <w:rPr>
      <w:sz w:val="24"/>
      <w:szCs w:val="24"/>
      <w:lang w:val="en-GB"/>
    </w:rPr>
  </w:style>
  <w:style w:type="character" w:styleId="Odwoanieprzypisudolnego">
    <w:name w:val="footnote reference"/>
    <w:uiPriority w:val="99"/>
    <w:semiHidden/>
    <w:rsid w:val="00351DA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51DAC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51DAC"/>
    <w:rPr>
      <w:rFonts w:eastAsia="MS Mincho"/>
      <w:sz w:val="20"/>
      <w:szCs w:val="20"/>
      <w:lang w:val="en-GB"/>
    </w:rPr>
  </w:style>
  <w:style w:type="character" w:styleId="Hipercze">
    <w:name w:val="Hyperlink"/>
    <w:uiPriority w:val="99"/>
    <w:semiHidden/>
    <w:rsid w:val="00351DAC"/>
    <w:rPr>
      <w:color w:val="0072BC"/>
      <w:u w:val="single"/>
    </w:rPr>
  </w:style>
  <w:style w:type="character" w:styleId="Wyrnienieintensywne">
    <w:name w:val="Intense Emphasis"/>
    <w:uiPriority w:val="99"/>
    <w:qFormat/>
    <w:rsid w:val="00351DAC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351DA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99"/>
    <w:semiHidden/>
    <w:locked/>
    <w:rsid w:val="00351DAC"/>
    <w:rPr>
      <w:rFonts w:eastAsia="MS Mincho"/>
      <w:b/>
      <w:bCs/>
      <w:i/>
      <w:iCs/>
      <w:sz w:val="24"/>
      <w:szCs w:val="24"/>
      <w:lang w:val="en-GB"/>
    </w:rPr>
  </w:style>
  <w:style w:type="character" w:styleId="Odwoanieintensywne">
    <w:name w:val="Intense Reference"/>
    <w:uiPriority w:val="99"/>
    <w:qFormat/>
    <w:rsid w:val="00351DAC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351DAC"/>
    <w:pPr>
      <w:ind w:left="720"/>
    </w:pPr>
  </w:style>
  <w:style w:type="table" w:customStyle="1" w:styleId="LtrTableAddress">
    <w:name w:val="Ltr_Table_Address"/>
    <w:uiPriority w:val="99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351DAC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99"/>
    <w:semiHidden/>
    <w:locked/>
    <w:rsid w:val="00351DAC"/>
    <w:rPr>
      <w:rFonts w:eastAsia="MS Mincho"/>
      <w:i/>
      <w:iCs/>
      <w:sz w:val="24"/>
      <w:szCs w:val="24"/>
      <w:lang w:val="en-GB"/>
    </w:rPr>
  </w:style>
  <w:style w:type="character" w:styleId="Odwoaniedelikatne">
    <w:name w:val="Subtle Reference"/>
    <w:uiPriority w:val="99"/>
    <w:qFormat/>
    <w:rsid w:val="00351DAC"/>
    <w:rPr>
      <w:smallCaps/>
    </w:rPr>
  </w:style>
  <w:style w:type="table" w:styleId="Tabela-Siatka">
    <w:name w:val="Table Grid"/>
    <w:basedOn w:val="Standardowy"/>
    <w:uiPriority w:val="99"/>
    <w:semiHidden/>
    <w:rsid w:val="00351DAC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351DA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bCs/>
      <w:sz w:val="22"/>
      <w:szCs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351DA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  <w:szCs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351DA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351DAC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351DA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  <w:szCs w:val="20"/>
    </w:rPr>
  </w:style>
  <w:style w:type="paragraph" w:styleId="Nagwekspisutreci">
    <w:name w:val="TOC Heading"/>
    <w:basedOn w:val="Normalny"/>
    <w:next w:val="Normalny"/>
    <w:uiPriority w:val="99"/>
    <w:qFormat/>
    <w:rsid w:val="00351DAC"/>
    <w:pPr>
      <w:keepNext/>
      <w:keepLines/>
      <w:spacing w:before="240"/>
      <w:jc w:val="center"/>
    </w:pPr>
    <w:rPr>
      <w:rFonts w:eastAsia="Times New Roman"/>
      <w:b/>
      <w:bCs/>
      <w:color w:val="474747"/>
      <w:sz w:val="28"/>
      <w:szCs w:val="28"/>
    </w:rPr>
  </w:style>
  <w:style w:type="table" w:customStyle="1" w:styleId="UGTable">
    <w:name w:val="UG_Table"/>
    <w:uiPriority w:val="99"/>
    <w:rsid w:val="00572845"/>
    <w:rPr>
      <w:rFonts w:eastAsia="MS Mincho"/>
      <w:lang w:val="en-GB" w:eastAsia="en-GB"/>
    </w:rPr>
    <w:tblPr>
      <w:tblCellMar>
        <w:top w:w="0" w:type="dxa"/>
        <w:left w:w="57" w:type="dxa"/>
        <w:bottom w:w="57" w:type="dxa"/>
        <w:right w:w="113" w:type="dxa"/>
      </w:tblCellMar>
    </w:tblPr>
  </w:style>
  <w:style w:type="table" w:customStyle="1" w:styleId="UGTableWhiteBox">
    <w:name w:val="UG_Table_White_Box"/>
    <w:uiPriority w:val="99"/>
    <w:rsid w:val="003609FA"/>
    <w:rPr>
      <w:rFonts w:eastAsia="MS Mincho"/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351DAC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351DAC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351DAC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351DAC"/>
    <w:pPr>
      <w:keepNext/>
      <w:keepLines/>
      <w:spacing w:before="240"/>
      <w:jc w:val="center"/>
    </w:pPr>
    <w:rPr>
      <w:rFonts w:eastAsia="MS Gothic"/>
      <w:b/>
      <w:bCs/>
      <w:color w:val="474747"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351DAC"/>
    <w:pPr>
      <w:spacing w:after="600"/>
    </w:pPr>
    <w:rPr>
      <w:rFonts w:eastAsia="MS Gothic"/>
      <w:i/>
      <w:iCs/>
      <w:spacing w:val="13"/>
    </w:rPr>
  </w:style>
  <w:style w:type="character" w:customStyle="1" w:styleId="PodtytuZnak">
    <w:name w:val="Podtytuł Znak"/>
    <w:link w:val="Podtytu"/>
    <w:uiPriority w:val="99"/>
    <w:semiHidden/>
    <w:locked/>
    <w:rsid w:val="00351DAC"/>
    <w:rPr>
      <w:rFonts w:ascii="Times New Roman" w:eastAsia="MS Gothic" w:hAnsi="Times New Roman" w:cs="Times New Roman"/>
      <w:i/>
      <w:iCs/>
      <w:spacing w:val="13"/>
      <w:sz w:val="24"/>
      <w:szCs w:val="24"/>
      <w:lang w:val="en-GB"/>
    </w:rPr>
  </w:style>
  <w:style w:type="paragraph" w:customStyle="1" w:styleId="JuPara">
    <w:name w:val="Ju_Para"/>
    <w:aliases w:val="_Para,ECHR_Para,Left,First line:  0 cm,Para,N_Para,Ju_Para + Interligne : Double"/>
    <w:basedOn w:val="NormalJustified"/>
    <w:link w:val="JuParaChar"/>
    <w:uiPriority w:val="99"/>
    <w:rsid w:val="00351DAC"/>
    <w:pPr>
      <w:ind w:firstLine="284"/>
    </w:pPr>
    <w:rPr>
      <w:lang w:eastAsia="pl-PL"/>
    </w:rPr>
  </w:style>
  <w:style w:type="table" w:customStyle="1" w:styleId="ECHRTableSimpleBox">
    <w:name w:val="ECHR_Table_Simple_Box"/>
    <w:uiPriority w:val="99"/>
    <w:rsid w:val="00351DA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351DAC"/>
    <w:tblPr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uiPriority w:val="99"/>
    <w:rsid w:val="00351DAC"/>
    <w:rPr>
      <w:color w:val="636363"/>
      <w:sz w:val="18"/>
      <w:szCs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45649E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styleId="Bibliografia">
    <w:name w:val="Bibliography"/>
    <w:basedOn w:val="Normalny"/>
    <w:next w:val="Normalny"/>
    <w:uiPriority w:val="99"/>
    <w:semiHidden/>
    <w:rsid w:val="00351DAC"/>
  </w:style>
  <w:style w:type="paragraph" w:styleId="Tekstblokowy">
    <w:name w:val="Block Text"/>
    <w:basedOn w:val="Normalny"/>
    <w:uiPriority w:val="99"/>
    <w:semiHidden/>
    <w:rsid w:val="00351DAC"/>
    <w:pPr>
      <w:pBdr>
        <w:top w:val="single" w:sz="2" w:space="10" w:color="0072BC" w:shadow="1" w:frame="1"/>
        <w:left w:val="single" w:sz="2" w:space="10" w:color="0072BC" w:shadow="1" w:frame="1"/>
        <w:bottom w:val="single" w:sz="2" w:space="10" w:color="0072BC" w:shadow="1" w:frame="1"/>
        <w:right w:val="single" w:sz="2" w:space="10" w:color="0072BC" w:shadow="1" w:frame="1"/>
      </w:pBdr>
      <w:ind w:left="1152" w:right="1152"/>
    </w:pPr>
    <w:rPr>
      <w:i/>
      <w:iCs/>
      <w:color w:val="0072BC"/>
    </w:rPr>
  </w:style>
  <w:style w:type="table" w:customStyle="1" w:styleId="ECHRHeaderTable">
    <w:name w:val="ECHR_Header_Table"/>
    <w:uiPriority w:val="99"/>
    <w:rsid w:val="00351DAC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rsid w:val="00351DAC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table" w:customStyle="1" w:styleId="ECHRTableOddBanded">
    <w:name w:val="ECHR_Table_Odd_Banded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rsid w:val="00351DA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table" w:customStyle="1" w:styleId="ECHRHeaderTableReduced">
    <w:name w:val="ECHR_Header_Table_Reduced"/>
    <w:uiPriority w:val="99"/>
    <w:rsid w:val="00351DA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JuCase">
    <w:name w:val="Ju_Case"/>
    <w:basedOn w:val="Normalny"/>
    <w:next w:val="JuPara"/>
    <w:uiPriority w:val="99"/>
    <w:rsid w:val="00351DAC"/>
    <w:pPr>
      <w:ind w:firstLine="284"/>
    </w:pPr>
    <w:rPr>
      <w:b/>
      <w:bCs/>
    </w:rPr>
  </w:style>
  <w:style w:type="character" w:styleId="Numerstrony">
    <w:name w:val="page number"/>
    <w:uiPriority w:val="99"/>
    <w:semiHidden/>
    <w:rsid w:val="00351DAC"/>
    <w:rPr>
      <w:sz w:val="18"/>
      <w:szCs w:val="18"/>
    </w:rPr>
  </w:style>
  <w:style w:type="paragraph" w:styleId="Listapunktowana">
    <w:name w:val="List Bullet"/>
    <w:basedOn w:val="Normalny"/>
    <w:uiPriority w:val="99"/>
    <w:semiHidden/>
    <w:rsid w:val="00351DAC"/>
    <w:pPr>
      <w:numPr>
        <w:numId w:val="18"/>
      </w:numPr>
    </w:pPr>
  </w:style>
  <w:style w:type="paragraph" w:styleId="Tekstpodstawowy3">
    <w:name w:val="Body Text 3"/>
    <w:basedOn w:val="Normalny"/>
    <w:link w:val="Tekstpodstawowy3Znak"/>
    <w:uiPriority w:val="99"/>
    <w:semiHidden/>
    <w:rsid w:val="00351DA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351DAC"/>
    <w:rPr>
      <w:rFonts w:eastAsia="MS Mincho"/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51DAC"/>
    <w:pPr>
      <w:spacing w:after="0"/>
      <w:ind w:firstLine="360"/>
    </w:p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351DA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351DAC"/>
    <w:pPr>
      <w:spacing w:after="0"/>
      <w:ind w:left="360" w:firstLine="360"/>
    </w:pPr>
  </w:style>
  <w:style w:type="character" w:customStyle="1" w:styleId="Tekstpodstawowyzwciciem2Znak">
    <w:name w:val="Tekst podstawowy z wcięciem 2 Znak"/>
    <w:link w:val="Tekstpodstawowyzwciciem2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351DA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351DA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351DAC"/>
    <w:rPr>
      <w:rFonts w:eastAsia="MS Mincho"/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qFormat/>
    <w:rsid w:val="00351DAC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351DAC"/>
    <w:pPr>
      <w:ind w:left="4252"/>
    </w:pPr>
  </w:style>
  <w:style w:type="character" w:customStyle="1" w:styleId="ZwrotpoegnalnyZnak">
    <w:name w:val="Zwrot pożegnalny Znak"/>
    <w:link w:val="Zwrotpoegnalny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table" w:styleId="Kolorowasiatka">
    <w:name w:val="Colorful Grid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Odwoaniedokomentarza">
    <w:name w:val="annotation reference"/>
    <w:uiPriority w:val="99"/>
    <w:semiHidden/>
    <w:rsid w:val="00351D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51DA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351DAC"/>
    <w:rPr>
      <w:rFonts w:eastAsia="MS Mincho"/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51DA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51DAC"/>
    <w:rPr>
      <w:rFonts w:eastAsia="MS Mincho"/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99"/>
    <w:semiHidden/>
    <w:rsid w:val="00351DAC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351DAC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351DAC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351DAC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351DAC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351DAC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351DAC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351DAC"/>
  </w:style>
  <w:style w:type="character" w:customStyle="1" w:styleId="DataZnak">
    <w:name w:val="Data Znak"/>
    <w:link w:val="Data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9"/>
    <w:semiHidden/>
    <w:rsid w:val="00351DAC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locked/>
    <w:rsid w:val="00351DAC"/>
    <w:rPr>
      <w:rFonts w:ascii="Tahoma" w:eastAsia="MS Mincho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351DAC"/>
  </w:style>
  <w:style w:type="character" w:customStyle="1" w:styleId="Podpise-mailZnak">
    <w:name w:val="Podpis e-mail Znak"/>
    <w:link w:val="Podpise-mail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character" w:styleId="Odwoanieprzypisukocowego">
    <w:name w:val="endnote reference"/>
    <w:uiPriority w:val="99"/>
    <w:semiHidden/>
    <w:rsid w:val="00351DA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DAC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51DAC"/>
    <w:rPr>
      <w:rFonts w:eastAsia="MS Mincho"/>
      <w:sz w:val="20"/>
      <w:szCs w:val="20"/>
      <w:lang w:val="en-GB"/>
    </w:rPr>
  </w:style>
  <w:style w:type="paragraph" w:styleId="Adresnakopercie">
    <w:name w:val="envelope address"/>
    <w:basedOn w:val="Normalny"/>
    <w:uiPriority w:val="99"/>
    <w:semiHidden/>
    <w:rsid w:val="00351DAC"/>
    <w:pPr>
      <w:framePr w:w="7938" w:h="1985" w:hRule="exact" w:hSpace="141" w:wrap="auto" w:hAnchor="page" w:xAlign="center" w:yAlign="bottom"/>
      <w:ind w:left="2835"/>
    </w:pPr>
    <w:rPr>
      <w:rFonts w:eastAsia="MS Gothic"/>
    </w:rPr>
  </w:style>
  <w:style w:type="paragraph" w:styleId="Adreszwrotnynakopercie">
    <w:name w:val="envelope return"/>
    <w:basedOn w:val="Normalny"/>
    <w:uiPriority w:val="99"/>
    <w:semiHidden/>
    <w:rsid w:val="00351DAC"/>
    <w:rPr>
      <w:rFonts w:eastAsia="MS Gothic"/>
      <w:sz w:val="20"/>
      <w:szCs w:val="20"/>
    </w:rPr>
  </w:style>
  <w:style w:type="character" w:styleId="UyteHipercze">
    <w:name w:val="FollowedHyperlink"/>
    <w:uiPriority w:val="99"/>
    <w:semiHidden/>
    <w:rsid w:val="00351DAC"/>
    <w:rPr>
      <w:color w:val="auto"/>
      <w:u w:val="single"/>
    </w:rPr>
  </w:style>
  <w:style w:type="character" w:styleId="HTML-akronim">
    <w:name w:val="HTML Acronym"/>
    <w:basedOn w:val="Domylnaczcionkaakapitu"/>
    <w:uiPriority w:val="99"/>
    <w:semiHidden/>
    <w:rsid w:val="00351DAC"/>
  </w:style>
  <w:style w:type="paragraph" w:styleId="HTML-adres">
    <w:name w:val="HTML Address"/>
    <w:basedOn w:val="Normalny"/>
    <w:link w:val="HTML-adresZnak"/>
    <w:uiPriority w:val="99"/>
    <w:semiHidden/>
    <w:rsid w:val="00351DAC"/>
    <w:rPr>
      <w:i/>
      <w:iCs/>
    </w:rPr>
  </w:style>
  <w:style w:type="character" w:customStyle="1" w:styleId="HTML-adresZnak">
    <w:name w:val="HTML - adres Znak"/>
    <w:link w:val="HTML-adres"/>
    <w:uiPriority w:val="99"/>
    <w:semiHidden/>
    <w:locked/>
    <w:rsid w:val="00351DAC"/>
    <w:rPr>
      <w:rFonts w:eastAsia="MS Mincho"/>
      <w:i/>
      <w:iCs/>
      <w:sz w:val="24"/>
      <w:szCs w:val="24"/>
      <w:lang w:val="en-GB"/>
    </w:rPr>
  </w:style>
  <w:style w:type="character" w:styleId="HTML-cytat">
    <w:name w:val="HTML Cite"/>
    <w:uiPriority w:val="99"/>
    <w:semiHidden/>
    <w:rsid w:val="00351DAC"/>
    <w:rPr>
      <w:i/>
      <w:iCs/>
    </w:rPr>
  </w:style>
  <w:style w:type="character" w:styleId="HTML-kod">
    <w:name w:val="HTML Code"/>
    <w:uiPriority w:val="99"/>
    <w:semiHidden/>
    <w:rsid w:val="00351DAC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351DAC"/>
    <w:rPr>
      <w:i/>
      <w:iCs/>
    </w:rPr>
  </w:style>
  <w:style w:type="character" w:styleId="HTML-klawiatura">
    <w:name w:val="HTML Keyboard"/>
    <w:uiPriority w:val="99"/>
    <w:semiHidden/>
    <w:rsid w:val="00351DAC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351DAC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351DAC"/>
    <w:rPr>
      <w:rFonts w:ascii="Consolas" w:eastAsia="MS Mincho" w:hAnsi="Consolas" w:cs="Consolas"/>
      <w:sz w:val="20"/>
      <w:szCs w:val="20"/>
      <w:lang w:val="en-GB"/>
    </w:rPr>
  </w:style>
  <w:style w:type="character" w:styleId="HTML-przykad">
    <w:name w:val="HTML Sample"/>
    <w:uiPriority w:val="99"/>
    <w:semiHidden/>
    <w:rsid w:val="00351DAC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351DAC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351DAC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351DAC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351DAC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351DAC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351DAC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351DAC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351DAC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351DAC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351DAC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351DAC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351DAC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351DAC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351DAC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351DAC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351DAC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351DAC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351DAC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351DAC"/>
  </w:style>
  <w:style w:type="paragraph" w:styleId="Lista">
    <w:name w:val="List"/>
    <w:basedOn w:val="Normalny"/>
    <w:uiPriority w:val="99"/>
    <w:semiHidden/>
    <w:rsid w:val="00351DAC"/>
    <w:pPr>
      <w:ind w:left="283" w:hanging="283"/>
    </w:pPr>
  </w:style>
  <w:style w:type="paragraph" w:styleId="Lista2">
    <w:name w:val="List 2"/>
    <w:basedOn w:val="Normalny"/>
    <w:uiPriority w:val="99"/>
    <w:semiHidden/>
    <w:rsid w:val="00351DAC"/>
    <w:pPr>
      <w:ind w:left="566" w:hanging="283"/>
    </w:pPr>
  </w:style>
  <w:style w:type="paragraph" w:styleId="Lista3">
    <w:name w:val="List 3"/>
    <w:basedOn w:val="Normalny"/>
    <w:uiPriority w:val="99"/>
    <w:semiHidden/>
    <w:rsid w:val="00351DAC"/>
    <w:pPr>
      <w:ind w:left="849" w:hanging="283"/>
    </w:pPr>
  </w:style>
  <w:style w:type="paragraph" w:styleId="Lista4">
    <w:name w:val="List 4"/>
    <w:basedOn w:val="Normalny"/>
    <w:uiPriority w:val="99"/>
    <w:semiHidden/>
    <w:rsid w:val="00351DAC"/>
    <w:pPr>
      <w:ind w:left="1132" w:hanging="283"/>
    </w:pPr>
  </w:style>
  <w:style w:type="paragraph" w:styleId="Lista5">
    <w:name w:val="List 5"/>
    <w:basedOn w:val="Normalny"/>
    <w:uiPriority w:val="99"/>
    <w:semiHidden/>
    <w:rsid w:val="00351DAC"/>
    <w:pPr>
      <w:ind w:left="1415" w:hanging="283"/>
    </w:pPr>
  </w:style>
  <w:style w:type="paragraph" w:styleId="Listapunktowana2">
    <w:name w:val="List Bullet 2"/>
    <w:basedOn w:val="Normalny"/>
    <w:uiPriority w:val="99"/>
    <w:semiHidden/>
    <w:rsid w:val="00351DAC"/>
    <w:pPr>
      <w:numPr>
        <w:numId w:val="1"/>
      </w:numPr>
      <w:tabs>
        <w:tab w:val="clear" w:pos="360"/>
        <w:tab w:val="num" w:pos="643"/>
      </w:tabs>
      <w:ind w:left="643"/>
    </w:pPr>
  </w:style>
  <w:style w:type="paragraph" w:styleId="Listapunktowana3">
    <w:name w:val="List Bullet 3"/>
    <w:basedOn w:val="Normalny"/>
    <w:uiPriority w:val="99"/>
    <w:semiHidden/>
    <w:rsid w:val="00351DAC"/>
    <w:pPr>
      <w:numPr>
        <w:numId w:val="2"/>
      </w:numPr>
      <w:tabs>
        <w:tab w:val="clear" w:pos="643"/>
        <w:tab w:val="num" w:pos="1080"/>
      </w:tabs>
      <w:ind w:left="1080"/>
    </w:pPr>
  </w:style>
  <w:style w:type="paragraph" w:styleId="Listapunktowana4">
    <w:name w:val="List Bullet 4"/>
    <w:basedOn w:val="Normalny"/>
    <w:uiPriority w:val="99"/>
    <w:semiHidden/>
    <w:rsid w:val="00351DAC"/>
    <w:pPr>
      <w:numPr>
        <w:numId w:val="3"/>
      </w:numPr>
      <w:tabs>
        <w:tab w:val="clear" w:pos="1080"/>
        <w:tab w:val="num" w:pos="1209"/>
      </w:tabs>
      <w:ind w:left="1209"/>
    </w:pPr>
  </w:style>
  <w:style w:type="paragraph" w:styleId="Listapunktowana5">
    <w:name w:val="List Bullet 5"/>
    <w:basedOn w:val="Normalny"/>
    <w:uiPriority w:val="99"/>
    <w:semiHidden/>
    <w:rsid w:val="00351DAC"/>
    <w:pPr>
      <w:numPr>
        <w:numId w:val="4"/>
      </w:numPr>
      <w:tabs>
        <w:tab w:val="clear" w:pos="1209"/>
        <w:tab w:val="num" w:pos="1492"/>
      </w:tabs>
      <w:ind w:left="1492"/>
    </w:pPr>
  </w:style>
  <w:style w:type="paragraph" w:styleId="Lista-kontynuacja">
    <w:name w:val="List Continue"/>
    <w:basedOn w:val="Normalny"/>
    <w:uiPriority w:val="99"/>
    <w:semiHidden/>
    <w:rsid w:val="00351DAC"/>
    <w:pPr>
      <w:spacing w:after="120"/>
      <w:ind w:left="283"/>
    </w:pPr>
  </w:style>
  <w:style w:type="paragraph" w:styleId="Lista-kontynuacja2">
    <w:name w:val="List Continue 2"/>
    <w:basedOn w:val="Normalny"/>
    <w:uiPriority w:val="99"/>
    <w:semiHidden/>
    <w:rsid w:val="00351DAC"/>
    <w:pPr>
      <w:spacing w:after="120"/>
      <w:ind w:left="566"/>
    </w:pPr>
  </w:style>
  <w:style w:type="paragraph" w:styleId="Lista-kontynuacja3">
    <w:name w:val="List Continue 3"/>
    <w:basedOn w:val="Normalny"/>
    <w:uiPriority w:val="99"/>
    <w:semiHidden/>
    <w:rsid w:val="00351DAC"/>
    <w:pPr>
      <w:spacing w:after="120"/>
      <w:ind w:left="849"/>
    </w:pPr>
  </w:style>
  <w:style w:type="paragraph" w:styleId="Lista-kontynuacja4">
    <w:name w:val="List Continue 4"/>
    <w:basedOn w:val="Normalny"/>
    <w:uiPriority w:val="99"/>
    <w:semiHidden/>
    <w:rsid w:val="00351DAC"/>
    <w:pPr>
      <w:spacing w:after="120"/>
      <w:ind w:left="1132"/>
    </w:pPr>
  </w:style>
  <w:style w:type="paragraph" w:styleId="Lista-kontynuacja5">
    <w:name w:val="List Continue 5"/>
    <w:basedOn w:val="Normalny"/>
    <w:uiPriority w:val="99"/>
    <w:semiHidden/>
    <w:rsid w:val="00351DAC"/>
    <w:pPr>
      <w:spacing w:after="120"/>
      <w:ind w:left="1415"/>
    </w:pPr>
  </w:style>
  <w:style w:type="paragraph" w:styleId="Listanumerowana">
    <w:name w:val="List Number"/>
    <w:basedOn w:val="Normalny"/>
    <w:uiPriority w:val="99"/>
    <w:semiHidden/>
    <w:rsid w:val="00351DAC"/>
    <w:pPr>
      <w:numPr>
        <w:numId w:val="5"/>
      </w:numPr>
      <w:tabs>
        <w:tab w:val="clear" w:pos="1492"/>
        <w:tab w:val="num" w:pos="360"/>
      </w:tabs>
      <w:ind w:left="360"/>
    </w:pPr>
  </w:style>
  <w:style w:type="paragraph" w:styleId="Listanumerowana2">
    <w:name w:val="List Number 2"/>
    <w:basedOn w:val="Normalny"/>
    <w:uiPriority w:val="99"/>
    <w:semiHidden/>
    <w:rsid w:val="00351DAC"/>
    <w:pPr>
      <w:numPr>
        <w:numId w:val="6"/>
      </w:numPr>
      <w:tabs>
        <w:tab w:val="clear" w:pos="360"/>
        <w:tab w:val="num" w:pos="643"/>
      </w:tabs>
      <w:ind w:left="643"/>
    </w:pPr>
  </w:style>
  <w:style w:type="paragraph" w:styleId="Listanumerowana3">
    <w:name w:val="List Number 3"/>
    <w:basedOn w:val="Normalny"/>
    <w:uiPriority w:val="99"/>
    <w:semiHidden/>
    <w:rsid w:val="00351DAC"/>
    <w:pPr>
      <w:numPr>
        <w:numId w:val="7"/>
      </w:numPr>
      <w:tabs>
        <w:tab w:val="clear" w:pos="643"/>
        <w:tab w:val="num" w:pos="926"/>
      </w:tabs>
      <w:ind w:left="926"/>
    </w:pPr>
  </w:style>
  <w:style w:type="paragraph" w:styleId="Listanumerowana4">
    <w:name w:val="List Number 4"/>
    <w:basedOn w:val="Normalny"/>
    <w:uiPriority w:val="99"/>
    <w:semiHidden/>
    <w:rsid w:val="00351DAC"/>
    <w:pPr>
      <w:numPr>
        <w:numId w:val="8"/>
      </w:numPr>
      <w:tabs>
        <w:tab w:val="clear" w:pos="926"/>
        <w:tab w:val="num" w:pos="1209"/>
      </w:tabs>
      <w:ind w:left="1209"/>
    </w:pPr>
  </w:style>
  <w:style w:type="paragraph" w:styleId="Listanumerowana5">
    <w:name w:val="List Number 5"/>
    <w:basedOn w:val="Normalny"/>
    <w:uiPriority w:val="99"/>
    <w:semiHidden/>
    <w:rsid w:val="00351DAC"/>
    <w:pPr>
      <w:numPr>
        <w:numId w:val="9"/>
      </w:numPr>
      <w:tabs>
        <w:tab w:val="clear" w:pos="1209"/>
        <w:tab w:val="num" w:pos="1492"/>
      </w:tabs>
      <w:ind w:left="1492"/>
    </w:pPr>
  </w:style>
  <w:style w:type="paragraph" w:styleId="Tekstmakra">
    <w:name w:val="macro"/>
    <w:link w:val="TekstmakraZnak"/>
    <w:uiPriority w:val="99"/>
    <w:semiHidden/>
    <w:rsid w:val="00351DA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val="en-US" w:eastAsia="en-US"/>
    </w:rPr>
  </w:style>
  <w:style w:type="character" w:customStyle="1" w:styleId="TekstmakraZnak">
    <w:name w:val="Tekst makra Znak"/>
    <w:link w:val="Tekstmakra"/>
    <w:uiPriority w:val="99"/>
    <w:semiHidden/>
    <w:locked/>
    <w:rsid w:val="00351DAC"/>
    <w:rPr>
      <w:rFonts w:ascii="Consolas" w:eastAsia="MS Mincho" w:hAnsi="Consolas" w:cs="Consolas"/>
      <w:lang w:val="en-US" w:eastAsia="en-US"/>
    </w:rPr>
  </w:style>
  <w:style w:type="table" w:styleId="redniasiatka1">
    <w:name w:val="Medium Grid 1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351DAC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351DAC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351DAC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351DA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351DA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351DA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351DA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351DA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351DA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351DA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351DA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</w:rPr>
  </w:style>
  <w:style w:type="character" w:customStyle="1" w:styleId="NagwekwiadomociZnak">
    <w:name w:val="Nagłówek wiadomości Znak"/>
    <w:link w:val="Nagwekwiadomoci"/>
    <w:uiPriority w:val="99"/>
    <w:semiHidden/>
    <w:locked/>
    <w:rsid w:val="00351DAC"/>
    <w:rPr>
      <w:rFonts w:ascii="Times New Roman" w:eastAsia="MS Gothic" w:hAnsi="Times New Roman" w:cs="Times New Roman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semiHidden/>
    <w:rsid w:val="00351DAC"/>
  </w:style>
  <w:style w:type="paragraph" w:styleId="Wcicienormalne">
    <w:name w:val="Normal Indent"/>
    <w:basedOn w:val="Normalny"/>
    <w:uiPriority w:val="99"/>
    <w:semiHidden/>
    <w:rsid w:val="00351DAC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351DAC"/>
  </w:style>
  <w:style w:type="character" w:customStyle="1" w:styleId="NagweknotatkiZnak">
    <w:name w:val="Nagłówek notatki Znak"/>
    <w:link w:val="Nagweknotatki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character" w:styleId="Tekstzastpczy">
    <w:name w:val="Placeholder Text"/>
    <w:uiPriority w:val="99"/>
    <w:semiHidden/>
    <w:rsid w:val="00351DAC"/>
    <w:rPr>
      <w:color w:val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351DAC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locked/>
    <w:rsid w:val="00351DAC"/>
    <w:rPr>
      <w:rFonts w:ascii="Consolas" w:eastAsia="MS Mincho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351DAC"/>
  </w:style>
  <w:style w:type="character" w:customStyle="1" w:styleId="ZwrotgrzecznociowyZnak">
    <w:name w:val="Zwrot grzecznościowy Znak"/>
    <w:link w:val="Zwrotgrzecznociowy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351DAC"/>
    <w:pPr>
      <w:ind w:left="4252"/>
    </w:pPr>
  </w:style>
  <w:style w:type="character" w:customStyle="1" w:styleId="PodpisZnak">
    <w:name w:val="Podpis Znak"/>
    <w:link w:val="Podpis"/>
    <w:uiPriority w:val="99"/>
    <w:semiHidden/>
    <w:locked/>
    <w:rsid w:val="00351DAC"/>
    <w:rPr>
      <w:rFonts w:eastAsia="MS Mincho"/>
      <w:sz w:val="24"/>
      <w:szCs w:val="24"/>
      <w:lang w:val="en-GB"/>
    </w:rPr>
  </w:style>
  <w:style w:type="table" w:styleId="Tabela-Efekty3W1">
    <w:name w:val="Table 3D effects 1"/>
    <w:basedOn w:val="Standardowy"/>
    <w:uiPriority w:val="99"/>
    <w:semiHidden/>
    <w:rsid w:val="00351DA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351DA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351DA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351DA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351DA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351DA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351DA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351DA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351DA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351DA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351DA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351DA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351DA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351DA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351DA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351DA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351DA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351DA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351DA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351DA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351DA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351DA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351DA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351DA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351DA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351DA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351DA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351DA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351DA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351DA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351DA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351DA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351DA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351DAC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351DAC"/>
  </w:style>
  <w:style w:type="table" w:styleId="Tabela-Profesjonalny">
    <w:name w:val="Table Professional"/>
    <w:basedOn w:val="Standardowy"/>
    <w:uiPriority w:val="99"/>
    <w:semiHidden/>
    <w:rsid w:val="00351DA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351DA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351DA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351DA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351DA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351DA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351DA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351DA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351DA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351DA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351DA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351DA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351DAC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351DAC"/>
    <w:pPr>
      <w:spacing w:after="100"/>
      <w:ind w:left="1920"/>
    </w:pPr>
  </w:style>
  <w:style w:type="paragraph" w:customStyle="1" w:styleId="DecHTitle">
    <w:name w:val="Dec_H_Title"/>
    <w:aliases w:val="_Title_1"/>
    <w:basedOn w:val="JuPara"/>
    <w:next w:val="JuPara"/>
    <w:uiPriority w:val="99"/>
    <w:rsid w:val="00351DAC"/>
    <w:pPr>
      <w:keepNext/>
      <w:keepLines/>
      <w:spacing w:after="240"/>
      <w:ind w:firstLine="0"/>
      <w:jc w:val="center"/>
      <w:outlineLvl w:val="0"/>
    </w:pPr>
    <w:rPr>
      <w:sz w:val="28"/>
      <w:szCs w:val="28"/>
    </w:rPr>
  </w:style>
  <w:style w:type="paragraph" w:customStyle="1" w:styleId="ECHRFooter">
    <w:name w:val="ECHR_Footer"/>
    <w:aliases w:val="Footer_ECHR"/>
    <w:basedOn w:val="Stopka"/>
    <w:uiPriority w:val="99"/>
    <w:semiHidden/>
    <w:rsid w:val="0045649E"/>
    <w:rPr>
      <w:sz w:val="8"/>
      <w:szCs w:val="8"/>
    </w:rPr>
  </w:style>
  <w:style w:type="paragraph" w:customStyle="1" w:styleId="FooterLine">
    <w:name w:val="_Footer_Line"/>
    <w:aliases w:val="Footer_Line"/>
    <w:basedOn w:val="Normalny"/>
    <w:next w:val="Footer"/>
    <w:uiPriority w:val="99"/>
    <w:semiHidden/>
    <w:rsid w:val="00351DAC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99"/>
    <w:rsid w:val="00351DAC"/>
    <w:pPr>
      <w:keepNext/>
      <w:keepLines/>
      <w:spacing w:after="280"/>
      <w:ind w:firstLine="0"/>
      <w:jc w:val="center"/>
    </w:pPr>
  </w:style>
  <w:style w:type="table" w:customStyle="1" w:styleId="ECHRTable2019">
    <w:name w:val="ECHR_Table_2019"/>
    <w:uiPriority w:val="99"/>
    <w:rsid w:val="00351DAC"/>
    <w:tblPr>
      <w:tblStyleRowBandSize w:val="1"/>
      <w:tblStyleCol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JuHeaderLandscape">
    <w:name w:val="Ju_Header_Landscape"/>
    <w:aliases w:val="_Header_Landscape"/>
    <w:basedOn w:val="JuHeader"/>
    <w:uiPriority w:val="99"/>
    <w:rsid w:val="00351DAC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JuTitle">
    <w:name w:val="Ju_Title"/>
    <w:aliases w:val="_Title_2"/>
    <w:basedOn w:val="Normalny"/>
    <w:next w:val="JuPara"/>
    <w:uiPriority w:val="99"/>
    <w:rsid w:val="00351DAC"/>
    <w:pPr>
      <w:keepNext/>
      <w:keepLines/>
      <w:spacing w:before="1320" w:after="280"/>
      <w:jc w:val="center"/>
    </w:pPr>
    <w:rPr>
      <w:rFonts w:eastAsia="Times New Roman"/>
      <w:b/>
      <w:bCs/>
    </w:rPr>
  </w:style>
  <w:style w:type="paragraph" w:styleId="Poprawka">
    <w:name w:val="Revision"/>
    <w:hidden/>
    <w:uiPriority w:val="99"/>
    <w:semiHidden/>
    <w:rsid w:val="004A095B"/>
    <w:rPr>
      <w:rFonts w:eastAsia="MS Mincho"/>
      <w:sz w:val="24"/>
      <w:szCs w:val="24"/>
      <w:lang w:val="en-US" w:eastAsia="en-US"/>
    </w:rPr>
  </w:style>
  <w:style w:type="character" w:customStyle="1" w:styleId="JuNames0">
    <w:name w:val="Ju_Names"/>
    <w:uiPriority w:val="99"/>
    <w:rsid w:val="004A095B"/>
    <w:rPr>
      <w:smallCaps/>
    </w:rPr>
  </w:style>
  <w:style w:type="character" w:customStyle="1" w:styleId="JuParaChar">
    <w:name w:val="Ju_Para Char"/>
    <w:aliases w:val="_Para Char"/>
    <w:link w:val="JuPara"/>
    <w:uiPriority w:val="99"/>
    <w:locked/>
    <w:rsid w:val="004A095B"/>
    <w:rPr>
      <w:rFonts w:eastAsia="MS Mincho"/>
      <w:sz w:val="24"/>
      <w:szCs w:val="24"/>
      <w:lang w:val="en-GB"/>
    </w:rPr>
  </w:style>
  <w:style w:type="paragraph" w:customStyle="1" w:styleId="ECHRNumberedList1">
    <w:name w:val="ECHR_Numbered_List_1"/>
    <w:aliases w:val="Num_1"/>
    <w:basedOn w:val="Normalny"/>
    <w:uiPriority w:val="99"/>
    <w:rsid w:val="004A095B"/>
    <w:pPr>
      <w:spacing w:before="60" w:after="60"/>
    </w:pPr>
    <w:rPr>
      <w:sz w:val="22"/>
      <w:szCs w:val="22"/>
    </w:rPr>
  </w:style>
  <w:style w:type="paragraph" w:customStyle="1" w:styleId="ECHRNumberedList2">
    <w:name w:val="ECHR_Numbered_List_2"/>
    <w:aliases w:val="Num_2"/>
    <w:basedOn w:val="ECHRNumberedList1"/>
    <w:uiPriority w:val="99"/>
    <w:rsid w:val="004A095B"/>
    <w:pPr>
      <w:numPr>
        <w:ilvl w:val="1"/>
      </w:numPr>
    </w:pPr>
  </w:style>
  <w:style w:type="paragraph" w:customStyle="1" w:styleId="ECHRNumberedList3">
    <w:name w:val="ECHR_Numbered_List_3"/>
    <w:aliases w:val="Num_3"/>
    <w:basedOn w:val="ECHRNumberedList2"/>
    <w:uiPriority w:val="99"/>
    <w:rsid w:val="004A095B"/>
    <w:pPr>
      <w:numPr>
        <w:ilvl w:val="2"/>
      </w:numPr>
    </w:pPr>
  </w:style>
  <w:style w:type="character" w:customStyle="1" w:styleId="JuQuotChar">
    <w:name w:val="Ju_Quot Char"/>
    <w:link w:val="JuQuot"/>
    <w:uiPriority w:val="99"/>
    <w:locked/>
    <w:rsid w:val="004A095B"/>
    <w:rPr>
      <w:rFonts w:eastAsia="MS Mincho"/>
      <w:sz w:val="20"/>
      <w:szCs w:val="20"/>
      <w:lang w:val="en-GB"/>
    </w:rPr>
  </w:style>
  <w:style w:type="paragraph" w:customStyle="1" w:styleId="NormalJustified">
    <w:name w:val="Normal_Justified"/>
    <w:basedOn w:val="Normalny"/>
    <w:uiPriority w:val="99"/>
    <w:semiHidden/>
    <w:rsid w:val="00351DAC"/>
    <w:pPr>
      <w:jc w:val="both"/>
    </w:pPr>
  </w:style>
  <w:style w:type="paragraph" w:customStyle="1" w:styleId="Footer">
    <w:name w:val="_Footer"/>
    <w:aliases w:val="Footer_"/>
    <w:basedOn w:val="Stopka"/>
    <w:uiPriority w:val="99"/>
    <w:semiHidden/>
    <w:rsid w:val="00351DAC"/>
    <w:rPr>
      <w:sz w:val="8"/>
      <w:szCs w:val="8"/>
    </w:rPr>
  </w:style>
  <w:style w:type="paragraph" w:customStyle="1" w:styleId="s50c0b1c7">
    <w:name w:val="s50c0b1c7"/>
    <w:basedOn w:val="Normalny"/>
    <w:uiPriority w:val="99"/>
    <w:rsid w:val="00AF4146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s3aeeab2">
    <w:name w:val="s3aeeab2"/>
    <w:basedOn w:val="Domylnaczcionkaakapitu"/>
    <w:uiPriority w:val="99"/>
    <w:rsid w:val="00AF4146"/>
  </w:style>
  <w:style w:type="character" w:customStyle="1" w:styleId="sfbbfee58">
    <w:name w:val="sfbbfee58"/>
    <w:basedOn w:val="Domylnaczcionkaakapitu"/>
    <w:uiPriority w:val="99"/>
    <w:rsid w:val="00AF4146"/>
  </w:style>
  <w:style w:type="paragraph" w:customStyle="1" w:styleId="ClinContent">
    <w:name w:val="ClinContent"/>
    <w:basedOn w:val="Normalny"/>
    <w:uiPriority w:val="99"/>
    <w:rsid w:val="00AF4146"/>
    <w:pPr>
      <w:spacing w:before="240"/>
      <w:jc w:val="both"/>
    </w:pPr>
    <w:rPr>
      <w:rFonts w:ascii="Verdana" w:eastAsia="Times New Roman" w:hAnsi="Verdana" w:cs="Verdana"/>
      <w:sz w:val="20"/>
      <w:szCs w:val="20"/>
      <w:lang w:eastAsia="en-GB"/>
    </w:rPr>
  </w:style>
  <w:style w:type="character" w:customStyle="1" w:styleId="s4f807e54">
    <w:name w:val="s4f807e54"/>
    <w:uiPriority w:val="99"/>
    <w:rsid w:val="00AB1233"/>
  </w:style>
  <w:style w:type="numbering" w:styleId="Artykusekcja">
    <w:name w:val="Outline List 3"/>
    <w:basedOn w:val="Bezlisty"/>
    <w:uiPriority w:val="99"/>
    <w:semiHidden/>
    <w:unhideWhenUsed/>
    <w:locked/>
    <w:rsid w:val="002115D3"/>
    <w:pPr>
      <w:numPr>
        <w:numId w:val="14"/>
      </w:numPr>
    </w:pPr>
  </w:style>
  <w:style w:type="numbering" w:styleId="1ai">
    <w:name w:val="Outline List 1"/>
    <w:basedOn w:val="Bezlisty"/>
    <w:uiPriority w:val="99"/>
    <w:semiHidden/>
    <w:unhideWhenUsed/>
    <w:locked/>
    <w:rsid w:val="002115D3"/>
    <w:pPr>
      <w:numPr>
        <w:numId w:val="13"/>
      </w:numPr>
    </w:pPr>
  </w:style>
  <w:style w:type="numbering" w:customStyle="1" w:styleId="ECHRA1StyleList">
    <w:name w:val="ECHR_A1_Style_List"/>
    <w:rsid w:val="002115D3"/>
    <w:pPr>
      <w:numPr>
        <w:numId w:val="16"/>
      </w:numPr>
    </w:pPr>
  </w:style>
  <w:style w:type="numbering" w:styleId="111111">
    <w:name w:val="Outline List 2"/>
    <w:basedOn w:val="Bezlisty"/>
    <w:uiPriority w:val="99"/>
    <w:semiHidden/>
    <w:unhideWhenUsed/>
    <w:locked/>
    <w:rsid w:val="002115D3"/>
    <w:pPr>
      <w:numPr>
        <w:numId w:val="12"/>
      </w:numPr>
    </w:pPr>
  </w:style>
  <w:style w:type="numbering" w:customStyle="1" w:styleId="ECHRA1StyleBulletedSquare">
    <w:name w:val="ECHR_A1_Style_Bulleted_Square"/>
    <w:rsid w:val="002115D3"/>
    <w:pPr>
      <w:numPr>
        <w:numId w:val="15"/>
      </w:numPr>
    </w:pPr>
  </w:style>
  <w:style w:type="numbering" w:customStyle="1" w:styleId="ECHRA1StyleNumberedList">
    <w:name w:val="ECHR_A1_Style_Numbered_List"/>
    <w:rsid w:val="002115D3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74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9076</Words>
  <Characters>54459</Characters>
  <Application>Microsoft Office Word</Application>
  <DocSecurity>0</DocSecurity>
  <Lines>453</Lines>
  <Paragraphs>126</Paragraphs>
  <ScaleCrop>false</ScaleCrop>
  <Company/>
  <LinksUpToDate>false</LinksUpToDate>
  <CharactersWithSpaces>63409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2021-10-01T13:37:00Z</dcterms:created>
  <dcterms:modified xsi:type="dcterms:W3CDTF">2021-10-07T09:34:00Z</dcterms:modified>
  <cp:category/>
</cp:coreProperties>
</file>