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62142" w14:textId="77777777" w:rsidR="003136CE" w:rsidRPr="009548E3" w:rsidRDefault="003136CE" w:rsidP="009548E3">
      <w:pPr>
        <w:pStyle w:val="ECHRDecisionBody"/>
        <w:jc w:val="center"/>
      </w:pPr>
    </w:p>
    <w:p w14:paraId="16B6B6B3" w14:textId="77777777" w:rsidR="003136CE" w:rsidRPr="009548E3" w:rsidRDefault="003136CE" w:rsidP="009548E3">
      <w:pPr>
        <w:pStyle w:val="ECHRDecisionBody"/>
        <w:jc w:val="center"/>
      </w:pPr>
    </w:p>
    <w:p w14:paraId="7A8BB3B6" w14:textId="77777777" w:rsidR="00014566" w:rsidRPr="009548E3" w:rsidRDefault="00AC6D67" w:rsidP="009548E3">
      <w:pPr>
        <w:jc w:val="center"/>
      </w:pPr>
      <w:r>
        <w:t>SEKCJA TRZECIA</w:t>
      </w:r>
    </w:p>
    <w:p w14:paraId="5C7A4048" w14:textId="77777777" w:rsidR="003136CE" w:rsidRPr="009548E3" w:rsidRDefault="003136CE" w:rsidP="009548E3">
      <w:pPr>
        <w:jc w:val="center"/>
      </w:pPr>
    </w:p>
    <w:p w14:paraId="5900EB0A" w14:textId="77777777" w:rsidR="003136CE" w:rsidRPr="009548E3" w:rsidRDefault="003136CE" w:rsidP="009548E3">
      <w:pPr>
        <w:jc w:val="center"/>
      </w:pPr>
    </w:p>
    <w:p w14:paraId="1345B328" w14:textId="77777777" w:rsidR="0005401E" w:rsidRPr="009548E3" w:rsidRDefault="0005401E" w:rsidP="009548E3">
      <w:pPr>
        <w:jc w:val="center"/>
      </w:pPr>
    </w:p>
    <w:p w14:paraId="73F6B4CF" w14:textId="77777777" w:rsidR="003136CE" w:rsidRPr="009548E3" w:rsidRDefault="003136CE" w:rsidP="009548E3">
      <w:pPr>
        <w:jc w:val="center"/>
      </w:pPr>
    </w:p>
    <w:p w14:paraId="5A835AA4" w14:textId="77777777" w:rsidR="003136CE" w:rsidRPr="009548E3" w:rsidRDefault="003136CE" w:rsidP="009548E3">
      <w:pPr>
        <w:jc w:val="center"/>
      </w:pPr>
    </w:p>
    <w:p w14:paraId="7C391FB7" w14:textId="77777777" w:rsidR="00014566" w:rsidRPr="009548E3" w:rsidRDefault="00014566" w:rsidP="009548E3">
      <w:pPr>
        <w:jc w:val="center"/>
        <w:rPr>
          <w:b/>
        </w:rPr>
      </w:pPr>
      <w:r>
        <w:rPr>
          <w:b/>
        </w:rPr>
        <w:t>SPRAWA V.D. I INNI PRZECIWKO ROSJI</w:t>
      </w:r>
    </w:p>
    <w:p w14:paraId="36829D07" w14:textId="77777777" w:rsidR="00014566" w:rsidRPr="009548E3" w:rsidRDefault="00014566" w:rsidP="009548E3">
      <w:pPr>
        <w:jc w:val="center"/>
      </w:pPr>
    </w:p>
    <w:p w14:paraId="4BCEDE99" w14:textId="77777777" w:rsidR="00014566" w:rsidRPr="009548E3" w:rsidRDefault="00014566" w:rsidP="009548E3">
      <w:pPr>
        <w:jc w:val="center"/>
        <w:rPr>
          <w:i/>
        </w:rPr>
      </w:pPr>
      <w:r>
        <w:rPr>
          <w:i/>
        </w:rPr>
        <w:t>(Skarga nr 72931/10)</w:t>
      </w:r>
    </w:p>
    <w:p w14:paraId="5A3E713E" w14:textId="77777777" w:rsidR="00014566" w:rsidRPr="009548E3" w:rsidRDefault="00014566" w:rsidP="009548E3">
      <w:pPr>
        <w:jc w:val="center"/>
      </w:pPr>
    </w:p>
    <w:p w14:paraId="288B3350" w14:textId="77777777" w:rsidR="00014566" w:rsidRPr="009548E3" w:rsidRDefault="00014566" w:rsidP="009548E3">
      <w:pPr>
        <w:jc w:val="center"/>
      </w:pPr>
    </w:p>
    <w:p w14:paraId="7F3C4B17" w14:textId="77777777" w:rsidR="00591EDA" w:rsidRPr="009548E3" w:rsidRDefault="00591EDA" w:rsidP="009548E3">
      <w:pPr>
        <w:jc w:val="center"/>
      </w:pPr>
    </w:p>
    <w:p w14:paraId="4719B90D" w14:textId="77777777" w:rsidR="00014566" w:rsidRPr="009548E3" w:rsidRDefault="00014566" w:rsidP="009548E3">
      <w:pPr>
        <w:jc w:val="center"/>
      </w:pPr>
    </w:p>
    <w:p w14:paraId="40DCFFC4" w14:textId="77777777" w:rsidR="0005401E" w:rsidRPr="009548E3" w:rsidRDefault="0005401E" w:rsidP="009548E3">
      <w:pPr>
        <w:jc w:val="center"/>
      </w:pPr>
    </w:p>
    <w:p w14:paraId="794CC616" w14:textId="77777777" w:rsidR="00941B99" w:rsidRPr="009548E3" w:rsidRDefault="00941B99" w:rsidP="009548E3">
      <w:pPr>
        <w:jc w:val="center"/>
      </w:pPr>
    </w:p>
    <w:p w14:paraId="11582990" w14:textId="77777777" w:rsidR="00014566" w:rsidRPr="009548E3" w:rsidRDefault="00014566" w:rsidP="009548E3">
      <w:pPr>
        <w:jc w:val="center"/>
      </w:pPr>
    </w:p>
    <w:p w14:paraId="7E3F3E9E" w14:textId="77777777" w:rsidR="00014566" w:rsidRPr="009548E3" w:rsidRDefault="003136CE" w:rsidP="009548E3">
      <w:pPr>
        <w:jc w:val="center"/>
        <w:rPr>
          <w:szCs w:val="24"/>
        </w:rPr>
      </w:pPr>
      <w:r>
        <w:t>WYROK</w:t>
      </w:r>
    </w:p>
    <w:p w14:paraId="5B523446" w14:textId="77777777" w:rsidR="00014566" w:rsidRPr="009548E3" w:rsidRDefault="00014566" w:rsidP="009548E3">
      <w:pPr>
        <w:jc w:val="center"/>
        <w:rPr>
          <w:szCs w:val="24"/>
        </w:rPr>
      </w:pPr>
    </w:p>
    <w:p w14:paraId="7BAC4B73" w14:textId="77777777" w:rsidR="00014566" w:rsidRPr="009548E3" w:rsidRDefault="00014566" w:rsidP="009548E3">
      <w:pPr>
        <w:jc w:val="center"/>
        <w:rPr>
          <w:szCs w:val="24"/>
        </w:rPr>
      </w:pPr>
    </w:p>
    <w:p w14:paraId="1BD77BCE" w14:textId="77777777" w:rsidR="0005401E" w:rsidRPr="009548E3" w:rsidRDefault="0005401E" w:rsidP="009548E3">
      <w:pPr>
        <w:pStyle w:val="ECHRPara"/>
        <w:ind w:firstLine="0"/>
        <w:jc w:val="center"/>
      </w:pPr>
    </w:p>
    <w:p w14:paraId="34B55F95" w14:textId="77777777" w:rsidR="003136CE" w:rsidRPr="009548E3" w:rsidRDefault="003136CE" w:rsidP="009548E3">
      <w:pPr>
        <w:pStyle w:val="ECHRPara"/>
        <w:ind w:firstLine="0"/>
        <w:jc w:val="center"/>
      </w:pPr>
    </w:p>
    <w:p w14:paraId="2D20B77D" w14:textId="77777777" w:rsidR="003136CE" w:rsidRPr="009548E3" w:rsidRDefault="003136CE" w:rsidP="009548E3">
      <w:pPr>
        <w:pStyle w:val="ECHRPara"/>
        <w:ind w:firstLine="0"/>
        <w:jc w:val="center"/>
      </w:pPr>
    </w:p>
    <w:p w14:paraId="5B2C0083" w14:textId="77777777" w:rsidR="003136CE" w:rsidRPr="009548E3" w:rsidRDefault="003136CE" w:rsidP="009548E3">
      <w:pPr>
        <w:pStyle w:val="ECHRPara"/>
        <w:ind w:firstLine="0"/>
        <w:jc w:val="center"/>
      </w:pPr>
    </w:p>
    <w:p w14:paraId="421C9415" w14:textId="77777777" w:rsidR="003136CE" w:rsidRPr="009548E3" w:rsidRDefault="003136CE" w:rsidP="009548E3">
      <w:pPr>
        <w:pStyle w:val="JuCase"/>
        <w:ind w:firstLine="0"/>
        <w:jc w:val="center"/>
        <w:rPr>
          <w:b w:val="0"/>
        </w:rPr>
      </w:pPr>
    </w:p>
    <w:p w14:paraId="5D69B215" w14:textId="77777777" w:rsidR="003136CE" w:rsidRPr="009548E3" w:rsidRDefault="003136CE" w:rsidP="009548E3">
      <w:pPr>
        <w:pStyle w:val="JuCase"/>
        <w:ind w:firstLine="0"/>
        <w:jc w:val="center"/>
        <w:rPr>
          <w:b w:val="0"/>
        </w:rPr>
      </w:pPr>
      <w:r>
        <w:rPr>
          <w:b w:val="0"/>
        </w:rPr>
        <w:t>STRASBURG</w:t>
      </w:r>
    </w:p>
    <w:p w14:paraId="3AE1C245" w14:textId="77777777" w:rsidR="003136CE" w:rsidRPr="009548E3" w:rsidRDefault="003136CE" w:rsidP="009548E3">
      <w:pPr>
        <w:pStyle w:val="JuCase"/>
        <w:ind w:firstLine="0"/>
        <w:jc w:val="center"/>
        <w:rPr>
          <w:b w:val="0"/>
        </w:rPr>
      </w:pPr>
    </w:p>
    <w:p w14:paraId="01E6A776" w14:textId="77777777" w:rsidR="003136CE" w:rsidRPr="009548E3" w:rsidRDefault="003136CE" w:rsidP="009548E3">
      <w:pPr>
        <w:pStyle w:val="JuCase"/>
        <w:ind w:firstLine="0"/>
        <w:jc w:val="center"/>
        <w:rPr>
          <w:b w:val="0"/>
        </w:rPr>
      </w:pPr>
      <w:r>
        <w:rPr>
          <w:b w:val="0"/>
        </w:rPr>
        <w:t>9 kwietnia 2019 r.</w:t>
      </w:r>
    </w:p>
    <w:p w14:paraId="08B31DE8" w14:textId="77777777" w:rsidR="003136CE" w:rsidRPr="009548E3" w:rsidRDefault="003136CE" w:rsidP="009548E3">
      <w:pPr>
        <w:pStyle w:val="JuCase"/>
        <w:ind w:firstLine="0"/>
        <w:jc w:val="center"/>
        <w:rPr>
          <w:b w:val="0"/>
        </w:rPr>
      </w:pPr>
    </w:p>
    <w:p w14:paraId="5A8EFE10" w14:textId="77777777" w:rsidR="003136CE" w:rsidRPr="009548E3" w:rsidRDefault="003136CE" w:rsidP="009548E3">
      <w:pPr>
        <w:pStyle w:val="ECHRPara"/>
        <w:ind w:firstLine="0"/>
        <w:jc w:val="center"/>
      </w:pPr>
    </w:p>
    <w:p w14:paraId="3AB57FCC" w14:textId="28B08C67" w:rsidR="00E40055" w:rsidRDefault="0078611D" w:rsidP="00E40055">
      <w:pPr>
        <w:pStyle w:val="jucase0"/>
        <w:ind w:firstLine="0"/>
        <w:jc w:val="center"/>
        <w:rPr>
          <w:color w:val="FF0000"/>
          <w:sz w:val="28"/>
          <w:szCs w:val="28"/>
          <w:u w:val="single"/>
        </w:rPr>
      </w:pPr>
      <w:r>
        <w:rPr>
          <w:color w:val="FF0000"/>
          <w:sz w:val="28"/>
          <w:szCs w:val="28"/>
          <w:u w:val="single"/>
        </w:rPr>
        <w:t xml:space="preserve">WYROK </w:t>
      </w:r>
      <w:r w:rsidR="00E40055">
        <w:rPr>
          <w:color w:val="FF0000"/>
          <w:sz w:val="28"/>
          <w:szCs w:val="28"/>
          <w:u w:val="single"/>
        </w:rPr>
        <w:t>OSTATECZNY</w:t>
      </w:r>
    </w:p>
    <w:p w14:paraId="5FF4976A" w14:textId="77777777" w:rsidR="00E40055" w:rsidRDefault="00E40055" w:rsidP="00E40055">
      <w:pPr>
        <w:pStyle w:val="jucase0"/>
        <w:ind w:firstLine="0"/>
        <w:jc w:val="center"/>
        <w:rPr>
          <w:color w:val="FF0000"/>
          <w:sz w:val="28"/>
          <w:szCs w:val="28"/>
          <w:u w:val="single"/>
        </w:rPr>
      </w:pPr>
    </w:p>
    <w:p w14:paraId="4561A356" w14:textId="77777777" w:rsidR="00E40055" w:rsidRDefault="00E40055" w:rsidP="00E40055">
      <w:pPr>
        <w:pStyle w:val="jupara"/>
        <w:ind w:firstLine="0"/>
        <w:jc w:val="center"/>
        <w:rPr>
          <w:color w:val="FF0000"/>
          <w:sz w:val="28"/>
          <w:szCs w:val="28"/>
        </w:rPr>
      </w:pPr>
      <w:r>
        <w:rPr>
          <w:color w:val="FF0000"/>
          <w:sz w:val="28"/>
          <w:szCs w:val="28"/>
        </w:rPr>
        <w:t>09.09.2019 r.</w:t>
      </w:r>
    </w:p>
    <w:p w14:paraId="4DC3EE50" w14:textId="77777777" w:rsidR="00E40055" w:rsidRDefault="00E40055" w:rsidP="00E40055">
      <w:pPr>
        <w:pStyle w:val="jupara"/>
        <w:ind w:firstLine="0"/>
        <w:jc w:val="center"/>
      </w:pPr>
    </w:p>
    <w:p w14:paraId="709A4542" w14:textId="77777777" w:rsidR="003136CE" w:rsidRPr="00E40055" w:rsidRDefault="00E40055" w:rsidP="00E40055">
      <w:pPr>
        <w:pStyle w:val="JuCase"/>
        <w:ind w:firstLine="0"/>
        <w:jc w:val="center"/>
        <w:rPr>
          <w:b w:val="0"/>
          <w:i/>
          <w:sz w:val="22"/>
        </w:rPr>
      </w:pPr>
      <w:r>
        <w:rPr>
          <w:b w:val="0"/>
          <w:i/>
          <w:iCs/>
          <w:sz w:val="22"/>
        </w:rPr>
        <w:t>Wyrok stał się ostateczny zgodnie z warunkami określonymi w art. 44 ust. 2 Konwencji. Może podlegać korekcie wydawniczej.</w:t>
      </w:r>
    </w:p>
    <w:p w14:paraId="695FD8C7" w14:textId="77777777" w:rsidR="003136CE" w:rsidRPr="00E40055" w:rsidRDefault="003136CE" w:rsidP="009548E3">
      <w:pPr>
        <w:pStyle w:val="ECHRPara"/>
        <w:sectPr w:rsidR="003136CE" w:rsidRPr="00E40055" w:rsidSect="003136CE">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14:paraId="1D0C4866" w14:textId="77777777" w:rsidR="00014566" w:rsidRPr="009548E3" w:rsidRDefault="00014566" w:rsidP="009548E3">
      <w:pPr>
        <w:pStyle w:val="JuCase"/>
        <w:rPr>
          <w:bCs/>
        </w:rPr>
      </w:pPr>
      <w:r>
        <w:lastRenderedPageBreak/>
        <w:t>W sprawie V.D. i Inni przeciwko Rosji,</w:t>
      </w:r>
    </w:p>
    <w:p w14:paraId="7B423F6D" w14:textId="77777777" w:rsidR="00014566" w:rsidRPr="009548E3" w:rsidRDefault="00014566" w:rsidP="009548E3">
      <w:pPr>
        <w:pStyle w:val="ECHRPara"/>
      </w:pPr>
      <w:r>
        <w:t>Europejski Trybunał Praw Człowieka (Sekcja Trzecia), zasiadając jako Izba w składzie:</w:t>
      </w:r>
    </w:p>
    <w:p w14:paraId="378838A7" w14:textId="77777777" w:rsidR="00014566" w:rsidRPr="009548E3" w:rsidRDefault="003136CE" w:rsidP="009548E3">
      <w:pPr>
        <w:pStyle w:val="ECHRDecisionBody"/>
      </w:pPr>
      <w:r>
        <w:tab/>
        <w:t>Vincent A. De Gaetano,</w:t>
      </w:r>
      <w:r>
        <w:rPr>
          <w:i/>
        </w:rPr>
        <w:t xml:space="preserve"> Przewodniczący,</w:t>
      </w:r>
      <w:r>
        <w:rPr>
          <w:i/>
        </w:rPr>
        <w:br/>
      </w:r>
      <w:r>
        <w:tab/>
        <w:t xml:space="preserve">Branko </w:t>
      </w:r>
      <w:proofErr w:type="spellStart"/>
      <w:r>
        <w:t>Lubarda</w:t>
      </w:r>
      <w:proofErr w:type="spellEnd"/>
      <w:r>
        <w:t>,</w:t>
      </w:r>
      <w:r>
        <w:rPr>
          <w:i/>
        </w:rPr>
        <w:br/>
      </w:r>
      <w:r>
        <w:tab/>
        <w:t>Helen Keller,</w:t>
      </w:r>
      <w:r>
        <w:rPr>
          <w:i/>
        </w:rPr>
        <w:br/>
      </w:r>
      <w:r>
        <w:tab/>
      </w:r>
      <w:proofErr w:type="spellStart"/>
      <w:r>
        <w:t>Dmitry</w:t>
      </w:r>
      <w:proofErr w:type="spellEnd"/>
      <w:r>
        <w:t xml:space="preserve"> </w:t>
      </w:r>
      <w:proofErr w:type="spellStart"/>
      <w:r>
        <w:t>Dedov</w:t>
      </w:r>
      <w:proofErr w:type="spellEnd"/>
      <w:r>
        <w:t>,</w:t>
      </w:r>
      <w:r>
        <w:rPr>
          <w:i/>
        </w:rPr>
        <w:br/>
      </w:r>
      <w:r>
        <w:tab/>
      </w:r>
      <w:proofErr w:type="spellStart"/>
      <w:r>
        <w:t>Pere</w:t>
      </w:r>
      <w:proofErr w:type="spellEnd"/>
      <w:r>
        <w:t xml:space="preserve"> Pastor </w:t>
      </w:r>
      <w:proofErr w:type="spellStart"/>
      <w:r>
        <w:t>Vilanova</w:t>
      </w:r>
      <w:proofErr w:type="spellEnd"/>
      <w:r>
        <w:t>,</w:t>
      </w:r>
      <w:r>
        <w:rPr>
          <w:i/>
        </w:rPr>
        <w:br/>
      </w:r>
      <w:r>
        <w:tab/>
        <w:t xml:space="preserve">Georgios A. </w:t>
      </w:r>
      <w:proofErr w:type="spellStart"/>
      <w:r>
        <w:t>Serghides</w:t>
      </w:r>
      <w:proofErr w:type="spellEnd"/>
      <w:r>
        <w:t>,</w:t>
      </w:r>
      <w:r>
        <w:rPr>
          <w:i/>
        </w:rPr>
        <w:br/>
      </w:r>
      <w:r>
        <w:tab/>
      </w:r>
      <w:proofErr w:type="spellStart"/>
      <w:r>
        <w:t>Jolien</w:t>
      </w:r>
      <w:proofErr w:type="spellEnd"/>
      <w:r>
        <w:t xml:space="preserve"> </w:t>
      </w:r>
      <w:proofErr w:type="spellStart"/>
      <w:r>
        <w:t>Schukking</w:t>
      </w:r>
      <w:proofErr w:type="spellEnd"/>
      <w:r>
        <w:t>,</w:t>
      </w:r>
      <w:r>
        <w:rPr>
          <w:i/>
        </w:rPr>
        <w:t xml:space="preserve"> sędziowie,</w:t>
      </w:r>
      <w:r>
        <w:br/>
        <w:t xml:space="preserve">oraz Stephen Phillips, </w:t>
      </w:r>
      <w:r>
        <w:rPr>
          <w:i/>
        </w:rPr>
        <w:t xml:space="preserve">Kanclerz </w:t>
      </w:r>
      <w:r>
        <w:rPr>
          <w:i/>
          <w:iCs/>
        </w:rPr>
        <w:t>Sekcji</w:t>
      </w:r>
      <w:r>
        <w:rPr>
          <w:i/>
        </w:rPr>
        <w:t>,</w:t>
      </w:r>
    </w:p>
    <w:p w14:paraId="7FF22279" w14:textId="77777777" w:rsidR="00014566" w:rsidRPr="009548E3" w:rsidRDefault="00014566" w:rsidP="009548E3">
      <w:pPr>
        <w:pStyle w:val="ECHRPara"/>
      </w:pPr>
      <w:r>
        <w:t>obradując na posiedzeniu niejawnym w dniu 19 marca 2019 r.</w:t>
      </w:r>
    </w:p>
    <w:p w14:paraId="07218AED" w14:textId="77777777" w:rsidR="00014566" w:rsidRPr="009548E3" w:rsidRDefault="00014566" w:rsidP="009548E3">
      <w:pPr>
        <w:pStyle w:val="ECHRPara"/>
      </w:pPr>
      <w:r>
        <w:t>wydaje następujący wyrok, który w tym dniu został przyjęty:</w:t>
      </w:r>
    </w:p>
    <w:p w14:paraId="2CDB4917" w14:textId="77777777" w:rsidR="00014566" w:rsidRPr="009548E3" w:rsidRDefault="00014566" w:rsidP="009548E3">
      <w:pPr>
        <w:pStyle w:val="ECHRTitle1"/>
      </w:pPr>
      <w:r>
        <w:t>POSTĘPOWANIE</w:t>
      </w:r>
    </w:p>
    <w:p w14:paraId="738FCA86" w14:textId="188834C9" w:rsidR="00014566" w:rsidRPr="009548E3" w:rsidRDefault="007310C2" w:rsidP="009548E3">
      <w:pPr>
        <w:pStyle w:val="ECHRPara"/>
      </w:pPr>
      <w:fldSimple w:instr=" SEQ level0 \*arabic ">
        <w:r w:rsidR="00403504">
          <w:rPr>
            <w:noProof/>
          </w:rPr>
          <w:t>1</w:t>
        </w:r>
      </w:fldSimple>
      <w:r w:rsidR="00EB2676">
        <w:t>.  Sprawa wywodzi się ze skargi (nr 72931/10) przeciwko Federacji Rosyjskiej, wniesionej do Trybunału w dniu 6 grudnia 2010 r. na podstawie art. 34 Konwencji o ochronie praw człowieka i podstawowych wolności („Konwencji”) przez ośmioro obywateli rosyjskich (wymienionych w załączniku) („skarżących”). Przedmiotową skargę pierwsza skarżąca wniosła także w imieniu R., obywatela rosyjskiego urodzonego w 2000 r.</w:t>
      </w:r>
    </w:p>
    <w:p w14:paraId="6E596858" w14:textId="287F2548" w:rsidR="00662216" w:rsidRPr="009548E3" w:rsidRDefault="007310C2" w:rsidP="009548E3">
      <w:pPr>
        <w:pStyle w:val="ECHRPara"/>
      </w:pPr>
      <w:fldSimple w:instr=" SEQ level0 \*arabic ">
        <w:r w:rsidR="00403504">
          <w:rPr>
            <w:noProof/>
          </w:rPr>
          <w:t>2</w:t>
        </w:r>
      </w:fldSimple>
      <w:r w:rsidR="00EB2676">
        <w:t>.  Pierwsza skarżąca wystąpiła w imieniu własnym oraz reprezentowała pozostałych siedmioro skarżących. Rząd rosyjski („Rząd”) początkowo był reprezentowany przez p. G. </w:t>
      </w:r>
      <w:proofErr w:type="spellStart"/>
      <w:r w:rsidR="00EB2676">
        <w:t>Matyushkina</w:t>
      </w:r>
      <w:proofErr w:type="spellEnd"/>
      <w:r w:rsidR="00EB2676">
        <w:t>, przedstawiciela Federacji Rosyjskiej w Europejskim Trybunale Praw Człowieka, a następnie przez jego następcę na tym stanowisku, p. V. </w:t>
      </w:r>
      <w:proofErr w:type="spellStart"/>
      <w:r w:rsidR="00EB2676">
        <w:t>Galperina</w:t>
      </w:r>
      <w:proofErr w:type="spellEnd"/>
      <w:r w:rsidR="00EB2676">
        <w:t>.</w:t>
      </w:r>
    </w:p>
    <w:p w14:paraId="7704E6EF" w14:textId="5214CEC4" w:rsidR="00014566" w:rsidRPr="009548E3" w:rsidRDefault="007310C2" w:rsidP="009548E3">
      <w:pPr>
        <w:pStyle w:val="ECHRPara"/>
      </w:pPr>
      <w:fldSimple w:instr=" SEQ level0 \*arabic ">
        <w:r w:rsidR="00403504">
          <w:rPr>
            <w:noProof/>
          </w:rPr>
          <w:t>3</w:t>
        </w:r>
      </w:fldSimple>
      <w:r w:rsidR="00EB2676">
        <w:t xml:space="preserve">.  Skarżący zarzucili w szczególności, że ustanie opieki pierwszej skarżącej nad R. i przekazanie dziecka jego </w:t>
      </w:r>
      <w:r w:rsidR="00072CBD">
        <w:t xml:space="preserve">rodzicom </w:t>
      </w:r>
      <w:r w:rsidR="00EB2676">
        <w:t xml:space="preserve">biologicznym oraz odmowa </w:t>
      </w:r>
      <w:r w:rsidR="0078611D">
        <w:t>kontaktu</w:t>
      </w:r>
      <w:r w:rsidR="00EB2676">
        <w:t xml:space="preserve"> </w:t>
      </w:r>
      <w:r w:rsidR="0078611D">
        <w:t>z</w:t>
      </w:r>
      <w:r w:rsidR="00EB2676">
        <w:t xml:space="preserve"> R. naruszyło ich prawo do poszanowania życia rodzinnego zagwarantowane art. 8 Konwencji.</w:t>
      </w:r>
    </w:p>
    <w:p w14:paraId="121C5F7B" w14:textId="5549408B" w:rsidR="00014566" w:rsidRPr="009548E3" w:rsidRDefault="007310C2" w:rsidP="009548E3">
      <w:pPr>
        <w:pStyle w:val="ECHRPara"/>
      </w:pPr>
      <w:fldSimple w:instr=" SEQ level0 \*arabic ">
        <w:r w:rsidR="00403504">
          <w:rPr>
            <w:noProof/>
          </w:rPr>
          <w:t>4</w:t>
        </w:r>
      </w:fldSimple>
      <w:r w:rsidR="00EB2676">
        <w:t>.  W dniu 26 września 2012 r. sprawa została zakomunikowana Rządowi.</w:t>
      </w:r>
    </w:p>
    <w:p w14:paraId="6587A083" w14:textId="480DEE76" w:rsidR="00AB4A1E" w:rsidRPr="009548E3" w:rsidRDefault="007310C2" w:rsidP="009548E3">
      <w:pPr>
        <w:pStyle w:val="ECHRPara"/>
      </w:pPr>
      <w:fldSimple w:instr=" SEQ level0 \*arabic ">
        <w:r w:rsidR="00403504">
          <w:rPr>
            <w:noProof/>
          </w:rPr>
          <w:t>5</w:t>
        </w:r>
      </w:fldSimple>
      <w:r w:rsidR="00AB4A1E">
        <w:t xml:space="preserve">.  W dniu 19 marca 2019 r. Izba z urzędu przyznała skarżącym anonimowość (art. 47 </w:t>
      </w:r>
      <w:r w:rsidR="008336BF" w:rsidRPr="009548E3">
        <w:t>§</w:t>
      </w:r>
      <w:r w:rsidR="008336BF">
        <w:t xml:space="preserve"> </w:t>
      </w:r>
      <w:r w:rsidR="00AB4A1E">
        <w:t>4 Regulaminu Trybunału).</w:t>
      </w:r>
    </w:p>
    <w:p w14:paraId="1F25AF96" w14:textId="77777777" w:rsidR="00014566" w:rsidRPr="009548E3" w:rsidRDefault="00014566" w:rsidP="009548E3">
      <w:pPr>
        <w:pStyle w:val="ECHRTitle1"/>
      </w:pPr>
      <w:r>
        <w:t>STAN FAKTYCZNY</w:t>
      </w:r>
    </w:p>
    <w:p w14:paraId="03CDD9D9" w14:textId="77777777" w:rsidR="00014566" w:rsidRPr="009548E3" w:rsidRDefault="00014566" w:rsidP="009548E3">
      <w:pPr>
        <w:pStyle w:val="ECHRHeading1"/>
      </w:pPr>
      <w:r>
        <w:t>I. OKOLICZNOŚCI SPRAWY</w:t>
      </w:r>
    </w:p>
    <w:p w14:paraId="0B2B10D5" w14:textId="48B9844C" w:rsidR="00014566" w:rsidRPr="009548E3" w:rsidRDefault="007310C2" w:rsidP="009548E3">
      <w:pPr>
        <w:pStyle w:val="ECHRPara"/>
      </w:pPr>
      <w:fldSimple w:instr=" SEQ level0 \*arabic ">
        <w:r w:rsidR="00403504">
          <w:rPr>
            <w:noProof/>
          </w:rPr>
          <w:t>6</w:t>
        </w:r>
      </w:fldSimple>
      <w:r w:rsidR="00662216">
        <w:t>.  Skarżący mieszkają w Astrachaniu.</w:t>
      </w:r>
    </w:p>
    <w:p w14:paraId="0E317B4C" w14:textId="5981F424" w:rsidR="00053908" w:rsidRPr="009548E3" w:rsidRDefault="007310C2" w:rsidP="009548E3">
      <w:pPr>
        <w:pStyle w:val="ECHRPara"/>
      </w:pPr>
      <w:fldSimple w:instr=" SEQ level0 \*arabic ">
        <w:r w:rsidR="00403504">
          <w:rPr>
            <w:noProof/>
          </w:rPr>
          <w:t>7</w:t>
        </w:r>
      </w:fldSimple>
      <w:r w:rsidR="00662216">
        <w:t>.  Pierwsza skarżąca była lub jest opiekunem (rodzicem zastępczym) pozostałych skarżących (od drugiego do ósmego). R. był małoletnim</w:t>
      </w:r>
      <w:r w:rsidR="008336BF">
        <w:t>, który</w:t>
      </w:r>
      <w:r w:rsidR="00662216">
        <w:t xml:space="preserve"> </w:t>
      </w:r>
      <w:r w:rsidR="008336BF">
        <w:t xml:space="preserve">pozostawał </w:t>
      </w:r>
      <w:r w:rsidR="00662216">
        <w:t xml:space="preserve">pod opieką pierwszej skarżącej </w:t>
      </w:r>
      <w:r w:rsidR="008336BF">
        <w:t xml:space="preserve">w okresie </w:t>
      </w:r>
      <w:r w:rsidR="00662216">
        <w:t>od 20 lipca 2001 r. do 26 lipca 2010 r.</w:t>
      </w:r>
    </w:p>
    <w:p w14:paraId="1B53C3C4" w14:textId="6B33D767" w:rsidR="00053908" w:rsidRPr="009548E3" w:rsidRDefault="007310C2" w:rsidP="009548E3">
      <w:pPr>
        <w:pStyle w:val="ECHRPara"/>
      </w:pPr>
      <w:fldSimple w:instr=" SEQ level0 \*arabic ">
        <w:r w:rsidR="00403504">
          <w:rPr>
            <w:noProof/>
          </w:rPr>
          <w:t>8</w:t>
        </w:r>
      </w:fldSimple>
      <w:r w:rsidR="00EB2676">
        <w:t xml:space="preserve">.  Przy </w:t>
      </w:r>
      <w:r w:rsidR="008336BF">
        <w:t xml:space="preserve">porodzie </w:t>
      </w:r>
      <w:r w:rsidR="00EB2676">
        <w:t xml:space="preserve">u R. zdiagnozowano kilka poważnych schorzeń. Pierwsze osiem miesięcy życia R. spędził w szpitalu. Ponieważ stan dziecka wciąż był bardzo poważny i niestabilny, jego </w:t>
      </w:r>
      <w:r w:rsidR="00072CBD">
        <w:t xml:space="preserve">rodzice </w:t>
      </w:r>
      <w:r w:rsidR="00EB2676">
        <w:t>biologiczni uznali się za niezdolnych do zaspokojenia jego potrzeb i zgodzili się na oddanie syna pod opiekę pierwszej skarżącej</w:t>
      </w:r>
      <w:r w:rsidR="008336BF">
        <w:t>,</w:t>
      </w:r>
      <w:r w:rsidR="00EB2676">
        <w:t xml:space="preserve"> która miała kwalifikacje medyczne i była doświadczonym pediatrą.</w:t>
      </w:r>
    </w:p>
    <w:p w14:paraId="7789EFAC" w14:textId="64F5FD89" w:rsidR="00587A1D" w:rsidRPr="009548E3" w:rsidRDefault="007310C2" w:rsidP="009548E3">
      <w:pPr>
        <w:pStyle w:val="ECHRPara"/>
      </w:pPr>
      <w:fldSimple w:instr=" SEQ level0 \*arabic ">
        <w:r w:rsidR="00403504">
          <w:rPr>
            <w:noProof/>
          </w:rPr>
          <w:t>9</w:t>
        </w:r>
      </w:fldSimple>
      <w:r w:rsidR="00EB2676">
        <w:t>.  W dniu 20 lipca 2001 r. pierwsza skarżąca zabrała R. ze szpitala i przywiozła go do swojego miejsca zamieszkania.</w:t>
      </w:r>
    </w:p>
    <w:bookmarkStart w:id="0" w:name="Dec23Nov2001"/>
    <w:p w14:paraId="01BC7F8A" w14:textId="4436D805" w:rsidR="00053908"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10</w:t>
      </w:r>
      <w:r w:rsidRPr="009548E3">
        <w:fldChar w:fldCharType="end"/>
      </w:r>
      <w:bookmarkEnd w:id="0"/>
      <w:r>
        <w:t xml:space="preserve">.  W dniu 23 listopada 2001 r. właściwa Rada Rejonowa dla rejonu </w:t>
      </w:r>
      <w:proofErr w:type="spellStart"/>
      <w:r>
        <w:t>Trusovskiy</w:t>
      </w:r>
      <w:proofErr w:type="spellEnd"/>
      <w:r>
        <w:t xml:space="preserve"> w Astrachaniu wyznaczyła pierwszą skarżącą na opiekuna R. W treści decyzji stwierdzono, że rodzice R. nie byli w stanie zapewnić właściwej opieki swojemu dziecku, które cierpiało na poważne choroby wrodzone, w związku z czym wyrazili pisemną zgodę na opiekę pierwszej skarżącej nad R. oraz na przekazanie jej dziecka.</w:t>
      </w:r>
    </w:p>
    <w:bookmarkStart w:id="1" w:name="FosterCareOfOtherApplicants"/>
    <w:p w14:paraId="377593E5" w14:textId="5B46FF51" w:rsidR="00834878"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11</w:t>
      </w:r>
      <w:r w:rsidRPr="009548E3">
        <w:fldChar w:fldCharType="end"/>
      </w:r>
      <w:bookmarkEnd w:id="1"/>
      <w:r>
        <w:t>.  W różnych terminach w okresie od 2003 do 2009 roku pierwsza skarżąca została także wyznaczona na opiekuna pozostałych skarżących – od drugiego do ósmego.</w:t>
      </w:r>
    </w:p>
    <w:p w14:paraId="34B78BF7" w14:textId="344C561D" w:rsidR="003A5F72" w:rsidRPr="009548E3" w:rsidRDefault="007310C2" w:rsidP="009548E3">
      <w:pPr>
        <w:pStyle w:val="ECHRPara"/>
      </w:pPr>
      <w:fldSimple w:instr=" SEQ level0 \*arabic ">
        <w:r w:rsidR="00403504">
          <w:rPr>
            <w:noProof/>
          </w:rPr>
          <w:t>12</w:t>
        </w:r>
      </w:fldSimple>
      <w:r w:rsidR="00EB2676">
        <w:t>.  W latach 2001-2007 pierwsza skarżąca i rodzice R. utrzymywali dobre stosunki.</w:t>
      </w:r>
    </w:p>
    <w:p w14:paraId="00815010" w14:textId="3EEF71CA" w:rsidR="001C6914" w:rsidRPr="009548E3" w:rsidRDefault="007310C2" w:rsidP="009548E3">
      <w:pPr>
        <w:pStyle w:val="ECHRPara"/>
      </w:pPr>
      <w:fldSimple w:instr=" SEQ level0 \*arabic ">
        <w:r w:rsidR="00403504">
          <w:rPr>
            <w:noProof/>
          </w:rPr>
          <w:t>13</w:t>
        </w:r>
      </w:fldSimple>
      <w:r w:rsidR="00EB2676">
        <w:t>.  W 2007 roku stan zdrowia R. ustabilizował się, a jego rodzice wyrazili chęć ponownego zajęcia się dzieckiem. Pierwsza skarżąca odmówiła zwrotu chłopca.</w:t>
      </w:r>
    </w:p>
    <w:p w14:paraId="7BE9144E" w14:textId="77777777" w:rsidR="00053908" w:rsidRPr="009548E3" w:rsidRDefault="00053908" w:rsidP="009548E3">
      <w:pPr>
        <w:pStyle w:val="ECHRHeading2"/>
      </w:pPr>
      <w:r>
        <w:t>A. Postępowanie w sprawie pozbawienia władzy rodzicielskiej</w:t>
      </w:r>
    </w:p>
    <w:p w14:paraId="37BCF1C5" w14:textId="52272571" w:rsidR="00BA5412" w:rsidRPr="009548E3" w:rsidRDefault="007310C2" w:rsidP="009548E3">
      <w:pPr>
        <w:pStyle w:val="ECHRPara"/>
      </w:pPr>
      <w:fldSimple w:instr=" SEQ level0 \*arabic ">
        <w:r w:rsidR="00403504">
          <w:rPr>
            <w:noProof/>
          </w:rPr>
          <w:t>14</w:t>
        </w:r>
      </w:fldSimple>
      <w:r w:rsidR="00EB2676">
        <w:t xml:space="preserve">.  W bliżej nieokreślonym dniu pierwsza skarżąca </w:t>
      </w:r>
      <w:r w:rsidR="008336BF">
        <w:t>wystąpiła z wnioskiem</w:t>
      </w:r>
      <w:r w:rsidR="00EB2676">
        <w:t xml:space="preserve"> o pozbawienie </w:t>
      </w:r>
      <w:r w:rsidR="008336BF">
        <w:t xml:space="preserve">rodziców R. </w:t>
      </w:r>
      <w:r w:rsidR="00EB2676">
        <w:t>władzy rodzicielskiej nad chłopcem. Twierdziła, że</w:t>
      </w:r>
      <w:r w:rsidR="008336BF">
        <w:t xml:space="preserve"> </w:t>
      </w:r>
      <w:r w:rsidR="00EB2676">
        <w:t xml:space="preserve">​wkrótce po urodzeniu R. rodzice zostawili </w:t>
      </w:r>
      <w:r w:rsidR="008336BF">
        <w:t>g</w:t>
      </w:r>
      <w:r w:rsidR="00EB2676">
        <w:t>o w szpitalu dziecięcym</w:t>
      </w:r>
      <w:r w:rsidR="008336BF">
        <w:t>,</w:t>
      </w:r>
      <w:r w:rsidR="00EB2676">
        <w:t xml:space="preserve"> nie interesowali się jego życiem, zdrowiem ani rozwojem</w:t>
      </w:r>
      <w:r w:rsidR="008336BF">
        <w:t xml:space="preserve">, </w:t>
      </w:r>
      <w:r w:rsidR="00EB2676">
        <w:t xml:space="preserve">nie odwiedzali go oraz że wsparcie finansowe, którego udzielili, było niewystarczające, biorąc pod uwagę szczególne potrzeby dziecka. Według pierwszej skarżącej rodzice R. wyrazili teraz zainteresowanie chłopcem wyłącznie </w:t>
      </w:r>
      <w:r w:rsidR="00DA0897">
        <w:t>z</w:t>
      </w:r>
      <w:r w:rsidR="00EB2676">
        <w:t xml:space="preserve"> </w:t>
      </w:r>
      <w:r w:rsidR="00DA0897">
        <w:t xml:space="preserve">zamiarem </w:t>
      </w:r>
      <w:r w:rsidR="00EB2676">
        <w:t>poprawy swoich warunków bytowych, ponieważ sprawowanie opieki nad niepełnosprawnym dzieckiem może uprawniać ich do lepszego mieszkania socjalnego. Pierwsza skarżąca utrzymywała, że rodzice R. unikali swoich obowiązków rodzicielskich i w związku z tym powinni zostać pozbawieni władzy rodzicielskiej nad R.</w:t>
      </w:r>
    </w:p>
    <w:bookmarkStart w:id="2" w:name="CCAREAuthorityBadParents"/>
    <w:p w14:paraId="6693D420" w14:textId="38340A73" w:rsidR="00053908"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15</w:t>
      </w:r>
      <w:r w:rsidRPr="009548E3">
        <w:fldChar w:fldCharType="end"/>
      </w:r>
      <w:bookmarkEnd w:id="2"/>
      <w:r>
        <w:t xml:space="preserve">.  W postępowaniu przed sądem pierwszej instancji Ministerstwo Edukacji i Nauki obwodu astrachańskiego (zwane dalej „organem ds. opieki nad dziećmi”) przedstawiło opinię biegłego w sprawie, w treści której </w:t>
      </w:r>
      <w:r>
        <w:lastRenderedPageBreak/>
        <w:t xml:space="preserve">stwierdzono, że rodzice R. „nie wykazali </w:t>
      </w:r>
      <w:r w:rsidR="00DA0897">
        <w:t xml:space="preserve">żadnego </w:t>
      </w:r>
      <w:r>
        <w:t xml:space="preserve">zainteresowania jego życiem ani stanem zdrowia, nie brali udziału w jego wychowaniu, nie zapewniali żadnych świadczeń </w:t>
      </w:r>
      <w:r w:rsidR="00DA0897">
        <w:t xml:space="preserve">pieniężnych </w:t>
      </w:r>
      <w:r>
        <w:t xml:space="preserve">i </w:t>
      </w:r>
      <w:r w:rsidR="00DA0897">
        <w:t>postanowili nie wywiązywać się z</w:t>
      </w:r>
      <w:r>
        <w:t xml:space="preserve"> obowiązków rodzicielskich”. W podsumowaniu opinii uznano, że należy ich pozbawić władzy rodzicielskiej.</w:t>
      </w:r>
    </w:p>
    <w:bookmarkStart w:id="3" w:name="Jud11Nov2008ParentsNotAbandonR"/>
    <w:p w14:paraId="503DCD5B" w14:textId="5970837C" w:rsidR="006668EB"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16</w:t>
      </w:r>
      <w:r w:rsidRPr="009548E3">
        <w:fldChar w:fldCharType="end"/>
      </w:r>
      <w:bookmarkEnd w:id="3"/>
      <w:r>
        <w:t xml:space="preserve">.  W dniu 11 listopada 2008 </w:t>
      </w:r>
      <w:r w:rsidR="00DA0897">
        <w:t xml:space="preserve">r. </w:t>
      </w:r>
      <w:r>
        <w:t xml:space="preserve">sąd rejonowy dla rejonu </w:t>
      </w:r>
      <w:proofErr w:type="spellStart"/>
      <w:r>
        <w:t>Trusovskiy</w:t>
      </w:r>
      <w:proofErr w:type="spellEnd"/>
      <w:r>
        <w:t xml:space="preserve"> w Astrachaniu („sąd rejonowy”) oddalił </w:t>
      </w:r>
      <w:r w:rsidR="00DA0897">
        <w:t xml:space="preserve">wniosek </w:t>
      </w:r>
      <w:r>
        <w:t xml:space="preserve">pierwszej skarżącej. W szczególności odrzucił jako bezzasadny argument pierwszej skarżącej, że rodzice R. porzucili go w szpitalu dziecięcym; sąd zauważył w związku z tym, że nie przedstawiono żadnych dowodów – ani w postaci pisemnych oświadczeń rodziców R., ani zaświadczeń z </w:t>
      </w:r>
      <w:r w:rsidR="00DA0897">
        <w:t xml:space="preserve">jakiejkolwiek </w:t>
      </w:r>
      <w:r>
        <w:t xml:space="preserve">placówki opieki zdrowotnej – wskazujących, że rodzice R. kiedykolwiek formalnie zrzekli się władzy rodzicielskiej nad chłopcem. Sąd zauważył ponadto, że decyzja o przekazaniu syna pod opiekę pierwszej skarżącej została podjęta przez rodziców dziecka w bardzo trudnym okresie ich życia, kiedy znaleźli się w bardzo stresującej sytuacji </w:t>
      </w:r>
      <w:r w:rsidR="00746A90">
        <w:t>wywołanej brakiem możliwości</w:t>
      </w:r>
      <w:r>
        <w:t xml:space="preserve"> samodzielnego zaspokojenia potrzeb syna.</w:t>
      </w:r>
    </w:p>
    <w:p w14:paraId="6DFBEDF4" w14:textId="46FCDC82" w:rsidR="00280A08" w:rsidRPr="009548E3" w:rsidRDefault="007310C2" w:rsidP="009548E3">
      <w:pPr>
        <w:pStyle w:val="ECHRPara"/>
      </w:pPr>
      <w:fldSimple w:instr=" SEQ level0 \*arabic ">
        <w:r w:rsidR="00403504">
          <w:rPr>
            <w:noProof/>
          </w:rPr>
          <w:t>17</w:t>
        </w:r>
      </w:fldSimple>
      <w:r w:rsidR="00EB2676">
        <w:t xml:space="preserve">.  Sąd rejonowy odrzucił również zarzut pierwszej skarżącej dotyczący braku chęci lub zaniechania odwiedzin syna ze strony rodziców R., mimo że nie było ku temu żadnych przeszkód. W związku z tym sąd zauważył, że pierwsza skarżąca miała negatywny stosunek do nieoczekiwanych wizyt rodziców R. i nigdy nie informowała ich o nieobecności dziecka w miejscu zamieszkania (w związku z wycieczkami i wyjazdami za granicę). Ponadto rodzice R. nie byli w stanie uzyskać informacji o stanie zdrowia R. od odpowiednich placówek opieki zdrowotnej, ponieważ na pisemny wniosek pierwszej skarżącej </w:t>
      </w:r>
      <w:r w:rsidR="007A74CA">
        <w:t xml:space="preserve">odmawiały </w:t>
      </w:r>
      <w:r w:rsidR="00EB2676">
        <w:t>one udzielenia rodzicom R. takich informacji.</w:t>
      </w:r>
    </w:p>
    <w:bookmarkStart w:id="4" w:name="ParentsPerformedTheirDuties"/>
    <w:p w14:paraId="74E497EF" w14:textId="63BCFB3F" w:rsidR="003A6A24" w:rsidRPr="009548E3" w:rsidRDefault="003A6A24" w:rsidP="009548E3">
      <w:pPr>
        <w:pStyle w:val="ECHRPara"/>
      </w:pPr>
      <w:r w:rsidRPr="009548E3">
        <w:fldChar w:fldCharType="begin"/>
      </w:r>
      <w:r w:rsidRPr="009548E3">
        <w:instrText xml:space="preserve"> SEQ level0 \*arabic </w:instrText>
      </w:r>
      <w:r w:rsidRPr="009548E3">
        <w:fldChar w:fldCharType="separate"/>
      </w:r>
      <w:r w:rsidR="00403504">
        <w:rPr>
          <w:noProof/>
        </w:rPr>
        <w:t>18</w:t>
      </w:r>
      <w:r w:rsidRPr="009548E3">
        <w:fldChar w:fldCharType="end"/>
      </w:r>
      <w:bookmarkEnd w:id="4"/>
      <w:r>
        <w:t>.  Sąd odniósł się również do zeznań licznych świadków, któr</w:t>
      </w:r>
      <w:r w:rsidR="007A74CA">
        <w:t>zy</w:t>
      </w:r>
      <w:r>
        <w:t xml:space="preserve"> potwierdzi</w:t>
      </w:r>
      <w:r w:rsidR="007A74CA">
        <w:t>li</w:t>
      </w:r>
      <w:r>
        <w:t xml:space="preserve">, że rodzice R. pomagali pierwszej skarżącej w utrzymaniu dziecka, zarówno finansowo, jak też </w:t>
      </w:r>
      <w:r w:rsidR="007A74CA">
        <w:t>zapewniając rozmaite świadczenia</w:t>
      </w:r>
      <w:r>
        <w:t xml:space="preserve">, o które prosiła pierwsza skarżąca; w szczególności wykonali prace konserwacyjne i naprawcze w mieszkaniu </w:t>
      </w:r>
      <w:r w:rsidR="007A74CA">
        <w:t>pierwszej skarżącej</w:t>
      </w:r>
      <w:r>
        <w:t>; zapewni</w:t>
      </w:r>
      <w:r w:rsidR="007A74CA">
        <w:t>a</w:t>
      </w:r>
      <w:r>
        <w:t xml:space="preserve">li prywatny transport R. na wizyty lekarskie; dostarczali lekarstwa i żywność </w:t>
      </w:r>
      <w:r w:rsidR="007A74CA">
        <w:t xml:space="preserve">dostosowaną </w:t>
      </w:r>
      <w:r>
        <w:t>do specjalnej diety R.; zab</w:t>
      </w:r>
      <w:r w:rsidR="007A74CA">
        <w:t>ierali</w:t>
      </w:r>
      <w:r>
        <w:t xml:space="preserve"> jego odzież do czyszczenia i </w:t>
      </w:r>
      <w:r w:rsidR="007A74CA">
        <w:t xml:space="preserve">przynosili </w:t>
      </w:r>
      <w:r>
        <w:t>czystą.</w:t>
      </w:r>
    </w:p>
    <w:bookmarkStart w:id="5" w:name="UrgeChangeUpbringingAttitude"/>
    <w:p w14:paraId="00A5940E" w14:textId="5C7494A7" w:rsidR="004642E3"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19</w:t>
      </w:r>
      <w:r w:rsidRPr="009548E3">
        <w:fldChar w:fldCharType="end"/>
      </w:r>
      <w:bookmarkEnd w:id="5"/>
      <w:r>
        <w:t>.  Sąd uznał ponadto, że pozbawienie władzy rodzicielskiej jest środkiem nadzwyczajnym, który może być zastosowany wyłącznie</w:t>
      </w:r>
      <w:r w:rsidR="007A74CA">
        <w:t>,</w:t>
      </w:r>
      <w:r>
        <w:t xml:space="preserve"> jeśli zachodzą przesłanki określone w art. 69 rosyjskiego kodeksu rodzinnego (zob. par. </w:t>
      </w:r>
      <w:r w:rsidR="007A74CA">
        <w:t xml:space="preserve">68 </w:t>
      </w:r>
      <w:r>
        <w:t xml:space="preserve">poniżej). W okolicznościach rozpatrywanej sprawy sąd nie dopatrzył się przesłanek uzasadniających taki środek. Jednocześnie sąd wezwał rodziców R. do „zmiany stosunku do wychowania [R.]” i nałożył na właściwy organ ds. opieki nad dziećmi obowiązek kontroli sprawowania przez nich obowiązków rodzicielskich”. Zauważył również, że wsparcie finansowe zapewnione przez </w:t>
      </w:r>
      <w:r w:rsidR="00072CBD">
        <w:t xml:space="preserve">rodziców </w:t>
      </w:r>
      <w:r>
        <w:t xml:space="preserve">biologicznych R. było </w:t>
      </w:r>
      <w:r>
        <w:lastRenderedPageBreak/>
        <w:t>niewystarczające i nakazał, aby płacili pierwszej skarżącej jedną czwartą ich miesięcznego dochodu tytułem alimentów na dziecko.</w:t>
      </w:r>
    </w:p>
    <w:p w14:paraId="6B2D83AC" w14:textId="7F77B30A" w:rsidR="00053908" w:rsidRPr="009548E3" w:rsidRDefault="007310C2" w:rsidP="009548E3">
      <w:pPr>
        <w:pStyle w:val="ECHRPara"/>
      </w:pPr>
      <w:fldSimple w:instr=" SEQ level0 \*arabic ">
        <w:r w:rsidR="00403504">
          <w:rPr>
            <w:noProof/>
          </w:rPr>
          <w:t>20</w:t>
        </w:r>
      </w:fldSimple>
      <w:r w:rsidR="00EB2676">
        <w:t xml:space="preserve">.  W dniu 12 marca 2009 r. sąd okręgowy w Astrachaniu („sąd okręgowy”) w postępowaniu apelacyjnym utrzymał w mocy </w:t>
      </w:r>
      <w:r w:rsidR="007A74CA">
        <w:t xml:space="preserve">postanowienie </w:t>
      </w:r>
      <w:r w:rsidR="00EB2676">
        <w:t>sądu pierwszej instancji.</w:t>
      </w:r>
    </w:p>
    <w:p w14:paraId="4C214C3B" w14:textId="2032F593" w:rsidR="007C44A4" w:rsidRPr="009548E3" w:rsidRDefault="00396AF2" w:rsidP="009548E3">
      <w:pPr>
        <w:pStyle w:val="ECHRHeading2"/>
      </w:pPr>
      <w:r>
        <w:t>B. Pierwsze postępowanie dotyczące ustalenia miejsca zamieszkania R</w:t>
      </w:r>
      <w:r w:rsidR="007A74CA">
        <w:t>.</w:t>
      </w:r>
    </w:p>
    <w:p w14:paraId="34764448" w14:textId="4F700EEC" w:rsidR="006668EB" w:rsidRPr="009548E3" w:rsidRDefault="007310C2" w:rsidP="009548E3">
      <w:pPr>
        <w:pStyle w:val="ECHRPara"/>
      </w:pPr>
      <w:fldSimple w:instr=" SEQ level0 \*arabic ">
        <w:r w:rsidR="00403504">
          <w:rPr>
            <w:noProof/>
          </w:rPr>
          <w:t>21</w:t>
        </w:r>
      </w:fldSimple>
      <w:r w:rsidR="00EB2676">
        <w:t>.  </w:t>
      </w:r>
      <w:r w:rsidR="007A74CA">
        <w:t xml:space="preserve">W dniu </w:t>
      </w:r>
      <w:r w:rsidR="00EB2676">
        <w:t>26 lutego 2009 r. sąd rejonowy oddalił wniosek rodziców R. o zwrot syna.</w:t>
      </w:r>
    </w:p>
    <w:bookmarkStart w:id="6" w:name="TiesRandFirstApplicantOne"/>
    <w:p w14:paraId="3826579F" w14:textId="7CED6064" w:rsidR="006668EB"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22</w:t>
      </w:r>
      <w:r w:rsidRPr="009548E3">
        <w:fldChar w:fldCharType="end"/>
      </w:r>
      <w:bookmarkEnd w:id="6"/>
      <w:r>
        <w:t>.  Ustalił w szczególności, że pierwsza skarżąca dobrze opiekowała się R.; czynnie zaangażowała odpowiednich specjalistów z zakresu opieki zdrowotnej, aby zapewnić mu wymagane leczenie i stałą opiekę; stworzyła mu wszelkie warunki do życia i rozwoju, z uwzględnieniem jego szczególnych potrzeb. Sąd zauważył również, że w okresie, w którym R. pozostawał pod opieką pierwszej skarżącej, nastąpiła poprawa jego stanu zdrowia oraz postęp w jego rozwoju fizycznym i psychicznym. Ponadto odniósł się do dowodów potwierdzających, że przybrane dzieci pierwszej skarżącej żyły w dobrych warunkach, bawiły się ze sobą w grupie, a ich zajęcia rekreacyjne były dobrze zorganizowane i obejmowały grupowe wycieczki przyrodnicze.</w:t>
      </w:r>
    </w:p>
    <w:bookmarkStart w:id="7" w:name="Jud29Feb2009ParentsNoInterest"/>
    <w:p w14:paraId="31FC43F5" w14:textId="297236C7" w:rsidR="00EA2407"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23</w:t>
      </w:r>
      <w:r w:rsidRPr="009548E3">
        <w:fldChar w:fldCharType="end"/>
      </w:r>
      <w:bookmarkEnd w:id="7"/>
      <w:r>
        <w:t xml:space="preserve">.  Sąd rejonowy ustalił również, na </w:t>
      </w:r>
      <w:r w:rsidR="00616054">
        <w:t xml:space="preserve">podstawie </w:t>
      </w:r>
      <w:r>
        <w:t>dostępn</w:t>
      </w:r>
      <w:r w:rsidR="00616054">
        <w:t>ych</w:t>
      </w:r>
      <w:r>
        <w:t xml:space="preserve"> dowod</w:t>
      </w:r>
      <w:r w:rsidR="00616054">
        <w:t>ów</w:t>
      </w:r>
      <w:r>
        <w:t xml:space="preserve"> z dokumentów i zezna</w:t>
      </w:r>
      <w:r w:rsidR="00616054">
        <w:t>ń</w:t>
      </w:r>
      <w:r>
        <w:t xml:space="preserve"> świadków, że </w:t>
      </w:r>
      <w:r w:rsidR="00616054">
        <w:t>dotychczas</w:t>
      </w:r>
      <w:r>
        <w:t xml:space="preserve"> rodzice R. nie utrzymywali kontaktu z R. i nigdy nie pytali o jego stan zdrowia.</w:t>
      </w:r>
    </w:p>
    <w:bookmarkStart w:id="8" w:name="Jud29Feb2009GradualTransferAdvised"/>
    <w:p w14:paraId="35C7D5A3" w14:textId="73FB5F29" w:rsidR="007C44A4" w:rsidRPr="009548E3" w:rsidRDefault="00EA2407" w:rsidP="009548E3">
      <w:pPr>
        <w:pStyle w:val="ECHRPara"/>
      </w:pPr>
      <w:r w:rsidRPr="009548E3">
        <w:fldChar w:fldCharType="begin"/>
      </w:r>
      <w:r w:rsidRPr="009548E3">
        <w:instrText xml:space="preserve"> SEQ level0 \*arabic </w:instrText>
      </w:r>
      <w:r w:rsidRPr="009548E3">
        <w:fldChar w:fldCharType="separate"/>
      </w:r>
      <w:r w:rsidR="00403504">
        <w:rPr>
          <w:noProof/>
        </w:rPr>
        <w:t>24</w:t>
      </w:r>
      <w:r w:rsidRPr="009548E3">
        <w:fldChar w:fldCharType="end"/>
      </w:r>
      <w:bookmarkEnd w:id="8"/>
      <w:r>
        <w:t>.  Odnosząc się do opinii pracowników służby zdrowia i przedstawicieli organu ds. opieki nad dziećmi, którzy monitorowali R.</w:t>
      </w:r>
      <w:r w:rsidR="00616054">
        <w:t>,</w:t>
      </w:r>
      <w:r>
        <w:t xml:space="preserve"> sąd zauważył też, że nagła zmiana otoczenia, odseparowanie od osób, które znał i natychmiastowe przeniesienie do </w:t>
      </w:r>
      <w:r w:rsidR="00072CBD">
        <w:t xml:space="preserve">rodziców </w:t>
      </w:r>
      <w:r>
        <w:t xml:space="preserve">biologicznych może spowodować poważny wstrząs u chłopca, ujemnie wpłynąć na jego stan psychiczny, a tym samym pogorszyć jego stan zdrowia. Chłopiec potrzebowałby długiego okresu adaptacji, aby przyzwyczaić się do swoich </w:t>
      </w:r>
      <w:r w:rsidR="00072CBD">
        <w:t xml:space="preserve">rodziców </w:t>
      </w:r>
      <w:r>
        <w:t>biologicznych.</w:t>
      </w:r>
    </w:p>
    <w:p w14:paraId="4E5B9A91" w14:textId="5C16DFB7" w:rsidR="007C44A4" w:rsidRPr="009548E3" w:rsidRDefault="007310C2" w:rsidP="009548E3">
      <w:pPr>
        <w:pStyle w:val="ECHRPara"/>
      </w:pPr>
      <w:fldSimple w:instr=" SEQ level0 \*arabic ">
        <w:r w:rsidR="00403504">
          <w:rPr>
            <w:noProof/>
          </w:rPr>
          <w:t>25</w:t>
        </w:r>
      </w:fldSimple>
      <w:r w:rsidR="00EB2676">
        <w:t>.  </w:t>
      </w:r>
      <w:r w:rsidR="00616054">
        <w:t>Tym samym s</w:t>
      </w:r>
      <w:r w:rsidR="00EB2676">
        <w:t xml:space="preserve">ąd doszedł do wniosku, że </w:t>
      </w:r>
      <w:r w:rsidR="00616054">
        <w:t>na tym etapie</w:t>
      </w:r>
      <w:r w:rsidR="00EB2676">
        <w:t xml:space="preserve"> w najlepszym interesie dziecka byłoby dalsze zamieszkiwanie z pierwszą skarżącą.</w:t>
      </w:r>
    </w:p>
    <w:p w14:paraId="2B458A0A" w14:textId="74914A37" w:rsidR="00200C18" w:rsidRPr="009548E3" w:rsidRDefault="007310C2" w:rsidP="009548E3">
      <w:pPr>
        <w:pStyle w:val="ECHRPara"/>
      </w:pPr>
      <w:fldSimple w:instr=" SEQ level0 \*arabic ">
        <w:r w:rsidR="00403504">
          <w:rPr>
            <w:noProof/>
          </w:rPr>
          <w:t>26</w:t>
        </w:r>
      </w:fldSimple>
      <w:r w:rsidR="00EB2676">
        <w:t>.  </w:t>
      </w:r>
      <w:r w:rsidR="00616054">
        <w:t>Orzeczenie</w:t>
      </w:r>
      <w:r w:rsidR="00EB2676">
        <w:t xml:space="preserve"> uprawomocnił</w:t>
      </w:r>
      <w:r w:rsidR="00616054">
        <w:t>o</w:t>
      </w:r>
      <w:r w:rsidR="00EB2676">
        <w:t xml:space="preserve"> się w dniu 13 marca 2009 r.</w:t>
      </w:r>
    </w:p>
    <w:p w14:paraId="25CD618C" w14:textId="18839F19" w:rsidR="00423BAF" w:rsidRPr="009548E3" w:rsidRDefault="007C44A4" w:rsidP="009548E3">
      <w:pPr>
        <w:pStyle w:val="ECHRHeading2"/>
      </w:pPr>
      <w:r>
        <w:t>C. Postępowanie w sprawie dostępu rodziców R.</w:t>
      </w:r>
      <w:r w:rsidR="00616054">
        <w:t xml:space="preserve"> </w:t>
      </w:r>
      <w:r w:rsidR="0096346B">
        <w:t>do</w:t>
      </w:r>
      <w:r w:rsidR="00616054">
        <w:t xml:space="preserve"> R.</w:t>
      </w:r>
    </w:p>
    <w:p w14:paraId="53240F60" w14:textId="0CD4D134" w:rsidR="006668EB" w:rsidRPr="009548E3" w:rsidRDefault="007310C2" w:rsidP="009548E3">
      <w:pPr>
        <w:pStyle w:val="ECHRPara"/>
      </w:pPr>
      <w:fldSimple w:instr=" SEQ level0 \*arabic ">
        <w:r w:rsidR="00403504">
          <w:rPr>
            <w:noProof/>
          </w:rPr>
          <w:t>27</w:t>
        </w:r>
      </w:fldSimple>
      <w:r w:rsidR="00EB2676">
        <w:t xml:space="preserve">.  W bliżej nieokreślonym dniu rodzice R. </w:t>
      </w:r>
      <w:r w:rsidR="00D17AE3">
        <w:t>wystąpili na drogę sądową</w:t>
      </w:r>
      <w:r w:rsidR="00EB2676">
        <w:t xml:space="preserve"> przeciwko pierwszej skarżącej. Zarzucili, że utrudniała im kontakt z R. i zażądali, aby sąd przyznał im dostęp do chłopca oraz określił sposób, w jaki mogliby korzystać z prawa do kontakt</w:t>
      </w:r>
      <w:r w:rsidR="00616054">
        <w:t>ów</w:t>
      </w:r>
      <w:r w:rsidR="00EB2676">
        <w:t xml:space="preserve"> z </w:t>
      </w:r>
      <w:r w:rsidR="00E8343E">
        <w:t>nim</w:t>
      </w:r>
      <w:r w:rsidR="00EB2676">
        <w:t>.</w:t>
      </w:r>
    </w:p>
    <w:bookmarkStart w:id="9" w:name="ContactsRestoredBeg"/>
    <w:p w14:paraId="296EB5B6" w14:textId="42A52B24" w:rsidR="006668EB"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28</w:t>
      </w:r>
      <w:r w:rsidRPr="009548E3">
        <w:fldChar w:fldCharType="end"/>
      </w:r>
      <w:bookmarkEnd w:id="9"/>
      <w:r>
        <w:t>.  </w:t>
      </w:r>
      <w:r w:rsidR="00616054">
        <w:t xml:space="preserve">Orzeczeniem </w:t>
      </w:r>
      <w:r>
        <w:t xml:space="preserve">z dnia 7 maja 2009 </w:t>
      </w:r>
      <w:r w:rsidR="00616054">
        <w:t xml:space="preserve">r. </w:t>
      </w:r>
      <w:r>
        <w:t>sąd rejonowy ustalił prawa rodziców R. do kontakt</w:t>
      </w:r>
      <w:r w:rsidR="00DF1D48">
        <w:t>ów</w:t>
      </w:r>
      <w:r>
        <w:t xml:space="preserve"> z chłopcem. Stwierdził, że rodzice powinni </w:t>
      </w:r>
      <w:r w:rsidR="00DF1D48">
        <w:t xml:space="preserve">mieć </w:t>
      </w:r>
      <w:r w:rsidR="00DF1D48">
        <w:lastRenderedPageBreak/>
        <w:t xml:space="preserve">możliwość </w:t>
      </w:r>
      <w:r>
        <w:t>spotyka</w:t>
      </w:r>
      <w:r w:rsidR="00DF1D48">
        <w:t>nia</w:t>
      </w:r>
      <w:r>
        <w:t xml:space="preserve"> się z R. w każdy piątek od 16:30 do 17:30 w domu pierwszej skarżącej oraz w każdą niedzielę od 14:00 do 16:00 w ich domu, w obecności pierwszej skarżącej.</w:t>
      </w:r>
    </w:p>
    <w:p w14:paraId="173DC6CF" w14:textId="5574CAF6" w:rsidR="006668EB" w:rsidRPr="009548E3" w:rsidRDefault="007310C2" w:rsidP="009548E3">
      <w:pPr>
        <w:pStyle w:val="ECHRPara"/>
      </w:pPr>
      <w:fldSimple w:instr=" SEQ level0 \*arabic ">
        <w:r w:rsidR="00403504">
          <w:rPr>
            <w:noProof/>
          </w:rPr>
          <w:t>29</w:t>
        </w:r>
      </w:fldSimple>
      <w:r w:rsidR="000C537A">
        <w:t xml:space="preserve">.  W dniu 10 czerwca 2009 r. sąd okręgowy utrzymał w mocy </w:t>
      </w:r>
      <w:r w:rsidR="00DF1D48">
        <w:t xml:space="preserve">orzeczenie </w:t>
      </w:r>
      <w:r w:rsidR="000C537A">
        <w:t>sądu pierwszej instancji.</w:t>
      </w:r>
    </w:p>
    <w:bookmarkStart w:id="10" w:name="ContactsRestoredEnd"/>
    <w:p w14:paraId="3800B5D0" w14:textId="3967FD63" w:rsidR="00DB4EDB" w:rsidRPr="009548E3" w:rsidRDefault="000C537A" w:rsidP="009548E3">
      <w:pPr>
        <w:pStyle w:val="ECHRPara"/>
      </w:pPr>
      <w:r w:rsidRPr="009548E3">
        <w:fldChar w:fldCharType="begin"/>
      </w:r>
      <w:r w:rsidRPr="009548E3">
        <w:instrText xml:space="preserve"> SEQ level0 \*arabic </w:instrText>
      </w:r>
      <w:r w:rsidRPr="009548E3">
        <w:fldChar w:fldCharType="separate"/>
      </w:r>
      <w:r w:rsidR="00403504">
        <w:rPr>
          <w:noProof/>
        </w:rPr>
        <w:t>30</w:t>
      </w:r>
      <w:r w:rsidRPr="009548E3">
        <w:fldChar w:fldCharType="end"/>
      </w:r>
      <w:bookmarkEnd w:id="10"/>
      <w:r>
        <w:t>.  Z akt sprawy wynika, że</w:t>
      </w:r>
      <w:r w:rsidR="00DF1D48">
        <w:t xml:space="preserve"> </w:t>
      </w:r>
      <w:r>
        <w:t>​rodzice R. zastosowali się do ustalonego harmonogramu kontaktów z R.</w:t>
      </w:r>
    </w:p>
    <w:p w14:paraId="0E4BB266" w14:textId="483B03FC" w:rsidR="00053908" w:rsidRPr="009548E3" w:rsidRDefault="007C44A4" w:rsidP="009548E3">
      <w:pPr>
        <w:pStyle w:val="ECHRHeading2"/>
      </w:pPr>
      <w:r>
        <w:t>D. Drugie postępowanie dotyczące ustalenia miejsca zamieszkania R</w:t>
      </w:r>
      <w:r w:rsidR="00DF1D48">
        <w:t>.</w:t>
      </w:r>
    </w:p>
    <w:p w14:paraId="0907B1A0" w14:textId="791AE5E3" w:rsidR="00053908" w:rsidRPr="009548E3" w:rsidRDefault="007310C2" w:rsidP="009548E3">
      <w:pPr>
        <w:pStyle w:val="ECHRPara"/>
      </w:pPr>
      <w:fldSimple w:instr=" SEQ level0 \*arabic ">
        <w:r w:rsidR="00403504">
          <w:rPr>
            <w:noProof/>
          </w:rPr>
          <w:t>31</w:t>
        </w:r>
      </w:fldSimple>
      <w:r w:rsidR="00EB2676">
        <w:t xml:space="preserve">.  W bliżej nieokreślonym dniu rodzice R. </w:t>
      </w:r>
      <w:r w:rsidR="00DF1D48">
        <w:t xml:space="preserve">wystąpili </w:t>
      </w:r>
      <w:r w:rsidR="00EB2676">
        <w:t xml:space="preserve">do sądu rejonowego </w:t>
      </w:r>
      <w:r w:rsidR="00DF1D48">
        <w:t xml:space="preserve">z </w:t>
      </w:r>
      <w:r w:rsidR="00EB2676">
        <w:t>kolejn</w:t>
      </w:r>
      <w:r w:rsidR="00DF1D48">
        <w:t>ym</w:t>
      </w:r>
      <w:r w:rsidR="00EB2676">
        <w:t xml:space="preserve"> </w:t>
      </w:r>
      <w:r w:rsidR="00DF1D48">
        <w:t xml:space="preserve">wnioskiem </w:t>
      </w:r>
      <w:r w:rsidR="00EB2676">
        <w:t>przeciwko pierwszej skarżącej i organowi ds. opieki nad dziećmi. Zażądali zwrotu syna oraz ustania opieki pierwszej skarżącej nad R.</w:t>
      </w:r>
    </w:p>
    <w:bookmarkStart w:id="11" w:name="FirstAppRepresentedFirstLevel"/>
    <w:p w14:paraId="0735EDF1" w14:textId="64267CDB" w:rsidR="00BA47C2" w:rsidRPr="009548E3" w:rsidRDefault="00BA47C2" w:rsidP="009548E3">
      <w:pPr>
        <w:pStyle w:val="ECHRPara"/>
      </w:pPr>
      <w:r w:rsidRPr="009548E3">
        <w:fldChar w:fldCharType="begin"/>
      </w:r>
      <w:r w:rsidRPr="009548E3">
        <w:instrText xml:space="preserve"> SEQ level0 \*arabic </w:instrText>
      </w:r>
      <w:r w:rsidRPr="009548E3">
        <w:fldChar w:fldCharType="separate"/>
      </w:r>
      <w:r w:rsidR="00403504">
        <w:rPr>
          <w:noProof/>
        </w:rPr>
        <w:t>32</w:t>
      </w:r>
      <w:r w:rsidRPr="009548E3">
        <w:fldChar w:fldCharType="end"/>
      </w:r>
      <w:bookmarkEnd w:id="11"/>
      <w:r>
        <w:t xml:space="preserve">.  W postępowaniu obie strony </w:t>
      </w:r>
      <w:r w:rsidR="00DF1D48">
        <w:t>były reprezentowane przez pełnomocników</w:t>
      </w:r>
      <w:r>
        <w:t>.</w:t>
      </w:r>
    </w:p>
    <w:p w14:paraId="3AF5ED79" w14:textId="3553D2E2" w:rsidR="006668EB" w:rsidRPr="009548E3" w:rsidRDefault="007310C2" w:rsidP="009548E3">
      <w:pPr>
        <w:pStyle w:val="ECHRPara"/>
      </w:pPr>
      <w:fldSimple w:instr=" SEQ level0 \*arabic ">
        <w:r w:rsidR="00403504">
          <w:rPr>
            <w:noProof/>
          </w:rPr>
          <w:t>33</w:t>
        </w:r>
      </w:fldSimple>
      <w:r w:rsidR="00EB2676">
        <w:t xml:space="preserve">.  W ramach </w:t>
      </w:r>
      <w:r w:rsidR="00DF1D48">
        <w:t xml:space="preserve">tego </w:t>
      </w:r>
      <w:r w:rsidR="00EB2676">
        <w:t>postępowania psychologowie z organu ds. opieki nad dziećmi sporządzili dwa raporty</w:t>
      </w:r>
      <w:r w:rsidR="00DF1D48">
        <w:t>, w których</w:t>
      </w:r>
      <w:r w:rsidR="00EB2676">
        <w:t xml:space="preserve"> </w:t>
      </w:r>
      <w:r w:rsidR="00DF1D48">
        <w:t xml:space="preserve"> przedstawiono </w:t>
      </w:r>
      <w:r w:rsidR="00EB2676">
        <w:t>wyniki monitorowania przez psychologów przebiegu spotkań R. z rodzicami.</w:t>
      </w:r>
    </w:p>
    <w:bookmarkStart w:id="12" w:name="Report29Dec2009"/>
    <w:p w14:paraId="07A41A45" w14:textId="3ACE405E" w:rsidR="006668EB"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34</w:t>
      </w:r>
      <w:r w:rsidRPr="009548E3">
        <w:fldChar w:fldCharType="end"/>
      </w:r>
      <w:bookmarkEnd w:id="12"/>
      <w:r>
        <w:t xml:space="preserve">.  Pierwszy raport z dnia 29 grudnia 2009 r. </w:t>
      </w:r>
      <w:r w:rsidR="00DF1D48">
        <w:t xml:space="preserve">zawierał </w:t>
      </w:r>
      <w:r>
        <w:t>opis dw</w:t>
      </w:r>
      <w:r w:rsidR="00DF1D48">
        <w:t>óch</w:t>
      </w:r>
      <w:r>
        <w:t xml:space="preserve"> spotka</w:t>
      </w:r>
      <w:r w:rsidR="00DF1D48">
        <w:t>ń</w:t>
      </w:r>
      <w:r>
        <w:t xml:space="preserve">, które miały miejsce w dniach 25-27 grudnia 2009 r., o różnych porach. Stwierdzono w szczególności, że rodzice R. nawiązali dobry kontakt psychologiczny z dzieckiem, a ich postawa wobec chłopca była troskliwa i kochająca. W raporcie stwierdzono ponadto, że ze względu na szczególny stan zdrowia R. oraz znaczne opóźnienie w rozwoju fizycznym i psychicznym, jego interakcja z dorosłymi była bardzo ograniczona; rodzicom udało się </w:t>
      </w:r>
      <w:r w:rsidR="00DF1D48">
        <w:t xml:space="preserve">jednak </w:t>
      </w:r>
      <w:r>
        <w:t>nawiązać z nim kontakt dotykowy i emocjonalny. Ogólnie rzecz biorąc, na tyle, na ile pozwalały na to uwarunkowania dziecka, w obecności rodziców czuło się ono spokojnie i komfortowo pod względem psychicznym. Jednocześnie biegli wskazali, że dziecko jest szczególnie wrażliwe i że dla swojego komfortu psychicznego stale potrzebuje obecności pierwszej skarżącej. Biegli stwierdzili również, że rodzice R. nie rozumieli stanu emocjonalnego i zainteresowań syna, specyfiki jego psychiki ani jego możliwości. W raporcie stwierdzono, że konieczne jest kontynuowanie procesu adaptacji dziecka do przebywania z rodzicami i w tym celu należy wydłużyć czas trwania spotkań R. z rodzicami.</w:t>
      </w:r>
    </w:p>
    <w:bookmarkStart w:id="13" w:name="Report4May2010"/>
    <w:p w14:paraId="3D907E57" w14:textId="7C0B77CE" w:rsidR="00BE3AAC"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35</w:t>
      </w:r>
      <w:r w:rsidRPr="009548E3">
        <w:fldChar w:fldCharType="end"/>
      </w:r>
      <w:bookmarkEnd w:id="13"/>
      <w:r>
        <w:t xml:space="preserve">.  Drugi raport z dnia 4 maja 2010 r. </w:t>
      </w:r>
      <w:r w:rsidR="00403504">
        <w:t xml:space="preserve">zawierał </w:t>
      </w:r>
      <w:r>
        <w:t>opis dw</w:t>
      </w:r>
      <w:r w:rsidR="00403504">
        <w:t>óch</w:t>
      </w:r>
      <w:r>
        <w:t xml:space="preserve"> </w:t>
      </w:r>
      <w:r w:rsidR="00403504">
        <w:t>spotkań</w:t>
      </w:r>
      <w:r>
        <w:t>, które miały miejsce w dniach 29 i 30 kwietnia 2010 r. Zwrócono uwagę na bardzo poważny stan zdrowotny dziecka, który znacznie ograniczał jego interakcję ze światem zewnętrznym. Ponadto stwierdz</w:t>
      </w:r>
      <w:r w:rsidR="00403504">
        <w:t>ono w nim</w:t>
      </w:r>
      <w:r>
        <w:t xml:space="preserve"> w szczególności, że rodzice R. z powodzeniem nawiązali kontakt psychologiczny z synem</w:t>
      </w:r>
      <w:r w:rsidR="00403504">
        <w:t>,</w:t>
      </w:r>
      <w:r>
        <w:t xml:space="preserve"> właściwie rozumieli specyfikę jego psychiki, stan emocjonalny, potrzeby i możliwości. </w:t>
      </w:r>
      <w:r w:rsidR="00403504">
        <w:t xml:space="preserve">Z </w:t>
      </w:r>
      <w:r>
        <w:t xml:space="preserve">raportu </w:t>
      </w:r>
      <w:r w:rsidR="00403504">
        <w:t xml:space="preserve">wynikało, że </w:t>
      </w:r>
      <w:r>
        <w:t xml:space="preserve">w towarzystwie rodziców R. czuł się </w:t>
      </w:r>
      <w:r>
        <w:lastRenderedPageBreak/>
        <w:t xml:space="preserve">spokojnie i komfortowo. W trakcie interakcji rodzice R. stworzyli ciepłą i przyjazną atmosferę </w:t>
      </w:r>
      <w:r w:rsidR="00403504">
        <w:t>sprzyjając</w:t>
      </w:r>
      <w:r w:rsidR="00394371">
        <w:t>ą</w:t>
      </w:r>
      <w:r w:rsidR="00403504">
        <w:t xml:space="preserve"> </w:t>
      </w:r>
      <w:r>
        <w:t>rozwojowi dziecka.</w:t>
      </w:r>
    </w:p>
    <w:bookmarkStart w:id="14" w:name="CCAREAuthorityGradualIntergration"/>
    <w:p w14:paraId="6B4BAF10" w14:textId="5F00232E" w:rsidR="006668EB"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36</w:t>
      </w:r>
      <w:r w:rsidRPr="009548E3">
        <w:fldChar w:fldCharType="end"/>
      </w:r>
      <w:bookmarkEnd w:id="14"/>
      <w:r>
        <w:t xml:space="preserve">.  W postępowaniu przed sądem organ ds. opieki nad dziećmi wyraził ogólnie przychylną opinię w sprawie powrotu R. do jego </w:t>
      </w:r>
      <w:r w:rsidR="00072CBD">
        <w:t xml:space="preserve">rodziców </w:t>
      </w:r>
      <w:r>
        <w:t>biologicznych, zaznaczył jednak, że ze względu na stan zdrowia R. jego integracja z rodziną powinna postępować stopniowo. W szczególności, czas trwania sesji spotkań z rodzicami, które wówczas odbywały się dwa razy w tygodniu w ciągu dnia, mógł zostać wydłużony i obejmować porę nocną.</w:t>
      </w:r>
    </w:p>
    <w:p w14:paraId="5187E263" w14:textId="2442F716" w:rsidR="006668EB" w:rsidRPr="009548E3" w:rsidRDefault="007310C2" w:rsidP="009548E3">
      <w:pPr>
        <w:pStyle w:val="ECHRPara"/>
      </w:pPr>
      <w:fldSimple w:instr=" SEQ level0 \*arabic ">
        <w:r w:rsidR="00403504">
          <w:rPr>
            <w:noProof/>
          </w:rPr>
          <w:t>37</w:t>
        </w:r>
      </w:fldSimple>
      <w:r w:rsidR="00EB2676">
        <w:t>.  W dniu 4 maja 2010 r. sąd rejonowy uwzględnił roszczenia rodziców R.</w:t>
      </w:r>
    </w:p>
    <w:p w14:paraId="6504C741" w14:textId="03618FCD" w:rsidR="00487EEC" w:rsidRPr="009548E3" w:rsidRDefault="007310C2" w:rsidP="009548E3">
      <w:pPr>
        <w:pStyle w:val="ECHRPara"/>
      </w:pPr>
      <w:fldSimple w:instr=" SEQ level0 \*arabic ">
        <w:r w:rsidR="00403504">
          <w:rPr>
            <w:noProof/>
          </w:rPr>
          <w:t>38</w:t>
        </w:r>
      </w:fldSimple>
      <w:r w:rsidR="00EB2676">
        <w:t>.  Sąd szczegółowo zbadał okoliczności przekazania R. pod opiekę pierwszej ze skarżących oraz relacje między pierwszą skarżącą, rodzicami R. i R. od tego czasu. Wskazał w szczególności, że rodzice R. oddali syna pod opiekę pierwszej skarżącej, mając na względzie bardzo poważny stan dziecka oraz doświadczenie pediatryczne skarżącej; wówczas uważali się za niezdolnych do zapewnienia mu wymaganej opieki specjalistycznej.</w:t>
      </w:r>
    </w:p>
    <w:bookmarkStart w:id="15" w:name="ParentsNotAbandonR"/>
    <w:p w14:paraId="035CF9E9" w14:textId="560EEB1A" w:rsidR="000A7DB6"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39</w:t>
      </w:r>
      <w:r w:rsidRPr="009548E3">
        <w:fldChar w:fldCharType="end"/>
      </w:r>
      <w:bookmarkEnd w:id="15"/>
      <w:r>
        <w:t>.  Odrzucił jako nie do przyjęcia argument pierwszej skarżącej, że rodzice R. porzucili syna w szpitalu bez ważnych powodów. Zauważył w związku z tym:</w:t>
      </w:r>
    </w:p>
    <w:p w14:paraId="20EC0556" w14:textId="2D29B742" w:rsidR="00053908" w:rsidRPr="009548E3" w:rsidRDefault="000A7DB6" w:rsidP="009548E3">
      <w:pPr>
        <w:pStyle w:val="ECHRParaQuote"/>
      </w:pPr>
      <w:r>
        <w:t>„Sądowi nie zostały przedłożone ani żadne oświadczenia rodziców [R.], ani odpowiednie dokumenty medyczne [na potwierdzenie tego argumentu]. [</w:t>
      </w:r>
      <w:r w:rsidR="007D2889">
        <w:t>Uczestnicy</w:t>
      </w:r>
      <w:r>
        <w:t xml:space="preserve">] zaprzeczyli </w:t>
      </w:r>
      <w:r w:rsidR="007D2889">
        <w:t>tej okoliczności</w:t>
      </w:r>
      <w:r>
        <w:t>. Utrzymywali, że nie porzucili swojego dziecka. Wręcz przeciwnie: chcieli, by wyzdrowiał i wrócił do rodziny.</w:t>
      </w:r>
    </w:p>
    <w:p w14:paraId="199575BB" w14:textId="77777777" w:rsidR="00163889" w:rsidRPr="009548E3" w:rsidRDefault="00053908" w:rsidP="009548E3">
      <w:pPr>
        <w:pStyle w:val="ECHRParaQuote"/>
      </w:pPr>
      <w:r>
        <w:t>Z materiału zawartego w aktach sprawy wynika, że [R.] został oddany opiekunowi po daremnych staraniach rodziców o zapewnienie mu należytej opieki medycznej, oraz w trosce o dobro dziecka [...]</w:t>
      </w:r>
    </w:p>
    <w:p w14:paraId="15D25756" w14:textId="1C168A16" w:rsidR="00053908" w:rsidRPr="009548E3" w:rsidRDefault="00053908" w:rsidP="009548E3">
      <w:pPr>
        <w:pStyle w:val="ECHRParaQuote"/>
      </w:pPr>
      <w:r>
        <w:t>[Rodzice R.] nie zamierzali porzucić dziecka […] Mimo że R. znalazł się pod opieką [</w:t>
      </w:r>
      <w:r w:rsidR="007D2889">
        <w:t>pierwszej skarżącej</w:t>
      </w:r>
      <w:r>
        <w:t>], rodzina interesowała się jego życiem i zdrowiem, udzieliła […] wsparcia finansowego.”</w:t>
      </w:r>
    </w:p>
    <w:bookmarkStart w:id="16" w:name="TiesRandFirstApplicantTwo"/>
    <w:p w14:paraId="416D2DE6" w14:textId="79EE57EA" w:rsidR="00063256"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40</w:t>
      </w:r>
      <w:r w:rsidRPr="009548E3">
        <w:fldChar w:fldCharType="end"/>
      </w:r>
      <w:bookmarkEnd w:id="16"/>
      <w:r>
        <w:t>.  </w:t>
      </w:r>
      <w:r w:rsidR="00F50CD2">
        <w:t xml:space="preserve">W dalszej kolejności sąd </w:t>
      </w:r>
      <w:r>
        <w:t xml:space="preserve">rejonowy odniósł się do zeznań </w:t>
      </w:r>
      <w:r w:rsidR="00F50CD2">
        <w:t>poszczególnych</w:t>
      </w:r>
      <w:r>
        <w:t xml:space="preserve"> świadków. W szczególności jedenaścioro świadków opisało pierwszą skarżącą jako miłą, troskliwą i empatyczną osobę, która pomagała innym rodzinom z niepełnosprawnymi dziećmi. Zeznali również, że pierwsza skarżąca dobrze opiekowała się R. i że będąc pediatrą dbała o jego potrzeby, a dzięki jej wysiłkom</w:t>
      </w:r>
      <w:r w:rsidR="00F50CD2">
        <w:t xml:space="preserve"> stan chłopca uległ wyraźnej poprawie</w:t>
      </w:r>
      <w:r>
        <w:t xml:space="preserve">. </w:t>
      </w:r>
      <w:r>
        <w:rPr>
          <w:rFonts w:ascii="Times New Roman" w:hAnsi="Times New Roman"/>
        </w:rPr>
        <w:t>Świadkowie ponadto zeznali, że pierwsza skarżąca wyjeżdżała ze swoimi wychowankami w podróże krajowe i zagraniczne.</w:t>
      </w:r>
      <w:r>
        <w:t xml:space="preserve"> W odniesieniu do tych zeznań sąd rejonowy zauważył, że potwierdziły one jedynie dobrą, opiekuńczą postawę pierwszej skarżącej wobec R. oraz fakt, że należycie </w:t>
      </w:r>
      <w:r w:rsidR="00F50CD2">
        <w:t>wywiązywała się ze swoich obowiązków</w:t>
      </w:r>
      <w:r>
        <w:t xml:space="preserve"> wobec niego. Jednakże w </w:t>
      </w:r>
      <w:r w:rsidR="005371FE">
        <w:t xml:space="preserve">ocenie </w:t>
      </w:r>
      <w:r>
        <w:t xml:space="preserve">sądu </w:t>
      </w:r>
      <w:r w:rsidR="005371FE">
        <w:t xml:space="preserve">z </w:t>
      </w:r>
      <w:r>
        <w:t>zezna</w:t>
      </w:r>
      <w:r w:rsidR="005371FE">
        <w:t>ń</w:t>
      </w:r>
      <w:r>
        <w:t xml:space="preserve"> świadków bynajmniej nie w</w:t>
      </w:r>
      <w:r w:rsidR="005371FE">
        <w:t>ynikało</w:t>
      </w:r>
      <w:r>
        <w:t>, że rodzice R. nie byli w stanie dobrze zaopiekować się chłopcem, ani że ze względu na swój stan fizyczny i psychiczny R. powinien nadal mieszkać z pierwszą skarżącą.</w:t>
      </w:r>
    </w:p>
    <w:p w14:paraId="1486981D" w14:textId="51D309CD" w:rsidR="00B5132C" w:rsidRPr="009548E3" w:rsidRDefault="007310C2" w:rsidP="009548E3">
      <w:pPr>
        <w:pStyle w:val="ECHRPara"/>
      </w:pPr>
      <w:fldSimple w:instr=" SEQ level0 \*arabic ">
        <w:r w:rsidR="00403504">
          <w:rPr>
            <w:noProof/>
          </w:rPr>
          <w:t>41</w:t>
        </w:r>
      </w:fldSimple>
      <w:r w:rsidR="00EB2676">
        <w:t xml:space="preserve">.  Sąd odniósł się również do zeznań Z., pediatry, która stwierdziła, że znała i leczyła R. odkąd </w:t>
      </w:r>
      <w:r w:rsidR="005371FE">
        <w:t xml:space="preserve">ukończył </w:t>
      </w:r>
      <w:r w:rsidR="00EB2676">
        <w:t xml:space="preserve">osiem miesięcy, kiedy to trafił pod opiekę pierwszej skarżącej. Dziecko cierpiało na poważną chorobę wrodzoną i dużo czasu </w:t>
      </w:r>
      <w:r w:rsidR="005371FE">
        <w:t xml:space="preserve">spędziło </w:t>
      </w:r>
      <w:r w:rsidR="00EB2676">
        <w:t>w szpitalu. W</w:t>
      </w:r>
      <w:r w:rsidR="005371FE">
        <w:t xml:space="preserve"> tamtym okresie</w:t>
      </w:r>
      <w:r w:rsidR="00EB2676">
        <w:t xml:space="preserve"> jego stan był stabilny, ale poważny: postawiono diagnozę zaburzenia ośrodkowego układu nerwowego i upośledzenia ruchowego. Dziecko wymagało stałej odpowiedniej opieki i nadzoru, a nie tylko leczenia. W ciągu dziesięciu lat chłopiec urósł i zmienił się emocjonalnie. Reagował na otaczających go ludzi. Nie potrafił jednak o siebie zadbać. Nie potrafił samodzielnie jeść, pić ani chodzić. Potrzebował stałej opieki. Z. dodała również, że towarzyszyła pierwszej skarżącej podczas wyjazdu do Austrii, gdzie zabrała R. na leczenie. Chłopiec reagował inaczej, gdy pierwsza skarżąca trzymała go w ramionach, niż kiedy Z. trzymała go w ramionach.</w:t>
      </w:r>
    </w:p>
    <w:bookmarkStart w:id="17" w:name="StatementsMsM"/>
    <w:p w14:paraId="0A8655EC" w14:textId="357423C9" w:rsidR="00053908"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42</w:t>
      </w:r>
      <w:r w:rsidRPr="009548E3">
        <w:fldChar w:fldCharType="end"/>
      </w:r>
      <w:bookmarkEnd w:id="17"/>
      <w:r>
        <w:t>.  M. jedna z psychologów</w:t>
      </w:r>
      <w:r w:rsidR="005371FE">
        <w:t xml:space="preserve">, którzy sporządzili raporty </w:t>
      </w:r>
      <w:r>
        <w:t xml:space="preserve">z 29 grudnia 2009 r. i 4 maja 2010 r. (zob. par. </w:t>
      </w:r>
      <w:r w:rsidR="00A7304B" w:rsidRPr="009548E3">
        <w:fldChar w:fldCharType="begin"/>
      </w:r>
      <w:r w:rsidR="00A7304B" w:rsidRPr="009548E3">
        <w:instrText xml:space="preserve"> REF Report29Dec2009 \h  \* MERGEFORMAT </w:instrText>
      </w:r>
      <w:r w:rsidR="00A7304B" w:rsidRPr="009548E3">
        <w:fldChar w:fldCharType="separate"/>
      </w:r>
      <w:r w:rsidR="00403504">
        <w:t>34</w:t>
      </w:r>
      <w:r w:rsidR="00A7304B" w:rsidRPr="009548E3">
        <w:fldChar w:fldCharType="end"/>
      </w:r>
      <w:r>
        <w:t xml:space="preserve"> i </w:t>
      </w:r>
      <w:r w:rsidR="00A7304B" w:rsidRPr="009548E3">
        <w:fldChar w:fldCharType="begin"/>
      </w:r>
      <w:r w:rsidR="00A7304B" w:rsidRPr="009548E3">
        <w:instrText xml:space="preserve"> REF Report4May2010 \h  \* MERGEFORMAT </w:instrText>
      </w:r>
      <w:r w:rsidR="00A7304B" w:rsidRPr="009548E3">
        <w:fldChar w:fldCharType="separate"/>
      </w:r>
      <w:r w:rsidR="00403504">
        <w:t>35</w:t>
      </w:r>
      <w:r w:rsidR="00A7304B" w:rsidRPr="009548E3">
        <w:fldChar w:fldCharType="end"/>
      </w:r>
      <w:r>
        <w:t xml:space="preserve"> powyżej), stwierdziła, że w trakcie monitorowania spotkań ustalono, że rodzice R. nauczyli się rozpoznawać i odpowiednio rozumieć szczególne cechy psychologiczne i fizyczne swojego syna. Wykazali szczere zainteresowanie dzieckiem oraz otoczyli je prawdziwie rodzicielską uwagą, miłością i troską. Odbywali regularne konsultacje z psychologami na temat stanu psychicznego dziecka z trudnościami rozwojowymi, pytając o niezbędne materiały i zabawki oraz o to, jak powinni budować komunikację z takim dzieckiem.</w:t>
      </w:r>
    </w:p>
    <w:bookmarkStart w:id="18" w:name="Jud4May2010RFeelsComfortableWithParents"/>
    <w:p w14:paraId="5E9AF9DA" w14:textId="3FA409D3" w:rsidR="007249B7"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43</w:t>
      </w:r>
      <w:r w:rsidRPr="009548E3">
        <w:fldChar w:fldCharType="end"/>
      </w:r>
      <w:bookmarkEnd w:id="18"/>
      <w:r>
        <w:t>.  Ponadto sąd rejonowy stwierdził, co następuje:</w:t>
      </w:r>
    </w:p>
    <w:p w14:paraId="7A700618" w14:textId="438DB1A8" w:rsidR="00053908" w:rsidRPr="009548E3" w:rsidRDefault="007249B7" w:rsidP="009548E3">
      <w:pPr>
        <w:pStyle w:val="ECHRParaQuote"/>
      </w:pPr>
      <w:r>
        <w:t xml:space="preserve">„W związku z tym w toku monitorowania sesji spotkań ustalono, że rodzice [R.] komunikowali się [z nim] w sposób spokojny, szczery i życzliwy. Udało im się nawiązać z nim kontakt psychologiczny. Dobrze rozumieli specyfikę jego psychiki, stan emocjonalny, potrzeby i możliwości. W towarzystwie rodziców [R.] czuł się spokojnie i komfortowo. W trakcie interakcji stworzyli ciepłą i przyjazną atmosferę </w:t>
      </w:r>
      <w:r w:rsidR="005371FE">
        <w:t xml:space="preserve">sprzyjającą </w:t>
      </w:r>
      <w:r>
        <w:t>rozwojowi dziecka.</w:t>
      </w:r>
    </w:p>
    <w:p w14:paraId="36A6C81F" w14:textId="2DE5597E" w:rsidR="00053908" w:rsidRPr="009548E3" w:rsidRDefault="00053908" w:rsidP="009548E3">
      <w:pPr>
        <w:pStyle w:val="ECHRParaQuote"/>
      </w:pPr>
      <w:r>
        <w:t xml:space="preserve">Zgodnie z treścią raportu na temat warunków bytowych </w:t>
      </w:r>
      <w:r w:rsidR="005371FE">
        <w:t xml:space="preserve">wnioskodawców </w:t>
      </w:r>
      <w:r>
        <w:t>[...] warunki w mieszkaniu dwupokojowym uznano za zadowalające, odpowiadające potrzebom rodziny oraz sprzyjające wychowaniu i życiu dzieci. Rodzice [R.] zapewniali mu warunki do życia i wychowania.</w:t>
      </w:r>
    </w:p>
    <w:p w14:paraId="37581B6A" w14:textId="77777777" w:rsidR="00053908" w:rsidRPr="009548E3" w:rsidRDefault="00053908" w:rsidP="009548E3">
      <w:pPr>
        <w:pStyle w:val="ECHRParaQuote"/>
      </w:pPr>
      <w:r>
        <w:t>[…]</w:t>
      </w:r>
    </w:p>
    <w:p w14:paraId="4A20764B" w14:textId="55D0A8D3" w:rsidR="00053908" w:rsidRPr="009548E3" w:rsidRDefault="006B1B83" w:rsidP="009548E3">
      <w:pPr>
        <w:pStyle w:val="ECHRParaQuote"/>
      </w:pPr>
      <w:r>
        <w:t xml:space="preserve">Z przytoczonych materiałów wynika, że rodzice [R.] są stabilną […] rodziną. Są dobrze sytuowani i zarabiają na godziwe życie. Mają stałe zatrudnienie [i] stabilne dochody. Przedstawili </w:t>
      </w:r>
      <w:r w:rsidR="00EF1E5D">
        <w:t>pozytywne</w:t>
      </w:r>
      <w:r>
        <w:t xml:space="preserve"> referencje od swoich pracodawców oraz z miejsca zamieszkania. Nie mają historii chorób psychicznych ani nie figurują w rejestrze karnym. W związku z tym spełniają wszystkie warunki, mogą wychowywać dziecko i zapewnić mu należytą opiekę.”</w:t>
      </w:r>
    </w:p>
    <w:bookmarkStart w:id="19" w:name="BetterHousingArgumentDismissed"/>
    <w:p w14:paraId="5A66EB58" w14:textId="6AD10FC3" w:rsidR="00053908"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44</w:t>
      </w:r>
      <w:r w:rsidRPr="009548E3">
        <w:fldChar w:fldCharType="end"/>
      </w:r>
      <w:bookmarkEnd w:id="19"/>
      <w:r>
        <w:t xml:space="preserve">.  Sąd oddalił zarzut pierwszej skarżącej, że rodzice R. zabiegali o </w:t>
      </w:r>
      <w:r w:rsidR="005371FE">
        <w:t xml:space="preserve">uchylenie </w:t>
      </w:r>
      <w:r>
        <w:t xml:space="preserve">jej opieki w celu uzyskania lepszego mieszkania socjalnego. </w:t>
      </w:r>
      <w:r w:rsidR="005371FE">
        <w:t xml:space="preserve">W ocenie </w:t>
      </w:r>
      <w:r>
        <w:t>sądu zarzut ten został w toku postępowania obalony wyjaśnieniami rodziców R. oraz dowodami na to, że ich małoletnie dzieci, w tym R., posiadały udziały w ich mieszkaniu.</w:t>
      </w:r>
    </w:p>
    <w:p w14:paraId="395F6F7A" w14:textId="21CB9982" w:rsidR="00053908" w:rsidRPr="009548E3" w:rsidRDefault="007310C2" w:rsidP="009548E3">
      <w:pPr>
        <w:pStyle w:val="ECHRPara"/>
      </w:pPr>
      <w:fldSimple w:instr=" SEQ level0 \*arabic ">
        <w:r w:rsidR="00403504">
          <w:rPr>
            <w:noProof/>
          </w:rPr>
          <w:t>45</w:t>
        </w:r>
      </w:fldSimple>
      <w:r w:rsidR="00EB2676">
        <w:t xml:space="preserve">.  Ponadto odrzucił argument wysunięty przez organ ds. opieki nad dziećmi, że dziecko powinno być stopniowo integrowane z </w:t>
      </w:r>
      <w:r w:rsidR="00072CBD">
        <w:t xml:space="preserve">rodziną </w:t>
      </w:r>
      <w:r w:rsidR="00EB2676">
        <w:t xml:space="preserve">biologiczną (zob. par. </w:t>
      </w:r>
      <w:r w:rsidR="006557DD" w:rsidRPr="009548E3">
        <w:fldChar w:fldCharType="begin"/>
      </w:r>
      <w:r w:rsidR="006557DD" w:rsidRPr="009548E3">
        <w:instrText xml:space="preserve"> REF CCAREAuthorityGradualIntergration \h  \* MERGEFORMAT </w:instrText>
      </w:r>
      <w:r w:rsidR="006557DD" w:rsidRPr="009548E3">
        <w:fldChar w:fldCharType="separate"/>
      </w:r>
      <w:r w:rsidR="00403504">
        <w:t>36</w:t>
      </w:r>
      <w:r w:rsidR="006557DD" w:rsidRPr="009548E3">
        <w:fldChar w:fldCharType="end"/>
      </w:r>
      <w:r w:rsidR="00EB2676">
        <w:t xml:space="preserve"> powyżej). W ocenie sądu taka stopniowa integracja miałaby negatywny wpływ na stan psychiczny dziecka. Ponadto naruszałaby jego prawo do życia i wychowania w rodzinie. Sąd stwierdził też, że rodzice R. byli jego </w:t>
      </w:r>
      <w:r w:rsidR="00072CBD">
        <w:t xml:space="preserve">rodzicami </w:t>
      </w:r>
      <w:r w:rsidR="00EB2676">
        <w:t xml:space="preserve">biologicznymi; okazywali mu należytą troskę i miłość oraz do tego czasu nawiązali z nim kontakt psychologiczny dzięki sesjom spotkań, które odbywały się już od dłuższego czasu, także w ich mieszkaniu. Dziecko – na </w:t>
      </w:r>
      <w:r w:rsidR="005371FE">
        <w:t xml:space="preserve">tyle, na </w:t>
      </w:r>
      <w:r w:rsidR="00EB2676">
        <w:t>ile pozwalał jego stan rozwoju psychicznego – rozumiało, że matka i ojciec są jego rodzicami. Sąd wskazał również, że organ ds. opieki nad dziećmi przyznał, że połączenie R. z rodziną ostatecznie służyło jego dobru.</w:t>
      </w:r>
    </w:p>
    <w:bookmarkStart w:id="20" w:name="WithdrawalOfGuardianship"/>
    <w:p w14:paraId="1D44735D" w14:textId="2087E9EB" w:rsidR="00F659FF" w:rsidRPr="009548E3" w:rsidRDefault="00EB2676" w:rsidP="009548E3">
      <w:pPr>
        <w:pStyle w:val="ECHRPara"/>
      </w:pPr>
      <w:r w:rsidRPr="009548E3">
        <w:fldChar w:fldCharType="begin"/>
      </w:r>
      <w:r w:rsidRPr="009548E3">
        <w:instrText xml:space="preserve"> SEQ level0 \*arabic </w:instrText>
      </w:r>
      <w:r w:rsidRPr="009548E3">
        <w:fldChar w:fldCharType="separate"/>
      </w:r>
      <w:r w:rsidR="00403504">
        <w:rPr>
          <w:noProof/>
        </w:rPr>
        <w:t>46</w:t>
      </w:r>
      <w:r w:rsidRPr="009548E3">
        <w:fldChar w:fldCharType="end"/>
      </w:r>
      <w:bookmarkEnd w:id="20"/>
      <w:r>
        <w:t>.  Sąd rejonowy uznał zatem, że „nie przedłożono żadnych przekonujących dowodów na to, że rodzice [R.] nie byli w stanie wychowywać dziecka z należytą starannością i uwagą” i podsumował, jak następuje:</w:t>
      </w:r>
    </w:p>
    <w:p w14:paraId="660A7AAB" w14:textId="3F95FE5E" w:rsidR="00053908" w:rsidRPr="009548E3" w:rsidRDefault="00F659FF" w:rsidP="009548E3">
      <w:pPr>
        <w:pStyle w:val="ECHRParaQuote"/>
      </w:pPr>
      <w:r>
        <w:t>„W związku z powyższym sąd uważa, że</w:t>
      </w:r>
      <w:r w:rsidR="005371FE">
        <w:t xml:space="preserve"> </w:t>
      </w:r>
      <w:r>
        <w:t xml:space="preserve">​roszczenie </w:t>
      </w:r>
      <w:r w:rsidR="005371FE">
        <w:t xml:space="preserve">wnioskodawców </w:t>
      </w:r>
      <w:r>
        <w:t xml:space="preserve">należy uwzględnić i powinni oni połączyć się ze swoim dzieckiem, aby móc dalej wykonywać prawa rodzicielskie w </w:t>
      </w:r>
      <w:r w:rsidR="005371FE">
        <w:t xml:space="preserve">zakresie </w:t>
      </w:r>
      <w:r w:rsidR="00A329F7">
        <w:t>edukacji</w:t>
      </w:r>
      <w:r>
        <w:t xml:space="preserve"> i rozwoju dziecka.</w:t>
      </w:r>
    </w:p>
    <w:p w14:paraId="3B10E1B1" w14:textId="784C4306" w:rsidR="00053908" w:rsidRPr="009548E3" w:rsidRDefault="00053908" w:rsidP="009548E3">
      <w:pPr>
        <w:pStyle w:val="ECHRParaQuote"/>
      </w:pPr>
      <w:r>
        <w:t>... sąd orzekł, że należy stwierdzić wygaśnięcie decyzji [administracyjnej] [...] [z] 23 listopada 2001 r. [...]</w:t>
      </w:r>
      <w:r w:rsidR="005371FE">
        <w:t xml:space="preserve"> z uwagi na jej bezcelowość</w:t>
      </w:r>
      <w:r>
        <w:t>”.</w:t>
      </w:r>
    </w:p>
    <w:p w14:paraId="11AF088A" w14:textId="20B42615" w:rsidR="0023297B" w:rsidRPr="009548E3" w:rsidRDefault="007310C2" w:rsidP="009548E3">
      <w:pPr>
        <w:pStyle w:val="ECHRPara"/>
      </w:pPr>
      <w:fldSimple w:instr=" SEQ level0 \*arabic ">
        <w:r w:rsidR="00403504">
          <w:rPr>
            <w:noProof/>
          </w:rPr>
          <w:t>47</w:t>
        </w:r>
      </w:fldSimple>
      <w:r w:rsidR="00EB2676">
        <w:t xml:space="preserve">.  Pierwsza skarżąca wniosła apelację od </w:t>
      </w:r>
      <w:r w:rsidR="005371FE">
        <w:t xml:space="preserve">postanowienia </w:t>
      </w:r>
      <w:r w:rsidR="00EB2676">
        <w:t>wydanego w pierwszej instancji.</w:t>
      </w:r>
    </w:p>
    <w:bookmarkStart w:id="21" w:name="FirstAppRepresentedSecondLevel"/>
    <w:p w14:paraId="02E74352" w14:textId="533D74D2" w:rsidR="00BA47C2"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48</w:t>
      </w:r>
      <w:r w:rsidRPr="009548E3">
        <w:fldChar w:fldCharType="end"/>
      </w:r>
      <w:bookmarkEnd w:id="21"/>
      <w:r>
        <w:t xml:space="preserve">.  W dniu 23 czerwca 2010 r. sąd okręgowy rozpoznał apelację pierwszej skarżącej; w postępowaniu </w:t>
      </w:r>
      <w:r w:rsidR="005371FE">
        <w:t>apelacyjnym pierwsza skarżąca i jej pełnomocnik</w:t>
      </w:r>
      <w:r>
        <w:t xml:space="preserve"> osobiście przedstawili swoje argumenty.</w:t>
      </w:r>
    </w:p>
    <w:bookmarkStart w:id="22" w:name="WithdrawalOfGuardianshipUpheld"/>
    <w:p w14:paraId="7D0E4234" w14:textId="5A9F615C" w:rsidR="00053908" w:rsidRPr="009548E3" w:rsidRDefault="00EB2676" w:rsidP="009548E3">
      <w:pPr>
        <w:pStyle w:val="ECHRPara"/>
      </w:pPr>
      <w:r w:rsidRPr="009548E3">
        <w:fldChar w:fldCharType="begin"/>
      </w:r>
      <w:r w:rsidRPr="009548E3">
        <w:instrText xml:space="preserve"> SEQ level0 \*arabic </w:instrText>
      </w:r>
      <w:r w:rsidRPr="009548E3">
        <w:fldChar w:fldCharType="separate"/>
      </w:r>
      <w:r w:rsidR="00403504">
        <w:rPr>
          <w:noProof/>
        </w:rPr>
        <w:t>49</w:t>
      </w:r>
      <w:r w:rsidRPr="009548E3">
        <w:fldChar w:fldCharType="end"/>
      </w:r>
      <w:bookmarkEnd w:id="22"/>
      <w:r>
        <w:t xml:space="preserve">.  Sąd w postępowaniu </w:t>
      </w:r>
      <w:r w:rsidR="005371FE">
        <w:t xml:space="preserve">apelacyjnym </w:t>
      </w:r>
      <w:r>
        <w:t xml:space="preserve">utrzymał w mocy </w:t>
      </w:r>
      <w:r w:rsidR="005371FE">
        <w:t xml:space="preserve">orzeczenie </w:t>
      </w:r>
      <w:r>
        <w:t xml:space="preserve">z dnia 4 maja 2010 r. Uznał, że sąd rejonowy szczegółowo zbadał sprawę i dokładnie ustalił istotne okoliczności; że na podstawie różnych dowodów pisemnych, w tym raportu z dnia 4 maja 2010 r. o skutkach kontaktów R. z rodzicami oraz raportu o warunkach bytowych, a także na podstawie licznych zeznań świadków, sąd pierwszej instancji podjął słuszną i dobrze uzasadnioną decyzję, że </w:t>
      </w:r>
      <w:r w:rsidR="00E26597">
        <w:t xml:space="preserve">przekazanie </w:t>
      </w:r>
      <w:r>
        <w:t xml:space="preserve">R. jego </w:t>
      </w:r>
      <w:r w:rsidR="00072CBD">
        <w:t>rodzin</w:t>
      </w:r>
      <w:r w:rsidR="00E26597">
        <w:t>ie</w:t>
      </w:r>
      <w:r w:rsidR="00072CBD">
        <w:t xml:space="preserve"> </w:t>
      </w:r>
      <w:r>
        <w:t>biologicznej służyło jego dobru.</w:t>
      </w:r>
    </w:p>
    <w:p w14:paraId="270EC58C" w14:textId="63FD64D1" w:rsidR="00365A49" w:rsidRPr="009548E3" w:rsidRDefault="007310C2" w:rsidP="009548E3">
      <w:pPr>
        <w:pStyle w:val="ECHRPara"/>
      </w:pPr>
      <w:fldSimple w:instr=" SEQ level0 \*arabic ">
        <w:r w:rsidR="00403504">
          <w:rPr>
            <w:noProof/>
          </w:rPr>
          <w:t>50</w:t>
        </w:r>
      </w:fldSimple>
      <w:r w:rsidR="00EB2676">
        <w:t>.  </w:t>
      </w:r>
      <w:r w:rsidR="005371FE">
        <w:t xml:space="preserve">W dniu </w:t>
      </w:r>
      <w:r w:rsidR="00EB2676">
        <w:t>26 lipca 2010 r. R. został przekazany rodzicom.</w:t>
      </w:r>
    </w:p>
    <w:p w14:paraId="7CBD519D" w14:textId="290EBAFB" w:rsidR="00053908" w:rsidRPr="009548E3" w:rsidRDefault="00910770" w:rsidP="009548E3">
      <w:pPr>
        <w:pStyle w:val="ECHRHeading2"/>
      </w:pPr>
      <w:r>
        <w:t>E. Postępowanie dotyczące dostępu skarżących do R.</w:t>
      </w:r>
    </w:p>
    <w:p w14:paraId="05F0F85D" w14:textId="3F384ED8" w:rsidR="0082438C" w:rsidRPr="009548E3" w:rsidRDefault="007310C2" w:rsidP="009548E3">
      <w:pPr>
        <w:pStyle w:val="ECHRPara"/>
      </w:pPr>
      <w:fldSimple w:instr=" SEQ level0 \*arabic ">
        <w:r w:rsidR="00403504">
          <w:rPr>
            <w:noProof/>
          </w:rPr>
          <w:t>51</w:t>
        </w:r>
      </w:fldSimple>
      <w:r w:rsidR="00EB2676">
        <w:t xml:space="preserve">.  W bliżej nieokreślonym dniu pierwsza skarżąca </w:t>
      </w:r>
      <w:r w:rsidR="005371FE">
        <w:t>wystąpiła</w:t>
      </w:r>
      <w:r w:rsidR="00EB2676">
        <w:t xml:space="preserve"> przeciwko rodzicom R. w imieniu swoim i pozostałych skarżących</w:t>
      </w:r>
      <w:r w:rsidR="005371FE">
        <w:t xml:space="preserve"> z wnioskiem</w:t>
      </w:r>
      <w:r w:rsidR="00EB2676">
        <w:t xml:space="preserve"> o uzyskanie dostępu do R. W szczególności zapewniła, że przez dziewięć lat pozostawania R. pod jej opieką, ona i jej przybrane dzieci – w tym pozostali skarżący – utworzyli rodzinę, w której istniała szczególna więź; uskarżała się </w:t>
      </w:r>
      <w:r w:rsidR="00EB2676">
        <w:lastRenderedPageBreak/>
        <w:t xml:space="preserve">ponadto, że po </w:t>
      </w:r>
      <w:r w:rsidR="00E26597">
        <w:t xml:space="preserve">przekazaniu </w:t>
      </w:r>
      <w:r w:rsidR="00EB2676">
        <w:t xml:space="preserve">R. </w:t>
      </w:r>
      <w:r w:rsidR="00E26597">
        <w:t xml:space="preserve">rodzicom </w:t>
      </w:r>
      <w:r w:rsidR="00EB2676">
        <w:t>ustał kontakt między R. a skarżącymi, ponieważ rodzice R. udaremniali ich próby utrzymania kontaktu.</w:t>
      </w:r>
    </w:p>
    <w:p w14:paraId="0874B2DF" w14:textId="58DD266E" w:rsidR="006668EB" w:rsidRPr="009548E3" w:rsidRDefault="007310C2" w:rsidP="009548E3">
      <w:pPr>
        <w:pStyle w:val="ECHRPara"/>
      </w:pPr>
      <w:fldSimple w:instr=" SEQ level0 \*arabic ">
        <w:r w:rsidR="00403504">
          <w:rPr>
            <w:noProof/>
          </w:rPr>
          <w:t>52</w:t>
        </w:r>
      </w:fldSimple>
      <w:r w:rsidR="00EB2676">
        <w:t xml:space="preserve">.  W dniu 19 kwietnia 2011 r. sąd rejonowy dla dzielnicy </w:t>
      </w:r>
      <w:proofErr w:type="spellStart"/>
      <w:r w:rsidR="00EB2676">
        <w:t>Sovetskiy</w:t>
      </w:r>
      <w:proofErr w:type="spellEnd"/>
      <w:r w:rsidR="00EB2676">
        <w:t xml:space="preserve"> w Astrachaniu („</w:t>
      </w:r>
      <w:r w:rsidR="00A329F7">
        <w:t>s</w:t>
      </w:r>
      <w:r w:rsidR="00EB2676">
        <w:t xml:space="preserve">ąd </w:t>
      </w:r>
      <w:r w:rsidR="00A329F7">
        <w:t>r</w:t>
      </w:r>
      <w:r w:rsidR="00EB2676">
        <w:t xml:space="preserve">ejonowy”) oddalił </w:t>
      </w:r>
      <w:r w:rsidR="00A329F7">
        <w:t xml:space="preserve">wniosek </w:t>
      </w:r>
      <w:r w:rsidR="00EB2676">
        <w:t>skarżących.</w:t>
      </w:r>
    </w:p>
    <w:p w14:paraId="7FFED97E" w14:textId="26654923" w:rsidR="006668EB" w:rsidRPr="009548E3" w:rsidRDefault="007310C2" w:rsidP="009548E3">
      <w:pPr>
        <w:pStyle w:val="ECHRPara"/>
      </w:pPr>
      <w:fldSimple w:instr=" SEQ level0 \*arabic ">
        <w:r w:rsidR="00403504">
          <w:rPr>
            <w:noProof/>
          </w:rPr>
          <w:t>53</w:t>
        </w:r>
      </w:fldSimple>
      <w:r w:rsidR="00EB2676">
        <w:t>.  Zauważył w szczególności, że art. 64 rosyjskiego kodeksu rodzinnego (zob. par</w:t>
      </w:r>
      <w:r w:rsidR="00A329F7">
        <w:t>.</w:t>
      </w:r>
      <w:r w:rsidR="00EB2676">
        <w:t xml:space="preserve"> </w:t>
      </w:r>
      <w:r w:rsidR="0044196A" w:rsidRPr="009548E3">
        <w:fldChar w:fldCharType="begin"/>
      </w:r>
      <w:r w:rsidR="0044196A" w:rsidRPr="009548E3">
        <w:instrText xml:space="preserve"> REF A64 \h  \* MERGEFORMAT </w:instrText>
      </w:r>
      <w:r w:rsidR="0044196A" w:rsidRPr="009548E3">
        <w:fldChar w:fldCharType="separate"/>
      </w:r>
      <w:r w:rsidR="00403504">
        <w:t>65</w:t>
      </w:r>
      <w:r w:rsidR="0044196A" w:rsidRPr="009548E3">
        <w:fldChar w:fldCharType="end"/>
      </w:r>
      <w:r w:rsidR="00A329F7">
        <w:t xml:space="preserve"> </w:t>
      </w:r>
      <w:r w:rsidR="00EB2676">
        <w:t xml:space="preserve">poniżej) przyznaje prawo do reprezentowania i ochrony interesów dziecka jego </w:t>
      </w:r>
      <w:r w:rsidR="00072CBD">
        <w:t xml:space="preserve">rodzicom </w:t>
      </w:r>
      <w:r w:rsidR="00EB2676">
        <w:t xml:space="preserve">biologicznym, chyba że </w:t>
      </w:r>
      <w:r w:rsidR="00A329F7">
        <w:t>sprzeciwia się temu dobro</w:t>
      </w:r>
      <w:r w:rsidR="00EB2676">
        <w:t xml:space="preserve"> dziecka. Sąd rejonowy, powołując się na dostępne dowody i zeznania świadków stwierdził, że po </w:t>
      </w:r>
      <w:r w:rsidR="00E26597">
        <w:t xml:space="preserve">przekazaniu </w:t>
      </w:r>
      <w:r w:rsidR="00EB2676">
        <w:t xml:space="preserve">R. </w:t>
      </w:r>
      <w:r w:rsidR="00072CBD">
        <w:t>rodzic</w:t>
      </w:r>
      <w:r w:rsidR="00E26597">
        <w:t>om</w:t>
      </w:r>
      <w:r w:rsidR="00072CBD">
        <w:t xml:space="preserve"> </w:t>
      </w:r>
      <w:r w:rsidR="00E26597">
        <w:t xml:space="preserve">biologicznym </w:t>
      </w:r>
      <w:r w:rsidR="00A329F7">
        <w:t xml:space="preserve">stworzyli </w:t>
      </w:r>
      <w:r w:rsidR="00EB2676">
        <w:t xml:space="preserve">oni wszystkie niezbędne warunki do życia i edukacji chłopca </w:t>
      </w:r>
      <w:r w:rsidR="00A329F7">
        <w:t>oraz</w:t>
      </w:r>
      <w:r w:rsidR="00EB2676">
        <w:t xml:space="preserve"> byli w stanie w pełni sprostać jego potrzebom. W szczególności R. przeszedł wszystkie niezbędne badania lekarskie; a jego rodzice zastosowali się do zaleceń pracowników służby zdrowia w zakresie opieki i pomocy medycznej. Sąd uznał, że rodzice R. działali dla jego dobra.</w:t>
      </w:r>
    </w:p>
    <w:p w14:paraId="6EEAB7B9" w14:textId="0200F5A9" w:rsidR="006668EB" w:rsidRPr="009548E3" w:rsidRDefault="007310C2" w:rsidP="009548E3">
      <w:pPr>
        <w:pStyle w:val="ECHRPara"/>
      </w:pPr>
      <w:fldSimple w:instr=" SEQ level0 \*arabic ">
        <w:r w:rsidR="00403504">
          <w:rPr>
            <w:noProof/>
          </w:rPr>
          <w:t>54</w:t>
        </w:r>
      </w:fldSimple>
      <w:r w:rsidR="00EB2676">
        <w:t xml:space="preserve">.  Sąd </w:t>
      </w:r>
      <w:r w:rsidR="00A329F7">
        <w:t>r</w:t>
      </w:r>
      <w:r w:rsidR="00EB2676">
        <w:t xml:space="preserve">ejonowy zauważył ponadto, że rodzice R. oraz organ ds. opieki nad dziećmi sprzeciwili się kontaktom skarżących z R. Zauważył również, że </w:t>
      </w:r>
      <w:r w:rsidR="00A329F7">
        <w:t>zapoznanie się ze stanowiskiem</w:t>
      </w:r>
      <w:r w:rsidR="00EB2676">
        <w:t xml:space="preserve"> R. w tej kwestii </w:t>
      </w:r>
      <w:r w:rsidR="00A329F7">
        <w:t xml:space="preserve">było niemożliwe </w:t>
      </w:r>
      <w:r w:rsidR="00EB2676">
        <w:t>ze względu na jego stan zdrowia.</w:t>
      </w:r>
    </w:p>
    <w:bookmarkStart w:id="23" w:name="Jud19Apr2011A67"/>
    <w:p w14:paraId="3D972546" w14:textId="301940F6" w:rsidR="006668EB"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55</w:t>
      </w:r>
      <w:r w:rsidRPr="009548E3">
        <w:fldChar w:fldCharType="end"/>
      </w:r>
      <w:bookmarkEnd w:id="23"/>
      <w:r>
        <w:t xml:space="preserve">.  Sąd rejonowy zauważył następnie, że pierwsza skarżąca nie była członkiem rodziny ani krewnym R. w rozumieniu art. 67 rosyjskiego kodeksu rodzinnego (zob. par. </w:t>
      </w:r>
      <w:r w:rsidR="00B7760F" w:rsidRPr="009548E3">
        <w:fldChar w:fldCharType="begin"/>
      </w:r>
      <w:r w:rsidR="00B7760F" w:rsidRPr="009548E3">
        <w:instrText xml:space="preserve"> REF A67 \h  \* MERGEFORMAT </w:instrText>
      </w:r>
      <w:r w:rsidR="00B7760F" w:rsidRPr="009548E3">
        <w:fldChar w:fldCharType="separate"/>
      </w:r>
      <w:r w:rsidR="00403504">
        <w:t>66</w:t>
      </w:r>
      <w:r w:rsidR="00B7760F" w:rsidRPr="009548E3">
        <w:fldChar w:fldCharType="end"/>
      </w:r>
      <w:r>
        <w:t xml:space="preserve"> poniżej), ani nie miała z nim żadnej więzi prawnej po ustaniu jej opieki na podstawie orzeczenia sądu, wskutek czego nie należała ona do kręgu uprawnionych do ubiegania się o dostęp do dziecka na podstawie rosyjskiego kodeksu rodzinnego. W ocenie sądu zeznania wielu świadków potwierdzające przywiązanie R. do pierwszej skarżącej oraz jej troskliwą opiekę nad R. „nie </w:t>
      </w:r>
      <w:r w:rsidR="00A329F7">
        <w:t>uzasadniały</w:t>
      </w:r>
      <w:r>
        <w:t xml:space="preserve"> zaliczenia pierwszej skarżącej do kręgu osób uprawnionych do dostępu do dziecka na podstawie odpowiednich przepisów”.</w:t>
      </w:r>
    </w:p>
    <w:p w14:paraId="6A7DCC03" w14:textId="43B1ADE5" w:rsidR="00053908" w:rsidRPr="009548E3" w:rsidRDefault="007310C2" w:rsidP="009548E3">
      <w:pPr>
        <w:pStyle w:val="ECHRPara"/>
      </w:pPr>
      <w:fldSimple w:instr=" SEQ level0 \*arabic ">
        <w:r w:rsidR="00403504">
          <w:rPr>
            <w:noProof/>
          </w:rPr>
          <w:t>56</w:t>
        </w:r>
      </w:fldSimple>
      <w:r w:rsidR="00EB2676">
        <w:t xml:space="preserve">.  Pierwsza skarżąca wniosła apelację, argumentując w szczególności, że sąd pierwszej instancji </w:t>
      </w:r>
      <w:r w:rsidR="00A329F7">
        <w:t>błędnie przyjął,</w:t>
      </w:r>
      <w:r w:rsidR="00EB2676">
        <w:t xml:space="preserve"> mimo braku </w:t>
      </w:r>
      <w:r w:rsidR="00A329F7">
        <w:t xml:space="preserve">opinii </w:t>
      </w:r>
      <w:r w:rsidR="00EB2676">
        <w:t>biegłego sądowego, że drug</w:t>
      </w:r>
      <w:r w:rsidR="00655DFC">
        <w:t>i</w:t>
      </w:r>
      <w:r w:rsidR="00EB2676">
        <w:t xml:space="preserve"> skarżąc</w:t>
      </w:r>
      <w:r w:rsidR="00655DFC">
        <w:t>y</w:t>
      </w:r>
      <w:r w:rsidR="00EB2676">
        <w:t xml:space="preserve"> </w:t>
      </w:r>
      <w:r w:rsidR="00655DFC">
        <w:t>nie był zdolny</w:t>
      </w:r>
      <w:r w:rsidR="00EB2676">
        <w:t xml:space="preserve"> do </w:t>
      </w:r>
      <w:r w:rsidR="00655DFC">
        <w:t>s</w:t>
      </w:r>
      <w:r w:rsidR="00EB2676">
        <w:t xml:space="preserve">tworzenia i utrzymania więzi przywiązania z nią oraz pozostałymi skarżącymi; skarżyła się, że jej wniosek o zlecenie takiej </w:t>
      </w:r>
      <w:r w:rsidR="00A329F7">
        <w:t xml:space="preserve">opinii biegłemu </w:t>
      </w:r>
      <w:r w:rsidR="00EB2676">
        <w:t xml:space="preserve">został odrzucony przez sąd rejonowy. Skarżąca twierdziła również, że sąd pierwszej instancji powinien był zastosować art. 67 rosyjskiego kodeksu rodzinnego </w:t>
      </w:r>
      <w:r w:rsidR="00A329F7" w:rsidRPr="0078611D">
        <w:rPr>
          <w:i/>
          <w:iCs/>
        </w:rPr>
        <w:t xml:space="preserve">per </w:t>
      </w:r>
      <w:r w:rsidR="00EB2676" w:rsidRPr="0078611D">
        <w:rPr>
          <w:i/>
          <w:iCs/>
        </w:rPr>
        <w:t>analogi</w:t>
      </w:r>
      <w:r w:rsidR="00A329F7" w:rsidRPr="0078611D">
        <w:rPr>
          <w:i/>
          <w:iCs/>
        </w:rPr>
        <w:t>am</w:t>
      </w:r>
      <w:r w:rsidR="00EB2676">
        <w:t>, ponieważ relacja między skarżącymi a R. była podobna do relacji między biologicznymi członkami rodziny.</w:t>
      </w:r>
    </w:p>
    <w:bookmarkStart w:id="24" w:name="Dec8June2011A67"/>
    <w:p w14:paraId="77088A45" w14:textId="6D33B096" w:rsidR="00053908"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57</w:t>
      </w:r>
      <w:r w:rsidRPr="009548E3">
        <w:fldChar w:fldCharType="end"/>
      </w:r>
      <w:bookmarkEnd w:id="24"/>
      <w:r>
        <w:t>.  W dniu 8 czerwca 2011 r. w postępowaniu apelacyjnym sąd okręgowy utrzymał dotychczasow</w:t>
      </w:r>
      <w:r w:rsidR="00A329F7">
        <w:t>e orzeczenie w mocy</w:t>
      </w:r>
      <w:r>
        <w:t>. Zauważył w szczególności:</w:t>
      </w:r>
    </w:p>
    <w:p w14:paraId="1DAD6A96" w14:textId="1441D461" w:rsidR="00053908" w:rsidRPr="009548E3" w:rsidRDefault="00053908" w:rsidP="009548E3">
      <w:pPr>
        <w:pStyle w:val="ECHRParaQuote"/>
      </w:pPr>
      <w:r>
        <w:t xml:space="preserve">„Oddalając roszczenia [pierwszej skarżącej], sąd [pierwszej instancji] uznał, że zgodnie z art. 67 kodeksu rodzinnego Federacji Rosyjskiej prawo dostępu do dziecka przysługuje dziadkom, babkom, braciom, siostrom i innym krewnym, podczas gdy [pierwsza skarżąca] nie jest, z mocy prawa, uważana za członka rodziny, krewną osoby małoletniej, ani żadną inną osobę, której stosunki z małoletnim regulują przepisy prawa </w:t>
      </w:r>
      <w:r>
        <w:lastRenderedPageBreak/>
        <w:t>rodzinnego (wyznaczeni opiekunowie, kuratorzy, faktyczni opiekunowie), ponieważ jej opieka ustała.</w:t>
      </w:r>
    </w:p>
    <w:p w14:paraId="20DEB72A" w14:textId="71106B61" w:rsidR="00053908" w:rsidRPr="009548E3" w:rsidRDefault="00053908" w:rsidP="009548E3">
      <w:pPr>
        <w:pStyle w:val="ECHRParaQuote"/>
      </w:pPr>
      <w:r>
        <w:t xml:space="preserve">[Sąd okręgowy] </w:t>
      </w:r>
      <w:r w:rsidR="00A329F7">
        <w:t xml:space="preserve">podziela </w:t>
      </w:r>
      <w:r>
        <w:t xml:space="preserve">powyższe ustalenia sądu pierwszej instancji. Na podstawie przepisów kodeksu rodzinnego Federacji Rosyjskiej prawo dostępu do dziecka przysługuje babce, dziadkowi, braciom i siostrom [oraz] bliskim krewnym dziecka, którzy biorą udział w jego wychowaniu i edukacji. Przepisy chronią zatem [odpowiednie prawa] bliskich krewnych. Prawo dostępu do dziecka nie </w:t>
      </w:r>
      <w:r w:rsidR="00A329F7">
        <w:t>przysługuje</w:t>
      </w:r>
      <w:r>
        <w:t xml:space="preserve"> innym osobom.”</w:t>
      </w:r>
    </w:p>
    <w:bookmarkStart w:id="25" w:name="Dec8June2011NoReasonApplyA67ByAnalogy"/>
    <w:p w14:paraId="1B25825A" w14:textId="559A7B0F" w:rsidR="00DE4270"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58</w:t>
      </w:r>
      <w:r w:rsidRPr="009548E3">
        <w:fldChar w:fldCharType="end"/>
      </w:r>
      <w:bookmarkEnd w:id="25"/>
      <w:r>
        <w:t xml:space="preserve">.  W odniesieniu do zarzutu pierwszej skarżącej, że sąd pierwszej instancji powinien był zastosować art. 67 rosyjskiego kodeksu rodzinnego </w:t>
      </w:r>
      <w:r w:rsidR="00A329F7" w:rsidRPr="0078611D">
        <w:rPr>
          <w:i/>
          <w:iCs/>
        </w:rPr>
        <w:t>per analogiam</w:t>
      </w:r>
      <w:r w:rsidRPr="0078611D">
        <w:rPr>
          <w:i/>
          <w:iCs/>
        </w:rPr>
        <w:t xml:space="preserve"> </w:t>
      </w:r>
      <w:r>
        <w:t xml:space="preserve">i powinien uznać ją za członka rodziny R., zważywszy na charakter łączących ich więzi, sąd </w:t>
      </w:r>
      <w:r w:rsidR="00A329F7">
        <w:t xml:space="preserve">drugiej instancji </w:t>
      </w:r>
      <w:r>
        <w:t>zauważył, co następuje:</w:t>
      </w:r>
    </w:p>
    <w:p w14:paraId="0906841A" w14:textId="46FAC4E8" w:rsidR="00053908" w:rsidRPr="009548E3" w:rsidRDefault="00DE4270" w:rsidP="009548E3">
      <w:pPr>
        <w:pStyle w:val="ECHRParaQuote"/>
      </w:pPr>
      <w:r>
        <w:t xml:space="preserve">„Rozstrzygając spór, sąd nie zastosował przepisów ustawy </w:t>
      </w:r>
      <w:r w:rsidR="00A329F7" w:rsidRPr="0078611D">
        <w:rPr>
          <w:i/>
          <w:iCs/>
        </w:rPr>
        <w:t>per analogiam</w:t>
      </w:r>
      <w:r>
        <w:t xml:space="preserve">. […] </w:t>
      </w:r>
      <w:r w:rsidR="00A329F7">
        <w:t>Z prawnego punktu widzenia</w:t>
      </w:r>
      <w:r w:rsidR="00A329F7" w:rsidDel="00A329F7">
        <w:t xml:space="preserve"> </w:t>
      </w:r>
      <w:r w:rsidR="00A329F7">
        <w:t>p</w:t>
      </w:r>
      <w:r>
        <w:t>rzez członków rodziny</w:t>
      </w:r>
      <w:r w:rsidR="00A329F7">
        <w:t xml:space="preserve"> </w:t>
      </w:r>
      <w:r>
        <w:t xml:space="preserve">rozumie się wyłącznie osoby wymienione </w:t>
      </w:r>
      <w:r w:rsidR="00A329F7">
        <w:t xml:space="preserve">wprost </w:t>
      </w:r>
      <w:r>
        <w:t xml:space="preserve">w kodeksie rodzinnym Federacji Rosyjskiej. W przeciwnym razie rozwiązanie sporu </w:t>
      </w:r>
      <w:r w:rsidR="00A329F7" w:rsidRPr="0078611D">
        <w:rPr>
          <w:i/>
          <w:iCs/>
        </w:rPr>
        <w:t>per analogiam</w:t>
      </w:r>
      <w:r>
        <w:t xml:space="preserve"> byłoby sprzeczne z istotą więzi rodzinnej”.</w:t>
      </w:r>
    </w:p>
    <w:p w14:paraId="5A067EE8" w14:textId="41CA97B3" w:rsidR="00DE4270" w:rsidRPr="009548E3" w:rsidRDefault="007310C2" w:rsidP="009548E3">
      <w:pPr>
        <w:pStyle w:val="ECHRPara"/>
      </w:pPr>
      <w:fldSimple w:instr=" SEQ level0 \*arabic ">
        <w:r w:rsidR="00403504">
          <w:rPr>
            <w:noProof/>
          </w:rPr>
          <w:t>59</w:t>
        </w:r>
      </w:fldSimple>
      <w:r w:rsidR="00EB2676">
        <w:t>.  Sąd odrzucił również zarzut skarżącej, że sąd pierwszej instancji nie określił stopnia przywiązania R. do skarżących; stwierdził w związku z tym, że omawiany zarzut „jest pozbawiony podstawy prawnej”.</w:t>
      </w:r>
    </w:p>
    <w:p w14:paraId="463F8397" w14:textId="4072C05D" w:rsidR="006668EB" w:rsidRPr="009548E3" w:rsidRDefault="007310C2" w:rsidP="009548E3">
      <w:pPr>
        <w:pStyle w:val="ECHRPara"/>
      </w:pPr>
      <w:fldSimple w:instr=" SEQ level0 \*arabic ">
        <w:r w:rsidR="00403504">
          <w:rPr>
            <w:noProof/>
          </w:rPr>
          <w:t>60</w:t>
        </w:r>
      </w:fldSimple>
      <w:r w:rsidR="00EB2676">
        <w:t xml:space="preserve">.  Sąd okręgowy </w:t>
      </w:r>
      <w:r w:rsidR="00A329F7">
        <w:t xml:space="preserve">podzielił </w:t>
      </w:r>
      <w:r w:rsidR="00EB2676">
        <w:t xml:space="preserve">również ustalenia </w:t>
      </w:r>
      <w:r w:rsidR="00A329F7">
        <w:t>s</w:t>
      </w:r>
      <w:r w:rsidR="00EB2676">
        <w:t xml:space="preserve">ądu </w:t>
      </w:r>
      <w:r w:rsidR="00A329F7">
        <w:t>r</w:t>
      </w:r>
      <w:r w:rsidR="00EB2676">
        <w:t>ejonowego, że rodzice R. zapewnili dziecku wymaganą opiekę, oraz że podjęli niezbędne środki medyczne i rehabilitacyjne. Sąd „[stwierdził], że nie ma dowodów na to, iż prawa lub interesy R. [zostały] naruszone” i odrzucił zarzuty pierwszej skarżącej w tym przedmiocie jako bezpodstawne.</w:t>
      </w:r>
    </w:p>
    <w:p w14:paraId="0DA8149F" w14:textId="77777777" w:rsidR="00014566" w:rsidRPr="009548E3" w:rsidRDefault="00014566" w:rsidP="009548E3">
      <w:pPr>
        <w:pStyle w:val="ECHRHeading1"/>
      </w:pPr>
      <w:r>
        <w:t>II.  ISTOTNE PRZEPISY PRAWA KRAJOWEGO</w:t>
      </w:r>
    </w:p>
    <w:p w14:paraId="042BC64C" w14:textId="77777777" w:rsidR="00AD41BF" w:rsidRPr="009548E3" w:rsidRDefault="00AD41BF" w:rsidP="009548E3">
      <w:pPr>
        <w:pStyle w:val="ECHRHeading2"/>
      </w:pPr>
      <w:r>
        <w:t>A.  Rosyjski kodeks rodzinny</w:t>
      </w:r>
    </w:p>
    <w:p w14:paraId="1E62FD5F" w14:textId="77777777" w:rsidR="00AD41BF" w:rsidRPr="009548E3" w:rsidRDefault="00AD41BF" w:rsidP="009548E3">
      <w:pPr>
        <w:pStyle w:val="ECHRHeading3"/>
      </w:pPr>
      <w:r>
        <w:t>1.  Przepisy dotyczące ochrony praw dziecka</w:t>
      </w:r>
    </w:p>
    <w:bookmarkStart w:id="26" w:name="A54"/>
    <w:p w14:paraId="569EDBFC" w14:textId="43A723A2" w:rsidR="006668EB" w:rsidRPr="009548E3" w:rsidRDefault="00AD41BF" w:rsidP="009548E3">
      <w:pPr>
        <w:pStyle w:val="ECHRPara"/>
      </w:pPr>
      <w:r w:rsidRPr="009548E3">
        <w:fldChar w:fldCharType="begin"/>
      </w:r>
      <w:r w:rsidRPr="009548E3">
        <w:instrText xml:space="preserve"> SEQ level0 \*arabic </w:instrText>
      </w:r>
      <w:r w:rsidRPr="009548E3">
        <w:fldChar w:fldCharType="separate"/>
      </w:r>
      <w:r w:rsidR="00403504">
        <w:rPr>
          <w:noProof/>
        </w:rPr>
        <w:t>61</w:t>
      </w:r>
      <w:r w:rsidRPr="009548E3">
        <w:fldChar w:fldCharType="end"/>
      </w:r>
      <w:bookmarkEnd w:id="26"/>
      <w:r>
        <w:t xml:space="preserve">.  Artykuł 54 stanowi, że każde dziecko, </w:t>
      </w:r>
      <w:r w:rsidR="001F3533">
        <w:t>tj.</w:t>
      </w:r>
      <w:r>
        <w:t xml:space="preserve"> osoba</w:t>
      </w:r>
      <w:r w:rsidR="001F3533">
        <w:t>, która nie ukończyła</w:t>
      </w:r>
      <w:r>
        <w:t xml:space="preserve"> 18 roku życia, ma prawo do życia i wychowania w rodzinie oraz, o ile to możliwe, prawo do poznania swoich rodziców, prawo do ich opieki, prawo do wspólnego życia z nimi, chyba że </w:t>
      </w:r>
      <w:r w:rsidR="001F3533">
        <w:t>sprzeciwia się temu</w:t>
      </w:r>
      <w:r>
        <w:t xml:space="preserve"> jego dobr</w:t>
      </w:r>
      <w:r w:rsidR="001F3533">
        <w:t>o</w:t>
      </w:r>
      <w:r>
        <w:t>.</w:t>
      </w:r>
    </w:p>
    <w:p w14:paraId="276A2E69" w14:textId="06F0D648" w:rsidR="00AD41BF" w:rsidRPr="009548E3" w:rsidRDefault="007310C2" w:rsidP="009548E3">
      <w:pPr>
        <w:pStyle w:val="ECHRPara"/>
      </w:pPr>
      <w:fldSimple w:instr=" SEQ level0 \*arabic ">
        <w:r w:rsidR="00403504">
          <w:rPr>
            <w:noProof/>
          </w:rPr>
          <w:t>62</w:t>
        </w:r>
      </w:fldSimple>
      <w:r w:rsidR="00AD41BF">
        <w:t>.  Artykuł 55 uprawnia dziecko do utrzymywania kontaktu z rodzicami, dziadkami, braćmi, siostrami i innymi krewnymi.</w:t>
      </w:r>
    </w:p>
    <w:p w14:paraId="2F834025" w14:textId="1AC30F7C" w:rsidR="00AD41BF" w:rsidRPr="009548E3" w:rsidRDefault="007310C2" w:rsidP="009548E3">
      <w:pPr>
        <w:pStyle w:val="ECHRPara"/>
      </w:pPr>
      <w:fldSimple w:instr=" SEQ level0 \*arabic ">
        <w:r w:rsidR="00403504">
          <w:rPr>
            <w:noProof/>
          </w:rPr>
          <w:t>63</w:t>
        </w:r>
      </w:fldSimple>
      <w:r w:rsidR="00AD41BF">
        <w:t>.  </w:t>
      </w:r>
      <w:r w:rsidR="001F3533">
        <w:t>Zgodnie z</w:t>
      </w:r>
      <w:r w:rsidR="00AD41BF">
        <w:t xml:space="preserve"> art. 57 dziecko ma prawo do wypowiadania się we wszystkich </w:t>
      </w:r>
      <w:r w:rsidR="001F3533">
        <w:t xml:space="preserve">dotyczących go </w:t>
      </w:r>
      <w:r w:rsidR="00AD41BF">
        <w:t>sprawach rodzinnych, także w toku postępowania sądowego. Należy brać pod uwagę zdanie dziecka powyżej dziesiątego roku życia, chyba że jest to sprzeczne z jego dobrem.</w:t>
      </w:r>
    </w:p>
    <w:p w14:paraId="5940A8A7" w14:textId="77777777" w:rsidR="00AD41BF" w:rsidRPr="009548E3" w:rsidRDefault="00AD41BF" w:rsidP="009548E3">
      <w:pPr>
        <w:pStyle w:val="ECHRHeading3"/>
      </w:pPr>
      <w:r>
        <w:lastRenderedPageBreak/>
        <w:t>2.  Przepisy dotyczące praw i obowiązków rodziców</w:t>
      </w:r>
    </w:p>
    <w:bookmarkStart w:id="27" w:name="A63"/>
    <w:p w14:paraId="2092E703" w14:textId="50EC0F67" w:rsidR="00AD41BF" w:rsidRPr="009548E3" w:rsidRDefault="00AD41BF" w:rsidP="009548E3">
      <w:pPr>
        <w:pStyle w:val="ECHRPara"/>
      </w:pPr>
      <w:r w:rsidRPr="009548E3">
        <w:fldChar w:fldCharType="begin"/>
      </w:r>
      <w:r w:rsidRPr="009548E3">
        <w:instrText xml:space="preserve"> SEQ level0 \*arabic </w:instrText>
      </w:r>
      <w:r w:rsidRPr="009548E3">
        <w:fldChar w:fldCharType="separate"/>
      </w:r>
      <w:r w:rsidR="00403504">
        <w:rPr>
          <w:noProof/>
        </w:rPr>
        <w:t>64</w:t>
      </w:r>
      <w:r w:rsidRPr="009548E3">
        <w:fldChar w:fldCharType="end"/>
      </w:r>
      <w:bookmarkEnd w:id="27"/>
      <w:r>
        <w:t xml:space="preserve">.  Artykuł 63 stanowi, że prawo rodziców do wychowania dzieci ma pierwszeństwo przed </w:t>
      </w:r>
      <w:r w:rsidR="006B3FF7">
        <w:t xml:space="preserve">tym samym </w:t>
      </w:r>
      <w:r>
        <w:t xml:space="preserve">prawem </w:t>
      </w:r>
      <w:r w:rsidR="006B3FF7">
        <w:t xml:space="preserve">przysługującym </w:t>
      </w:r>
      <w:r>
        <w:t>jakiejkolwiek innej osob</w:t>
      </w:r>
      <w:r w:rsidR="006B3FF7">
        <w:t>ie</w:t>
      </w:r>
      <w:r>
        <w:t>.</w:t>
      </w:r>
    </w:p>
    <w:bookmarkStart w:id="28" w:name="A64"/>
    <w:p w14:paraId="3EB5177C" w14:textId="274C0412" w:rsidR="006668EB" w:rsidRPr="009548E3" w:rsidRDefault="00CE0C01" w:rsidP="009548E3">
      <w:pPr>
        <w:pStyle w:val="ECHRPara"/>
      </w:pPr>
      <w:r w:rsidRPr="009548E3">
        <w:fldChar w:fldCharType="begin"/>
      </w:r>
      <w:r w:rsidRPr="009548E3">
        <w:instrText xml:space="preserve"> SEQ level0 \*arabic </w:instrText>
      </w:r>
      <w:r w:rsidRPr="009548E3">
        <w:fldChar w:fldCharType="separate"/>
      </w:r>
      <w:r w:rsidR="00403504">
        <w:rPr>
          <w:noProof/>
        </w:rPr>
        <w:t>65</w:t>
      </w:r>
      <w:r w:rsidRPr="009548E3">
        <w:fldChar w:fldCharType="end"/>
      </w:r>
      <w:bookmarkEnd w:id="28"/>
      <w:r>
        <w:t xml:space="preserve">.  Artykuł 64 stanowi, że prawa i interesy dzieci muszą być chronione przez ich rodziców. Rodzice są uprawnieni do występowania w charakterze przedstawicieli prawnych swoich dzieci oraz do ochrony ich praw i interesów w stosunkach dzieci z osobami fizycznymi lub prawnymi, w tym przed sądami. Druga część artykułu stanowi, że rodzice nie mają prawa reprezentować swoich dzieci, jeżeli właściwy organ ds. opieki nad dziećmi stwierdzi istnienie konfliktu między interesami rodziców a interesami ich dzieci. </w:t>
      </w:r>
      <w:bookmarkStart w:id="29" w:name="dst100298"/>
      <w:bookmarkEnd w:id="29"/>
      <w:r>
        <w:t xml:space="preserve">W takim przypadku organ ds. opieki nad dziećmi ma obowiązek </w:t>
      </w:r>
      <w:r w:rsidR="006B3FF7">
        <w:t>wyznaczyć kuratora dla dziecka</w:t>
      </w:r>
      <w:r>
        <w:t>.</w:t>
      </w:r>
    </w:p>
    <w:bookmarkStart w:id="30" w:name="A67"/>
    <w:p w14:paraId="4452CF22" w14:textId="66DF5A68" w:rsidR="008B216F" w:rsidRPr="009548E3" w:rsidRDefault="008B216F" w:rsidP="009548E3">
      <w:pPr>
        <w:pStyle w:val="ECHRPara"/>
      </w:pPr>
      <w:r w:rsidRPr="009548E3">
        <w:fldChar w:fldCharType="begin"/>
      </w:r>
      <w:r w:rsidRPr="009548E3">
        <w:instrText xml:space="preserve"> SEQ level0 \*arabic </w:instrText>
      </w:r>
      <w:r w:rsidRPr="009548E3">
        <w:fldChar w:fldCharType="separate"/>
      </w:r>
      <w:r w:rsidR="00403504">
        <w:rPr>
          <w:noProof/>
        </w:rPr>
        <w:t>66</w:t>
      </w:r>
      <w:r w:rsidRPr="009548E3">
        <w:fldChar w:fldCharType="end"/>
      </w:r>
      <w:bookmarkEnd w:id="30"/>
      <w:r>
        <w:t xml:space="preserve">.  Na mocy art. 67 dziadkowie, bracia, siostry i inni krewni mają prawo do utrzymywania kontaktu z dzieckiem. Jeżeli rodzice lub jedno z nich uniemożliwiają bliskim krewnym widywanie się z dzieckiem, organ ds. opieki nad dzieckiem może </w:t>
      </w:r>
      <w:r w:rsidR="00E26597">
        <w:t xml:space="preserve">orzec o </w:t>
      </w:r>
      <w:r>
        <w:t>kontakt</w:t>
      </w:r>
      <w:r w:rsidR="00E26597">
        <w:t>ach</w:t>
      </w:r>
      <w:r>
        <w:t xml:space="preserve"> między dzieckiem a danym krewnym. Jeżeli rodzice nie zastosują się do nakazu organu ds. opieki nad dzieckiem, zainteresowany krewny lub organ ds. opieki nad dzieckiem może wystąpić do sądu o </w:t>
      </w:r>
      <w:r w:rsidR="00541E92">
        <w:t xml:space="preserve">sposób </w:t>
      </w:r>
      <w:r w:rsidR="006B3FF7">
        <w:t xml:space="preserve">uregulowania </w:t>
      </w:r>
      <w:r>
        <w:t>kontakt</w:t>
      </w:r>
      <w:r w:rsidR="006B3FF7">
        <w:t>ów</w:t>
      </w:r>
      <w:r>
        <w:t xml:space="preserve">. Sąd musi podjąć decyzję kierując się dobrem dziecka i musi </w:t>
      </w:r>
      <w:r w:rsidR="006B3FF7">
        <w:t>je wysłuchać</w:t>
      </w:r>
      <w:r>
        <w:t xml:space="preserve">. </w:t>
      </w:r>
      <w:r w:rsidR="006B3FF7">
        <w:t>R</w:t>
      </w:r>
      <w:r>
        <w:t>odzice</w:t>
      </w:r>
      <w:r w:rsidR="006B3FF7">
        <w:t>, którzy</w:t>
      </w:r>
      <w:r>
        <w:t xml:space="preserve"> nie zastosują się do wydanego przez sąd</w:t>
      </w:r>
      <w:r w:rsidR="006B3FF7">
        <w:t xml:space="preserve"> orzeczenia regulującego kontakty</w:t>
      </w:r>
      <w:r>
        <w:t>, mogą zostać pociągnięci do odpowiedzialności prawnej.</w:t>
      </w:r>
    </w:p>
    <w:bookmarkStart w:id="31" w:name="A68"/>
    <w:p w14:paraId="37E11216" w14:textId="745F9C32" w:rsidR="00AD41BF" w:rsidRPr="009548E3" w:rsidRDefault="00AD41BF" w:rsidP="009548E3">
      <w:pPr>
        <w:pStyle w:val="ECHRPara"/>
      </w:pPr>
      <w:r w:rsidRPr="009548E3">
        <w:fldChar w:fldCharType="begin"/>
      </w:r>
      <w:r w:rsidRPr="009548E3">
        <w:instrText xml:space="preserve"> SEQ level0 \*arabic </w:instrText>
      </w:r>
      <w:r w:rsidRPr="009548E3">
        <w:fldChar w:fldCharType="separate"/>
      </w:r>
      <w:r w:rsidR="00403504">
        <w:rPr>
          <w:noProof/>
        </w:rPr>
        <w:t>67</w:t>
      </w:r>
      <w:r w:rsidRPr="009548E3">
        <w:fldChar w:fldCharType="end"/>
      </w:r>
      <w:bookmarkEnd w:id="31"/>
      <w:r>
        <w:t xml:space="preserve">.  Artykuł 68 przyznaje rodzicom prawo do </w:t>
      </w:r>
      <w:r w:rsidR="006B3FF7">
        <w:t>żądania</w:t>
      </w:r>
      <w:r>
        <w:t xml:space="preserve"> zwrot</w:t>
      </w:r>
      <w:r w:rsidR="006B3FF7">
        <w:t>u</w:t>
      </w:r>
      <w:r>
        <w:t xml:space="preserve"> dziecka od osoby, która zatrzymuje ich dziecko bez podstawy </w:t>
      </w:r>
      <w:r w:rsidR="006B3FF7">
        <w:t xml:space="preserve">prawnej </w:t>
      </w:r>
      <w:r>
        <w:t xml:space="preserve">lub orzeczenia sądu. W przypadku wystąpienia sporu rodzicom przysługuje prawo </w:t>
      </w:r>
      <w:r w:rsidR="006B3FF7">
        <w:t xml:space="preserve">wystąpienia </w:t>
      </w:r>
      <w:r>
        <w:t xml:space="preserve">do sądu </w:t>
      </w:r>
      <w:r w:rsidR="006B3FF7">
        <w:t>z roszczeniem o</w:t>
      </w:r>
      <w:r>
        <w:t xml:space="preserve"> ochronę ich praw. Rozpatrując roszczenie sąd może, </w:t>
      </w:r>
      <w:r w:rsidR="006B3FF7">
        <w:t>po odpowiednim wysłuchaniu</w:t>
      </w:r>
      <w:r>
        <w:t xml:space="preserve"> dziecka, odrzucić roszczenie, jeżeli uzna, że​</w:t>
      </w:r>
      <w:r w:rsidR="006B3FF7">
        <w:t xml:space="preserve"> </w:t>
      </w:r>
      <w:r>
        <w:t>przekazani</w:t>
      </w:r>
      <w:r w:rsidR="006B3FF7">
        <w:t>u</w:t>
      </w:r>
      <w:r>
        <w:t xml:space="preserve"> dziecka rodzicom </w:t>
      </w:r>
      <w:r w:rsidR="006B3FF7">
        <w:t>sprzeciwia się</w:t>
      </w:r>
      <w:r>
        <w:t xml:space="preserve"> dobr</w:t>
      </w:r>
      <w:r w:rsidR="006B3FF7">
        <w:t>o</w:t>
      </w:r>
      <w:r>
        <w:t xml:space="preserve"> dziecka.</w:t>
      </w:r>
    </w:p>
    <w:bookmarkStart w:id="32" w:name="A69"/>
    <w:p w14:paraId="507F9B73" w14:textId="071E2D55" w:rsidR="00AD41BF" w:rsidRPr="009548E3" w:rsidRDefault="00AD41BF" w:rsidP="009548E3">
      <w:pPr>
        <w:pStyle w:val="ECHRPara"/>
        <w:rPr>
          <w:bCs/>
        </w:rPr>
      </w:pPr>
      <w:r w:rsidRPr="009548E3">
        <w:fldChar w:fldCharType="begin"/>
      </w:r>
      <w:r w:rsidRPr="009548E3">
        <w:instrText xml:space="preserve"> SEQ level0 \*arabic </w:instrText>
      </w:r>
      <w:r w:rsidRPr="009548E3">
        <w:fldChar w:fldCharType="separate"/>
      </w:r>
      <w:r w:rsidR="00403504">
        <w:rPr>
          <w:noProof/>
        </w:rPr>
        <w:t>68</w:t>
      </w:r>
      <w:r w:rsidRPr="009548E3">
        <w:fldChar w:fldCharType="end"/>
      </w:r>
      <w:bookmarkEnd w:id="32"/>
      <w:r>
        <w:t xml:space="preserve">.  Artykuł 69 stanowi, że rodzic może zostać pozbawiony władzy rodzicielskiej, jeżeli </w:t>
      </w:r>
      <w:r w:rsidR="003E1275">
        <w:t xml:space="preserve">uchyla się od </w:t>
      </w:r>
      <w:r>
        <w:t xml:space="preserve">obowiązków rodzicielskich, takich jak obowiązek płacenia alimentów na dziecko; odmawia odebrania dziecka ze szpitala położniczego, innej </w:t>
      </w:r>
      <w:r w:rsidR="003E1275">
        <w:t xml:space="preserve">placówki </w:t>
      </w:r>
      <w:r>
        <w:t>medycznej, edukacyjnej, społecznej lub podobnej</w:t>
      </w:r>
      <w:r w:rsidR="003E1275">
        <w:t xml:space="preserve"> placówki</w:t>
      </w:r>
      <w:r>
        <w:t xml:space="preserve">; nadużywa władzy rodzicielskiej; znęca się nad dzieckiem, </w:t>
      </w:r>
      <w:r w:rsidR="003E1275">
        <w:t>stosując</w:t>
      </w:r>
      <w:r>
        <w:t xml:space="preserve"> przemoc fizyczn</w:t>
      </w:r>
      <w:r w:rsidR="003E1275">
        <w:t>ą</w:t>
      </w:r>
      <w:r>
        <w:t xml:space="preserve"> lub psychiczn</w:t>
      </w:r>
      <w:r w:rsidR="003E1275">
        <w:t>ą</w:t>
      </w:r>
      <w:r>
        <w:t xml:space="preserve"> lub </w:t>
      </w:r>
      <w:r w:rsidR="003E1275">
        <w:t>wykorzystując je seksualnie</w:t>
      </w:r>
      <w:r>
        <w:t>; uporczywie nadużywa alkoholu lub narkotyków; lub popełnił umyślne przestępstwo przeciwko życiu lub zdrowiu swoich dzieci lub małżonka.</w:t>
      </w:r>
    </w:p>
    <w:p w14:paraId="4A7B733A" w14:textId="77777777" w:rsidR="00AD41BF" w:rsidRPr="009548E3" w:rsidRDefault="00AD41BF" w:rsidP="009548E3">
      <w:pPr>
        <w:pStyle w:val="ECHRHeading3"/>
      </w:pPr>
      <w:r>
        <w:t>3.  Przepisy regulujące opiekę</w:t>
      </w:r>
    </w:p>
    <w:p w14:paraId="7D0059D9" w14:textId="6E74A80C" w:rsidR="001A2DDF" w:rsidRPr="009548E3" w:rsidRDefault="007310C2" w:rsidP="009548E3">
      <w:pPr>
        <w:pStyle w:val="ECHRPara"/>
      </w:pPr>
      <w:fldSimple w:instr=" SEQ level0 \*arabic ">
        <w:r w:rsidR="00403504">
          <w:rPr>
            <w:noProof/>
          </w:rPr>
          <w:t>69</w:t>
        </w:r>
      </w:fldSimple>
      <w:r w:rsidR="00AD41BF">
        <w:t xml:space="preserve">.  Art. 148 ust. 1 stanowi w szczególności, że prawa i obowiązki opiekuna prawnego określa ustawa federalna „O opiece” (patrz par. </w:t>
      </w:r>
      <w:r w:rsidR="00F42140" w:rsidRPr="009548E3">
        <w:fldChar w:fldCharType="begin"/>
      </w:r>
      <w:r w:rsidR="00F42140" w:rsidRPr="009548E3">
        <w:instrText xml:space="preserve"> REF LawOnGuardianship \h </w:instrText>
      </w:r>
      <w:r w:rsidR="00616105" w:rsidRPr="009548E3">
        <w:instrText xml:space="preserve"> \* MERGEFORMAT </w:instrText>
      </w:r>
      <w:r w:rsidR="00F42140" w:rsidRPr="009548E3">
        <w:fldChar w:fldCharType="separate"/>
      </w:r>
      <w:r w:rsidR="00403504">
        <w:t>70</w:t>
      </w:r>
      <w:r w:rsidR="00F42140" w:rsidRPr="009548E3">
        <w:fldChar w:fldCharType="end"/>
      </w:r>
      <w:r w:rsidR="00AD41BF">
        <w:t xml:space="preserve"> </w:t>
      </w:r>
      <w:r w:rsidR="00AD41BF">
        <w:lastRenderedPageBreak/>
        <w:t>poniżej). Ponadto stanowi, że o ile ustawa federalna nie stanowi inaczej, rodzice lub osoby je zastępujące tracą swoje prawa i obowiązki w zakresie reprezentowania oraz ochrony praw i interesów dziecka z chwilą nabycia przez opiekuna takich praw i obowiązków. Stanowi również, że opiekun prawny nie ma prawa utrudniać dziecku kontakt</w:t>
      </w:r>
      <w:r w:rsidR="003E1275">
        <w:t>ów</w:t>
      </w:r>
      <w:r w:rsidR="00AD41BF">
        <w:t xml:space="preserve"> z jego rodzicami i innymi krewnymi, chyba że </w:t>
      </w:r>
      <w:r w:rsidR="003E1275">
        <w:t>sprzeciwia się im</w:t>
      </w:r>
      <w:r w:rsidR="00AD41BF">
        <w:t xml:space="preserve"> dobro dziecka.</w:t>
      </w:r>
    </w:p>
    <w:p w14:paraId="1183DB9C" w14:textId="0C5FCF65" w:rsidR="000336E5" w:rsidRPr="009548E3" w:rsidRDefault="007F0C4F" w:rsidP="009548E3">
      <w:pPr>
        <w:pStyle w:val="ECHRHeading2"/>
      </w:pPr>
      <w:r>
        <w:t>B.  Ustawa federalna “</w:t>
      </w:r>
      <w:r w:rsidR="003E1275">
        <w:t>O</w:t>
      </w:r>
      <w:r>
        <w:t xml:space="preserve"> opiece”</w:t>
      </w:r>
    </w:p>
    <w:bookmarkStart w:id="33" w:name="LawOnGuardianship"/>
    <w:p w14:paraId="0A8CBA3B" w14:textId="7B7BF738" w:rsidR="003136CE" w:rsidRPr="009548E3" w:rsidRDefault="004F1913" w:rsidP="009548E3">
      <w:pPr>
        <w:pStyle w:val="ECHRPara"/>
      </w:pPr>
      <w:r w:rsidRPr="009548E3">
        <w:fldChar w:fldCharType="begin"/>
      </w:r>
      <w:r w:rsidRPr="009548E3">
        <w:instrText xml:space="preserve"> SEQ level0 \*arabic </w:instrText>
      </w:r>
      <w:r w:rsidRPr="009548E3">
        <w:fldChar w:fldCharType="separate"/>
      </w:r>
      <w:r w:rsidR="00403504">
        <w:rPr>
          <w:noProof/>
        </w:rPr>
        <w:t>70</w:t>
      </w:r>
      <w:r w:rsidRPr="009548E3">
        <w:fldChar w:fldCharType="end"/>
      </w:r>
      <w:bookmarkEnd w:id="33"/>
      <w:r>
        <w:t>.  Art. 15 ust. 2 ustawy federalnej nr 48-FZ “</w:t>
      </w:r>
      <w:r w:rsidR="003E1275">
        <w:t>O</w:t>
      </w:r>
      <w:r>
        <w:t xml:space="preserve"> opiece” z </w:t>
      </w:r>
      <w:r w:rsidR="003E1275">
        <w:t xml:space="preserve">dnia </w:t>
      </w:r>
      <w:r>
        <w:t>24 kwietnia 2008 r. (</w:t>
      </w:r>
      <w:proofErr w:type="spellStart"/>
      <w:r>
        <w:rPr>
          <w:i/>
        </w:rPr>
        <w:t>Федеральный</w:t>
      </w:r>
      <w:proofErr w:type="spellEnd"/>
      <w:r>
        <w:rPr>
          <w:i/>
        </w:rPr>
        <w:t xml:space="preserve"> </w:t>
      </w:r>
      <w:proofErr w:type="spellStart"/>
      <w:r>
        <w:rPr>
          <w:i/>
        </w:rPr>
        <w:t>закон</w:t>
      </w:r>
      <w:proofErr w:type="spellEnd"/>
      <w:r>
        <w:rPr>
          <w:i/>
        </w:rPr>
        <w:t xml:space="preserve"> </w:t>
      </w:r>
      <w:proofErr w:type="spellStart"/>
      <w:r>
        <w:rPr>
          <w:i/>
        </w:rPr>
        <w:t>от</w:t>
      </w:r>
      <w:proofErr w:type="spellEnd"/>
      <w:r>
        <w:rPr>
          <w:i/>
        </w:rPr>
        <w:t xml:space="preserve"> 24 </w:t>
      </w:r>
      <w:proofErr w:type="spellStart"/>
      <w:r>
        <w:rPr>
          <w:i/>
        </w:rPr>
        <w:t>апреля</w:t>
      </w:r>
      <w:proofErr w:type="spellEnd"/>
      <w:r>
        <w:rPr>
          <w:i/>
        </w:rPr>
        <w:t xml:space="preserve"> 2008 № 48-ФЗ «</w:t>
      </w:r>
      <w:proofErr w:type="spellStart"/>
      <w:r>
        <w:rPr>
          <w:i/>
        </w:rPr>
        <w:t>Об</w:t>
      </w:r>
      <w:proofErr w:type="spellEnd"/>
      <w:r>
        <w:rPr>
          <w:i/>
        </w:rPr>
        <w:t xml:space="preserve"> </w:t>
      </w:r>
      <w:proofErr w:type="spellStart"/>
      <w:r>
        <w:rPr>
          <w:i/>
        </w:rPr>
        <w:t>опеке</w:t>
      </w:r>
      <w:proofErr w:type="spellEnd"/>
      <w:r>
        <w:rPr>
          <w:i/>
        </w:rPr>
        <w:t xml:space="preserve"> и </w:t>
      </w:r>
      <w:proofErr w:type="spellStart"/>
      <w:r>
        <w:rPr>
          <w:i/>
        </w:rPr>
        <w:t>попечительстве</w:t>
      </w:r>
      <w:proofErr w:type="spellEnd"/>
      <w:r>
        <w:rPr>
          <w:i/>
        </w:rPr>
        <w:t>»</w:t>
      </w:r>
      <w:r>
        <w:t>) stanowi, że opiekunowie są prawnymi przedstawicielami dzieci znajdujących się pod ich opieką i są uprawnieni do działania w ich imieniu w celu ochrony ich praw i interesów bez formalnego upoważnienia.</w:t>
      </w:r>
    </w:p>
    <w:p w14:paraId="53D112A5" w14:textId="60555C47" w:rsidR="007F0C4F" w:rsidRPr="009548E3" w:rsidRDefault="000336E5" w:rsidP="009548E3">
      <w:pPr>
        <w:pStyle w:val="ECHRHeading2"/>
      </w:pPr>
      <w:r>
        <w:t xml:space="preserve">C.  Orzeczenie Sądu Najwyższego </w:t>
      </w:r>
      <w:r w:rsidR="003E1275">
        <w:t>Rosji</w:t>
      </w:r>
    </w:p>
    <w:p w14:paraId="16C51A09" w14:textId="45C20462" w:rsidR="00930E2F" w:rsidRPr="009548E3" w:rsidRDefault="007310C2" w:rsidP="009548E3">
      <w:pPr>
        <w:pStyle w:val="ECHRPara"/>
        <w:rPr>
          <w:noProof/>
        </w:rPr>
      </w:pPr>
      <w:fldSimple w:instr=" SEQ level0 \*arabic ">
        <w:r w:rsidR="00403504">
          <w:rPr>
            <w:noProof/>
          </w:rPr>
          <w:t>71</w:t>
        </w:r>
      </w:fldSimple>
      <w:r w:rsidR="00423BAF">
        <w:t>.  W orzeczeniu nr 10 wydanym w sprawie stosowania przez sądy powszechne przepisów prawa przy rozstrzyganiu sporów dotyczących wychowania dzieci, z dnia 27 maja 1998 r., zmienionym w dniu 6 lutego 2007 r., Zgromadzenie Plenarne Sądu Najwyższego Rosji stwierdziło w szczególności:</w:t>
      </w:r>
    </w:p>
    <w:p w14:paraId="228499CC" w14:textId="77777777" w:rsidR="00930E2F" w:rsidRPr="009548E3" w:rsidRDefault="00930E2F" w:rsidP="009548E3">
      <w:pPr>
        <w:pStyle w:val="ECHRParaQuote"/>
      </w:pPr>
      <w:r>
        <w:t>„[…]</w:t>
      </w:r>
    </w:p>
    <w:p w14:paraId="540CE85F" w14:textId="1AE70839" w:rsidR="00930E2F" w:rsidRPr="009548E3" w:rsidRDefault="00930E2F" w:rsidP="009548E3">
      <w:pPr>
        <w:pStyle w:val="ECHRParaQuote"/>
      </w:pPr>
      <w:r>
        <w:t xml:space="preserve">6.  Zgodnie z ustawą prawo rodziców do wychowania dzieci ma pierwszeństwo przed </w:t>
      </w:r>
      <w:r w:rsidR="003E1275">
        <w:t xml:space="preserve">tym samym </w:t>
      </w:r>
      <w:r>
        <w:t xml:space="preserve">prawem </w:t>
      </w:r>
      <w:r w:rsidR="003E1275">
        <w:t xml:space="preserve">przysługującym </w:t>
      </w:r>
      <w:r>
        <w:t>jakiejkolwiek innej osob</w:t>
      </w:r>
      <w:r w:rsidR="003E1275">
        <w:t>ie</w:t>
      </w:r>
      <w:r>
        <w:t xml:space="preserve"> (art. 63 § 1 rosyjskiego kodeksu rodzinnego) i mają oni prawo </w:t>
      </w:r>
      <w:r w:rsidR="003E1275">
        <w:t>żądać</w:t>
      </w:r>
      <w:r>
        <w:t xml:space="preserve"> zwrotu dziecka od osob</w:t>
      </w:r>
      <w:r w:rsidR="003E1275">
        <w:t>y</w:t>
      </w:r>
      <w:r>
        <w:t xml:space="preserve">, która zatrzymuje dziecko bez podstawy </w:t>
      </w:r>
      <w:r w:rsidR="003E1275">
        <w:t xml:space="preserve">prawnej lub </w:t>
      </w:r>
      <w:r>
        <w:t xml:space="preserve">orzeczenia sądu (art. 68 § 1 </w:t>
      </w:r>
      <w:r w:rsidR="003E1275">
        <w:t>pkt</w:t>
      </w:r>
      <w:r>
        <w:t xml:space="preserve"> 1 rosyjskiego kodeksu rodzinnego). Jednocześnie sąd może, </w:t>
      </w:r>
      <w:r w:rsidR="003E1275">
        <w:t>po odpowiednim wysłuchaniu</w:t>
      </w:r>
      <w:r>
        <w:t xml:space="preserve"> dziecka, odrzucić roszczenie rodzica, jeżeli uzna, że przekazani</w:t>
      </w:r>
      <w:r w:rsidR="003E1275">
        <w:t>u</w:t>
      </w:r>
      <w:r>
        <w:t xml:space="preserve"> dziecka rodzicowi </w:t>
      </w:r>
      <w:r w:rsidR="003E1275">
        <w:t xml:space="preserve">sprzeciwia się </w:t>
      </w:r>
      <w:r>
        <w:t>dobr</w:t>
      </w:r>
      <w:r w:rsidR="003E1275">
        <w:t>o</w:t>
      </w:r>
      <w:r>
        <w:t xml:space="preserve"> dziecka […]</w:t>
      </w:r>
    </w:p>
    <w:p w14:paraId="0E3B665F" w14:textId="06C0DD72" w:rsidR="00930E2F" w:rsidRPr="009548E3" w:rsidRDefault="003E1275" w:rsidP="009548E3">
      <w:pPr>
        <w:pStyle w:val="ECHRParaQuote"/>
      </w:pPr>
      <w:r>
        <w:t>Przy rozpoznawaniu tego rodzaju spraw</w:t>
      </w:r>
      <w:r w:rsidR="00930E2F">
        <w:t xml:space="preserve"> sąd bierze pod uwagę to, czy istnieje realna możliwość, aby rodzic należycie wychował dziecko; charakter relacji między rodzicem a dzieckiem, przywiązanie dziecka do osób, z którymi w </w:t>
      </w:r>
      <w:r>
        <w:t xml:space="preserve">danym czasie dziecko </w:t>
      </w:r>
      <w:r w:rsidR="00930E2F">
        <w:t xml:space="preserve">mieszka, oraz inne szczególne okoliczności istotne dla zapewnienia dziecku odpowiednich warunków do życia i wychowania przez rodziców, a także przez osoby, z którymi małoletni faktycznie mieszka i </w:t>
      </w:r>
      <w:r>
        <w:t>które go wychowują</w:t>
      </w:r>
      <w:r w:rsidR="00930E2F">
        <w:t>[...]</w:t>
      </w:r>
    </w:p>
    <w:p w14:paraId="17D30688" w14:textId="5D2C8CFF" w:rsidR="00930E2F" w:rsidRPr="009548E3" w:rsidRDefault="00930E2F" w:rsidP="009548E3">
      <w:pPr>
        <w:pStyle w:val="ECHRParaQuote"/>
      </w:pPr>
      <w:r>
        <w:t xml:space="preserve">7.  Rozpatrując roszczenia rodziców o zwrot ich dzieci </w:t>
      </w:r>
      <w:r w:rsidR="003E1275">
        <w:t>przez osoby</w:t>
      </w:r>
      <w:r>
        <w:t>, z którymi [dzieci] przebywają na podstawie ustawy lub orzeczenia sądu (opiekunowie, rodzice zastępczy…), konieczne jest ustalenie, czy okoliczności, które były podstawą wydania dziecka tym osobom […], uległy zmianie do czasu rozpoznania sprawy i czy powrót dzieci do rodziców służyłby dobru dzieci”.</w:t>
      </w:r>
    </w:p>
    <w:p w14:paraId="15AE55D7" w14:textId="77777777" w:rsidR="00014566" w:rsidRPr="009548E3" w:rsidRDefault="00014566" w:rsidP="009548E3">
      <w:pPr>
        <w:pStyle w:val="ECHRTitle1"/>
      </w:pPr>
      <w:r>
        <w:lastRenderedPageBreak/>
        <w:t>PRAWO</w:t>
      </w:r>
    </w:p>
    <w:p w14:paraId="5C1FE90D" w14:textId="1129EAD5" w:rsidR="00AE4541" w:rsidRPr="009548E3" w:rsidRDefault="00156133" w:rsidP="009548E3">
      <w:pPr>
        <w:pStyle w:val="ECHRHeading1"/>
      </w:pPr>
      <w:r>
        <w:t>I.  ZAGADNIENI</w:t>
      </w:r>
      <w:r w:rsidR="00507D45">
        <w:t>E</w:t>
      </w:r>
      <w:r>
        <w:t xml:space="preserve"> WSTĘPNE</w:t>
      </w:r>
    </w:p>
    <w:p w14:paraId="4F3C90A8" w14:textId="7D5DAD98" w:rsidR="00AE4541" w:rsidRPr="009548E3" w:rsidRDefault="007310C2" w:rsidP="009548E3">
      <w:pPr>
        <w:pStyle w:val="ECHRPara"/>
      </w:pPr>
      <w:fldSimple w:instr=" SEQ level0 \*arabic ">
        <w:r w:rsidR="00403504">
          <w:rPr>
            <w:noProof/>
          </w:rPr>
          <w:t>72</w:t>
        </w:r>
      </w:fldSimple>
      <w:r w:rsidR="00AE4541">
        <w:t>.  Pierwsza skarżąca wniosła skargę w imieniu R., zarzucając naruszenie jego praw wynikających z art. 3 i art. 8 Konwencji oraz art. 14 w związku z art. 8 Konwencji. Twierdziła, że</w:t>
      </w:r>
      <w:r w:rsidR="00507D45">
        <w:t xml:space="preserve"> </w:t>
      </w:r>
      <w:r w:rsidR="00AE4541">
        <w:t xml:space="preserve">​warunki regulujące indywidualne skargi na podstawie Konwencji niekoniecznie były takie same jak krajowe kryteria dotyczące </w:t>
      </w:r>
      <w:proofErr w:type="spellStart"/>
      <w:r w:rsidR="00AE4541">
        <w:rPr>
          <w:i/>
        </w:rPr>
        <w:t>locus</w:t>
      </w:r>
      <w:proofErr w:type="spellEnd"/>
      <w:r w:rsidR="00AE4541">
        <w:rPr>
          <w:i/>
        </w:rPr>
        <w:t xml:space="preserve"> </w:t>
      </w:r>
      <w:proofErr w:type="spellStart"/>
      <w:r w:rsidR="00AE4541">
        <w:rPr>
          <w:i/>
        </w:rPr>
        <w:t>standi</w:t>
      </w:r>
      <w:proofErr w:type="spellEnd"/>
      <w:r w:rsidR="00AE4541">
        <w:t xml:space="preserve"> (</w:t>
      </w:r>
      <w:r w:rsidR="00507D45">
        <w:t xml:space="preserve">powołała </w:t>
      </w:r>
      <w:r w:rsidR="00AE4541">
        <w:t xml:space="preserve">się </w:t>
      </w:r>
      <w:r w:rsidR="00507D45">
        <w:t xml:space="preserve">przy tym </w:t>
      </w:r>
      <w:r w:rsidR="00AE4541">
        <w:t xml:space="preserve">na sprawę </w:t>
      </w:r>
      <w:r w:rsidR="00AE4541">
        <w:rPr>
          <w:i/>
        </w:rPr>
        <w:t>AK i L. przeciwko Chorwacji</w:t>
      </w:r>
      <w:r w:rsidR="00AE4541">
        <w:t xml:space="preserve">, </w:t>
      </w:r>
      <w:r w:rsidR="00507D45">
        <w:t xml:space="preserve">skarga </w:t>
      </w:r>
      <w:r w:rsidR="00AE4541">
        <w:t xml:space="preserve">nr 37956/11, § 46, 8 stycznia 2013 r.), oraz że należy unikać restrykcyjnego lub czysto technicznego podejścia do kwestii </w:t>
      </w:r>
      <w:proofErr w:type="spellStart"/>
      <w:r w:rsidR="00AE4541">
        <w:rPr>
          <w:i/>
        </w:rPr>
        <w:t>locus</w:t>
      </w:r>
      <w:proofErr w:type="spellEnd"/>
      <w:r w:rsidR="00AE4541">
        <w:rPr>
          <w:i/>
        </w:rPr>
        <w:t xml:space="preserve"> </w:t>
      </w:r>
      <w:proofErr w:type="spellStart"/>
      <w:r w:rsidR="00AE4541">
        <w:rPr>
          <w:i/>
        </w:rPr>
        <w:t>standi</w:t>
      </w:r>
      <w:proofErr w:type="spellEnd"/>
      <w:r w:rsidR="00AE4541">
        <w:t xml:space="preserve"> (</w:t>
      </w:r>
      <w:r w:rsidR="00AE4541">
        <w:rPr>
          <w:i/>
        </w:rPr>
        <w:t>SP, DP i AT przeciwko Zjednoczonemu Królestwu</w:t>
      </w:r>
      <w:r w:rsidR="00AE4541">
        <w:t xml:space="preserve">, </w:t>
      </w:r>
      <w:r w:rsidR="00507D45">
        <w:t xml:space="preserve">skarga </w:t>
      </w:r>
      <w:r w:rsidR="00AE4541">
        <w:t xml:space="preserve">nr 23715/94, decyzja Komisji z dnia 20 maja 1996 r., </w:t>
      </w:r>
      <w:proofErr w:type="spellStart"/>
      <w:r w:rsidR="00AE4541">
        <w:t>niepubl</w:t>
      </w:r>
      <w:proofErr w:type="spellEnd"/>
      <w:r w:rsidR="00AE4541">
        <w:t xml:space="preserve">.). W związku z tym pierwsza skarżąca twierdziła, że między nią a R. </w:t>
      </w:r>
      <w:r w:rsidR="00507D45">
        <w:t>powstały</w:t>
      </w:r>
      <w:r w:rsidR="00AE4541">
        <w:t xml:space="preserve"> więzi emocjonalne, które były równoważne z więzią między matką a dzieckiem. Pierwsza skarżąca podkreśliła, że w przeciwieństwie do okoliczności sprawy przytoczonej przez Rząd, ona opiekowała się R. przez bardzo długi okres, a dokładniej przez pierwsze dziewięć lat jego życia; w tym okresie pozostawała jedyną znaczącą osobą dorosłą w jego życiu. Ponadto w tym okresie miała formalną więź prawną z R., będąc jego opiekunem. Pierwsza skarżąca utrzymywała ponadto, że</w:t>
      </w:r>
      <w:r w:rsidR="00507D45">
        <w:t xml:space="preserve"> </w:t>
      </w:r>
      <w:r w:rsidR="00AE4541">
        <w:t xml:space="preserve">​nie ma konfliktu interesów między nią a R. oraz że </w:t>
      </w:r>
      <w:r w:rsidR="00072CBD">
        <w:t xml:space="preserve">rodzice </w:t>
      </w:r>
      <w:r w:rsidR="00AE4541">
        <w:t xml:space="preserve">biologiczni R. nie byli w stanie skutecznie chronić jego interesów w </w:t>
      </w:r>
      <w:r w:rsidR="00507D45">
        <w:t xml:space="preserve">niniejszej </w:t>
      </w:r>
      <w:r w:rsidR="00AE4541">
        <w:t xml:space="preserve">sprawie, biorąc pod uwagę podniesione w niej kwestie. Pierwsza skarżąca porównała okoliczności </w:t>
      </w:r>
      <w:r w:rsidR="00507D45">
        <w:t xml:space="preserve">niniejszej </w:t>
      </w:r>
      <w:r w:rsidR="00AE4541">
        <w:t xml:space="preserve">sprawy ze sprawami wniesionymi w imieniu dzieci przez ich </w:t>
      </w:r>
      <w:r w:rsidR="00072CBD">
        <w:t xml:space="preserve">rodziców </w:t>
      </w:r>
      <w:r w:rsidR="00AE4541">
        <w:t xml:space="preserve">biologicznych pozbawionych władzy rodzicielskiej nad nimi i </w:t>
      </w:r>
      <w:r w:rsidR="00507D45">
        <w:t>wywodziła</w:t>
      </w:r>
      <w:r w:rsidR="00AE4541">
        <w:t>, że istnieje niebezpieczeństwo, że w przeciwnym razie interesy R. nigdy nie trafiłyby pod rozwagę Trybunału.</w:t>
      </w:r>
    </w:p>
    <w:p w14:paraId="61865D50" w14:textId="0618F202" w:rsidR="006668EB" w:rsidRPr="009548E3" w:rsidRDefault="007310C2" w:rsidP="009548E3">
      <w:pPr>
        <w:pStyle w:val="ECHRPara"/>
      </w:pPr>
      <w:fldSimple w:instr=" SEQ level0 \*arabic ">
        <w:r w:rsidR="00403504">
          <w:rPr>
            <w:noProof/>
          </w:rPr>
          <w:t>73</w:t>
        </w:r>
      </w:fldSimple>
      <w:r w:rsidR="00AE4541">
        <w:t xml:space="preserve">.  Rząd zakwestionował legitymację pierwszej skarżącej do reprezentowania R. przed Trybunałem, powołując się na sprawy </w:t>
      </w:r>
      <w:r w:rsidR="00AE4541">
        <w:rPr>
          <w:i/>
        </w:rPr>
        <w:t>Moretti i Benedetti przeciwko Włochom</w:t>
      </w:r>
      <w:r w:rsidR="00AE4541">
        <w:t xml:space="preserve"> (</w:t>
      </w:r>
      <w:r w:rsidR="00507D45">
        <w:t xml:space="preserve">skarga </w:t>
      </w:r>
      <w:r w:rsidR="00AE4541">
        <w:t xml:space="preserve">nr 16318/07, 27 kwietnia 2010 r.) oraz </w:t>
      </w:r>
      <w:proofErr w:type="spellStart"/>
      <w:r w:rsidR="00AE4541">
        <w:rPr>
          <w:i/>
        </w:rPr>
        <w:t>Giusto</w:t>
      </w:r>
      <w:proofErr w:type="spellEnd"/>
      <w:r w:rsidR="00AE4541">
        <w:rPr>
          <w:i/>
        </w:rPr>
        <w:t xml:space="preserve"> i Inni przeciwko Włochom</w:t>
      </w:r>
      <w:r w:rsidR="00AE4541">
        <w:t xml:space="preserve"> ((</w:t>
      </w:r>
      <w:proofErr w:type="spellStart"/>
      <w:r w:rsidR="00AE4541">
        <w:t>dec</w:t>
      </w:r>
      <w:proofErr w:type="spellEnd"/>
      <w:r w:rsidR="00AE4541">
        <w:t xml:space="preserve">.), </w:t>
      </w:r>
      <w:r w:rsidR="00507D45">
        <w:t xml:space="preserve">skarga </w:t>
      </w:r>
      <w:r w:rsidR="00AE4541">
        <w:t xml:space="preserve">nr 38972/06, ETPC 2007-V). Rząd zaznaczył, że z chwilą ustania opieki nad dzieckiem pierwsza skarżąca utraciła wszelkie uprawnienia wynikające z prawa krajowego do działania w charakterze przedstawiciela prawnego dziecka. </w:t>
      </w:r>
      <w:r w:rsidR="00E26597">
        <w:t>Rodzice b</w:t>
      </w:r>
      <w:r w:rsidR="00AE4541">
        <w:t xml:space="preserve">iologiczni R. mieli nad nim pełną władzę rodzicielską i byli jego prawnymi przedstawicielami. Nigdy nie upoważnili pierwszej skarżącej do reprezentowania R. przed Trybunałem. W związku z tym część skargi wniesiona przez pierwszą skarżącą w imieniu R. była niezgodna </w:t>
      </w:r>
      <w:proofErr w:type="spellStart"/>
      <w:r w:rsidR="00AE4541">
        <w:rPr>
          <w:i/>
        </w:rPr>
        <w:t>ratione</w:t>
      </w:r>
      <w:proofErr w:type="spellEnd"/>
      <w:r w:rsidR="00AE4541">
        <w:rPr>
          <w:i/>
        </w:rPr>
        <w:t xml:space="preserve"> </w:t>
      </w:r>
      <w:proofErr w:type="spellStart"/>
      <w:r w:rsidR="00AE4541">
        <w:rPr>
          <w:i/>
        </w:rPr>
        <w:t>personae</w:t>
      </w:r>
      <w:proofErr w:type="spellEnd"/>
      <w:r w:rsidR="00AE4541">
        <w:t xml:space="preserve"> z odpowiednimi postanowieniami Konwencji.</w:t>
      </w:r>
    </w:p>
    <w:p w14:paraId="7AB6AF8F" w14:textId="12F882E4" w:rsidR="00AE4541" w:rsidRPr="009548E3" w:rsidRDefault="007310C2" w:rsidP="009548E3">
      <w:pPr>
        <w:pStyle w:val="ECHRPara"/>
      </w:pPr>
      <w:fldSimple w:instr=" SEQ level0 \*arabic ">
        <w:r w:rsidR="00403504">
          <w:rPr>
            <w:noProof/>
          </w:rPr>
          <w:t>74</w:t>
        </w:r>
      </w:fldSimple>
      <w:r w:rsidR="00AE4541">
        <w:t>.  Trybunał przypomina, że</w:t>
      </w:r>
      <w:r w:rsidR="00507D45">
        <w:t xml:space="preserve"> </w:t>
      </w:r>
      <w:r w:rsidR="00AE4541">
        <w:t xml:space="preserve">​sytuacja dzieci na gruncie art. 34 Konwencji wymaga starannego rozważenia, ponieważ dzieci są </w:t>
      </w:r>
      <w:r w:rsidR="00507D45">
        <w:t xml:space="preserve">co do zasady </w:t>
      </w:r>
      <w:r w:rsidR="00AE4541">
        <w:t>zdane na inne osoby</w:t>
      </w:r>
      <w:r w:rsidR="00507D45">
        <w:t xml:space="preserve">, jeżeli chodzi o </w:t>
      </w:r>
      <w:r w:rsidR="00AE4541">
        <w:t>przedstawi</w:t>
      </w:r>
      <w:r w:rsidR="00507D45">
        <w:t>a</w:t>
      </w:r>
      <w:r w:rsidR="00AE4541">
        <w:t>ni</w:t>
      </w:r>
      <w:r w:rsidR="00507D45">
        <w:t>e</w:t>
      </w:r>
      <w:r w:rsidR="00AE4541">
        <w:t xml:space="preserve"> ich roszczeń i reprezentowani</w:t>
      </w:r>
      <w:r w:rsidR="00507D45">
        <w:t>e</w:t>
      </w:r>
      <w:r w:rsidR="00AE4541">
        <w:t xml:space="preserve"> ich interesów oraz mogą nie być w wieku uprawniającym do podejmowania </w:t>
      </w:r>
      <w:r w:rsidR="00AE4541">
        <w:lastRenderedPageBreak/>
        <w:t xml:space="preserve">jakichkolwiek </w:t>
      </w:r>
      <w:r w:rsidR="00AE4541" w:rsidRPr="00E8343E">
        <w:t>mających faktycznie znaczenie</w:t>
      </w:r>
      <w:r w:rsidR="00AE4541">
        <w:t xml:space="preserve"> czynności we własnym imieniu lub </w:t>
      </w:r>
      <w:r w:rsidR="00507D45">
        <w:t xml:space="preserve">mogą </w:t>
      </w:r>
      <w:r w:rsidR="00AE4541">
        <w:t xml:space="preserve">nie mieć takiej zdolności (zob. </w:t>
      </w:r>
      <w:r w:rsidR="00AE4541">
        <w:rPr>
          <w:i/>
        </w:rPr>
        <w:t>AK i L. przeciwko Chorwacji,</w:t>
      </w:r>
      <w:r w:rsidR="00AE4541">
        <w:t xml:space="preserve"> </w:t>
      </w:r>
      <w:r w:rsidR="00AE4541" w:rsidRPr="0078611D">
        <w:rPr>
          <w:i/>
          <w:iCs/>
        </w:rPr>
        <w:t>op.</w:t>
      </w:r>
      <w:r w:rsidR="00507D45" w:rsidRPr="0078611D">
        <w:rPr>
          <w:i/>
          <w:iCs/>
        </w:rPr>
        <w:t xml:space="preserve"> </w:t>
      </w:r>
      <w:r w:rsidR="00AE4541" w:rsidRPr="0078611D">
        <w:rPr>
          <w:i/>
          <w:iCs/>
        </w:rPr>
        <w:t>cit</w:t>
      </w:r>
      <w:r w:rsidR="00AE4541">
        <w:t xml:space="preserve">., § 47, oraz </w:t>
      </w:r>
      <w:r w:rsidR="00AE4541">
        <w:rPr>
          <w:i/>
        </w:rPr>
        <w:t>PC i S. przeciwko Zjednoczonemu Królestwu</w:t>
      </w:r>
      <w:r w:rsidR="00AE4541">
        <w:t xml:space="preserve"> (</w:t>
      </w:r>
      <w:proofErr w:type="spellStart"/>
      <w:r w:rsidR="00AE4541">
        <w:t>dec</w:t>
      </w:r>
      <w:proofErr w:type="spellEnd"/>
      <w:r w:rsidR="00AE4541">
        <w:t xml:space="preserve">.), </w:t>
      </w:r>
      <w:r w:rsidR="00507D45">
        <w:t xml:space="preserve">skarga </w:t>
      </w:r>
      <w:r w:rsidR="00AE4541">
        <w:t>nr 56547/00, 11 listopada 2001 r.) . Konieczne jest unikanie restrykcyjnego i czysto technicznego podejścia w</w:t>
      </w:r>
      <w:r w:rsidR="00507D45">
        <w:t xml:space="preserve"> tym zakresie</w:t>
      </w:r>
      <w:r w:rsidR="00AE4541">
        <w:t xml:space="preserve">; w szczególności należy wziąć pod uwagę powiązania między danym dzieckiem a jego „przedstawicielami”, przedmiot i cel wniosku oraz możliwość istnienia konfliktu interesów (zob. </w:t>
      </w:r>
      <w:r w:rsidR="00AE4541">
        <w:rPr>
          <w:i/>
        </w:rPr>
        <w:t>SP, DP i AT przeciwko Wielkiej Brytanii</w:t>
      </w:r>
      <w:r w:rsidR="00AE4541">
        <w:t xml:space="preserve"> (</w:t>
      </w:r>
      <w:proofErr w:type="spellStart"/>
      <w:r w:rsidR="00AE4541">
        <w:t>dec</w:t>
      </w:r>
      <w:proofErr w:type="spellEnd"/>
      <w:r w:rsidR="00AE4541">
        <w:t xml:space="preserve">.), </w:t>
      </w:r>
      <w:r w:rsidR="00AE4541" w:rsidRPr="0078611D">
        <w:rPr>
          <w:i/>
          <w:iCs/>
        </w:rPr>
        <w:t>op.</w:t>
      </w:r>
      <w:r w:rsidR="00507D45" w:rsidRPr="0078611D">
        <w:rPr>
          <w:i/>
          <w:iCs/>
        </w:rPr>
        <w:t xml:space="preserve"> </w:t>
      </w:r>
      <w:r w:rsidR="00AE4541" w:rsidRPr="0078611D">
        <w:rPr>
          <w:i/>
          <w:iCs/>
        </w:rPr>
        <w:t>cit.</w:t>
      </w:r>
      <w:r w:rsidR="00AE4541">
        <w:t xml:space="preserve">; </w:t>
      </w:r>
      <w:proofErr w:type="spellStart"/>
      <w:r w:rsidR="00AE4541">
        <w:rPr>
          <w:i/>
        </w:rPr>
        <w:t>Giusto</w:t>
      </w:r>
      <w:proofErr w:type="spellEnd"/>
      <w:r w:rsidR="00AE4541">
        <w:rPr>
          <w:i/>
        </w:rPr>
        <w:t xml:space="preserve"> i inni</w:t>
      </w:r>
      <w:r w:rsidR="00AE4541">
        <w:t xml:space="preserve"> (</w:t>
      </w:r>
      <w:proofErr w:type="spellStart"/>
      <w:r w:rsidR="00AE4541">
        <w:t>dec</w:t>
      </w:r>
      <w:proofErr w:type="spellEnd"/>
      <w:r w:rsidR="00AE4541">
        <w:t xml:space="preserve">.), </w:t>
      </w:r>
      <w:r w:rsidR="00AE4541" w:rsidRPr="0078611D">
        <w:rPr>
          <w:i/>
          <w:iCs/>
        </w:rPr>
        <w:t>op.</w:t>
      </w:r>
      <w:r w:rsidR="00507D45" w:rsidRPr="0078611D">
        <w:rPr>
          <w:i/>
          <w:iCs/>
        </w:rPr>
        <w:t xml:space="preserve"> </w:t>
      </w:r>
      <w:r w:rsidR="00AE4541" w:rsidRPr="0078611D">
        <w:rPr>
          <w:i/>
          <w:iCs/>
        </w:rPr>
        <w:t>cit</w:t>
      </w:r>
      <w:r w:rsidR="00AE4541">
        <w:t xml:space="preserve">. oraz </w:t>
      </w:r>
      <w:r w:rsidR="00AE4541">
        <w:rPr>
          <w:i/>
        </w:rPr>
        <w:t>Moretti i Benedetti</w:t>
      </w:r>
      <w:r w:rsidR="00AE4541">
        <w:t xml:space="preserve">, </w:t>
      </w:r>
      <w:r w:rsidR="00AE4541" w:rsidRPr="0078611D">
        <w:rPr>
          <w:i/>
          <w:iCs/>
        </w:rPr>
        <w:t>op.</w:t>
      </w:r>
      <w:r w:rsidR="00507D45" w:rsidRPr="0078611D">
        <w:rPr>
          <w:i/>
          <w:iCs/>
        </w:rPr>
        <w:t xml:space="preserve"> </w:t>
      </w:r>
      <w:r w:rsidR="00AE4541" w:rsidRPr="0078611D">
        <w:rPr>
          <w:i/>
          <w:iCs/>
        </w:rPr>
        <w:t>cit</w:t>
      </w:r>
      <w:r w:rsidR="00AE4541">
        <w:t>., § 32.</w:t>
      </w:r>
    </w:p>
    <w:p w14:paraId="4D79F78F" w14:textId="547B4D09" w:rsidR="006668EB" w:rsidRPr="009548E3" w:rsidRDefault="007310C2" w:rsidP="009548E3">
      <w:pPr>
        <w:pStyle w:val="ECHRPara"/>
      </w:pPr>
      <w:fldSimple w:instr=" SEQ level0 \*arabic ">
        <w:r w:rsidR="00403504">
          <w:rPr>
            <w:noProof/>
          </w:rPr>
          <w:t>75</w:t>
        </w:r>
      </w:fldSimple>
      <w:r w:rsidR="00AE4541">
        <w:t xml:space="preserve">.  W </w:t>
      </w:r>
      <w:r w:rsidR="00507D45">
        <w:t xml:space="preserve">niniejszej </w:t>
      </w:r>
      <w:r w:rsidR="00AE4541">
        <w:t xml:space="preserve">sprawie Trybunał zauważa na wstępie, że pierwsza skarżąca nie jest biologicznie spokrewniona z R. Jej sytuacja różni się zatem od spraw, w których Trybunał uznał prawo rodziców biologicznych do działania w imieniu ich dzieci, w odniesieniu do których zostali pozbawieni władzy rodzicielskiej; w tym ostatnim przypadku Trybunał orzekł, że </w:t>
      </w:r>
      <w:r w:rsidR="00507D45">
        <w:t xml:space="preserve">co do zasady </w:t>
      </w:r>
      <w:r w:rsidR="00AE4541">
        <w:t xml:space="preserve">zgodne z dobrem dzieci było zachowanie więzi z ich </w:t>
      </w:r>
      <w:r w:rsidR="00E26597">
        <w:t xml:space="preserve">rodzicami </w:t>
      </w:r>
      <w:r w:rsidR="00AE4541">
        <w:t xml:space="preserve">biologicznymi (zob. </w:t>
      </w:r>
      <w:r w:rsidR="00AE4541">
        <w:rPr>
          <w:i/>
        </w:rPr>
        <w:t>A.K. i L. przeciwko Chorwacji</w:t>
      </w:r>
      <w:r w:rsidR="00AE4541">
        <w:t xml:space="preserve">, </w:t>
      </w:r>
      <w:r w:rsidR="00AE4541" w:rsidRPr="0078611D">
        <w:rPr>
          <w:i/>
          <w:iCs/>
        </w:rPr>
        <w:t>op.</w:t>
      </w:r>
      <w:r w:rsidR="00C27984" w:rsidRPr="0078611D">
        <w:rPr>
          <w:i/>
          <w:iCs/>
        </w:rPr>
        <w:t xml:space="preserve"> </w:t>
      </w:r>
      <w:r w:rsidR="00AE4541" w:rsidRPr="0078611D">
        <w:rPr>
          <w:i/>
          <w:iCs/>
        </w:rPr>
        <w:t>cit</w:t>
      </w:r>
      <w:r w:rsidR="00AE4541">
        <w:t xml:space="preserve">., §§ 48-49, i przytoczone tam orzecznictwo). Trybunał ponadto zauważa, że pierwsza skarżąca nie jest już opiekunem R., ponieważ jej opieka </w:t>
      </w:r>
      <w:r w:rsidR="00C27984">
        <w:t xml:space="preserve">definitywnie </w:t>
      </w:r>
      <w:r w:rsidR="00AE4541">
        <w:t xml:space="preserve">ustała na mocy orzeczenia sądu z dnia 4 maja 2010 r., </w:t>
      </w:r>
      <w:r w:rsidR="00C27984">
        <w:t xml:space="preserve">które zostało </w:t>
      </w:r>
      <w:r w:rsidR="00AE4541">
        <w:t xml:space="preserve">utrzymane w mocy w postępowaniu apelacyjnym w dniu 23 czerwca 2010 r. (zob. par. </w:t>
      </w:r>
      <w:r w:rsidR="00E11351" w:rsidRPr="009548E3">
        <w:fldChar w:fldCharType="begin"/>
      </w:r>
      <w:r w:rsidR="00E11351" w:rsidRPr="009548E3">
        <w:instrText xml:space="preserve"> REF WithdrawalOfGuardianship \h  \* MERGEFORMAT </w:instrText>
      </w:r>
      <w:r w:rsidR="00E11351" w:rsidRPr="009548E3">
        <w:fldChar w:fldCharType="separate"/>
      </w:r>
      <w:r w:rsidR="00403504">
        <w:t>46</w:t>
      </w:r>
      <w:r w:rsidR="00E11351" w:rsidRPr="009548E3">
        <w:fldChar w:fldCharType="end"/>
      </w:r>
      <w:r w:rsidR="00AE4541">
        <w:t xml:space="preserve"> i </w:t>
      </w:r>
      <w:r w:rsidR="00E11351" w:rsidRPr="009548E3">
        <w:fldChar w:fldCharType="begin"/>
      </w:r>
      <w:r w:rsidR="00E11351" w:rsidRPr="009548E3">
        <w:instrText xml:space="preserve"> REF WithdrawalOfGuardianshipUpheld \h  \* MERGEFORMAT </w:instrText>
      </w:r>
      <w:r w:rsidR="00E11351" w:rsidRPr="009548E3">
        <w:fldChar w:fldCharType="separate"/>
      </w:r>
      <w:r w:rsidR="00403504">
        <w:t>49</w:t>
      </w:r>
      <w:r w:rsidR="00E11351" w:rsidRPr="009548E3">
        <w:fldChar w:fldCharType="end"/>
      </w:r>
      <w:r w:rsidR="00AE4541">
        <w:t xml:space="preserve"> powyżej), wskutek czego nie </w:t>
      </w:r>
      <w:r w:rsidR="00C27984">
        <w:t xml:space="preserve">przysługuje jej </w:t>
      </w:r>
      <w:r w:rsidR="00AE4541">
        <w:t>już legitymacj</w:t>
      </w:r>
      <w:r w:rsidR="00C27984">
        <w:t>a</w:t>
      </w:r>
      <w:r w:rsidR="00AE4541">
        <w:t xml:space="preserve"> do działania w jego imieniu </w:t>
      </w:r>
      <w:r w:rsidR="00C27984">
        <w:t xml:space="preserve">czy to </w:t>
      </w:r>
      <w:r w:rsidR="00AE4541">
        <w:t>w postępowani</w:t>
      </w:r>
      <w:r w:rsidR="00C27984">
        <w:t>u</w:t>
      </w:r>
      <w:r w:rsidR="00AE4541">
        <w:t xml:space="preserve"> </w:t>
      </w:r>
      <w:r w:rsidR="00C27984">
        <w:t xml:space="preserve">sądowym czy też w innym </w:t>
      </w:r>
      <w:r w:rsidR="00AE4541">
        <w:t>postępowani</w:t>
      </w:r>
      <w:r w:rsidR="00C27984">
        <w:t>u</w:t>
      </w:r>
      <w:r w:rsidR="00AE4541">
        <w:t xml:space="preserve"> na szczeblu krajowym. Ponadto R. został od niej </w:t>
      </w:r>
      <w:r w:rsidR="00C27984">
        <w:t xml:space="preserve">zabrany </w:t>
      </w:r>
      <w:r w:rsidR="00AE4541">
        <w:t xml:space="preserve">i obecnie mieszka z rodzicami, którzy sprawują nad nim pełną władzę rodzicielską, obejmującą m.in. reprezentowanie interesów małoletniego. </w:t>
      </w:r>
      <w:r w:rsidR="00C27984">
        <w:t>Z kolei r</w:t>
      </w:r>
      <w:r w:rsidR="00AE4541">
        <w:t xml:space="preserve">odzice R. nigdy nie upoważnili pierwszej skarżącej do reprezentowania R. przed Trybunałem. Wreszcie, biorąc pod uwagę poważny stan zdrowia R., niewątpliwie nie jest on w stanie samodzielnie </w:t>
      </w:r>
      <w:r w:rsidR="00C27984">
        <w:t>wyrazić stanowiska</w:t>
      </w:r>
      <w:r w:rsidR="00AE4541">
        <w:t xml:space="preserve"> w sprawie.</w:t>
      </w:r>
    </w:p>
    <w:p w14:paraId="5B1B1778" w14:textId="6A41C26E" w:rsidR="00AE4541" w:rsidRPr="009548E3" w:rsidRDefault="007310C2" w:rsidP="009548E3">
      <w:pPr>
        <w:pStyle w:val="ECHRPara"/>
      </w:pPr>
      <w:fldSimple w:instr=" SEQ level0 \*arabic ">
        <w:r w:rsidR="00403504">
          <w:rPr>
            <w:noProof/>
          </w:rPr>
          <w:t>76</w:t>
        </w:r>
      </w:fldSimple>
      <w:r w:rsidR="00AE4541">
        <w:t xml:space="preserve">.  W takich okolicznościach Trybunał jest zobowiązany uznać, że pierwsza skarżąca nie ma legitymacji do występowania przed Trybunałem w imieniu R. Tę część skargi należy zatem odrzucić jako niezgodną </w:t>
      </w:r>
      <w:proofErr w:type="spellStart"/>
      <w:r w:rsidR="00AE4541">
        <w:rPr>
          <w:i/>
        </w:rPr>
        <w:t>ratione</w:t>
      </w:r>
      <w:proofErr w:type="spellEnd"/>
      <w:r w:rsidR="00AE4541">
        <w:rPr>
          <w:i/>
        </w:rPr>
        <w:t xml:space="preserve"> </w:t>
      </w:r>
      <w:proofErr w:type="spellStart"/>
      <w:r w:rsidR="00AE4541">
        <w:rPr>
          <w:i/>
        </w:rPr>
        <w:t>personae</w:t>
      </w:r>
      <w:proofErr w:type="spellEnd"/>
      <w:r w:rsidR="00AE4541">
        <w:t xml:space="preserve"> z postanowieniami Konwencji, na podstawie jej art. 35 ust. 3 i 4.</w:t>
      </w:r>
    </w:p>
    <w:p w14:paraId="39602D5D" w14:textId="5A7C9F74" w:rsidR="006668EB" w:rsidRPr="009548E3" w:rsidRDefault="00AE4541" w:rsidP="009548E3">
      <w:pPr>
        <w:pStyle w:val="ECHRHeading1"/>
      </w:pPr>
      <w:r>
        <w:t>II.  ZARZU</w:t>
      </w:r>
      <w:r w:rsidR="00C27984">
        <w:t>CANE</w:t>
      </w:r>
      <w:r>
        <w:t xml:space="preserve"> NARUSZENI</w:t>
      </w:r>
      <w:r w:rsidR="00C27984">
        <w:t>E</w:t>
      </w:r>
      <w:r>
        <w:t xml:space="preserve"> ART. 8 KONWENCJI</w:t>
      </w:r>
    </w:p>
    <w:p w14:paraId="39B9094D" w14:textId="11ADC156" w:rsidR="00900E0B" w:rsidRPr="009548E3" w:rsidRDefault="007310C2" w:rsidP="009548E3">
      <w:pPr>
        <w:pStyle w:val="ECHRPara"/>
      </w:pPr>
      <w:fldSimple w:instr=" SEQ level0 \*arabic ">
        <w:r w:rsidR="00403504">
          <w:rPr>
            <w:noProof/>
          </w:rPr>
          <w:t>77</w:t>
        </w:r>
      </w:fldSimple>
      <w:r w:rsidR="00662216">
        <w:t>.  </w:t>
      </w:r>
      <w:r w:rsidR="00662216">
        <w:rPr>
          <w:rFonts w:ascii="Times New Roman" w:hAnsi="Times New Roman"/>
          <w:szCs w:val="20"/>
        </w:rPr>
        <w:t xml:space="preserve">Skarżący zarzucili, że decyzje władz krajowych o </w:t>
      </w:r>
      <w:r w:rsidR="00D17AE3">
        <w:rPr>
          <w:rFonts w:ascii="Times New Roman" w:hAnsi="Times New Roman"/>
          <w:szCs w:val="20"/>
        </w:rPr>
        <w:t>pow</w:t>
      </w:r>
      <w:r w:rsidR="00662216">
        <w:rPr>
          <w:rFonts w:ascii="Times New Roman" w:hAnsi="Times New Roman"/>
          <w:szCs w:val="20"/>
        </w:rPr>
        <w:t xml:space="preserve">rocie R. </w:t>
      </w:r>
      <w:r w:rsidR="00D17AE3">
        <w:rPr>
          <w:rFonts w:ascii="Times New Roman" w:hAnsi="Times New Roman"/>
          <w:szCs w:val="20"/>
        </w:rPr>
        <w:t xml:space="preserve">do </w:t>
      </w:r>
      <w:r w:rsidR="00662216">
        <w:rPr>
          <w:rFonts w:ascii="Times New Roman" w:hAnsi="Times New Roman"/>
          <w:szCs w:val="20"/>
        </w:rPr>
        <w:t xml:space="preserve">jego </w:t>
      </w:r>
      <w:r w:rsidR="00E26597">
        <w:rPr>
          <w:rFonts w:ascii="Times New Roman" w:hAnsi="Times New Roman"/>
          <w:szCs w:val="20"/>
        </w:rPr>
        <w:t xml:space="preserve">rodziców </w:t>
      </w:r>
      <w:r w:rsidR="00D17AE3">
        <w:rPr>
          <w:rFonts w:ascii="Times New Roman" w:hAnsi="Times New Roman"/>
          <w:szCs w:val="20"/>
        </w:rPr>
        <w:t>biologicznych</w:t>
      </w:r>
      <w:r w:rsidR="00662216">
        <w:rPr>
          <w:rFonts w:ascii="Times New Roman" w:hAnsi="Times New Roman"/>
          <w:szCs w:val="20"/>
        </w:rPr>
        <w:t>, ustaniu opieki i odmowie kontaktu z R. stanowiły naruszenie art. 8 Konwencji, który</w:t>
      </w:r>
      <w:r w:rsidR="00662216">
        <w:t>, w odpowiednim zakresie brzmi, jak następuje:</w:t>
      </w:r>
    </w:p>
    <w:p w14:paraId="0AA69183" w14:textId="77777777" w:rsidR="00656EC0" w:rsidRPr="009548E3" w:rsidRDefault="00656EC0" w:rsidP="009548E3">
      <w:pPr>
        <w:pStyle w:val="ECHRParaQuote"/>
      </w:pPr>
      <w:r>
        <w:t>„1.  Każdy ma prawo do poszanowania swojego życia prywatnego i rodzinnego […]</w:t>
      </w:r>
    </w:p>
    <w:p w14:paraId="33290D75" w14:textId="77777777" w:rsidR="00014566" w:rsidRPr="009548E3" w:rsidRDefault="00656EC0" w:rsidP="009548E3">
      <w:pPr>
        <w:pStyle w:val="ECHRParaQuote"/>
      </w:pPr>
      <w:r>
        <w:t xml:space="preserve">2.  Niedopuszczalna jest ingerencja władzy publicznej w korzystanie z tego prawa z wyjątkiem przypadków przewidzianych przez ustawę i koniecznych w demokratycznym społeczeństwie z uwagi na bezpieczeństwo państwowe, </w:t>
      </w:r>
      <w:r>
        <w:lastRenderedPageBreak/>
        <w:t>bezpieczeństwo publiczne lub dobrobyt gospodarczy kraju, ochronę porządku i zapobieganie przestępstwom, ochronę zdrowia i moralności lub ochronę praw i wolności osób.”</w:t>
      </w:r>
    </w:p>
    <w:p w14:paraId="48F60431" w14:textId="77777777" w:rsidR="00014566" w:rsidRPr="009548E3" w:rsidRDefault="00014566" w:rsidP="009548E3">
      <w:pPr>
        <w:pStyle w:val="ECHRHeading2"/>
        <w:outlineLvl w:val="0"/>
      </w:pPr>
      <w:r>
        <w:t>A.  Dopuszczalność</w:t>
      </w:r>
    </w:p>
    <w:p w14:paraId="210B989B" w14:textId="77777777" w:rsidR="00FB15AB" w:rsidRPr="009548E3" w:rsidRDefault="00AE4541" w:rsidP="009548E3">
      <w:pPr>
        <w:pStyle w:val="ECHRHeading3"/>
      </w:pPr>
      <w:r>
        <w:t>1.  Legitymacja pierwszej skarżącej do wniesienia skargi w imieniu drugiej, trzeciego i ósmego ze skarżących</w:t>
      </w:r>
    </w:p>
    <w:p w14:paraId="54EA2CC0" w14:textId="77777777" w:rsidR="003A70F8" w:rsidRPr="009548E3" w:rsidRDefault="003A70F8" w:rsidP="009548E3">
      <w:pPr>
        <w:pStyle w:val="ECHRHeading4"/>
      </w:pPr>
      <w:r>
        <w:t>a) Stanowiska stron</w:t>
      </w:r>
    </w:p>
    <w:p w14:paraId="36C3B5AA" w14:textId="3809BFA4" w:rsidR="006668EB" w:rsidRPr="009548E3" w:rsidRDefault="007310C2" w:rsidP="009548E3">
      <w:pPr>
        <w:pStyle w:val="ECHRPara"/>
      </w:pPr>
      <w:fldSimple w:instr=" SEQ level0 \*arabic ">
        <w:r w:rsidR="00403504">
          <w:rPr>
            <w:noProof/>
          </w:rPr>
          <w:t>78</w:t>
        </w:r>
      </w:fldSimple>
      <w:r w:rsidR="002F7B70">
        <w:t xml:space="preserve">.  W swoich uwagach wstępnych z dnia 22 stycznia 2013 r. Rząd zakwestionował prawo pierwszej skarżącej do wniesienia skargi </w:t>
      </w:r>
      <w:r w:rsidR="00C27984">
        <w:t xml:space="preserve">w niniejszej sprawie </w:t>
      </w:r>
      <w:r w:rsidR="002F7B70">
        <w:t xml:space="preserve">w imieniu drugiej skarżącej. Wskazał, że druga skarżąca, która według informacji Rządu urodziła się 15 kwietnia 1994 r. (jak wskazano w uwagach wstępnych Rządu) lub 15 kwietnia 1995 r. (jak wskazano w dodatkowych uwagach Rządu z 29 kwietnia 2013 r.). osiągnęła pełnoletność, zatem na mocy właściwego prawa krajowego pierwsza skarżąca przestała być jej opiekunem i straciła z nią jakąkolwiek wieź prawną, a zatem nie miała legitymacji do działania w jej imieniu ani na szczeblu krajowym, ani międzynarodowym. W swoich uwagach dodatkowych z dnia 29 kwietnia 2013 r. Rząd podniósł ten sam zarzut w odniesieniu do </w:t>
      </w:r>
      <w:r w:rsidR="00C27984">
        <w:t xml:space="preserve">skarżących </w:t>
      </w:r>
      <w:r w:rsidR="002F7B70">
        <w:t xml:space="preserve">trzeciego i ósmego. Rząd </w:t>
      </w:r>
      <w:r w:rsidR="00C27984">
        <w:t xml:space="preserve">wywodził </w:t>
      </w:r>
      <w:r w:rsidR="002F7B70">
        <w:t xml:space="preserve">w szczególności, że pierwsza skarżąca nie miała legitymacji do działania w imieniu ósmego skarżącego, który według Rządu urodził się 29 kwietnia 1993 r.; zaś z dniem 4 maja 2013 </w:t>
      </w:r>
      <w:r w:rsidR="00C27984">
        <w:t xml:space="preserve">r. </w:t>
      </w:r>
      <w:r w:rsidR="002F7B70">
        <w:t>utraciła legitymację do działania w imieniu trzeciego skarżącego, który urodził się 4 maja 1995 r.</w:t>
      </w:r>
    </w:p>
    <w:p w14:paraId="0D1D1486" w14:textId="067EAFDD" w:rsidR="00F016B5" w:rsidRPr="009548E3" w:rsidRDefault="007310C2" w:rsidP="009548E3">
      <w:pPr>
        <w:pStyle w:val="ECHRPara"/>
      </w:pPr>
      <w:fldSimple w:instr=" SEQ level0 \*arabic ">
        <w:r w:rsidR="00403504">
          <w:rPr>
            <w:noProof/>
          </w:rPr>
          <w:t>79</w:t>
        </w:r>
      </w:fldSimple>
      <w:r w:rsidR="00EB2676">
        <w:t xml:space="preserve">.  Skarżący podnieśli, że </w:t>
      </w:r>
      <w:r w:rsidR="00C27984">
        <w:t xml:space="preserve">w dniu 1 kwietnia 2012 r. </w:t>
      </w:r>
      <w:r w:rsidR="00EB2676">
        <w:t>druga skarżąca (</w:t>
      </w:r>
      <w:r w:rsidR="00C27984">
        <w:t xml:space="preserve">ur. </w:t>
      </w:r>
      <w:r w:rsidR="00EB2676">
        <w:t>1 kwietnia 1994 r.) ukończyła 18 lat, a tym samym nabyła pełną zdolność do uczestniczenia w postępowaniu przed Trybunałem. Druga skarżąca przedłożyła pełnomocnictwo upoważniające pierwszą skarżącą do reprezentowania jej interesów przed Trybunałem.</w:t>
      </w:r>
    </w:p>
    <w:p w14:paraId="2FA92362" w14:textId="77777777" w:rsidR="002372F2" w:rsidRPr="009548E3" w:rsidRDefault="003A70F8" w:rsidP="009548E3">
      <w:pPr>
        <w:pStyle w:val="ECHRHeading4"/>
      </w:pPr>
      <w:r>
        <w:t>b) Ocena Trybunału</w:t>
      </w:r>
    </w:p>
    <w:p w14:paraId="06BF441E" w14:textId="184B98BA" w:rsidR="00494EC6" w:rsidRPr="009548E3" w:rsidRDefault="00494EC6" w:rsidP="009548E3">
      <w:pPr>
        <w:pStyle w:val="ECHRPara"/>
        <w:rPr>
          <w:snapToGrid w:val="0"/>
        </w:rPr>
      </w:pPr>
      <w:r w:rsidRPr="009548E3">
        <w:rPr>
          <w:snapToGrid w:val="0"/>
        </w:rPr>
        <w:fldChar w:fldCharType="begin"/>
      </w:r>
      <w:r w:rsidRPr="009548E3">
        <w:rPr>
          <w:snapToGrid w:val="0"/>
        </w:rPr>
        <w:instrText xml:space="preserve"> SEQ level0 \*arabic </w:instrText>
      </w:r>
      <w:r w:rsidRPr="009548E3">
        <w:rPr>
          <w:snapToGrid w:val="0"/>
        </w:rPr>
        <w:fldChar w:fldCharType="separate"/>
      </w:r>
      <w:r w:rsidR="00403504">
        <w:rPr>
          <w:noProof/>
          <w:snapToGrid w:val="0"/>
        </w:rPr>
        <w:t>80</w:t>
      </w:r>
      <w:r w:rsidRPr="009548E3">
        <w:rPr>
          <w:snapToGrid w:val="0"/>
        </w:rPr>
        <w:fldChar w:fldCharType="end"/>
      </w:r>
      <w:r>
        <w:rPr>
          <w:snapToGrid w:val="0"/>
        </w:rPr>
        <w:t>.  Trybunał zauważa, że​</w:t>
      </w:r>
      <w:r w:rsidR="00C27984">
        <w:rPr>
          <w:snapToGrid w:val="0"/>
        </w:rPr>
        <w:t xml:space="preserve"> </w:t>
      </w:r>
      <w:r>
        <w:rPr>
          <w:snapToGrid w:val="0"/>
        </w:rPr>
        <w:t xml:space="preserve">kwestia legitymacji pierwszej skarżącej do </w:t>
      </w:r>
      <w:r w:rsidR="00C27984">
        <w:rPr>
          <w:snapToGrid w:val="0"/>
        </w:rPr>
        <w:t xml:space="preserve">wniesienia </w:t>
      </w:r>
      <w:r>
        <w:rPr>
          <w:snapToGrid w:val="0"/>
        </w:rPr>
        <w:t xml:space="preserve">skargi </w:t>
      </w:r>
      <w:r w:rsidR="00C27984">
        <w:rPr>
          <w:snapToGrid w:val="0"/>
        </w:rPr>
        <w:t xml:space="preserve">w niniejszej sprawie </w:t>
      </w:r>
      <w:r>
        <w:rPr>
          <w:snapToGrid w:val="0"/>
        </w:rPr>
        <w:t xml:space="preserve">w imieniu drugiej, trzeciego i ósmego ze skarżących jest bezpośrednio związana z jego właściwością </w:t>
      </w:r>
      <w:proofErr w:type="spellStart"/>
      <w:r>
        <w:rPr>
          <w:i/>
          <w:snapToGrid w:val="0"/>
        </w:rPr>
        <w:t>ratione</w:t>
      </w:r>
      <w:proofErr w:type="spellEnd"/>
      <w:r>
        <w:rPr>
          <w:i/>
          <w:snapToGrid w:val="0"/>
        </w:rPr>
        <w:t xml:space="preserve"> </w:t>
      </w:r>
      <w:proofErr w:type="spellStart"/>
      <w:r>
        <w:rPr>
          <w:i/>
          <w:snapToGrid w:val="0"/>
        </w:rPr>
        <w:t>personae</w:t>
      </w:r>
      <w:proofErr w:type="spellEnd"/>
      <w:r>
        <w:rPr>
          <w:snapToGrid w:val="0"/>
        </w:rPr>
        <w:t xml:space="preserve"> do zbadania tej części skargi. Trybunał musi upewnić się, że posiada właściwość w każdej </w:t>
      </w:r>
      <w:r w:rsidR="00C27984">
        <w:rPr>
          <w:snapToGrid w:val="0"/>
        </w:rPr>
        <w:t>wnoszonej przed nim</w:t>
      </w:r>
      <w:r>
        <w:rPr>
          <w:snapToGrid w:val="0"/>
        </w:rPr>
        <w:t xml:space="preserve"> sprawie, a zatem jest zobowiązany do badania swojej właściwości na każdym etapie postępowania (zob. </w:t>
      </w:r>
      <w:proofErr w:type="spellStart"/>
      <w:r>
        <w:rPr>
          <w:i/>
          <w:snapToGrid w:val="0"/>
        </w:rPr>
        <w:t>Blečić</w:t>
      </w:r>
      <w:proofErr w:type="spellEnd"/>
      <w:r>
        <w:rPr>
          <w:i/>
          <w:snapToGrid w:val="0"/>
        </w:rPr>
        <w:t xml:space="preserve"> przeciwko Chorwacji</w:t>
      </w:r>
      <w:r>
        <w:rPr>
          <w:snapToGrid w:val="0"/>
        </w:rPr>
        <w:t xml:space="preserve"> [WI], </w:t>
      </w:r>
      <w:r w:rsidR="00C27984">
        <w:rPr>
          <w:snapToGrid w:val="0"/>
        </w:rPr>
        <w:t xml:space="preserve">skarga </w:t>
      </w:r>
      <w:r>
        <w:rPr>
          <w:snapToGrid w:val="0"/>
        </w:rPr>
        <w:t xml:space="preserve">nr 59532/00, § 67, ETPC 2006-III; </w:t>
      </w:r>
      <w:proofErr w:type="spellStart"/>
      <w:r>
        <w:rPr>
          <w:i/>
          <w:snapToGrid w:val="0"/>
        </w:rPr>
        <w:t>Uslu</w:t>
      </w:r>
      <w:proofErr w:type="spellEnd"/>
      <w:r>
        <w:rPr>
          <w:i/>
          <w:snapToGrid w:val="0"/>
        </w:rPr>
        <w:t xml:space="preserve"> przeciwko Turcji</w:t>
      </w:r>
      <w:r>
        <w:rPr>
          <w:snapToGrid w:val="0"/>
        </w:rPr>
        <w:t xml:space="preserve"> (nr 2), </w:t>
      </w:r>
      <w:r w:rsidR="00C27984">
        <w:rPr>
          <w:snapToGrid w:val="0"/>
        </w:rPr>
        <w:t xml:space="preserve">skarga </w:t>
      </w:r>
      <w:r>
        <w:rPr>
          <w:snapToGrid w:val="0"/>
        </w:rPr>
        <w:t xml:space="preserve">nr 23815/04, § 18, 20 stycznia 2009 r.; </w:t>
      </w:r>
      <w:proofErr w:type="spellStart"/>
      <w:r>
        <w:rPr>
          <w:i/>
          <w:snapToGrid w:val="0"/>
        </w:rPr>
        <w:t>Boucke</w:t>
      </w:r>
      <w:proofErr w:type="spellEnd"/>
      <w:r>
        <w:rPr>
          <w:i/>
          <w:snapToGrid w:val="0"/>
        </w:rPr>
        <w:t xml:space="preserve"> przeciwko Czarnogórze</w:t>
      </w:r>
      <w:r>
        <w:rPr>
          <w:snapToGrid w:val="0"/>
        </w:rPr>
        <w:t xml:space="preserve">, </w:t>
      </w:r>
      <w:r w:rsidR="00C27984">
        <w:rPr>
          <w:snapToGrid w:val="0"/>
        </w:rPr>
        <w:t xml:space="preserve">skarga </w:t>
      </w:r>
      <w:r>
        <w:rPr>
          <w:snapToGrid w:val="0"/>
        </w:rPr>
        <w:t>nr 26945/06, § 63, 21 lutego 2012 r.; oraz</w:t>
      </w:r>
      <w:r>
        <w:t xml:space="preserve"> </w:t>
      </w:r>
      <w:proofErr w:type="spellStart"/>
      <w:r>
        <w:rPr>
          <w:i/>
          <w:snapToGrid w:val="0"/>
        </w:rPr>
        <w:t>Buzadji</w:t>
      </w:r>
      <w:proofErr w:type="spellEnd"/>
      <w:r>
        <w:rPr>
          <w:i/>
          <w:snapToGrid w:val="0"/>
        </w:rPr>
        <w:t xml:space="preserve"> przeciwko Republice Mołdawii</w:t>
      </w:r>
      <w:r>
        <w:t xml:space="preserve"> </w:t>
      </w:r>
      <w:r>
        <w:rPr>
          <w:snapToGrid w:val="0"/>
        </w:rPr>
        <w:t xml:space="preserve">[WI], </w:t>
      </w:r>
      <w:r w:rsidR="00C27984">
        <w:rPr>
          <w:snapToGrid w:val="0"/>
        </w:rPr>
        <w:t xml:space="preserve">skarga </w:t>
      </w:r>
      <w:r>
        <w:rPr>
          <w:snapToGrid w:val="0"/>
        </w:rPr>
        <w:t>nr 23755/07, § 70, 5 lipca 2016 r.).</w:t>
      </w:r>
      <w:r>
        <w:t>.</w:t>
      </w:r>
    </w:p>
    <w:p w14:paraId="72A4DA62" w14:textId="57179666" w:rsidR="000E2192" w:rsidRPr="009548E3" w:rsidRDefault="005A35DD" w:rsidP="009548E3">
      <w:pPr>
        <w:pStyle w:val="ECHRPara"/>
        <w:rPr>
          <w:snapToGrid w:val="0"/>
        </w:rPr>
      </w:pPr>
      <w:r w:rsidRPr="009548E3">
        <w:rPr>
          <w:snapToGrid w:val="0"/>
        </w:rPr>
        <w:lastRenderedPageBreak/>
        <w:fldChar w:fldCharType="begin"/>
      </w:r>
      <w:r w:rsidRPr="009548E3">
        <w:rPr>
          <w:snapToGrid w:val="0"/>
        </w:rPr>
        <w:instrText xml:space="preserve"> SEQ level0 \*arabic </w:instrText>
      </w:r>
      <w:r w:rsidRPr="009548E3">
        <w:rPr>
          <w:snapToGrid w:val="0"/>
        </w:rPr>
        <w:fldChar w:fldCharType="separate"/>
      </w:r>
      <w:r w:rsidR="00403504">
        <w:rPr>
          <w:noProof/>
          <w:snapToGrid w:val="0"/>
        </w:rPr>
        <w:t>81</w:t>
      </w:r>
      <w:r w:rsidRPr="009548E3">
        <w:rPr>
          <w:snapToGrid w:val="0"/>
        </w:rPr>
        <w:fldChar w:fldCharType="end"/>
      </w:r>
      <w:r>
        <w:rPr>
          <w:snapToGrid w:val="0"/>
        </w:rPr>
        <w:t xml:space="preserve">.  Trybunał zauważa ponadto, że w dniu 6 grudnia 2010 r., czyli w dniu wniesienia skargi </w:t>
      </w:r>
      <w:r w:rsidR="00524476">
        <w:rPr>
          <w:snapToGrid w:val="0"/>
        </w:rPr>
        <w:t xml:space="preserve">w niniejszej sprawie </w:t>
      </w:r>
      <w:r>
        <w:rPr>
          <w:snapToGrid w:val="0"/>
        </w:rPr>
        <w:t xml:space="preserve">druga skarżąca oraz trzeci i ósmy skarżący byli </w:t>
      </w:r>
      <w:r w:rsidR="00524476">
        <w:rPr>
          <w:snapToGrid w:val="0"/>
        </w:rPr>
        <w:t>małoletni</w:t>
      </w:r>
      <w:r>
        <w:rPr>
          <w:snapToGrid w:val="0"/>
        </w:rPr>
        <w:t xml:space="preserve">, a pierwsza skarżąca była ich opiekunem, a zatem miała pełną legitymację do reprezentowania ich interesów </w:t>
      </w:r>
      <w:r w:rsidR="00524476">
        <w:rPr>
          <w:snapToGrid w:val="0"/>
        </w:rPr>
        <w:t>oraz do</w:t>
      </w:r>
      <w:r>
        <w:rPr>
          <w:snapToGrid w:val="0"/>
        </w:rPr>
        <w:t xml:space="preserve"> działania w ich imieniu.</w:t>
      </w:r>
    </w:p>
    <w:p w14:paraId="395AD73D" w14:textId="515EA010" w:rsidR="006668EB" w:rsidRPr="009548E3" w:rsidRDefault="000E2192" w:rsidP="009548E3">
      <w:pPr>
        <w:pStyle w:val="ECHRPara"/>
      </w:pPr>
      <w:r w:rsidRPr="009548E3">
        <w:rPr>
          <w:snapToGrid w:val="0"/>
        </w:rPr>
        <w:fldChar w:fldCharType="begin"/>
      </w:r>
      <w:r w:rsidRPr="009548E3">
        <w:rPr>
          <w:snapToGrid w:val="0"/>
        </w:rPr>
        <w:instrText xml:space="preserve"> SEQ level0 \*arabic </w:instrText>
      </w:r>
      <w:r w:rsidRPr="009548E3">
        <w:rPr>
          <w:snapToGrid w:val="0"/>
        </w:rPr>
        <w:fldChar w:fldCharType="separate"/>
      </w:r>
      <w:r w:rsidR="00403504">
        <w:rPr>
          <w:noProof/>
          <w:snapToGrid w:val="0"/>
        </w:rPr>
        <w:t>82</w:t>
      </w:r>
      <w:r w:rsidRPr="009548E3">
        <w:rPr>
          <w:snapToGrid w:val="0"/>
        </w:rPr>
        <w:fldChar w:fldCharType="end"/>
      </w:r>
      <w:r>
        <w:rPr>
          <w:snapToGrid w:val="0"/>
        </w:rPr>
        <w:t>.  Ponadto, w odpowiedzi na uwagi wstępne Rządu z dnia 22 stycznia 2013 r., druga skarżąca, która osiągnęła pełnoletność w dniu 1 kwietnia 2012 r., potwierdziła swój zamiar podtrzymania skargi i podpisała pełnomocnictwo upoważniające pierwszą skarżącą do reprezentowania jej w postępowaniu przed Trybunałem.</w:t>
      </w:r>
    </w:p>
    <w:p w14:paraId="6D001FE4" w14:textId="40FB23B0" w:rsidR="006668EB" w:rsidRPr="009548E3" w:rsidRDefault="007310C2" w:rsidP="009548E3">
      <w:pPr>
        <w:pStyle w:val="ECHRPara"/>
        <w:rPr>
          <w:snapToGrid w:val="0"/>
        </w:rPr>
      </w:pPr>
      <w:fldSimple w:instr=" SEQ level0 \*arabic ">
        <w:r w:rsidR="00403504">
          <w:rPr>
            <w:noProof/>
          </w:rPr>
          <w:t>83</w:t>
        </w:r>
      </w:fldSimple>
      <w:r w:rsidR="00EB2676">
        <w:t xml:space="preserve">.  Co się tyczy </w:t>
      </w:r>
      <w:r w:rsidR="007024C7">
        <w:t xml:space="preserve">skarżących </w:t>
      </w:r>
      <w:r w:rsidR="00EB2676">
        <w:t xml:space="preserve">trzeciego </w:t>
      </w:r>
      <w:r w:rsidR="007024C7">
        <w:t xml:space="preserve">i </w:t>
      </w:r>
      <w:r w:rsidR="00EB2676">
        <w:t>ósmego, w dniu 29 kwietnia 2013 r. – w dniu przedłożenia przez Rząd dodatkowych uwag i komentarzy dotyczących roszczeń skarżących o słuszne zadośćuczynienie – trzeci skarżący (</w:t>
      </w:r>
      <w:r w:rsidR="007024C7">
        <w:t xml:space="preserve">ur. </w:t>
      </w:r>
      <w:r w:rsidR="00EB2676">
        <w:t xml:space="preserve">4 maja 1995 r.) nadal był małoletni. Ponadto, </w:t>
      </w:r>
      <w:r w:rsidR="007024C7">
        <w:rPr>
          <w:snapToGrid w:val="0"/>
        </w:rPr>
        <w:t xml:space="preserve">wprawdzie </w:t>
      </w:r>
      <w:r w:rsidR="00EB2676">
        <w:rPr>
          <w:snapToGrid w:val="0"/>
        </w:rPr>
        <w:t>Rząd utrzymywał – cho</w:t>
      </w:r>
      <w:r w:rsidR="007024C7">
        <w:rPr>
          <w:snapToGrid w:val="0"/>
        </w:rPr>
        <w:t>ciaż</w:t>
      </w:r>
      <w:r w:rsidR="00EB2676">
        <w:rPr>
          <w:snapToGrid w:val="0"/>
        </w:rPr>
        <w:t xml:space="preserve"> nie przedstawił żadnych dowodów z dokumentów – że ósmy skarżący urodził się w dniu 29 kwietnia 1993 r., </w:t>
      </w:r>
      <w:r w:rsidR="007024C7">
        <w:rPr>
          <w:snapToGrid w:val="0"/>
        </w:rPr>
        <w:t xml:space="preserve">to jednak </w:t>
      </w:r>
      <w:r w:rsidR="00EB2676">
        <w:rPr>
          <w:snapToGrid w:val="0"/>
        </w:rPr>
        <w:t>Trybunał zauważa, że</w:t>
      </w:r>
      <w:r w:rsidR="007024C7">
        <w:rPr>
          <w:snapToGrid w:val="0"/>
        </w:rPr>
        <w:t xml:space="preserve"> z </w:t>
      </w:r>
      <w:r w:rsidR="00EB2676">
        <w:rPr>
          <w:snapToGrid w:val="0"/>
        </w:rPr>
        <w:t>​dokument</w:t>
      </w:r>
      <w:r w:rsidR="007024C7">
        <w:rPr>
          <w:snapToGrid w:val="0"/>
        </w:rPr>
        <w:t xml:space="preserve">ów, </w:t>
      </w:r>
      <w:r w:rsidR="00EB2676">
        <w:rPr>
          <w:snapToGrid w:val="0"/>
        </w:rPr>
        <w:t xml:space="preserve"> </w:t>
      </w:r>
      <w:r w:rsidR="007024C7">
        <w:rPr>
          <w:snapToGrid w:val="0"/>
        </w:rPr>
        <w:t xml:space="preserve">które skarżący </w:t>
      </w:r>
      <w:r w:rsidR="00EB2676">
        <w:rPr>
          <w:snapToGrid w:val="0"/>
        </w:rPr>
        <w:t>załącz</w:t>
      </w:r>
      <w:r w:rsidR="007024C7">
        <w:rPr>
          <w:snapToGrid w:val="0"/>
        </w:rPr>
        <w:t xml:space="preserve">yli </w:t>
      </w:r>
      <w:r w:rsidR="00EB2676">
        <w:rPr>
          <w:snapToGrid w:val="0"/>
        </w:rPr>
        <w:t xml:space="preserve">do formularza skargi </w:t>
      </w:r>
      <w:r w:rsidR="007024C7">
        <w:rPr>
          <w:snapToGrid w:val="0"/>
        </w:rPr>
        <w:t>wynika</w:t>
      </w:r>
      <w:r w:rsidR="00EB2676">
        <w:rPr>
          <w:snapToGrid w:val="0"/>
        </w:rPr>
        <w:t>, iż jego rzeczywista data urodzenia to 29 kwietnia 2003 r. Nie ulega zatem wątpliwości, że w chwili, gdy strony zakończyły wymianę swoich uwag w niniejszej sprawie</w:t>
      </w:r>
      <w:r w:rsidR="007024C7">
        <w:rPr>
          <w:snapToGrid w:val="0"/>
        </w:rPr>
        <w:t xml:space="preserve"> skarżący</w:t>
      </w:r>
      <w:r w:rsidR="00EB2676">
        <w:rPr>
          <w:snapToGrid w:val="0"/>
        </w:rPr>
        <w:t xml:space="preserve"> trzeci i ósmy byli </w:t>
      </w:r>
      <w:r w:rsidR="007024C7">
        <w:rPr>
          <w:snapToGrid w:val="0"/>
        </w:rPr>
        <w:t>małoletni</w:t>
      </w:r>
      <w:r w:rsidR="00EB2676">
        <w:rPr>
          <w:snapToGrid w:val="0"/>
        </w:rPr>
        <w:t xml:space="preserve"> a zatem nie byli zobowiązani do potwierdzenia zamiaru podtrzymania skargi ani do formalnego upoważnienia pierwszej skarżącej do reprezentowania ich interesów przed Trybunałem, jako </w:t>
      </w:r>
      <w:r w:rsidR="007024C7">
        <w:rPr>
          <w:snapToGrid w:val="0"/>
        </w:rPr>
        <w:t xml:space="preserve">że </w:t>
      </w:r>
      <w:r w:rsidR="00EB2676">
        <w:rPr>
          <w:snapToGrid w:val="0"/>
        </w:rPr>
        <w:t>pierwsza skarżąca</w:t>
      </w:r>
      <w:r w:rsidR="007024C7">
        <w:rPr>
          <w:snapToGrid w:val="0"/>
        </w:rPr>
        <w:t xml:space="preserve"> będąca </w:t>
      </w:r>
      <w:r w:rsidR="00EB2676">
        <w:rPr>
          <w:snapToGrid w:val="0"/>
        </w:rPr>
        <w:t>ich opiekun</w:t>
      </w:r>
      <w:r w:rsidR="007024C7">
        <w:rPr>
          <w:snapToGrid w:val="0"/>
        </w:rPr>
        <w:t>em</w:t>
      </w:r>
      <w:r w:rsidR="00EB2676">
        <w:rPr>
          <w:snapToGrid w:val="0"/>
        </w:rPr>
        <w:t xml:space="preserve"> (</w:t>
      </w:r>
      <w:r w:rsidR="007024C7">
        <w:rPr>
          <w:snapToGrid w:val="0"/>
        </w:rPr>
        <w:t xml:space="preserve">Rząd nie zakwestionował </w:t>
      </w:r>
      <w:r w:rsidR="00EB2676">
        <w:rPr>
          <w:snapToGrid w:val="0"/>
        </w:rPr>
        <w:t>jej status</w:t>
      </w:r>
      <w:r w:rsidR="007024C7">
        <w:rPr>
          <w:snapToGrid w:val="0"/>
        </w:rPr>
        <w:t>u</w:t>
      </w:r>
      <w:r w:rsidR="00EB2676">
        <w:rPr>
          <w:snapToGrid w:val="0"/>
        </w:rPr>
        <w:t xml:space="preserve"> prawn</w:t>
      </w:r>
      <w:r w:rsidR="007024C7">
        <w:rPr>
          <w:snapToGrid w:val="0"/>
        </w:rPr>
        <w:t>ego</w:t>
      </w:r>
      <w:r w:rsidR="00EB2676">
        <w:rPr>
          <w:snapToGrid w:val="0"/>
        </w:rPr>
        <w:t xml:space="preserve"> </w:t>
      </w:r>
      <w:r w:rsidR="007024C7">
        <w:rPr>
          <w:snapToGrid w:val="0"/>
        </w:rPr>
        <w:t xml:space="preserve">z </w:t>
      </w:r>
      <w:r w:rsidR="00EB2676">
        <w:rPr>
          <w:snapToGrid w:val="0"/>
        </w:rPr>
        <w:t xml:space="preserve">żadnych innych </w:t>
      </w:r>
      <w:r w:rsidR="007024C7">
        <w:rPr>
          <w:snapToGrid w:val="0"/>
        </w:rPr>
        <w:t>względów</w:t>
      </w:r>
      <w:r w:rsidR="00EB2676">
        <w:rPr>
          <w:snapToGrid w:val="0"/>
        </w:rPr>
        <w:t>), miała legitymację do występowania w ich imieniu przed Trybunałem.</w:t>
      </w:r>
    </w:p>
    <w:p w14:paraId="38D45AC6" w14:textId="5C7B4687" w:rsidR="00096E89" w:rsidRPr="009548E3" w:rsidRDefault="007310C2" w:rsidP="009548E3">
      <w:pPr>
        <w:pStyle w:val="ECHRPara"/>
      </w:pPr>
      <w:fldSimple w:instr=" SEQ level0 \*arabic ">
        <w:r w:rsidR="00403504">
          <w:rPr>
            <w:noProof/>
          </w:rPr>
          <w:t>84</w:t>
        </w:r>
      </w:fldSimple>
      <w:r w:rsidR="005A35DD">
        <w:t xml:space="preserve">.  W związku z tym Trybunał jest przekonany, że </w:t>
      </w:r>
      <w:r w:rsidR="007024C7">
        <w:t xml:space="preserve">w niniejszej sprawie </w:t>
      </w:r>
      <w:r w:rsidR="005A35DD">
        <w:t>pierwsza skarżąca miała legitymację do reprezentowania drugiej skarżącej oraz trzeciego i ósmego skarżącego. Trybunał stwierdza, że​</w:t>
      </w:r>
      <w:r w:rsidR="007024C7">
        <w:t xml:space="preserve"> </w:t>
      </w:r>
      <w:r w:rsidR="005A35DD">
        <w:t xml:space="preserve">w zakresie, w jakim skarga została </w:t>
      </w:r>
      <w:r w:rsidR="007024C7">
        <w:t xml:space="preserve">wniesiona </w:t>
      </w:r>
      <w:r w:rsidR="005A35DD">
        <w:t>przez pierwszą skarżącą w</w:t>
      </w:r>
      <w:r w:rsidR="007024C7">
        <w:t xml:space="preserve"> </w:t>
      </w:r>
      <w:r w:rsidR="005A35DD">
        <w:t>imieniu</w:t>
      </w:r>
      <w:r w:rsidR="007024C7">
        <w:t xml:space="preserve"> własnym</w:t>
      </w:r>
      <w:r w:rsidR="005A35DD">
        <w:t xml:space="preserve">, pozostaje ona zgodna </w:t>
      </w:r>
      <w:proofErr w:type="spellStart"/>
      <w:r w:rsidR="005A35DD">
        <w:rPr>
          <w:i/>
        </w:rPr>
        <w:t>ratione</w:t>
      </w:r>
      <w:proofErr w:type="spellEnd"/>
      <w:r w:rsidR="005A35DD">
        <w:rPr>
          <w:i/>
        </w:rPr>
        <w:t xml:space="preserve"> </w:t>
      </w:r>
      <w:proofErr w:type="spellStart"/>
      <w:r w:rsidR="005A35DD">
        <w:rPr>
          <w:i/>
        </w:rPr>
        <w:t>personae</w:t>
      </w:r>
      <w:proofErr w:type="spellEnd"/>
      <w:r w:rsidR="005A35DD">
        <w:t xml:space="preserve"> z postanowieniami Konwencji w rozumieniu art. 35 ust. 3 lit. a Konwencji.</w:t>
      </w:r>
    </w:p>
    <w:p w14:paraId="45AB3BF7" w14:textId="77777777" w:rsidR="00F03DE1" w:rsidRPr="009548E3" w:rsidRDefault="00AE4541" w:rsidP="009548E3">
      <w:pPr>
        <w:pStyle w:val="ECHRHeading3"/>
      </w:pPr>
      <w:r>
        <w:t>2.  Wyczerpanie krajowych środków odwoławczych</w:t>
      </w:r>
    </w:p>
    <w:p w14:paraId="55284AFF" w14:textId="3B575FA2" w:rsidR="00F03DE1" w:rsidRPr="009548E3" w:rsidRDefault="007310C2" w:rsidP="009548E3">
      <w:pPr>
        <w:pStyle w:val="ECHRPara"/>
      </w:pPr>
      <w:fldSimple w:instr=" SEQ level0 \*arabic ">
        <w:r w:rsidR="00403504">
          <w:rPr>
            <w:noProof/>
          </w:rPr>
          <w:t>85</w:t>
        </w:r>
      </w:fldSimple>
      <w:r w:rsidR="00F03DE1">
        <w:t xml:space="preserve">.  W swoich uwagach dodatkowych z dnia 29 kwietnia 2013 r. Rząd zwięźle </w:t>
      </w:r>
      <w:r w:rsidR="007024C7">
        <w:t>stwierdził</w:t>
      </w:r>
      <w:r w:rsidR="00F03DE1">
        <w:t xml:space="preserve">, że </w:t>
      </w:r>
      <w:r w:rsidR="007024C7">
        <w:t xml:space="preserve">postępowanie </w:t>
      </w:r>
      <w:r w:rsidR="00F03DE1">
        <w:t>sądow</w:t>
      </w:r>
      <w:r w:rsidR="007024C7">
        <w:t>e</w:t>
      </w:r>
      <w:r w:rsidR="00F03DE1">
        <w:t xml:space="preserve"> </w:t>
      </w:r>
      <w:r w:rsidR="007024C7">
        <w:t>w</w:t>
      </w:r>
      <w:r w:rsidR="00F03DE1">
        <w:t xml:space="preserve"> </w:t>
      </w:r>
      <w:r w:rsidR="007024C7">
        <w:t>przedmiocie uregulowania kontaktów z</w:t>
      </w:r>
      <w:r w:rsidR="00F03DE1">
        <w:t xml:space="preserve"> R. </w:t>
      </w:r>
      <w:r w:rsidR="007024C7">
        <w:t>było prowadzone na wniosek</w:t>
      </w:r>
      <w:r w:rsidR="00F03DE1">
        <w:t xml:space="preserve"> pierwsz</w:t>
      </w:r>
      <w:r w:rsidR="007024C7">
        <w:t>ej</w:t>
      </w:r>
      <w:r w:rsidR="00F03DE1">
        <w:t xml:space="preserve"> skarżąc</w:t>
      </w:r>
      <w:r w:rsidR="007024C7">
        <w:t xml:space="preserve">ej, która działała w </w:t>
      </w:r>
      <w:r w:rsidR="00F03DE1">
        <w:t xml:space="preserve">  imieniu</w:t>
      </w:r>
      <w:r w:rsidR="007024C7">
        <w:t xml:space="preserve"> własnym</w:t>
      </w:r>
      <w:r w:rsidR="00F03DE1">
        <w:t>.</w:t>
      </w:r>
    </w:p>
    <w:p w14:paraId="05D1F16E" w14:textId="1DAE715E" w:rsidR="006668EB" w:rsidRPr="009548E3" w:rsidRDefault="007310C2" w:rsidP="009548E3">
      <w:pPr>
        <w:pStyle w:val="ECHRPara"/>
      </w:pPr>
      <w:fldSimple w:instr=" SEQ level0 \*arabic ">
        <w:r w:rsidR="00403504">
          <w:rPr>
            <w:noProof/>
          </w:rPr>
          <w:t>86</w:t>
        </w:r>
      </w:fldSimple>
      <w:r w:rsidR="00AB266D">
        <w:t>.  W zakresie, w jakim argument ten może być rozumiany jako zastrzeżenie co do dopuszczalności – z racji niewyczerpania dostępnych krajowych środków odwoławczych – części skargi odnoszącej się do skarżących od drugiego do ósmego, Trybunał przypomina, że​</w:t>
      </w:r>
      <w:r w:rsidR="007024C7">
        <w:t xml:space="preserve"> </w:t>
      </w:r>
      <w:r w:rsidR="00AB266D">
        <w:t xml:space="preserve">zgodnie z Regułą 55 Regulaminu Trybunału każdy zarzut niedopuszczalności musi, w zakresie, w jakim pozwala na to jego charakter i okoliczności, zostać </w:t>
      </w:r>
      <w:r w:rsidR="00AB266D">
        <w:lastRenderedPageBreak/>
        <w:t xml:space="preserve">podniesiony przez pozwaną Układającą się Stronę w jej pisemnych lub ustnych uwagach dotyczących dopuszczalności skargi (zob. </w:t>
      </w:r>
      <w:proofErr w:type="spellStart"/>
      <w:r w:rsidR="00AB266D">
        <w:rPr>
          <w:i/>
        </w:rPr>
        <w:t>Buzadji</w:t>
      </w:r>
      <w:proofErr w:type="spellEnd"/>
      <w:r w:rsidR="00AB266D">
        <w:t xml:space="preserve">, </w:t>
      </w:r>
      <w:r w:rsidR="00AB266D" w:rsidRPr="0078611D">
        <w:rPr>
          <w:i/>
          <w:iCs/>
        </w:rPr>
        <w:t>op.</w:t>
      </w:r>
      <w:r w:rsidR="007024C7" w:rsidRPr="0078611D">
        <w:rPr>
          <w:i/>
          <w:iCs/>
        </w:rPr>
        <w:t xml:space="preserve"> </w:t>
      </w:r>
      <w:r w:rsidR="00AB266D" w:rsidRPr="0078611D">
        <w:rPr>
          <w:i/>
          <w:iCs/>
        </w:rPr>
        <w:t>cit</w:t>
      </w:r>
      <w:r w:rsidR="00AB266D">
        <w:t>., § 64). Zauważa, że​</w:t>
      </w:r>
      <w:r w:rsidR="007024C7">
        <w:t xml:space="preserve"> </w:t>
      </w:r>
      <w:r w:rsidR="00AB266D">
        <w:t xml:space="preserve">Rząd nie podniósł tego zastrzeżenia w swoich wstępnych uwagach z dnia 22 stycznia 2013 r. dotyczących dopuszczalności i przedmiotu skargi; nie przedstawił też żadnego wyjaśnienia </w:t>
      </w:r>
      <w:r w:rsidR="007024C7">
        <w:t xml:space="preserve">tego </w:t>
      </w:r>
      <w:r w:rsidR="00AB266D">
        <w:t xml:space="preserve">opóźnienia ani nie odniósł się do </w:t>
      </w:r>
      <w:r w:rsidR="007024C7">
        <w:t xml:space="preserve">żadnej </w:t>
      </w:r>
      <w:r w:rsidR="00AB266D">
        <w:t xml:space="preserve">wyjątkowej okoliczności mogącej zwolnić go z obowiązku </w:t>
      </w:r>
      <w:r w:rsidR="007024C7">
        <w:t>podniesienia</w:t>
      </w:r>
      <w:r w:rsidR="00AB266D">
        <w:t xml:space="preserve"> zastrzeżenia co do dopuszczalności skargi</w:t>
      </w:r>
      <w:r w:rsidR="007024C7">
        <w:t xml:space="preserve"> w </w:t>
      </w:r>
      <w:r w:rsidR="00E31F04">
        <w:t>odpowiednim</w:t>
      </w:r>
      <w:r w:rsidR="007024C7">
        <w:t xml:space="preserve"> terminie</w:t>
      </w:r>
      <w:r w:rsidR="00AB266D">
        <w:t>.</w:t>
      </w:r>
    </w:p>
    <w:p w14:paraId="6227C5CD" w14:textId="7799D58F" w:rsidR="006668EB" w:rsidRPr="009548E3" w:rsidRDefault="007310C2" w:rsidP="009548E3">
      <w:pPr>
        <w:pStyle w:val="ECHRPara"/>
      </w:pPr>
      <w:fldSimple w:instr=" SEQ level0 \*arabic ">
        <w:r w:rsidR="00403504">
          <w:rPr>
            <w:noProof/>
          </w:rPr>
          <w:t>87</w:t>
        </w:r>
      </w:fldSimple>
      <w:r w:rsidR="009942B9">
        <w:t xml:space="preserve">.  Na tym etapie postępowania nie może zatem powoływać się na niewyczerpanie krajowych środków odwoławczych (zob. </w:t>
      </w:r>
      <w:proofErr w:type="spellStart"/>
      <w:r w:rsidR="009942B9">
        <w:rPr>
          <w:i/>
          <w:iCs/>
        </w:rPr>
        <w:t>Topal</w:t>
      </w:r>
      <w:proofErr w:type="spellEnd"/>
      <w:r w:rsidR="009942B9">
        <w:rPr>
          <w:i/>
          <w:iCs/>
        </w:rPr>
        <w:t xml:space="preserve"> przeciwko Republice Mołdawii</w:t>
      </w:r>
      <w:r w:rsidR="009942B9">
        <w:t xml:space="preserve">, </w:t>
      </w:r>
      <w:r w:rsidR="007024C7">
        <w:t xml:space="preserve">skarga </w:t>
      </w:r>
      <w:r w:rsidR="009942B9">
        <w:t>nr</w:t>
      </w:r>
      <w:r w:rsidR="009942B9">
        <w:rPr>
          <w:rStyle w:val="ECHRParaChar"/>
        </w:rPr>
        <w:t xml:space="preserve"> </w:t>
      </w:r>
      <w:r w:rsidR="009942B9">
        <w:t>12257/06, § 27, 3 lipca 2018 r. i przytoczone tam orzecznictwo).</w:t>
      </w:r>
    </w:p>
    <w:p w14:paraId="2ADC3632" w14:textId="77777777" w:rsidR="0064353B" w:rsidRPr="009548E3" w:rsidRDefault="00AE4541" w:rsidP="009548E3">
      <w:pPr>
        <w:pStyle w:val="ECHRHeading3"/>
      </w:pPr>
      <w:r>
        <w:t>3.  Istnienie „życia rodzinnego” między skarżącymi i R.</w:t>
      </w:r>
    </w:p>
    <w:p w14:paraId="5D17E525" w14:textId="77777777" w:rsidR="003D48FB" w:rsidRPr="009548E3" w:rsidRDefault="003D48FB" w:rsidP="009548E3">
      <w:pPr>
        <w:pStyle w:val="ECHRHeading4"/>
      </w:pPr>
      <w:r>
        <w:t>a) Stanowiska stron</w:t>
      </w:r>
    </w:p>
    <w:p w14:paraId="78BE9321" w14:textId="2C504EA5" w:rsidR="002F7B70" w:rsidRPr="009548E3" w:rsidRDefault="007310C2" w:rsidP="009548E3">
      <w:pPr>
        <w:pStyle w:val="ECHRPara"/>
      </w:pPr>
      <w:fldSimple w:instr=" SEQ level0 \*arabic ">
        <w:r w:rsidR="00403504">
          <w:rPr>
            <w:noProof/>
          </w:rPr>
          <w:t>88</w:t>
        </w:r>
      </w:fldSimple>
      <w:r w:rsidR="002F7B70">
        <w:t xml:space="preserve">.  Rząd argumentował, że „życie rodzinne” w rozumieniu art. 8 Konwencji pomiędzy skarżącymi a R. istniało tylko tak długo, jak pierwsza skarżąca oficjalnie pozostawała opiekunem R. Podkreślił ponadto, że w tym okresie R. nie utracił więzi ze swoimi </w:t>
      </w:r>
      <w:r w:rsidR="00E26597">
        <w:t xml:space="preserve">rodzicami </w:t>
      </w:r>
      <w:r w:rsidR="002F7B70">
        <w:t>biologicznymi, którzy, jak ustaliły sądy krajowe, nie zaniedb</w:t>
      </w:r>
      <w:r w:rsidR="007024C7">
        <w:t>yw</w:t>
      </w:r>
      <w:r w:rsidR="002F7B70">
        <w:t xml:space="preserve">ali swoich obowiązków rodzicielskich i udzielali mu wsparcia finansowego. Zdaniem Rządu, w zaistniałych okolicznościach zarzuty skarżącej dotyczące naruszenia ich „życia rodzinnego” były niezgodne </w:t>
      </w:r>
      <w:proofErr w:type="spellStart"/>
      <w:r w:rsidR="002F7B70">
        <w:rPr>
          <w:i/>
        </w:rPr>
        <w:t>ratione</w:t>
      </w:r>
      <w:proofErr w:type="spellEnd"/>
      <w:r w:rsidR="002F7B70">
        <w:rPr>
          <w:i/>
        </w:rPr>
        <w:t xml:space="preserve"> </w:t>
      </w:r>
      <w:proofErr w:type="spellStart"/>
      <w:r w:rsidR="002F7B70">
        <w:rPr>
          <w:i/>
        </w:rPr>
        <w:t>materiae</w:t>
      </w:r>
      <w:proofErr w:type="spellEnd"/>
      <w:r w:rsidR="002F7B70">
        <w:t xml:space="preserve"> z art. 8 Konwencji.</w:t>
      </w:r>
    </w:p>
    <w:p w14:paraId="421F5F43" w14:textId="65050795" w:rsidR="009D6F7D" w:rsidRPr="009548E3" w:rsidRDefault="007310C2" w:rsidP="009548E3">
      <w:pPr>
        <w:pStyle w:val="ECHRPara"/>
      </w:pPr>
      <w:fldSimple w:instr=" SEQ level0 \*arabic ">
        <w:r w:rsidR="00403504">
          <w:rPr>
            <w:noProof/>
          </w:rPr>
          <w:t>89</w:t>
        </w:r>
      </w:fldSimple>
      <w:r w:rsidR="009D6F7D">
        <w:t>.  Według skarżących więzi między nimi a R. stanowiły „życie rodzinne” w rozumieniu art. 8 Konwencji, które – zdaniem skarżących – zostało wyraźnie uznane przez Rząd.</w:t>
      </w:r>
    </w:p>
    <w:p w14:paraId="489653FF" w14:textId="77777777" w:rsidR="003D48FB" w:rsidRPr="009548E3" w:rsidRDefault="003D48FB" w:rsidP="009548E3">
      <w:pPr>
        <w:pStyle w:val="ECHRHeading4"/>
      </w:pPr>
      <w:r>
        <w:t>b) Ocena Trybunału</w:t>
      </w:r>
    </w:p>
    <w:p w14:paraId="4A21427D" w14:textId="1FE5E417" w:rsidR="001116B6" w:rsidRPr="009548E3" w:rsidRDefault="007310C2" w:rsidP="009548E3">
      <w:pPr>
        <w:pStyle w:val="ECHRPara"/>
      </w:pPr>
      <w:fldSimple w:instr=" SEQ level0 \*arabic ">
        <w:r w:rsidR="00403504">
          <w:rPr>
            <w:noProof/>
          </w:rPr>
          <w:t>90</w:t>
        </w:r>
      </w:fldSimple>
      <w:r w:rsidR="00B428B9">
        <w:t>.  Trybunał przypomina, że​</w:t>
      </w:r>
      <w:r w:rsidR="00ED2BB7">
        <w:t xml:space="preserve"> </w:t>
      </w:r>
      <w:r w:rsidR="00B428B9">
        <w:t xml:space="preserve">pojęcie „życia rodzinnego” w rozumieniu art. 8 Konwencji nie ogranicza się do związków opartych na małżeństwie i może obejmować inne faktyczne więzi „rodzinne”, gdy strony zamieszkują razem nie będąc małżeństwem lub gdy inne czynniki wskazują, że związek cechowała wystarczająca stałość (zob. </w:t>
      </w:r>
      <w:proofErr w:type="spellStart"/>
      <w:r w:rsidR="00B428B9">
        <w:rPr>
          <w:i/>
        </w:rPr>
        <w:t>Paradiso</w:t>
      </w:r>
      <w:proofErr w:type="spellEnd"/>
      <w:r w:rsidR="00B428B9">
        <w:rPr>
          <w:i/>
        </w:rPr>
        <w:t xml:space="preserve"> i Campanelli przeciwko Włochom</w:t>
      </w:r>
      <w:r w:rsidR="00B428B9">
        <w:t xml:space="preserve"> [WI], </w:t>
      </w:r>
      <w:r w:rsidR="00ED2BB7">
        <w:t xml:space="preserve">skarga </w:t>
      </w:r>
      <w:r w:rsidR="00B428B9">
        <w:t xml:space="preserve">nr 25358/12, § 140, 24 stycznia 2017 r.). Istnienie lub nieistnienie „życia rodzinnego” dla celów art. 8 jest zasadniczo kwestią faktyczną zależną od rzeczywistego istnienia bliskich więzi osobistych (zob. </w:t>
      </w:r>
      <w:r w:rsidR="00B428B9">
        <w:rPr>
          <w:i/>
        </w:rPr>
        <w:t>K. i T. przeciwko Finlandii</w:t>
      </w:r>
      <w:r w:rsidR="00B428B9">
        <w:t xml:space="preserve"> [WI], </w:t>
      </w:r>
      <w:r w:rsidR="00ED2BB7">
        <w:t xml:space="preserve">skarga </w:t>
      </w:r>
      <w:r w:rsidR="00B428B9">
        <w:t>nr 25702/94, § 150, ETPC 2001VII).</w:t>
      </w:r>
    </w:p>
    <w:p w14:paraId="7900A1FA" w14:textId="3DDA3271" w:rsidR="00C57E38" w:rsidRPr="009548E3" w:rsidRDefault="007310C2" w:rsidP="009548E3">
      <w:pPr>
        <w:pStyle w:val="ECHRPara"/>
      </w:pPr>
      <w:fldSimple w:instr=" SEQ level0 \*arabic ">
        <w:r w:rsidR="00403504">
          <w:rPr>
            <w:noProof/>
          </w:rPr>
          <w:t>91</w:t>
        </w:r>
      </w:fldSimple>
      <w:r w:rsidR="00EB2676">
        <w:t>.  </w:t>
      </w:r>
      <w:r w:rsidR="00ED2BB7">
        <w:t xml:space="preserve">We wcześniejszych sprawach </w:t>
      </w:r>
      <w:r w:rsidR="00EB2676">
        <w:t xml:space="preserve">Trybunał stwierdził, że związek między rodziną zastępczą a dzieckiem </w:t>
      </w:r>
      <w:r w:rsidR="00ED2BB7">
        <w:t>umieszczonym w rodzinie zastępczej</w:t>
      </w:r>
      <w:r w:rsidR="00EB2676">
        <w:t xml:space="preserve">, które </w:t>
      </w:r>
      <w:r w:rsidR="00ED2BB7">
        <w:t>przez wiele miesięcy zamieszkiwało u</w:t>
      </w:r>
      <w:r w:rsidR="00EB2676">
        <w:t xml:space="preserve"> rodzin</w:t>
      </w:r>
      <w:r w:rsidR="00ED2BB7">
        <w:t xml:space="preserve">y zastępczej, </w:t>
      </w:r>
      <w:r w:rsidR="00EB2676">
        <w:t xml:space="preserve">stanowił życie rodzinne w rozumieniu art. 8 ust. 1, pomimo braku </w:t>
      </w:r>
      <w:r w:rsidR="00E26597">
        <w:t xml:space="preserve">więzi </w:t>
      </w:r>
      <w:r w:rsidR="00EB2676">
        <w:t xml:space="preserve">biologicznej między nimi. Trybunał wziął pod uwagę fakt, że między rodziną zastępczą a dzieckiem </w:t>
      </w:r>
      <w:r w:rsidR="00ED2BB7">
        <w:t>powstała</w:t>
      </w:r>
      <w:r w:rsidR="00EB2676">
        <w:t xml:space="preserve"> bliska więź emocjonalna podobna do więzi między </w:t>
      </w:r>
      <w:r w:rsidR="00EB2676">
        <w:lastRenderedPageBreak/>
        <w:t xml:space="preserve">rodzicami a dziećmi, oraz że rodzina zastępcza zachowywała się pod każdym względem jak rodzice dziecka (zob. </w:t>
      </w:r>
      <w:r w:rsidR="00EB2676">
        <w:rPr>
          <w:i/>
        </w:rPr>
        <w:t>Moretti i Benedetti</w:t>
      </w:r>
      <w:r w:rsidR="00EB2676">
        <w:t xml:space="preserve">, </w:t>
      </w:r>
      <w:r w:rsidR="00EB2676" w:rsidRPr="0078611D">
        <w:rPr>
          <w:i/>
          <w:iCs/>
        </w:rPr>
        <w:t>op.</w:t>
      </w:r>
      <w:r w:rsidR="00E61227" w:rsidRPr="0078611D">
        <w:rPr>
          <w:i/>
          <w:iCs/>
        </w:rPr>
        <w:t xml:space="preserve"> </w:t>
      </w:r>
      <w:r w:rsidR="00EB2676" w:rsidRPr="0078611D">
        <w:rPr>
          <w:i/>
          <w:iCs/>
        </w:rPr>
        <w:t>cit</w:t>
      </w:r>
      <w:r w:rsidR="00EB2676">
        <w:t xml:space="preserve">., §§ 49-50 oraz </w:t>
      </w:r>
      <w:proofErr w:type="spellStart"/>
      <w:r w:rsidR="00EB2676">
        <w:rPr>
          <w:i/>
        </w:rPr>
        <w:t>Kopf</w:t>
      </w:r>
      <w:proofErr w:type="spellEnd"/>
      <w:r w:rsidR="00EB2676">
        <w:rPr>
          <w:i/>
        </w:rPr>
        <w:t xml:space="preserve"> i Liberda przeciwko Austrii</w:t>
      </w:r>
      <w:r w:rsidR="00EB2676">
        <w:t xml:space="preserve">, </w:t>
      </w:r>
      <w:r w:rsidR="00E61227">
        <w:t xml:space="preserve">skarga </w:t>
      </w:r>
      <w:r w:rsidR="00EB2676">
        <w:t>nr 1598/06, § 37, 17 stycznia 2012 r.).</w:t>
      </w:r>
    </w:p>
    <w:p w14:paraId="2852FB98" w14:textId="115F291A" w:rsidR="00A03B4B" w:rsidRPr="009548E3" w:rsidRDefault="007310C2" w:rsidP="009548E3">
      <w:pPr>
        <w:pStyle w:val="ECHRPara"/>
      </w:pPr>
      <w:fldSimple w:instr=" SEQ level0 \*arabic ">
        <w:r w:rsidR="00403504">
          <w:rPr>
            <w:noProof/>
          </w:rPr>
          <w:t>92</w:t>
        </w:r>
      </w:fldSimple>
      <w:r w:rsidR="00EB2676">
        <w:t xml:space="preserve">.  W </w:t>
      </w:r>
      <w:r w:rsidR="00E61227">
        <w:t xml:space="preserve">niniejszej </w:t>
      </w:r>
      <w:r w:rsidR="00EB2676">
        <w:t>sprawie istnienie więzi rodzinnych między skarżącymi a R. przed prze</w:t>
      </w:r>
      <w:r w:rsidR="00E26597">
        <w:t xml:space="preserve">kazaniem go rodzicom biologicznym </w:t>
      </w:r>
      <w:r w:rsidR="00EB2676">
        <w:t>było</w:t>
      </w:r>
      <w:r w:rsidR="00E61227">
        <w:t xml:space="preserve"> poza</w:t>
      </w:r>
      <w:r w:rsidR="00EB2676">
        <w:t xml:space="preserve"> przedmiotem sporu między stronami</w:t>
      </w:r>
      <w:r w:rsidR="00E61227">
        <w:t>, bowiem</w:t>
      </w:r>
      <w:r w:rsidR="00EB2676">
        <w:t xml:space="preserve"> </w:t>
      </w:r>
      <w:r w:rsidR="00E61227">
        <w:t>pomimo braku</w:t>
      </w:r>
      <w:r w:rsidR="00EB2676">
        <w:t xml:space="preserve"> </w:t>
      </w:r>
      <w:r w:rsidR="00E61227">
        <w:t xml:space="preserve">więzi </w:t>
      </w:r>
      <w:r w:rsidR="00EB2676">
        <w:t xml:space="preserve">biologicznych między skarżącymi a R. chłopiec pozostawał pod stałą opieką pierwszej skarżącej przez pierwsze dziewięć lat życia, odkąd </w:t>
      </w:r>
      <w:r w:rsidR="00E61227">
        <w:t>u</w:t>
      </w:r>
      <w:r w:rsidR="00EB2676">
        <w:t xml:space="preserve">kończył 8 miesięcy. Nigdy nie zostało kwestionowane, ani przed władzami krajowymi, ani przed Trybunałem, że w tym okresie pierwsza skarżąca w pełni przejęła rolę rodzica tego dziecka. Pozostali skarżący, </w:t>
      </w:r>
      <w:r w:rsidR="00E61227">
        <w:t>którzy w tym czasie byli małoletni</w:t>
      </w:r>
      <w:r w:rsidR="00EB2676">
        <w:t xml:space="preserve">, trafili pod opiekę pierwszej skarżącej w różnym czasie i mieszkali wraz </w:t>
      </w:r>
      <w:r w:rsidR="00E61227">
        <w:t xml:space="preserve">z </w:t>
      </w:r>
      <w:r w:rsidR="00EB2676">
        <w:t xml:space="preserve">R. jako rodzina przez okres od roku do siedmiu lat (zob. par. </w:t>
      </w:r>
      <w:r w:rsidR="00852B69" w:rsidRPr="009548E3">
        <w:fldChar w:fldCharType="begin"/>
      </w:r>
      <w:r w:rsidR="00852B69" w:rsidRPr="009548E3">
        <w:instrText xml:space="preserve"> REF FosterCareOfOtherApplicants \h  \* MERGEFORMAT </w:instrText>
      </w:r>
      <w:r w:rsidR="00852B69" w:rsidRPr="009548E3">
        <w:fldChar w:fldCharType="separate"/>
      </w:r>
      <w:r w:rsidR="00403504">
        <w:t>11</w:t>
      </w:r>
      <w:r w:rsidR="00852B69" w:rsidRPr="009548E3">
        <w:fldChar w:fldCharType="end"/>
      </w:r>
      <w:r w:rsidR="00EB2676">
        <w:t xml:space="preserve"> powyżej), zanim R. został ostatecznie </w:t>
      </w:r>
      <w:r w:rsidR="00E26597">
        <w:t>przekazany</w:t>
      </w:r>
      <w:r w:rsidR="00EB2676">
        <w:t xml:space="preserve"> </w:t>
      </w:r>
      <w:r w:rsidR="00E26597">
        <w:t xml:space="preserve">rodzicom </w:t>
      </w:r>
      <w:r w:rsidR="00EB2676">
        <w:t>biologiczny</w:t>
      </w:r>
      <w:r w:rsidR="00E26597">
        <w:t>m</w:t>
      </w:r>
      <w:r w:rsidR="00EB2676">
        <w:t>. Bliskie więzi osobiste między skarżącymi oraz fakt, że pierwsza skarżąca przyjęła rolę rodzica R. zostały uznane przez sądy krajowe w różnych postępowa</w:t>
      </w:r>
      <w:r w:rsidR="00E61227">
        <w:t>niach</w:t>
      </w:r>
      <w:r w:rsidR="00EB2676">
        <w:t xml:space="preserve"> (zob. par. </w:t>
      </w:r>
      <w:r w:rsidR="00852B69" w:rsidRPr="009548E3">
        <w:fldChar w:fldCharType="begin"/>
      </w:r>
      <w:r w:rsidR="00852B69" w:rsidRPr="009548E3">
        <w:instrText xml:space="preserve"> REF TiesRandFirstApplicantOne \h  \* MERGEFORMAT </w:instrText>
      </w:r>
      <w:r w:rsidR="00852B69" w:rsidRPr="009548E3">
        <w:fldChar w:fldCharType="separate"/>
      </w:r>
      <w:r w:rsidR="00403504">
        <w:t>22</w:t>
      </w:r>
      <w:r w:rsidR="00852B69" w:rsidRPr="009548E3">
        <w:fldChar w:fldCharType="end"/>
      </w:r>
      <w:r w:rsidR="00EB2676">
        <w:t xml:space="preserve"> i </w:t>
      </w:r>
      <w:r w:rsidR="00852B69" w:rsidRPr="009548E3">
        <w:fldChar w:fldCharType="begin"/>
      </w:r>
      <w:r w:rsidR="00852B69" w:rsidRPr="009548E3">
        <w:instrText xml:space="preserve"> REF TiesRandFirstApplicantTwo \h  \* MERGEFORMAT </w:instrText>
      </w:r>
      <w:r w:rsidR="00852B69" w:rsidRPr="009548E3">
        <w:fldChar w:fldCharType="separate"/>
      </w:r>
      <w:r w:rsidR="00403504">
        <w:t>40</w:t>
      </w:r>
      <w:r w:rsidR="00852B69" w:rsidRPr="009548E3">
        <w:fldChar w:fldCharType="end"/>
      </w:r>
      <w:r w:rsidR="00EB2676">
        <w:t xml:space="preserve"> powyżej).</w:t>
      </w:r>
    </w:p>
    <w:bookmarkStart w:id="34" w:name="ExistenceFamilyLife"/>
    <w:p w14:paraId="128AAECB" w14:textId="438D9669" w:rsidR="00B428B9"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93</w:t>
      </w:r>
      <w:r w:rsidRPr="009548E3">
        <w:fldChar w:fldCharType="end"/>
      </w:r>
      <w:bookmarkEnd w:id="34"/>
      <w:r>
        <w:t xml:space="preserve">.  W zaistniałych okolicznościach Trybunał jest przekonany, że związek pomiędzy skarżącymi a R. stanowił „życie rodzinne” w rozumieniu art. 8 ust. 1 Konwencji (por. </w:t>
      </w:r>
      <w:r>
        <w:rPr>
          <w:i/>
        </w:rPr>
        <w:t>Antkowiak przeciwko Polsce</w:t>
      </w:r>
      <w:r>
        <w:t xml:space="preserve"> (</w:t>
      </w:r>
      <w:proofErr w:type="spellStart"/>
      <w:r>
        <w:t>dec</w:t>
      </w:r>
      <w:proofErr w:type="spellEnd"/>
      <w:r>
        <w:t xml:space="preserve">.), </w:t>
      </w:r>
      <w:r w:rsidR="00E61227">
        <w:t xml:space="preserve">skarga </w:t>
      </w:r>
      <w:r>
        <w:t>nr 27025/17, 22 maja 2018 r.). Wynika z tego, że art. 8 Konwencji ma zastosowanie.</w:t>
      </w:r>
    </w:p>
    <w:p w14:paraId="6D605A8A" w14:textId="77777777" w:rsidR="006668EB" w:rsidRPr="009548E3" w:rsidRDefault="00AE4541" w:rsidP="009548E3">
      <w:pPr>
        <w:pStyle w:val="ECHRHeading3"/>
      </w:pPr>
      <w:r>
        <w:t>4.  Wnioski</w:t>
      </w:r>
    </w:p>
    <w:p w14:paraId="247E5433" w14:textId="42B45D8F" w:rsidR="00014566" w:rsidRPr="009548E3" w:rsidRDefault="007310C2" w:rsidP="009548E3">
      <w:pPr>
        <w:pStyle w:val="ECHRPara"/>
      </w:pPr>
      <w:fldSimple w:instr=" SEQ level0 \*arabic ">
        <w:r w:rsidR="00403504">
          <w:rPr>
            <w:noProof/>
          </w:rPr>
          <w:t>94</w:t>
        </w:r>
      </w:fldSimple>
      <w:r w:rsidR="00662216">
        <w:t>.  Trybunał zauważa, że ta część skargi nie jest w sposób oczywisty nieuzasadniona w rozumieniu art. 35 ust. 3 lit. a Konwencji. Ponadto zauważa, że nie jest ona też niedopuszczalna na żadnej innej podstawie. Musi zatem zostać uznana za dopuszczalną.</w:t>
      </w:r>
    </w:p>
    <w:p w14:paraId="1D70E9F1" w14:textId="77777777" w:rsidR="00014566" w:rsidRPr="009548E3" w:rsidRDefault="00014566" w:rsidP="009548E3">
      <w:pPr>
        <w:pStyle w:val="ECHRHeading2"/>
        <w:outlineLvl w:val="0"/>
      </w:pPr>
      <w:r>
        <w:t>B.  Przedmiot skargi</w:t>
      </w:r>
    </w:p>
    <w:p w14:paraId="0FCB8BFC" w14:textId="0AB87409" w:rsidR="00C22A32" w:rsidRPr="009548E3" w:rsidRDefault="00C22A32" w:rsidP="009548E3">
      <w:pPr>
        <w:pStyle w:val="ECHRHeading3"/>
      </w:pPr>
      <w:r>
        <w:t xml:space="preserve">1.  Ustanie opieki pierwszej skarżącej nad R. i przekazanie go </w:t>
      </w:r>
      <w:r w:rsidR="00E61227">
        <w:t xml:space="preserve">rodzicom </w:t>
      </w:r>
      <w:r>
        <w:t xml:space="preserve">biologicznym </w:t>
      </w:r>
    </w:p>
    <w:p w14:paraId="0EC5F653" w14:textId="77777777" w:rsidR="00560464" w:rsidRPr="009548E3" w:rsidRDefault="00560464" w:rsidP="009548E3">
      <w:pPr>
        <w:pStyle w:val="ECHRHeading4"/>
      </w:pPr>
      <w:r>
        <w:t>a) Stanowiska stron</w:t>
      </w:r>
    </w:p>
    <w:p w14:paraId="5B879555" w14:textId="77777777" w:rsidR="00B45136" w:rsidRPr="009548E3" w:rsidRDefault="00B45136" w:rsidP="009548E3">
      <w:pPr>
        <w:pStyle w:val="ECHRHeading5"/>
      </w:pPr>
      <w:r>
        <w:t>i) Skarżący</w:t>
      </w:r>
    </w:p>
    <w:p w14:paraId="7B78CD25" w14:textId="286C0D9B" w:rsidR="0096758E" w:rsidRPr="009548E3" w:rsidRDefault="007310C2" w:rsidP="009548E3">
      <w:pPr>
        <w:pStyle w:val="ECHRPara"/>
      </w:pPr>
      <w:fldSimple w:instr=" SEQ level0 \*arabic ">
        <w:r w:rsidR="00403504">
          <w:rPr>
            <w:noProof/>
          </w:rPr>
          <w:t>95</w:t>
        </w:r>
      </w:fldSimple>
      <w:r w:rsidR="00662216">
        <w:t xml:space="preserve">.  Skarżący argumentowali, że ustanie opieki pierwszej skarżącej nad R. i </w:t>
      </w:r>
      <w:r w:rsidR="00E61227">
        <w:t xml:space="preserve">przekazanie </w:t>
      </w:r>
      <w:r w:rsidR="00662216">
        <w:t xml:space="preserve">go pod pieczę </w:t>
      </w:r>
      <w:r w:rsidR="00E61227">
        <w:t xml:space="preserve">rodziców </w:t>
      </w:r>
      <w:r w:rsidR="00662216">
        <w:t>biologicznych stanowiło nieproporcjonalną ingerencję w ich prawo do poszanowania życia rodzinnego zagwarantowane art. 8 Konwencji.</w:t>
      </w:r>
    </w:p>
    <w:p w14:paraId="6462FA87" w14:textId="57F67BAB" w:rsidR="00F052FD" w:rsidRPr="009548E3" w:rsidRDefault="007310C2" w:rsidP="009548E3">
      <w:pPr>
        <w:pStyle w:val="ECHRPara"/>
      </w:pPr>
      <w:fldSimple w:instr=" SEQ level0 \*arabic ">
        <w:r w:rsidR="00403504">
          <w:rPr>
            <w:noProof/>
          </w:rPr>
          <w:t>96</w:t>
        </w:r>
      </w:fldSimple>
      <w:r w:rsidR="004B4CAA">
        <w:t xml:space="preserve">.  Przyznali, że życie w środowisku rodzinnym jest podstawową potrzebą każdego dziecka; </w:t>
      </w:r>
      <w:r w:rsidR="00E61227">
        <w:t>nie podzielili jednak stanowiska</w:t>
      </w:r>
      <w:r w:rsidR="004B4CAA">
        <w:t xml:space="preserve"> </w:t>
      </w:r>
      <w:r w:rsidR="00E61227">
        <w:t>pozwanego Rządu</w:t>
      </w:r>
      <w:r w:rsidR="004B4CAA">
        <w:t xml:space="preserve">, </w:t>
      </w:r>
      <w:r w:rsidR="00E61227">
        <w:t>zgodnie z którym</w:t>
      </w:r>
      <w:r w:rsidR="004B4CAA">
        <w:t xml:space="preserve"> R. mógł realizować to prawo wyłącznie</w:t>
      </w:r>
      <w:r w:rsidR="00E61227">
        <w:t>,</w:t>
      </w:r>
      <w:r w:rsidR="004B4CAA">
        <w:t xml:space="preserve"> gdy </w:t>
      </w:r>
      <w:r w:rsidR="004B4CAA">
        <w:lastRenderedPageBreak/>
        <w:t xml:space="preserve">zamieszkiwał ze swoimi </w:t>
      </w:r>
      <w:r w:rsidR="00E61227">
        <w:t xml:space="preserve">rodzicami </w:t>
      </w:r>
      <w:r w:rsidR="004B4CAA">
        <w:t xml:space="preserve">biologicznymi. Wskazali, że ich życie z R. stanowiło „życie rodzinne” – co Rząd </w:t>
      </w:r>
      <w:r w:rsidR="00E61227">
        <w:t xml:space="preserve">potwierdził </w:t>
      </w:r>
      <w:r w:rsidR="004B4CAA">
        <w:t xml:space="preserve">– i argumentowali, że kwestię, jaka forma życia rodzinnego lepiej służyłaby dobru dziecka, należy </w:t>
      </w:r>
      <w:r w:rsidR="00E61227">
        <w:t xml:space="preserve">oceniać </w:t>
      </w:r>
      <w:r w:rsidR="004B4CAA">
        <w:t xml:space="preserve">na podstawie okoliczności faktycznych </w:t>
      </w:r>
      <w:r w:rsidR="00E61227">
        <w:t>konkretnej sprawy</w:t>
      </w:r>
      <w:r w:rsidR="004B4CAA">
        <w:t xml:space="preserve">, z należytym uwzględnieniem szczególnej historii stosunków tego dziecka z jego </w:t>
      </w:r>
      <w:r w:rsidR="00E26597">
        <w:t xml:space="preserve">rodzicami </w:t>
      </w:r>
      <w:r w:rsidR="004B4CAA">
        <w:t>biologicznymi, jak również więzi między tym dzieckiem a jego faktyczną rodziną.</w:t>
      </w:r>
    </w:p>
    <w:p w14:paraId="4431F113" w14:textId="6B139DCD" w:rsidR="006668EB" w:rsidRPr="009548E3" w:rsidRDefault="007310C2" w:rsidP="009548E3">
      <w:pPr>
        <w:pStyle w:val="ECHRPara"/>
      </w:pPr>
      <w:fldSimple w:instr=" SEQ level0 \*arabic ">
        <w:r w:rsidR="00403504">
          <w:rPr>
            <w:noProof/>
          </w:rPr>
          <w:t>97</w:t>
        </w:r>
      </w:fldSimple>
      <w:r w:rsidR="00D34975">
        <w:t xml:space="preserve">.  Utrzymywali, że dalsze zamieszkiwanie z nimi leżałoby w najlepszym interesie R., zwłaszcza biorąc pod uwagę okoliczności jego życia przed </w:t>
      </w:r>
      <w:r w:rsidR="00E61227">
        <w:t xml:space="preserve">wydaniem przez sąd orzeczenia </w:t>
      </w:r>
      <w:r w:rsidR="00D34975">
        <w:t xml:space="preserve">o ustaniu opieki pierwszej skarżącej i przekazaniu go pod pieczę </w:t>
      </w:r>
      <w:r w:rsidR="00E61227">
        <w:t xml:space="preserve">rodziców </w:t>
      </w:r>
      <w:r w:rsidR="00D34975">
        <w:t>biologicznych. Wydając takie orzeczenie, sądy krajowe – zdaniem skarżących – nie oceniły odpowiednio wszystkich istotnych okoliczności i czynników oraz nie oparły swojej decyzji na „odpowiednich i wystarczających” powodach.</w:t>
      </w:r>
    </w:p>
    <w:p w14:paraId="4AFA2C2F" w14:textId="6A99B4A3" w:rsidR="006668EB" w:rsidRPr="009548E3" w:rsidRDefault="007310C2" w:rsidP="009548E3">
      <w:pPr>
        <w:pStyle w:val="ECHRPara"/>
      </w:pPr>
      <w:fldSimple w:instr=" SEQ level0 \*arabic ">
        <w:r w:rsidR="00403504">
          <w:rPr>
            <w:noProof/>
          </w:rPr>
          <w:t>98</w:t>
        </w:r>
      </w:fldSimple>
      <w:r w:rsidR="00CC1D51">
        <w:t>.  W związku z powyższym skarżący argumentowali w szczególności, że wkrótce po narodzinach R. jego rodzice faktycznie porzucili go w szpitalu dziecięcym i nigdy nie przyszli go tam odwiedzić. Ponadto sama konieczność ustanowienia opiekuna</w:t>
      </w:r>
      <w:r w:rsidR="001C2636">
        <w:t xml:space="preserve"> świadczyła o tym</w:t>
      </w:r>
      <w:r w:rsidR="00CC1D51">
        <w:t>, że R. został porzucony przez swoich rodziców, ponieważ zgodnie z prawem krajowym ustanowienie opieki było możliwe tylko w odniesieniu do dzieci pozostawionych bez pieczy rodzicielskiej.</w:t>
      </w:r>
    </w:p>
    <w:bookmarkStart w:id="35" w:name="NoTimeLimitsGuardianship"/>
    <w:p w14:paraId="7A7DEF72" w14:textId="7107542C" w:rsidR="00692F08" w:rsidRPr="009548E3" w:rsidRDefault="00EF7963" w:rsidP="009548E3">
      <w:pPr>
        <w:pStyle w:val="ECHRPara"/>
      </w:pPr>
      <w:r w:rsidRPr="009548E3">
        <w:fldChar w:fldCharType="begin"/>
      </w:r>
      <w:r w:rsidRPr="009548E3">
        <w:instrText xml:space="preserve"> SEQ level0 \*arabic </w:instrText>
      </w:r>
      <w:r w:rsidRPr="009548E3">
        <w:fldChar w:fldCharType="separate"/>
      </w:r>
      <w:r w:rsidR="00403504">
        <w:rPr>
          <w:noProof/>
        </w:rPr>
        <w:t>99</w:t>
      </w:r>
      <w:r w:rsidRPr="009548E3">
        <w:fldChar w:fldCharType="end"/>
      </w:r>
      <w:bookmarkEnd w:id="35"/>
      <w:r>
        <w:t xml:space="preserve">.  Skarżący </w:t>
      </w:r>
      <w:r w:rsidR="00E52046">
        <w:t>ponadto</w:t>
      </w:r>
      <w:r>
        <w:t xml:space="preserve"> kwestionowali argumenty Rządu, że rodzice R. wyrazili zgodę na ustanowienie opieki pierwszej skarżącej nad ich synem oraz na przekazanie go pod jej pieczę, ponieważ nie byli w stanie zaspokoić potrzeb dziecka oraz że opieka miała być środkiem tymczasowym, dopóki jego stan </w:t>
      </w:r>
      <w:r w:rsidR="001C2636">
        <w:t>nie ulegnie poprawie</w:t>
      </w:r>
      <w:r>
        <w:t xml:space="preserve">. W związku z tym skarżący podnieśli, że w treści decyzji administracyjnej z dnia 23 listopada 2001 r. (zob. paragraf </w:t>
      </w:r>
      <w:r w:rsidR="001C2636">
        <w:t xml:space="preserve">10 </w:t>
      </w:r>
      <w:r>
        <w:t xml:space="preserve">powyżej) nic nie wskazywało na to, że opieka miała charakter tymczasowy; nie zastrzeżono również żadnych terminów </w:t>
      </w:r>
      <w:r w:rsidR="001C2636">
        <w:t xml:space="preserve">ustania </w:t>
      </w:r>
      <w:r>
        <w:t xml:space="preserve">opieki ani warunków, po których ziszczeniu miałaby </w:t>
      </w:r>
      <w:r w:rsidR="001C2636">
        <w:t xml:space="preserve">ona </w:t>
      </w:r>
      <w:r>
        <w:t xml:space="preserve">ustać. Skarżący twierdzili również, że rodzice R. mogli przecież zamieszkiwać z R. oraz spróbować zorganizować mu niezbędną specjalistyczną opiekę w domu, </w:t>
      </w:r>
      <w:r w:rsidR="001C2636">
        <w:t>przy wsparciu ze strony</w:t>
      </w:r>
      <w:r>
        <w:t xml:space="preserve"> pracowników służby zdrowia lub samodzielnie </w:t>
      </w:r>
      <w:r w:rsidR="001C2636">
        <w:t xml:space="preserve">zdobywając </w:t>
      </w:r>
      <w:r>
        <w:t xml:space="preserve">niezbędne umiejętności, ale zamiast tego zdecydowali się </w:t>
      </w:r>
      <w:r w:rsidR="001C2636">
        <w:t xml:space="preserve">odseparować </w:t>
      </w:r>
      <w:r>
        <w:t xml:space="preserve">od chłopca. W </w:t>
      </w:r>
      <w:r w:rsidR="001C2636">
        <w:t xml:space="preserve">orzeczeniu </w:t>
      </w:r>
      <w:r>
        <w:t xml:space="preserve">z </w:t>
      </w:r>
      <w:r w:rsidR="001C2636">
        <w:t xml:space="preserve">dnia </w:t>
      </w:r>
      <w:r>
        <w:t xml:space="preserve">11 listopada 2008 r. – wydanym w pierwszej instancji – sąd rejonowy nie znalazł podstaw do pozbawienia rodziców R. władzy rodzicielskiej nad R., wskazał na konieczność zmiany ich stosunku do wychowania R. (zob. par. </w:t>
      </w:r>
      <w:r w:rsidR="002368F3" w:rsidRPr="009548E3">
        <w:fldChar w:fldCharType="begin"/>
      </w:r>
      <w:r w:rsidR="002368F3" w:rsidRPr="009548E3">
        <w:instrText xml:space="preserve"> REF UrgeChangeUpbringingAttitude \h  \* MERGEFORMAT </w:instrText>
      </w:r>
      <w:r w:rsidR="002368F3" w:rsidRPr="009548E3">
        <w:fldChar w:fldCharType="separate"/>
      </w:r>
      <w:r w:rsidR="00403504">
        <w:t>19</w:t>
      </w:r>
      <w:r w:rsidR="002368F3" w:rsidRPr="009548E3">
        <w:fldChar w:fldCharType="end"/>
      </w:r>
      <w:r>
        <w:t xml:space="preserve"> powyżej), przyznając w dorozumiany sposób, że rodzice R. nie wywiązywali się ze swoich obowiązków rodzicielskich w zadowalający sposób.</w:t>
      </w:r>
    </w:p>
    <w:p w14:paraId="4C57E997" w14:textId="0DF7A4FF" w:rsidR="0082543F" w:rsidRPr="009548E3" w:rsidRDefault="007310C2" w:rsidP="009548E3">
      <w:pPr>
        <w:pStyle w:val="ECHRPara"/>
      </w:pPr>
      <w:fldSimple w:instr=" SEQ level0 \*arabic ">
        <w:r w:rsidR="00403504">
          <w:rPr>
            <w:noProof/>
          </w:rPr>
          <w:t>100</w:t>
        </w:r>
      </w:fldSimple>
      <w:r w:rsidR="00EB2676">
        <w:t xml:space="preserve">.  Skarżący </w:t>
      </w:r>
      <w:r w:rsidR="001C2636">
        <w:t>wywodzili ponadto</w:t>
      </w:r>
      <w:r w:rsidR="00EB2676">
        <w:t xml:space="preserve">, że rodzice R. nie utrzymywali z nim </w:t>
      </w:r>
      <w:r w:rsidR="001C2636">
        <w:t xml:space="preserve">kontaktu </w:t>
      </w:r>
      <w:r w:rsidR="00EB2676">
        <w:t xml:space="preserve">osobistego </w:t>
      </w:r>
      <w:r w:rsidR="001C2636">
        <w:t>ani</w:t>
      </w:r>
      <w:r w:rsidR="00EB2676">
        <w:t xml:space="preserve"> nie okazywali zainteresowania nim przez pierwsze osiem lat jego życia, co zostało potwierdzone w </w:t>
      </w:r>
      <w:r w:rsidR="001C2636">
        <w:t xml:space="preserve">orzeczeniu </w:t>
      </w:r>
      <w:r w:rsidR="00EB2676">
        <w:t>z dnia 26 lutego 2009 r. (</w:t>
      </w:r>
      <w:r w:rsidR="001C2636">
        <w:t xml:space="preserve">zob. </w:t>
      </w:r>
      <w:r w:rsidR="00EB2676">
        <w:t xml:space="preserve">par. </w:t>
      </w:r>
      <w:r w:rsidR="00EA2407" w:rsidRPr="009548E3">
        <w:fldChar w:fldCharType="begin"/>
      </w:r>
      <w:r w:rsidR="00EA2407" w:rsidRPr="009548E3">
        <w:instrText xml:space="preserve"> REF Jud29Feb2009ParentsNoInterest \h  \* MERGEFORMAT </w:instrText>
      </w:r>
      <w:r w:rsidR="00EA2407" w:rsidRPr="009548E3">
        <w:fldChar w:fldCharType="separate"/>
      </w:r>
      <w:r w:rsidR="00403504">
        <w:t>23</w:t>
      </w:r>
      <w:r w:rsidR="00EA2407" w:rsidRPr="009548E3">
        <w:fldChar w:fldCharType="end"/>
      </w:r>
      <w:r w:rsidR="00EB2676">
        <w:t xml:space="preserve"> powyżej).</w:t>
      </w:r>
    </w:p>
    <w:bookmarkStart w:id="36" w:name="ApplicantsLivedNineYearsWithR"/>
    <w:p w14:paraId="63A92563" w14:textId="52FE149C" w:rsidR="003A396F" w:rsidRPr="009548E3" w:rsidRDefault="0082543F" w:rsidP="009548E3">
      <w:pPr>
        <w:pStyle w:val="ECHRPara"/>
      </w:pPr>
      <w:r w:rsidRPr="009548E3">
        <w:lastRenderedPageBreak/>
        <w:fldChar w:fldCharType="begin"/>
      </w:r>
      <w:r w:rsidRPr="009548E3">
        <w:instrText xml:space="preserve"> SEQ level0 \*arabic </w:instrText>
      </w:r>
      <w:r w:rsidRPr="009548E3">
        <w:fldChar w:fldCharType="separate"/>
      </w:r>
      <w:r w:rsidR="00403504">
        <w:rPr>
          <w:noProof/>
        </w:rPr>
        <w:t>101</w:t>
      </w:r>
      <w:r w:rsidRPr="009548E3">
        <w:fldChar w:fldCharType="end"/>
      </w:r>
      <w:bookmarkEnd w:id="36"/>
      <w:r>
        <w:t xml:space="preserve">.  Skarżący utrzymywali, że w każdym razie, kiedy podjęto decyzję o ustaniu opieki, więzi pomiędzy R. a skarżącymi były znacznie silniejsze niż jego relacje z </w:t>
      </w:r>
      <w:r w:rsidR="001C2636">
        <w:t xml:space="preserve">rodzicami </w:t>
      </w:r>
      <w:r>
        <w:t xml:space="preserve">biologicznymi. </w:t>
      </w:r>
      <w:r w:rsidR="001C2636">
        <w:t>Do</w:t>
      </w:r>
      <w:r>
        <w:t xml:space="preserve"> tamtego momentu </w:t>
      </w:r>
      <w:r w:rsidR="001C2636">
        <w:t xml:space="preserve">bowiem </w:t>
      </w:r>
      <w:r>
        <w:t xml:space="preserve">chłopiec nigdy nie mieszkał z rodzicami, zaś pierwsza skarżąca opiekowała się nim codziennie przez pierwsze dziewięć lat jego życia, zatem była </w:t>
      </w:r>
      <w:r w:rsidR="001C2636">
        <w:t xml:space="preserve">jedyną znacząca osobą dorosłą </w:t>
      </w:r>
      <w:r>
        <w:t xml:space="preserve">w jego życiu. </w:t>
      </w:r>
      <w:r w:rsidR="001C2636">
        <w:t>Zdaniem</w:t>
      </w:r>
      <w:r>
        <w:t xml:space="preserve"> skarżących sądy krajowe nie uwzględniły dobra R., a zwłaszcza jego szczególnych potrzeb wynikających ze stanu zdrowia.</w:t>
      </w:r>
    </w:p>
    <w:p w14:paraId="6B0C3781" w14:textId="05859278" w:rsidR="006668EB" w:rsidRPr="009548E3" w:rsidRDefault="007310C2" w:rsidP="009548E3">
      <w:pPr>
        <w:pStyle w:val="ECHRPara"/>
      </w:pPr>
      <w:fldSimple w:instr=" SEQ level0 \*arabic ">
        <w:r w:rsidR="00403504">
          <w:rPr>
            <w:noProof/>
          </w:rPr>
          <w:t>102</w:t>
        </w:r>
      </w:fldSimple>
      <w:r w:rsidR="00EB2676">
        <w:t xml:space="preserve">.  Skarżący wyrazili również wątpliwości, czy środki podjęte w celu adaptacji R. do </w:t>
      </w:r>
      <w:r w:rsidR="001C2636">
        <w:t xml:space="preserve">rodziców </w:t>
      </w:r>
      <w:r w:rsidR="00EB2676">
        <w:t xml:space="preserve">biologicznych i jego integracji z rodziną przed przekazaniem go pod pieczę rodziców </w:t>
      </w:r>
      <w:r w:rsidR="001C2636">
        <w:t xml:space="preserve">biologicznych </w:t>
      </w:r>
      <w:r w:rsidR="00EB2676">
        <w:t xml:space="preserve">były odpowiednie, gdyż ograniczono je do kilkudziesięciu krótkich spotkań z rodzicami. Skarżący odnieśli się do opinii organu ds. opieki nad dziećmi, który uznał te środki za niewystarczające i zalecił stopniowe wydłużanie kontaktu R. z rodzicami zamiast natychmiastowego oddania go pod ich </w:t>
      </w:r>
      <w:r w:rsidR="001C2636">
        <w:t xml:space="preserve">pieczę </w:t>
      </w:r>
      <w:r w:rsidR="00EB2676">
        <w:t xml:space="preserve">(zob. par. </w:t>
      </w:r>
      <w:r w:rsidR="00EA2407" w:rsidRPr="009548E3">
        <w:fldChar w:fldCharType="begin"/>
      </w:r>
      <w:r w:rsidR="00EA2407" w:rsidRPr="009548E3">
        <w:instrText xml:space="preserve"> REF Report29Dec2009 \h  \* MERGEFORMAT </w:instrText>
      </w:r>
      <w:r w:rsidR="00EA2407" w:rsidRPr="009548E3">
        <w:fldChar w:fldCharType="separate"/>
      </w:r>
      <w:r w:rsidR="00403504">
        <w:t>34</w:t>
      </w:r>
      <w:r w:rsidR="00EA2407" w:rsidRPr="009548E3">
        <w:fldChar w:fldCharType="end"/>
      </w:r>
      <w:r w:rsidR="00EB2676">
        <w:t xml:space="preserve"> i </w:t>
      </w:r>
      <w:r w:rsidR="00EA2407" w:rsidRPr="009548E3">
        <w:fldChar w:fldCharType="begin"/>
      </w:r>
      <w:r w:rsidR="00EA2407" w:rsidRPr="009548E3">
        <w:instrText xml:space="preserve"> REF CCAREAuthorityGradualIntergration \h  \* MERGEFORMAT </w:instrText>
      </w:r>
      <w:r w:rsidR="00EA2407" w:rsidRPr="009548E3">
        <w:fldChar w:fldCharType="separate"/>
      </w:r>
      <w:r w:rsidR="00403504">
        <w:t>36</w:t>
      </w:r>
      <w:r w:rsidR="00EA2407" w:rsidRPr="009548E3">
        <w:fldChar w:fldCharType="end"/>
      </w:r>
      <w:r w:rsidR="00EB2676">
        <w:t xml:space="preserve"> powyżej).</w:t>
      </w:r>
    </w:p>
    <w:p w14:paraId="4EBA4952" w14:textId="47702C06" w:rsidR="00C92001" w:rsidRPr="009548E3" w:rsidRDefault="007310C2" w:rsidP="009548E3">
      <w:pPr>
        <w:pStyle w:val="ECHRPara"/>
      </w:pPr>
      <w:fldSimple w:instr=" SEQ level0 \*arabic ">
        <w:r w:rsidR="00403504">
          <w:rPr>
            <w:noProof/>
          </w:rPr>
          <w:t>103</w:t>
        </w:r>
      </w:fldSimple>
      <w:r w:rsidR="00EB2676">
        <w:t>.  W takich okolicznościach zakończenie życia rodzinnego R. ze skarżącymi i przekazanie go biologicznym rodzicom, zdaniem skarżących, służyło głównie interesom rodziców, a nie dobru dziecka.</w:t>
      </w:r>
    </w:p>
    <w:p w14:paraId="5B9BB98F" w14:textId="77777777" w:rsidR="002573D6" w:rsidRPr="009548E3" w:rsidRDefault="00B45136" w:rsidP="009548E3">
      <w:pPr>
        <w:pStyle w:val="ECHRHeading5"/>
      </w:pPr>
      <w:r>
        <w:t>ii.  Rząd</w:t>
      </w:r>
    </w:p>
    <w:p w14:paraId="002A9CF0" w14:textId="0469BAA3" w:rsidR="001F6734" w:rsidRPr="009548E3" w:rsidRDefault="007310C2" w:rsidP="009548E3">
      <w:pPr>
        <w:pStyle w:val="ECHRPara"/>
      </w:pPr>
      <w:fldSimple w:instr=" SEQ level0 \*arabic ">
        <w:r w:rsidR="00403504">
          <w:rPr>
            <w:noProof/>
          </w:rPr>
          <w:t>104</w:t>
        </w:r>
      </w:fldSimple>
      <w:r w:rsidR="00662216">
        <w:t xml:space="preserve">.  Według Rządu ustanie opieki pierwszej skarżącej nad R. i </w:t>
      </w:r>
      <w:r w:rsidR="00BC2727">
        <w:t xml:space="preserve">przekazanie </w:t>
      </w:r>
      <w:r w:rsidR="00662216">
        <w:t xml:space="preserve">go </w:t>
      </w:r>
      <w:r w:rsidR="00E26597">
        <w:t xml:space="preserve">rodzicom biologicznym </w:t>
      </w:r>
      <w:r w:rsidR="00662216">
        <w:t xml:space="preserve">było zgodne z wymogami art. 8 Konwencji. Rząd argumentował w szczególności, że kwestionowany środek </w:t>
      </w:r>
      <w:r w:rsidR="00BC2727">
        <w:t xml:space="preserve">znajdował </w:t>
      </w:r>
      <w:r w:rsidR="00662216">
        <w:t xml:space="preserve">podstawę w prawie krajowym, a dokładniej w kilku artykułach rosyjskiego kodeksu rodzinnego, przewidujących prawo każdego dziecka do poznania swoich rodziców, </w:t>
      </w:r>
      <w:r w:rsidR="00BC2727">
        <w:t xml:space="preserve">do </w:t>
      </w:r>
      <w:r w:rsidR="00662216">
        <w:t>utrzymywania kontakt</w:t>
      </w:r>
      <w:r w:rsidR="00BC2727">
        <w:t>ów</w:t>
      </w:r>
      <w:r w:rsidR="00662216">
        <w:t xml:space="preserve"> z nimi oraz </w:t>
      </w:r>
      <w:r w:rsidR="00BC2727">
        <w:t xml:space="preserve">do mieszkania z nimi oraz </w:t>
      </w:r>
      <w:r w:rsidR="00662216">
        <w:t xml:space="preserve">przebywania pod ich pieczą; a także pierwszeństwo prawa rodziców do wychowywania dzieci (zob. par. </w:t>
      </w:r>
      <w:r w:rsidR="00411472" w:rsidRPr="009548E3">
        <w:fldChar w:fldCharType="begin"/>
      </w:r>
      <w:r w:rsidR="00411472" w:rsidRPr="009548E3">
        <w:instrText xml:space="preserve"> REF A54 \h  \* MERGEFORMAT </w:instrText>
      </w:r>
      <w:r w:rsidR="00411472" w:rsidRPr="009548E3">
        <w:fldChar w:fldCharType="separate"/>
      </w:r>
      <w:r w:rsidR="00403504">
        <w:t>61</w:t>
      </w:r>
      <w:r w:rsidR="00411472" w:rsidRPr="009548E3">
        <w:fldChar w:fldCharType="end"/>
      </w:r>
      <w:r w:rsidR="00662216">
        <w:t xml:space="preserve">, </w:t>
      </w:r>
      <w:r w:rsidR="00411472" w:rsidRPr="009548E3">
        <w:fldChar w:fldCharType="begin"/>
      </w:r>
      <w:r w:rsidR="00411472" w:rsidRPr="009548E3">
        <w:instrText xml:space="preserve"> REF A63 \h  \* MERGEFORMAT </w:instrText>
      </w:r>
      <w:r w:rsidR="00411472" w:rsidRPr="009548E3">
        <w:fldChar w:fldCharType="separate"/>
      </w:r>
      <w:r w:rsidR="00403504">
        <w:t>64</w:t>
      </w:r>
      <w:r w:rsidR="00411472" w:rsidRPr="009548E3">
        <w:fldChar w:fldCharType="end"/>
      </w:r>
      <w:r w:rsidR="00662216">
        <w:t xml:space="preserve"> i </w:t>
      </w:r>
      <w:r w:rsidR="00411472" w:rsidRPr="009548E3">
        <w:fldChar w:fldCharType="begin"/>
      </w:r>
      <w:r w:rsidR="00411472" w:rsidRPr="009548E3">
        <w:instrText xml:space="preserve"> REF A68 \h  \* MERGEFORMAT </w:instrText>
      </w:r>
      <w:r w:rsidR="00411472" w:rsidRPr="009548E3">
        <w:fldChar w:fldCharType="separate"/>
      </w:r>
      <w:r w:rsidR="00403504">
        <w:t>67</w:t>
      </w:r>
      <w:r w:rsidR="00411472" w:rsidRPr="009548E3">
        <w:fldChar w:fldCharType="end"/>
      </w:r>
      <w:r w:rsidR="00662216">
        <w:t xml:space="preserve"> powyżej).</w:t>
      </w:r>
    </w:p>
    <w:p w14:paraId="7DD34B92" w14:textId="17A72629" w:rsidR="00601C6B" w:rsidRPr="009548E3" w:rsidRDefault="007310C2" w:rsidP="009548E3">
      <w:pPr>
        <w:pStyle w:val="ECHRPara"/>
      </w:pPr>
      <w:fldSimple w:instr=" SEQ level0 \*arabic ">
        <w:r w:rsidR="00403504">
          <w:rPr>
            <w:noProof/>
          </w:rPr>
          <w:t>105</w:t>
        </w:r>
      </w:fldSimple>
      <w:r w:rsidR="001F6734">
        <w:t xml:space="preserve">.  Podkreślił ponadto, że kwestionowany środek został podjęty w najlepszym interesie dziecka i był niezbędny do zapewnienia poszanowania praw jego rodziców, chronionych art. 8 Konwencji. W szczególności Rząd zauważył, że </w:t>
      </w:r>
      <w:r w:rsidR="00BC2727">
        <w:t xml:space="preserve">rodzice </w:t>
      </w:r>
      <w:r w:rsidR="001F6734">
        <w:t xml:space="preserve">biologiczni R. nigdy formalnie nie zrzekli się władzy rodzicielskiej nad chłopcem oraz że właściwe władze nigdy nie ograniczyły ani nie pozbawiły ich owej władzy rodzicielskiej. Rząd wskazał, że w toku różnych postępowań sądy krajowe ustaliły, że rodzice R. nigdy nie porzucili dziecka; wypytywali o jego życie i zdrowie, wspierali go finansowo, zaopatrywali w potrzebne lekarstwa, żywność </w:t>
      </w:r>
      <w:r w:rsidR="00BC2727">
        <w:t xml:space="preserve">dostosowaną </w:t>
      </w:r>
      <w:r w:rsidR="001F6734">
        <w:t>do jego specjalnej diety oraz ubrania</w:t>
      </w:r>
      <w:r w:rsidR="00BC2727">
        <w:t>,</w:t>
      </w:r>
      <w:r w:rsidR="001F6734">
        <w:t xml:space="preserve"> a także </w:t>
      </w:r>
      <w:r w:rsidR="00BC2727">
        <w:t xml:space="preserve">reagowali </w:t>
      </w:r>
      <w:r w:rsidR="001F6734">
        <w:t xml:space="preserve">na prośby pierwszej skarżącej dotyczące R. (zob. par. </w:t>
      </w:r>
      <w:r w:rsidR="005B0950" w:rsidRPr="009548E3">
        <w:fldChar w:fldCharType="begin"/>
      </w:r>
      <w:r w:rsidR="005B0950" w:rsidRPr="009548E3">
        <w:instrText xml:space="preserve"> REF ParentsPerformedTheirDuties \h </w:instrText>
      </w:r>
      <w:r w:rsidR="00A37A35" w:rsidRPr="009548E3">
        <w:instrText xml:space="preserve"> \* MERGEFORMAT </w:instrText>
      </w:r>
      <w:r w:rsidR="005B0950" w:rsidRPr="009548E3">
        <w:fldChar w:fldCharType="separate"/>
      </w:r>
      <w:r w:rsidR="00403504">
        <w:t>18</w:t>
      </w:r>
      <w:r w:rsidR="005B0950" w:rsidRPr="009548E3">
        <w:fldChar w:fldCharType="end"/>
      </w:r>
      <w:r w:rsidR="001F6734">
        <w:t xml:space="preserve"> i </w:t>
      </w:r>
      <w:r w:rsidR="00A37A35" w:rsidRPr="009548E3">
        <w:fldChar w:fldCharType="begin"/>
      </w:r>
      <w:r w:rsidR="00A37A35" w:rsidRPr="009548E3">
        <w:instrText xml:space="preserve"> REF ParentsNotAbandonR \h  \* MERGEFORMAT </w:instrText>
      </w:r>
      <w:r w:rsidR="00A37A35" w:rsidRPr="009548E3">
        <w:fldChar w:fldCharType="separate"/>
      </w:r>
      <w:r w:rsidR="00403504">
        <w:t>39</w:t>
      </w:r>
      <w:r w:rsidR="00A37A35" w:rsidRPr="009548E3">
        <w:fldChar w:fldCharType="end"/>
      </w:r>
      <w:r w:rsidR="001F6734">
        <w:t xml:space="preserve"> powyżej). Rząd argumentował zatem, że życie rodzinne pomiędzy R. a jego rodzicami i innymi bliskimi krewnymi nigdy nie przestało istnieć; jego rodzice i inni bliscy krewni zawsze okazywali mu głębokie przywiązanie i zawsze uważali go za członka swojej rodziny.</w:t>
      </w:r>
    </w:p>
    <w:p w14:paraId="2E071C93" w14:textId="5A242440" w:rsidR="002309A7" w:rsidRPr="009548E3" w:rsidRDefault="007310C2" w:rsidP="009548E3">
      <w:pPr>
        <w:pStyle w:val="ECHRPara"/>
      </w:pPr>
      <w:fldSimple w:instr=" SEQ level0 \*arabic ">
        <w:r w:rsidR="00403504">
          <w:rPr>
            <w:noProof/>
          </w:rPr>
          <w:t>106</w:t>
        </w:r>
      </w:fldSimple>
      <w:r w:rsidR="00367CE8">
        <w:t xml:space="preserve">.  Rząd stwierdził ponadto, że rodzice R., znajdując się w bardzo trudnym okresie życia, wyrazili zgodę na oddanie syna pod opiekę pierwszej skarżącej; zrobili to ze względu na jego bardzo poważny (a w tamtym momencie krytyczny) stan zdrowia. Sami nie byli wówczas w stanie zapewnić profesjonalnej opieki, której </w:t>
      </w:r>
      <w:r w:rsidR="00BC2727">
        <w:t>ich dziecko wymagało</w:t>
      </w:r>
      <w:r w:rsidR="00367CE8">
        <w:t xml:space="preserve">, podczas gdy pierwsza skarżąca – jako pediatra – była w stanie zadbać o jego potrzeby. Rząd podkreślił, że opieka musiała trwać do czasu poprawy stanu zdrowia R. </w:t>
      </w:r>
      <w:r w:rsidR="00BC2727">
        <w:t>Co istotne</w:t>
      </w:r>
      <w:r w:rsidR="00367CE8">
        <w:t xml:space="preserve">, w 2007 roku, kiedy stan zdrowia R. ustabilizował się, jego rodzice wyrazili zamiar zabrania go do domu. </w:t>
      </w:r>
      <w:r w:rsidR="00BC2727">
        <w:t xml:space="preserve">Co do zasady </w:t>
      </w:r>
      <w:r w:rsidR="00367CE8">
        <w:t>Rząd argumentował, że opieka jest</w:t>
      </w:r>
      <w:r w:rsidR="00BC2727">
        <w:t xml:space="preserve"> z definicji</w:t>
      </w:r>
      <w:r w:rsidR="00367CE8">
        <w:t xml:space="preserve"> środkiem tymczasowym, który miał </w:t>
      </w:r>
      <w:r w:rsidR="00BC2727">
        <w:t>ustać</w:t>
      </w:r>
      <w:r w:rsidR="00367CE8">
        <w:t xml:space="preserve"> gdy tylko pozwolą na to okoliczności.</w:t>
      </w:r>
    </w:p>
    <w:p w14:paraId="61DFF0EB" w14:textId="1620FFE1" w:rsidR="002309A7" w:rsidRPr="009548E3" w:rsidRDefault="007310C2" w:rsidP="009548E3">
      <w:pPr>
        <w:pStyle w:val="ECHRPara"/>
      </w:pPr>
      <w:fldSimple w:instr=" SEQ level0 \*arabic ">
        <w:r w:rsidR="00403504">
          <w:rPr>
            <w:noProof/>
          </w:rPr>
          <w:t>107</w:t>
        </w:r>
      </w:fldSimple>
      <w:r w:rsidR="00BF203B">
        <w:t xml:space="preserve">.  Rząd utrzymywał również, że sądy krajowe dokładnie </w:t>
      </w:r>
      <w:r w:rsidR="00BC2727">
        <w:t xml:space="preserve">zapoznały się z </w:t>
      </w:r>
      <w:r w:rsidR="00BF203B">
        <w:t>okoliczności</w:t>
      </w:r>
      <w:r w:rsidR="00BC2727">
        <w:t>ami</w:t>
      </w:r>
      <w:r w:rsidR="00BF203B">
        <w:t xml:space="preserve"> </w:t>
      </w:r>
      <w:r w:rsidR="00BC2727">
        <w:t xml:space="preserve">niniejszej </w:t>
      </w:r>
      <w:r w:rsidR="00BF203B">
        <w:t xml:space="preserve">sprawy, oceniły </w:t>
      </w:r>
      <w:r w:rsidR="00BC2727">
        <w:t xml:space="preserve">przedstawione </w:t>
      </w:r>
      <w:r w:rsidR="00BF203B">
        <w:t xml:space="preserve">dowody pisemne i zeznania świadków oraz podjęły decyzję o ustaniu opieki pierwszej skarżącej nad R. i przekazaniu go </w:t>
      </w:r>
      <w:r w:rsidR="00BC2727">
        <w:t xml:space="preserve">rodzicom </w:t>
      </w:r>
      <w:r w:rsidR="00BF203B">
        <w:t xml:space="preserve">biologicznym w oparciu o „odpowiednie i wystarczające” powody. W szczególności sądy zbadały sytuację rodzinną R., uwzględniły rozmaite czynniki, wyważyły interesy różnych stron </w:t>
      </w:r>
      <w:r w:rsidR="00BC2727">
        <w:t xml:space="preserve">sporu </w:t>
      </w:r>
      <w:r w:rsidR="00BF203B">
        <w:t>i podjęły decyzję kierując się dobrem dziecka.</w:t>
      </w:r>
    </w:p>
    <w:p w14:paraId="672A4614" w14:textId="2E33A76D" w:rsidR="00D56F6D" w:rsidRPr="009548E3" w:rsidRDefault="007310C2" w:rsidP="009548E3">
      <w:pPr>
        <w:pStyle w:val="ECHRPara"/>
      </w:pPr>
      <w:fldSimple w:instr=" SEQ level0 \*arabic ">
        <w:r w:rsidR="00403504">
          <w:rPr>
            <w:noProof/>
          </w:rPr>
          <w:t>108</w:t>
        </w:r>
      </w:fldSimple>
      <w:r w:rsidR="00F1248E">
        <w:t>.  Ściślej rzecz ujmując</w:t>
      </w:r>
      <w:r w:rsidR="00BC2727">
        <w:t>,</w:t>
      </w:r>
      <w:r w:rsidR="00F1248E">
        <w:t xml:space="preserve"> sądy krajowe były świadome faktu, że skarżący i R. mieszkali razem przez bardzo długi okres oraz,</w:t>
      </w:r>
      <w:r w:rsidR="00BC2727">
        <w:t xml:space="preserve"> </w:t>
      </w:r>
      <w:r w:rsidR="00F1248E">
        <w:t xml:space="preserve"> na </w:t>
      </w:r>
      <w:r w:rsidR="00BC2727">
        <w:t xml:space="preserve">podstawie zeznań </w:t>
      </w:r>
      <w:r w:rsidR="00F1248E">
        <w:t xml:space="preserve">świadków i </w:t>
      </w:r>
      <w:r w:rsidR="00FD4607">
        <w:t>dowodów pisemnych</w:t>
      </w:r>
      <w:r w:rsidR="00F1248E">
        <w:t xml:space="preserve">, w tym </w:t>
      </w:r>
      <w:r w:rsidR="005A53E0">
        <w:t xml:space="preserve">raportu </w:t>
      </w:r>
      <w:r w:rsidR="00F1248E">
        <w:t xml:space="preserve">z dnia 4 maja 2010 r. (zob. par. </w:t>
      </w:r>
      <w:r w:rsidR="00F31430" w:rsidRPr="009548E3">
        <w:fldChar w:fldCharType="begin"/>
      </w:r>
      <w:r w:rsidR="00F31430" w:rsidRPr="009548E3">
        <w:instrText xml:space="preserve"> REF Report4May2010 \h  \* MERGEFORMAT </w:instrText>
      </w:r>
      <w:r w:rsidR="00F31430" w:rsidRPr="009548E3">
        <w:fldChar w:fldCharType="separate"/>
      </w:r>
      <w:r w:rsidR="00403504">
        <w:t>35</w:t>
      </w:r>
      <w:r w:rsidR="00F31430" w:rsidRPr="009548E3">
        <w:fldChar w:fldCharType="end"/>
      </w:r>
      <w:r w:rsidR="00F1248E">
        <w:t xml:space="preserve">), oceniły kwestię, czy usunięcie chłopca z rodziny skarżących może </w:t>
      </w:r>
      <w:r w:rsidR="005A53E0">
        <w:t xml:space="preserve">mieć negatywny </w:t>
      </w:r>
      <w:r w:rsidR="00F1248E">
        <w:t>wpły</w:t>
      </w:r>
      <w:r w:rsidR="005A53E0">
        <w:t>w</w:t>
      </w:r>
      <w:r w:rsidR="00F1248E">
        <w:t xml:space="preserve"> na jego stan fizyczny lub psychiczny. Co więcej, </w:t>
      </w:r>
      <w:r w:rsidR="005A53E0">
        <w:t xml:space="preserve">przekazanie </w:t>
      </w:r>
      <w:r w:rsidR="00F1248E">
        <w:t xml:space="preserve">R. </w:t>
      </w:r>
      <w:r w:rsidR="005A53E0">
        <w:t xml:space="preserve">rodzicom </w:t>
      </w:r>
      <w:r w:rsidR="00F1248E">
        <w:t xml:space="preserve">nakazano dopiero po rocznym okresie adaptacji, podczas którego rodzice i brat R. ponownie nawiązali więzi rodzinne z R. Sądy krajowe nabrały przekonania, że rodzice </w:t>
      </w:r>
      <w:r w:rsidR="00E52046">
        <w:t>R</w:t>
      </w:r>
      <w:r w:rsidR="00F1248E">
        <w:t>. nabyli umiejętności wymagane do opieki nad R., byli w stanie zrozumieć jego stan psychiczny i emocjonalny, jego możliwości i potrzeby.</w:t>
      </w:r>
    </w:p>
    <w:p w14:paraId="5BCF5DE2" w14:textId="6CA3D02C" w:rsidR="00FD42CD" w:rsidRPr="009548E3" w:rsidRDefault="007310C2" w:rsidP="009548E3">
      <w:pPr>
        <w:pStyle w:val="ECHRPara"/>
      </w:pPr>
      <w:fldSimple w:instr=" SEQ level0 \*arabic ">
        <w:r w:rsidR="00403504">
          <w:rPr>
            <w:noProof/>
          </w:rPr>
          <w:t>109</w:t>
        </w:r>
      </w:fldSimple>
      <w:r w:rsidR="00FD42CD">
        <w:t xml:space="preserve">.  Rząd argumentował zatem, że kwestionowany środek nie naruszył prawa skarżących do poszanowania ich życia rodzinnego, ponieważ w </w:t>
      </w:r>
      <w:r w:rsidR="005A53E0">
        <w:t xml:space="preserve">niniejszej </w:t>
      </w:r>
      <w:r w:rsidR="00FD42CD">
        <w:t xml:space="preserve">sprawie powrót do </w:t>
      </w:r>
      <w:r w:rsidR="005A53E0">
        <w:t xml:space="preserve">rodziców </w:t>
      </w:r>
      <w:r w:rsidR="00FD42CD">
        <w:t>biologicznych służył dobru dziecka.</w:t>
      </w:r>
    </w:p>
    <w:p w14:paraId="3D51812A" w14:textId="77777777" w:rsidR="00E75E6B" w:rsidRPr="009548E3" w:rsidRDefault="00E568AE" w:rsidP="009548E3">
      <w:pPr>
        <w:pStyle w:val="ECHRHeading4"/>
      </w:pPr>
      <w:r>
        <w:t>b) Ocena Trybunału</w:t>
      </w:r>
    </w:p>
    <w:p w14:paraId="7AD50ED5" w14:textId="445888FC" w:rsidR="00694A6A" w:rsidRPr="009548E3" w:rsidRDefault="007310C2" w:rsidP="009548E3">
      <w:pPr>
        <w:pStyle w:val="ECHRPara"/>
      </w:pPr>
      <w:fldSimple w:instr=" SEQ level0 \*arabic ">
        <w:r w:rsidR="00403504">
          <w:rPr>
            <w:noProof/>
          </w:rPr>
          <w:t>110</w:t>
        </w:r>
      </w:fldSimple>
      <w:r w:rsidR="00662216">
        <w:t xml:space="preserve">.  Trybunał stwierdził w par. </w:t>
      </w:r>
      <w:r w:rsidR="00F31430" w:rsidRPr="009548E3">
        <w:fldChar w:fldCharType="begin"/>
      </w:r>
      <w:r w:rsidR="00F31430" w:rsidRPr="009548E3">
        <w:instrText xml:space="preserve"> REF ExistenceFamilyLife \h  \* MERGEFORMAT </w:instrText>
      </w:r>
      <w:r w:rsidR="00F31430" w:rsidRPr="009548E3">
        <w:fldChar w:fldCharType="separate"/>
      </w:r>
      <w:r w:rsidR="00403504">
        <w:t>93</w:t>
      </w:r>
      <w:r w:rsidR="00F31430" w:rsidRPr="009548E3">
        <w:fldChar w:fldCharType="end"/>
      </w:r>
      <w:r w:rsidR="00662216">
        <w:t xml:space="preserve"> powyżej, że relacje, które istniały pomiędzy skarżącymi a R. w chwili, gdy doszło do ingerencji władz, stanowiły „życie rodzinne” w rozumieniu art. 8 Konwencji. Ustanie opieki pierwszej skarżącej nad R. i przekazanie go </w:t>
      </w:r>
      <w:r w:rsidR="004E5E6B">
        <w:t xml:space="preserve">rodzicom </w:t>
      </w:r>
      <w:r w:rsidR="00662216">
        <w:t xml:space="preserve">biologicznym spowodowało zerwanie tych relacji, a tym samym stanowiło ingerencję w prawo skarżących do poszanowania ich życia rodzinnego, gwarantowane przez art. 8 Konwencji (por. </w:t>
      </w:r>
      <w:proofErr w:type="spellStart"/>
      <w:r w:rsidR="00662216">
        <w:rPr>
          <w:i/>
        </w:rPr>
        <w:t>Ageyevy</w:t>
      </w:r>
      <w:proofErr w:type="spellEnd"/>
      <w:r w:rsidR="00662216">
        <w:rPr>
          <w:i/>
        </w:rPr>
        <w:t xml:space="preserve"> przeciwko Rosji</w:t>
      </w:r>
      <w:r w:rsidR="00662216">
        <w:t xml:space="preserve">, </w:t>
      </w:r>
      <w:r w:rsidR="004E5E6B">
        <w:t xml:space="preserve">skarga </w:t>
      </w:r>
      <w:r w:rsidR="00662216">
        <w:rPr>
          <w:snapToGrid w:val="0"/>
        </w:rPr>
        <w:t xml:space="preserve">nr 7075/10, §§ 120 i 137, 18 kwietnia 2013 r. oraz </w:t>
      </w:r>
      <w:r w:rsidR="00662216">
        <w:rPr>
          <w:i/>
          <w:snapToGrid w:val="0"/>
        </w:rPr>
        <w:t>Antkowiak</w:t>
      </w:r>
      <w:r w:rsidR="00662216">
        <w:rPr>
          <w:snapToGrid w:val="0"/>
        </w:rPr>
        <w:t xml:space="preserve"> (</w:t>
      </w:r>
      <w:proofErr w:type="spellStart"/>
      <w:r w:rsidR="00662216">
        <w:rPr>
          <w:snapToGrid w:val="0"/>
        </w:rPr>
        <w:t>dec</w:t>
      </w:r>
      <w:proofErr w:type="spellEnd"/>
      <w:r w:rsidR="00662216">
        <w:rPr>
          <w:snapToGrid w:val="0"/>
        </w:rPr>
        <w:t xml:space="preserve">.), </w:t>
      </w:r>
      <w:r w:rsidR="00662216" w:rsidRPr="0078611D">
        <w:rPr>
          <w:i/>
          <w:iCs/>
          <w:snapToGrid w:val="0"/>
        </w:rPr>
        <w:t>op.</w:t>
      </w:r>
      <w:r w:rsidR="004E5E6B" w:rsidRPr="0078611D">
        <w:rPr>
          <w:i/>
          <w:iCs/>
          <w:snapToGrid w:val="0"/>
        </w:rPr>
        <w:t xml:space="preserve"> </w:t>
      </w:r>
      <w:r w:rsidR="00662216" w:rsidRPr="0078611D">
        <w:rPr>
          <w:i/>
          <w:iCs/>
          <w:snapToGrid w:val="0"/>
        </w:rPr>
        <w:t>cit</w:t>
      </w:r>
      <w:r w:rsidR="00662216">
        <w:rPr>
          <w:snapToGrid w:val="0"/>
        </w:rPr>
        <w:t>., § 63.</w:t>
      </w:r>
      <w:r w:rsidR="00662216">
        <w:t xml:space="preserve"> Taka ingerencja stanowi naruszenie powołanego </w:t>
      </w:r>
      <w:r w:rsidR="004E5E6B">
        <w:t xml:space="preserve">postanowienia </w:t>
      </w:r>
      <w:r w:rsidR="00662216">
        <w:t xml:space="preserve">Konwencji, chyba że jest „zgodna z prawem”, dąży do jednego z uprawnionych celów na podstawie art. 8 ust. 2 i może zostać uznana za konieczną w demokratycznym </w:t>
      </w:r>
      <w:r w:rsidR="00662216">
        <w:lastRenderedPageBreak/>
        <w:t>społeczeństwie</w:t>
      </w:r>
      <w:r w:rsidR="004E5E6B">
        <w:t xml:space="preserve"> </w:t>
      </w:r>
      <w:r w:rsidR="00662216">
        <w:t xml:space="preserve">(zob. m.in. </w:t>
      </w:r>
      <w:proofErr w:type="spellStart"/>
      <w:r w:rsidR="00662216">
        <w:rPr>
          <w:i/>
        </w:rPr>
        <w:t>Jovanovic</w:t>
      </w:r>
      <w:proofErr w:type="spellEnd"/>
      <w:r w:rsidR="00662216">
        <w:rPr>
          <w:i/>
        </w:rPr>
        <w:t xml:space="preserve"> przeciwko Szwecji</w:t>
      </w:r>
      <w:r w:rsidR="00662216">
        <w:t xml:space="preserve">, </w:t>
      </w:r>
      <w:r w:rsidR="004E5E6B">
        <w:t xml:space="preserve">skarga </w:t>
      </w:r>
      <w:r w:rsidR="00662216">
        <w:t xml:space="preserve">nr 10592/12, </w:t>
      </w:r>
      <w:r w:rsidR="00662216">
        <w:rPr>
          <w:snapToGrid w:val="0"/>
        </w:rPr>
        <w:t>§ 74, 22 października 2015 r.).</w:t>
      </w:r>
    </w:p>
    <w:p w14:paraId="5AA6F4C4" w14:textId="743A9140" w:rsidR="00694A6A" w:rsidRPr="009548E3" w:rsidRDefault="007310C2" w:rsidP="009548E3">
      <w:pPr>
        <w:pStyle w:val="ECHRPara"/>
      </w:pPr>
      <w:fldSimple w:instr=" SEQ level0 \*arabic ">
        <w:r w:rsidR="00403504">
          <w:rPr>
            <w:noProof/>
          </w:rPr>
          <w:t>111</w:t>
        </w:r>
      </w:fldSimple>
      <w:r w:rsidR="00762FC7">
        <w:t xml:space="preserve">.  Trybunał uznaje argument Rządu, że kwestionowane środki miały podstawę w prawie krajowym, a ściślej w art. 54, 63 i 68 rosyjskiego kodeksu rodzinnego (zob. par. </w:t>
      </w:r>
      <w:r w:rsidR="00F31430" w:rsidRPr="009548E3">
        <w:fldChar w:fldCharType="begin"/>
      </w:r>
      <w:r w:rsidR="00F31430" w:rsidRPr="009548E3">
        <w:instrText xml:space="preserve"> REF A54 \h </w:instrText>
      </w:r>
      <w:r w:rsidR="006269DC" w:rsidRPr="009548E3">
        <w:instrText xml:space="preserve"> \* MERGEFORMAT </w:instrText>
      </w:r>
      <w:r w:rsidR="00F31430" w:rsidRPr="009548E3">
        <w:fldChar w:fldCharType="separate"/>
      </w:r>
      <w:r w:rsidR="00403504">
        <w:t>61</w:t>
      </w:r>
      <w:r w:rsidR="00F31430" w:rsidRPr="009548E3">
        <w:fldChar w:fldCharType="end"/>
      </w:r>
      <w:r w:rsidR="00762FC7">
        <w:t xml:space="preserve">, </w:t>
      </w:r>
      <w:r w:rsidR="00F31430" w:rsidRPr="009548E3">
        <w:fldChar w:fldCharType="begin"/>
      </w:r>
      <w:r w:rsidR="00F31430" w:rsidRPr="009548E3">
        <w:instrText xml:space="preserve"> REF A63 \h </w:instrText>
      </w:r>
      <w:r w:rsidR="006269DC" w:rsidRPr="009548E3">
        <w:instrText xml:space="preserve"> \* MERGEFORMAT </w:instrText>
      </w:r>
      <w:r w:rsidR="00F31430" w:rsidRPr="009548E3">
        <w:fldChar w:fldCharType="separate"/>
      </w:r>
      <w:r w:rsidR="00403504">
        <w:t>64</w:t>
      </w:r>
      <w:r w:rsidR="00F31430" w:rsidRPr="009548E3">
        <w:fldChar w:fldCharType="end"/>
      </w:r>
      <w:r w:rsidR="00762FC7">
        <w:t xml:space="preserve"> i </w:t>
      </w:r>
      <w:r w:rsidR="00F31430" w:rsidRPr="009548E3">
        <w:fldChar w:fldCharType="begin"/>
      </w:r>
      <w:r w:rsidR="00F31430" w:rsidRPr="009548E3">
        <w:instrText xml:space="preserve"> REF A68 \h </w:instrText>
      </w:r>
      <w:r w:rsidR="006269DC" w:rsidRPr="009548E3">
        <w:instrText xml:space="preserve"> \* MERGEFORMAT </w:instrText>
      </w:r>
      <w:r w:rsidR="00F31430" w:rsidRPr="009548E3">
        <w:fldChar w:fldCharType="separate"/>
      </w:r>
      <w:r w:rsidR="00403504">
        <w:t>67</w:t>
      </w:r>
      <w:r w:rsidR="00F31430" w:rsidRPr="009548E3">
        <w:fldChar w:fldCharType="end"/>
      </w:r>
      <w:r w:rsidR="00762FC7">
        <w:t xml:space="preserve"> powyżej). </w:t>
      </w:r>
      <w:r w:rsidR="004E5E6B">
        <w:t>P</w:t>
      </w:r>
      <w:r w:rsidR="00762FC7">
        <w:t xml:space="preserve">onadto </w:t>
      </w:r>
      <w:r w:rsidR="004E5E6B">
        <w:t xml:space="preserve">jest </w:t>
      </w:r>
      <w:r w:rsidR="00762FC7">
        <w:t xml:space="preserve">przekonany, że środki te miały na celu ochronę „praw i wolności innych”, a w szczególności praw i wolności R. oraz jego </w:t>
      </w:r>
      <w:r w:rsidR="004E5E6B">
        <w:t xml:space="preserve">rodziców </w:t>
      </w:r>
      <w:r w:rsidR="00762FC7">
        <w:t>biologicznych. Pozostaje zatem ustalić, czy ingerencja była konieczna w demokratycznym społeczeństwie.</w:t>
      </w:r>
    </w:p>
    <w:p w14:paraId="5208F8EA" w14:textId="0181FB4F" w:rsidR="00474053" w:rsidRPr="009548E3" w:rsidRDefault="007310C2" w:rsidP="009548E3">
      <w:pPr>
        <w:pStyle w:val="ECHRPara"/>
      </w:pPr>
      <w:fldSimple w:instr=" SEQ level0 \*arabic ">
        <w:r w:rsidR="00403504">
          <w:rPr>
            <w:noProof/>
          </w:rPr>
          <w:t>112</w:t>
        </w:r>
      </w:fldSimple>
      <w:r w:rsidR="00442B2A">
        <w:t>.  Rozstrzygając tę kwestię</w:t>
      </w:r>
      <w:r w:rsidR="004E5E6B">
        <w:t>,</w:t>
      </w:r>
      <w:r w:rsidR="00442B2A">
        <w:t xml:space="preserve"> Trybunał musi rozważyć, czy w świetle </w:t>
      </w:r>
      <w:r w:rsidR="004E5E6B">
        <w:t xml:space="preserve">całokształtu </w:t>
      </w:r>
      <w:r w:rsidR="00442B2A">
        <w:t xml:space="preserve">sprawy powody podane dla uzasadnienia kwestionowanego środka były „odpowiednie i wystarczające” dla celów art. 8 ust. 2 Konwencji. Nie może w sposób należyty ocenić tego ostatniego elementu bez jednoczesnego ustalenia, czy proces decyzyjny, </w:t>
      </w:r>
      <w:r w:rsidR="004E5E6B">
        <w:t>w ujęciu całościowym</w:t>
      </w:r>
      <w:r w:rsidR="00442B2A">
        <w:t xml:space="preserve">, był rzetelny i czy zapewniał skarżącej wymaganą ochronę jej interesów gwarantowanych art. 8 (zob. </w:t>
      </w:r>
      <w:r w:rsidR="004E5E6B">
        <w:t>np.</w:t>
      </w:r>
      <w:r w:rsidR="00442B2A">
        <w:t xml:space="preserve"> </w:t>
      </w:r>
      <w:r w:rsidR="00442B2A">
        <w:rPr>
          <w:i/>
        </w:rPr>
        <w:t>Schneider przeciwko Niemcom</w:t>
      </w:r>
      <w:r w:rsidR="00442B2A">
        <w:t xml:space="preserve">, </w:t>
      </w:r>
      <w:r w:rsidR="004E5E6B">
        <w:t xml:space="preserve">skarga </w:t>
      </w:r>
      <w:r w:rsidR="00442B2A">
        <w:t>nr 17080/07, § 93, 15 września 2011 r.).</w:t>
      </w:r>
    </w:p>
    <w:p w14:paraId="3D42108F" w14:textId="6961D6CC" w:rsidR="00C150BC" w:rsidRPr="009548E3" w:rsidRDefault="007310C2" w:rsidP="009548E3">
      <w:pPr>
        <w:pStyle w:val="ECHRPara"/>
      </w:pPr>
      <w:fldSimple w:instr=" SEQ level0 \*arabic ">
        <w:r w:rsidR="00403504">
          <w:rPr>
            <w:noProof/>
          </w:rPr>
          <w:t>113</w:t>
        </w:r>
      </w:fldSimple>
      <w:r w:rsidR="00474053">
        <w:t xml:space="preserve">.  Należy ponadto </w:t>
      </w:r>
      <w:r w:rsidR="004E5E6B">
        <w:t>zauważyć</w:t>
      </w:r>
      <w:r w:rsidR="00474053">
        <w:t>, że władze krajowe mają bezpośredni kontakt ze wszystkimi zainteresowanymi osobami. Z powyższych rozważań wynika, że​</w:t>
      </w:r>
      <w:r w:rsidR="004E5E6B">
        <w:t xml:space="preserve"> </w:t>
      </w:r>
      <w:r w:rsidR="00474053">
        <w:t xml:space="preserve">zadaniem Trybunału nie jest zastępowanie władz krajowych w wykonywaniu ich obowiązków dotyczących opieki i kontaktów, a raczej kontrola, w świetle postanowień Konwencji, decyzji podjętych przez te władze przy wykonywaniu ich dyskrecjonalnych uprawnień (zob. m.in. </w:t>
      </w:r>
      <w:proofErr w:type="spellStart"/>
      <w:r w:rsidR="00474053">
        <w:rPr>
          <w:i/>
        </w:rPr>
        <w:t>Görgülü</w:t>
      </w:r>
      <w:proofErr w:type="spellEnd"/>
      <w:r w:rsidR="00474053">
        <w:rPr>
          <w:i/>
        </w:rPr>
        <w:t xml:space="preserve"> przeciwko Niemcom</w:t>
      </w:r>
      <w:r w:rsidR="00474053">
        <w:t xml:space="preserve">, </w:t>
      </w:r>
      <w:r w:rsidR="004E5E6B">
        <w:t xml:space="preserve">skarga </w:t>
      </w:r>
      <w:r w:rsidR="00474053">
        <w:t>nr 74969/01, § 41, 26 lutego 2004 r.).</w:t>
      </w:r>
    </w:p>
    <w:p w14:paraId="2A8218D7" w14:textId="7F935858" w:rsidR="006668EB" w:rsidRPr="009548E3" w:rsidRDefault="007310C2" w:rsidP="009548E3">
      <w:pPr>
        <w:pStyle w:val="ECHRPara"/>
      </w:pPr>
      <w:fldSimple w:instr=" SEQ level0 \*arabic ">
        <w:r w:rsidR="00403504">
          <w:rPr>
            <w:noProof/>
          </w:rPr>
          <w:t>114</w:t>
        </w:r>
      </w:fldSimple>
      <w:r w:rsidR="00EB2676">
        <w:t xml:space="preserve">.  Obecnie istnieje szeroki konsensus – także w prawie międzynarodowym – na poparcie poglądu, że we wszystkich decyzjach dotyczących dzieci ich najlepszy interes musi </w:t>
      </w:r>
      <w:r w:rsidR="004E5E6B">
        <w:t xml:space="preserve">mieć charakter </w:t>
      </w:r>
      <w:r w:rsidR="00EB2676">
        <w:t>nadrzędn</w:t>
      </w:r>
      <w:r w:rsidR="004E5E6B">
        <w:t>y</w:t>
      </w:r>
      <w:r w:rsidR="00EB2676">
        <w:t xml:space="preserve"> (zob. </w:t>
      </w:r>
      <w:proofErr w:type="spellStart"/>
      <w:r w:rsidR="00EB2676">
        <w:rPr>
          <w:i/>
        </w:rPr>
        <w:t>Neulinger</w:t>
      </w:r>
      <w:proofErr w:type="spellEnd"/>
      <w:r w:rsidR="00EB2676">
        <w:rPr>
          <w:i/>
        </w:rPr>
        <w:t xml:space="preserve"> i </w:t>
      </w:r>
      <w:proofErr w:type="spellStart"/>
      <w:r w:rsidR="00EB2676">
        <w:rPr>
          <w:i/>
        </w:rPr>
        <w:t>Shuruk</w:t>
      </w:r>
      <w:proofErr w:type="spellEnd"/>
      <w:r w:rsidR="00EB2676">
        <w:rPr>
          <w:i/>
        </w:rPr>
        <w:t xml:space="preserve"> przeciwko Szwajcarii</w:t>
      </w:r>
      <w:r w:rsidR="00EB2676">
        <w:t xml:space="preserve"> [WI], </w:t>
      </w:r>
      <w:r w:rsidR="004E5E6B">
        <w:t xml:space="preserve">skarga </w:t>
      </w:r>
      <w:r w:rsidR="00EB2676">
        <w:t xml:space="preserve">nr 41615/07, § 135, 6 lipca 2010 r., oraz </w:t>
      </w:r>
      <w:r w:rsidR="00EB2676">
        <w:rPr>
          <w:i/>
        </w:rPr>
        <w:t>X przeciwko Łotwie</w:t>
      </w:r>
      <w:r w:rsidR="00EB2676">
        <w:t xml:space="preserve"> [WI], </w:t>
      </w:r>
      <w:r w:rsidR="004E5E6B">
        <w:t xml:space="preserve">skarga </w:t>
      </w:r>
      <w:r w:rsidR="00EB2676">
        <w:t xml:space="preserve">nr 27853/09, § 96, ETPC 2013). Najlepszy interes dziecka może, w zależności od jego charakteru i powagi, przeważać nad interesami rodziców. W szczególności na podstawie art. 8 rodzic nie może być uprawniony do podejmowania takich środków, które mogłyby szkodzić zdrowiu i rozwojowi dziecka (zob. </w:t>
      </w:r>
      <w:r w:rsidR="004E5E6B">
        <w:t>np.</w:t>
      </w:r>
      <w:r w:rsidR="00EB2676">
        <w:t xml:space="preserve"> </w:t>
      </w:r>
      <w:proofErr w:type="spellStart"/>
      <w:r w:rsidR="00EB2676">
        <w:rPr>
          <w:i/>
        </w:rPr>
        <w:t>Kocherov</w:t>
      </w:r>
      <w:proofErr w:type="spellEnd"/>
      <w:r w:rsidR="00EB2676">
        <w:rPr>
          <w:i/>
        </w:rPr>
        <w:t xml:space="preserve"> i </w:t>
      </w:r>
      <w:proofErr w:type="spellStart"/>
      <w:r w:rsidR="00EB2676">
        <w:rPr>
          <w:i/>
        </w:rPr>
        <w:t>Sergeyeva</w:t>
      </w:r>
      <w:proofErr w:type="spellEnd"/>
      <w:r w:rsidR="00EB2676">
        <w:rPr>
          <w:i/>
        </w:rPr>
        <w:t xml:space="preserve"> przeciwko Rosji</w:t>
      </w:r>
      <w:r w:rsidR="00EB2676">
        <w:t xml:space="preserve">, </w:t>
      </w:r>
      <w:r w:rsidR="004E5E6B">
        <w:t xml:space="preserve">skarga </w:t>
      </w:r>
      <w:r w:rsidR="00EB2676">
        <w:t xml:space="preserve">nr 16899/13, </w:t>
      </w:r>
      <w:r w:rsidR="00EB2676">
        <w:rPr>
          <w:snapToGrid w:val="0"/>
        </w:rPr>
        <w:t>§ 95, 29 marca 2016 r.).</w:t>
      </w:r>
      <w:r w:rsidR="00EB2676">
        <w:t xml:space="preserve"> Niemniej interesy rodziców pozostają istotnym czynnikiem przy równoważeniu różnych wchodzących w grę interesów. </w:t>
      </w:r>
      <w:r w:rsidR="00AB20F0">
        <w:t xml:space="preserve">Dobro </w:t>
      </w:r>
      <w:r w:rsidR="00EB2676">
        <w:t xml:space="preserve">dziecka </w:t>
      </w:r>
      <w:r w:rsidR="00AB20F0">
        <w:t>wymaga</w:t>
      </w:r>
      <w:r w:rsidR="00EB2676">
        <w:t xml:space="preserve"> utrzymanie więzi dziecka z jego rodziną, z wyjątkiem przypadków, gdy rodzina okazuje się </w:t>
      </w:r>
      <w:r w:rsidR="00AB20F0">
        <w:t xml:space="preserve">wyjątkowo </w:t>
      </w:r>
      <w:r w:rsidR="00EB2676">
        <w:t>nie</w:t>
      </w:r>
      <w:r w:rsidR="00AB20F0">
        <w:t>u</w:t>
      </w:r>
      <w:r w:rsidR="00EB2676">
        <w:t xml:space="preserve">dolna. Wynika z tego, że więzi rodzinne mogą zostać zerwane tylko w bardzo wyjątkowych okolicznościach i że należy zrobić wszystko, aby chronić </w:t>
      </w:r>
      <w:r w:rsidR="00AB20F0">
        <w:t xml:space="preserve">relacje </w:t>
      </w:r>
      <w:r w:rsidR="00EB2676">
        <w:t xml:space="preserve">osobiste oraz, jeśli i </w:t>
      </w:r>
      <w:r w:rsidR="00AB20F0">
        <w:t xml:space="preserve">ilekroć </w:t>
      </w:r>
      <w:r w:rsidR="008A4A8A">
        <w:t xml:space="preserve">jest to </w:t>
      </w:r>
      <w:r w:rsidR="00EB2676">
        <w:t xml:space="preserve">właściwe, „odbudować” rodzinę (zob. niedawny wyrok w sprawie </w:t>
      </w:r>
      <w:r w:rsidR="00EB2676">
        <w:rPr>
          <w:i/>
        </w:rPr>
        <w:t>Kacper Nowakowski przeciwko Polsce</w:t>
      </w:r>
      <w:r w:rsidR="00EB2676">
        <w:t xml:space="preserve">, </w:t>
      </w:r>
      <w:r w:rsidR="00AB20F0">
        <w:t xml:space="preserve">skarga </w:t>
      </w:r>
      <w:r w:rsidR="00EB2676">
        <w:t xml:space="preserve">nr 32407/13, § 75, 10 stycznia 2017 r.). Art. 8 Konwencji nakłada zatem na każde państwo obowiązek dążenia do połączenia rodziców biologicznych z dzieckiem (zob. </w:t>
      </w:r>
      <w:proofErr w:type="spellStart"/>
      <w:r w:rsidR="00EB2676">
        <w:rPr>
          <w:i/>
        </w:rPr>
        <w:t>Görgülü</w:t>
      </w:r>
      <w:proofErr w:type="spellEnd"/>
      <w:r w:rsidR="00EB2676">
        <w:t xml:space="preserve">, </w:t>
      </w:r>
      <w:r w:rsidR="00EB2676" w:rsidRPr="0078611D">
        <w:rPr>
          <w:i/>
          <w:iCs/>
        </w:rPr>
        <w:t>op.</w:t>
      </w:r>
      <w:r w:rsidR="00AB20F0" w:rsidRPr="0078611D">
        <w:rPr>
          <w:i/>
          <w:iCs/>
        </w:rPr>
        <w:t xml:space="preserve"> </w:t>
      </w:r>
      <w:r w:rsidR="00EB2676" w:rsidRPr="0078611D">
        <w:rPr>
          <w:i/>
          <w:iCs/>
        </w:rPr>
        <w:t>cit</w:t>
      </w:r>
      <w:r w:rsidR="00EB2676">
        <w:t>., § 45).</w:t>
      </w:r>
    </w:p>
    <w:p w14:paraId="5BFFB03E" w14:textId="65D4DE9F" w:rsidR="006668EB" w:rsidRPr="009548E3" w:rsidRDefault="007310C2" w:rsidP="009548E3">
      <w:pPr>
        <w:pStyle w:val="ECHRPara"/>
      </w:pPr>
      <w:fldSimple w:instr=" SEQ level0 \*arabic ">
        <w:r w:rsidR="00403504">
          <w:rPr>
            <w:noProof/>
          </w:rPr>
          <w:t>115</w:t>
        </w:r>
      </w:fldSimple>
      <w:r w:rsidR="001E0783">
        <w:t xml:space="preserve">.  W </w:t>
      </w:r>
      <w:r w:rsidR="00AB20F0">
        <w:t xml:space="preserve">niniejszej </w:t>
      </w:r>
      <w:r w:rsidR="001E0783">
        <w:t xml:space="preserve">sprawie władze krajowe stanęły przed trudnym wyborem między umożliwieniem skarżącym, którzy w owym czasie byli </w:t>
      </w:r>
      <w:r w:rsidR="001E0783">
        <w:rPr>
          <w:i/>
        </w:rPr>
        <w:t>de facto</w:t>
      </w:r>
      <w:r w:rsidR="001E0783">
        <w:t xml:space="preserve"> rodziną R., dalszego utrzymania dotychczasowych stosunków z nim, a podjęciem środków w celu doprowadzenia do ponownego połączenia chłopca z jego </w:t>
      </w:r>
      <w:r w:rsidR="000B6A6A">
        <w:t xml:space="preserve">rodziną </w:t>
      </w:r>
      <w:r w:rsidR="001E0783">
        <w:t xml:space="preserve">biologiczną (por. </w:t>
      </w:r>
      <w:r w:rsidR="001E0783">
        <w:rPr>
          <w:i/>
        </w:rPr>
        <w:t>Antkowiak</w:t>
      </w:r>
      <w:r w:rsidR="001E0783">
        <w:t xml:space="preserve"> (</w:t>
      </w:r>
      <w:proofErr w:type="spellStart"/>
      <w:r w:rsidR="001E0783">
        <w:t>dec</w:t>
      </w:r>
      <w:proofErr w:type="spellEnd"/>
      <w:r w:rsidR="001E0783">
        <w:t xml:space="preserve">.), </w:t>
      </w:r>
      <w:r w:rsidR="001E0783" w:rsidRPr="0078611D">
        <w:rPr>
          <w:i/>
          <w:iCs/>
        </w:rPr>
        <w:t>op.</w:t>
      </w:r>
      <w:r w:rsidR="000B6A6A" w:rsidRPr="0078611D">
        <w:rPr>
          <w:i/>
          <w:iCs/>
        </w:rPr>
        <w:t xml:space="preserve"> </w:t>
      </w:r>
      <w:r w:rsidR="001E0783" w:rsidRPr="0078611D">
        <w:rPr>
          <w:i/>
          <w:iCs/>
        </w:rPr>
        <w:t>cit</w:t>
      </w:r>
      <w:r w:rsidR="001E0783">
        <w:t>., § 70). Władze krajowe musiały zatem ocenić i sprawiedliwie zrównoważyć sprzeczne interesy rodziców R. oraz skarżących. Musiały również pamiętać, że R., ze względu na szczególny stan fizyczny i psychiczny, był dzieckiem szczególnie wrażliwym. Władze krajowe były zatem zobowiązane do zachowania szczególnej czujności przy ocenie jego interesów, oraz zapewnienia mu zwiększonej ochrony z należytym uwzględnieniem jego stanu zdrowia.</w:t>
      </w:r>
    </w:p>
    <w:p w14:paraId="7B1926F1" w14:textId="684D288B" w:rsidR="0097769F" w:rsidRPr="009548E3" w:rsidRDefault="007310C2" w:rsidP="009548E3">
      <w:pPr>
        <w:pStyle w:val="ECHRPara"/>
      </w:pPr>
      <w:fldSimple w:instr=" SEQ level0 \*arabic ">
        <w:r w:rsidR="00403504">
          <w:rPr>
            <w:noProof/>
          </w:rPr>
          <w:t>116</w:t>
        </w:r>
      </w:fldSimple>
      <w:r w:rsidR="00AB57EC">
        <w:t xml:space="preserve">.  W związku z powyższym należy poczynić następujące rozważania. Trybunał zauważa po pierwsze, że – jak wskazali skarżący (zob. par. </w:t>
      </w:r>
      <w:r w:rsidR="0082543F" w:rsidRPr="009548E3">
        <w:fldChar w:fldCharType="begin"/>
      </w:r>
      <w:r w:rsidR="0082543F" w:rsidRPr="009548E3">
        <w:instrText xml:space="preserve"> REF ApplicantsLivedNineYearsWithR \h  \* MERGEFORMAT </w:instrText>
      </w:r>
      <w:r w:rsidR="0082543F" w:rsidRPr="009548E3">
        <w:fldChar w:fldCharType="separate"/>
      </w:r>
      <w:r w:rsidR="00403504">
        <w:t>101</w:t>
      </w:r>
      <w:r w:rsidR="0082543F" w:rsidRPr="009548E3">
        <w:fldChar w:fldCharType="end"/>
      </w:r>
      <w:r w:rsidR="00AB57EC">
        <w:t xml:space="preserve"> powyżej) – R. spędził pierwsze dziewięć lat swojego życia pod opieką pierwszej skarżącej; był to okres, w którym pozostawała ona główną opiekunką chłopca, przyjąwszy </w:t>
      </w:r>
      <w:r w:rsidR="000B6A6A">
        <w:t xml:space="preserve">na siebie </w:t>
      </w:r>
      <w:r w:rsidR="00AB57EC">
        <w:t>w pełni rolę jego rodzica. Trybunał uważa, że</w:t>
      </w:r>
      <w:r w:rsidR="000B6A6A">
        <w:t xml:space="preserve"> </w:t>
      </w:r>
      <w:r w:rsidR="00AB57EC">
        <w:t xml:space="preserve">​mimo niewątpliwie długiego czasu czynnik ów jako taki nie mógł wykluczać możliwości ponownego </w:t>
      </w:r>
      <w:r w:rsidR="000B6A6A">
        <w:t xml:space="preserve">połączenia </w:t>
      </w:r>
      <w:r w:rsidR="00AB57EC">
        <w:t xml:space="preserve">R. z jego </w:t>
      </w:r>
      <w:r w:rsidR="000B6A6A">
        <w:t xml:space="preserve">rodziną </w:t>
      </w:r>
      <w:r w:rsidR="00AB57EC">
        <w:t xml:space="preserve">biologiczną. </w:t>
      </w:r>
      <w:r w:rsidR="000B6A6A">
        <w:t>Do</w:t>
      </w:r>
      <w:r w:rsidR="00AB57EC">
        <w:t xml:space="preserve"> skutecznego poszanowania życia rodzinnego wymagane jest</w:t>
      </w:r>
      <w:r w:rsidR="000B6A6A">
        <w:t xml:space="preserve"> bowiem</w:t>
      </w:r>
      <w:r w:rsidR="00AB57EC">
        <w:t xml:space="preserve">, aby przyszłe relacje między rodzicem a dzieckiem były określane w świetle wszystkich istotnych okoliczności, a nie przez sam upływ czasu (zob. </w:t>
      </w:r>
      <w:proofErr w:type="spellStart"/>
      <w:r w:rsidR="00AB57EC">
        <w:rPr>
          <w:i/>
        </w:rPr>
        <w:t>Ribić</w:t>
      </w:r>
      <w:proofErr w:type="spellEnd"/>
      <w:r w:rsidR="00AB57EC">
        <w:rPr>
          <w:i/>
        </w:rPr>
        <w:t xml:space="preserve"> przeciwko Chorwacji</w:t>
      </w:r>
      <w:r w:rsidR="00AB57EC">
        <w:t xml:space="preserve">, </w:t>
      </w:r>
      <w:r w:rsidR="000B6A6A">
        <w:t xml:space="preserve">skarga </w:t>
      </w:r>
      <w:r w:rsidR="00AB57EC">
        <w:t>nr 27148/12, § 92, 2 kwietnia 2015 r.).</w:t>
      </w:r>
    </w:p>
    <w:p w14:paraId="0EF7E563" w14:textId="2AE91AF0" w:rsidR="00A70BEB" w:rsidRPr="009548E3" w:rsidRDefault="007310C2" w:rsidP="009548E3">
      <w:pPr>
        <w:pStyle w:val="ECHRPara"/>
      </w:pPr>
      <w:fldSimple w:instr=" SEQ level0 \*arabic ">
        <w:r w:rsidR="00403504">
          <w:rPr>
            <w:noProof/>
          </w:rPr>
          <w:t>117</w:t>
        </w:r>
      </w:fldSimple>
      <w:r w:rsidR="00795016">
        <w:t xml:space="preserve">.  Ponadto Trybunał zauważa, że istotnie – rodzice R. zgodzili się na wyznaczenie </w:t>
      </w:r>
      <w:r w:rsidR="00954523">
        <w:t>pierwszej skarżącej</w:t>
      </w:r>
      <w:r w:rsidR="00795016">
        <w:t xml:space="preserve"> na opiekuna R. Jednocześnie, jak wskazał Rząd, nigdy formalnie nie zrzekli się oni władzy rodzicielskiej nad synem; nie ograniczono im tej władzy ani ich jej nie pozbawiono (zob. par</w:t>
      </w:r>
      <w:r w:rsidR="000B6A6A">
        <w:t xml:space="preserve">. </w:t>
      </w:r>
      <w:r w:rsidR="00594520" w:rsidRPr="009548E3">
        <w:fldChar w:fldCharType="begin"/>
      </w:r>
      <w:r w:rsidR="00594520" w:rsidRPr="009548E3">
        <w:instrText xml:space="preserve"> REF Jud11Nov2008ParentsNotAbandonR \h </w:instrText>
      </w:r>
      <w:r w:rsidR="006269DC" w:rsidRPr="009548E3">
        <w:instrText xml:space="preserve"> \* MERGEFORMAT </w:instrText>
      </w:r>
      <w:r w:rsidR="00594520" w:rsidRPr="009548E3">
        <w:fldChar w:fldCharType="separate"/>
      </w:r>
      <w:r w:rsidR="00403504">
        <w:t>16</w:t>
      </w:r>
      <w:r w:rsidR="00594520" w:rsidRPr="009548E3">
        <w:fldChar w:fldCharType="end"/>
      </w:r>
      <w:r w:rsidR="00795016">
        <w:t xml:space="preserve"> i </w:t>
      </w:r>
      <w:r w:rsidR="00594520" w:rsidRPr="009548E3">
        <w:fldChar w:fldCharType="begin"/>
      </w:r>
      <w:r w:rsidR="00594520" w:rsidRPr="009548E3">
        <w:instrText xml:space="preserve"> REF ParentsNotAbandonR \h </w:instrText>
      </w:r>
      <w:r w:rsidR="006269DC" w:rsidRPr="009548E3">
        <w:instrText xml:space="preserve"> \* MERGEFORMAT </w:instrText>
      </w:r>
      <w:r w:rsidR="00594520" w:rsidRPr="009548E3">
        <w:fldChar w:fldCharType="separate"/>
      </w:r>
      <w:r w:rsidR="00403504">
        <w:t>39</w:t>
      </w:r>
      <w:r w:rsidR="00594520" w:rsidRPr="009548E3">
        <w:fldChar w:fldCharType="end"/>
      </w:r>
      <w:r w:rsidR="00795016">
        <w:t xml:space="preserve"> powyżej). Ponadto sądy krajowe ustaliły, że chociaż w ciągu pierwszych ośmiu lat życia R. jego rodzice nie utrzymywali z nim kontaktu, to jednak wspierali go finansowo i uwzględniali prośby pierwszej skarżącej o leki, żywność odpowiednią do specjalnej diety chłopca i tym podobne środki (zob. par. </w:t>
      </w:r>
      <w:r w:rsidR="00594520" w:rsidRPr="009548E3">
        <w:fldChar w:fldCharType="begin"/>
      </w:r>
      <w:r w:rsidR="00594520" w:rsidRPr="009548E3">
        <w:instrText xml:space="preserve"> REF ParentsPerformedTheirDuties \h  \* MERGEFORMAT </w:instrText>
      </w:r>
      <w:r w:rsidR="00594520" w:rsidRPr="009548E3">
        <w:fldChar w:fldCharType="separate"/>
      </w:r>
      <w:r w:rsidR="00403504">
        <w:t>18</w:t>
      </w:r>
      <w:r w:rsidR="00594520" w:rsidRPr="009548E3">
        <w:fldChar w:fldCharType="end"/>
      </w:r>
      <w:r w:rsidR="00795016">
        <w:t xml:space="preserve"> powyżej). Zaś w 2009 roku ponownie nawiązali relacje z R., kiedy sąd rejonowy ustalił ich prawa do kontakt</w:t>
      </w:r>
      <w:r w:rsidR="000B6A6A">
        <w:t>ów</w:t>
      </w:r>
      <w:r w:rsidR="00795016">
        <w:t xml:space="preserve"> z nim (zob. par. </w:t>
      </w:r>
      <w:r w:rsidR="00594520" w:rsidRPr="009548E3">
        <w:fldChar w:fldCharType="begin"/>
      </w:r>
      <w:r w:rsidR="00594520" w:rsidRPr="009548E3">
        <w:instrText xml:space="preserve"> REF ContactsRestoredBeg \h  \* MERGEFORMAT </w:instrText>
      </w:r>
      <w:r w:rsidR="00594520" w:rsidRPr="009548E3">
        <w:fldChar w:fldCharType="separate"/>
      </w:r>
      <w:r w:rsidR="00403504">
        <w:t>28</w:t>
      </w:r>
      <w:r w:rsidR="00594520" w:rsidRPr="009548E3">
        <w:fldChar w:fldCharType="end"/>
      </w:r>
      <w:r w:rsidR="00795016">
        <w:t>-</w:t>
      </w:r>
      <w:r w:rsidR="00594520" w:rsidRPr="009548E3">
        <w:fldChar w:fldCharType="begin"/>
      </w:r>
      <w:r w:rsidR="00594520" w:rsidRPr="009548E3">
        <w:instrText xml:space="preserve"> REF ContactsRestoredEnd \h  \* MERGEFORMAT </w:instrText>
      </w:r>
      <w:r w:rsidR="00594520" w:rsidRPr="009548E3">
        <w:fldChar w:fldCharType="separate"/>
      </w:r>
      <w:r w:rsidR="00403504">
        <w:t>30</w:t>
      </w:r>
      <w:r w:rsidR="00594520" w:rsidRPr="009548E3">
        <w:fldChar w:fldCharType="end"/>
      </w:r>
      <w:r w:rsidR="00795016">
        <w:t xml:space="preserve"> powyżej). Pozostawali zatem obecni w życiu swojego syna, wskutek czego nawet mimo </w:t>
      </w:r>
      <w:r w:rsidR="00C43FEE">
        <w:t xml:space="preserve">braku zastrzeżenia </w:t>
      </w:r>
      <w:r w:rsidR="00795016">
        <w:t xml:space="preserve">w treści decyzji administracyjnej z dnia 23 listopada 2001 r. konkretnych terminów czy warunków </w:t>
      </w:r>
      <w:r w:rsidR="00C43FEE">
        <w:t xml:space="preserve">ustania </w:t>
      </w:r>
      <w:r w:rsidR="00795016">
        <w:t xml:space="preserve">opieki pierwszej skarżącej, nie mogła ona racjonalnie </w:t>
      </w:r>
      <w:r w:rsidR="00C43FEE">
        <w:t>przypuszczać,</w:t>
      </w:r>
      <w:r w:rsidR="00795016">
        <w:t xml:space="preserve"> że R. </w:t>
      </w:r>
      <w:r w:rsidR="00D17AE3">
        <w:t>zostanie z nią</w:t>
      </w:r>
      <w:r w:rsidR="00795016">
        <w:t xml:space="preserve"> na </w:t>
      </w:r>
      <w:r w:rsidR="00D17AE3">
        <w:t>zawsze</w:t>
      </w:r>
      <w:r w:rsidR="00795016">
        <w:t xml:space="preserve">. Trybunał odrzuca zatem argument pierwszej skarżącej w tym zakresie (zob. par. </w:t>
      </w:r>
      <w:r w:rsidR="00C43FEE">
        <w:t xml:space="preserve">99 </w:t>
      </w:r>
      <w:r w:rsidR="00795016">
        <w:t xml:space="preserve">powyżej). Trybunał przypomina w związku z tym, że </w:t>
      </w:r>
      <w:r w:rsidR="00C43FEE">
        <w:t xml:space="preserve">orzeczenia dotyczące </w:t>
      </w:r>
      <w:r w:rsidR="00795016">
        <w:t xml:space="preserve">opieki mają </w:t>
      </w:r>
      <w:r w:rsidR="00C43FEE">
        <w:t xml:space="preserve">z definicji </w:t>
      </w:r>
      <w:r w:rsidR="00795016">
        <w:t xml:space="preserve">być środkami tymczasowymi, które ustają, gdy tylko pozwolą na to okoliczności, a wszelkie środki służące wykonywaniu opieki tymczasowej powinny być zgodne z ostatecznym celem, jakim jest ponowne połączenie </w:t>
      </w:r>
      <w:r w:rsidR="00C43FEE">
        <w:t xml:space="preserve">rodziców </w:t>
      </w:r>
      <w:r w:rsidR="00795016">
        <w:t xml:space="preserve">biologicznych i ich dziecka (zob. </w:t>
      </w:r>
      <w:proofErr w:type="spellStart"/>
      <w:r w:rsidR="00795016">
        <w:rPr>
          <w:i/>
        </w:rPr>
        <w:t>Ageyevy</w:t>
      </w:r>
      <w:proofErr w:type="spellEnd"/>
      <w:r w:rsidR="00795016">
        <w:t xml:space="preserve">, </w:t>
      </w:r>
      <w:r w:rsidR="00795016" w:rsidRPr="0078611D">
        <w:rPr>
          <w:i/>
          <w:iCs/>
        </w:rPr>
        <w:t>op.</w:t>
      </w:r>
      <w:r w:rsidR="00C43FEE" w:rsidRPr="0078611D">
        <w:rPr>
          <w:i/>
          <w:iCs/>
        </w:rPr>
        <w:t xml:space="preserve"> </w:t>
      </w:r>
      <w:r w:rsidR="00795016" w:rsidRPr="0078611D">
        <w:rPr>
          <w:i/>
          <w:iCs/>
        </w:rPr>
        <w:t>cit</w:t>
      </w:r>
      <w:r w:rsidR="00795016">
        <w:t xml:space="preserve">., § 143, oraz </w:t>
      </w:r>
      <w:r w:rsidR="00795016">
        <w:rPr>
          <w:i/>
          <w:iCs/>
        </w:rPr>
        <w:t>SS przeciwko Słowenii</w:t>
      </w:r>
      <w:r w:rsidR="00795016">
        <w:t xml:space="preserve">, </w:t>
      </w:r>
      <w:r w:rsidR="00C43FEE">
        <w:t xml:space="preserve">skarga </w:t>
      </w:r>
      <w:r w:rsidR="00795016">
        <w:t>nr 40938/16, §§ 85 i 101, 30 października 2018 r.).</w:t>
      </w:r>
    </w:p>
    <w:p w14:paraId="5727C7ED" w14:textId="06EA0300" w:rsidR="002E75CE" w:rsidRPr="009548E3" w:rsidRDefault="007310C2" w:rsidP="009548E3">
      <w:pPr>
        <w:pStyle w:val="ECHRPara"/>
      </w:pPr>
      <w:fldSimple w:instr=" SEQ level0 \*arabic ">
        <w:r w:rsidR="00403504">
          <w:rPr>
            <w:noProof/>
          </w:rPr>
          <w:t>118</w:t>
        </w:r>
      </w:fldSimple>
      <w:r w:rsidR="0029608B">
        <w:t xml:space="preserve">.  Ponadto z akt sprawy wynika, że sądy krajowe starannie oceniły najlepszy interes R., z należytym uwzględnieniem jego stanu zdrowia oraz potrzeb. W toku różnych </w:t>
      </w:r>
      <w:r w:rsidR="006F0821">
        <w:t xml:space="preserve">postępowań </w:t>
      </w:r>
      <w:r w:rsidR="0029608B">
        <w:t xml:space="preserve">sądowych stwierdziły w szczególności przywiązanie pierwszej skarżącej i autentyczną opiekuńczą postawę wobec dziecka; jej aktywne podejście do opieki </w:t>
      </w:r>
      <w:r w:rsidR="006F0821">
        <w:t xml:space="preserve">nad dzieckiem </w:t>
      </w:r>
      <w:r w:rsidR="0029608B">
        <w:t xml:space="preserve">i rozwiązywania jego problemów zdrowotnych, co zapewniło postęp w jego rozwoju fizycznym i psychicznym oraz ogólną poprawę jego stanu (zob. par. </w:t>
      </w:r>
      <w:r w:rsidR="0050335E" w:rsidRPr="009548E3">
        <w:fldChar w:fldCharType="begin"/>
      </w:r>
      <w:r w:rsidR="0050335E" w:rsidRPr="009548E3">
        <w:instrText xml:space="preserve"> REF TiesRandFirstApplicantOne \h  \* MERGEFORMAT </w:instrText>
      </w:r>
      <w:r w:rsidR="0050335E" w:rsidRPr="009548E3">
        <w:fldChar w:fldCharType="separate"/>
      </w:r>
      <w:r w:rsidR="00403504">
        <w:t>22</w:t>
      </w:r>
      <w:r w:rsidR="0050335E" w:rsidRPr="009548E3">
        <w:fldChar w:fldCharType="end"/>
      </w:r>
      <w:r w:rsidR="0029608B">
        <w:t xml:space="preserve"> i </w:t>
      </w:r>
      <w:r w:rsidR="0050335E" w:rsidRPr="009548E3">
        <w:fldChar w:fldCharType="begin"/>
      </w:r>
      <w:r w:rsidR="0050335E" w:rsidRPr="009548E3">
        <w:instrText xml:space="preserve"> REF TiesRandFirstApplicantTwo \h  \* MERGEFORMAT </w:instrText>
      </w:r>
      <w:r w:rsidR="0050335E" w:rsidRPr="009548E3">
        <w:fldChar w:fldCharType="separate"/>
      </w:r>
      <w:r w:rsidR="00403504">
        <w:t>40</w:t>
      </w:r>
      <w:r w:rsidR="0050335E" w:rsidRPr="009548E3">
        <w:fldChar w:fldCharType="end"/>
      </w:r>
      <w:r w:rsidR="0029608B">
        <w:t xml:space="preserve"> powyżej). Jeśli chodzi o </w:t>
      </w:r>
      <w:r w:rsidR="006F0821">
        <w:t xml:space="preserve">rodziców </w:t>
      </w:r>
      <w:r w:rsidR="0029608B">
        <w:t xml:space="preserve">biologicznych, początkowo władze miały wątpliwości, czy </w:t>
      </w:r>
      <w:r w:rsidR="006F0821">
        <w:t>mają oni możliwości</w:t>
      </w:r>
      <w:r w:rsidR="0029608B">
        <w:t xml:space="preserve"> i potrafią zaspokoić potrzeby R. W szczególności władze wskazały na brak osobistego kontaktu między nimi a R. i wezwały ich do przyjęcia bardziej odpowiedzialnej postawy w odniesieniu do ich obowiązków rodzicielskich (zob. par. </w:t>
      </w:r>
      <w:r w:rsidR="0050335E" w:rsidRPr="009548E3">
        <w:fldChar w:fldCharType="begin"/>
      </w:r>
      <w:r w:rsidR="0050335E" w:rsidRPr="009548E3">
        <w:instrText xml:space="preserve"> REF CCAREAuthorityBadParents \h  \* MERGEFORMAT </w:instrText>
      </w:r>
      <w:r w:rsidR="0050335E" w:rsidRPr="009548E3">
        <w:fldChar w:fldCharType="separate"/>
      </w:r>
      <w:r w:rsidR="00403504">
        <w:t>15</w:t>
      </w:r>
      <w:r w:rsidR="0050335E" w:rsidRPr="009548E3">
        <w:fldChar w:fldCharType="end"/>
      </w:r>
      <w:r w:rsidR="0029608B">
        <w:t xml:space="preserve">, </w:t>
      </w:r>
      <w:r w:rsidR="0050335E" w:rsidRPr="009548E3">
        <w:fldChar w:fldCharType="begin"/>
      </w:r>
      <w:r w:rsidR="0050335E" w:rsidRPr="009548E3">
        <w:instrText xml:space="preserve"> REF UrgeChangeUpbringingAttitude \h  \* MERGEFORMAT </w:instrText>
      </w:r>
      <w:r w:rsidR="0050335E" w:rsidRPr="009548E3">
        <w:fldChar w:fldCharType="separate"/>
      </w:r>
      <w:r w:rsidR="00403504">
        <w:t>19</w:t>
      </w:r>
      <w:r w:rsidR="0050335E" w:rsidRPr="009548E3">
        <w:fldChar w:fldCharType="end"/>
      </w:r>
      <w:r w:rsidR="0029608B">
        <w:t xml:space="preserve"> i </w:t>
      </w:r>
      <w:r w:rsidR="0050335E" w:rsidRPr="009548E3">
        <w:fldChar w:fldCharType="begin"/>
      </w:r>
      <w:r w:rsidR="0050335E" w:rsidRPr="009548E3">
        <w:instrText xml:space="preserve"> REF Jud29Feb2009ParentsNoInterest \h  \* MERGEFORMAT </w:instrText>
      </w:r>
      <w:r w:rsidR="0050335E" w:rsidRPr="009548E3">
        <w:fldChar w:fldCharType="separate"/>
      </w:r>
      <w:r w:rsidR="00403504">
        <w:t>23</w:t>
      </w:r>
      <w:r w:rsidR="0050335E" w:rsidRPr="009548E3">
        <w:fldChar w:fldCharType="end"/>
      </w:r>
      <w:r w:rsidR="0029608B">
        <w:t xml:space="preserve"> powyżej). W związku z tym sądy odrzuciły pierwsze roszczenie rodziców R. o przekazani</w:t>
      </w:r>
      <w:r w:rsidR="006F0821">
        <w:t>e</w:t>
      </w:r>
      <w:r w:rsidR="0029608B">
        <w:t xml:space="preserve"> chłopca pod ich pieczę, zauważając, że takie natychmiastowe </w:t>
      </w:r>
      <w:r w:rsidR="006F0821">
        <w:t xml:space="preserve">przekazanie </w:t>
      </w:r>
      <w:r w:rsidR="0029608B">
        <w:t xml:space="preserve">może wywołać u niego wstrząs i zagrozić jego zdrowiu oraz konieczny jest okres adaptacji, aby R. mógł przyzwyczaić się swoich </w:t>
      </w:r>
      <w:r w:rsidR="006F0821">
        <w:t xml:space="preserve">rodziców </w:t>
      </w:r>
      <w:r w:rsidR="0029608B">
        <w:t xml:space="preserve">biologicznych (zob. par. </w:t>
      </w:r>
      <w:r w:rsidR="0050335E" w:rsidRPr="009548E3">
        <w:fldChar w:fldCharType="begin"/>
      </w:r>
      <w:r w:rsidR="0050335E" w:rsidRPr="009548E3">
        <w:instrText xml:space="preserve"> REF Jud29Feb2009GradualTransferAdvised \h </w:instrText>
      </w:r>
      <w:r w:rsidR="00582789" w:rsidRPr="009548E3">
        <w:instrText xml:space="preserve"> \* MERGEFORMAT </w:instrText>
      </w:r>
      <w:r w:rsidR="0050335E" w:rsidRPr="009548E3">
        <w:fldChar w:fldCharType="separate"/>
      </w:r>
      <w:r w:rsidR="00403504">
        <w:t>24</w:t>
      </w:r>
      <w:r w:rsidR="0050335E" w:rsidRPr="009548E3">
        <w:fldChar w:fldCharType="end"/>
      </w:r>
      <w:r w:rsidR="0029608B">
        <w:t xml:space="preserve"> powyżej). Jednak w postępowaniu z drugiego </w:t>
      </w:r>
      <w:r w:rsidR="006F0821">
        <w:t xml:space="preserve">wniosku </w:t>
      </w:r>
      <w:r w:rsidR="0029608B">
        <w:t xml:space="preserve">rodziców R. o przekazanie syna pod ich pieczę sądy uznały, że rodzice R. </w:t>
      </w:r>
      <w:r w:rsidR="006F0821">
        <w:t>są zdolni do</w:t>
      </w:r>
      <w:r w:rsidR="0029608B">
        <w:t xml:space="preserve"> wychowywa</w:t>
      </w:r>
      <w:r w:rsidR="006F0821">
        <w:t>nia go</w:t>
      </w:r>
      <w:r w:rsidR="0029608B">
        <w:t>. Warto zauważyć, że wówczas kontakty między R. a jego rodzicami trwały już od roku. Podejmując tę​</w:t>
      </w:r>
      <w:r w:rsidR="006F0821">
        <w:t xml:space="preserve"> </w:t>
      </w:r>
      <w:r w:rsidR="0029608B">
        <w:t>decyzję, sądy krajowe nabrały przekonania, przy należytym uwzględnieniu pisemnych dowodów – w tym opinii psychologicznych – a także zeznań świadków, że rodzice R. ponownie nawiązali stosunki z dzieckiem</w:t>
      </w:r>
      <w:r w:rsidR="006F0821">
        <w:t>,</w:t>
      </w:r>
      <w:r w:rsidR="0029608B">
        <w:t xml:space="preserve"> że potrafili odpowiednio zrozumieć specyfikę jego psychiki, stan emocjonalny, potrzeby i możliwości</w:t>
      </w:r>
      <w:r w:rsidR="006F0821">
        <w:t>,</w:t>
      </w:r>
      <w:r w:rsidR="0029608B">
        <w:t xml:space="preserve"> że mieli odpowiednie warunki bytowe dla dziecka</w:t>
      </w:r>
      <w:r w:rsidR="006F0821">
        <w:t xml:space="preserve"> oraz</w:t>
      </w:r>
      <w:r w:rsidR="0029608B">
        <w:t xml:space="preserve"> że syn czuje się w ich towarzystwie spokojnie i komfortowo (zob. par. </w:t>
      </w:r>
      <w:r w:rsidR="00A209BE" w:rsidRPr="009548E3">
        <w:fldChar w:fldCharType="begin"/>
      </w:r>
      <w:r w:rsidR="00A209BE" w:rsidRPr="009548E3">
        <w:instrText xml:space="preserve"> REF Report4May2010 \h  \* MERGEFORMAT </w:instrText>
      </w:r>
      <w:r w:rsidR="00A209BE" w:rsidRPr="009548E3">
        <w:fldChar w:fldCharType="separate"/>
      </w:r>
      <w:r w:rsidR="00403504">
        <w:t>35</w:t>
      </w:r>
      <w:r w:rsidR="00A209BE" w:rsidRPr="009548E3">
        <w:fldChar w:fldCharType="end"/>
      </w:r>
      <w:r w:rsidR="0029608B">
        <w:t xml:space="preserve">, </w:t>
      </w:r>
      <w:r w:rsidR="00A209BE" w:rsidRPr="009548E3">
        <w:fldChar w:fldCharType="begin"/>
      </w:r>
      <w:r w:rsidR="00A209BE" w:rsidRPr="009548E3">
        <w:instrText xml:space="preserve"> REF StatementsMsM \h  \* MERGEFORMAT </w:instrText>
      </w:r>
      <w:r w:rsidR="00A209BE" w:rsidRPr="009548E3">
        <w:fldChar w:fldCharType="separate"/>
      </w:r>
      <w:r w:rsidR="00403504">
        <w:t>42</w:t>
      </w:r>
      <w:r w:rsidR="00A209BE" w:rsidRPr="009548E3">
        <w:fldChar w:fldCharType="end"/>
      </w:r>
      <w:r w:rsidR="006F0821">
        <w:t xml:space="preserve"> </w:t>
      </w:r>
      <w:r w:rsidR="0029608B">
        <w:t xml:space="preserve">i </w:t>
      </w:r>
      <w:r w:rsidR="00A209BE" w:rsidRPr="009548E3">
        <w:fldChar w:fldCharType="begin"/>
      </w:r>
      <w:r w:rsidR="00A209BE" w:rsidRPr="009548E3">
        <w:instrText xml:space="preserve"> REF Jud4May2010RFeelsComfortableWithParents \h  \* MERGEFORMAT </w:instrText>
      </w:r>
      <w:r w:rsidR="00A209BE" w:rsidRPr="009548E3">
        <w:fldChar w:fldCharType="separate"/>
      </w:r>
      <w:r w:rsidR="00403504">
        <w:t>43</w:t>
      </w:r>
      <w:r w:rsidR="00A209BE" w:rsidRPr="009548E3">
        <w:fldChar w:fldCharType="end"/>
      </w:r>
      <w:r w:rsidR="0029608B">
        <w:t xml:space="preserve"> powyżej).</w:t>
      </w:r>
    </w:p>
    <w:p w14:paraId="2C2DBB72" w14:textId="6A4B26A1" w:rsidR="009F597B" w:rsidRPr="009548E3" w:rsidRDefault="007310C2" w:rsidP="009548E3">
      <w:pPr>
        <w:pStyle w:val="ECHRPara"/>
      </w:pPr>
      <w:fldSimple w:instr=" SEQ level0 \*arabic ">
        <w:r w:rsidR="00403504">
          <w:rPr>
            <w:noProof/>
          </w:rPr>
          <w:t>119</w:t>
        </w:r>
      </w:fldSimple>
      <w:r w:rsidR="00160071">
        <w:t>.  W związku z powyższym oraz biorąc pod uwagę fakt, że władze krajowe miały możliwość kontaktu ze wszystkimi zainteresowanymi, Trybunał uważa, że</w:t>
      </w:r>
      <w:r w:rsidR="006F0821">
        <w:t xml:space="preserve"> </w:t>
      </w:r>
      <w:r w:rsidR="00160071">
        <w:t>​władze krajowe,​</w:t>
      </w:r>
      <w:r w:rsidR="006F0821">
        <w:t xml:space="preserve"> orzekając o przekazaniu</w:t>
      </w:r>
      <w:r w:rsidR="00160071">
        <w:t xml:space="preserve"> R. jego </w:t>
      </w:r>
      <w:r w:rsidR="006F0821">
        <w:t xml:space="preserve">rodzicom </w:t>
      </w:r>
      <w:r w:rsidR="00160071">
        <w:t xml:space="preserve">biologicznym i </w:t>
      </w:r>
      <w:r w:rsidR="006F0821">
        <w:t xml:space="preserve">o </w:t>
      </w:r>
      <w:r w:rsidR="00160071">
        <w:t>ustani</w:t>
      </w:r>
      <w:r w:rsidR="006F0821">
        <w:t>u</w:t>
      </w:r>
      <w:r w:rsidR="00160071">
        <w:t xml:space="preserve"> opieki pierwszej skarżącej nad R., działały w ramach przysługującego im marginesu oceny oraz zgodnie z wynikającym z art. 8 Konwencji obowiązkiem dążenia do połączenia dziecka z jego rodzicami. Uważa ponadto, że władze podały „odpowiednie i wystarczające” uzasadnienie zaskarżonego środka. Chociaż Trybunał przyznaje, że wspomniana decyzja musiała być emocjonalnie trudna do przyjęcia dla skarżących, ich prawa nie mogą być nadrzędne względem najlepszego interesu dziecka (por. </w:t>
      </w:r>
      <w:r w:rsidR="00160071">
        <w:rPr>
          <w:i/>
        </w:rPr>
        <w:t>Antkowiak</w:t>
      </w:r>
      <w:r w:rsidR="00160071">
        <w:t xml:space="preserve"> (</w:t>
      </w:r>
      <w:proofErr w:type="spellStart"/>
      <w:r w:rsidR="00160071">
        <w:t>dec</w:t>
      </w:r>
      <w:proofErr w:type="spellEnd"/>
      <w:r w:rsidR="00160071">
        <w:t xml:space="preserve">.), </w:t>
      </w:r>
      <w:r w:rsidR="00160071" w:rsidRPr="0078611D">
        <w:rPr>
          <w:i/>
          <w:iCs/>
        </w:rPr>
        <w:t>op.</w:t>
      </w:r>
      <w:r w:rsidR="006F0821" w:rsidRPr="0078611D">
        <w:rPr>
          <w:i/>
          <w:iCs/>
        </w:rPr>
        <w:t xml:space="preserve"> </w:t>
      </w:r>
      <w:r w:rsidR="00160071" w:rsidRPr="0078611D">
        <w:rPr>
          <w:i/>
          <w:iCs/>
        </w:rPr>
        <w:t>cit</w:t>
      </w:r>
      <w:r w:rsidR="00160071">
        <w:t>., § 72).</w:t>
      </w:r>
    </w:p>
    <w:p w14:paraId="717CD0EA" w14:textId="7353DD67" w:rsidR="00CD78FD" w:rsidRPr="009548E3" w:rsidRDefault="007310C2" w:rsidP="009548E3">
      <w:pPr>
        <w:pStyle w:val="ECHRPara"/>
      </w:pPr>
      <w:fldSimple w:instr=" SEQ level0 \*arabic ">
        <w:r w:rsidR="00403504">
          <w:rPr>
            <w:noProof/>
          </w:rPr>
          <w:t>120</w:t>
        </w:r>
      </w:fldSimple>
      <w:r w:rsidR="009F597B">
        <w:t>.  Wreszcie</w:t>
      </w:r>
      <w:r w:rsidR="006F0821">
        <w:t>,</w:t>
      </w:r>
      <w:r w:rsidR="009F597B">
        <w:t xml:space="preserve"> jeśli chodzi o proces podejmowania decyzji, Trybunał zauważa, że</w:t>
      </w:r>
      <w:r w:rsidR="002F34BF">
        <w:t xml:space="preserve"> </w:t>
      </w:r>
      <w:r w:rsidR="009F597B">
        <w:t xml:space="preserve">​pierwsza skarżąca, działając w imieniu swoim i innych skarżących, była w pełni zaangażowana w postępowanie oraz reprezentowana </w:t>
      </w:r>
      <w:r w:rsidR="002F34BF">
        <w:t xml:space="preserve">przez pełnomocnika procesowego w </w:t>
      </w:r>
      <w:r w:rsidR="009F597B">
        <w:t xml:space="preserve">obu </w:t>
      </w:r>
      <w:r w:rsidR="002F34BF">
        <w:t xml:space="preserve">instancjach </w:t>
      </w:r>
      <w:r w:rsidR="009F597B">
        <w:t xml:space="preserve">(zob. par. </w:t>
      </w:r>
      <w:r w:rsidR="00582789" w:rsidRPr="009548E3">
        <w:fldChar w:fldCharType="begin"/>
      </w:r>
      <w:r w:rsidR="00582789" w:rsidRPr="009548E3">
        <w:instrText xml:space="preserve"> REF FirstAppRepresentedFirstLevel \h  \* MERGEFORMAT </w:instrText>
      </w:r>
      <w:r w:rsidR="00582789" w:rsidRPr="009548E3">
        <w:fldChar w:fldCharType="separate"/>
      </w:r>
      <w:r w:rsidR="00403504">
        <w:t>32</w:t>
      </w:r>
      <w:r w:rsidR="00582789" w:rsidRPr="009548E3">
        <w:fldChar w:fldCharType="end"/>
      </w:r>
      <w:r w:rsidR="009F597B">
        <w:t xml:space="preserve"> i </w:t>
      </w:r>
      <w:r w:rsidR="00582789" w:rsidRPr="009548E3">
        <w:fldChar w:fldCharType="begin"/>
      </w:r>
      <w:r w:rsidR="00582789" w:rsidRPr="009548E3">
        <w:instrText xml:space="preserve"> REF FirstAppRepresentedSecondLevel \h  \* MERGEFORMAT </w:instrText>
      </w:r>
      <w:r w:rsidR="00582789" w:rsidRPr="009548E3">
        <w:fldChar w:fldCharType="separate"/>
      </w:r>
      <w:r w:rsidR="00403504">
        <w:t>48</w:t>
      </w:r>
      <w:r w:rsidR="00582789" w:rsidRPr="009548E3">
        <w:fldChar w:fldCharType="end"/>
      </w:r>
      <w:r w:rsidR="009F597B">
        <w:t xml:space="preserve"> powyżej). Potrafiła przedstawić swoje żądania, argumenty i dowody</w:t>
      </w:r>
      <w:r w:rsidR="00EE55FA">
        <w:t xml:space="preserve"> na jej wniosek </w:t>
      </w:r>
      <w:r w:rsidR="009F597B">
        <w:t xml:space="preserve"> sąd pierwszej instancji </w:t>
      </w:r>
      <w:r w:rsidR="00EE55FA">
        <w:t xml:space="preserve">wezwał i przesłuchał </w:t>
      </w:r>
      <w:r w:rsidR="009F597B">
        <w:t>liczn</w:t>
      </w:r>
      <w:r w:rsidR="00EE55FA">
        <w:t>ych</w:t>
      </w:r>
      <w:r w:rsidR="009F597B">
        <w:t xml:space="preserve"> </w:t>
      </w:r>
      <w:r w:rsidR="00EE55FA">
        <w:lastRenderedPageBreak/>
        <w:t xml:space="preserve">świadków </w:t>
      </w:r>
      <w:r w:rsidR="009F597B">
        <w:t xml:space="preserve">(zob. par. </w:t>
      </w:r>
      <w:r w:rsidR="001E3999" w:rsidRPr="009548E3">
        <w:fldChar w:fldCharType="begin"/>
      </w:r>
      <w:r w:rsidR="001E3999" w:rsidRPr="009548E3">
        <w:instrText xml:space="preserve"> REF TiesRandFirstApplicantTwo \h  \* MERGEFORMAT </w:instrText>
      </w:r>
      <w:r w:rsidR="001E3999" w:rsidRPr="009548E3">
        <w:fldChar w:fldCharType="separate"/>
      </w:r>
      <w:r w:rsidR="00403504">
        <w:t>40</w:t>
      </w:r>
      <w:r w:rsidR="001E3999" w:rsidRPr="009548E3">
        <w:fldChar w:fldCharType="end"/>
      </w:r>
      <w:r w:rsidR="009F597B">
        <w:t xml:space="preserve"> powyżej). Z odpowiednich orzeczeń sądu wynika, że</w:t>
      </w:r>
      <w:r w:rsidR="00EE55FA">
        <w:t xml:space="preserve"> </w:t>
      </w:r>
      <w:r w:rsidR="009F597B">
        <w:t xml:space="preserve">​jej argumenty uwzględniono i ustosunkowano się do nich </w:t>
      </w:r>
      <w:r w:rsidR="00E31421">
        <w:t xml:space="preserve">w odpowiednim uzasadnieniu. </w:t>
      </w:r>
      <w:r w:rsidR="009F597B">
        <w:t xml:space="preserve"> W </w:t>
      </w:r>
      <w:r w:rsidR="00E31421">
        <w:t xml:space="preserve"> </w:t>
      </w:r>
      <w:r w:rsidR="009F597B">
        <w:t>zaistniałych okolicznościach Trybunał wyraża przekonanie, że proces podejmowania decyzji był sprawiedliwy i zapewnił skarżącym wystarczające gwarancje ich praw wynikających z art. 8 Konwencji.</w:t>
      </w:r>
    </w:p>
    <w:p w14:paraId="5C678C4E" w14:textId="350679D9" w:rsidR="00E71EBD" w:rsidRPr="009548E3" w:rsidRDefault="007310C2" w:rsidP="009548E3">
      <w:pPr>
        <w:pStyle w:val="ECHRPara"/>
      </w:pPr>
      <w:fldSimple w:instr=" SEQ level0 \*arabic ">
        <w:r w:rsidR="00403504">
          <w:rPr>
            <w:noProof/>
          </w:rPr>
          <w:t>121</w:t>
        </w:r>
      </w:fldSimple>
      <w:r w:rsidR="00BA7EDD">
        <w:t xml:space="preserve">.  W związku z powyższym Trybunał stwierdza, że decyzja o ustaniu opieki pierwszej skarżącej nad R. i o przekazaniu go </w:t>
      </w:r>
      <w:r w:rsidR="00EE55FA">
        <w:t xml:space="preserve">rodzinie </w:t>
      </w:r>
      <w:r w:rsidR="00BA7EDD">
        <w:t xml:space="preserve">biologicznej była zgodna z jego najlepiej pojętym interesem, została podjęta w </w:t>
      </w:r>
      <w:r w:rsidR="00EE55FA">
        <w:t xml:space="preserve">granicach </w:t>
      </w:r>
      <w:r w:rsidR="00BA7EDD" w:rsidRPr="00E8343E">
        <w:t xml:space="preserve">marginesu </w:t>
      </w:r>
      <w:r w:rsidR="00D17AE3">
        <w:t xml:space="preserve">oceny </w:t>
      </w:r>
      <w:r w:rsidR="00BA7EDD">
        <w:t xml:space="preserve">władz i opierała się na „odpowiednich i wystarczających” </w:t>
      </w:r>
      <w:r w:rsidR="00EE55FA">
        <w:t>przesłankach</w:t>
      </w:r>
      <w:r w:rsidR="00BA7EDD">
        <w:t>. Ingerencja w prawa skarżących była zatem „konieczna w demokratycznym społeczeństwie”.</w:t>
      </w:r>
    </w:p>
    <w:p w14:paraId="0B7E6A60" w14:textId="28DE9A13" w:rsidR="00014566" w:rsidRPr="009548E3" w:rsidRDefault="007310C2" w:rsidP="009548E3">
      <w:pPr>
        <w:pStyle w:val="ECHRPara"/>
      </w:pPr>
      <w:fldSimple w:instr=" SEQ level0 \*arabic ">
        <w:r w:rsidR="00403504">
          <w:rPr>
            <w:noProof/>
          </w:rPr>
          <w:t>122</w:t>
        </w:r>
      </w:fldSimple>
      <w:r w:rsidR="009A7FC8">
        <w:t>.  W związku z powyższym nie doszło do naruszenia art. 8 Konwencji.</w:t>
      </w:r>
    </w:p>
    <w:p w14:paraId="0BC396C8" w14:textId="77777777" w:rsidR="00C22A32" w:rsidRPr="009548E3" w:rsidRDefault="00C22A32" w:rsidP="009548E3">
      <w:pPr>
        <w:pStyle w:val="ECHRHeading3"/>
      </w:pPr>
      <w:r>
        <w:t>2.  Dostęp skarżących do R.</w:t>
      </w:r>
    </w:p>
    <w:p w14:paraId="697C2915" w14:textId="77777777" w:rsidR="00E21E3F" w:rsidRPr="009548E3" w:rsidRDefault="00E21E3F" w:rsidP="009548E3">
      <w:pPr>
        <w:pStyle w:val="ECHRHeading4"/>
      </w:pPr>
      <w:r>
        <w:t>a) Stanowiska stron</w:t>
      </w:r>
    </w:p>
    <w:p w14:paraId="5B40EDD5" w14:textId="7A57ADB2" w:rsidR="006668EB" w:rsidRPr="009548E3" w:rsidRDefault="007310C2" w:rsidP="009548E3">
      <w:pPr>
        <w:pStyle w:val="ECHRPara"/>
      </w:pPr>
      <w:fldSimple w:instr=" SEQ level0 \*arabic ">
        <w:r w:rsidR="00403504">
          <w:rPr>
            <w:noProof/>
          </w:rPr>
          <w:t>123</w:t>
        </w:r>
      </w:fldSimple>
      <w:r w:rsidR="00C22A32">
        <w:t xml:space="preserve">.  Skarżący zarzucili, że odmowa jakiegokolwiek dostępu i jakiegokolwiek kontaktu z R. doprowadziła do całkowitego zerwania ich więzi rodzinnych z nim i była rażąco nieproporcjonalna do jakichkolwiek uprawnionych celów, które </w:t>
      </w:r>
      <w:r w:rsidR="0063153C">
        <w:t xml:space="preserve">władze </w:t>
      </w:r>
      <w:r w:rsidR="00C22A32">
        <w:t>mogły realizować. Ich zdaniem, decyzja sądów krajowych o odmowie prawa do kontakt</w:t>
      </w:r>
      <w:r w:rsidR="0063153C">
        <w:t>ów</w:t>
      </w:r>
      <w:r w:rsidR="00C22A32">
        <w:t xml:space="preserve"> z R. była wynikiem formalistycznego podejścia tych sądów do pojęcia rodziny oraz nieuwzględnienia przez nie więzi emocjonalnych pomiędzy skarżącymi i R. Jej źródłem były też </w:t>
      </w:r>
      <w:r w:rsidR="0063153C">
        <w:t xml:space="preserve">uchybienia </w:t>
      </w:r>
      <w:r w:rsidR="00C22A32">
        <w:t xml:space="preserve">ustawodawstwa krajowego, które nie zapewniało ochrony faktycznym więzom rodzinnym istniejącym mimo braku pokrewieństwa biologicznego </w:t>
      </w:r>
      <w:r w:rsidR="0063153C">
        <w:t>czy mechanizmów</w:t>
      </w:r>
      <w:r w:rsidR="00C22A32">
        <w:t xml:space="preserve"> prawnych, takich jak opieka. Skarżący argumentowali również, że odmowa zlecenia przez sądy krajowe kompleksowego badania lekarskiego w celu uzyskania opinii R. w sprawie oraz nieprzedstawienie jakichkolwiek dowodów dotyczących najlepiej pojętego interesu R. w kwestii praw</w:t>
      </w:r>
      <w:r w:rsidR="0063153C">
        <w:t>a</w:t>
      </w:r>
      <w:r w:rsidR="00C22A32">
        <w:t xml:space="preserve"> do kontakt</w:t>
      </w:r>
      <w:r w:rsidR="0063153C">
        <w:t>ów</w:t>
      </w:r>
      <w:r w:rsidR="00C22A32">
        <w:t xml:space="preserve"> ze skarżącymi sprawiły, że ich decyzje w tym przedmiocie były arbitralne.</w:t>
      </w:r>
    </w:p>
    <w:p w14:paraId="64F0F119" w14:textId="1A2ABB77" w:rsidR="005D5A60" w:rsidRPr="009548E3" w:rsidRDefault="007310C2" w:rsidP="009548E3">
      <w:pPr>
        <w:pStyle w:val="ECHRPara"/>
      </w:pPr>
      <w:fldSimple w:instr=" SEQ level0 \*arabic ">
        <w:r w:rsidR="00403504">
          <w:rPr>
            <w:noProof/>
          </w:rPr>
          <w:t>124</w:t>
        </w:r>
      </w:fldSimple>
      <w:r w:rsidR="005D5A60">
        <w:t xml:space="preserve">.  Rząd argumentował, że decyzja sądów krajowych o odmowie przyznania skarżącym dostępu do R. była uzasadniona. Wskazał, że art. 67 rosyjskiego kodeksu rodzinnego zawierał </w:t>
      </w:r>
      <w:r w:rsidR="0063153C">
        <w:t xml:space="preserve">zamknięty katalog </w:t>
      </w:r>
      <w:r w:rsidR="005D5A60">
        <w:t xml:space="preserve">osób uprawnionych do dostępu do dziecka (zob. par. </w:t>
      </w:r>
      <w:r w:rsidR="00806A6D" w:rsidRPr="009548E3">
        <w:fldChar w:fldCharType="begin"/>
      </w:r>
      <w:r w:rsidR="00806A6D" w:rsidRPr="009548E3">
        <w:instrText xml:space="preserve"> REF A67 \h  \* MERGEFORMAT </w:instrText>
      </w:r>
      <w:r w:rsidR="00806A6D" w:rsidRPr="009548E3">
        <w:fldChar w:fldCharType="separate"/>
      </w:r>
      <w:r w:rsidR="00403504">
        <w:t>66</w:t>
      </w:r>
      <w:r w:rsidR="00806A6D" w:rsidRPr="009548E3">
        <w:fldChar w:fldCharType="end"/>
      </w:r>
      <w:r w:rsidR="005D5A60">
        <w:t xml:space="preserve"> powyżej). </w:t>
      </w:r>
      <w:r w:rsidR="0063153C">
        <w:t xml:space="preserve">Skoro </w:t>
      </w:r>
      <w:r w:rsidR="005D5A60">
        <w:t xml:space="preserve">skarżących nie łączyły z R. więzy krwi, ani – po ustaniu opieki pierwszej skarżącej – więzy prawne, </w:t>
      </w:r>
      <w:r w:rsidR="0063153C">
        <w:t xml:space="preserve">to </w:t>
      </w:r>
      <w:r w:rsidR="005D5A60">
        <w:t xml:space="preserve">na gruncie prawa krajowego nie było podstaw do </w:t>
      </w:r>
      <w:r w:rsidR="0063153C">
        <w:t xml:space="preserve">przyznania </w:t>
      </w:r>
      <w:r w:rsidR="005D5A60">
        <w:t>im dostępu do R. Rząd wskazał również, że – jak ustaliły sądy krajowe – stan zdrowia R. uniemożliwiał ustalenie, czy był on w jakikolwiek sposób związany ze skarżącymi, a zatem ich argumentacja w tym zakresie była bezpodstawna. Rząd utrzymywał zatem, że odmawiając skarżącym kontaktu z R., władze krajowe nie naruszyły ich prawa do poszanowania życia rodzinnego wynikającego z art. 8 Konwencji.</w:t>
      </w:r>
    </w:p>
    <w:p w14:paraId="0A5E3B6E" w14:textId="77777777" w:rsidR="00E21E3F" w:rsidRPr="009548E3" w:rsidRDefault="00E21E3F" w:rsidP="009548E3">
      <w:pPr>
        <w:pStyle w:val="ECHRHeading4"/>
      </w:pPr>
      <w:r>
        <w:lastRenderedPageBreak/>
        <w:t>b) Ocena Trybunału</w:t>
      </w:r>
    </w:p>
    <w:p w14:paraId="5C1A9B4A" w14:textId="5D2D519E" w:rsidR="005D3D46" w:rsidRPr="009548E3" w:rsidRDefault="007310C2" w:rsidP="009548E3">
      <w:pPr>
        <w:pStyle w:val="ECHRPara"/>
      </w:pPr>
      <w:fldSimple w:instr=" SEQ level0 \*arabic ">
        <w:r w:rsidR="00403504">
          <w:rPr>
            <w:noProof/>
          </w:rPr>
          <w:t>125</w:t>
        </w:r>
      </w:fldSimple>
      <w:r w:rsidR="005D5A60">
        <w:t>.  Trybunał przypomina, że​</w:t>
      </w:r>
      <w:r w:rsidR="0063153C">
        <w:t xml:space="preserve"> </w:t>
      </w:r>
      <w:r w:rsidR="005D5A60">
        <w:t xml:space="preserve">tam, gdzie stwierdzone zostało istnienie więzi rodzinnej, państwo musi </w:t>
      </w:r>
      <w:r w:rsidR="0063153C">
        <w:t>co do</w:t>
      </w:r>
      <w:r w:rsidR="005D5A60">
        <w:t xml:space="preserve"> zasady działać w sposób </w:t>
      </w:r>
      <w:r w:rsidR="0063153C">
        <w:t xml:space="preserve">ukierunkowany </w:t>
      </w:r>
      <w:r w:rsidR="005D5A60">
        <w:t xml:space="preserve">na utrzymanie </w:t>
      </w:r>
      <w:r w:rsidR="0063153C">
        <w:t>tej więzi</w:t>
      </w:r>
      <w:r w:rsidR="005D5A60">
        <w:t xml:space="preserve"> (zob. </w:t>
      </w:r>
      <w:proofErr w:type="spellStart"/>
      <w:r w:rsidR="005D5A60">
        <w:rPr>
          <w:i/>
        </w:rPr>
        <w:t>Kocherov</w:t>
      </w:r>
      <w:proofErr w:type="spellEnd"/>
      <w:r w:rsidR="005D5A60">
        <w:rPr>
          <w:i/>
        </w:rPr>
        <w:t xml:space="preserve"> i </w:t>
      </w:r>
      <w:proofErr w:type="spellStart"/>
      <w:r w:rsidR="005D5A60">
        <w:rPr>
          <w:i/>
        </w:rPr>
        <w:t>Sergeyeva</w:t>
      </w:r>
      <w:proofErr w:type="spellEnd"/>
      <w:r w:rsidR="005D5A60">
        <w:t xml:space="preserve">, </w:t>
      </w:r>
      <w:r w:rsidR="005D5A60" w:rsidRPr="0078611D">
        <w:rPr>
          <w:i/>
          <w:iCs/>
        </w:rPr>
        <w:t>op.</w:t>
      </w:r>
      <w:r w:rsidR="0063153C" w:rsidRPr="0078611D">
        <w:rPr>
          <w:i/>
          <w:iCs/>
        </w:rPr>
        <w:t xml:space="preserve"> </w:t>
      </w:r>
      <w:r w:rsidR="005D5A60" w:rsidRPr="0078611D">
        <w:rPr>
          <w:i/>
          <w:iCs/>
        </w:rPr>
        <w:t>cit</w:t>
      </w:r>
      <w:r w:rsidR="005D5A60">
        <w:t xml:space="preserve">., § 98, i przytoczone tam orzecznictwo). </w:t>
      </w:r>
      <w:r w:rsidR="0063153C">
        <w:t>Ponadto,</w:t>
      </w:r>
      <w:r w:rsidR="005D5A60">
        <w:t xml:space="preserve"> </w:t>
      </w:r>
      <w:r w:rsidR="0063153C">
        <w:t xml:space="preserve">chociaż </w:t>
      </w:r>
      <w:r w:rsidR="005D5A60">
        <w:t>podstawowym celem art. 8 jest ochrona jednostki przed arbitralnym działaniem organów władzy, to dodatkowo mogą istnieć pozytywne obowiązki nierozerwalnie związane ze skutecznym „poszanowaniem” życia rodzinnego. Obowiązki te mogą obejmować przyjęcie środków mających na celu zapewnienie poszanowania życia rodzinnego nawet w sferze relacji między jednostkami, w tym zarówno zapewnienie ram prawnych dla mechanizmów orzekania i egzekwowania chroniących prawa jednostek, jak i wykonywani</w:t>
      </w:r>
      <w:r w:rsidR="0063153C">
        <w:t>a</w:t>
      </w:r>
      <w:r w:rsidR="005D5A60">
        <w:t xml:space="preserve">, w stosownych przypadkach, szczególnych czynności (zob. np. </w:t>
      </w:r>
      <w:r w:rsidR="005D5A60">
        <w:rPr>
          <w:i/>
        </w:rPr>
        <w:t>Kacper Nowakowski</w:t>
      </w:r>
      <w:r w:rsidR="005D5A60">
        <w:t xml:space="preserve">, </w:t>
      </w:r>
      <w:r w:rsidR="005D5A60" w:rsidRPr="0078611D">
        <w:rPr>
          <w:i/>
          <w:iCs/>
        </w:rPr>
        <w:t>op.</w:t>
      </w:r>
      <w:r w:rsidR="0063153C" w:rsidRPr="0078611D">
        <w:rPr>
          <w:i/>
          <w:iCs/>
        </w:rPr>
        <w:t xml:space="preserve"> </w:t>
      </w:r>
      <w:r w:rsidR="005D5A60" w:rsidRPr="0078611D">
        <w:rPr>
          <w:i/>
          <w:iCs/>
        </w:rPr>
        <w:t>cit</w:t>
      </w:r>
      <w:r w:rsidR="005D5A60">
        <w:t>., § 71, 10 stycznia 2017 r.).</w:t>
      </w:r>
    </w:p>
    <w:p w14:paraId="03C445CC" w14:textId="560512BB" w:rsidR="00BE07C1" w:rsidRPr="009548E3" w:rsidRDefault="007310C2" w:rsidP="009548E3">
      <w:pPr>
        <w:pStyle w:val="ECHRPara"/>
      </w:pPr>
      <w:fldSimple w:instr=" SEQ level0 \*arabic ">
        <w:r w:rsidR="00403504">
          <w:rPr>
            <w:noProof/>
          </w:rPr>
          <w:t>126</w:t>
        </w:r>
      </w:fldSimple>
      <w:r w:rsidR="00EB2676">
        <w:t xml:space="preserve">.  Trybunał orzekł również, że z uwagi na dużą różnorodność możliwych sytuacji rodzinnych, dla rzetelnego zrównoważenia praw wszystkich zaangażowanych osób wymagane jest zbadanie szczególnych okoliczności każdej sprawy (zob. </w:t>
      </w:r>
      <w:r w:rsidR="00EB2676">
        <w:rPr>
          <w:i/>
        </w:rPr>
        <w:t>Schneider</w:t>
      </w:r>
      <w:r w:rsidR="00EB2676">
        <w:t xml:space="preserve">, </w:t>
      </w:r>
      <w:r w:rsidR="00EB2676" w:rsidRPr="0078611D">
        <w:rPr>
          <w:i/>
          <w:iCs/>
        </w:rPr>
        <w:t>op.</w:t>
      </w:r>
      <w:r w:rsidR="0063153C" w:rsidRPr="0078611D">
        <w:rPr>
          <w:i/>
          <w:iCs/>
        </w:rPr>
        <w:t xml:space="preserve"> </w:t>
      </w:r>
      <w:r w:rsidR="00EB2676" w:rsidRPr="0078611D">
        <w:rPr>
          <w:i/>
          <w:iCs/>
        </w:rPr>
        <w:t>cit.</w:t>
      </w:r>
      <w:r w:rsidR="00EB2676">
        <w:t>, § 100). W związku z tym art. 8 Konwencji można interpretować jako nakładający na państwa członkowskie obowiązek zbadania w każdym przypadku z osobna, czy w najlepszym interesie dziecka jest utrzymywanie kontakt</w:t>
      </w:r>
      <w:r w:rsidR="0063153C">
        <w:t>ów</w:t>
      </w:r>
      <w:r w:rsidR="00EB2676">
        <w:t xml:space="preserve"> z osobą – </w:t>
      </w:r>
      <w:r w:rsidR="0063153C">
        <w:t>spokrewnioną bądź</w:t>
      </w:r>
      <w:r w:rsidR="00EB2676">
        <w:t xml:space="preserve"> nie</w:t>
      </w:r>
      <w:r w:rsidR="0063153C">
        <w:t>spokrewnioną</w:t>
      </w:r>
      <w:r w:rsidR="00EB2676">
        <w:t xml:space="preserve"> – która opiekowała się dzieckiem przez wystarczająco długi okres (zob. </w:t>
      </w:r>
      <w:proofErr w:type="spellStart"/>
      <w:r w:rsidR="00EB2676">
        <w:rPr>
          <w:i/>
        </w:rPr>
        <w:t>Nazarenko</w:t>
      </w:r>
      <w:proofErr w:type="spellEnd"/>
      <w:r w:rsidR="00EB2676">
        <w:rPr>
          <w:i/>
        </w:rPr>
        <w:t xml:space="preserve"> przeciwko Rosji</w:t>
      </w:r>
      <w:r w:rsidR="00EB2676">
        <w:t xml:space="preserve">, </w:t>
      </w:r>
      <w:r w:rsidR="0063153C">
        <w:t xml:space="preserve">skarga </w:t>
      </w:r>
      <w:r w:rsidR="00EB2676">
        <w:t>nr 39438/13, § 66, ETPC 2015 (fragmenty)).</w:t>
      </w:r>
    </w:p>
    <w:p w14:paraId="1BB64368" w14:textId="4006A6BE" w:rsidR="00BE07C1" w:rsidRPr="009548E3" w:rsidRDefault="007310C2" w:rsidP="009548E3">
      <w:pPr>
        <w:pStyle w:val="ECHRPara"/>
      </w:pPr>
      <w:fldSimple w:instr=" SEQ level0 \*arabic ">
        <w:r w:rsidR="00403504">
          <w:rPr>
            <w:noProof/>
          </w:rPr>
          <w:t>127</w:t>
        </w:r>
      </w:fldSimple>
      <w:r w:rsidR="00EB2676">
        <w:t xml:space="preserve">.  W </w:t>
      </w:r>
      <w:r w:rsidR="0063153C">
        <w:t xml:space="preserve">niniejszej </w:t>
      </w:r>
      <w:r w:rsidR="00EB2676">
        <w:t>sprawie sądy krajowe odrzuciły roszczenia pierwszej skarżącej dotyczące dostępu do R., powołując się na brak jakiejkolwiek więzi prawnej między nią a dzieckiem po ustaniu opieki; wskaza</w:t>
      </w:r>
      <w:r w:rsidR="0063153C">
        <w:t>ły</w:t>
      </w:r>
      <w:r w:rsidR="00EB2676">
        <w:t xml:space="preserve"> również na brak biologicznego pokrewieństwa między nimi, co zgodnie z art. 67 rosyjskiego kodeksu rodzinnego wykluczało jakąkolwiek możliwość uzyskania dostępu do dziecka przez pierwszą skarżącą (zob. par. </w:t>
      </w:r>
      <w:r w:rsidR="00DA4E39" w:rsidRPr="009548E3">
        <w:fldChar w:fldCharType="begin"/>
      </w:r>
      <w:r w:rsidR="00DA4E39" w:rsidRPr="009548E3">
        <w:instrText xml:space="preserve"> REF Jud19Apr2011A67 \h  \* MERGEFORMAT </w:instrText>
      </w:r>
      <w:r w:rsidR="00DA4E39" w:rsidRPr="009548E3">
        <w:fldChar w:fldCharType="separate"/>
      </w:r>
      <w:r w:rsidR="00403504">
        <w:t>55</w:t>
      </w:r>
      <w:r w:rsidR="00DA4E39" w:rsidRPr="009548E3">
        <w:fldChar w:fldCharType="end"/>
      </w:r>
      <w:r w:rsidR="00EB2676">
        <w:t xml:space="preserve">, </w:t>
      </w:r>
      <w:r w:rsidR="00DA4E39" w:rsidRPr="009548E3">
        <w:fldChar w:fldCharType="begin"/>
      </w:r>
      <w:r w:rsidR="00DA4E39" w:rsidRPr="009548E3">
        <w:instrText xml:space="preserve"> REF Dec8June2011A67 \h  \* MERGEFORMAT </w:instrText>
      </w:r>
      <w:r w:rsidR="00DA4E39" w:rsidRPr="009548E3">
        <w:fldChar w:fldCharType="separate"/>
      </w:r>
      <w:r w:rsidR="00403504">
        <w:t>57</w:t>
      </w:r>
      <w:r w:rsidR="00DA4E39" w:rsidRPr="009548E3">
        <w:fldChar w:fldCharType="end"/>
      </w:r>
      <w:r w:rsidR="00EB2676">
        <w:t xml:space="preserve"> i </w:t>
      </w:r>
      <w:r w:rsidR="00DA4E39" w:rsidRPr="009548E3">
        <w:fldChar w:fldCharType="begin"/>
      </w:r>
      <w:r w:rsidR="00DA4E39" w:rsidRPr="009548E3">
        <w:instrText xml:space="preserve"> REF Dec8June2011NoReasonApplyA67ByAnalogy \h  \* MERGEFORMAT </w:instrText>
      </w:r>
      <w:r w:rsidR="00DA4E39" w:rsidRPr="009548E3">
        <w:fldChar w:fldCharType="separate"/>
      </w:r>
      <w:r w:rsidR="00403504">
        <w:t>58</w:t>
      </w:r>
      <w:r w:rsidR="00DA4E39" w:rsidRPr="009548E3">
        <w:fldChar w:fldCharType="end"/>
      </w:r>
      <w:r w:rsidR="00EB2676">
        <w:t xml:space="preserve"> powyżej).</w:t>
      </w:r>
    </w:p>
    <w:p w14:paraId="3A44AB46" w14:textId="07BC20DD" w:rsidR="005B3E22" w:rsidRPr="009548E3" w:rsidRDefault="007310C2" w:rsidP="009548E3">
      <w:pPr>
        <w:pStyle w:val="ECHRPara"/>
      </w:pPr>
      <w:fldSimple w:instr=" SEQ level0 \*arabic ">
        <w:r w:rsidR="00403504">
          <w:rPr>
            <w:noProof/>
          </w:rPr>
          <w:t>128</w:t>
        </w:r>
      </w:fldSimple>
      <w:r w:rsidR="00EB2676">
        <w:t>.  </w:t>
      </w:r>
      <w:r w:rsidR="001224DE">
        <w:t xml:space="preserve">Już w </w:t>
      </w:r>
      <w:r w:rsidR="00EB2676">
        <w:t xml:space="preserve">wyżej przywołanej sprawie </w:t>
      </w:r>
      <w:proofErr w:type="spellStart"/>
      <w:r w:rsidR="00EB2676">
        <w:rPr>
          <w:i/>
        </w:rPr>
        <w:t>Nazarenko</w:t>
      </w:r>
      <w:proofErr w:type="spellEnd"/>
      <w:r w:rsidR="00EB2676">
        <w:t xml:space="preserve"> dotyczącej utraty przez skarżącego </w:t>
      </w:r>
      <w:r w:rsidR="0063153C">
        <w:t xml:space="preserve">wszystkich </w:t>
      </w:r>
      <w:r w:rsidR="00EB2676">
        <w:t xml:space="preserve">praw rodzicielskich – w tym prawa do kontaktów – w stosunku do dziecka, które przez kilka lat wychowywał jako własne, w następstwie ustalenia, że jednak nie był </w:t>
      </w:r>
      <w:r w:rsidR="001224DE">
        <w:t xml:space="preserve">jego ojcem </w:t>
      </w:r>
      <w:r w:rsidR="00EB2676">
        <w:t xml:space="preserve">biologicznym, Trybunał wyraził zaniepokojenie brakiem elastyczności rosyjskich przepisów prawnych regulujących prawa do kontaktów. Przepisy te zawierają </w:t>
      </w:r>
      <w:r w:rsidR="001224DE">
        <w:t>zamknięty katalog</w:t>
      </w:r>
      <w:r w:rsidR="00EB2676">
        <w:t xml:space="preserve"> osób uprawnion</w:t>
      </w:r>
      <w:r w:rsidR="001224DE">
        <w:t>ych</w:t>
      </w:r>
      <w:r w:rsidR="00EB2676">
        <w:t xml:space="preserve"> do utrzymywania kontakt</w:t>
      </w:r>
      <w:r w:rsidR="001224DE">
        <w:t>ów</w:t>
      </w:r>
      <w:r w:rsidR="00EB2676">
        <w:t xml:space="preserve"> z dzieckiem, nie przewidując żadnych wyjątków </w:t>
      </w:r>
      <w:r w:rsidR="001224DE">
        <w:t xml:space="preserve">ze względu na </w:t>
      </w:r>
      <w:r w:rsidR="00EB2676">
        <w:t xml:space="preserve">różnorodność sytuacji rodzinnych i dobro dziecka. W rezultacie osoba, która nie jest spokrewniona z dzieckiem, ale opiekowała się nim przez długi czas i nawiązała z nim bliską więź osobistą, zostaje całkowicie i automatycznie wykluczona z życia dziecka i </w:t>
      </w:r>
      <w:r w:rsidR="001224DE">
        <w:t xml:space="preserve">w żadnym wypadku </w:t>
      </w:r>
      <w:r w:rsidR="00EB2676">
        <w:t>nie może uzyskać prawa do kontakt</w:t>
      </w:r>
      <w:r w:rsidR="001224DE">
        <w:t>ów</w:t>
      </w:r>
      <w:r w:rsidR="00EB2676">
        <w:t xml:space="preserve">, bez względu na dobro dziecka (zob. </w:t>
      </w:r>
      <w:proofErr w:type="spellStart"/>
      <w:r w:rsidR="00EB2676">
        <w:t>Nazarenko</w:t>
      </w:r>
      <w:proofErr w:type="spellEnd"/>
      <w:r w:rsidR="00EB2676">
        <w:t xml:space="preserve">, </w:t>
      </w:r>
      <w:r w:rsidR="00EB2676" w:rsidRPr="0078611D">
        <w:rPr>
          <w:i/>
          <w:iCs/>
        </w:rPr>
        <w:t>op.</w:t>
      </w:r>
      <w:r w:rsidR="001224DE" w:rsidRPr="0078611D">
        <w:rPr>
          <w:i/>
          <w:iCs/>
        </w:rPr>
        <w:t xml:space="preserve"> </w:t>
      </w:r>
      <w:r w:rsidR="00EB2676" w:rsidRPr="0078611D">
        <w:rPr>
          <w:i/>
          <w:iCs/>
        </w:rPr>
        <w:t>cit</w:t>
      </w:r>
      <w:r w:rsidR="00EB2676">
        <w:t xml:space="preserve">., §§ 65 i 67). Trybunał stwierdził, że całkowite i automatyczne wykluczenie </w:t>
      </w:r>
      <w:r w:rsidR="00EB2676">
        <w:lastRenderedPageBreak/>
        <w:t>skarżącego z życia dziecka po utracie jego statusu rodzicielskiego w stosunku do dziecka wskutek braku elastyczności przepisów prawa krajowego – w szczególności odmowy prawa do kontakt</w:t>
      </w:r>
      <w:r w:rsidR="001224DE">
        <w:t>ów</w:t>
      </w:r>
      <w:r w:rsidR="00EB2676">
        <w:t xml:space="preserve"> bez należytego rozważenia dobra dziecka – stanowił brak poszanowania życia rodzinnego skarżącego (</w:t>
      </w:r>
      <w:r w:rsidR="00EB2676" w:rsidRPr="0078611D">
        <w:rPr>
          <w:i/>
          <w:iCs/>
        </w:rPr>
        <w:t>ibid</w:t>
      </w:r>
      <w:r w:rsidR="00EB2676">
        <w:t>., § 68).</w:t>
      </w:r>
    </w:p>
    <w:p w14:paraId="776B62A2" w14:textId="2D4F698B" w:rsidR="009B1382" w:rsidRPr="009548E3" w:rsidRDefault="007310C2" w:rsidP="009548E3">
      <w:pPr>
        <w:pStyle w:val="ECHRPara"/>
      </w:pPr>
      <w:fldSimple w:instr=" SEQ level0 \*arabic ">
        <w:r w:rsidR="00403504">
          <w:rPr>
            <w:noProof/>
          </w:rPr>
          <w:t>129</w:t>
        </w:r>
      </w:fldSimple>
      <w:r w:rsidR="00EB2676">
        <w:t xml:space="preserve">.  W </w:t>
      </w:r>
      <w:r w:rsidR="001224DE">
        <w:t>uzasadnieniu</w:t>
      </w:r>
      <w:r w:rsidR="00EB2676">
        <w:t xml:space="preserve"> sądów krajowych </w:t>
      </w:r>
      <w:r w:rsidR="001224DE">
        <w:t xml:space="preserve">dotyczącym żądania </w:t>
      </w:r>
      <w:r w:rsidR="00EB2676">
        <w:t xml:space="preserve">skarżących </w:t>
      </w:r>
      <w:r w:rsidR="00355BA3">
        <w:t>kontaktów z</w:t>
      </w:r>
      <w:r w:rsidR="00EB2676">
        <w:t xml:space="preserve"> R. Trybunał nie dostrzega niczego, co pozwalałoby mu dojść do odmiennego wniosku w </w:t>
      </w:r>
      <w:r w:rsidR="001224DE">
        <w:t xml:space="preserve">niniejszej </w:t>
      </w:r>
      <w:r w:rsidR="00EB2676">
        <w:t xml:space="preserve">sprawie. Z treści orzeczeń wynika, że sądy nie podjęły próby oceny szczególnych okoliczności niniejszej sprawy, a zwłaszcza uwzględnienia relacji, które istniały między skarżącymi a R. przed ustaniem opieki pierwszej ze skarżących nad nim; </w:t>
      </w:r>
      <w:r w:rsidR="001224DE">
        <w:t>zupełnie pominęły</w:t>
      </w:r>
      <w:r w:rsidR="00EB2676">
        <w:t xml:space="preserve"> kwesti</w:t>
      </w:r>
      <w:r w:rsidR="001224DE">
        <w:t>ę,</w:t>
      </w:r>
      <w:r w:rsidR="00EB2676">
        <w:t xml:space="preserve"> czy i dlaczego kontakt między skarżącymi a R. może bądź nie musi leżeć w najlepszym interesie R.</w:t>
      </w:r>
      <w:r w:rsidR="001224DE">
        <w:t xml:space="preserve">, </w:t>
      </w:r>
      <w:r w:rsidR="00EB2676">
        <w:t xml:space="preserve">nie rozważyły kwestii, czy i dlaczego interesy </w:t>
      </w:r>
      <w:r w:rsidR="001224DE">
        <w:t xml:space="preserve">rodziców </w:t>
      </w:r>
      <w:r w:rsidR="00EB2676">
        <w:t>biologicznych R. mogą</w:t>
      </w:r>
      <w:r w:rsidR="00355BA3">
        <w:t>,</w:t>
      </w:r>
      <w:r w:rsidR="00EB2676">
        <w:t xml:space="preserve"> bądź nie muszą być nadrzędne wobec interesów skarżących. W rzeczywistości, w swoim </w:t>
      </w:r>
      <w:r w:rsidR="00C50595">
        <w:t>prawomocnym</w:t>
      </w:r>
      <w:r w:rsidR="00EB2676">
        <w:t xml:space="preserve"> orzeczeniu sąd odwoławczy ograniczył się do stwierdzenia, że prawo do uzyskania dostępu do dziecka nie może w żadnych okolicznościach być zagwarantowane osobom innym niż wymienione w art. 67 rosyjskiego kodeksu rodzinnego (zob. par</w:t>
      </w:r>
      <w:r w:rsidR="00C50595">
        <w:t xml:space="preserve">. </w:t>
      </w:r>
      <w:r w:rsidR="00BF4C9A" w:rsidRPr="009548E3">
        <w:fldChar w:fldCharType="begin"/>
      </w:r>
      <w:r w:rsidR="00BF4C9A" w:rsidRPr="009548E3">
        <w:instrText xml:space="preserve"> REF Dec8June2011A67 \h  \* MERGEFORMAT </w:instrText>
      </w:r>
      <w:r w:rsidR="00BF4C9A" w:rsidRPr="009548E3">
        <w:fldChar w:fldCharType="separate"/>
      </w:r>
      <w:r w:rsidR="00403504">
        <w:t>57</w:t>
      </w:r>
      <w:r w:rsidR="00BF4C9A" w:rsidRPr="009548E3">
        <w:fldChar w:fldCharType="end"/>
      </w:r>
      <w:r w:rsidR="00EB2676">
        <w:t xml:space="preserve"> i </w:t>
      </w:r>
      <w:r w:rsidR="00BF4C9A" w:rsidRPr="009548E3">
        <w:fldChar w:fldCharType="begin"/>
      </w:r>
      <w:r w:rsidR="00BF4C9A" w:rsidRPr="009548E3">
        <w:instrText xml:space="preserve"> REF Dec8June2011NoReasonApplyA67ByAnalogy \h  \* MERGEFORMAT </w:instrText>
      </w:r>
      <w:r w:rsidR="00BF4C9A" w:rsidRPr="009548E3">
        <w:fldChar w:fldCharType="separate"/>
      </w:r>
      <w:r w:rsidR="00403504">
        <w:t>58</w:t>
      </w:r>
      <w:r w:rsidR="00BF4C9A" w:rsidRPr="009548E3">
        <w:fldChar w:fldCharType="end"/>
      </w:r>
      <w:r w:rsidR="00EB2676">
        <w:t xml:space="preserve"> powyżej). Trybunał nie może </w:t>
      </w:r>
      <w:r w:rsidR="00C50595">
        <w:t xml:space="preserve">uznać </w:t>
      </w:r>
      <w:r w:rsidR="00EB2676">
        <w:t xml:space="preserve">takiego </w:t>
      </w:r>
      <w:r w:rsidR="00C50595">
        <w:t xml:space="preserve">uzasadnienia za </w:t>
      </w:r>
      <w:r w:rsidR="00EB2676">
        <w:t xml:space="preserve">„odpowiednie i wystarczające” dla odmowy skarżącym dostępu do R. Chociaż rolą Trybunału nie jest spekulowanie, czy przyznanie skarżącym dostępu do R. leżało w najlepszym interesie dziecka, to Trybunał nie może zaakceptować tego, że </w:t>
      </w:r>
      <w:r w:rsidR="00C50595">
        <w:t xml:space="preserve">przedmiotowe </w:t>
      </w:r>
      <w:r w:rsidR="00EB2676">
        <w:t xml:space="preserve">orzeczenia sądów nie zostały oparte na ocenie szczególnych okoliczności </w:t>
      </w:r>
      <w:r w:rsidR="00C50595">
        <w:t xml:space="preserve">niniejszej </w:t>
      </w:r>
      <w:r w:rsidR="00EB2676">
        <w:t>sprawy i automatycznie wykluczają jakąkolwiek możliwość utrzymania więzi rodzinnych między skarżącymi a R.</w:t>
      </w:r>
    </w:p>
    <w:p w14:paraId="6DB3E89F" w14:textId="40822DC2" w:rsidR="00FF7E64" w:rsidRPr="009548E3" w:rsidRDefault="007310C2" w:rsidP="009548E3">
      <w:pPr>
        <w:pStyle w:val="ECHRPara"/>
      </w:pPr>
      <w:fldSimple w:instr=" SEQ level0 \*arabic ">
        <w:r w:rsidR="00403504">
          <w:rPr>
            <w:noProof/>
          </w:rPr>
          <w:t>130</w:t>
        </w:r>
      </w:fldSimple>
      <w:r w:rsidR="000D290E">
        <w:t xml:space="preserve">.  W świetle powyższych rozważań Trybunał jest zobowiązany do stwierdzenia, że władze krajowe nie dopełniły obowiązku należytego zrównoważenia praw wszystkich zaangażowanych osób, z należytym uwzględnieniem szczególnych okoliczności </w:t>
      </w:r>
      <w:r w:rsidR="00C50595">
        <w:t xml:space="preserve">niniejszej </w:t>
      </w:r>
      <w:r w:rsidR="000D290E">
        <w:t xml:space="preserve">sprawy, co stanowiło brak poszanowania prawa do życia rodzinnego skarżących (por. </w:t>
      </w:r>
      <w:proofErr w:type="spellStart"/>
      <w:r w:rsidR="000D290E">
        <w:t>Nazarenko</w:t>
      </w:r>
      <w:proofErr w:type="spellEnd"/>
      <w:r w:rsidR="000D290E">
        <w:t xml:space="preserve">, </w:t>
      </w:r>
      <w:r w:rsidR="000D290E" w:rsidRPr="0078611D">
        <w:rPr>
          <w:i/>
          <w:iCs/>
        </w:rPr>
        <w:t>op.</w:t>
      </w:r>
      <w:r w:rsidR="00C50595" w:rsidRPr="0078611D">
        <w:rPr>
          <w:i/>
          <w:iCs/>
        </w:rPr>
        <w:t xml:space="preserve"> </w:t>
      </w:r>
      <w:r w:rsidR="000D290E" w:rsidRPr="0078611D">
        <w:rPr>
          <w:i/>
          <w:iCs/>
        </w:rPr>
        <w:t>cit</w:t>
      </w:r>
      <w:r w:rsidR="000D290E">
        <w:t>., §§ 66 i 68).</w:t>
      </w:r>
    </w:p>
    <w:p w14:paraId="29EFFAB3" w14:textId="7DF3CCA7" w:rsidR="005D4F97" w:rsidRPr="009548E3" w:rsidRDefault="007310C2" w:rsidP="009548E3">
      <w:pPr>
        <w:pStyle w:val="ECHRPara"/>
      </w:pPr>
      <w:fldSimple w:instr=" SEQ level0 \*arabic ">
        <w:r w:rsidR="00403504">
          <w:rPr>
            <w:noProof/>
          </w:rPr>
          <w:t>131</w:t>
        </w:r>
      </w:fldSimple>
      <w:r w:rsidR="00AD2514">
        <w:t>.  Doszło zatem do naruszenia art. 8 Konwencji w tym względzie.</w:t>
      </w:r>
    </w:p>
    <w:p w14:paraId="76715DE5" w14:textId="77777777" w:rsidR="00014566" w:rsidRPr="009548E3" w:rsidRDefault="00910770" w:rsidP="009548E3">
      <w:pPr>
        <w:pStyle w:val="ECHRHeading1"/>
      </w:pPr>
      <w:r>
        <w:t>III.  ZASTOSOWANIE ART. 41 KONWENCJI</w:t>
      </w:r>
    </w:p>
    <w:p w14:paraId="762C1538" w14:textId="057D374F" w:rsidR="00014566" w:rsidRPr="009548E3" w:rsidRDefault="007310C2" w:rsidP="009548E3">
      <w:pPr>
        <w:pStyle w:val="ECHRPara"/>
      </w:pPr>
      <w:fldSimple w:instr=" SEQ level0 \*arabic ">
        <w:r w:rsidR="00403504">
          <w:rPr>
            <w:noProof/>
          </w:rPr>
          <w:t>132</w:t>
        </w:r>
      </w:fldSimple>
      <w:r w:rsidR="00662216">
        <w:t>.  Art. 41 Konwencji stanowi:</w:t>
      </w:r>
    </w:p>
    <w:p w14:paraId="14370F71" w14:textId="77777777" w:rsidR="00014566" w:rsidRPr="009548E3" w:rsidRDefault="00014566" w:rsidP="009548E3">
      <w:pPr>
        <w:pStyle w:val="ECHRParaQuote"/>
        <w:keepNext/>
        <w:keepLines/>
      </w:pPr>
      <w:r>
        <w:lastRenderedPageBreak/>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F580C8A" w14:textId="77777777" w:rsidR="00014566" w:rsidRPr="009548E3" w:rsidRDefault="00014566" w:rsidP="009548E3">
      <w:pPr>
        <w:pStyle w:val="ECHRHeading2"/>
      </w:pPr>
      <w:r>
        <w:t>A.  Szkoda</w:t>
      </w:r>
    </w:p>
    <w:p w14:paraId="0FE5BD3D" w14:textId="5F2757B4" w:rsidR="00014566" w:rsidRPr="009548E3" w:rsidRDefault="007310C2" w:rsidP="009548E3">
      <w:pPr>
        <w:pStyle w:val="ECHRPara"/>
      </w:pPr>
      <w:fldSimple w:instr=" SEQ level0 \*arabic ">
        <w:r w:rsidR="00403504">
          <w:rPr>
            <w:noProof/>
          </w:rPr>
          <w:t>133</w:t>
        </w:r>
      </w:fldSimple>
      <w:r w:rsidR="00662216">
        <w:t xml:space="preserve">.  Skarżący twierdzili, że byli głęboko przywiązani do R. i że od czasu jego </w:t>
      </w:r>
      <w:r w:rsidR="00C50595">
        <w:t xml:space="preserve">przekazania </w:t>
      </w:r>
      <w:r w:rsidR="00662216">
        <w:t>rodzic</w:t>
      </w:r>
      <w:r w:rsidR="00C50595">
        <w:t>om</w:t>
      </w:r>
      <w:r w:rsidR="00662216">
        <w:t xml:space="preserve"> odczuwali cierpienie i niepokój z powodu </w:t>
      </w:r>
      <w:r w:rsidR="00C50595">
        <w:t xml:space="preserve">braku możliwości </w:t>
      </w:r>
      <w:r w:rsidR="00662216">
        <w:t xml:space="preserve">utrzymywania jakiegokolwiek kontaktu z R. Skarżący domagali się w związku z tym zadośćuczynienia za szkodę niemajątkową, w szczególności kwoty 20 000 euro (EUR) na rzecz pierwszej skarżącej, 10 000 </w:t>
      </w:r>
      <w:r w:rsidR="00C50595">
        <w:t xml:space="preserve">EUR </w:t>
      </w:r>
      <w:r w:rsidR="00662216">
        <w:t xml:space="preserve">na rzecz drugiej </w:t>
      </w:r>
      <w:r w:rsidR="00C50595">
        <w:t xml:space="preserve">skarżącej </w:t>
      </w:r>
      <w:r w:rsidR="00662216">
        <w:t xml:space="preserve">i trzeciego ze skarżących oraz po 5000 </w:t>
      </w:r>
      <w:r w:rsidR="00C50595">
        <w:t xml:space="preserve">EUR </w:t>
      </w:r>
      <w:r w:rsidR="00662216">
        <w:t>na rzecz każdego z pozostałych skarżących – od czwartego do ósmego.</w:t>
      </w:r>
    </w:p>
    <w:p w14:paraId="7B997BFD" w14:textId="33052F17" w:rsidR="00014566" w:rsidRPr="009548E3" w:rsidRDefault="007310C2" w:rsidP="009548E3">
      <w:pPr>
        <w:pStyle w:val="ECHRPara"/>
      </w:pPr>
      <w:fldSimple w:instr=" SEQ level0 \*arabic ">
        <w:r w:rsidR="00403504">
          <w:rPr>
            <w:noProof/>
          </w:rPr>
          <w:t>134</w:t>
        </w:r>
      </w:fldSimple>
      <w:r w:rsidR="00662216">
        <w:t>.  Rząd zakwestionował to roszczenie jako nadmierne i bezzasadne.</w:t>
      </w:r>
    </w:p>
    <w:p w14:paraId="4A3686E8" w14:textId="24BA7C9C" w:rsidR="00014566" w:rsidRPr="009548E3" w:rsidRDefault="007310C2" w:rsidP="009548E3">
      <w:pPr>
        <w:pStyle w:val="ECHRPara"/>
      </w:pPr>
      <w:fldSimple w:instr=" SEQ level0 \*arabic ">
        <w:r w:rsidR="00403504">
          <w:rPr>
            <w:noProof/>
          </w:rPr>
          <w:t>135</w:t>
        </w:r>
      </w:fldSimple>
      <w:r w:rsidR="00662216">
        <w:t>.  Trybunał zauważa, że stwierdził naruszenie prawa skarżących do poszanowania ich życia rodzinnego z powodu braku zapewnienia przez władze możliwości utrzymywania więzi rodzinnych pomiędzy skarżącymi a R. Uważa, że skarżący ponieśli w związku z tym szkodę niemajątkową, której nie można zrekompensować samym stwierdzeniem naruszenia. Trybunał zasądza na rzecz skarżących kwotę 16 000 EUR łącznie tytułem zadośćuczynienia za szkodę niemajątkową.</w:t>
      </w:r>
    </w:p>
    <w:p w14:paraId="28E23EA3" w14:textId="77777777" w:rsidR="00014566" w:rsidRPr="009548E3" w:rsidRDefault="00014566" w:rsidP="009548E3">
      <w:pPr>
        <w:pStyle w:val="ECHRHeading2"/>
      </w:pPr>
      <w:r>
        <w:t>B.  Koszty i wydatki</w:t>
      </w:r>
    </w:p>
    <w:p w14:paraId="0A89AA37" w14:textId="7D858624" w:rsidR="00014566" w:rsidRPr="009548E3" w:rsidRDefault="007310C2" w:rsidP="009548E3">
      <w:pPr>
        <w:pStyle w:val="ECHRPara"/>
      </w:pPr>
      <w:fldSimple w:instr=" SEQ level0 \*arabic ">
        <w:r w:rsidR="00403504">
          <w:rPr>
            <w:noProof/>
          </w:rPr>
          <w:t>136</w:t>
        </w:r>
      </w:fldSimple>
      <w:r w:rsidR="00662216">
        <w:t>.  Skarżący domagali się również kwoty 5 000 EUR oraz 4900 </w:t>
      </w:r>
      <w:r w:rsidR="005D6D69">
        <w:t xml:space="preserve">rubli rosyjskich </w:t>
      </w:r>
      <w:r w:rsidR="00662216">
        <w:t>(</w:t>
      </w:r>
      <w:r w:rsidR="005D6D69">
        <w:t xml:space="preserve">RUB – </w:t>
      </w:r>
      <w:r w:rsidR="00662216">
        <w:t xml:space="preserve">około 200 EUR) tytułem </w:t>
      </w:r>
      <w:r w:rsidR="005D6D69">
        <w:t xml:space="preserve">zwrotu </w:t>
      </w:r>
      <w:r w:rsidR="00662216">
        <w:t>kosztów i wydatków poniesionych przed sądami krajowymi w postępowaniu w sprawie o praw</w:t>
      </w:r>
      <w:r w:rsidR="005D6D69">
        <w:t>o</w:t>
      </w:r>
      <w:r w:rsidR="00662216">
        <w:t xml:space="preserve"> do kontakt</w:t>
      </w:r>
      <w:r w:rsidR="005D6D69">
        <w:t>ów</w:t>
      </w:r>
      <w:r w:rsidR="00662216">
        <w:t>.</w:t>
      </w:r>
    </w:p>
    <w:p w14:paraId="5E53BFE5" w14:textId="3FD9F497" w:rsidR="00014566" w:rsidRPr="009548E3" w:rsidRDefault="007310C2" w:rsidP="009548E3">
      <w:pPr>
        <w:pStyle w:val="ECHRPara"/>
      </w:pPr>
      <w:fldSimple w:instr=" SEQ level0 \*arabic ">
        <w:r w:rsidR="00403504">
          <w:rPr>
            <w:noProof/>
          </w:rPr>
          <w:t>137</w:t>
        </w:r>
      </w:fldSimple>
      <w:r w:rsidR="00662216">
        <w:t xml:space="preserve">.  Rząd nie zakwestionował wskazanej </w:t>
      </w:r>
      <w:r w:rsidR="005D6D69">
        <w:t xml:space="preserve">wysokości </w:t>
      </w:r>
      <w:r w:rsidR="00662216">
        <w:t xml:space="preserve">kosztów ani </w:t>
      </w:r>
      <w:r w:rsidR="005D6D69">
        <w:t>okoliczności ich faktycznego poniesienia</w:t>
      </w:r>
      <w:r w:rsidR="00662216">
        <w:t>; argumentował</w:t>
      </w:r>
      <w:r w:rsidR="005D6D69">
        <w:t xml:space="preserve"> przy tym</w:t>
      </w:r>
      <w:r w:rsidR="00662216">
        <w:t xml:space="preserve">, że </w:t>
      </w:r>
      <w:r w:rsidR="005D6D69">
        <w:t>skarżących zobowiązano do uiszczenia</w:t>
      </w:r>
      <w:r w:rsidR="00662216">
        <w:t xml:space="preserve"> tej kwoty zgodnie z odpowiednimi przepisami postępowania cywilnego, biorąc pod uwagę fakt, że przegrali spór cywilny. </w:t>
      </w:r>
      <w:r w:rsidR="005D6D69">
        <w:t xml:space="preserve">Z tego względu </w:t>
      </w:r>
      <w:r w:rsidR="00662216">
        <w:t>Rząd domagał się oddalenia roszczenia skarżących o zwrot kosztów.</w:t>
      </w:r>
    </w:p>
    <w:p w14:paraId="4DF58BB5" w14:textId="74BDEED7" w:rsidR="00014566" w:rsidRPr="009548E3" w:rsidRDefault="007310C2" w:rsidP="009548E3">
      <w:pPr>
        <w:pStyle w:val="ECHRPara"/>
      </w:pPr>
      <w:fldSimple w:instr=" SEQ level0 \*arabic ">
        <w:r w:rsidR="00403504">
          <w:rPr>
            <w:noProof/>
          </w:rPr>
          <w:t>138</w:t>
        </w:r>
      </w:fldSimple>
      <w:r w:rsidR="00662216">
        <w:t xml:space="preserve">.  Zgodnie z orzecznictwem Trybunału skarżącemu przysługuje prawo do zwrotu poniesionych kosztów i wydatków wówczas, kiedy wykazał, że były one rzeczywiście i koniecznie poniesione oraz uzasadnione co do wysokości. W </w:t>
      </w:r>
      <w:r w:rsidR="005D6D69">
        <w:t xml:space="preserve">niniejszej </w:t>
      </w:r>
      <w:r w:rsidR="00662216">
        <w:t xml:space="preserve">sprawie, uwzględniając przedłożoną dokumentację oraz powyższe kryteria, Trybunał uznaje za uzasadnione przyznanie kwoty w wysokości 200 EUR łącznie tytułem </w:t>
      </w:r>
      <w:r w:rsidR="005D6D69">
        <w:t xml:space="preserve">zwrotu </w:t>
      </w:r>
      <w:r w:rsidR="00662216">
        <w:t>kosztów i wydatków poniesionych w  postępowani</w:t>
      </w:r>
      <w:r w:rsidR="005D6D69">
        <w:t>u</w:t>
      </w:r>
      <w:r w:rsidR="00662216">
        <w:t xml:space="preserve"> przed sądami krajowymi.</w:t>
      </w:r>
    </w:p>
    <w:p w14:paraId="5FFD7E96" w14:textId="77777777" w:rsidR="00014566" w:rsidRPr="009548E3" w:rsidRDefault="00014566" w:rsidP="009548E3">
      <w:pPr>
        <w:pStyle w:val="ECHRHeading2"/>
      </w:pPr>
      <w:r>
        <w:lastRenderedPageBreak/>
        <w:t>C.  Odsetki za zwłokę</w:t>
      </w:r>
    </w:p>
    <w:p w14:paraId="1AEE268C" w14:textId="1CB0AFCF" w:rsidR="00014566" w:rsidRPr="009548E3" w:rsidRDefault="007310C2" w:rsidP="009548E3">
      <w:pPr>
        <w:pStyle w:val="ECHRPara"/>
      </w:pPr>
      <w:fldSimple w:instr=" SEQ level0 \*arabic ">
        <w:r w:rsidR="00403504">
          <w:rPr>
            <w:noProof/>
          </w:rPr>
          <w:t>139</w:t>
        </w:r>
      </w:fldSimple>
      <w:r w:rsidR="00662216">
        <w:t>.  Trybunał uznaje za właściwe, aby odsetki za zwłokę były oparte na marginalnej stopie procentowej Europejskiego Banku Centralnego, powiększonej o trzy punkty procentowe.</w:t>
      </w:r>
    </w:p>
    <w:p w14:paraId="3D498B79" w14:textId="77777777" w:rsidR="009105A5" w:rsidRPr="009548E3" w:rsidRDefault="009105A5" w:rsidP="009548E3">
      <w:pPr>
        <w:pStyle w:val="ECHRHeading1"/>
      </w:pPr>
      <w:r>
        <w:t>IV.  ZASTOSOWANIE ART. 46 KONWENCJI</w:t>
      </w:r>
    </w:p>
    <w:p w14:paraId="497866CA" w14:textId="023FD68D" w:rsidR="009105A5" w:rsidRPr="009548E3" w:rsidRDefault="007310C2" w:rsidP="009548E3">
      <w:pPr>
        <w:pStyle w:val="ECHRPara"/>
      </w:pPr>
      <w:fldSimple w:instr=" SEQ level0 \*arabic ">
        <w:r w:rsidR="00403504">
          <w:rPr>
            <w:noProof/>
          </w:rPr>
          <w:t>140</w:t>
        </w:r>
      </w:fldSimple>
      <w:r w:rsidR="009105A5">
        <w:t>.  W odniesieniu do art. 46 Konwencji, skarżący wystąpili o zastosowanie, bez uszczerbku dla jakichkolwiek innych środków, które pozwany Rząd, pod nadzorem Komitetu Ministrów, może uznać za stosowne, środków indywidualnych, które zapewnią przywrócenie sytuacji do stanu</w:t>
      </w:r>
      <w:r w:rsidR="00937AD9">
        <w:t>, jaki istniał</w:t>
      </w:r>
      <w:r w:rsidR="009105A5">
        <w:t xml:space="preserve"> przed wystąpieni</w:t>
      </w:r>
      <w:r w:rsidR="00937AD9">
        <w:t>em</w:t>
      </w:r>
      <w:r w:rsidR="009105A5">
        <w:t xml:space="preserve"> naruszenia (</w:t>
      </w:r>
      <w:proofErr w:type="spellStart"/>
      <w:r w:rsidR="009105A5">
        <w:rPr>
          <w:i/>
        </w:rPr>
        <w:t>restitutio</w:t>
      </w:r>
      <w:proofErr w:type="spellEnd"/>
      <w:r w:rsidR="009105A5">
        <w:rPr>
          <w:i/>
        </w:rPr>
        <w:t xml:space="preserve"> in </w:t>
      </w:r>
      <w:proofErr w:type="spellStart"/>
      <w:r w:rsidR="009105A5">
        <w:rPr>
          <w:i/>
        </w:rPr>
        <w:t>integrum</w:t>
      </w:r>
      <w:proofErr w:type="spellEnd"/>
      <w:r w:rsidR="009105A5">
        <w:t xml:space="preserve">) w ich sprawie. W szczególności skarżący, </w:t>
      </w:r>
      <w:r w:rsidR="00937AD9">
        <w:t xml:space="preserve">powołując </w:t>
      </w:r>
      <w:r w:rsidR="009105A5">
        <w:t xml:space="preserve">się na sprawę </w:t>
      </w:r>
      <w:r w:rsidR="009105A5">
        <w:rPr>
          <w:i/>
        </w:rPr>
        <w:t>M.D. i Inni przeciwko Malcie</w:t>
      </w:r>
      <w:r w:rsidR="009105A5">
        <w:t xml:space="preserve"> (</w:t>
      </w:r>
      <w:r w:rsidR="00937AD9">
        <w:t xml:space="preserve">skarga </w:t>
      </w:r>
      <w:r w:rsidR="009105A5">
        <w:t xml:space="preserve">nr 64791/10, 17 lipca 2012 r., §§ 85-90 i przytoczone tam orzecznictwo), zażądali, aby Trybunał </w:t>
      </w:r>
      <w:r w:rsidR="006C718A">
        <w:t xml:space="preserve">zobowiązał pozwany </w:t>
      </w:r>
      <w:r w:rsidR="009105A5">
        <w:t>Rząd</w:t>
      </w:r>
      <w:r w:rsidR="006C718A">
        <w:t xml:space="preserve"> do</w:t>
      </w:r>
      <w:r w:rsidR="009105A5">
        <w:t xml:space="preserve"> podjęci</w:t>
      </w:r>
      <w:r w:rsidR="006C718A">
        <w:t>a</w:t>
      </w:r>
      <w:r w:rsidR="009105A5">
        <w:t xml:space="preserve"> wszelkich niezbędnych i odpowiednich środków w celu przywrócenia i ochrony osobistych kontaktów między R. a skarżącymi.</w:t>
      </w:r>
    </w:p>
    <w:p w14:paraId="2B0C3850" w14:textId="6616861C" w:rsidR="00766F29" w:rsidRPr="009548E3" w:rsidRDefault="007310C2" w:rsidP="009548E3">
      <w:pPr>
        <w:pStyle w:val="ECHRPara"/>
      </w:pPr>
      <w:fldSimple w:instr=" SEQ level0 \*arabic ">
        <w:r w:rsidR="00403504">
          <w:rPr>
            <w:noProof/>
          </w:rPr>
          <w:t>141</w:t>
        </w:r>
      </w:fldSimple>
      <w:r w:rsidR="00766F29">
        <w:t xml:space="preserve">.  Rząd </w:t>
      </w:r>
      <w:r w:rsidR="005D7962">
        <w:t>twierdził</w:t>
      </w:r>
      <w:r w:rsidR="00766F29">
        <w:t>, że wnioskując o środki indywidualne, skarżący wkraczali w kompetencje Komitetu Ministrów.</w:t>
      </w:r>
    </w:p>
    <w:p w14:paraId="0ED9223E" w14:textId="7F986C77" w:rsidR="00451E87" w:rsidRPr="009548E3" w:rsidRDefault="007310C2" w:rsidP="009548E3">
      <w:pPr>
        <w:pStyle w:val="ECHRPara"/>
      </w:pPr>
      <w:fldSimple w:instr=" SEQ level0 \*arabic ">
        <w:r w:rsidR="00403504">
          <w:rPr>
            <w:noProof/>
          </w:rPr>
          <w:t>142</w:t>
        </w:r>
      </w:fldSimple>
      <w:r w:rsidR="00573D5A">
        <w:t>.  </w:t>
      </w:r>
      <w:r w:rsidR="00573D5A">
        <w:rPr>
          <w:rFonts w:ascii="Times New Roman" w:hAnsi="Times New Roman"/>
          <w:szCs w:val="20"/>
        </w:rPr>
        <w:t>Trybunał zauważa, że w kontekście wykon</w:t>
      </w:r>
      <w:r w:rsidR="005D7962">
        <w:rPr>
          <w:rFonts w:ascii="Times New Roman" w:hAnsi="Times New Roman"/>
          <w:szCs w:val="20"/>
        </w:rPr>
        <w:t>yw</w:t>
      </w:r>
      <w:r w:rsidR="00573D5A">
        <w:rPr>
          <w:rFonts w:ascii="Times New Roman" w:hAnsi="Times New Roman"/>
          <w:szCs w:val="20"/>
        </w:rPr>
        <w:t>ania wyroków zgodnie z art. 46 Konwencji wyrok, w którym stwierdzono naruszenie, nakłada na pozwane państwo wynikający z ww. artykułu prawny obowiązek zaprzestania naruszenia oraz naprawienia jego skutków w taki sposób, by przywrócić sytuację do stanu sprzed wystąpienia naruszenia (</w:t>
      </w:r>
      <w:proofErr w:type="spellStart"/>
      <w:r w:rsidR="00573D5A">
        <w:rPr>
          <w:rFonts w:ascii="Times New Roman" w:hAnsi="Times New Roman"/>
          <w:i/>
          <w:szCs w:val="20"/>
        </w:rPr>
        <w:t>r</w:t>
      </w:r>
      <w:r w:rsidR="00573D5A">
        <w:rPr>
          <w:rFonts w:ascii="Times New Roman" w:hAnsi="Times New Roman"/>
          <w:i/>
          <w:iCs/>
          <w:szCs w:val="20"/>
        </w:rPr>
        <w:t>estitutio</w:t>
      </w:r>
      <w:proofErr w:type="spellEnd"/>
      <w:r w:rsidR="00573D5A">
        <w:rPr>
          <w:rFonts w:ascii="Times New Roman" w:hAnsi="Times New Roman"/>
          <w:i/>
          <w:iCs/>
          <w:szCs w:val="20"/>
        </w:rPr>
        <w:t xml:space="preserve"> in </w:t>
      </w:r>
      <w:proofErr w:type="spellStart"/>
      <w:r w:rsidR="00573D5A">
        <w:rPr>
          <w:rFonts w:ascii="Times New Roman" w:hAnsi="Times New Roman"/>
          <w:i/>
          <w:iCs/>
          <w:szCs w:val="20"/>
        </w:rPr>
        <w:t>integrum</w:t>
      </w:r>
      <w:proofErr w:type="spellEnd"/>
      <w:r w:rsidR="00573D5A">
        <w:rPr>
          <w:rFonts w:ascii="Times New Roman" w:hAnsi="Times New Roman"/>
          <w:iCs/>
          <w:szCs w:val="20"/>
        </w:rPr>
        <w:t>)</w:t>
      </w:r>
      <w:r w:rsidR="00573D5A">
        <w:rPr>
          <w:rFonts w:ascii="Times New Roman" w:hAnsi="Times New Roman"/>
          <w:szCs w:val="20"/>
        </w:rPr>
        <w:t xml:space="preserve">. Jednakże wyroki Trybunału mają zasadniczo charakter deklaratoryjny i ogólnie rzecz biorąc, wybór środków, które mają zostać zastosowane w krajowym porządku prawnym, w celu wykonania obowiązku prawnego wynikającego z art. 46 Konwencji, należy przede wszystkim do zainteresowanego państwa, pod warunkiem że takie środki są zgodne z wnioskami przedstawionymi w wyroku Trybunału (zob. m.in. </w:t>
      </w:r>
      <w:proofErr w:type="spellStart"/>
      <w:r w:rsidR="00573D5A" w:rsidRPr="0078611D">
        <w:rPr>
          <w:rFonts w:ascii="Times New Roman" w:hAnsi="Times New Roman"/>
          <w:i/>
          <w:iCs/>
          <w:szCs w:val="20"/>
        </w:rPr>
        <w:t>Scozzari</w:t>
      </w:r>
      <w:proofErr w:type="spellEnd"/>
      <w:r w:rsidR="00573D5A" w:rsidRPr="0078611D">
        <w:rPr>
          <w:rFonts w:ascii="Times New Roman" w:hAnsi="Times New Roman"/>
          <w:i/>
          <w:iCs/>
          <w:szCs w:val="20"/>
        </w:rPr>
        <w:t xml:space="preserve"> i </w:t>
      </w:r>
      <w:proofErr w:type="spellStart"/>
      <w:r w:rsidR="00573D5A" w:rsidRPr="0078611D">
        <w:rPr>
          <w:rFonts w:ascii="Times New Roman" w:hAnsi="Times New Roman"/>
          <w:i/>
          <w:iCs/>
          <w:szCs w:val="20"/>
        </w:rPr>
        <w:t>Giunta</w:t>
      </w:r>
      <w:proofErr w:type="spellEnd"/>
      <w:r w:rsidR="00573D5A" w:rsidRPr="0078611D">
        <w:rPr>
          <w:rFonts w:ascii="Times New Roman" w:hAnsi="Times New Roman"/>
          <w:i/>
          <w:iCs/>
          <w:szCs w:val="20"/>
        </w:rPr>
        <w:t xml:space="preserve"> przeciwko Włochom </w:t>
      </w:r>
      <w:r w:rsidR="00573D5A">
        <w:rPr>
          <w:rFonts w:ascii="Times New Roman" w:hAnsi="Times New Roman"/>
          <w:szCs w:val="20"/>
        </w:rPr>
        <w:t xml:space="preserve">[WI], </w:t>
      </w:r>
      <w:r w:rsidR="005D7962">
        <w:rPr>
          <w:rFonts w:ascii="Times New Roman" w:hAnsi="Times New Roman"/>
          <w:szCs w:val="20"/>
        </w:rPr>
        <w:t xml:space="preserve">skargi </w:t>
      </w:r>
      <w:r w:rsidR="00573D5A">
        <w:rPr>
          <w:rFonts w:ascii="Times New Roman" w:hAnsi="Times New Roman"/>
          <w:szCs w:val="20"/>
        </w:rPr>
        <w:t>nr 39221/98 i 41963/98, § 249, ETPC 2000</w:t>
      </w:r>
      <w:r w:rsidR="00573D5A">
        <w:rPr>
          <w:rFonts w:ascii="Times New Roman" w:hAnsi="Times New Roman"/>
          <w:szCs w:val="20"/>
        </w:rPr>
        <w:noBreakHyphen/>
        <w:t>VIII;</w:t>
      </w:r>
      <w:r w:rsidR="005D7962">
        <w:rPr>
          <w:rFonts w:ascii="Times New Roman" w:hAnsi="Times New Roman"/>
          <w:szCs w:val="20"/>
        </w:rPr>
        <w:t xml:space="preserve"> </w:t>
      </w:r>
      <w:proofErr w:type="spellStart"/>
      <w:r w:rsidR="00573D5A">
        <w:rPr>
          <w:rFonts w:ascii="Times New Roman" w:hAnsi="Times New Roman"/>
          <w:i/>
          <w:szCs w:val="20"/>
        </w:rPr>
        <w:t>Brumărescu</w:t>
      </w:r>
      <w:proofErr w:type="spellEnd"/>
      <w:r w:rsidR="00573D5A">
        <w:rPr>
          <w:rFonts w:ascii="Times New Roman" w:hAnsi="Times New Roman"/>
          <w:i/>
          <w:szCs w:val="20"/>
        </w:rPr>
        <w:t xml:space="preserve"> przeciwko Rumunii</w:t>
      </w:r>
      <w:r w:rsidR="00573D5A">
        <w:rPr>
          <w:rFonts w:ascii="Times New Roman" w:hAnsi="Times New Roman"/>
          <w:szCs w:val="20"/>
        </w:rPr>
        <w:t xml:space="preserve"> (słuszne zadośćuczynienie) [WI], </w:t>
      </w:r>
      <w:r w:rsidR="005D7962">
        <w:rPr>
          <w:rFonts w:ascii="Times New Roman" w:hAnsi="Times New Roman"/>
          <w:szCs w:val="20"/>
        </w:rPr>
        <w:t xml:space="preserve">skarga </w:t>
      </w:r>
      <w:r w:rsidR="00573D5A">
        <w:rPr>
          <w:rFonts w:ascii="Times New Roman" w:hAnsi="Times New Roman"/>
          <w:szCs w:val="20"/>
        </w:rPr>
        <w:t xml:space="preserve">nr 28342/95, § 20, ETPC 2001-I; </w:t>
      </w:r>
      <w:proofErr w:type="spellStart"/>
      <w:r w:rsidR="00573D5A">
        <w:rPr>
          <w:rFonts w:ascii="Times New Roman" w:hAnsi="Times New Roman"/>
          <w:i/>
          <w:szCs w:val="20"/>
        </w:rPr>
        <w:t>Akdivar</w:t>
      </w:r>
      <w:proofErr w:type="spellEnd"/>
      <w:r w:rsidR="00573D5A">
        <w:rPr>
          <w:rFonts w:ascii="Times New Roman" w:hAnsi="Times New Roman"/>
          <w:i/>
          <w:szCs w:val="20"/>
        </w:rPr>
        <w:t xml:space="preserve"> i </w:t>
      </w:r>
      <w:r w:rsidR="002406F0">
        <w:rPr>
          <w:rFonts w:ascii="Times New Roman" w:hAnsi="Times New Roman"/>
          <w:i/>
          <w:szCs w:val="20"/>
        </w:rPr>
        <w:t>I</w:t>
      </w:r>
      <w:r w:rsidR="00573D5A">
        <w:rPr>
          <w:rFonts w:ascii="Times New Roman" w:hAnsi="Times New Roman"/>
          <w:i/>
          <w:szCs w:val="20"/>
        </w:rPr>
        <w:t>nni przeciwko Turcji</w:t>
      </w:r>
      <w:r w:rsidR="00573D5A">
        <w:rPr>
          <w:rFonts w:ascii="Times New Roman" w:hAnsi="Times New Roman"/>
          <w:szCs w:val="20"/>
        </w:rPr>
        <w:t xml:space="preserve"> (art. 50), wyrok z 1 kwietnia 1998 r., </w:t>
      </w:r>
      <w:r w:rsidR="00573D5A">
        <w:rPr>
          <w:rFonts w:ascii="Times New Roman" w:hAnsi="Times New Roman"/>
          <w:i/>
          <w:szCs w:val="20"/>
        </w:rPr>
        <w:t>Zbiór Wyroków i Decyzji</w:t>
      </w:r>
      <w:r w:rsidR="00573D5A">
        <w:rPr>
          <w:rFonts w:ascii="Times New Roman" w:hAnsi="Times New Roman"/>
          <w:szCs w:val="20"/>
        </w:rPr>
        <w:t xml:space="preserve"> 1998-II, s. 723-24, § 47; oraz </w:t>
      </w:r>
      <w:proofErr w:type="spellStart"/>
      <w:r w:rsidR="00573D5A">
        <w:rPr>
          <w:rFonts w:ascii="Times New Roman" w:hAnsi="Times New Roman"/>
          <w:i/>
          <w:szCs w:val="20"/>
        </w:rPr>
        <w:t>Marckx</w:t>
      </w:r>
      <w:proofErr w:type="spellEnd"/>
      <w:r w:rsidR="00573D5A">
        <w:rPr>
          <w:rFonts w:ascii="Times New Roman" w:hAnsi="Times New Roman"/>
          <w:i/>
          <w:szCs w:val="20"/>
        </w:rPr>
        <w:t xml:space="preserve"> przeciwko Belgii</w:t>
      </w:r>
      <w:r w:rsidR="00573D5A">
        <w:rPr>
          <w:rFonts w:ascii="Times New Roman" w:hAnsi="Times New Roman"/>
          <w:szCs w:val="20"/>
        </w:rPr>
        <w:t xml:space="preserve">, wyrok z 13 czerwca 1979 r., Seria A nr 31, s. 25, § 58). Taka swoboda uznania co do sposobu wykonania orzeczenia odzwierciedla wolność wyboru związaną z podstawowym obowiązkiem Układających się Państw wynikającym z Konwencji, jakim jest zabezpieczenie </w:t>
      </w:r>
      <w:r w:rsidR="002406F0">
        <w:rPr>
          <w:rFonts w:ascii="Times New Roman" w:hAnsi="Times New Roman"/>
          <w:szCs w:val="20"/>
        </w:rPr>
        <w:t xml:space="preserve">gwarantowanych </w:t>
      </w:r>
      <w:r w:rsidR="00573D5A">
        <w:rPr>
          <w:rFonts w:ascii="Times New Roman" w:hAnsi="Times New Roman"/>
          <w:szCs w:val="20"/>
        </w:rPr>
        <w:t xml:space="preserve">praw i wolności (art. 1) (zob. </w:t>
      </w:r>
      <w:r w:rsidR="00573D5A">
        <w:rPr>
          <w:rFonts w:ascii="Times New Roman" w:hAnsi="Times New Roman"/>
          <w:i/>
          <w:szCs w:val="20"/>
        </w:rPr>
        <w:t>mutatis mutandis</w:t>
      </w:r>
      <w:r w:rsidR="00573D5A">
        <w:t xml:space="preserve">, </w:t>
      </w:r>
      <w:proofErr w:type="spellStart"/>
      <w:r w:rsidR="00573D5A">
        <w:rPr>
          <w:i/>
        </w:rPr>
        <w:t>Papamichalopoulos</w:t>
      </w:r>
      <w:proofErr w:type="spellEnd"/>
      <w:r w:rsidR="00573D5A">
        <w:rPr>
          <w:i/>
        </w:rPr>
        <w:t xml:space="preserve"> i Inni przeciwko Grecji</w:t>
      </w:r>
      <w:r w:rsidR="00573D5A">
        <w:t xml:space="preserve"> (art. 50), 31 października 1995 r., § </w:t>
      </w:r>
      <w:r w:rsidR="00573D5A">
        <w:rPr>
          <w:rFonts w:ascii="Times New Roman" w:hAnsi="Times New Roman"/>
          <w:szCs w:val="20"/>
        </w:rPr>
        <w:t>34</w:t>
      </w:r>
      <w:r w:rsidR="00573D5A">
        <w:t>, Seria A nr 330</w:t>
      </w:r>
      <w:r w:rsidR="00573D5A">
        <w:noBreakHyphen/>
        <w:t>B</w:t>
      </w:r>
      <w:r w:rsidR="00573D5A">
        <w:rPr>
          <w:rFonts w:ascii="Times New Roman" w:hAnsi="Times New Roman"/>
          <w:szCs w:val="20"/>
        </w:rPr>
        <w:t>).</w:t>
      </w:r>
    </w:p>
    <w:p w14:paraId="3B035B72" w14:textId="7D8487F7" w:rsidR="00573D5A" w:rsidRPr="009548E3" w:rsidRDefault="007310C2" w:rsidP="009548E3">
      <w:pPr>
        <w:pStyle w:val="ECHRPara"/>
      </w:pPr>
      <w:fldSimple w:instr=" SEQ level0 \*arabic ">
        <w:r w:rsidR="00403504">
          <w:rPr>
            <w:noProof/>
          </w:rPr>
          <w:t>143</w:t>
        </w:r>
      </w:fldSimple>
      <w:r w:rsidR="00451E87">
        <w:t>.  </w:t>
      </w:r>
      <w:r w:rsidR="00451E87">
        <w:rPr>
          <w:rFonts w:ascii="Times New Roman" w:hAnsi="Times New Roman"/>
          <w:szCs w:val="20"/>
        </w:rPr>
        <w:t xml:space="preserve">Mając na uwadze ugruntowane zasady przytoczone powyżej oraz szczególne okoliczności sprawy, Trybunał uznaje za najwłaściwsze </w:t>
      </w:r>
      <w:r w:rsidR="00451E87">
        <w:rPr>
          <w:rFonts w:ascii="Times New Roman" w:hAnsi="Times New Roman"/>
          <w:szCs w:val="20"/>
        </w:rPr>
        <w:lastRenderedPageBreak/>
        <w:t>pozostawienie pozwanemu Rządowi wyboru środków, które zostaną zastosowane w krajowym porządku prawnym w celu wykonania obowiązku prawnego wynikającego z art. 46 Konwencji.</w:t>
      </w:r>
    </w:p>
    <w:p w14:paraId="0AD803BA" w14:textId="77777777" w:rsidR="00014566" w:rsidRPr="009548E3" w:rsidRDefault="00BB5883" w:rsidP="009548E3">
      <w:pPr>
        <w:pStyle w:val="ECHRTitle1"/>
      </w:pPr>
      <w:r>
        <w:t>Z TYCH PRZYCZYN TRYBUNAŁ JEDNOGŁOŚNIE,</w:t>
      </w:r>
    </w:p>
    <w:p w14:paraId="1C13ABD9" w14:textId="3F81FF60" w:rsidR="002A12A4" w:rsidRPr="009548E3" w:rsidRDefault="00B637B9" w:rsidP="009548E3">
      <w:pPr>
        <w:pStyle w:val="JuList"/>
      </w:pPr>
      <w:r>
        <w:t>1.  </w:t>
      </w:r>
      <w:r>
        <w:rPr>
          <w:i/>
        </w:rPr>
        <w:t>uznaje</w:t>
      </w:r>
      <w:r w:rsidR="002406F0">
        <w:rPr>
          <w:iCs/>
        </w:rPr>
        <w:t>, że</w:t>
      </w:r>
      <w:r>
        <w:t xml:space="preserve"> pierwsza skarżąca nie ma legitymacji do występowania w imieniu R.;</w:t>
      </w:r>
    </w:p>
    <w:p w14:paraId="39B45CEE" w14:textId="77777777" w:rsidR="002A12A4" w:rsidRPr="009548E3" w:rsidRDefault="002A12A4" w:rsidP="009548E3">
      <w:pPr>
        <w:pStyle w:val="JuList"/>
      </w:pPr>
    </w:p>
    <w:p w14:paraId="575DD9AC" w14:textId="77777777" w:rsidR="00B637B9" w:rsidRPr="009548E3" w:rsidRDefault="002A12A4" w:rsidP="009548E3">
      <w:pPr>
        <w:pStyle w:val="JuList"/>
      </w:pPr>
      <w:r>
        <w:t>2.  </w:t>
      </w:r>
      <w:r>
        <w:rPr>
          <w:i/>
        </w:rPr>
        <w:t>uznaje</w:t>
      </w:r>
      <w:r>
        <w:t xml:space="preserve"> skargę wniesioną na podstawie art. 8 Konwencji za dopuszczalną, zaś pozostałą część skargi za niedopuszczalną;</w:t>
      </w:r>
    </w:p>
    <w:p w14:paraId="467472B3" w14:textId="77777777" w:rsidR="00014566" w:rsidRPr="009548E3" w:rsidRDefault="00014566" w:rsidP="009548E3">
      <w:pPr>
        <w:pStyle w:val="JuList"/>
        <w:ind w:left="0" w:firstLine="0"/>
      </w:pPr>
    </w:p>
    <w:p w14:paraId="7C612759" w14:textId="36228A3B" w:rsidR="00014566" w:rsidRPr="009548E3" w:rsidRDefault="002A12A4" w:rsidP="009548E3">
      <w:pPr>
        <w:pStyle w:val="JuList"/>
      </w:pPr>
      <w:r>
        <w:t>3.  </w:t>
      </w:r>
      <w:r>
        <w:rPr>
          <w:i/>
        </w:rPr>
        <w:t>orzeka</w:t>
      </w:r>
      <w:r>
        <w:t xml:space="preserve">, że nie doszło do naruszenia art. 8 Konwencji w związku z przekazaniem R. jego </w:t>
      </w:r>
      <w:r w:rsidR="002406F0">
        <w:t xml:space="preserve">rodzicom </w:t>
      </w:r>
      <w:r>
        <w:t>biologicznym i ustaniem opieki pierwszej skarżącej nad nim;</w:t>
      </w:r>
    </w:p>
    <w:p w14:paraId="362F77DF" w14:textId="77777777" w:rsidR="00014566" w:rsidRPr="009548E3" w:rsidRDefault="00014566" w:rsidP="009548E3">
      <w:pPr>
        <w:pStyle w:val="JuList"/>
      </w:pPr>
    </w:p>
    <w:p w14:paraId="56166746" w14:textId="77777777" w:rsidR="00014566" w:rsidRPr="009548E3" w:rsidRDefault="002A12A4" w:rsidP="009548E3">
      <w:pPr>
        <w:pStyle w:val="JuList"/>
      </w:pPr>
      <w:r>
        <w:t>4.  </w:t>
      </w:r>
      <w:r>
        <w:rPr>
          <w:i/>
        </w:rPr>
        <w:t>orzeka</w:t>
      </w:r>
      <w:r>
        <w:t>, że doszło do naruszenia art. 8 Konwencji w związku z niezapewnieniem przez pozwane państwo możliwości utrzymania więzi rodzinnych między skarżącymi a R.;</w:t>
      </w:r>
    </w:p>
    <w:p w14:paraId="3484CA49" w14:textId="77777777" w:rsidR="00014566" w:rsidRPr="009548E3" w:rsidRDefault="00014566" w:rsidP="009548E3">
      <w:pPr>
        <w:pStyle w:val="JuList"/>
      </w:pPr>
    </w:p>
    <w:p w14:paraId="655134E6" w14:textId="77777777" w:rsidR="00BB3F07" w:rsidRPr="009548E3" w:rsidRDefault="00EF7963" w:rsidP="009548E3">
      <w:pPr>
        <w:pStyle w:val="JuList"/>
      </w:pPr>
      <w:r>
        <w:t>5.  </w:t>
      </w:r>
      <w:r>
        <w:rPr>
          <w:i/>
        </w:rPr>
        <w:t xml:space="preserve">orzeka, </w:t>
      </w:r>
    </w:p>
    <w:p w14:paraId="77674859" w14:textId="79884EDA" w:rsidR="00014566" w:rsidRPr="009548E3" w:rsidRDefault="00014566" w:rsidP="009548E3">
      <w:pPr>
        <w:pStyle w:val="JuLista"/>
      </w:pPr>
      <w:r>
        <w:t xml:space="preserve">a)  że pozwane państwo </w:t>
      </w:r>
      <w:r w:rsidR="00E8343E" w:rsidRPr="00E8343E">
        <w:t>jest</w:t>
      </w:r>
      <w:r w:rsidR="00E8343E">
        <w:t xml:space="preserve"> zobowiązane,</w:t>
      </w:r>
      <w:r>
        <w:t xml:space="preserve"> w terminie trzech miesięcy od daty, w której </w:t>
      </w:r>
      <w:r w:rsidR="00E8343E">
        <w:t xml:space="preserve">niniejszy </w:t>
      </w:r>
      <w:r>
        <w:t xml:space="preserve">wyrok stanie się ostateczny zgodnie z art. 44 </w:t>
      </w:r>
      <w:r w:rsidR="002406F0">
        <w:t>ust.</w:t>
      </w:r>
      <w:r>
        <w:t xml:space="preserve"> 2 Konwencji, </w:t>
      </w:r>
      <w:r w:rsidR="00E8343E">
        <w:t xml:space="preserve">uiścić na rzecz skarżących </w:t>
      </w:r>
      <w:r>
        <w:t xml:space="preserve">następujące kwoty, które zostaną przeliczone na </w:t>
      </w:r>
      <w:r>
        <w:rPr>
          <w:color w:val="000000"/>
        </w:rPr>
        <w:t>walutę pozwanego państwa</w:t>
      </w:r>
      <w:r>
        <w:t xml:space="preserve"> według kursu obowiązującego w dniu płatności:</w:t>
      </w:r>
    </w:p>
    <w:p w14:paraId="504F74A5" w14:textId="7D45EAC4" w:rsidR="00014566" w:rsidRPr="009548E3" w:rsidRDefault="00014566" w:rsidP="009548E3">
      <w:pPr>
        <w:pStyle w:val="JuListi"/>
      </w:pPr>
      <w:r>
        <w:t xml:space="preserve">(i)  16 000 EUR (szesnaście tysięcy euro) łącznie </w:t>
      </w:r>
      <w:r w:rsidR="002406F0">
        <w:t xml:space="preserve">na rzecz </w:t>
      </w:r>
      <w:r>
        <w:t>wszystkich skarżących, plus wszelkie należne podatki, tytułem zadośćuczynienia za szkodę niemajątkową;</w:t>
      </w:r>
    </w:p>
    <w:p w14:paraId="133AB097" w14:textId="7E4C5EDB" w:rsidR="00014566" w:rsidRPr="009548E3" w:rsidRDefault="00014566" w:rsidP="009548E3">
      <w:pPr>
        <w:pStyle w:val="JuListi"/>
      </w:pPr>
      <w:r>
        <w:t xml:space="preserve">(ii) 200 EUR (dwieście euro) łącznie </w:t>
      </w:r>
      <w:r w:rsidR="002406F0">
        <w:t xml:space="preserve">na rzecz </w:t>
      </w:r>
      <w:r>
        <w:t>wszystkich skarżących, powiększoną o wszelkie należne podatki od skarżących, tytułem zwrotu kosztów i wydatków;</w:t>
      </w:r>
    </w:p>
    <w:p w14:paraId="4D9551BE" w14:textId="77777777" w:rsidR="00014566" w:rsidRPr="009548E3" w:rsidRDefault="00014566" w:rsidP="009548E3">
      <w:pPr>
        <w:pStyle w:val="JuLista"/>
      </w:pPr>
      <w:r>
        <w:t>b)  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746DCB66" w14:textId="77777777" w:rsidR="00014566" w:rsidRPr="009548E3" w:rsidRDefault="00014566" w:rsidP="009548E3">
      <w:pPr>
        <w:pStyle w:val="JuList"/>
      </w:pPr>
    </w:p>
    <w:p w14:paraId="3320FF0B" w14:textId="52DFE8ED" w:rsidR="00014566" w:rsidRPr="009548E3" w:rsidRDefault="00EF7963" w:rsidP="009548E3">
      <w:pPr>
        <w:pStyle w:val="JuList"/>
      </w:pPr>
      <w:r>
        <w:t>6.  </w:t>
      </w:r>
      <w:r w:rsidR="002406F0">
        <w:rPr>
          <w:i/>
        </w:rPr>
        <w:t>o</w:t>
      </w:r>
      <w:r>
        <w:rPr>
          <w:i/>
        </w:rPr>
        <w:t xml:space="preserve">ddala </w:t>
      </w:r>
      <w:r>
        <w:t>pozostałą część roszczenia skarżących dotyczącą słusznego zadośćuczynienia.</w:t>
      </w:r>
    </w:p>
    <w:p w14:paraId="13E50D8F" w14:textId="77777777" w:rsidR="00014566" w:rsidRPr="009548E3" w:rsidRDefault="00014566" w:rsidP="009548E3">
      <w:pPr>
        <w:pStyle w:val="JuParaLast"/>
      </w:pPr>
      <w:r>
        <w:lastRenderedPageBreak/>
        <w:t>Sporządzono w języku angielskim i obwieszczono pisemnie w dniu 9 kwietnia 2019 r., zgodnie z regułą 77 §§ 2 i 3 Regulaminu Trybunału.</w:t>
      </w:r>
    </w:p>
    <w:p w14:paraId="5545E224" w14:textId="77777777" w:rsidR="00014566" w:rsidRPr="009548E3" w:rsidRDefault="00014566" w:rsidP="009548E3">
      <w:pPr>
        <w:pStyle w:val="JuSigned"/>
      </w:pPr>
      <w:r>
        <w:tab/>
        <w:t>Stephen Phillips</w:t>
      </w:r>
      <w:r>
        <w:tab/>
        <w:t xml:space="preserve">Vincent A. De Gaetano </w:t>
      </w:r>
      <w:r>
        <w:br/>
      </w:r>
      <w:r>
        <w:tab/>
        <w:t>Kanclerz</w:t>
      </w:r>
      <w:r>
        <w:tab/>
        <w:t>Przewodniczący</w:t>
      </w:r>
    </w:p>
    <w:p w14:paraId="75016BF2" w14:textId="77777777" w:rsidR="00A50DF9" w:rsidRPr="009548E3" w:rsidRDefault="00A50DF9" w:rsidP="009548E3">
      <w:pPr>
        <w:pStyle w:val="ECHRPara"/>
      </w:pPr>
      <w:r>
        <w:br w:type="page"/>
      </w:r>
    </w:p>
    <w:p w14:paraId="52972031" w14:textId="77777777" w:rsidR="00FB446C" w:rsidRPr="009548E3" w:rsidRDefault="00FB446C" w:rsidP="009548E3">
      <w:pPr>
        <w:pStyle w:val="ECHRTitle1"/>
        <w:jc w:val="center"/>
      </w:pPr>
      <w:r>
        <w:lastRenderedPageBreak/>
        <w:t>ZAŁĄCZNIK</w:t>
      </w:r>
    </w:p>
    <w:p w14:paraId="0ABAEC9E" w14:textId="77777777" w:rsidR="00FB446C" w:rsidRPr="009548E3" w:rsidRDefault="00FB446C" w:rsidP="009548E3">
      <w:pPr>
        <w:pStyle w:val="ECHRPara"/>
        <w:rPr>
          <w:rFonts w:eastAsia="Times New Roman"/>
          <w:lang w:eastAsia="fr-FR"/>
        </w:rPr>
      </w:pPr>
    </w:p>
    <w:p w14:paraId="401423B1" w14:textId="77777777" w:rsidR="00AA1FFD" w:rsidRPr="009548E3" w:rsidRDefault="00AA1FFD" w:rsidP="009548E3">
      <w:pPr>
        <w:pStyle w:val="ECHRPara"/>
        <w:numPr>
          <w:ilvl w:val="0"/>
          <w:numId w:val="28"/>
        </w:numPr>
      </w:pPr>
      <w:r>
        <w:t>V.D. [przyznano anonimowość]</w:t>
      </w:r>
    </w:p>
    <w:p w14:paraId="5FAA2347" w14:textId="77777777" w:rsidR="00AA1FFD" w:rsidRPr="009548E3" w:rsidRDefault="00AA1FFD" w:rsidP="009548E3">
      <w:pPr>
        <w:pStyle w:val="ECHRPara"/>
        <w:numPr>
          <w:ilvl w:val="0"/>
          <w:numId w:val="28"/>
        </w:numPr>
      </w:pPr>
      <w:r>
        <w:t>N.P. [przyznano anonimowość]</w:t>
      </w:r>
    </w:p>
    <w:p w14:paraId="1D183CCD" w14:textId="77777777" w:rsidR="00AA1FFD" w:rsidRPr="009548E3" w:rsidRDefault="00BB3F07" w:rsidP="009548E3">
      <w:pPr>
        <w:pStyle w:val="ECHRPara"/>
        <w:numPr>
          <w:ilvl w:val="0"/>
          <w:numId w:val="28"/>
        </w:numPr>
      </w:pPr>
      <w:r>
        <w:t>A.Z. [przyznano anonimowość]</w:t>
      </w:r>
    </w:p>
    <w:p w14:paraId="45E14E6D" w14:textId="77777777" w:rsidR="00AA1FFD" w:rsidRPr="009548E3" w:rsidRDefault="00AA1FFD" w:rsidP="009548E3">
      <w:pPr>
        <w:pStyle w:val="ECHRPara"/>
        <w:numPr>
          <w:ilvl w:val="0"/>
          <w:numId w:val="28"/>
        </w:numPr>
      </w:pPr>
      <w:r>
        <w:t>M.R. [przyznano anonimowość]</w:t>
      </w:r>
    </w:p>
    <w:p w14:paraId="6F8A9026" w14:textId="77777777" w:rsidR="00AA1FFD" w:rsidRPr="009548E3" w:rsidRDefault="00AA1FFD" w:rsidP="009548E3">
      <w:pPr>
        <w:pStyle w:val="ECHRPara"/>
        <w:numPr>
          <w:ilvl w:val="0"/>
          <w:numId w:val="28"/>
        </w:numPr>
      </w:pPr>
      <w:r>
        <w:t>M.M. [przyznano anonimowość]</w:t>
      </w:r>
    </w:p>
    <w:p w14:paraId="31C8F8DE" w14:textId="77777777" w:rsidR="00BB3F07" w:rsidRPr="009548E3" w:rsidRDefault="00AA1FFD" w:rsidP="009548E3">
      <w:pPr>
        <w:pStyle w:val="ECHRPara"/>
        <w:numPr>
          <w:ilvl w:val="0"/>
          <w:numId w:val="28"/>
        </w:numPr>
      </w:pPr>
      <w:r>
        <w:t>L.K. [przyznano anonimowość]</w:t>
      </w:r>
    </w:p>
    <w:p w14:paraId="06002841" w14:textId="77777777" w:rsidR="00AA1FFD" w:rsidRPr="009548E3" w:rsidRDefault="00BB3F07" w:rsidP="009548E3">
      <w:pPr>
        <w:pStyle w:val="ECHRPara"/>
        <w:numPr>
          <w:ilvl w:val="0"/>
          <w:numId w:val="28"/>
        </w:numPr>
      </w:pPr>
      <w:r>
        <w:t>A.U. [przyznano anonimowość]</w:t>
      </w:r>
    </w:p>
    <w:p w14:paraId="4F1503A7" w14:textId="77777777" w:rsidR="00AA1FFD" w:rsidRPr="009548E3" w:rsidRDefault="00AA1FFD" w:rsidP="009548E3">
      <w:pPr>
        <w:pStyle w:val="ECHRPara"/>
        <w:numPr>
          <w:ilvl w:val="0"/>
          <w:numId w:val="28"/>
        </w:numPr>
      </w:pPr>
      <w:r>
        <w:t>K.S. [przyznano anonimowość]</w:t>
      </w:r>
    </w:p>
    <w:p w14:paraId="743A06CA" w14:textId="77777777" w:rsidR="004D15F3" w:rsidRPr="009548E3" w:rsidRDefault="004D15F3" w:rsidP="009548E3">
      <w:pPr>
        <w:pStyle w:val="JuList"/>
        <w:ind w:left="720" w:firstLine="0"/>
      </w:pPr>
    </w:p>
    <w:sectPr w:rsidR="004D15F3" w:rsidRPr="009548E3" w:rsidSect="003136CE">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98A757" w14:textId="77777777" w:rsidR="00655DFC" w:rsidRDefault="00655DFC" w:rsidP="00014566">
      <w:r>
        <w:separator/>
      </w:r>
    </w:p>
  </w:endnote>
  <w:endnote w:type="continuationSeparator" w:id="0">
    <w:p w14:paraId="4C62E5CF" w14:textId="77777777" w:rsidR="00655DFC" w:rsidRDefault="00655DFC"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6D967" w14:textId="77777777" w:rsidR="00655DFC" w:rsidRPr="00150BFA" w:rsidRDefault="00655DFC" w:rsidP="00286A5D">
    <w:pPr>
      <w:jc w:val="center"/>
    </w:pPr>
    <w:r>
      <w:rPr>
        <w:noProof/>
      </w:rPr>
      <w:drawing>
        <wp:inline distT="0" distB="0" distL="0" distR="0" wp14:anchorId="5DEB8BA9" wp14:editId="3059AB3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C8F181C" w14:textId="77777777" w:rsidR="00655DFC" w:rsidRDefault="00655D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F9CA2F" w14:textId="77777777" w:rsidR="00655DFC" w:rsidRDefault="00655DFC" w:rsidP="00014566">
      <w:r>
        <w:separator/>
      </w:r>
    </w:p>
  </w:footnote>
  <w:footnote w:type="continuationSeparator" w:id="0">
    <w:p w14:paraId="657253F7" w14:textId="77777777" w:rsidR="00655DFC" w:rsidRDefault="00655DFC"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F16EE" w14:textId="77777777" w:rsidR="00655DFC" w:rsidRPr="003136CE" w:rsidRDefault="00655DFC" w:rsidP="003136CE">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AEEE8" w14:textId="77777777" w:rsidR="00655DFC" w:rsidRPr="00A45145" w:rsidRDefault="00655DFC" w:rsidP="00286A5D">
    <w:pPr>
      <w:jc w:val="center"/>
    </w:pPr>
    <w:r>
      <w:rPr>
        <w:noProof/>
      </w:rPr>
      <w:drawing>
        <wp:inline distT="0" distB="0" distL="0" distR="0" wp14:anchorId="13FEA321" wp14:editId="2AC4E0A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72BF686" w14:textId="77777777" w:rsidR="00655DFC" w:rsidRDefault="00655DF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A1DA9" w14:textId="77777777" w:rsidR="00655DFC" w:rsidRPr="00FF2306" w:rsidRDefault="00655DFC"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Pr>
        <w:rStyle w:val="Numerstrony"/>
        <w:szCs w:val="18"/>
      </w:rPr>
      <w:t>32</w:t>
    </w:r>
    <w:r>
      <w:rPr>
        <w:rStyle w:val="Numerstrony"/>
        <w:szCs w:val="18"/>
      </w:rPr>
      <w:fldChar w:fldCharType="end"/>
    </w:r>
    <w:r>
      <w:tab/>
      <w:t>WYROK V.D. I INNI PRZECIWKO ROSJI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39453" w14:textId="77777777" w:rsidR="00655DFC" w:rsidRPr="00D60D87" w:rsidRDefault="00655DFC" w:rsidP="00D60D87">
    <w:pPr>
      <w:pStyle w:val="ECHRHeader"/>
    </w:pPr>
    <w:r>
      <w:tab/>
      <w:t>WYROK V.D. I INNI PRZECIWKO ROSJI</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Pr>
        <w:rStyle w:val="Numerstrony"/>
        <w:szCs w:val="18"/>
      </w:rPr>
      <w:t>1</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6D329F"/>
    <w:multiLevelType w:val="hybridMultilevel"/>
    <w:tmpl w:val="6D1401EE"/>
    <w:lvl w:ilvl="0" w:tplc="A5706594">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2B31381F"/>
    <w:multiLevelType w:val="hybridMultilevel"/>
    <w:tmpl w:val="54B62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3B6937"/>
    <w:multiLevelType w:val="hybridMultilevel"/>
    <w:tmpl w:val="455E86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15004"/>
    <w:multiLevelType w:val="hybridMultilevel"/>
    <w:tmpl w:val="05225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A440C5"/>
    <w:multiLevelType w:val="hybridMultilevel"/>
    <w:tmpl w:val="5E3A318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F3B2F92"/>
    <w:multiLevelType w:val="hybridMultilevel"/>
    <w:tmpl w:val="3A90218E"/>
    <w:lvl w:ilvl="0" w:tplc="0409000F">
      <w:start w:val="1"/>
      <w:numFmt w:val="decimal"/>
      <w:lvlText w:val="%1."/>
      <w:lvlJc w:val="left"/>
      <w:pPr>
        <w:ind w:left="1004" w:hanging="360"/>
      </w:pPr>
    </w:lvl>
    <w:lvl w:ilvl="1" w:tplc="BBE270B6">
      <w:start w:val="1"/>
      <w:numFmt w:val="upperLetter"/>
      <w:lvlText w:val="%2."/>
      <w:lvlJc w:val="left"/>
      <w:pPr>
        <w:ind w:left="1724" w:hanging="360"/>
      </w:pPr>
      <w:rPr>
        <w:rFonts w:hint="default"/>
      </w:r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7"/>
  </w:num>
  <w:num w:numId="2">
    <w:abstractNumId w:val="10"/>
  </w:num>
  <w:num w:numId="3">
    <w:abstractNumId w:val="9"/>
  </w:num>
  <w:num w:numId="4">
    <w:abstractNumId w:val="1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8"/>
  </w:num>
  <w:num w:numId="15">
    <w:abstractNumId w:val="15"/>
  </w:num>
  <w:num w:numId="16">
    <w:abstractNumId w:val="18"/>
  </w:num>
  <w:num w:numId="17">
    <w:abstractNumId w:val="18"/>
  </w:num>
  <w:num w:numId="18">
    <w:abstractNumId w:val="12"/>
  </w:num>
  <w:num w:numId="19">
    <w:abstractNumId w:val="18"/>
  </w:num>
  <w:num w:numId="20">
    <w:abstractNumId w:val="18"/>
  </w:num>
  <w:num w:numId="21">
    <w:abstractNumId w:val="18"/>
  </w:num>
  <w:num w:numId="22">
    <w:abstractNumId w:val="18"/>
  </w:num>
  <w:num w:numId="23">
    <w:abstractNumId w:val="18"/>
  </w:num>
  <w:num w:numId="24">
    <w:abstractNumId w:val="18"/>
  </w:num>
  <w:num w:numId="25">
    <w:abstractNumId w:val="16"/>
  </w:num>
  <w:num w:numId="26">
    <w:abstractNumId w:val="11"/>
  </w:num>
  <w:num w:numId="27">
    <w:abstractNumId w:val="14"/>
  </w:num>
  <w:num w:numId="28">
    <w:abstractNumId w:val="13"/>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LW_DocType" w:val="NORMAL"/>
    <w:docVar w:name="NBEMMDOC" w:val="0"/>
    <w:docVar w:name="SignForeName" w:val="0"/>
  </w:docVars>
  <w:rsids>
    <w:rsidRoot w:val="00662216"/>
    <w:rsid w:val="0000059A"/>
    <w:rsid w:val="00000876"/>
    <w:rsid w:val="000010ED"/>
    <w:rsid w:val="00001304"/>
    <w:rsid w:val="000016A6"/>
    <w:rsid w:val="000030D3"/>
    <w:rsid w:val="000041F8"/>
    <w:rsid w:val="000042A8"/>
    <w:rsid w:val="00004308"/>
    <w:rsid w:val="00005BF0"/>
    <w:rsid w:val="00005EF9"/>
    <w:rsid w:val="0000653E"/>
    <w:rsid w:val="000067A2"/>
    <w:rsid w:val="00007154"/>
    <w:rsid w:val="000103AE"/>
    <w:rsid w:val="00011678"/>
    <w:rsid w:val="000119D3"/>
    <w:rsid w:val="00011D69"/>
    <w:rsid w:val="00012AD3"/>
    <w:rsid w:val="00012FB8"/>
    <w:rsid w:val="000131E4"/>
    <w:rsid w:val="00013584"/>
    <w:rsid w:val="00014566"/>
    <w:rsid w:val="00014EA2"/>
    <w:rsid w:val="00015C2D"/>
    <w:rsid w:val="00015ED9"/>
    <w:rsid w:val="00015F00"/>
    <w:rsid w:val="000161B9"/>
    <w:rsid w:val="0002065C"/>
    <w:rsid w:val="000214CE"/>
    <w:rsid w:val="00022C1D"/>
    <w:rsid w:val="00024FBC"/>
    <w:rsid w:val="0002573A"/>
    <w:rsid w:val="00027898"/>
    <w:rsid w:val="000278A5"/>
    <w:rsid w:val="00030550"/>
    <w:rsid w:val="000313B5"/>
    <w:rsid w:val="000336E5"/>
    <w:rsid w:val="00034871"/>
    <w:rsid w:val="00034987"/>
    <w:rsid w:val="00035BAE"/>
    <w:rsid w:val="0003610F"/>
    <w:rsid w:val="0003732E"/>
    <w:rsid w:val="00037894"/>
    <w:rsid w:val="0004297C"/>
    <w:rsid w:val="00044284"/>
    <w:rsid w:val="00050649"/>
    <w:rsid w:val="000509EE"/>
    <w:rsid w:val="00051289"/>
    <w:rsid w:val="00053908"/>
    <w:rsid w:val="00053C96"/>
    <w:rsid w:val="0005401E"/>
    <w:rsid w:val="00055C4A"/>
    <w:rsid w:val="00057ADB"/>
    <w:rsid w:val="00057C95"/>
    <w:rsid w:val="000602DF"/>
    <w:rsid w:val="00060D1F"/>
    <w:rsid w:val="00061B05"/>
    <w:rsid w:val="00062973"/>
    <w:rsid w:val="00062D5D"/>
    <w:rsid w:val="00063256"/>
    <w:rsid w:val="000632D5"/>
    <w:rsid w:val="000644EE"/>
    <w:rsid w:val="00066172"/>
    <w:rsid w:val="00072144"/>
    <w:rsid w:val="00072AC7"/>
    <w:rsid w:val="00072CBD"/>
    <w:rsid w:val="0007484E"/>
    <w:rsid w:val="00077C2D"/>
    <w:rsid w:val="000819E9"/>
    <w:rsid w:val="00082245"/>
    <w:rsid w:val="00082634"/>
    <w:rsid w:val="0008293D"/>
    <w:rsid w:val="00083877"/>
    <w:rsid w:val="00083DBB"/>
    <w:rsid w:val="000853B8"/>
    <w:rsid w:val="000856D7"/>
    <w:rsid w:val="0008652F"/>
    <w:rsid w:val="000907D7"/>
    <w:rsid w:val="000925AD"/>
    <w:rsid w:val="00092F93"/>
    <w:rsid w:val="000933D0"/>
    <w:rsid w:val="0009650B"/>
    <w:rsid w:val="00096E89"/>
    <w:rsid w:val="00097E77"/>
    <w:rsid w:val="000A1FD5"/>
    <w:rsid w:val="000A24EB"/>
    <w:rsid w:val="000A6E10"/>
    <w:rsid w:val="000A70EA"/>
    <w:rsid w:val="000A7DB6"/>
    <w:rsid w:val="000B6923"/>
    <w:rsid w:val="000B6A6A"/>
    <w:rsid w:val="000C033C"/>
    <w:rsid w:val="000C0E13"/>
    <w:rsid w:val="000C4FA2"/>
    <w:rsid w:val="000C537A"/>
    <w:rsid w:val="000C5F3C"/>
    <w:rsid w:val="000C649A"/>
    <w:rsid w:val="000C6DCC"/>
    <w:rsid w:val="000D122C"/>
    <w:rsid w:val="000D129C"/>
    <w:rsid w:val="000D290E"/>
    <w:rsid w:val="000D419C"/>
    <w:rsid w:val="000D47AA"/>
    <w:rsid w:val="000D5861"/>
    <w:rsid w:val="000D5D17"/>
    <w:rsid w:val="000D721F"/>
    <w:rsid w:val="000E069B"/>
    <w:rsid w:val="000E0D47"/>
    <w:rsid w:val="000E0E82"/>
    <w:rsid w:val="000E1B1E"/>
    <w:rsid w:val="000E1DC5"/>
    <w:rsid w:val="000E2192"/>
    <w:rsid w:val="000E223F"/>
    <w:rsid w:val="000E28D4"/>
    <w:rsid w:val="000E3541"/>
    <w:rsid w:val="000E35AC"/>
    <w:rsid w:val="000E52E1"/>
    <w:rsid w:val="000E647F"/>
    <w:rsid w:val="000E735F"/>
    <w:rsid w:val="000E7D45"/>
    <w:rsid w:val="000F1B33"/>
    <w:rsid w:val="000F5362"/>
    <w:rsid w:val="000F7273"/>
    <w:rsid w:val="000F7851"/>
    <w:rsid w:val="000F7CA8"/>
    <w:rsid w:val="0010314F"/>
    <w:rsid w:val="00104A88"/>
    <w:rsid w:val="00104E23"/>
    <w:rsid w:val="00104F02"/>
    <w:rsid w:val="00106DBC"/>
    <w:rsid w:val="001116B6"/>
    <w:rsid w:val="00111B0C"/>
    <w:rsid w:val="0011363C"/>
    <w:rsid w:val="001157AD"/>
    <w:rsid w:val="001171CC"/>
    <w:rsid w:val="00120875"/>
    <w:rsid w:val="00120D6C"/>
    <w:rsid w:val="001224DE"/>
    <w:rsid w:val="0012506A"/>
    <w:rsid w:val="001257EC"/>
    <w:rsid w:val="00130087"/>
    <w:rsid w:val="001328C9"/>
    <w:rsid w:val="00132C6A"/>
    <w:rsid w:val="00133D33"/>
    <w:rsid w:val="00134D64"/>
    <w:rsid w:val="00135A30"/>
    <w:rsid w:val="00135F77"/>
    <w:rsid w:val="0013612C"/>
    <w:rsid w:val="00137FF6"/>
    <w:rsid w:val="00141650"/>
    <w:rsid w:val="00141BAC"/>
    <w:rsid w:val="00143318"/>
    <w:rsid w:val="00143B2F"/>
    <w:rsid w:val="00143D9B"/>
    <w:rsid w:val="00144871"/>
    <w:rsid w:val="00144D58"/>
    <w:rsid w:val="00147DFD"/>
    <w:rsid w:val="00156133"/>
    <w:rsid w:val="00160071"/>
    <w:rsid w:val="00162A12"/>
    <w:rsid w:val="0016377B"/>
    <w:rsid w:val="00163889"/>
    <w:rsid w:val="00166530"/>
    <w:rsid w:val="00166937"/>
    <w:rsid w:val="00167DBC"/>
    <w:rsid w:val="00171BD2"/>
    <w:rsid w:val="00171C74"/>
    <w:rsid w:val="00172DB0"/>
    <w:rsid w:val="001736BD"/>
    <w:rsid w:val="001755EB"/>
    <w:rsid w:val="001832BD"/>
    <w:rsid w:val="00183C42"/>
    <w:rsid w:val="001840E7"/>
    <w:rsid w:val="001863C7"/>
    <w:rsid w:val="00187D62"/>
    <w:rsid w:val="001914F0"/>
    <w:rsid w:val="00194275"/>
    <w:rsid w:val="001943B5"/>
    <w:rsid w:val="00195134"/>
    <w:rsid w:val="00195BC7"/>
    <w:rsid w:val="00197137"/>
    <w:rsid w:val="00197685"/>
    <w:rsid w:val="00197F90"/>
    <w:rsid w:val="001A0BC3"/>
    <w:rsid w:val="001A145B"/>
    <w:rsid w:val="001A2DDF"/>
    <w:rsid w:val="001A34E7"/>
    <w:rsid w:val="001A588B"/>
    <w:rsid w:val="001A674C"/>
    <w:rsid w:val="001B3AE4"/>
    <w:rsid w:val="001B3B24"/>
    <w:rsid w:val="001C0F98"/>
    <w:rsid w:val="001C210E"/>
    <w:rsid w:val="001C2636"/>
    <w:rsid w:val="001C2A42"/>
    <w:rsid w:val="001C3328"/>
    <w:rsid w:val="001C5857"/>
    <w:rsid w:val="001C6914"/>
    <w:rsid w:val="001C6A3F"/>
    <w:rsid w:val="001D0619"/>
    <w:rsid w:val="001D06D2"/>
    <w:rsid w:val="001D37F8"/>
    <w:rsid w:val="001D63ED"/>
    <w:rsid w:val="001D6A23"/>
    <w:rsid w:val="001D7348"/>
    <w:rsid w:val="001E035B"/>
    <w:rsid w:val="001E0783"/>
    <w:rsid w:val="001E0961"/>
    <w:rsid w:val="001E154D"/>
    <w:rsid w:val="001E16F0"/>
    <w:rsid w:val="001E3999"/>
    <w:rsid w:val="001E3EAE"/>
    <w:rsid w:val="001E3F99"/>
    <w:rsid w:val="001E6F32"/>
    <w:rsid w:val="001E7DDF"/>
    <w:rsid w:val="001F0BFE"/>
    <w:rsid w:val="001F1A96"/>
    <w:rsid w:val="001F2145"/>
    <w:rsid w:val="001F29E0"/>
    <w:rsid w:val="001F3533"/>
    <w:rsid w:val="001F3A0D"/>
    <w:rsid w:val="001F3EA4"/>
    <w:rsid w:val="001F6262"/>
    <w:rsid w:val="001F6734"/>
    <w:rsid w:val="001F67B0"/>
    <w:rsid w:val="001F7B3D"/>
    <w:rsid w:val="002008E2"/>
    <w:rsid w:val="00200C18"/>
    <w:rsid w:val="0020110F"/>
    <w:rsid w:val="002014CA"/>
    <w:rsid w:val="00202926"/>
    <w:rsid w:val="00203893"/>
    <w:rsid w:val="00205F9F"/>
    <w:rsid w:val="002068D5"/>
    <w:rsid w:val="002068DD"/>
    <w:rsid w:val="002072A2"/>
    <w:rsid w:val="00210338"/>
    <w:rsid w:val="00210DB3"/>
    <w:rsid w:val="002115FC"/>
    <w:rsid w:val="00211D0D"/>
    <w:rsid w:val="00211FEB"/>
    <w:rsid w:val="002133F8"/>
    <w:rsid w:val="0021423C"/>
    <w:rsid w:val="00215B6A"/>
    <w:rsid w:val="00216ED8"/>
    <w:rsid w:val="002175D4"/>
    <w:rsid w:val="00223597"/>
    <w:rsid w:val="002255B1"/>
    <w:rsid w:val="0022656F"/>
    <w:rsid w:val="002309A7"/>
    <w:rsid w:val="00230D00"/>
    <w:rsid w:val="00231C66"/>
    <w:rsid w:val="00231DF7"/>
    <w:rsid w:val="00231FD1"/>
    <w:rsid w:val="0023297B"/>
    <w:rsid w:val="00232B13"/>
    <w:rsid w:val="002339E0"/>
    <w:rsid w:val="00233CF8"/>
    <w:rsid w:val="0023575D"/>
    <w:rsid w:val="002368F3"/>
    <w:rsid w:val="00237148"/>
    <w:rsid w:val="002372F2"/>
    <w:rsid w:val="002406F0"/>
    <w:rsid w:val="002408A2"/>
    <w:rsid w:val="00240DA6"/>
    <w:rsid w:val="0024222D"/>
    <w:rsid w:val="00242A48"/>
    <w:rsid w:val="002436F1"/>
    <w:rsid w:val="00244B0E"/>
    <w:rsid w:val="00244F6C"/>
    <w:rsid w:val="00245ACF"/>
    <w:rsid w:val="0025061C"/>
    <w:rsid w:val="002506D4"/>
    <w:rsid w:val="00251E20"/>
    <w:rsid w:val="002526C4"/>
    <w:rsid w:val="002532C5"/>
    <w:rsid w:val="002573D6"/>
    <w:rsid w:val="00260C03"/>
    <w:rsid w:val="002651DE"/>
    <w:rsid w:val="0026540E"/>
    <w:rsid w:val="00266944"/>
    <w:rsid w:val="00273A85"/>
    <w:rsid w:val="00275123"/>
    <w:rsid w:val="0027568E"/>
    <w:rsid w:val="00280A08"/>
    <w:rsid w:val="00282240"/>
    <w:rsid w:val="002827D9"/>
    <w:rsid w:val="0028305B"/>
    <w:rsid w:val="002839B7"/>
    <w:rsid w:val="0028551A"/>
    <w:rsid w:val="0028572A"/>
    <w:rsid w:val="00285973"/>
    <w:rsid w:val="00286A5D"/>
    <w:rsid w:val="002875FA"/>
    <w:rsid w:val="00287C97"/>
    <w:rsid w:val="00287E6F"/>
    <w:rsid w:val="00287F09"/>
    <w:rsid w:val="002922EB"/>
    <w:rsid w:val="0029299C"/>
    <w:rsid w:val="0029463F"/>
    <w:rsid w:val="002948AD"/>
    <w:rsid w:val="00294C05"/>
    <w:rsid w:val="00294C92"/>
    <w:rsid w:val="0029608B"/>
    <w:rsid w:val="002A01CC"/>
    <w:rsid w:val="002A12A4"/>
    <w:rsid w:val="002A260D"/>
    <w:rsid w:val="002A27CD"/>
    <w:rsid w:val="002A4141"/>
    <w:rsid w:val="002A41FC"/>
    <w:rsid w:val="002A61B1"/>
    <w:rsid w:val="002A663C"/>
    <w:rsid w:val="002A6C55"/>
    <w:rsid w:val="002A6EC8"/>
    <w:rsid w:val="002B076E"/>
    <w:rsid w:val="002B1C1C"/>
    <w:rsid w:val="002B444B"/>
    <w:rsid w:val="002B4D8B"/>
    <w:rsid w:val="002B5887"/>
    <w:rsid w:val="002B67F1"/>
    <w:rsid w:val="002B710C"/>
    <w:rsid w:val="002B7D7D"/>
    <w:rsid w:val="002C0692"/>
    <w:rsid w:val="002C0A76"/>
    <w:rsid w:val="002C0D8E"/>
    <w:rsid w:val="002C0E27"/>
    <w:rsid w:val="002C268E"/>
    <w:rsid w:val="002C26C5"/>
    <w:rsid w:val="002C3040"/>
    <w:rsid w:val="002D022D"/>
    <w:rsid w:val="002D04A4"/>
    <w:rsid w:val="002D0CCA"/>
    <w:rsid w:val="002D24BB"/>
    <w:rsid w:val="002D3000"/>
    <w:rsid w:val="002D3228"/>
    <w:rsid w:val="002E0FA0"/>
    <w:rsid w:val="002E75CE"/>
    <w:rsid w:val="002E7891"/>
    <w:rsid w:val="002F2AF7"/>
    <w:rsid w:val="002F33D3"/>
    <w:rsid w:val="002F34BF"/>
    <w:rsid w:val="002F4075"/>
    <w:rsid w:val="002F7B70"/>
    <w:rsid w:val="002F7E1C"/>
    <w:rsid w:val="00301A75"/>
    <w:rsid w:val="00302F70"/>
    <w:rsid w:val="0030334C"/>
    <w:rsid w:val="0030336F"/>
    <w:rsid w:val="0030375E"/>
    <w:rsid w:val="00304088"/>
    <w:rsid w:val="00304B24"/>
    <w:rsid w:val="003068E1"/>
    <w:rsid w:val="0030759D"/>
    <w:rsid w:val="00312A30"/>
    <w:rsid w:val="00312C50"/>
    <w:rsid w:val="003136CE"/>
    <w:rsid w:val="003151B0"/>
    <w:rsid w:val="00315814"/>
    <w:rsid w:val="00320F72"/>
    <w:rsid w:val="003222E8"/>
    <w:rsid w:val="00322A7E"/>
    <w:rsid w:val="0032463E"/>
    <w:rsid w:val="00326224"/>
    <w:rsid w:val="0033215A"/>
    <w:rsid w:val="003341C3"/>
    <w:rsid w:val="003360D0"/>
    <w:rsid w:val="00336608"/>
    <w:rsid w:val="00336F94"/>
    <w:rsid w:val="003373AB"/>
    <w:rsid w:val="00337EE4"/>
    <w:rsid w:val="00340CD7"/>
    <w:rsid w:val="00340FFD"/>
    <w:rsid w:val="003439C4"/>
    <w:rsid w:val="0034565B"/>
    <w:rsid w:val="0034796D"/>
    <w:rsid w:val="0035020E"/>
    <w:rsid w:val="0035041E"/>
    <w:rsid w:val="003506B1"/>
    <w:rsid w:val="00355B5F"/>
    <w:rsid w:val="00355BA3"/>
    <w:rsid w:val="00356AC7"/>
    <w:rsid w:val="003609FA"/>
    <w:rsid w:val="00364E7A"/>
    <w:rsid w:val="00365A49"/>
    <w:rsid w:val="00367CE8"/>
    <w:rsid w:val="00370B16"/>
    <w:rsid w:val="00370B71"/>
    <w:rsid w:val="003710C8"/>
    <w:rsid w:val="00373422"/>
    <w:rsid w:val="003750BE"/>
    <w:rsid w:val="00375F49"/>
    <w:rsid w:val="00376D41"/>
    <w:rsid w:val="00380126"/>
    <w:rsid w:val="0038012E"/>
    <w:rsid w:val="0038092B"/>
    <w:rsid w:val="0038145D"/>
    <w:rsid w:val="00381D11"/>
    <w:rsid w:val="003832C1"/>
    <w:rsid w:val="00383910"/>
    <w:rsid w:val="00384634"/>
    <w:rsid w:val="0038636B"/>
    <w:rsid w:val="00387B9D"/>
    <w:rsid w:val="00387E80"/>
    <w:rsid w:val="00392719"/>
    <w:rsid w:val="00392A59"/>
    <w:rsid w:val="0039364F"/>
    <w:rsid w:val="00394371"/>
    <w:rsid w:val="0039598B"/>
    <w:rsid w:val="00396686"/>
    <w:rsid w:val="00396AF2"/>
    <w:rsid w:val="0039778E"/>
    <w:rsid w:val="003A3759"/>
    <w:rsid w:val="003A396F"/>
    <w:rsid w:val="003A5F72"/>
    <w:rsid w:val="003A6A24"/>
    <w:rsid w:val="003A6C94"/>
    <w:rsid w:val="003A70F8"/>
    <w:rsid w:val="003B152F"/>
    <w:rsid w:val="003B1D4A"/>
    <w:rsid w:val="003B4941"/>
    <w:rsid w:val="003B5FAE"/>
    <w:rsid w:val="003B622A"/>
    <w:rsid w:val="003B6B3A"/>
    <w:rsid w:val="003B727F"/>
    <w:rsid w:val="003C1FC5"/>
    <w:rsid w:val="003C3270"/>
    <w:rsid w:val="003C4790"/>
    <w:rsid w:val="003C5714"/>
    <w:rsid w:val="003C6B9F"/>
    <w:rsid w:val="003C6E2A"/>
    <w:rsid w:val="003D0299"/>
    <w:rsid w:val="003D26D2"/>
    <w:rsid w:val="003D48FB"/>
    <w:rsid w:val="003E06D8"/>
    <w:rsid w:val="003E1275"/>
    <w:rsid w:val="003E1773"/>
    <w:rsid w:val="003E4EC7"/>
    <w:rsid w:val="003E6D80"/>
    <w:rsid w:val="003F0541"/>
    <w:rsid w:val="003F05FA"/>
    <w:rsid w:val="003F0B57"/>
    <w:rsid w:val="003F244A"/>
    <w:rsid w:val="003F2DB9"/>
    <w:rsid w:val="003F30B8"/>
    <w:rsid w:val="003F3581"/>
    <w:rsid w:val="003F4C45"/>
    <w:rsid w:val="003F5EB4"/>
    <w:rsid w:val="003F5F7B"/>
    <w:rsid w:val="003F7D64"/>
    <w:rsid w:val="00400810"/>
    <w:rsid w:val="00403504"/>
    <w:rsid w:val="00411472"/>
    <w:rsid w:val="0041277E"/>
    <w:rsid w:val="00414300"/>
    <w:rsid w:val="004169D9"/>
    <w:rsid w:val="00422ECD"/>
    <w:rsid w:val="00423BAF"/>
    <w:rsid w:val="00425C67"/>
    <w:rsid w:val="00427D1E"/>
    <w:rsid w:val="00427E7A"/>
    <w:rsid w:val="00432271"/>
    <w:rsid w:val="00432673"/>
    <w:rsid w:val="00435EC5"/>
    <w:rsid w:val="00436307"/>
    <w:rsid w:val="00436C49"/>
    <w:rsid w:val="0044196A"/>
    <w:rsid w:val="004423AB"/>
    <w:rsid w:val="00442B2A"/>
    <w:rsid w:val="00445366"/>
    <w:rsid w:val="00447F5B"/>
    <w:rsid w:val="00451E87"/>
    <w:rsid w:val="00453320"/>
    <w:rsid w:val="00453534"/>
    <w:rsid w:val="00455155"/>
    <w:rsid w:val="004562D1"/>
    <w:rsid w:val="00461DB0"/>
    <w:rsid w:val="004628FC"/>
    <w:rsid w:val="00463926"/>
    <w:rsid w:val="004642E3"/>
    <w:rsid w:val="004646E0"/>
    <w:rsid w:val="00464C9A"/>
    <w:rsid w:val="00464DD1"/>
    <w:rsid w:val="00465037"/>
    <w:rsid w:val="00467048"/>
    <w:rsid w:val="004726C2"/>
    <w:rsid w:val="0047313F"/>
    <w:rsid w:val="0047378F"/>
    <w:rsid w:val="00474053"/>
    <w:rsid w:val="00474F3D"/>
    <w:rsid w:val="0047596A"/>
    <w:rsid w:val="00475FBF"/>
    <w:rsid w:val="00477E3A"/>
    <w:rsid w:val="0048071C"/>
    <w:rsid w:val="00483E5F"/>
    <w:rsid w:val="00485A38"/>
    <w:rsid w:val="00485FF9"/>
    <w:rsid w:val="0048610A"/>
    <w:rsid w:val="00487EEC"/>
    <w:rsid w:val="004907F0"/>
    <w:rsid w:val="0049140B"/>
    <w:rsid w:val="004923A5"/>
    <w:rsid w:val="00494EC6"/>
    <w:rsid w:val="00496BFB"/>
    <w:rsid w:val="004A02E7"/>
    <w:rsid w:val="004A15C7"/>
    <w:rsid w:val="004A4990"/>
    <w:rsid w:val="004A58F8"/>
    <w:rsid w:val="004A6DE4"/>
    <w:rsid w:val="004B013B"/>
    <w:rsid w:val="004B076B"/>
    <w:rsid w:val="004B112B"/>
    <w:rsid w:val="004B4CAA"/>
    <w:rsid w:val="004B5893"/>
    <w:rsid w:val="004B6FE6"/>
    <w:rsid w:val="004C01E4"/>
    <w:rsid w:val="004C086C"/>
    <w:rsid w:val="004C1F56"/>
    <w:rsid w:val="004C27BC"/>
    <w:rsid w:val="004C27D8"/>
    <w:rsid w:val="004C3DE3"/>
    <w:rsid w:val="004C46B8"/>
    <w:rsid w:val="004C47EC"/>
    <w:rsid w:val="004C6549"/>
    <w:rsid w:val="004D15F3"/>
    <w:rsid w:val="004D3F37"/>
    <w:rsid w:val="004D46C7"/>
    <w:rsid w:val="004D479B"/>
    <w:rsid w:val="004D49F0"/>
    <w:rsid w:val="004D5311"/>
    <w:rsid w:val="004D5668"/>
    <w:rsid w:val="004D5DCC"/>
    <w:rsid w:val="004E5E6B"/>
    <w:rsid w:val="004E603D"/>
    <w:rsid w:val="004E7580"/>
    <w:rsid w:val="004F01E1"/>
    <w:rsid w:val="004F10AF"/>
    <w:rsid w:val="004F11A4"/>
    <w:rsid w:val="004F1913"/>
    <w:rsid w:val="004F2389"/>
    <w:rsid w:val="004F2574"/>
    <w:rsid w:val="004F304D"/>
    <w:rsid w:val="004F3761"/>
    <w:rsid w:val="004F5AC1"/>
    <w:rsid w:val="004F61BE"/>
    <w:rsid w:val="004F66B1"/>
    <w:rsid w:val="004F735B"/>
    <w:rsid w:val="00500BCE"/>
    <w:rsid w:val="0050335E"/>
    <w:rsid w:val="00507802"/>
    <w:rsid w:val="00507D45"/>
    <w:rsid w:val="00510B7E"/>
    <w:rsid w:val="00511C07"/>
    <w:rsid w:val="00513915"/>
    <w:rsid w:val="00514B23"/>
    <w:rsid w:val="00515DF8"/>
    <w:rsid w:val="005173A6"/>
    <w:rsid w:val="00517505"/>
    <w:rsid w:val="00520BAA"/>
    <w:rsid w:val="00522815"/>
    <w:rsid w:val="00522C0A"/>
    <w:rsid w:val="00524476"/>
    <w:rsid w:val="00525208"/>
    <w:rsid w:val="005257A5"/>
    <w:rsid w:val="005264C0"/>
    <w:rsid w:val="00526A8A"/>
    <w:rsid w:val="00526D76"/>
    <w:rsid w:val="0052702E"/>
    <w:rsid w:val="00530D2C"/>
    <w:rsid w:val="00531083"/>
    <w:rsid w:val="00531DF2"/>
    <w:rsid w:val="00534019"/>
    <w:rsid w:val="00534E02"/>
    <w:rsid w:val="005370BF"/>
    <w:rsid w:val="005371FE"/>
    <w:rsid w:val="00537739"/>
    <w:rsid w:val="00540C07"/>
    <w:rsid w:val="00541A04"/>
    <w:rsid w:val="00541E92"/>
    <w:rsid w:val="005442EE"/>
    <w:rsid w:val="00545C94"/>
    <w:rsid w:val="00547353"/>
    <w:rsid w:val="005474E7"/>
    <w:rsid w:val="005512A3"/>
    <w:rsid w:val="00552CE7"/>
    <w:rsid w:val="005532CC"/>
    <w:rsid w:val="00554EFD"/>
    <w:rsid w:val="00556D0B"/>
    <w:rsid w:val="00557415"/>
    <w:rsid w:val="0055783F"/>
    <w:rsid w:val="005578CE"/>
    <w:rsid w:val="00557B14"/>
    <w:rsid w:val="00560464"/>
    <w:rsid w:val="0056071E"/>
    <w:rsid w:val="00561F45"/>
    <w:rsid w:val="00562781"/>
    <w:rsid w:val="00562E4D"/>
    <w:rsid w:val="00563322"/>
    <w:rsid w:val="00563E83"/>
    <w:rsid w:val="0056674A"/>
    <w:rsid w:val="00566B7B"/>
    <w:rsid w:val="005674FF"/>
    <w:rsid w:val="0057271C"/>
    <w:rsid w:val="00572845"/>
    <w:rsid w:val="00573D5A"/>
    <w:rsid w:val="00577DF8"/>
    <w:rsid w:val="00582789"/>
    <w:rsid w:val="00587364"/>
    <w:rsid w:val="00587A1D"/>
    <w:rsid w:val="00591EDA"/>
    <w:rsid w:val="00592772"/>
    <w:rsid w:val="00594520"/>
    <w:rsid w:val="005949D9"/>
    <w:rsid w:val="0059574A"/>
    <w:rsid w:val="0059580D"/>
    <w:rsid w:val="00595D50"/>
    <w:rsid w:val="00596A79"/>
    <w:rsid w:val="00597C4B"/>
    <w:rsid w:val="005A02AD"/>
    <w:rsid w:val="005A09A5"/>
    <w:rsid w:val="005A1B9B"/>
    <w:rsid w:val="005A35DD"/>
    <w:rsid w:val="005A3D8C"/>
    <w:rsid w:val="005A53E0"/>
    <w:rsid w:val="005A6669"/>
    <w:rsid w:val="005A6751"/>
    <w:rsid w:val="005A762F"/>
    <w:rsid w:val="005B0723"/>
    <w:rsid w:val="005B092E"/>
    <w:rsid w:val="005B0950"/>
    <w:rsid w:val="005B152C"/>
    <w:rsid w:val="005B1E58"/>
    <w:rsid w:val="005B1EE0"/>
    <w:rsid w:val="005B21E3"/>
    <w:rsid w:val="005B2347"/>
    <w:rsid w:val="005B2B24"/>
    <w:rsid w:val="005B3E22"/>
    <w:rsid w:val="005B4425"/>
    <w:rsid w:val="005B46E0"/>
    <w:rsid w:val="005B4B94"/>
    <w:rsid w:val="005B6C56"/>
    <w:rsid w:val="005B7555"/>
    <w:rsid w:val="005B7801"/>
    <w:rsid w:val="005C1A49"/>
    <w:rsid w:val="005C3E54"/>
    <w:rsid w:val="005C3EE8"/>
    <w:rsid w:val="005C4825"/>
    <w:rsid w:val="005C4AE1"/>
    <w:rsid w:val="005D0051"/>
    <w:rsid w:val="005D09DF"/>
    <w:rsid w:val="005D34F9"/>
    <w:rsid w:val="005D3D46"/>
    <w:rsid w:val="005D4190"/>
    <w:rsid w:val="005D4F97"/>
    <w:rsid w:val="005D5A60"/>
    <w:rsid w:val="005D67A3"/>
    <w:rsid w:val="005D6D69"/>
    <w:rsid w:val="005D7962"/>
    <w:rsid w:val="005D7A80"/>
    <w:rsid w:val="005E1490"/>
    <w:rsid w:val="005E1CB9"/>
    <w:rsid w:val="005E1FF1"/>
    <w:rsid w:val="005E2988"/>
    <w:rsid w:val="005E2A43"/>
    <w:rsid w:val="005E2C3D"/>
    <w:rsid w:val="005E3085"/>
    <w:rsid w:val="005E438A"/>
    <w:rsid w:val="005F0EEC"/>
    <w:rsid w:val="005F31E6"/>
    <w:rsid w:val="005F51E1"/>
    <w:rsid w:val="0060009F"/>
    <w:rsid w:val="0060089B"/>
    <w:rsid w:val="00601C6B"/>
    <w:rsid w:val="00601F55"/>
    <w:rsid w:val="00605CC0"/>
    <w:rsid w:val="00611C80"/>
    <w:rsid w:val="00614440"/>
    <w:rsid w:val="00614E41"/>
    <w:rsid w:val="00616054"/>
    <w:rsid w:val="00616105"/>
    <w:rsid w:val="0061775B"/>
    <w:rsid w:val="0062039A"/>
    <w:rsid w:val="00620692"/>
    <w:rsid w:val="00623AA4"/>
    <w:rsid w:val="006242CA"/>
    <w:rsid w:val="00625614"/>
    <w:rsid w:val="006269DC"/>
    <w:rsid w:val="00627507"/>
    <w:rsid w:val="0062764B"/>
    <w:rsid w:val="0062780D"/>
    <w:rsid w:val="0063016B"/>
    <w:rsid w:val="0063153C"/>
    <w:rsid w:val="00632885"/>
    <w:rsid w:val="00632D32"/>
    <w:rsid w:val="00633717"/>
    <w:rsid w:val="006344E1"/>
    <w:rsid w:val="00641623"/>
    <w:rsid w:val="006418A2"/>
    <w:rsid w:val="006422FE"/>
    <w:rsid w:val="0064353B"/>
    <w:rsid w:val="0064396B"/>
    <w:rsid w:val="00645F88"/>
    <w:rsid w:val="00646F95"/>
    <w:rsid w:val="006478DE"/>
    <w:rsid w:val="00647C9C"/>
    <w:rsid w:val="00653BAB"/>
    <w:rsid w:val="006545C4"/>
    <w:rsid w:val="006548D6"/>
    <w:rsid w:val="00654A77"/>
    <w:rsid w:val="00655290"/>
    <w:rsid w:val="006557DD"/>
    <w:rsid w:val="006559A2"/>
    <w:rsid w:val="00655DFC"/>
    <w:rsid w:val="00656EC0"/>
    <w:rsid w:val="00661971"/>
    <w:rsid w:val="00661CE8"/>
    <w:rsid w:val="00662216"/>
    <w:rsid w:val="006623D9"/>
    <w:rsid w:val="006631B3"/>
    <w:rsid w:val="00663617"/>
    <w:rsid w:val="0066550C"/>
    <w:rsid w:val="006668EB"/>
    <w:rsid w:val="006675F6"/>
    <w:rsid w:val="006679D7"/>
    <w:rsid w:val="006709CF"/>
    <w:rsid w:val="00671374"/>
    <w:rsid w:val="006716F2"/>
    <w:rsid w:val="006732F9"/>
    <w:rsid w:val="0067591D"/>
    <w:rsid w:val="00680508"/>
    <w:rsid w:val="006809FB"/>
    <w:rsid w:val="00682573"/>
    <w:rsid w:val="00682BF2"/>
    <w:rsid w:val="006847DE"/>
    <w:rsid w:val="006859CE"/>
    <w:rsid w:val="0068655A"/>
    <w:rsid w:val="00687A95"/>
    <w:rsid w:val="00691270"/>
    <w:rsid w:val="00691D8A"/>
    <w:rsid w:val="0069237A"/>
    <w:rsid w:val="00692F08"/>
    <w:rsid w:val="00694A6A"/>
    <w:rsid w:val="00694BA8"/>
    <w:rsid w:val="00694C77"/>
    <w:rsid w:val="00695F07"/>
    <w:rsid w:val="006A037C"/>
    <w:rsid w:val="006A2BA7"/>
    <w:rsid w:val="006A36F4"/>
    <w:rsid w:val="006A406F"/>
    <w:rsid w:val="006A5D3A"/>
    <w:rsid w:val="006A603F"/>
    <w:rsid w:val="006B0D4C"/>
    <w:rsid w:val="006B0F39"/>
    <w:rsid w:val="006B1B83"/>
    <w:rsid w:val="006B30EE"/>
    <w:rsid w:val="006B3D19"/>
    <w:rsid w:val="006B3FF7"/>
    <w:rsid w:val="006B6989"/>
    <w:rsid w:val="006C1010"/>
    <w:rsid w:val="006C15EC"/>
    <w:rsid w:val="006C23D4"/>
    <w:rsid w:val="006C3BB8"/>
    <w:rsid w:val="006C5532"/>
    <w:rsid w:val="006C718A"/>
    <w:rsid w:val="006C74A6"/>
    <w:rsid w:val="006C7BB0"/>
    <w:rsid w:val="006C7E61"/>
    <w:rsid w:val="006D0017"/>
    <w:rsid w:val="006D0EE2"/>
    <w:rsid w:val="006D3237"/>
    <w:rsid w:val="006D32EA"/>
    <w:rsid w:val="006D6251"/>
    <w:rsid w:val="006E2E37"/>
    <w:rsid w:val="006E2FD3"/>
    <w:rsid w:val="006E37DF"/>
    <w:rsid w:val="006E3CF1"/>
    <w:rsid w:val="006E7E80"/>
    <w:rsid w:val="006E7FC9"/>
    <w:rsid w:val="006F0821"/>
    <w:rsid w:val="006F1DF9"/>
    <w:rsid w:val="006F24DB"/>
    <w:rsid w:val="006F3549"/>
    <w:rsid w:val="006F3B84"/>
    <w:rsid w:val="006F4346"/>
    <w:rsid w:val="006F48CA"/>
    <w:rsid w:val="006F64DD"/>
    <w:rsid w:val="006F68C4"/>
    <w:rsid w:val="006F6CFE"/>
    <w:rsid w:val="006F71BC"/>
    <w:rsid w:val="006F7740"/>
    <w:rsid w:val="006F7789"/>
    <w:rsid w:val="007024C7"/>
    <w:rsid w:val="007030AD"/>
    <w:rsid w:val="00710348"/>
    <w:rsid w:val="00713BD6"/>
    <w:rsid w:val="0071428B"/>
    <w:rsid w:val="00715127"/>
    <w:rsid w:val="00715DDC"/>
    <w:rsid w:val="00715E8E"/>
    <w:rsid w:val="007166AE"/>
    <w:rsid w:val="00721FA7"/>
    <w:rsid w:val="00722685"/>
    <w:rsid w:val="00723128"/>
    <w:rsid w:val="0072349E"/>
    <w:rsid w:val="00723580"/>
    <w:rsid w:val="007235B3"/>
    <w:rsid w:val="00723755"/>
    <w:rsid w:val="007249B7"/>
    <w:rsid w:val="00727BED"/>
    <w:rsid w:val="00727E84"/>
    <w:rsid w:val="00727FA8"/>
    <w:rsid w:val="00730609"/>
    <w:rsid w:val="007310C2"/>
    <w:rsid w:val="0073136C"/>
    <w:rsid w:val="00731D53"/>
    <w:rsid w:val="00731F0F"/>
    <w:rsid w:val="00732245"/>
    <w:rsid w:val="00733250"/>
    <w:rsid w:val="0073483C"/>
    <w:rsid w:val="00741404"/>
    <w:rsid w:val="0074152A"/>
    <w:rsid w:val="007449E5"/>
    <w:rsid w:val="0074606D"/>
    <w:rsid w:val="00746A90"/>
    <w:rsid w:val="00746C5A"/>
    <w:rsid w:val="00746E65"/>
    <w:rsid w:val="007478D7"/>
    <w:rsid w:val="00747FF0"/>
    <w:rsid w:val="00750722"/>
    <w:rsid w:val="007522D9"/>
    <w:rsid w:val="007548E6"/>
    <w:rsid w:val="0075643A"/>
    <w:rsid w:val="00761266"/>
    <w:rsid w:val="00762FC7"/>
    <w:rsid w:val="00763FD2"/>
    <w:rsid w:val="00764C99"/>
    <w:rsid w:val="00764D4E"/>
    <w:rsid w:val="0076536B"/>
    <w:rsid w:val="00765A1F"/>
    <w:rsid w:val="00766F29"/>
    <w:rsid w:val="00772F0A"/>
    <w:rsid w:val="00774A8B"/>
    <w:rsid w:val="00775B6D"/>
    <w:rsid w:val="00775DDF"/>
    <w:rsid w:val="00775EA5"/>
    <w:rsid w:val="00776440"/>
    <w:rsid w:val="00776D68"/>
    <w:rsid w:val="007850EE"/>
    <w:rsid w:val="00785B95"/>
    <w:rsid w:val="00785FFE"/>
    <w:rsid w:val="0078611D"/>
    <w:rsid w:val="00786AD3"/>
    <w:rsid w:val="00787796"/>
    <w:rsid w:val="007904F0"/>
    <w:rsid w:val="00790E96"/>
    <w:rsid w:val="007914BD"/>
    <w:rsid w:val="00791853"/>
    <w:rsid w:val="00793366"/>
    <w:rsid w:val="00794ED4"/>
    <w:rsid w:val="00795016"/>
    <w:rsid w:val="00795AF1"/>
    <w:rsid w:val="00795B6F"/>
    <w:rsid w:val="00795E65"/>
    <w:rsid w:val="0079680F"/>
    <w:rsid w:val="007A27B1"/>
    <w:rsid w:val="007A3E09"/>
    <w:rsid w:val="007A41CC"/>
    <w:rsid w:val="007A4C5C"/>
    <w:rsid w:val="007A716F"/>
    <w:rsid w:val="007A74CA"/>
    <w:rsid w:val="007B153D"/>
    <w:rsid w:val="007B1B26"/>
    <w:rsid w:val="007B270A"/>
    <w:rsid w:val="007B2748"/>
    <w:rsid w:val="007B3229"/>
    <w:rsid w:val="007B35A3"/>
    <w:rsid w:val="007B45C3"/>
    <w:rsid w:val="007B4975"/>
    <w:rsid w:val="007B4D5C"/>
    <w:rsid w:val="007B512D"/>
    <w:rsid w:val="007B6388"/>
    <w:rsid w:val="007B778D"/>
    <w:rsid w:val="007C02AC"/>
    <w:rsid w:val="007C0695"/>
    <w:rsid w:val="007C0950"/>
    <w:rsid w:val="007C0F2F"/>
    <w:rsid w:val="007C357B"/>
    <w:rsid w:val="007C3E87"/>
    <w:rsid w:val="007C419A"/>
    <w:rsid w:val="007C43A6"/>
    <w:rsid w:val="007C44A4"/>
    <w:rsid w:val="007C4CC8"/>
    <w:rsid w:val="007C5426"/>
    <w:rsid w:val="007C5798"/>
    <w:rsid w:val="007C5AB0"/>
    <w:rsid w:val="007C7409"/>
    <w:rsid w:val="007C78FA"/>
    <w:rsid w:val="007D1ABB"/>
    <w:rsid w:val="007D1D81"/>
    <w:rsid w:val="007D2889"/>
    <w:rsid w:val="007D3C09"/>
    <w:rsid w:val="007D3FEC"/>
    <w:rsid w:val="007D4741"/>
    <w:rsid w:val="007D4832"/>
    <w:rsid w:val="007D55CE"/>
    <w:rsid w:val="007D588B"/>
    <w:rsid w:val="007E11CA"/>
    <w:rsid w:val="007E21B2"/>
    <w:rsid w:val="007E2C4E"/>
    <w:rsid w:val="007E2E42"/>
    <w:rsid w:val="007E2EC4"/>
    <w:rsid w:val="007E39C2"/>
    <w:rsid w:val="007E4839"/>
    <w:rsid w:val="007E4F72"/>
    <w:rsid w:val="007E62FB"/>
    <w:rsid w:val="007F0C4F"/>
    <w:rsid w:val="007F1905"/>
    <w:rsid w:val="007F32E8"/>
    <w:rsid w:val="007F44A9"/>
    <w:rsid w:val="007F5A5D"/>
    <w:rsid w:val="00801300"/>
    <w:rsid w:val="00802C64"/>
    <w:rsid w:val="00802FEF"/>
    <w:rsid w:val="00803D83"/>
    <w:rsid w:val="008056FA"/>
    <w:rsid w:val="00805E52"/>
    <w:rsid w:val="008061D0"/>
    <w:rsid w:val="00806A6D"/>
    <w:rsid w:val="00806C7F"/>
    <w:rsid w:val="00806F06"/>
    <w:rsid w:val="00810B38"/>
    <w:rsid w:val="008126F4"/>
    <w:rsid w:val="008178B1"/>
    <w:rsid w:val="00820150"/>
    <w:rsid w:val="008204C7"/>
    <w:rsid w:val="00820992"/>
    <w:rsid w:val="00822F85"/>
    <w:rsid w:val="00823602"/>
    <w:rsid w:val="0082438C"/>
    <w:rsid w:val="00824A4A"/>
    <w:rsid w:val="0082543F"/>
    <w:rsid w:val="008255F5"/>
    <w:rsid w:val="00826522"/>
    <w:rsid w:val="0082660E"/>
    <w:rsid w:val="008266B0"/>
    <w:rsid w:val="00827CB4"/>
    <w:rsid w:val="0083014E"/>
    <w:rsid w:val="00831087"/>
    <w:rsid w:val="00831754"/>
    <w:rsid w:val="0083214A"/>
    <w:rsid w:val="008336BF"/>
    <w:rsid w:val="00834220"/>
    <w:rsid w:val="00834878"/>
    <w:rsid w:val="00841636"/>
    <w:rsid w:val="00843F5A"/>
    <w:rsid w:val="00845723"/>
    <w:rsid w:val="0085152B"/>
    <w:rsid w:val="00851C7F"/>
    <w:rsid w:val="00851EF9"/>
    <w:rsid w:val="0085252F"/>
    <w:rsid w:val="00852B69"/>
    <w:rsid w:val="0085353A"/>
    <w:rsid w:val="00853FCD"/>
    <w:rsid w:val="00854EF0"/>
    <w:rsid w:val="0085545A"/>
    <w:rsid w:val="0085558B"/>
    <w:rsid w:val="008577FD"/>
    <w:rsid w:val="008602EF"/>
    <w:rsid w:val="00860B03"/>
    <w:rsid w:val="00861549"/>
    <w:rsid w:val="00862221"/>
    <w:rsid w:val="00862D1F"/>
    <w:rsid w:val="0086497A"/>
    <w:rsid w:val="00871006"/>
    <w:rsid w:val="008713A1"/>
    <w:rsid w:val="00872D81"/>
    <w:rsid w:val="00874B46"/>
    <w:rsid w:val="008754AB"/>
    <w:rsid w:val="00875DAE"/>
    <w:rsid w:val="00877EE3"/>
    <w:rsid w:val="0088060C"/>
    <w:rsid w:val="00880CC7"/>
    <w:rsid w:val="008860D7"/>
    <w:rsid w:val="00891144"/>
    <w:rsid w:val="00893576"/>
    <w:rsid w:val="00893E10"/>
    <w:rsid w:val="00893E73"/>
    <w:rsid w:val="00895812"/>
    <w:rsid w:val="008960E5"/>
    <w:rsid w:val="008971CE"/>
    <w:rsid w:val="008A0EE7"/>
    <w:rsid w:val="008A43C4"/>
    <w:rsid w:val="008A460A"/>
    <w:rsid w:val="008A4A8A"/>
    <w:rsid w:val="008B02DC"/>
    <w:rsid w:val="008B216F"/>
    <w:rsid w:val="008B3095"/>
    <w:rsid w:val="008B4119"/>
    <w:rsid w:val="008B42A2"/>
    <w:rsid w:val="008B57CE"/>
    <w:rsid w:val="008B659F"/>
    <w:rsid w:val="008B6C0B"/>
    <w:rsid w:val="008B7890"/>
    <w:rsid w:val="008C06B5"/>
    <w:rsid w:val="008C1A6F"/>
    <w:rsid w:val="008C1A8C"/>
    <w:rsid w:val="008C26DE"/>
    <w:rsid w:val="008C2850"/>
    <w:rsid w:val="008C321E"/>
    <w:rsid w:val="008C6A74"/>
    <w:rsid w:val="008C6F4D"/>
    <w:rsid w:val="008D006C"/>
    <w:rsid w:val="008D1AA3"/>
    <w:rsid w:val="008D2225"/>
    <w:rsid w:val="008D3BC8"/>
    <w:rsid w:val="008D4752"/>
    <w:rsid w:val="008D648A"/>
    <w:rsid w:val="008E271C"/>
    <w:rsid w:val="008E418E"/>
    <w:rsid w:val="008E5BC6"/>
    <w:rsid w:val="008E652C"/>
    <w:rsid w:val="008E6A25"/>
    <w:rsid w:val="008E7821"/>
    <w:rsid w:val="008E7DFD"/>
    <w:rsid w:val="008E7F32"/>
    <w:rsid w:val="008F2B23"/>
    <w:rsid w:val="008F5193"/>
    <w:rsid w:val="008F73D2"/>
    <w:rsid w:val="008F7574"/>
    <w:rsid w:val="008F7E12"/>
    <w:rsid w:val="00900E0B"/>
    <w:rsid w:val="009013A7"/>
    <w:rsid w:val="009017FB"/>
    <w:rsid w:val="009017FC"/>
    <w:rsid w:val="00903B43"/>
    <w:rsid w:val="0090506B"/>
    <w:rsid w:val="009050C9"/>
    <w:rsid w:val="009066FC"/>
    <w:rsid w:val="0090752D"/>
    <w:rsid w:val="009079D1"/>
    <w:rsid w:val="009105A5"/>
    <w:rsid w:val="00910770"/>
    <w:rsid w:val="00911382"/>
    <w:rsid w:val="00913D77"/>
    <w:rsid w:val="009140A3"/>
    <w:rsid w:val="009144A2"/>
    <w:rsid w:val="0091510C"/>
    <w:rsid w:val="00921628"/>
    <w:rsid w:val="00922702"/>
    <w:rsid w:val="009238D6"/>
    <w:rsid w:val="00924B14"/>
    <w:rsid w:val="009259AC"/>
    <w:rsid w:val="00926D5B"/>
    <w:rsid w:val="00926F38"/>
    <w:rsid w:val="009273CA"/>
    <w:rsid w:val="00930A88"/>
    <w:rsid w:val="00930E2F"/>
    <w:rsid w:val="0093176E"/>
    <w:rsid w:val="00934301"/>
    <w:rsid w:val="00934970"/>
    <w:rsid w:val="00936CD1"/>
    <w:rsid w:val="00937AD9"/>
    <w:rsid w:val="00941747"/>
    <w:rsid w:val="00941B99"/>
    <w:rsid w:val="00941EFB"/>
    <w:rsid w:val="00944668"/>
    <w:rsid w:val="00947AFB"/>
    <w:rsid w:val="00951D7D"/>
    <w:rsid w:val="00952AC0"/>
    <w:rsid w:val="00952C12"/>
    <w:rsid w:val="00954523"/>
    <w:rsid w:val="009548E3"/>
    <w:rsid w:val="0095494F"/>
    <w:rsid w:val="00955C9F"/>
    <w:rsid w:val="009561C6"/>
    <w:rsid w:val="00957897"/>
    <w:rsid w:val="00957B37"/>
    <w:rsid w:val="009623D4"/>
    <w:rsid w:val="009630C7"/>
    <w:rsid w:val="0096346B"/>
    <w:rsid w:val="009637A6"/>
    <w:rsid w:val="0096485C"/>
    <w:rsid w:val="00965781"/>
    <w:rsid w:val="009658E1"/>
    <w:rsid w:val="00966F3A"/>
    <w:rsid w:val="0096758E"/>
    <w:rsid w:val="00972B55"/>
    <w:rsid w:val="009730DA"/>
    <w:rsid w:val="009743B7"/>
    <w:rsid w:val="0097769F"/>
    <w:rsid w:val="009803DD"/>
    <w:rsid w:val="009821E4"/>
    <w:rsid w:val="0098228B"/>
    <w:rsid w:val="009828DA"/>
    <w:rsid w:val="00985309"/>
    <w:rsid w:val="00985BAB"/>
    <w:rsid w:val="0099303B"/>
    <w:rsid w:val="00994152"/>
    <w:rsid w:val="009942B9"/>
    <w:rsid w:val="0099445E"/>
    <w:rsid w:val="00995A3C"/>
    <w:rsid w:val="0099638D"/>
    <w:rsid w:val="00997F03"/>
    <w:rsid w:val="009A3AC2"/>
    <w:rsid w:val="009A40BD"/>
    <w:rsid w:val="009A46DF"/>
    <w:rsid w:val="009A47E7"/>
    <w:rsid w:val="009A5E55"/>
    <w:rsid w:val="009A7FC8"/>
    <w:rsid w:val="009B1382"/>
    <w:rsid w:val="009B1517"/>
    <w:rsid w:val="009B1B5F"/>
    <w:rsid w:val="009B2EC2"/>
    <w:rsid w:val="009B4392"/>
    <w:rsid w:val="009B4FB7"/>
    <w:rsid w:val="009B6673"/>
    <w:rsid w:val="009B697E"/>
    <w:rsid w:val="009C0CF9"/>
    <w:rsid w:val="009C191B"/>
    <w:rsid w:val="009C2BD6"/>
    <w:rsid w:val="009C50FA"/>
    <w:rsid w:val="009C7686"/>
    <w:rsid w:val="009C7C78"/>
    <w:rsid w:val="009D6F7D"/>
    <w:rsid w:val="009D7759"/>
    <w:rsid w:val="009D7D9A"/>
    <w:rsid w:val="009E096B"/>
    <w:rsid w:val="009E160F"/>
    <w:rsid w:val="009E1F32"/>
    <w:rsid w:val="009E20FB"/>
    <w:rsid w:val="009E2430"/>
    <w:rsid w:val="009E249D"/>
    <w:rsid w:val="009E2BB5"/>
    <w:rsid w:val="009E3FA5"/>
    <w:rsid w:val="009E4824"/>
    <w:rsid w:val="009E5829"/>
    <w:rsid w:val="009E74F8"/>
    <w:rsid w:val="009E776C"/>
    <w:rsid w:val="009E7C7D"/>
    <w:rsid w:val="009F3114"/>
    <w:rsid w:val="009F34A8"/>
    <w:rsid w:val="009F370F"/>
    <w:rsid w:val="009F3C56"/>
    <w:rsid w:val="009F581D"/>
    <w:rsid w:val="009F597B"/>
    <w:rsid w:val="009F672E"/>
    <w:rsid w:val="00A01EF8"/>
    <w:rsid w:val="00A03B4B"/>
    <w:rsid w:val="00A050F6"/>
    <w:rsid w:val="00A0535B"/>
    <w:rsid w:val="00A07916"/>
    <w:rsid w:val="00A10720"/>
    <w:rsid w:val="00A128F2"/>
    <w:rsid w:val="00A13AC7"/>
    <w:rsid w:val="00A16000"/>
    <w:rsid w:val="00A1726E"/>
    <w:rsid w:val="00A204CF"/>
    <w:rsid w:val="00A209BE"/>
    <w:rsid w:val="00A21434"/>
    <w:rsid w:val="00A22BC2"/>
    <w:rsid w:val="00A23D49"/>
    <w:rsid w:val="00A25172"/>
    <w:rsid w:val="00A25DBD"/>
    <w:rsid w:val="00A27004"/>
    <w:rsid w:val="00A300CD"/>
    <w:rsid w:val="00A30C29"/>
    <w:rsid w:val="00A327CB"/>
    <w:rsid w:val="00A329F7"/>
    <w:rsid w:val="00A34DD6"/>
    <w:rsid w:val="00A35536"/>
    <w:rsid w:val="00A356C6"/>
    <w:rsid w:val="00A35D8A"/>
    <w:rsid w:val="00A35F06"/>
    <w:rsid w:val="00A36819"/>
    <w:rsid w:val="00A36989"/>
    <w:rsid w:val="00A36EC3"/>
    <w:rsid w:val="00A37A35"/>
    <w:rsid w:val="00A43628"/>
    <w:rsid w:val="00A44293"/>
    <w:rsid w:val="00A44FED"/>
    <w:rsid w:val="00A46B0E"/>
    <w:rsid w:val="00A50407"/>
    <w:rsid w:val="00A504EF"/>
    <w:rsid w:val="00A50DF9"/>
    <w:rsid w:val="00A52309"/>
    <w:rsid w:val="00A54192"/>
    <w:rsid w:val="00A54845"/>
    <w:rsid w:val="00A559AD"/>
    <w:rsid w:val="00A55A26"/>
    <w:rsid w:val="00A568E4"/>
    <w:rsid w:val="00A6035E"/>
    <w:rsid w:val="00A6144C"/>
    <w:rsid w:val="00A627DC"/>
    <w:rsid w:val="00A65120"/>
    <w:rsid w:val="00A66617"/>
    <w:rsid w:val="00A66A63"/>
    <w:rsid w:val="00A671F8"/>
    <w:rsid w:val="00A673A4"/>
    <w:rsid w:val="00A67DCE"/>
    <w:rsid w:val="00A7042E"/>
    <w:rsid w:val="00A70A30"/>
    <w:rsid w:val="00A70BEB"/>
    <w:rsid w:val="00A72352"/>
    <w:rsid w:val="00A724AE"/>
    <w:rsid w:val="00A7304B"/>
    <w:rsid w:val="00A73329"/>
    <w:rsid w:val="00A76657"/>
    <w:rsid w:val="00A805E6"/>
    <w:rsid w:val="00A82359"/>
    <w:rsid w:val="00A82BAC"/>
    <w:rsid w:val="00A84DD1"/>
    <w:rsid w:val="00A865D2"/>
    <w:rsid w:val="00A875F3"/>
    <w:rsid w:val="00A916F1"/>
    <w:rsid w:val="00A93786"/>
    <w:rsid w:val="00A93F2D"/>
    <w:rsid w:val="00A9476E"/>
    <w:rsid w:val="00A94C20"/>
    <w:rsid w:val="00A961B0"/>
    <w:rsid w:val="00A9670A"/>
    <w:rsid w:val="00A96ED6"/>
    <w:rsid w:val="00A970D5"/>
    <w:rsid w:val="00A97F33"/>
    <w:rsid w:val="00AA101F"/>
    <w:rsid w:val="00AA1FFD"/>
    <w:rsid w:val="00AA227F"/>
    <w:rsid w:val="00AA3BC7"/>
    <w:rsid w:val="00AA614D"/>
    <w:rsid w:val="00AA669C"/>
    <w:rsid w:val="00AA754A"/>
    <w:rsid w:val="00AA7BCE"/>
    <w:rsid w:val="00AB0335"/>
    <w:rsid w:val="00AB099E"/>
    <w:rsid w:val="00AB1B9E"/>
    <w:rsid w:val="00AB20F0"/>
    <w:rsid w:val="00AB235C"/>
    <w:rsid w:val="00AB23A1"/>
    <w:rsid w:val="00AB266D"/>
    <w:rsid w:val="00AB2A8D"/>
    <w:rsid w:val="00AB4328"/>
    <w:rsid w:val="00AB4A1E"/>
    <w:rsid w:val="00AB4F62"/>
    <w:rsid w:val="00AB57EC"/>
    <w:rsid w:val="00AB5FA0"/>
    <w:rsid w:val="00AC06CA"/>
    <w:rsid w:val="00AC3624"/>
    <w:rsid w:val="00AC6D67"/>
    <w:rsid w:val="00AC6E90"/>
    <w:rsid w:val="00AC7B71"/>
    <w:rsid w:val="00AD14B7"/>
    <w:rsid w:val="00AD2514"/>
    <w:rsid w:val="00AD2791"/>
    <w:rsid w:val="00AD337A"/>
    <w:rsid w:val="00AD381B"/>
    <w:rsid w:val="00AD41BF"/>
    <w:rsid w:val="00AD4C78"/>
    <w:rsid w:val="00AD4F5E"/>
    <w:rsid w:val="00AE0A2E"/>
    <w:rsid w:val="00AE0F8C"/>
    <w:rsid w:val="00AE286B"/>
    <w:rsid w:val="00AE33C5"/>
    <w:rsid w:val="00AE354C"/>
    <w:rsid w:val="00AE4050"/>
    <w:rsid w:val="00AE443B"/>
    <w:rsid w:val="00AE4541"/>
    <w:rsid w:val="00AE45FB"/>
    <w:rsid w:val="00AE651A"/>
    <w:rsid w:val="00AE7EE2"/>
    <w:rsid w:val="00AF0D6F"/>
    <w:rsid w:val="00AF47C0"/>
    <w:rsid w:val="00AF4B07"/>
    <w:rsid w:val="00AF5A6A"/>
    <w:rsid w:val="00AF6186"/>
    <w:rsid w:val="00AF7513"/>
    <w:rsid w:val="00AF797F"/>
    <w:rsid w:val="00AF7A3A"/>
    <w:rsid w:val="00B000AE"/>
    <w:rsid w:val="00B00948"/>
    <w:rsid w:val="00B02727"/>
    <w:rsid w:val="00B03EE6"/>
    <w:rsid w:val="00B04518"/>
    <w:rsid w:val="00B05B91"/>
    <w:rsid w:val="00B05E03"/>
    <w:rsid w:val="00B07AF9"/>
    <w:rsid w:val="00B12A7A"/>
    <w:rsid w:val="00B14242"/>
    <w:rsid w:val="00B15793"/>
    <w:rsid w:val="00B160DB"/>
    <w:rsid w:val="00B17AFD"/>
    <w:rsid w:val="00B20743"/>
    <w:rsid w:val="00B20836"/>
    <w:rsid w:val="00B22832"/>
    <w:rsid w:val="00B22DF5"/>
    <w:rsid w:val="00B235BB"/>
    <w:rsid w:val="00B26CD0"/>
    <w:rsid w:val="00B27A44"/>
    <w:rsid w:val="00B30BBF"/>
    <w:rsid w:val="00B31859"/>
    <w:rsid w:val="00B32AD5"/>
    <w:rsid w:val="00B339CA"/>
    <w:rsid w:val="00B33C03"/>
    <w:rsid w:val="00B423F3"/>
    <w:rsid w:val="00B428B9"/>
    <w:rsid w:val="00B43277"/>
    <w:rsid w:val="00B43302"/>
    <w:rsid w:val="00B44E56"/>
    <w:rsid w:val="00B45136"/>
    <w:rsid w:val="00B46543"/>
    <w:rsid w:val="00B47C1C"/>
    <w:rsid w:val="00B47D33"/>
    <w:rsid w:val="00B47FC3"/>
    <w:rsid w:val="00B5132C"/>
    <w:rsid w:val="00B52BE0"/>
    <w:rsid w:val="00B54133"/>
    <w:rsid w:val="00B56194"/>
    <w:rsid w:val="00B62381"/>
    <w:rsid w:val="00B628D9"/>
    <w:rsid w:val="00B637B9"/>
    <w:rsid w:val="00B6549C"/>
    <w:rsid w:val="00B654B9"/>
    <w:rsid w:val="00B701ED"/>
    <w:rsid w:val="00B70ABF"/>
    <w:rsid w:val="00B71088"/>
    <w:rsid w:val="00B74D77"/>
    <w:rsid w:val="00B76CB6"/>
    <w:rsid w:val="00B7760F"/>
    <w:rsid w:val="00B77772"/>
    <w:rsid w:val="00B77A1B"/>
    <w:rsid w:val="00B77B1C"/>
    <w:rsid w:val="00B8006C"/>
    <w:rsid w:val="00B8086C"/>
    <w:rsid w:val="00B80FAF"/>
    <w:rsid w:val="00B81A35"/>
    <w:rsid w:val="00B82748"/>
    <w:rsid w:val="00B83357"/>
    <w:rsid w:val="00B85BEB"/>
    <w:rsid w:val="00B861B4"/>
    <w:rsid w:val="00B86DFE"/>
    <w:rsid w:val="00B87F28"/>
    <w:rsid w:val="00B90990"/>
    <w:rsid w:val="00B90AAD"/>
    <w:rsid w:val="00B922FF"/>
    <w:rsid w:val="00B9281E"/>
    <w:rsid w:val="00B93341"/>
    <w:rsid w:val="00B93925"/>
    <w:rsid w:val="00B95187"/>
    <w:rsid w:val="00B95E1A"/>
    <w:rsid w:val="00B96A80"/>
    <w:rsid w:val="00BA2066"/>
    <w:rsid w:val="00BA2D55"/>
    <w:rsid w:val="00BA3FC5"/>
    <w:rsid w:val="00BA47C2"/>
    <w:rsid w:val="00BA486E"/>
    <w:rsid w:val="00BA5412"/>
    <w:rsid w:val="00BA71B1"/>
    <w:rsid w:val="00BA7EDD"/>
    <w:rsid w:val="00BB0637"/>
    <w:rsid w:val="00BB1778"/>
    <w:rsid w:val="00BB2B31"/>
    <w:rsid w:val="00BB345F"/>
    <w:rsid w:val="00BB3F07"/>
    <w:rsid w:val="00BB5883"/>
    <w:rsid w:val="00BB68EA"/>
    <w:rsid w:val="00BC11D9"/>
    <w:rsid w:val="00BC1C27"/>
    <w:rsid w:val="00BC2727"/>
    <w:rsid w:val="00BC2A59"/>
    <w:rsid w:val="00BC2D12"/>
    <w:rsid w:val="00BC43D5"/>
    <w:rsid w:val="00BC54E1"/>
    <w:rsid w:val="00BC6BBF"/>
    <w:rsid w:val="00BC7505"/>
    <w:rsid w:val="00BD1572"/>
    <w:rsid w:val="00BD3D40"/>
    <w:rsid w:val="00BD3E00"/>
    <w:rsid w:val="00BD57E8"/>
    <w:rsid w:val="00BD5899"/>
    <w:rsid w:val="00BD7A08"/>
    <w:rsid w:val="00BE07C1"/>
    <w:rsid w:val="00BE14E3"/>
    <w:rsid w:val="00BE3774"/>
    <w:rsid w:val="00BE3839"/>
    <w:rsid w:val="00BE3AAC"/>
    <w:rsid w:val="00BE41E5"/>
    <w:rsid w:val="00BE7469"/>
    <w:rsid w:val="00BE7C11"/>
    <w:rsid w:val="00BE7E70"/>
    <w:rsid w:val="00BF0BBB"/>
    <w:rsid w:val="00BF0CF1"/>
    <w:rsid w:val="00BF0D74"/>
    <w:rsid w:val="00BF203B"/>
    <w:rsid w:val="00BF4109"/>
    <w:rsid w:val="00BF4C9A"/>
    <w:rsid w:val="00BF4CC3"/>
    <w:rsid w:val="00BF6273"/>
    <w:rsid w:val="00BF75DE"/>
    <w:rsid w:val="00BF7749"/>
    <w:rsid w:val="00BF78AE"/>
    <w:rsid w:val="00BF7B81"/>
    <w:rsid w:val="00BF7EB1"/>
    <w:rsid w:val="00C03A6E"/>
    <w:rsid w:val="00C03A89"/>
    <w:rsid w:val="00C054C7"/>
    <w:rsid w:val="00C057B5"/>
    <w:rsid w:val="00C11003"/>
    <w:rsid w:val="00C1489E"/>
    <w:rsid w:val="00C14A31"/>
    <w:rsid w:val="00C150BC"/>
    <w:rsid w:val="00C16E8B"/>
    <w:rsid w:val="00C171F7"/>
    <w:rsid w:val="00C174A9"/>
    <w:rsid w:val="00C218D8"/>
    <w:rsid w:val="00C22141"/>
    <w:rsid w:val="00C22687"/>
    <w:rsid w:val="00C22A32"/>
    <w:rsid w:val="00C2386A"/>
    <w:rsid w:val="00C24621"/>
    <w:rsid w:val="00C27984"/>
    <w:rsid w:val="00C3248F"/>
    <w:rsid w:val="00C32E4D"/>
    <w:rsid w:val="00C333A0"/>
    <w:rsid w:val="00C34F43"/>
    <w:rsid w:val="00C36A81"/>
    <w:rsid w:val="00C41974"/>
    <w:rsid w:val="00C42D1B"/>
    <w:rsid w:val="00C43FEE"/>
    <w:rsid w:val="00C447AD"/>
    <w:rsid w:val="00C4480E"/>
    <w:rsid w:val="00C451A4"/>
    <w:rsid w:val="00C46A5B"/>
    <w:rsid w:val="00C50595"/>
    <w:rsid w:val="00C51204"/>
    <w:rsid w:val="00C51454"/>
    <w:rsid w:val="00C5284D"/>
    <w:rsid w:val="00C531BC"/>
    <w:rsid w:val="00C53C41"/>
    <w:rsid w:val="00C53F4A"/>
    <w:rsid w:val="00C54125"/>
    <w:rsid w:val="00C54920"/>
    <w:rsid w:val="00C557D8"/>
    <w:rsid w:val="00C558C9"/>
    <w:rsid w:val="00C55B54"/>
    <w:rsid w:val="00C55B80"/>
    <w:rsid w:val="00C57E38"/>
    <w:rsid w:val="00C6098E"/>
    <w:rsid w:val="00C6152C"/>
    <w:rsid w:val="00C621C2"/>
    <w:rsid w:val="00C62484"/>
    <w:rsid w:val="00C62660"/>
    <w:rsid w:val="00C634ED"/>
    <w:rsid w:val="00C64301"/>
    <w:rsid w:val="00C64C8B"/>
    <w:rsid w:val="00C653D4"/>
    <w:rsid w:val="00C65705"/>
    <w:rsid w:val="00C66198"/>
    <w:rsid w:val="00C6666D"/>
    <w:rsid w:val="00C74810"/>
    <w:rsid w:val="00C76A65"/>
    <w:rsid w:val="00C80AF9"/>
    <w:rsid w:val="00C80C9A"/>
    <w:rsid w:val="00C8332A"/>
    <w:rsid w:val="00C84282"/>
    <w:rsid w:val="00C84A7F"/>
    <w:rsid w:val="00C85340"/>
    <w:rsid w:val="00C85481"/>
    <w:rsid w:val="00C85F5A"/>
    <w:rsid w:val="00C8621C"/>
    <w:rsid w:val="00C86BC0"/>
    <w:rsid w:val="00C90D68"/>
    <w:rsid w:val="00C92001"/>
    <w:rsid w:val="00C930F7"/>
    <w:rsid w:val="00C939FE"/>
    <w:rsid w:val="00C958A2"/>
    <w:rsid w:val="00C95AEC"/>
    <w:rsid w:val="00C963AB"/>
    <w:rsid w:val="00C97E48"/>
    <w:rsid w:val="00CA2FF9"/>
    <w:rsid w:val="00CA44E8"/>
    <w:rsid w:val="00CA4BDA"/>
    <w:rsid w:val="00CB1F66"/>
    <w:rsid w:val="00CB2951"/>
    <w:rsid w:val="00CC12DE"/>
    <w:rsid w:val="00CC1CC7"/>
    <w:rsid w:val="00CC1D51"/>
    <w:rsid w:val="00CC33B8"/>
    <w:rsid w:val="00CC3EB7"/>
    <w:rsid w:val="00CC7A40"/>
    <w:rsid w:val="00CD021A"/>
    <w:rsid w:val="00CD2507"/>
    <w:rsid w:val="00CD282B"/>
    <w:rsid w:val="00CD3B34"/>
    <w:rsid w:val="00CD4C35"/>
    <w:rsid w:val="00CD63B5"/>
    <w:rsid w:val="00CD7369"/>
    <w:rsid w:val="00CD78FD"/>
    <w:rsid w:val="00CE0B0E"/>
    <w:rsid w:val="00CE0C01"/>
    <w:rsid w:val="00CE0EA8"/>
    <w:rsid w:val="00CE2B18"/>
    <w:rsid w:val="00CE3831"/>
    <w:rsid w:val="00CE66DE"/>
    <w:rsid w:val="00CE705A"/>
    <w:rsid w:val="00CF42E3"/>
    <w:rsid w:val="00CF4C4F"/>
    <w:rsid w:val="00CF4CC3"/>
    <w:rsid w:val="00CF7B38"/>
    <w:rsid w:val="00D00ABB"/>
    <w:rsid w:val="00D00E59"/>
    <w:rsid w:val="00D02386"/>
    <w:rsid w:val="00D02B1A"/>
    <w:rsid w:val="00D02EEC"/>
    <w:rsid w:val="00D03551"/>
    <w:rsid w:val="00D0451C"/>
    <w:rsid w:val="00D06A63"/>
    <w:rsid w:val="00D07BC2"/>
    <w:rsid w:val="00D07E0E"/>
    <w:rsid w:val="00D11478"/>
    <w:rsid w:val="00D119D3"/>
    <w:rsid w:val="00D135C9"/>
    <w:rsid w:val="00D152E6"/>
    <w:rsid w:val="00D15A57"/>
    <w:rsid w:val="00D15CA7"/>
    <w:rsid w:val="00D15ED0"/>
    <w:rsid w:val="00D16C69"/>
    <w:rsid w:val="00D17A04"/>
    <w:rsid w:val="00D17AE3"/>
    <w:rsid w:val="00D17C63"/>
    <w:rsid w:val="00D21B3E"/>
    <w:rsid w:val="00D21FED"/>
    <w:rsid w:val="00D24251"/>
    <w:rsid w:val="00D341C7"/>
    <w:rsid w:val="00D343E2"/>
    <w:rsid w:val="00D34975"/>
    <w:rsid w:val="00D35D0E"/>
    <w:rsid w:val="00D35FF3"/>
    <w:rsid w:val="00D361A2"/>
    <w:rsid w:val="00D3647A"/>
    <w:rsid w:val="00D365DE"/>
    <w:rsid w:val="00D44C2E"/>
    <w:rsid w:val="00D45414"/>
    <w:rsid w:val="00D53C0F"/>
    <w:rsid w:val="00D55F3C"/>
    <w:rsid w:val="00D55F3E"/>
    <w:rsid w:val="00D566BD"/>
    <w:rsid w:val="00D56F6D"/>
    <w:rsid w:val="00D5707D"/>
    <w:rsid w:val="00D57A4D"/>
    <w:rsid w:val="00D6006E"/>
    <w:rsid w:val="00D6090A"/>
    <w:rsid w:val="00D6096E"/>
    <w:rsid w:val="00D60AA7"/>
    <w:rsid w:val="00D60D87"/>
    <w:rsid w:val="00D61B6D"/>
    <w:rsid w:val="00D621D4"/>
    <w:rsid w:val="00D634D8"/>
    <w:rsid w:val="00D63778"/>
    <w:rsid w:val="00D6435F"/>
    <w:rsid w:val="00D64CC6"/>
    <w:rsid w:val="00D655DF"/>
    <w:rsid w:val="00D67BAD"/>
    <w:rsid w:val="00D70CF1"/>
    <w:rsid w:val="00D70F2D"/>
    <w:rsid w:val="00D7329C"/>
    <w:rsid w:val="00D742C5"/>
    <w:rsid w:val="00D74FC4"/>
    <w:rsid w:val="00D75E28"/>
    <w:rsid w:val="00D7722B"/>
    <w:rsid w:val="00D772C2"/>
    <w:rsid w:val="00D8008E"/>
    <w:rsid w:val="00D822B1"/>
    <w:rsid w:val="00D82C45"/>
    <w:rsid w:val="00D84860"/>
    <w:rsid w:val="00D84D19"/>
    <w:rsid w:val="00D85F9B"/>
    <w:rsid w:val="00D86959"/>
    <w:rsid w:val="00D908A8"/>
    <w:rsid w:val="00D92074"/>
    <w:rsid w:val="00D920E1"/>
    <w:rsid w:val="00D9213A"/>
    <w:rsid w:val="00D93972"/>
    <w:rsid w:val="00D95172"/>
    <w:rsid w:val="00D9538F"/>
    <w:rsid w:val="00D9641C"/>
    <w:rsid w:val="00D977B6"/>
    <w:rsid w:val="00DA0897"/>
    <w:rsid w:val="00DA0CD0"/>
    <w:rsid w:val="00DA21DA"/>
    <w:rsid w:val="00DA2535"/>
    <w:rsid w:val="00DA26FC"/>
    <w:rsid w:val="00DA323B"/>
    <w:rsid w:val="00DA3EFE"/>
    <w:rsid w:val="00DA42B2"/>
    <w:rsid w:val="00DA4A31"/>
    <w:rsid w:val="00DA4E39"/>
    <w:rsid w:val="00DA7B04"/>
    <w:rsid w:val="00DB1B90"/>
    <w:rsid w:val="00DB2D41"/>
    <w:rsid w:val="00DB36C2"/>
    <w:rsid w:val="00DB4EDB"/>
    <w:rsid w:val="00DB6032"/>
    <w:rsid w:val="00DB7196"/>
    <w:rsid w:val="00DC006B"/>
    <w:rsid w:val="00DC030F"/>
    <w:rsid w:val="00DC09CA"/>
    <w:rsid w:val="00DC169B"/>
    <w:rsid w:val="00DC2AB9"/>
    <w:rsid w:val="00DC2C02"/>
    <w:rsid w:val="00DC2C1E"/>
    <w:rsid w:val="00DC63F0"/>
    <w:rsid w:val="00DC728A"/>
    <w:rsid w:val="00DC731D"/>
    <w:rsid w:val="00DD00ED"/>
    <w:rsid w:val="00DD2058"/>
    <w:rsid w:val="00DD2435"/>
    <w:rsid w:val="00DD285D"/>
    <w:rsid w:val="00DD2D0C"/>
    <w:rsid w:val="00DD2D73"/>
    <w:rsid w:val="00DD32C4"/>
    <w:rsid w:val="00DD3518"/>
    <w:rsid w:val="00DD640D"/>
    <w:rsid w:val="00DD6EE5"/>
    <w:rsid w:val="00DD73F7"/>
    <w:rsid w:val="00DD765E"/>
    <w:rsid w:val="00DE0D74"/>
    <w:rsid w:val="00DE2BA7"/>
    <w:rsid w:val="00DE3460"/>
    <w:rsid w:val="00DE386C"/>
    <w:rsid w:val="00DE4270"/>
    <w:rsid w:val="00DE4D35"/>
    <w:rsid w:val="00DE6777"/>
    <w:rsid w:val="00DF0549"/>
    <w:rsid w:val="00DF098B"/>
    <w:rsid w:val="00DF0BB8"/>
    <w:rsid w:val="00DF0C9E"/>
    <w:rsid w:val="00DF11B3"/>
    <w:rsid w:val="00DF11C4"/>
    <w:rsid w:val="00DF1BDA"/>
    <w:rsid w:val="00DF1CEA"/>
    <w:rsid w:val="00DF1D48"/>
    <w:rsid w:val="00DF210C"/>
    <w:rsid w:val="00DF4B6A"/>
    <w:rsid w:val="00DF77EA"/>
    <w:rsid w:val="00E01456"/>
    <w:rsid w:val="00E02789"/>
    <w:rsid w:val="00E02C09"/>
    <w:rsid w:val="00E04D59"/>
    <w:rsid w:val="00E06AA1"/>
    <w:rsid w:val="00E07DA1"/>
    <w:rsid w:val="00E10A0C"/>
    <w:rsid w:val="00E11351"/>
    <w:rsid w:val="00E123CB"/>
    <w:rsid w:val="00E13158"/>
    <w:rsid w:val="00E14DB0"/>
    <w:rsid w:val="00E1557C"/>
    <w:rsid w:val="00E20E13"/>
    <w:rsid w:val="00E21DBC"/>
    <w:rsid w:val="00E21E3F"/>
    <w:rsid w:val="00E22502"/>
    <w:rsid w:val="00E24E41"/>
    <w:rsid w:val="00E26597"/>
    <w:rsid w:val="00E275D7"/>
    <w:rsid w:val="00E27DBE"/>
    <w:rsid w:val="00E30484"/>
    <w:rsid w:val="00E31421"/>
    <w:rsid w:val="00E31F04"/>
    <w:rsid w:val="00E3245A"/>
    <w:rsid w:val="00E32AB1"/>
    <w:rsid w:val="00E342D6"/>
    <w:rsid w:val="00E34754"/>
    <w:rsid w:val="00E351B2"/>
    <w:rsid w:val="00E35315"/>
    <w:rsid w:val="00E36C71"/>
    <w:rsid w:val="00E40055"/>
    <w:rsid w:val="00E40404"/>
    <w:rsid w:val="00E40F0E"/>
    <w:rsid w:val="00E459C6"/>
    <w:rsid w:val="00E47589"/>
    <w:rsid w:val="00E51BB1"/>
    <w:rsid w:val="00E52046"/>
    <w:rsid w:val="00E52411"/>
    <w:rsid w:val="00E535F0"/>
    <w:rsid w:val="00E54DDB"/>
    <w:rsid w:val="00E568AE"/>
    <w:rsid w:val="00E57030"/>
    <w:rsid w:val="00E571D4"/>
    <w:rsid w:val="00E602F3"/>
    <w:rsid w:val="00E61227"/>
    <w:rsid w:val="00E62B79"/>
    <w:rsid w:val="00E63B1D"/>
    <w:rsid w:val="00E63C77"/>
    <w:rsid w:val="00E64915"/>
    <w:rsid w:val="00E65F92"/>
    <w:rsid w:val="00E661D4"/>
    <w:rsid w:val="00E70091"/>
    <w:rsid w:val="00E701D1"/>
    <w:rsid w:val="00E7076F"/>
    <w:rsid w:val="00E71EBD"/>
    <w:rsid w:val="00E720F5"/>
    <w:rsid w:val="00E72C62"/>
    <w:rsid w:val="00E72CC4"/>
    <w:rsid w:val="00E736C8"/>
    <w:rsid w:val="00E75C58"/>
    <w:rsid w:val="00E75E6B"/>
    <w:rsid w:val="00E764A6"/>
    <w:rsid w:val="00E76B41"/>
    <w:rsid w:val="00E76D47"/>
    <w:rsid w:val="00E776A9"/>
    <w:rsid w:val="00E829FC"/>
    <w:rsid w:val="00E8343E"/>
    <w:rsid w:val="00E835AD"/>
    <w:rsid w:val="00E8414F"/>
    <w:rsid w:val="00E849F7"/>
    <w:rsid w:val="00E853AA"/>
    <w:rsid w:val="00E90302"/>
    <w:rsid w:val="00E928E3"/>
    <w:rsid w:val="00E93611"/>
    <w:rsid w:val="00E94744"/>
    <w:rsid w:val="00E958C0"/>
    <w:rsid w:val="00E9597F"/>
    <w:rsid w:val="00E96D78"/>
    <w:rsid w:val="00E97396"/>
    <w:rsid w:val="00EA185E"/>
    <w:rsid w:val="00EA2407"/>
    <w:rsid w:val="00EA2535"/>
    <w:rsid w:val="00EA30B4"/>
    <w:rsid w:val="00EA44F8"/>
    <w:rsid w:val="00EA592A"/>
    <w:rsid w:val="00EA61C9"/>
    <w:rsid w:val="00EB03B9"/>
    <w:rsid w:val="00EB11C0"/>
    <w:rsid w:val="00EB14E4"/>
    <w:rsid w:val="00EB2676"/>
    <w:rsid w:val="00EB2715"/>
    <w:rsid w:val="00EB32A5"/>
    <w:rsid w:val="00EB34ED"/>
    <w:rsid w:val="00EB6F7F"/>
    <w:rsid w:val="00EB7BE0"/>
    <w:rsid w:val="00EC0CC2"/>
    <w:rsid w:val="00EC2472"/>
    <w:rsid w:val="00EC315E"/>
    <w:rsid w:val="00EC4B92"/>
    <w:rsid w:val="00EC6ACD"/>
    <w:rsid w:val="00ED077C"/>
    <w:rsid w:val="00ED1190"/>
    <w:rsid w:val="00ED2BB7"/>
    <w:rsid w:val="00ED3337"/>
    <w:rsid w:val="00ED397F"/>
    <w:rsid w:val="00ED51A9"/>
    <w:rsid w:val="00ED5D4E"/>
    <w:rsid w:val="00ED6544"/>
    <w:rsid w:val="00ED7E1F"/>
    <w:rsid w:val="00EE0277"/>
    <w:rsid w:val="00EE189B"/>
    <w:rsid w:val="00EE1DA9"/>
    <w:rsid w:val="00EE3E00"/>
    <w:rsid w:val="00EE55FA"/>
    <w:rsid w:val="00EE5DD2"/>
    <w:rsid w:val="00EF1E5D"/>
    <w:rsid w:val="00EF364D"/>
    <w:rsid w:val="00EF41EE"/>
    <w:rsid w:val="00EF41F1"/>
    <w:rsid w:val="00EF4F08"/>
    <w:rsid w:val="00EF6C88"/>
    <w:rsid w:val="00EF7963"/>
    <w:rsid w:val="00F00A79"/>
    <w:rsid w:val="00F00E86"/>
    <w:rsid w:val="00F00F8B"/>
    <w:rsid w:val="00F016B5"/>
    <w:rsid w:val="00F02DAB"/>
    <w:rsid w:val="00F03DE1"/>
    <w:rsid w:val="00F052FD"/>
    <w:rsid w:val="00F0658C"/>
    <w:rsid w:val="00F06914"/>
    <w:rsid w:val="00F07C1E"/>
    <w:rsid w:val="00F105DB"/>
    <w:rsid w:val="00F1248E"/>
    <w:rsid w:val="00F132BC"/>
    <w:rsid w:val="00F13D80"/>
    <w:rsid w:val="00F14D19"/>
    <w:rsid w:val="00F16AAA"/>
    <w:rsid w:val="00F17638"/>
    <w:rsid w:val="00F178DA"/>
    <w:rsid w:val="00F203DE"/>
    <w:rsid w:val="00F21161"/>
    <w:rsid w:val="00F218EF"/>
    <w:rsid w:val="00F21BC7"/>
    <w:rsid w:val="00F24A83"/>
    <w:rsid w:val="00F2507E"/>
    <w:rsid w:val="00F265A2"/>
    <w:rsid w:val="00F266A2"/>
    <w:rsid w:val="00F31430"/>
    <w:rsid w:val="00F32269"/>
    <w:rsid w:val="00F3452A"/>
    <w:rsid w:val="00F34AA1"/>
    <w:rsid w:val="00F35300"/>
    <w:rsid w:val="00F37BA3"/>
    <w:rsid w:val="00F42140"/>
    <w:rsid w:val="00F4457E"/>
    <w:rsid w:val="00F45DAE"/>
    <w:rsid w:val="00F45ECF"/>
    <w:rsid w:val="00F50CD2"/>
    <w:rsid w:val="00F529C7"/>
    <w:rsid w:val="00F5594C"/>
    <w:rsid w:val="00F564AC"/>
    <w:rsid w:val="00F56A6F"/>
    <w:rsid w:val="00F5709C"/>
    <w:rsid w:val="00F61C00"/>
    <w:rsid w:val="00F6297F"/>
    <w:rsid w:val="00F64EF1"/>
    <w:rsid w:val="00F659FF"/>
    <w:rsid w:val="00F67AB2"/>
    <w:rsid w:val="00F71540"/>
    <w:rsid w:val="00F74130"/>
    <w:rsid w:val="00F74EA9"/>
    <w:rsid w:val="00F80CDB"/>
    <w:rsid w:val="00F82593"/>
    <w:rsid w:val="00F83A2A"/>
    <w:rsid w:val="00F8700E"/>
    <w:rsid w:val="00F8765F"/>
    <w:rsid w:val="00F90767"/>
    <w:rsid w:val="00F90FFA"/>
    <w:rsid w:val="00F93ADF"/>
    <w:rsid w:val="00F94754"/>
    <w:rsid w:val="00F9653E"/>
    <w:rsid w:val="00F972EC"/>
    <w:rsid w:val="00FA1161"/>
    <w:rsid w:val="00FA18F9"/>
    <w:rsid w:val="00FA1EFF"/>
    <w:rsid w:val="00FA481C"/>
    <w:rsid w:val="00FA48F6"/>
    <w:rsid w:val="00FA4AB5"/>
    <w:rsid w:val="00FA4E83"/>
    <w:rsid w:val="00FA5677"/>
    <w:rsid w:val="00FA685B"/>
    <w:rsid w:val="00FA70A5"/>
    <w:rsid w:val="00FB0C01"/>
    <w:rsid w:val="00FB15AB"/>
    <w:rsid w:val="00FB307D"/>
    <w:rsid w:val="00FB446C"/>
    <w:rsid w:val="00FB4958"/>
    <w:rsid w:val="00FB4ACF"/>
    <w:rsid w:val="00FB4BA8"/>
    <w:rsid w:val="00FB7076"/>
    <w:rsid w:val="00FB72DC"/>
    <w:rsid w:val="00FC18F2"/>
    <w:rsid w:val="00FC2868"/>
    <w:rsid w:val="00FC31B5"/>
    <w:rsid w:val="00FC39E5"/>
    <w:rsid w:val="00FC3A78"/>
    <w:rsid w:val="00FC4666"/>
    <w:rsid w:val="00FC51B1"/>
    <w:rsid w:val="00FC535E"/>
    <w:rsid w:val="00FC55CE"/>
    <w:rsid w:val="00FC5E46"/>
    <w:rsid w:val="00FC5FFE"/>
    <w:rsid w:val="00FD1005"/>
    <w:rsid w:val="00FD101E"/>
    <w:rsid w:val="00FD1F61"/>
    <w:rsid w:val="00FD3180"/>
    <w:rsid w:val="00FD42AB"/>
    <w:rsid w:val="00FD42CD"/>
    <w:rsid w:val="00FD4607"/>
    <w:rsid w:val="00FD4D23"/>
    <w:rsid w:val="00FD5F8F"/>
    <w:rsid w:val="00FD64C0"/>
    <w:rsid w:val="00FD6C75"/>
    <w:rsid w:val="00FE233C"/>
    <w:rsid w:val="00FE275C"/>
    <w:rsid w:val="00FE2EB5"/>
    <w:rsid w:val="00FE3C37"/>
    <w:rsid w:val="00FE61C1"/>
    <w:rsid w:val="00FE71B3"/>
    <w:rsid w:val="00FF1891"/>
    <w:rsid w:val="00FF1A09"/>
    <w:rsid w:val="00FF2079"/>
    <w:rsid w:val="00FF284F"/>
    <w:rsid w:val="00FF3ECF"/>
    <w:rsid w:val="00FF42C5"/>
    <w:rsid w:val="00FF4713"/>
    <w:rsid w:val="00FF5125"/>
    <w:rsid w:val="00FF7E6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4F4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5401E"/>
    <w:pPr>
      <w:jc w:val="both"/>
    </w:pPr>
    <w:rPr>
      <w:rFonts w:eastAsiaTheme="minorEastAsia"/>
      <w:sz w:val="24"/>
    </w:rPr>
  </w:style>
  <w:style w:type="paragraph" w:styleId="Nagwek1">
    <w:name w:val="heading 1"/>
    <w:basedOn w:val="Normalny"/>
    <w:next w:val="Normalny"/>
    <w:link w:val="Nagwek1Znak"/>
    <w:uiPriority w:val="99"/>
    <w:semiHidden/>
    <w:rsid w:val="0005401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5401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5401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5401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5401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5401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5401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05401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05401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5401E"/>
    <w:rPr>
      <w:rFonts w:ascii="Tahoma" w:hAnsi="Tahoma" w:cs="Tahoma"/>
      <w:sz w:val="16"/>
      <w:szCs w:val="16"/>
    </w:rPr>
  </w:style>
  <w:style w:type="character" w:customStyle="1" w:styleId="TekstdymkaZnak">
    <w:name w:val="Tekst dymka Znak"/>
    <w:basedOn w:val="Domylnaczcionkaakapitu"/>
    <w:link w:val="Tekstdymka"/>
    <w:uiPriority w:val="99"/>
    <w:semiHidden/>
    <w:rsid w:val="0005401E"/>
    <w:rPr>
      <w:rFonts w:ascii="Tahoma" w:eastAsiaTheme="minorEastAsia" w:hAnsi="Tahoma" w:cs="Tahoma"/>
      <w:sz w:val="16"/>
      <w:szCs w:val="16"/>
      <w:lang w:val="pl-PL"/>
    </w:rPr>
  </w:style>
  <w:style w:type="character" w:styleId="Tytuksiki">
    <w:name w:val="Book Title"/>
    <w:uiPriority w:val="99"/>
    <w:semiHidden/>
    <w:qFormat/>
    <w:rsid w:val="0005401E"/>
    <w:rPr>
      <w:i/>
      <w:iCs/>
      <w:smallCaps/>
      <w:spacing w:val="5"/>
    </w:rPr>
  </w:style>
  <w:style w:type="paragraph" w:customStyle="1" w:styleId="ECHRHeader">
    <w:name w:val="ECHR_Header"/>
    <w:aliases w:val="Ju_Header"/>
    <w:basedOn w:val="Nagwek"/>
    <w:uiPriority w:val="4"/>
    <w:qFormat/>
    <w:rsid w:val="0005401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5401E"/>
    <w:pPr>
      <w:jc w:val="left"/>
    </w:pPr>
    <w:rPr>
      <w:sz w:val="8"/>
    </w:rPr>
  </w:style>
  <w:style w:type="character" w:styleId="Pogrubienie">
    <w:name w:val="Strong"/>
    <w:uiPriority w:val="99"/>
    <w:semiHidden/>
    <w:qFormat/>
    <w:rsid w:val="0005401E"/>
    <w:rPr>
      <w:b/>
      <w:bCs/>
    </w:rPr>
  </w:style>
  <w:style w:type="paragraph" w:styleId="Bezodstpw">
    <w:name w:val="No Spacing"/>
    <w:basedOn w:val="Normalny"/>
    <w:link w:val="BezodstpwZnak"/>
    <w:semiHidden/>
    <w:qFormat/>
    <w:rsid w:val="0005401E"/>
    <w:rPr>
      <w:sz w:val="22"/>
    </w:rPr>
  </w:style>
  <w:style w:type="character" w:customStyle="1" w:styleId="BezodstpwZnak">
    <w:name w:val="Bez odstępów Znak"/>
    <w:basedOn w:val="Domylnaczcionkaakapitu"/>
    <w:link w:val="Bezodstpw"/>
    <w:semiHidden/>
    <w:rsid w:val="0005401E"/>
    <w:rPr>
      <w:rFonts w:eastAsiaTheme="minorEastAsia"/>
    </w:rPr>
  </w:style>
  <w:style w:type="paragraph" w:customStyle="1" w:styleId="ECHRFooterLine">
    <w:name w:val="ECHR_Footer_Line"/>
    <w:aliases w:val="Footer_Line"/>
    <w:basedOn w:val="Normalny"/>
    <w:next w:val="ECHRFooter"/>
    <w:uiPriority w:val="57"/>
    <w:semiHidden/>
    <w:rsid w:val="0005401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5401E"/>
  </w:style>
  <w:style w:type="paragraph" w:customStyle="1" w:styleId="DecList">
    <w:name w:val="Dec_List"/>
    <w:basedOn w:val="Normalny"/>
    <w:uiPriority w:val="9"/>
    <w:semiHidden/>
    <w:qFormat/>
    <w:rsid w:val="0005401E"/>
    <w:pPr>
      <w:spacing w:before="240"/>
      <w:ind w:left="284"/>
    </w:pPr>
  </w:style>
  <w:style w:type="paragraph" w:customStyle="1" w:styleId="DummyStyle">
    <w:name w:val="Dummy_Style"/>
    <w:basedOn w:val="Normalny"/>
    <w:semiHidden/>
    <w:qFormat/>
    <w:rsid w:val="0005401E"/>
    <w:rPr>
      <w:color w:val="00B050"/>
    </w:rPr>
  </w:style>
  <w:style w:type="paragraph" w:customStyle="1" w:styleId="ECHRTitleCentre3">
    <w:name w:val="ECHR_Title_Centre_3"/>
    <w:aliases w:val="Ju_H_Article"/>
    <w:basedOn w:val="Normalny"/>
    <w:next w:val="ECHRParaQuote"/>
    <w:uiPriority w:val="27"/>
    <w:qFormat/>
    <w:rsid w:val="000540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5401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5401E"/>
    <w:pPr>
      <w:numPr>
        <w:numId w:val="38"/>
      </w:numPr>
      <w:jc w:val="left"/>
    </w:pPr>
    <w:rPr>
      <w:b/>
    </w:rPr>
  </w:style>
  <w:style w:type="paragraph" w:customStyle="1" w:styleId="JuCourt">
    <w:name w:val="Ju_Court"/>
    <w:basedOn w:val="Normalny"/>
    <w:next w:val="Normalny"/>
    <w:uiPriority w:val="16"/>
    <w:qFormat/>
    <w:rsid w:val="0005401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5401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5401E"/>
    <w:pPr>
      <w:spacing w:after="240"/>
      <w:jc w:val="center"/>
      <w:outlineLvl w:val="0"/>
    </w:pPr>
    <w:rPr>
      <w:rFonts w:asciiTheme="majorHAnsi" w:hAnsiTheme="majorHAnsi"/>
    </w:rPr>
  </w:style>
  <w:style w:type="paragraph" w:customStyle="1" w:styleId="JuInitialled">
    <w:name w:val="Ju_Initialled"/>
    <w:basedOn w:val="Normalny"/>
    <w:uiPriority w:val="31"/>
    <w:qFormat/>
    <w:rsid w:val="0005401E"/>
    <w:pPr>
      <w:tabs>
        <w:tab w:val="center" w:pos="6407"/>
      </w:tabs>
      <w:spacing w:before="720"/>
      <w:jc w:val="right"/>
    </w:pPr>
  </w:style>
  <w:style w:type="paragraph" w:styleId="Tytu">
    <w:name w:val="Title"/>
    <w:basedOn w:val="Normalny"/>
    <w:next w:val="Normalny"/>
    <w:link w:val="TytuZnak"/>
    <w:uiPriority w:val="99"/>
    <w:semiHidden/>
    <w:qFormat/>
    <w:rsid w:val="0005401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0540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540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540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5401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05401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5401E"/>
    <w:pPr>
      <w:keepNext/>
      <w:keepLines/>
      <w:spacing w:before="240" w:after="120"/>
      <w:ind w:left="1236"/>
    </w:pPr>
    <w:rPr>
      <w:sz w:val="20"/>
    </w:rPr>
  </w:style>
  <w:style w:type="character" w:customStyle="1" w:styleId="JUNAMES">
    <w:name w:val="JU_NAMES"/>
    <w:uiPriority w:val="17"/>
    <w:qFormat/>
    <w:rsid w:val="0005401E"/>
    <w:rPr>
      <w:caps w:val="0"/>
      <w:smallCaps/>
    </w:rPr>
  </w:style>
  <w:style w:type="paragraph" w:customStyle="1" w:styleId="JuParaSub">
    <w:name w:val="Ju_Para_Sub"/>
    <w:basedOn w:val="ECHRPara"/>
    <w:uiPriority w:val="13"/>
    <w:qFormat/>
    <w:rsid w:val="0005401E"/>
    <w:pPr>
      <w:ind w:left="284"/>
    </w:pPr>
  </w:style>
  <w:style w:type="paragraph" w:customStyle="1" w:styleId="JuQuotSub">
    <w:name w:val="Ju_Quot_Sub"/>
    <w:basedOn w:val="ECHRParaQuote"/>
    <w:uiPriority w:val="15"/>
    <w:qFormat/>
    <w:rsid w:val="0005401E"/>
    <w:pPr>
      <w:ind w:left="567"/>
    </w:pPr>
  </w:style>
  <w:style w:type="paragraph" w:styleId="Nagwek">
    <w:name w:val="header"/>
    <w:basedOn w:val="Normalny"/>
    <w:link w:val="NagwekZnak"/>
    <w:uiPriority w:val="57"/>
    <w:semiHidden/>
    <w:rsid w:val="0005401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5401E"/>
    <w:rPr>
      <w:sz w:val="24"/>
      <w:lang w:val="pl-PL"/>
    </w:rPr>
  </w:style>
  <w:style w:type="character" w:customStyle="1" w:styleId="Nagwek1Znak">
    <w:name w:val="Nagłówek 1 Znak"/>
    <w:basedOn w:val="Domylnaczcionkaakapitu"/>
    <w:link w:val="Nagwek1"/>
    <w:uiPriority w:val="99"/>
    <w:semiHidden/>
    <w:rsid w:val="0005401E"/>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0540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5401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5401E"/>
    <w:rPr>
      <w:rFonts w:asciiTheme="majorHAnsi" w:eastAsiaTheme="majorEastAsia" w:hAnsiTheme="majorHAnsi" w:cstheme="majorBidi"/>
      <w:b/>
      <w:bCs/>
      <w:color w:val="4D4D4D"/>
      <w:sz w:val="26"/>
      <w:szCs w:val="26"/>
      <w:lang w:val="pl-PL"/>
    </w:rPr>
  </w:style>
  <w:style w:type="paragraph" w:customStyle="1" w:styleId="JuTitle">
    <w:name w:val="Ju_Title"/>
    <w:basedOn w:val="Normalny"/>
    <w:next w:val="ECHRPara"/>
    <w:uiPriority w:val="3"/>
    <w:semiHidden/>
    <w:qFormat/>
    <w:rsid w:val="0005401E"/>
    <w:pPr>
      <w:spacing w:before="720" w:after="240"/>
      <w:jc w:val="center"/>
      <w:outlineLvl w:val="0"/>
    </w:pPr>
    <w:rPr>
      <w:rFonts w:asciiTheme="majorHAnsi" w:hAnsiTheme="majorHAnsi"/>
      <w:b/>
      <w:caps/>
    </w:rPr>
  </w:style>
  <w:style w:type="paragraph" w:customStyle="1" w:styleId="JuCase">
    <w:name w:val="Ju_Case"/>
    <w:basedOn w:val="Normalny"/>
    <w:next w:val="ECHRPara"/>
    <w:uiPriority w:val="10"/>
    <w:rsid w:val="0005401E"/>
    <w:pPr>
      <w:ind w:firstLine="284"/>
    </w:pPr>
    <w:rPr>
      <w:b/>
    </w:rPr>
  </w:style>
  <w:style w:type="character" w:customStyle="1" w:styleId="Nagwek3Znak">
    <w:name w:val="Nagłówek 3 Znak"/>
    <w:basedOn w:val="Domylnaczcionkaakapitu"/>
    <w:link w:val="Nagwek3"/>
    <w:uiPriority w:val="99"/>
    <w:semiHidden/>
    <w:rsid w:val="0005401E"/>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05401E"/>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05401E"/>
    <w:rPr>
      <w:rFonts w:asciiTheme="majorHAnsi" w:eastAsiaTheme="majorEastAsia" w:hAnsiTheme="majorHAnsi" w:cstheme="majorBidi"/>
      <w:b/>
      <w:bCs/>
      <w:color w:val="808080"/>
    </w:rPr>
  </w:style>
  <w:style w:type="character" w:styleId="Wyrnieniedelikatne">
    <w:name w:val="Subtle Emphasis"/>
    <w:uiPriority w:val="99"/>
    <w:semiHidden/>
    <w:qFormat/>
    <w:rsid w:val="0005401E"/>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5401E"/>
    <w:pPr>
      <w:keepNext/>
      <w:keepLines/>
      <w:spacing w:before="720" w:after="240"/>
      <w:outlineLvl w:val="0"/>
    </w:pPr>
    <w:rPr>
      <w:rFonts w:asciiTheme="majorHAnsi" w:hAnsiTheme="majorHAnsi"/>
      <w:sz w:val="28"/>
    </w:rPr>
  </w:style>
  <w:style w:type="character" w:styleId="Uwydatnienie">
    <w:name w:val="Emphasis"/>
    <w:uiPriority w:val="99"/>
    <w:semiHidden/>
    <w:qFormat/>
    <w:rsid w:val="0005401E"/>
    <w:rPr>
      <w:b/>
      <w:bCs/>
      <w:i/>
      <w:iCs/>
      <w:spacing w:val="10"/>
      <w:bdr w:val="none" w:sz="0" w:space="0" w:color="auto"/>
      <w:shd w:val="clear" w:color="auto" w:fill="auto"/>
    </w:rPr>
  </w:style>
  <w:style w:type="paragraph" w:styleId="Stopka">
    <w:name w:val="footer"/>
    <w:basedOn w:val="Normalny"/>
    <w:link w:val="StopkaZnak"/>
    <w:uiPriority w:val="57"/>
    <w:semiHidden/>
    <w:rsid w:val="0005401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5401E"/>
    <w:rPr>
      <w:sz w:val="24"/>
      <w:lang w:val="pl-PL"/>
    </w:rPr>
  </w:style>
  <w:style w:type="character" w:styleId="Odwoanieprzypisudolnego">
    <w:name w:val="footnote reference"/>
    <w:basedOn w:val="Domylnaczcionkaakapitu"/>
    <w:uiPriority w:val="99"/>
    <w:semiHidden/>
    <w:rsid w:val="0005401E"/>
    <w:rPr>
      <w:vertAlign w:val="superscript"/>
    </w:rPr>
  </w:style>
  <w:style w:type="paragraph" w:styleId="Tekstprzypisudolnego">
    <w:name w:val="footnote text"/>
    <w:basedOn w:val="Normalny"/>
    <w:link w:val="TekstprzypisudolnegoZnak"/>
    <w:uiPriority w:val="99"/>
    <w:semiHidden/>
    <w:rsid w:val="0005401E"/>
    <w:rPr>
      <w:sz w:val="20"/>
      <w:szCs w:val="20"/>
    </w:rPr>
  </w:style>
  <w:style w:type="character" w:customStyle="1" w:styleId="TekstprzypisudolnegoZnak">
    <w:name w:val="Tekst przypisu dolnego Znak"/>
    <w:basedOn w:val="Domylnaczcionkaakapitu"/>
    <w:link w:val="Tekstprzypisudolnego"/>
    <w:uiPriority w:val="99"/>
    <w:semiHidden/>
    <w:rsid w:val="0005401E"/>
    <w:rPr>
      <w:rFonts w:eastAsiaTheme="minorEastAsia"/>
      <w:sz w:val="20"/>
      <w:szCs w:val="20"/>
      <w:lang w:val="pl-PL"/>
    </w:rPr>
  </w:style>
  <w:style w:type="character" w:customStyle="1" w:styleId="Nagwek6Znak">
    <w:name w:val="Nagłówek 6 Znak"/>
    <w:basedOn w:val="Domylnaczcionkaakapitu"/>
    <w:link w:val="Nagwek6"/>
    <w:uiPriority w:val="99"/>
    <w:semiHidden/>
    <w:rsid w:val="0005401E"/>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05401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5401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5401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5401E"/>
    <w:rPr>
      <w:color w:val="0072BC" w:themeColor="hyperlink"/>
      <w:u w:val="single"/>
    </w:rPr>
  </w:style>
  <w:style w:type="character" w:styleId="Wyrnienieintensywne">
    <w:name w:val="Intense Emphasis"/>
    <w:uiPriority w:val="99"/>
    <w:semiHidden/>
    <w:qFormat/>
    <w:rsid w:val="0005401E"/>
    <w:rPr>
      <w:b/>
      <w:bCs/>
    </w:rPr>
  </w:style>
  <w:style w:type="paragraph" w:styleId="Cytatintensywny">
    <w:name w:val="Intense Quote"/>
    <w:basedOn w:val="Normalny"/>
    <w:next w:val="Normalny"/>
    <w:link w:val="CytatintensywnyZnak"/>
    <w:uiPriority w:val="99"/>
    <w:semiHidden/>
    <w:qFormat/>
    <w:rsid w:val="0005401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05401E"/>
    <w:rPr>
      <w:rFonts w:eastAsiaTheme="minorEastAsia"/>
      <w:b/>
      <w:bCs/>
      <w:i/>
      <w:iCs/>
      <w:lang w:bidi="en-US"/>
    </w:rPr>
  </w:style>
  <w:style w:type="character" w:styleId="Odwoanieintensywne">
    <w:name w:val="Intense Reference"/>
    <w:uiPriority w:val="99"/>
    <w:semiHidden/>
    <w:qFormat/>
    <w:rsid w:val="0005401E"/>
    <w:rPr>
      <w:smallCaps/>
      <w:spacing w:val="5"/>
      <w:u w:val="single"/>
    </w:rPr>
  </w:style>
  <w:style w:type="paragraph" w:styleId="Akapitzlist">
    <w:name w:val="List Paragraph"/>
    <w:basedOn w:val="Normalny"/>
    <w:uiPriority w:val="99"/>
    <w:semiHidden/>
    <w:qFormat/>
    <w:rsid w:val="0005401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5401E"/>
    <w:pPr>
      <w:spacing w:before="200"/>
      <w:ind w:left="360" w:right="360"/>
    </w:pPr>
    <w:rPr>
      <w:i/>
      <w:iCs/>
      <w:sz w:val="22"/>
      <w:lang w:bidi="en-US"/>
    </w:rPr>
  </w:style>
  <w:style w:type="character" w:customStyle="1" w:styleId="CytatZnak">
    <w:name w:val="Cytat Znak"/>
    <w:basedOn w:val="Domylnaczcionkaakapitu"/>
    <w:link w:val="Cytat"/>
    <w:uiPriority w:val="99"/>
    <w:semiHidden/>
    <w:rsid w:val="0005401E"/>
    <w:rPr>
      <w:rFonts w:eastAsiaTheme="minorEastAsia"/>
      <w:i/>
      <w:iCs/>
      <w:lang w:bidi="en-US"/>
    </w:rPr>
  </w:style>
  <w:style w:type="character" w:styleId="Odwoaniedelikatne">
    <w:name w:val="Subtle Reference"/>
    <w:uiPriority w:val="99"/>
    <w:semiHidden/>
    <w:qFormat/>
    <w:rsid w:val="0005401E"/>
    <w:rPr>
      <w:smallCaps/>
    </w:rPr>
  </w:style>
  <w:style w:type="table" w:styleId="Tabela-Siatka">
    <w:name w:val="Table Grid"/>
    <w:basedOn w:val="Standardowy"/>
    <w:uiPriority w:val="59"/>
    <w:semiHidden/>
    <w:rsid w:val="0005401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5401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5401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5401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5401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5401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540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5401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5401E"/>
    <w:pPr>
      <w:spacing w:before="120" w:after="120"/>
      <w:ind w:left="425" w:firstLine="142"/>
    </w:pPr>
    <w:rPr>
      <w:sz w:val="20"/>
    </w:rPr>
  </w:style>
  <w:style w:type="paragraph" w:customStyle="1" w:styleId="ECHRPara">
    <w:name w:val="ECHR_Para"/>
    <w:aliases w:val="Ju_Para"/>
    <w:basedOn w:val="Normalny"/>
    <w:link w:val="ECHRParaChar"/>
    <w:uiPriority w:val="12"/>
    <w:qFormat/>
    <w:rsid w:val="0005401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5401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5401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5401E"/>
    <w:pPr>
      <w:ind w:left="340" w:hanging="340"/>
    </w:pPr>
  </w:style>
  <w:style w:type="paragraph" w:customStyle="1" w:styleId="JuSigned">
    <w:name w:val="Ju_Signed"/>
    <w:basedOn w:val="Normalny"/>
    <w:next w:val="JuParaLast"/>
    <w:uiPriority w:val="32"/>
    <w:qFormat/>
    <w:rsid w:val="0005401E"/>
    <w:pPr>
      <w:tabs>
        <w:tab w:val="center" w:pos="851"/>
        <w:tab w:val="center" w:pos="6407"/>
      </w:tabs>
      <w:spacing w:before="720"/>
      <w:jc w:val="left"/>
    </w:pPr>
  </w:style>
  <w:style w:type="paragraph" w:customStyle="1" w:styleId="JuParaLast">
    <w:name w:val="Ju_Para_Last"/>
    <w:basedOn w:val="Normalny"/>
    <w:next w:val="ECHRPara"/>
    <w:uiPriority w:val="30"/>
    <w:qFormat/>
    <w:rsid w:val="0005401E"/>
    <w:pPr>
      <w:keepNext/>
      <w:keepLines/>
      <w:spacing w:before="240"/>
      <w:ind w:firstLine="284"/>
    </w:pPr>
  </w:style>
  <w:style w:type="paragraph" w:customStyle="1" w:styleId="OpiH1">
    <w:name w:val="Opi_H_1"/>
    <w:basedOn w:val="ECHRHeading2"/>
    <w:uiPriority w:val="42"/>
    <w:qFormat/>
    <w:rsid w:val="0005401E"/>
    <w:pPr>
      <w:ind w:left="635" w:hanging="357"/>
      <w:outlineLvl w:val="2"/>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5401E"/>
    <w:pPr>
      <w:ind w:left="346" w:firstLine="0"/>
    </w:pPr>
  </w:style>
  <w:style w:type="paragraph" w:customStyle="1" w:styleId="JuListi">
    <w:name w:val="Ju_List_i"/>
    <w:basedOn w:val="Normalny"/>
    <w:next w:val="JuLista"/>
    <w:uiPriority w:val="28"/>
    <w:qFormat/>
    <w:rsid w:val="0005401E"/>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5401E"/>
    <w:rPr>
      <w:vertAlign w:val="superscript"/>
    </w:rPr>
  </w:style>
  <w:style w:type="paragraph" w:styleId="Tekstprzypisukocowego">
    <w:name w:val="endnote text"/>
    <w:basedOn w:val="Normalny"/>
    <w:link w:val="TekstprzypisukocowegoZnak"/>
    <w:uiPriority w:val="99"/>
    <w:semiHidden/>
    <w:rsid w:val="0005401E"/>
    <w:rPr>
      <w:sz w:val="20"/>
      <w:szCs w:val="20"/>
    </w:rPr>
  </w:style>
  <w:style w:type="character" w:customStyle="1" w:styleId="TekstprzypisukocowegoZnak">
    <w:name w:val="Tekst przypisu końcowego Znak"/>
    <w:basedOn w:val="Domylnaczcionkaakapitu"/>
    <w:link w:val="Tekstprzypisukocowego"/>
    <w:uiPriority w:val="99"/>
    <w:semiHidden/>
    <w:rsid w:val="0005401E"/>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05401E"/>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05401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5401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05401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5401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5401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5401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05401E"/>
    <w:pPr>
      <w:tabs>
        <w:tab w:val="clear" w:pos="357"/>
      </w:tabs>
      <w:outlineLvl w:val="1"/>
    </w:pPr>
    <w:rPr>
      <w:b/>
    </w:rPr>
  </w:style>
  <w:style w:type="paragraph" w:customStyle="1" w:styleId="OpiHi">
    <w:name w:val="Opi_H_i"/>
    <w:basedOn w:val="ECHRHeading4"/>
    <w:uiPriority w:val="44"/>
    <w:qFormat/>
    <w:rsid w:val="0005401E"/>
    <w:pPr>
      <w:ind w:left="1037" w:hanging="357"/>
      <w:outlineLvl w:val="4"/>
    </w:pPr>
    <w:rPr>
      <w:b w:val="0"/>
      <w:i/>
    </w:rPr>
  </w:style>
  <w:style w:type="paragraph" w:customStyle="1" w:styleId="OpiPara">
    <w:name w:val="Opi_Para"/>
    <w:basedOn w:val="ECHRPara"/>
    <w:uiPriority w:val="46"/>
    <w:qFormat/>
    <w:rsid w:val="0005401E"/>
  </w:style>
  <w:style w:type="paragraph" w:customStyle="1" w:styleId="OpiParaSub">
    <w:name w:val="Opi_Para_Sub"/>
    <w:basedOn w:val="JuParaSub"/>
    <w:uiPriority w:val="47"/>
    <w:qFormat/>
    <w:rsid w:val="0005401E"/>
  </w:style>
  <w:style w:type="paragraph" w:customStyle="1" w:styleId="OpiQuot">
    <w:name w:val="Opi_Quot"/>
    <w:basedOn w:val="ECHRParaQuote"/>
    <w:uiPriority w:val="48"/>
    <w:qFormat/>
    <w:rsid w:val="0005401E"/>
  </w:style>
  <w:style w:type="paragraph" w:customStyle="1" w:styleId="OpiQuotSub">
    <w:name w:val="Opi_Quot_Sub"/>
    <w:basedOn w:val="JuQuotSub"/>
    <w:uiPriority w:val="49"/>
    <w:qFormat/>
    <w:rsid w:val="0005401E"/>
  </w:style>
  <w:style w:type="paragraph" w:customStyle="1" w:styleId="OpiTranslation">
    <w:name w:val="Opi_Translation"/>
    <w:basedOn w:val="Normalny"/>
    <w:next w:val="OpiPara"/>
    <w:uiPriority w:val="40"/>
    <w:qFormat/>
    <w:rsid w:val="0005401E"/>
    <w:pPr>
      <w:jc w:val="center"/>
      <w:outlineLvl w:val="0"/>
    </w:pPr>
    <w:rPr>
      <w:i/>
    </w:rPr>
  </w:style>
  <w:style w:type="character" w:customStyle="1" w:styleId="ECHRParaChar">
    <w:name w:val="ECHR_Para Char"/>
    <w:aliases w:val="Ju_Para Char"/>
    <w:basedOn w:val="Domylnaczcionkaakapitu"/>
    <w:link w:val="ECHRPara"/>
    <w:uiPriority w:val="12"/>
    <w:rsid w:val="00053908"/>
    <w:rPr>
      <w:rFonts w:eastAsiaTheme="minorEastAsia"/>
      <w:sz w:val="24"/>
      <w:lang w:val="pl-PL"/>
    </w:rPr>
  </w:style>
  <w:style w:type="paragraph" w:styleId="Poprawka">
    <w:name w:val="Revision"/>
    <w:hidden/>
    <w:uiPriority w:val="99"/>
    <w:semiHidden/>
    <w:rsid w:val="0038145D"/>
    <w:rPr>
      <w:rFonts w:eastAsiaTheme="minorEastAsia"/>
      <w:sz w:val="24"/>
    </w:rPr>
  </w:style>
  <w:style w:type="paragraph" w:customStyle="1" w:styleId="jupara">
    <w:name w:val="jupara"/>
    <w:basedOn w:val="Normalny"/>
    <w:rsid w:val="00E40055"/>
    <w:pPr>
      <w:ind w:firstLine="284"/>
    </w:pPr>
    <w:rPr>
      <w:rFonts w:ascii="Times New Roman" w:eastAsia="Times New Roman" w:hAnsi="Times New Roman" w:cs="Times New Roman"/>
      <w:szCs w:val="24"/>
      <w:lang w:eastAsia="en-GB"/>
    </w:rPr>
  </w:style>
  <w:style w:type="paragraph" w:customStyle="1" w:styleId="jucase0">
    <w:name w:val="jucase"/>
    <w:basedOn w:val="Normalny"/>
    <w:rsid w:val="00E40055"/>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337801">
      <w:bodyDiv w:val="1"/>
      <w:marLeft w:val="0"/>
      <w:marRight w:val="0"/>
      <w:marTop w:val="0"/>
      <w:marBottom w:val="0"/>
      <w:divBdr>
        <w:top w:val="none" w:sz="0" w:space="0" w:color="auto"/>
        <w:left w:val="none" w:sz="0" w:space="0" w:color="auto"/>
        <w:bottom w:val="none" w:sz="0" w:space="0" w:color="auto"/>
        <w:right w:val="none" w:sz="0" w:space="0" w:color="auto"/>
      </w:divBdr>
    </w:div>
    <w:div w:id="231820776">
      <w:bodyDiv w:val="1"/>
      <w:marLeft w:val="0"/>
      <w:marRight w:val="0"/>
      <w:marTop w:val="0"/>
      <w:marBottom w:val="0"/>
      <w:divBdr>
        <w:top w:val="none" w:sz="0" w:space="0" w:color="auto"/>
        <w:left w:val="none" w:sz="0" w:space="0" w:color="auto"/>
        <w:bottom w:val="none" w:sz="0" w:space="0" w:color="auto"/>
        <w:right w:val="none" w:sz="0" w:space="0" w:color="auto"/>
      </w:divBdr>
      <w:divsChild>
        <w:div w:id="574171069">
          <w:marLeft w:val="0"/>
          <w:marRight w:val="0"/>
          <w:marTop w:val="0"/>
          <w:marBottom w:val="0"/>
          <w:divBdr>
            <w:top w:val="none" w:sz="0" w:space="0" w:color="auto"/>
            <w:left w:val="none" w:sz="0" w:space="0" w:color="auto"/>
            <w:bottom w:val="none" w:sz="0" w:space="0" w:color="auto"/>
            <w:right w:val="none" w:sz="0" w:space="0" w:color="auto"/>
          </w:divBdr>
          <w:divsChild>
            <w:div w:id="213976912">
              <w:marLeft w:val="0"/>
              <w:marRight w:val="0"/>
              <w:marTop w:val="0"/>
              <w:marBottom w:val="0"/>
              <w:divBdr>
                <w:top w:val="none" w:sz="0" w:space="0" w:color="auto"/>
                <w:left w:val="none" w:sz="0" w:space="0" w:color="auto"/>
                <w:bottom w:val="none" w:sz="0" w:space="0" w:color="auto"/>
                <w:right w:val="none" w:sz="0" w:space="0" w:color="auto"/>
              </w:divBdr>
              <w:divsChild>
                <w:div w:id="747725439">
                  <w:marLeft w:val="0"/>
                  <w:marRight w:val="0"/>
                  <w:marTop w:val="120"/>
                  <w:marBottom w:val="0"/>
                  <w:divBdr>
                    <w:top w:val="none" w:sz="0" w:space="0" w:color="auto"/>
                    <w:left w:val="none" w:sz="0" w:space="0" w:color="auto"/>
                    <w:bottom w:val="none" w:sz="0" w:space="0" w:color="auto"/>
                    <w:right w:val="none" w:sz="0" w:space="0" w:color="auto"/>
                  </w:divBdr>
                </w:div>
                <w:div w:id="92225356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317997527">
      <w:bodyDiv w:val="1"/>
      <w:marLeft w:val="0"/>
      <w:marRight w:val="0"/>
      <w:marTop w:val="0"/>
      <w:marBottom w:val="0"/>
      <w:divBdr>
        <w:top w:val="none" w:sz="0" w:space="0" w:color="auto"/>
        <w:left w:val="none" w:sz="0" w:space="0" w:color="auto"/>
        <w:bottom w:val="none" w:sz="0" w:space="0" w:color="auto"/>
        <w:right w:val="none" w:sz="0" w:space="0" w:color="auto"/>
      </w:divBdr>
      <w:divsChild>
        <w:div w:id="1315334068">
          <w:marLeft w:val="0"/>
          <w:marRight w:val="0"/>
          <w:marTop w:val="0"/>
          <w:marBottom w:val="0"/>
          <w:divBdr>
            <w:top w:val="none" w:sz="0" w:space="0" w:color="auto"/>
            <w:left w:val="none" w:sz="0" w:space="0" w:color="auto"/>
            <w:bottom w:val="none" w:sz="0" w:space="0" w:color="auto"/>
            <w:right w:val="none" w:sz="0" w:space="0" w:color="auto"/>
          </w:divBdr>
          <w:divsChild>
            <w:div w:id="80954688">
              <w:marLeft w:val="0"/>
              <w:marRight w:val="0"/>
              <w:marTop w:val="0"/>
              <w:marBottom w:val="0"/>
              <w:divBdr>
                <w:top w:val="none" w:sz="0" w:space="0" w:color="auto"/>
                <w:left w:val="none" w:sz="0" w:space="0" w:color="auto"/>
                <w:bottom w:val="none" w:sz="0" w:space="0" w:color="auto"/>
                <w:right w:val="none" w:sz="0" w:space="0" w:color="auto"/>
              </w:divBdr>
              <w:divsChild>
                <w:div w:id="984353328">
                  <w:marLeft w:val="0"/>
                  <w:marRight w:val="0"/>
                  <w:marTop w:val="120"/>
                  <w:marBottom w:val="0"/>
                  <w:divBdr>
                    <w:top w:val="none" w:sz="0" w:space="0" w:color="auto"/>
                    <w:left w:val="none" w:sz="0" w:space="0" w:color="auto"/>
                    <w:bottom w:val="none" w:sz="0" w:space="0" w:color="auto"/>
                    <w:right w:val="none" w:sz="0" w:space="0" w:color="auto"/>
                  </w:divBdr>
                </w:div>
                <w:div w:id="1891915981">
                  <w:marLeft w:val="0"/>
                  <w:marRight w:val="0"/>
                  <w:marTop w:val="120"/>
                  <w:marBottom w:val="0"/>
                  <w:divBdr>
                    <w:top w:val="none" w:sz="0" w:space="0" w:color="auto"/>
                    <w:left w:val="none" w:sz="0" w:space="0" w:color="auto"/>
                    <w:bottom w:val="none" w:sz="0" w:space="0" w:color="auto"/>
                    <w:right w:val="none" w:sz="0" w:space="0" w:color="auto"/>
                  </w:divBdr>
                </w:div>
                <w:div w:id="167787829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614097315">
      <w:bodyDiv w:val="1"/>
      <w:marLeft w:val="0"/>
      <w:marRight w:val="0"/>
      <w:marTop w:val="0"/>
      <w:marBottom w:val="0"/>
      <w:divBdr>
        <w:top w:val="none" w:sz="0" w:space="0" w:color="auto"/>
        <w:left w:val="none" w:sz="0" w:space="0" w:color="auto"/>
        <w:bottom w:val="none" w:sz="0" w:space="0" w:color="auto"/>
        <w:right w:val="none" w:sz="0" w:space="0" w:color="auto"/>
      </w:divBdr>
      <w:divsChild>
        <w:div w:id="441925093">
          <w:marLeft w:val="0"/>
          <w:marRight w:val="0"/>
          <w:marTop w:val="0"/>
          <w:marBottom w:val="0"/>
          <w:divBdr>
            <w:top w:val="none" w:sz="0" w:space="0" w:color="auto"/>
            <w:left w:val="none" w:sz="0" w:space="0" w:color="auto"/>
            <w:bottom w:val="none" w:sz="0" w:space="0" w:color="auto"/>
            <w:right w:val="none" w:sz="0" w:space="0" w:color="auto"/>
          </w:divBdr>
          <w:divsChild>
            <w:div w:id="1451126095">
              <w:marLeft w:val="0"/>
              <w:marRight w:val="0"/>
              <w:marTop w:val="0"/>
              <w:marBottom w:val="0"/>
              <w:divBdr>
                <w:top w:val="none" w:sz="0" w:space="0" w:color="auto"/>
                <w:left w:val="none" w:sz="0" w:space="0" w:color="auto"/>
                <w:bottom w:val="none" w:sz="0" w:space="0" w:color="auto"/>
                <w:right w:val="none" w:sz="0" w:space="0" w:color="auto"/>
              </w:divBdr>
              <w:divsChild>
                <w:div w:id="1807771891">
                  <w:marLeft w:val="0"/>
                  <w:marRight w:val="0"/>
                  <w:marTop w:val="0"/>
                  <w:marBottom w:val="0"/>
                  <w:divBdr>
                    <w:top w:val="none" w:sz="0" w:space="0" w:color="auto"/>
                    <w:left w:val="none" w:sz="0" w:space="0" w:color="auto"/>
                    <w:bottom w:val="none" w:sz="0" w:space="0" w:color="auto"/>
                    <w:right w:val="none" w:sz="0" w:space="0" w:color="auto"/>
                  </w:divBdr>
                  <w:divsChild>
                    <w:div w:id="1461877915">
                      <w:marLeft w:val="0"/>
                      <w:marRight w:val="0"/>
                      <w:marTop w:val="0"/>
                      <w:marBottom w:val="0"/>
                      <w:divBdr>
                        <w:top w:val="none" w:sz="0" w:space="0" w:color="auto"/>
                        <w:left w:val="none" w:sz="0" w:space="0" w:color="auto"/>
                        <w:bottom w:val="none" w:sz="0" w:space="0" w:color="auto"/>
                        <w:right w:val="none" w:sz="0" w:space="0" w:color="auto"/>
                      </w:divBdr>
                      <w:divsChild>
                        <w:div w:id="81026167">
                          <w:marLeft w:val="0"/>
                          <w:marRight w:val="0"/>
                          <w:marTop w:val="0"/>
                          <w:marBottom w:val="0"/>
                          <w:divBdr>
                            <w:top w:val="none" w:sz="0" w:space="0" w:color="auto"/>
                            <w:left w:val="none" w:sz="0" w:space="0" w:color="auto"/>
                            <w:bottom w:val="none" w:sz="0" w:space="0" w:color="auto"/>
                            <w:right w:val="none" w:sz="0" w:space="0" w:color="auto"/>
                          </w:divBdr>
                          <w:divsChild>
                            <w:div w:id="17886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1639473">
      <w:bodyDiv w:val="1"/>
      <w:marLeft w:val="0"/>
      <w:marRight w:val="0"/>
      <w:marTop w:val="0"/>
      <w:marBottom w:val="0"/>
      <w:divBdr>
        <w:top w:val="none" w:sz="0" w:space="0" w:color="auto"/>
        <w:left w:val="none" w:sz="0" w:space="0" w:color="auto"/>
        <w:bottom w:val="none" w:sz="0" w:space="0" w:color="auto"/>
        <w:right w:val="none" w:sz="0" w:space="0" w:color="auto"/>
      </w:divBdr>
      <w:divsChild>
        <w:div w:id="288365644">
          <w:marLeft w:val="0"/>
          <w:marRight w:val="0"/>
          <w:marTop w:val="0"/>
          <w:marBottom w:val="0"/>
          <w:divBdr>
            <w:top w:val="none" w:sz="0" w:space="0" w:color="auto"/>
            <w:left w:val="none" w:sz="0" w:space="0" w:color="auto"/>
            <w:bottom w:val="none" w:sz="0" w:space="0" w:color="auto"/>
            <w:right w:val="none" w:sz="0" w:space="0" w:color="auto"/>
          </w:divBdr>
          <w:divsChild>
            <w:div w:id="676156989">
              <w:marLeft w:val="0"/>
              <w:marRight w:val="0"/>
              <w:marTop w:val="0"/>
              <w:marBottom w:val="0"/>
              <w:divBdr>
                <w:top w:val="none" w:sz="0" w:space="0" w:color="auto"/>
                <w:left w:val="none" w:sz="0" w:space="0" w:color="auto"/>
                <w:bottom w:val="none" w:sz="0" w:space="0" w:color="auto"/>
                <w:right w:val="none" w:sz="0" w:space="0" w:color="auto"/>
              </w:divBdr>
              <w:divsChild>
                <w:div w:id="453640460">
                  <w:marLeft w:val="0"/>
                  <w:marRight w:val="0"/>
                  <w:marTop w:val="0"/>
                  <w:marBottom w:val="0"/>
                  <w:divBdr>
                    <w:top w:val="none" w:sz="0" w:space="0" w:color="auto"/>
                    <w:left w:val="none" w:sz="0" w:space="0" w:color="auto"/>
                    <w:bottom w:val="none" w:sz="0" w:space="0" w:color="auto"/>
                    <w:right w:val="none" w:sz="0" w:space="0" w:color="auto"/>
                  </w:divBdr>
                  <w:divsChild>
                    <w:div w:id="472017254">
                      <w:marLeft w:val="0"/>
                      <w:marRight w:val="0"/>
                      <w:marTop w:val="0"/>
                      <w:marBottom w:val="0"/>
                      <w:divBdr>
                        <w:top w:val="none" w:sz="0" w:space="0" w:color="auto"/>
                        <w:left w:val="none" w:sz="0" w:space="0" w:color="auto"/>
                        <w:bottom w:val="none" w:sz="0" w:space="0" w:color="auto"/>
                        <w:right w:val="none" w:sz="0" w:space="0" w:color="auto"/>
                      </w:divBdr>
                      <w:divsChild>
                        <w:div w:id="2142260437">
                          <w:marLeft w:val="0"/>
                          <w:marRight w:val="0"/>
                          <w:marTop w:val="0"/>
                          <w:marBottom w:val="0"/>
                          <w:divBdr>
                            <w:top w:val="none" w:sz="0" w:space="0" w:color="auto"/>
                            <w:left w:val="none" w:sz="0" w:space="0" w:color="auto"/>
                            <w:bottom w:val="none" w:sz="0" w:space="0" w:color="auto"/>
                            <w:right w:val="none" w:sz="0" w:space="0" w:color="auto"/>
                          </w:divBdr>
                          <w:divsChild>
                            <w:div w:id="158664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209940">
      <w:bodyDiv w:val="1"/>
      <w:marLeft w:val="0"/>
      <w:marRight w:val="0"/>
      <w:marTop w:val="0"/>
      <w:marBottom w:val="0"/>
      <w:divBdr>
        <w:top w:val="none" w:sz="0" w:space="0" w:color="auto"/>
        <w:left w:val="none" w:sz="0" w:space="0" w:color="auto"/>
        <w:bottom w:val="none" w:sz="0" w:space="0" w:color="auto"/>
        <w:right w:val="none" w:sz="0" w:space="0" w:color="auto"/>
      </w:divBdr>
      <w:divsChild>
        <w:div w:id="977223940">
          <w:marLeft w:val="0"/>
          <w:marRight w:val="0"/>
          <w:marTop w:val="0"/>
          <w:marBottom w:val="0"/>
          <w:divBdr>
            <w:top w:val="none" w:sz="0" w:space="0" w:color="auto"/>
            <w:left w:val="none" w:sz="0" w:space="0" w:color="auto"/>
            <w:bottom w:val="none" w:sz="0" w:space="0" w:color="auto"/>
            <w:right w:val="none" w:sz="0" w:space="0" w:color="auto"/>
          </w:divBdr>
          <w:divsChild>
            <w:div w:id="827792284">
              <w:marLeft w:val="0"/>
              <w:marRight w:val="0"/>
              <w:marTop w:val="0"/>
              <w:marBottom w:val="0"/>
              <w:divBdr>
                <w:top w:val="none" w:sz="0" w:space="0" w:color="auto"/>
                <w:left w:val="none" w:sz="0" w:space="0" w:color="auto"/>
                <w:bottom w:val="none" w:sz="0" w:space="0" w:color="auto"/>
                <w:right w:val="none" w:sz="0" w:space="0" w:color="auto"/>
              </w:divBdr>
              <w:divsChild>
                <w:div w:id="451676055">
                  <w:marLeft w:val="0"/>
                  <w:marRight w:val="0"/>
                  <w:marTop w:val="0"/>
                  <w:marBottom w:val="0"/>
                  <w:divBdr>
                    <w:top w:val="none" w:sz="0" w:space="0" w:color="auto"/>
                    <w:left w:val="none" w:sz="0" w:space="0" w:color="auto"/>
                    <w:bottom w:val="none" w:sz="0" w:space="0" w:color="auto"/>
                    <w:right w:val="none" w:sz="0" w:space="0" w:color="auto"/>
                  </w:divBdr>
                  <w:divsChild>
                    <w:div w:id="967517094">
                      <w:marLeft w:val="0"/>
                      <w:marRight w:val="0"/>
                      <w:marTop w:val="0"/>
                      <w:marBottom w:val="0"/>
                      <w:divBdr>
                        <w:top w:val="none" w:sz="0" w:space="0" w:color="auto"/>
                        <w:left w:val="none" w:sz="0" w:space="0" w:color="auto"/>
                        <w:bottom w:val="none" w:sz="0" w:space="0" w:color="auto"/>
                        <w:right w:val="none" w:sz="0" w:space="0" w:color="auto"/>
                      </w:divBdr>
                      <w:divsChild>
                        <w:div w:id="1573155392">
                          <w:marLeft w:val="0"/>
                          <w:marRight w:val="0"/>
                          <w:marTop w:val="0"/>
                          <w:marBottom w:val="0"/>
                          <w:divBdr>
                            <w:top w:val="none" w:sz="0" w:space="0" w:color="auto"/>
                            <w:left w:val="none" w:sz="0" w:space="0" w:color="auto"/>
                            <w:bottom w:val="none" w:sz="0" w:space="0" w:color="auto"/>
                            <w:right w:val="none" w:sz="0" w:space="0" w:color="auto"/>
                          </w:divBdr>
                          <w:divsChild>
                            <w:div w:id="70178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9805725">
      <w:bodyDiv w:val="1"/>
      <w:marLeft w:val="0"/>
      <w:marRight w:val="0"/>
      <w:marTop w:val="0"/>
      <w:marBottom w:val="0"/>
      <w:divBdr>
        <w:top w:val="none" w:sz="0" w:space="0" w:color="auto"/>
        <w:left w:val="none" w:sz="0" w:space="0" w:color="auto"/>
        <w:bottom w:val="none" w:sz="0" w:space="0" w:color="auto"/>
        <w:right w:val="none" w:sz="0" w:space="0" w:color="auto"/>
      </w:divBdr>
      <w:divsChild>
        <w:div w:id="1280258697">
          <w:marLeft w:val="0"/>
          <w:marRight w:val="0"/>
          <w:marTop w:val="0"/>
          <w:marBottom w:val="0"/>
          <w:divBdr>
            <w:top w:val="none" w:sz="0" w:space="0" w:color="auto"/>
            <w:left w:val="none" w:sz="0" w:space="0" w:color="auto"/>
            <w:bottom w:val="none" w:sz="0" w:space="0" w:color="auto"/>
            <w:right w:val="none" w:sz="0" w:space="0" w:color="auto"/>
          </w:divBdr>
          <w:divsChild>
            <w:div w:id="1674910684">
              <w:marLeft w:val="0"/>
              <w:marRight w:val="0"/>
              <w:marTop w:val="0"/>
              <w:marBottom w:val="0"/>
              <w:divBdr>
                <w:top w:val="none" w:sz="0" w:space="0" w:color="auto"/>
                <w:left w:val="none" w:sz="0" w:space="0" w:color="auto"/>
                <w:bottom w:val="none" w:sz="0" w:space="0" w:color="auto"/>
                <w:right w:val="none" w:sz="0" w:space="0" w:color="auto"/>
              </w:divBdr>
              <w:divsChild>
                <w:div w:id="1855920492">
                  <w:marLeft w:val="0"/>
                  <w:marRight w:val="0"/>
                  <w:marTop w:val="0"/>
                  <w:marBottom w:val="0"/>
                  <w:divBdr>
                    <w:top w:val="none" w:sz="0" w:space="0" w:color="auto"/>
                    <w:left w:val="none" w:sz="0" w:space="0" w:color="auto"/>
                    <w:bottom w:val="none" w:sz="0" w:space="0" w:color="auto"/>
                    <w:right w:val="none" w:sz="0" w:space="0" w:color="auto"/>
                  </w:divBdr>
                  <w:divsChild>
                    <w:div w:id="658309550">
                      <w:marLeft w:val="0"/>
                      <w:marRight w:val="0"/>
                      <w:marTop w:val="0"/>
                      <w:marBottom w:val="0"/>
                      <w:divBdr>
                        <w:top w:val="none" w:sz="0" w:space="0" w:color="auto"/>
                        <w:left w:val="none" w:sz="0" w:space="0" w:color="auto"/>
                        <w:bottom w:val="none" w:sz="0" w:space="0" w:color="auto"/>
                        <w:right w:val="none" w:sz="0" w:space="0" w:color="auto"/>
                      </w:divBdr>
                      <w:divsChild>
                        <w:div w:id="1260140989">
                          <w:marLeft w:val="0"/>
                          <w:marRight w:val="0"/>
                          <w:marTop w:val="0"/>
                          <w:marBottom w:val="0"/>
                          <w:divBdr>
                            <w:top w:val="none" w:sz="0" w:space="0" w:color="auto"/>
                            <w:left w:val="none" w:sz="0" w:space="0" w:color="auto"/>
                            <w:bottom w:val="none" w:sz="0" w:space="0" w:color="auto"/>
                            <w:right w:val="none" w:sz="0" w:space="0" w:color="auto"/>
                          </w:divBdr>
                          <w:divsChild>
                            <w:div w:id="847718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694634-E15F-42BD-8566-84E775F5A7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22DD8A-9305-4509-902E-6EF3EB238A58}">
  <ds:schemaRefs>
    <ds:schemaRef ds:uri="http://schemas.openxmlformats.org/officeDocument/2006/bibliography"/>
  </ds:schemaRefs>
</ds:datastoreItem>
</file>

<file path=customXml/itemProps3.xml><?xml version="1.0" encoding="utf-8"?>
<ds:datastoreItem xmlns:ds="http://schemas.openxmlformats.org/officeDocument/2006/customXml" ds:itemID="{AC265021-5969-4F11-8A81-7C1C7903F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9638F71-2D99-44EA-A3A1-6216920A8C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12371</Words>
  <Characters>74227</Characters>
  <Application>Microsoft Office Word</Application>
  <DocSecurity>0</DocSecurity>
  <Lines>618</Lines>
  <Paragraphs>172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86426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2018-11-26T08:45:00Z</cp:lastPrinted>
  <dcterms:created xsi:type="dcterms:W3CDTF">2021-09-20T08:26:00Z</dcterms:created>
  <dcterms:modified xsi:type="dcterms:W3CDTF">2021-09-21T11:36:00Z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72931/10</vt:lpwstr>
  </property>
  <property fmtid="{D5CDD505-2E9C-101B-9397-08002B2CF9AE}" pid="4" name="CASEID">
    <vt:lpwstr>686949</vt:lpwstr>
  </property>
  <property fmtid="{D5CDD505-2E9C-101B-9397-08002B2CF9AE}" pid="5" name="ContentTypeId">
    <vt:lpwstr>0x010100558EB02BDB9E204AB350EDD385B68E10</vt:lpwstr>
  </property>
</Properties>
</file>