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CBC" w:rsidRDefault="00363CBC" w:rsidP="00363CBC">
      <w:pPr>
        <w:pStyle w:val="s6e50bd9a"/>
        <w:spacing w:after="120" w:afterAutospacing="0"/>
        <w:jc w:val="both"/>
        <w:rPr>
          <w:rFonts w:ascii="Arial" w:hAnsi="Arial" w:cs="Arial"/>
        </w:rPr>
      </w:pPr>
      <w:r>
        <w:rPr>
          <w:rStyle w:val="s4f807e54"/>
          <w:rFonts w:ascii="Arial" w:hAnsi="Arial" w:cs="Arial"/>
          <w:color w:val="000000"/>
          <w:sz w:val="20"/>
          <w:szCs w:val="20"/>
        </w:rPr>
        <w:t>©</w:t>
      </w:r>
      <w:r>
        <w:rPr>
          <w:rStyle w:val="s4f807e54"/>
          <w:rFonts w:ascii="Arial" w:hAnsi="Arial" w:cs="Arial"/>
          <w:color w:val="1F497D"/>
          <w:sz w:val="20"/>
          <w:szCs w:val="20"/>
        </w:rPr>
        <w:t xml:space="preserve"> </w:t>
      </w:r>
      <w:r>
        <w:rPr>
          <w:rStyle w:val="s4f807e54"/>
          <w:rFonts w:ascii="Arial" w:eastAsia="MS Mincho" w:hAnsi="Arial" w:cs="Arial"/>
          <w:sz w:val="20"/>
          <w:szCs w:val="20"/>
        </w:rPr>
        <w:t>Ministerstwo Spraw Zagranicznych</w:t>
      </w:r>
      <w:r>
        <w:rPr>
          <w:rStyle w:val="s4f807e54"/>
          <w:rFonts w:ascii="Arial" w:hAnsi="Arial" w:cs="Arial"/>
          <w:color w:val="000000"/>
          <w:sz w:val="20"/>
          <w:szCs w:val="20"/>
        </w:rPr>
        <w:t xml:space="preserve">, </w:t>
      </w:r>
      <w:hyperlink r:id="rId7" w:history="1">
        <w:r>
          <w:rPr>
            <w:rStyle w:val="Hipercze"/>
            <w:rFonts w:ascii="Arial" w:eastAsia="MS Mincho" w:hAnsi="Arial" w:cs="Arial"/>
            <w:sz w:val="20"/>
            <w:szCs w:val="20"/>
          </w:rPr>
          <w:t>www.gov.pl/web/dyplomacja</w:t>
        </w:r>
      </w:hyperlink>
    </w:p>
    <w:p w:rsidR="00363CBC" w:rsidRDefault="00363CBC" w:rsidP="00363CBC">
      <w:pPr>
        <w:pStyle w:val="ClinEditionNumber"/>
        <w:jc w:val="center"/>
        <w:rPr>
          <w:lang w:val="pl-PL"/>
        </w:rPr>
      </w:pPr>
      <w:r>
        <w:rPr>
          <w:lang w:val="pl-PL"/>
        </w:rPr>
        <w:t>EUROPEJSKI TRYBUNAŁ PRAW CZŁOWIEKA</w:t>
      </w:r>
    </w:p>
    <w:p w:rsidR="009717AF" w:rsidRPr="00284061" w:rsidRDefault="00363CBC" w:rsidP="00363CBC">
      <w:pPr>
        <w:pStyle w:val="ClinEditionNumber"/>
        <w:rPr>
          <w:lang w:val="pl-PL"/>
        </w:rPr>
      </w:pPr>
      <w:r>
        <w:rPr>
          <w:lang w:val="pl-PL"/>
        </w:rPr>
        <w:t>Nota informacyjna nt. orzecznictwa Trybunału nr</w:t>
      </w:r>
      <w:r w:rsidR="00E4296B" w:rsidRPr="00284061">
        <w:rPr>
          <w:lang w:val="pl-PL"/>
        </w:rPr>
        <w:t xml:space="preserve"> 231</w:t>
      </w:r>
    </w:p>
    <w:p w:rsidR="009717AF" w:rsidRPr="008A4010" w:rsidRDefault="00284061">
      <w:pPr>
        <w:pStyle w:val="ClinEditionMonth"/>
        <w:rPr>
          <w:lang w:val="pl-PL"/>
        </w:rPr>
      </w:pPr>
      <w:r w:rsidRPr="008A4010">
        <w:rPr>
          <w:lang w:val="pl-PL"/>
        </w:rPr>
        <w:t xml:space="preserve">Lipiec </w:t>
      </w:r>
      <w:r w:rsidR="00E4296B" w:rsidRPr="008A4010">
        <w:rPr>
          <w:lang w:val="pl-PL"/>
        </w:rPr>
        <w:t>2019</w:t>
      </w:r>
      <w:r w:rsidRPr="008A4010">
        <w:rPr>
          <w:lang w:val="pl-PL"/>
        </w:rPr>
        <w:t xml:space="preserve"> r.</w:t>
      </w:r>
    </w:p>
    <w:p w:rsidR="009717AF" w:rsidRPr="008A4010" w:rsidRDefault="00E4296B">
      <w:pPr>
        <w:rPr>
          <w:lang w:val="pl-PL"/>
        </w:rPr>
      </w:pPr>
      <w:r w:rsidRPr="008A4010">
        <w:rPr>
          <w:rStyle w:val="ClinCaseTitle"/>
          <w:lang w:val="pl-PL"/>
        </w:rPr>
        <w:t xml:space="preserve">Romeo </w:t>
      </w:r>
      <w:proofErr w:type="spellStart"/>
      <w:r w:rsidRPr="008A4010">
        <w:rPr>
          <w:rStyle w:val="ClinCaseTitle"/>
          <w:lang w:val="pl-PL"/>
        </w:rPr>
        <w:t>Castaño</w:t>
      </w:r>
      <w:proofErr w:type="spellEnd"/>
      <w:r w:rsidRPr="008A4010">
        <w:rPr>
          <w:rStyle w:val="ClinCaseTitle"/>
          <w:lang w:val="pl-PL"/>
        </w:rPr>
        <w:t xml:space="preserve"> </w:t>
      </w:r>
      <w:r w:rsidR="00284061" w:rsidRPr="008A4010">
        <w:rPr>
          <w:rStyle w:val="ClinCaseTitle"/>
          <w:lang w:val="pl-PL"/>
        </w:rPr>
        <w:t>p</w:t>
      </w:r>
      <w:r w:rsidRPr="008A4010">
        <w:rPr>
          <w:rStyle w:val="ClinCaseTitle"/>
          <w:lang w:val="pl-PL"/>
        </w:rPr>
        <w:t>. Belgi</w:t>
      </w:r>
      <w:r w:rsidR="00284061" w:rsidRPr="008A4010">
        <w:rPr>
          <w:rStyle w:val="ClinCaseTitle"/>
          <w:lang w:val="pl-PL"/>
        </w:rPr>
        <w:t>i</w:t>
      </w:r>
      <w:r w:rsidR="00284061" w:rsidRPr="001C2A00">
        <w:rPr>
          <w:rStyle w:val="ClinCaseTitle"/>
          <w:i w:val="0"/>
          <w:lang w:val="pl-PL"/>
        </w:rPr>
        <w:t xml:space="preserve">, skarga nr </w:t>
      </w:r>
      <w:r w:rsidRPr="001C2A00">
        <w:rPr>
          <w:rStyle w:val="ClinApplicationNumber"/>
          <w:lang w:val="pl-PL"/>
        </w:rPr>
        <w:t>8351/17</w:t>
      </w:r>
    </w:p>
    <w:p w:rsidR="009717AF" w:rsidRPr="00284061" w:rsidRDefault="00284061">
      <w:pPr>
        <w:rPr>
          <w:lang w:val="pl-PL"/>
        </w:rPr>
      </w:pPr>
      <w:r w:rsidRPr="00284061">
        <w:rPr>
          <w:rStyle w:val="ClinHudocDocumentTitle"/>
          <w:lang w:val="pl-PL"/>
        </w:rPr>
        <w:t>Wyrok z 0</w:t>
      </w:r>
      <w:r w:rsidR="00E4296B" w:rsidRPr="00284061">
        <w:rPr>
          <w:rStyle w:val="ClinHudocDocumentTitle"/>
          <w:lang w:val="pl-PL"/>
        </w:rPr>
        <w:t>9.</w:t>
      </w:r>
      <w:r w:rsidRPr="00284061">
        <w:rPr>
          <w:rStyle w:val="ClinHudocDocumentTitle"/>
          <w:lang w:val="pl-PL"/>
        </w:rPr>
        <w:t>0</w:t>
      </w:r>
      <w:r w:rsidR="00E4296B" w:rsidRPr="00284061">
        <w:rPr>
          <w:rStyle w:val="ClinHudocDocumentTitle"/>
          <w:lang w:val="pl-PL"/>
        </w:rPr>
        <w:t>7.2019</w:t>
      </w:r>
      <w:r w:rsidR="00E4296B" w:rsidRPr="00284061">
        <w:rPr>
          <w:rStyle w:val="ClinSectionName"/>
          <w:lang w:val="pl-PL"/>
        </w:rPr>
        <w:t xml:space="preserve"> </w:t>
      </w:r>
      <w:r w:rsidRPr="00284061">
        <w:rPr>
          <w:rStyle w:val="ClinSectionName"/>
          <w:lang w:val="pl-PL"/>
        </w:rPr>
        <w:t>r.</w:t>
      </w:r>
      <w:r>
        <w:rPr>
          <w:rStyle w:val="ClinSectionName"/>
          <w:lang w:val="pl-PL"/>
        </w:rPr>
        <w:t xml:space="preserve"> </w:t>
      </w:r>
      <w:r w:rsidR="00E4296B" w:rsidRPr="00284061">
        <w:rPr>
          <w:rStyle w:val="ClinSectionName"/>
          <w:lang w:val="pl-PL"/>
        </w:rPr>
        <w:t>[</w:t>
      </w:r>
      <w:r w:rsidR="006C17F9">
        <w:rPr>
          <w:rStyle w:val="ClinSectionName"/>
          <w:lang w:val="pl-PL"/>
        </w:rPr>
        <w:t>Drug</w:t>
      </w:r>
      <w:r>
        <w:rPr>
          <w:rStyle w:val="ClinSectionName"/>
          <w:lang w:val="pl-PL"/>
        </w:rPr>
        <w:t>a Sekcja</w:t>
      </w:r>
      <w:r w:rsidR="00E4296B" w:rsidRPr="00284061">
        <w:rPr>
          <w:rStyle w:val="ClinSectionName"/>
          <w:lang w:val="pl-PL"/>
        </w:rPr>
        <w:t>]</w:t>
      </w:r>
    </w:p>
    <w:p w:rsidR="009717AF" w:rsidRPr="0052503C" w:rsidRDefault="00E4296B">
      <w:pPr>
        <w:pStyle w:val="ClinMainKeywordCode"/>
        <w:rPr>
          <w:lang w:val="pl-PL"/>
        </w:rPr>
      </w:pPr>
      <w:r w:rsidRPr="0052503C">
        <w:rPr>
          <w:lang w:val="pl-PL"/>
        </w:rPr>
        <w:t>Art</w:t>
      </w:r>
      <w:r w:rsidR="00284061" w:rsidRPr="0052503C">
        <w:rPr>
          <w:lang w:val="pl-PL"/>
        </w:rPr>
        <w:t>.</w:t>
      </w:r>
      <w:r w:rsidRPr="0052503C">
        <w:rPr>
          <w:lang w:val="pl-PL"/>
        </w:rPr>
        <w:t xml:space="preserve"> 1</w:t>
      </w:r>
    </w:p>
    <w:p w:rsidR="009717AF" w:rsidRPr="0052503C" w:rsidRDefault="00E4296B">
      <w:pPr>
        <w:pStyle w:val="ClinKeyword"/>
        <w:rPr>
          <w:lang w:val="pl-PL"/>
        </w:rPr>
      </w:pPr>
      <w:r w:rsidRPr="0052503C">
        <w:rPr>
          <w:lang w:val="pl-PL"/>
        </w:rPr>
        <w:t>Jur</w:t>
      </w:r>
      <w:r w:rsidR="00284061" w:rsidRPr="0052503C">
        <w:rPr>
          <w:lang w:val="pl-PL"/>
        </w:rPr>
        <w:t>ysdykcja Państw</w:t>
      </w:r>
    </w:p>
    <w:p w:rsidR="009717AF" w:rsidRPr="00284061" w:rsidRDefault="00284061" w:rsidP="008F7D61">
      <w:pPr>
        <w:jc w:val="both"/>
        <w:rPr>
          <w:lang w:val="pl-PL"/>
        </w:rPr>
      </w:pPr>
      <w:r w:rsidRPr="008F7D61">
        <w:rPr>
          <w:rStyle w:val="ClinHeadNote"/>
          <w:lang w:val="pl-PL"/>
        </w:rPr>
        <w:t xml:space="preserve">Jurysdykcja Belgii wynikająca z odmowy wykonania </w:t>
      </w:r>
      <w:r w:rsidR="00F86C29" w:rsidRPr="008F7D61">
        <w:rPr>
          <w:rStyle w:val="ClinHeadNote"/>
          <w:lang w:val="pl-PL"/>
        </w:rPr>
        <w:t>europejskiego nakazu aresztowania</w:t>
      </w:r>
      <w:r w:rsidRPr="008F7D61">
        <w:rPr>
          <w:rStyle w:val="ClinHeadNote"/>
          <w:lang w:val="pl-PL"/>
        </w:rPr>
        <w:t xml:space="preserve">, </w:t>
      </w:r>
      <w:r w:rsidR="001C2A00">
        <w:rPr>
          <w:rStyle w:val="ClinHeadNote"/>
          <w:lang w:val="pl-PL"/>
        </w:rPr>
        <w:t xml:space="preserve">która </w:t>
      </w:r>
      <w:r w:rsidR="000823EF" w:rsidRPr="008F7D61">
        <w:rPr>
          <w:rStyle w:val="ClinHeadNote"/>
          <w:lang w:val="pl-PL"/>
        </w:rPr>
        <w:t>utrudnia</w:t>
      </w:r>
      <w:r w:rsidR="001C2A00">
        <w:rPr>
          <w:rStyle w:val="ClinHeadNote"/>
          <w:lang w:val="pl-PL"/>
        </w:rPr>
        <w:t>ła</w:t>
      </w:r>
      <w:r w:rsidR="000823EF" w:rsidRPr="008F7D61">
        <w:rPr>
          <w:rStyle w:val="ClinHeadNote"/>
          <w:lang w:val="pl-PL"/>
        </w:rPr>
        <w:t xml:space="preserve"> przeprowadzenie śledztwa</w:t>
      </w:r>
      <w:r w:rsidRPr="008F7D61">
        <w:rPr>
          <w:rStyle w:val="ClinHeadNote"/>
          <w:lang w:val="pl-PL"/>
        </w:rPr>
        <w:t xml:space="preserve"> w sprawie zabójstwa w Hiszpanii</w:t>
      </w:r>
      <w:r w:rsidRPr="00284061">
        <w:rPr>
          <w:rStyle w:val="ClinHeadNote"/>
          <w:lang w:val="pl-PL"/>
        </w:rPr>
        <w:t xml:space="preserve"> </w:t>
      </w:r>
    </w:p>
    <w:p w:rsidR="009717AF" w:rsidRPr="0052503C" w:rsidRDefault="00E4296B">
      <w:pPr>
        <w:pStyle w:val="ClinMainKeywordCode"/>
        <w:rPr>
          <w:lang w:val="pl-PL"/>
        </w:rPr>
      </w:pPr>
      <w:r w:rsidRPr="0052503C">
        <w:rPr>
          <w:lang w:val="pl-PL"/>
        </w:rPr>
        <w:t>Art</w:t>
      </w:r>
      <w:r w:rsidR="00284061" w:rsidRPr="0052503C">
        <w:rPr>
          <w:lang w:val="pl-PL"/>
        </w:rPr>
        <w:t>.</w:t>
      </w:r>
      <w:r w:rsidRPr="0052503C">
        <w:rPr>
          <w:lang w:val="pl-PL"/>
        </w:rPr>
        <w:t xml:space="preserve"> 2</w:t>
      </w:r>
    </w:p>
    <w:p w:rsidR="009717AF" w:rsidRPr="0052503C" w:rsidRDefault="00E4296B">
      <w:pPr>
        <w:pStyle w:val="ClinChildKeywordCode"/>
        <w:rPr>
          <w:lang w:val="pl-PL"/>
        </w:rPr>
      </w:pPr>
      <w:r w:rsidRPr="0052503C">
        <w:rPr>
          <w:lang w:val="pl-PL"/>
        </w:rPr>
        <w:t>Art</w:t>
      </w:r>
      <w:r w:rsidR="00284061" w:rsidRPr="0052503C">
        <w:rPr>
          <w:lang w:val="pl-PL"/>
        </w:rPr>
        <w:t xml:space="preserve">. 2 ust. </w:t>
      </w:r>
      <w:r w:rsidRPr="0052503C">
        <w:rPr>
          <w:lang w:val="pl-PL"/>
        </w:rPr>
        <w:t>1</w:t>
      </w:r>
    </w:p>
    <w:p w:rsidR="009717AF" w:rsidRPr="0052503C" w:rsidRDefault="00284061">
      <w:pPr>
        <w:pStyle w:val="ClinKeyword"/>
        <w:rPr>
          <w:lang w:val="pl-PL"/>
        </w:rPr>
      </w:pPr>
      <w:r w:rsidRPr="0052503C">
        <w:rPr>
          <w:lang w:val="pl-PL"/>
        </w:rPr>
        <w:t xml:space="preserve">Skuteczne śledztwo </w:t>
      </w:r>
    </w:p>
    <w:p w:rsidR="00284061" w:rsidRPr="00284061" w:rsidRDefault="00284061" w:rsidP="008F7D61">
      <w:pPr>
        <w:jc w:val="both"/>
        <w:rPr>
          <w:i/>
          <w:lang w:val="pl-PL"/>
        </w:rPr>
      </w:pPr>
      <w:r w:rsidRPr="00284061">
        <w:rPr>
          <w:rStyle w:val="ClinConclusions"/>
          <w:i w:val="0"/>
          <w:lang w:val="pl-PL"/>
        </w:rPr>
        <w:t xml:space="preserve">Odmowa wykonania </w:t>
      </w:r>
      <w:r w:rsidR="001C2A00" w:rsidRPr="00284061">
        <w:rPr>
          <w:rStyle w:val="ClinConclusions"/>
          <w:i w:val="0"/>
          <w:lang w:val="pl-PL"/>
        </w:rPr>
        <w:t>europejskiego nakazu aresztowania</w:t>
      </w:r>
      <w:r w:rsidRPr="00284061">
        <w:rPr>
          <w:rStyle w:val="ClinConclusions"/>
          <w:i w:val="0"/>
          <w:lang w:val="pl-PL"/>
        </w:rPr>
        <w:t xml:space="preserve">, </w:t>
      </w:r>
      <w:r w:rsidR="000823EF">
        <w:rPr>
          <w:rStyle w:val="ClinConclusions"/>
          <w:i w:val="0"/>
          <w:lang w:val="pl-PL"/>
        </w:rPr>
        <w:t>utrudniająca przeprowadzenie śledztwa</w:t>
      </w:r>
      <w:r w:rsidRPr="00284061">
        <w:rPr>
          <w:rStyle w:val="ClinConclusions"/>
          <w:i w:val="0"/>
          <w:lang w:val="pl-PL"/>
        </w:rPr>
        <w:t xml:space="preserve"> w sprawie zabójstwa w Hiszpanii, </w:t>
      </w:r>
      <w:r w:rsidR="008F7D61">
        <w:rPr>
          <w:rStyle w:val="ClinConclusions"/>
          <w:i w:val="0"/>
          <w:lang w:val="pl-PL"/>
        </w:rPr>
        <w:t xml:space="preserve">oparta </w:t>
      </w:r>
      <w:r w:rsidR="00DB784D">
        <w:rPr>
          <w:rStyle w:val="ClinConclusions"/>
          <w:i w:val="0"/>
          <w:lang w:val="pl-PL"/>
        </w:rPr>
        <w:t>na nie</w:t>
      </w:r>
      <w:r w:rsidR="000823EF">
        <w:rPr>
          <w:rStyle w:val="ClinConclusions"/>
          <w:i w:val="0"/>
          <w:lang w:val="pl-PL"/>
        </w:rPr>
        <w:t>dostatecznie</w:t>
      </w:r>
      <w:r w:rsidR="008F7D61">
        <w:rPr>
          <w:rStyle w:val="ClinConclusions"/>
          <w:i w:val="0"/>
          <w:lang w:val="pl-PL"/>
        </w:rPr>
        <w:t xml:space="preserve"> uzasadnionym ryzyku</w:t>
      </w:r>
      <w:r w:rsidR="00DB784D">
        <w:rPr>
          <w:rStyle w:val="ClinConclusions"/>
          <w:i w:val="0"/>
          <w:lang w:val="pl-PL"/>
        </w:rPr>
        <w:t xml:space="preserve"> złych warunków pozbawienia wolności: </w:t>
      </w:r>
      <w:r w:rsidR="00DB784D" w:rsidRPr="000823EF">
        <w:rPr>
          <w:rStyle w:val="ClinConclusions"/>
          <w:lang w:val="pl-PL"/>
        </w:rPr>
        <w:t>naruszenie</w:t>
      </w:r>
      <w:r w:rsidR="00DB784D">
        <w:rPr>
          <w:rStyle w:val="ClinConclusions"/>
          <w:i w:val="0"/>
          <w:lang w:val="pl-PL"/>
        </w:rPr>
        <w:t xml:space="preserve"> </w:t>
      </w:r>
    </w:p>
    <w:p w:rsidR="000823EF" w:rsidRPr="000823EF" w:rsidRDefault="000823EF">
      <w:pPr>
        <w:pStyle w:val="ClinContent"/>
        <w:rPr>
          <w:lang w:val="pl-PL"/>
        </w:rPr>
      </w:pPr>
      <w:r w:rsidRPr="000823EF">
        <w:rPr>
          <w:i/>
          <w:lang w:val="pl-PL"/>
        </w:rPr>
        <w:t>Fakty</w:t>
      </w:r>
      <w:r w:rsidRPr="000823EF">
        <w:rPr>
          <w:lang w:val="pl-PL"/>
        </w:rPr>
        <w:t xml:space="preserve"> – W 1981 r. ojciec skarżących został zamordowany przez </w:t>
      </w:r>
      <w:r>
        <w:rPr>
          <w:lang w:val="pl-PL"/>
        </w:rPr>
        <w:t xml:space="preserve">jednostkę komandosów należącą do organizacji terrorystycznej ETA. </w:t>
      </w:r>
      <w:r w:rsidRPr="000823EF">
        <w:rPr>
          <w:lang w:val="pl-PL"/>
        </w:rPr>
        <w:t>W 2007 r. wszyscy członkowie jednostki komandosów zostali skazani przez sądy hiszpańskie – z wyjątkiem N.</w:t>
      </w:r>
      <w:r>
        <w:rPr>
          <w:lang w:val="pl-PL"/>
        </w:rPr>
        <w:t>J.E., któr</w:t>
      </w:r>
      <w:r w:rsidR="00334FA2">
        <w:rPr>
          <w:lang w:val="pl-PL"/>
        </w:rPr>
        <w:t>a</w:t>
      </w:r>
      <w:r>
        <w:rPr>
          <w:lang w:val="pl-PL"/>
        </w:rPr>
        <w:t xml:space="preserve"> uciekł</w:t>
      </w:r>
      <w:r w:rsidR="00334FA2">
        <w:rPr>
          <w:lang w:val="pl-PL"/>
        </w:rPr>
        <w:t>a</w:t>
      </w:r>
      <w:r>
        <w:rPr>
          <w:lang w:val="pl-PL"/>
        </w:rPr>
        <w:t xml:space="preserve"> do Belgii. </w:t>
      </w:r>
      <w:r w:rsidRPr="000823EF">
        <w:rPr>
          <w:lang w:val="pl-PL"/>
        </w:rPr>
        <w:t xml:space="preserve"> </w:t>
      </w:r>
    </w:p>
    <w:p w:rsidR="0085218B" w:rsidRPr="0085218B" w:rsidRDefault="008F7D61">
      <w:pPr>
        <w:pStyle w:val="ClinContent"/>
        <w:rPr>
          <w:lang w:val="pl-PL"/>
        </w:rPr>
      </w:pPr>
      <w:r>
        <w:rPr>
          <w:lang w:val="pl-PL"/>
        </w:rPr>
        <w:t>W</w:t>
      </w:r>
      <w:r w:rsidRPr="0085218B">
        <w:rPr>
          <w:lang w:val="pl-PL"/>
        </w:rPr>
        <w:t xml:space="preserve"> 2004 r., 2005 r. i 2015 r. </w:t>
      </w:r>
      <w:r>
        <w:rPr>
          <w:lang w:val="pl-PL"/>
        </w:rPr>
        <w:t>h</w:t>
      </w:r>
      <w:r w:rsidR="0085218B" w:rsidRPr="0085218B">
        <w:rPr>
          <w:lang w:val="pl-PL"/>
        </w:rPr>
        <w:t xml:space="preserve">iszpański sędzia śledczy wydał </w:t>
      </w:r>
      <w:r w:rsidR="00F86C29" w:rsidRPr="0085218B">
        <w:rPr>
          <w:lang w:val="pl-PL"/>
        </w:rPr>
        <w:t>europejskie nakazy aresztowania</w:t>
      </w:r>
      <w:r w:rsidR="0085218B" w:rsidRPr="0085218B">
        <w:rPr>
          <w:lang w:val="pl-PL"/>
        </w:rPr>
        <w:t xml:space="preserve"> w odniesieniu do N.J.E. w celu przeprowadzenia postępowania karnego. Jednak w 2013 r. i 2016 r. wydział oskarżeń sądu belgijskiego odmówił wy</w:t>
      </w:r>
      <w:r w:rsidR="0085218B">
        <w:rPr>
          <w:lang w:val="pl-PL"/>
        </w:rPr>
        <w:t xml:space="preserve">konania nakazów, stwierdzając, że istnieją poważne powody, by sądzić, że ich wykonanie naruszy prawa podstawowe N.J.E. Belgijska Prokuratura Federalna złożyła kasacje od tych wyroków, ale zostały one oddalone przez Sąd Kasacyjny w 2013 r. i 2016 r. </w:t>
      </w:r>
    </w:p>
    <w:p w:rsidR="0085218B" w:rsidRPr="0085218B" w:rsidRDefault="0085218B">
      <w:pPr>
        <w:pStyle w:val="ClinContent"/>
        <w:rPr>
          <w:lang w:val="pl-PL"/>
        </w:rPr>
      </w:pPr>
      <w:r w:rsidRPr="0085218B">
        <w:rPr>
          <w:lang w:val="pl-PL"/>
        </w:rPr>
        <w:t xml:space="preserve">Skarżący zarzucili, że </w:t>
      </w:r>
      <w:r w:rsidR="00694FC2" w:rsidRPr="0085218B">
        <w:rPr>
          <w:lang w:val="pl-PL"/>
        </w:rPr>
        <w:t>odmow</w:t>
      </w:r>
      <w:r w:rsidR="00694FC2">
        <w:rPr>
          <w:lang w:val="pl-PL"/>
        </w:rPr>
        <w:t>a</w:t>
      </w:r>
      <w:r w:rsidR="00694FC2" w:rsidRPr="0085218B">
        <w:rPr>
          <w:lang w:val="pl-PL"/>
        </w:rPr>
        <w:t xml:space="preserve"> </w:t>
      </w:r>
      <w:r w:rsidR="00694FC2">
        <w:rPr>
          <w:lang w:val="pl-PL"/>
        </w:rPr>
        <w:t xml:space="preserve">wykonania przez władze belgijskie </w:t>
      </w:r>
      <w:r w:rsidR="00F86C29">
        <w:rPr>
          <w:lang w:val="pl-PL"/>
        </w:rPr>
        <w:t>europejskich nakazów aresztowania</w:t>
      </w:r>
      <w:r w:rsidR="00694FC2">
        <w:rPr>
          <w:lang w:val="pl-PL"/>
        </w:rPr>
        <w:t xml:space="preserve"> w ramach systemu funkcjonującego w Unii Europejskiej (UE) uniemożliwiła </w:t>
      </w:r>
      <w:r w:rsidRPr="0085218B">
        <w:rPr>
          <w:lang w:val="pl-PL"/>
        </w:rPr>
        <w:t>władzom hiszpańskim ściganie N.J.E</w:t>
      </w:r>
      <w:r>
        <w:rPr>
          <w:lang w:val="pl-PL"/>
        </w:rPr>
        <w:t xml:space="preserve">.  </w:t>
      </w:r>
    </w:p>
    <w:p w:rsidR="0085218B" w:rsidRPr="00694FC2" w:rsidRDefault="0085218B">
      <w:pPr>
        <w:pStyle w:val="ClinContent"/>
        <w:rPr>
          <w:lang w:val="pl-PL"/>
        </w:rPr>
      </w:pPr>
      <w:r w:rsidRPr="00694FC2">
        <w:rPr>
          <w:i/>
          <w:lang w:val="pl-PL"/>
        </w:rPr>
        <w:t>Prawo</w:t>
      </w:r>
    </w:p>
    <w:p w:rsidR="0085218B" w:rsidRPr="0085218B" w:rsidRDefault="0085218B">
      <w:pPr>
        <w:pStyle w:val="ClinContent"/>
        <w:rPr>
          <w:lang w:val="pl-PL"/>
        </w:rPr>
      </w:pPr>
      <w:r w:rsidRPr="0085218B">
        <w:rPr>
          <w:lang w:val="pl-PL"/>
        </w:rPr>
        <w:t xml:space="preserve">Art. 1 (jurysdykcja </w:t>
      </w:r>
      <w:r w:rsidRPr="0085218B">
        <w:rPr>
          <w:i/>
          <w:lang w:val="pl-PL"/>
        </w:rPr>
        <w:t xml:space="preserve">ratione </w:t>
      </w:r>
      <w:proofErr w:type="spellStart"/>
      <w:r w:rsidRPr="0085218B">
        <w:rPr>
          <w:i/>
          <w:lang w:val="pl-PL"/>
        </w:rPr>
        <w:t>loci</w:t>
      </w:r>
      <w:proofErr w:type="spellEnd"/>
      <w:r w:rsidRPr="0085218B">
        <w:rPr>
          <w:i/>
          <w:lang w:val="pl-PL"/>
        </w:rPr>
        <w:t>)</w:t>
      </w:r>
      <w:r w:rsidR="004A3FC1">
        <w:rPr>
          <w:i/>
          <w:lang w:val="pl-PL"/>
        </w:rPr>
        <w:t xml:space="preserve"> </w:t>
      </w:r>
      <w:r w:rsidR="004A3FC1" w:rsidRPr="004A3FC1">
        <w:rPr>
          <w:lang w:val="pl-PL"/>
        </w:rPr>
        <w:t>[Konwencji o ochronie praw człowieka i podstawowych wolności]</w:t>
      </w:r>
      <w:r w:rsidRPr="0085218B">
        <w:rPr>
          <w:i/>
          <w:lang w:val="pl-PL"/>
        </w:rPr>
        <w:t xml:space="preserve">: </w:t>
      </w:r>
      <w:r w:rsidRPr="0085218B">
        <w:rPr>
          <w:lang w:val="pl-PL"/>
        </w:rPr>
        <w:t xml:space="preserve">Zarzut skarżących na podstawie art. </w:t>
      </w:r>
      <w:r>
        <w:rPr>
          <w:lang w:val="pl-PL"/>
        </w:rPr>
        <w:t>2 Konwencji dotyczący Belgii odnosi</w:t>
      </w:r>
      <w:r w:rsidR="005A7D38">
        <w:rPr>
          <w:lang w:val="pl-PL"/>
        </w:rPr>
        <w:t>ł</w:t>
      </w:r>
      <w:r>
        <w:rPr>
          <w:lang w:val="pl-PL"/>
        </w:rPr>
        <w:t xml:space="preserve"> się do zarzucanego braku współpracy władz belgijskich z ich hiszpańskimi odpowiednikami </w:t>
      </w:r>
      <w:r w:rsidR="00F86C29">
        <w:rPr>
          <w:lang w:val="pl-PL"/>
        </w:rPr>
        <w:t>po</w:t>
      </w:r>
      <w:r w:rsidR="008F7D61">
        <w:rPr>
          <w:lang w:val="pl-PL"/>
        </w:rPr>
        <w:t>przez brak podjęcia</w:t>
      </w:r>
      <w:r>
        <w:rPr>
          <w:lang w:val="pl-PL"/>
        </w:rPr>
        <w:t xml:space="preserve"> koniecznych kroków w celu umożliwienia postawienia przed sądem </w:t>
      </w:r>
      <w:r w:rsidR="005A7D38">
        <w:rPr>
          <w:lang w:val="pl-PL"/>
        </w:rPr>
        <w:t xml:space="preserve">w Hiszpanii </w:t>
      </w:r>
      <w:r w:rsidR="00F86C29">
        <w:rPr>
          <w:lang w:val="pl-PL"/>
        </w:rPr>
        <w:t xml:space="preserve">osoby </w:t>
      </w:r>
      <w:r>
        <w:rPr>
          <w:lang w:val="pl-PL"/>
        </w:rPr>
        <w:t>podejrzane</w:t>
      </w:r>
      <w:r w:rsidR="00334FA2">
        <w:rPr>
          <w:lang w:val="pl-PL"/>
        </w:rPr>
        <w:t>j</w:t>
      </w:r>
      <w:r>
        <w:rPr>
          <w:lang w:val="pl-PL"/>
        </w:rPr>
        <w:t xml:space="preserve"> o zabójstwo ojca skarżących, któr</w:t>
      </w:r>
      <w:r w:rsidR="00694FC2">
        <w:rPr>
          <w:lang w:val="pl-PL"/>
        </w:rPr>
        <w:t>a</w:t>
      </w:r>
      <w:r>
        <w:rPr>
          <w:lang w:val="pl-PL"/>
        </w:rPr>
        <w:t xml:space="preserve"> zbiegł</w:t>
      </w:r>
      <w:r w:rsidR="00694FC2">
        <w:rPr>
          <w:lang w:val="pl-PL"/>
        </w:rPr>
        <w:t>a</w:t>
      </w:r>
      <w:r>
        <w:rPr>
          <w:lang w:val="pl-PL"/>
        </w:rPr>
        <w:t xml:space="preserve"> do Belgii. </w:t>
      </w:r>
      <w:r w:rsidR="00694FC2">
        <w:rPr>
          <w:lang w:val="pl-PL"/>
        </w:rPr>
        <w:lastRenderedPageBreak/>
        <w:t>Skarga</w:t>
      </w:r>
      <w:r w:rsidR="005A7D38">
        <w:rPr>
          <w:lang w:val="pl-PL"/>
        </w:rPr>
        <w:t xml:space="preserve"> nie opierał</w:t>
      </w:r>
      <w:r w:rsidR="000B5A11">
        <w:rPr>
          <w:lang w:val="pl-PL"/>
        </w:rPr>
        <w:t>a</w:t>
      </w:r>
      <w:r w:rsidR="005A7D38">
        <w:rPr>
          <w:lang w:val="pl-PL"/>
        </w:rPr>
        <w:t xml:space="preserve"> się </w:t>
      </w:r>
      <w:r w:rsidR="00694FC2">
        <w:rPr>
          <w:lang w:val="pl-PL"/>
        </w:rPr>
        <w:t xml:space="preserve">zatem </w:t>
      </w:r>
      <w:r w:rsidR="008F7D61">
        <w:rPr>
          <w:lang w:val="pl-PL"/>
        </w:rPr>
        <w:t>na zarzucie niewypełnienia</w:t>
      </w:r>
      <w:r w:rsidR="005A7D38">
        <w:rPr>
          <w:lang w:val="pl-PL"/>
        </w:rPr>
        <w:t xml:space="preserve"> przez Belgię ewentualnego obowiązku proceduralnego przeprowadzenia </w:t>
      </w:r>
      <w:r w:rsidR="00694FC2">
        <w:rPr>
          <w:lang w:val="pl-PL"/>
        </w:rPr>
        <w:t xml:space="preserve">własnego </w:t>
      </w:r>
      <w:r w:rsidR="005A7D38">
        <w:rPr>
          <w:lang w:val="pl-PL"/>
        </w:rPr>
        <w:t xml:space="preserve">śledztwa w sprawie zabójstwa. </w:t>
      </w:r>
    </w:p>
    <w:p w:rsidR="005A7D38" w:rsidRPr="005A7D38" w:rsidRDefault="005A7D38">
      <w:pPr>
        <w:pStyle w:val="ClinContent"/>
        <w:rPr>
          <w:lang w:val="pl-PL"/>
        </w:rPr>
      </w:pPr>
      <w:r w:rsidRPr="005A7D38">
        <w:rPr>
          <w:lang w:val="pl-PL"/>
        </w:rPr>
        <w:t xml:space="preserve">W kontekście </w:t>
      </w:r>
      <w:r w:rsidR="00334FA2" w:rsidRPr="005A7D38">
        <w:rPr>
          <w:lang w:val="pl-PL"/>
        </w:rPr>
        <w:t>istnienia</w:t>
      </w:r>
      <w:r w:rsidRPr="005A7D38">
        <w:rPr>
          <w:lang w:val="pl-PL"/>
        </w:rPr>
        <w:t xml:space="preserve"> wzajemnych zobowiązań dwóch </w:t>
      </w:r>
      <w:r w:rsidR="00334FA2" w:rsidRPr="005A7D38">
        <w:rPr>
          <w:lang w:val="pl-PL"/>
        </w:rPr>
        <w:t>zainteresowanych</w:t>
      </w:r>
      <w:r w:rsidRPr="005A7D38">
        <w:rPr>
          <w:lang w:val="pl-PL"/>
        </w:rPr>
        <w:t xml:space="preserve"> państw do</w:t>
      </w:r>
      <w:r w:rsidR="004A3FC1">
        <w:rPr>
          <w:lang w:val="pl-PL"/>
        </w:rPr>
        <w:t> </w:t>
      </w:r>
      <w:r w:rsidR="00334FA2">
        <w:rPr>
          <w:lang w:val="pl-PL"/>
        </w:rPr>
        <w:t>współpracy</w:t>
      </w:r>
      <w:r>
        <w:rPr>
          <w:lang w:val="pl-PL"/>
        </w:rPr>
        <w:t xml:space="preserve"> w sprawach karnych </w:t>
      </w:r>
      <w:r w:rsidR="00334FA2">
        <w:rPr>
          <w:lang w:val="pl-PL"/>
        </w:rPr>
        <w:t xml:space="preserve">w ramach </w:t>
      </w:r>
      <w:r>
        <w:rPr>
          <w:lang w:val="pl-PL"/>
        </w:rPr>
        <w:t>procedury europejskiego nakazu aresztowania władze belgijskie zostały poinformowane o zamiarze władz hiszpańskich ścigania N.J.E</w:t>
      </w:r>
      <w:r w:rsidR="000B5A11">
        <w:rPr>
          <w:lang w:val="pl-PL"/>
        </w:rPr>
        <w:t>.</w:t>
      </w:r>
      <w:r>
        <w:rPr>
          <w:lang w:val="pl-PL"/>
        </w:rPr>
        <w:t xml:space="preserve"> i zostały poproszone o jej zatrzymanie i wydanie.  </w:t>
      </w:r>
    </w:p>
    <w:p w:rsidR="00334FA2" w:rsidRPr="00334FA2" w:rsidRDefault="00334FA2">
      <w:pPr>
        <w:pStyle w:val="ClinContent"/>
        <w:rPr>
          <w:lang w:val="pl-PL"/>
        </w:rPr>
      </w:pPr>
      <w:r w:rsidRPr="00334FA2">
        <w:rPr>
          <w:lang w:val="pl-PL"/>
        </w:rPr>
        <w:t xml:space="preserve">Okoliczności te były wystarczające do stwierdzenia przez Trybunał, że </w:t>
      </w:r>
      <w:r w:rsidR="00694FC2" w:rsidRPr="00334FA2">
        <w:rPr>
          <w:lang w:val="pl-PL"/>
        </w:rPr>
        <w:t xml:space="preserve">na potrzeby art. </w:t>
      </w:r>
      <w:r w:rsidR="00694FC2">
        <w:rPr>
          <w:lang w:val="pl-PL"/>
        </w:rPr>
        <w:t xml:space="preserve">1 </w:t>
      </w:r>
      <w:r w:rsidRPr="00334FA2">
        <w:rPr>
          <w:lang w:val="pl-PL"/>
        </w:rPr>
        <w:t xml:space="preserve">istniało powiązanie jurysdykcyjne między skarżącymi a Belgią </w:t>
      </w:r>
      <w:r>
        <w:rPr>
          <w:lang w:val="pl-PL"/>
        </w:rPr>
        <w:t xml:space="preserve">w odniesieniu do zarzutu skarżących na podstawie art. 2 w jego aspekcie proceduralnym. </w:t>
      </w:r>
    </w:p>
    <w:p w:rsidR="00334FA2" w:rsidRPr="00334FA2" w:rsidRDefault="00334FA2">
      <w:pPr>
        <w:pStyle w:val="ClinContent"/>
        <w:rPr>
          <w:lang w:val="pl-PL"/>
        </w:rPr>
      </w:pPr>
      <w:r w:rsidRPr="00694FC2">
        <w:rPr>
          <w:i/>
          <w:lang w:val="pl-PL"/>
        </w:rPr>
        <w:t>Rozstrzygnięcie</w:t>
      </w:r>
      <w:r w:rsidRPr="00334FA2">
        <w:rPr>
          <w:lang w:val="pl-PL"/>
        </w:rPr>
        <w:t xml:space="preserve">: oddalenie zastrzeżenia wstępnego (jednogłośnie). </w:t>
      </w:r>
    </w:p>
    <w:p w:rsidR="00334FA2" w:rsidRPr="00334FA2" w:rsidRDefault="00334FA2">
      <w:pPr>
        <w:pStyle w:val="ClinContent"/>
        <w:rPr>
          <w:lang w:val="pl-PL"/>
        </w:rPr>
      </w:pPr>
      <w:r w:rsidRPr="00334FA2">
        <w:rPr>
          <w:lang w:val="pl-PL"/>
        </w:rPr>
        <w:t>Art. 2 (</w:t>
      </w:r>
      <w:r w:rsidRPr="00334FA2">
        <w:rPr>
          <w:i/>
          <w:lang w:val="pl-PL"/>
        </w:rPr>
        <w:t>aspekt proceduralny</w:t>
      </w:r>
      <w:r w:rsidRPr="00334FA2">
        <w:rPr>
          <w:lang w:val="pl-PL"/>
        </w:rPr>
        <w:t xml:space="preserve">): W kontekście wykonywania </w:t>
      </w:r>
      <w:r w:rsidR="00F86C29" w:rsidRPr="00334FA2">
        <w:rPr>
          <w:lang w:val="pl-PL"/>
        </w:rPr>
        <w:t xml:space="preserve">europejskiego nakazu aresztowania </w:t>
      </w:r>
      <w:r w:rsidRPr="00334FA2">
        <w:rPr>
          <w:lang w:val="pl-PL"/>
        </w:rPr>
        <w:t xml:space="preserve">przez państwo członkowskie UE </w:t>
      </w:r>
      <w:r w:rsidR="00F86C29" w:rsidRPr="00334FA2">
        <w:rPr>
          <w:lang w:val="pl-PL"/>
        </w:rPr>
        <w:t xml:space="preserve">nie </w:t>
      </w:r>
      <w:r w:rsidR="00F86C29">
        <w:rPr>
          <w:lang w:val="pl-PL"/>
        </w:rPr>
        <w:t xml:space="preserve">należy stosować </w:t>
      </w:r>
      <w:r w:rsidR="001C2A00">
        <w:rPr>
          <w:lang w:val="pl-PL"/>
        </w:rPr>
        <w:t>mechanizmu</w:t>
      </w:r>
      <w:r w:rsidR="001C2A00" w:rsidRPr="00334FA2">
        <w:rPr>
          <w:lang w:val="pl-PL"/>
        </w:rPr>
        <w:t xml:space="preserve"> wzajemnego uznawania </w:t>
      </w:r>
      <w:r w:rsidR="0055007C">
        <w:rPr>
          <w:lang w:val="pl-PL"/>
        </w:rPr>
        <w:t>w sposób automatyczny i mechaniczny,</w:t>
      </w:r>
      <w:r w:rsidRPr="00334FA2">
        <w:rPr>
          <w:lang w:val="pl-PL"/>
        </w:rPr>
        <w:t xml:space="preserve"> ze szkodą dla praw podstawowych. </w:t>
      </w:r>
      <w:r>
        <w:rPr>
          <w:lang w:val="pl-PL"/>
        </w:rPr>
        <w:t xml:space="preserve">W świetle domniemania poszanowania praw podstawowych przez państwo wydające nakaz, </w:t>
      </w:r>
      <w:r w:rsidR="001C2A00">
        <w:rPr>
          <w:lang w:val="pl-PL"/>
        </w:rPr>
        <w:t xml:space="preserve">które </w:t>
      </w:r>
      <w:r>
        <w:rPr>
          <w:lang w:val="pl-PL"/>
        </w:rPr>
        <w:t>leż</w:t>
      </w:r>
      <w:r w:rsidR="001C2A00">
        <w:rPr>
          <w:lang w:val="pl-PL"/>
        </w:rPr>
        <w:t>y</w:t>
      </w:r>
      <w:r>
        <w:rPr>
          <w:lang w:val="pl-PL"/>
        </w:rPr>
        <w:t xml:space="preserve"> u podstaw koncepcji wzajemnego zaufania między państwami członkowskimi UE, odmowa wydania osoby </w:t>
      </w:r>
      <w:r w:rsidR="0055007C">
        <w:rPr>
          <w:lang w:val="pl-PL"/>
        </w:rPr>
        <w:t>powinna</w:t>
      </w:r>
      <w:r>
        <w:rPr>
          <w:lang w:val="pl-PL"/>
        </w:rPr>
        <w:t xml:space="preserve"> być uzasadniona</w:t>
      </w:r>
      <w:r w:rsidR="008F7D61">
        <w:rPr>
          <w:lang w:val="pl-PL"/>
        </w:rPr>
        <w:t xml:space="preserve"> w</w:t>
      </w:r>
      <w:r w:rsidR="004A3FC1">
        <w:rPr>
          <w:lang w:val="pl-PL"/>
        </w:rPr>
        <w:t> </w:t>
      </w:r>
      <w:r w:rsidR="008F7D61">
        <w:rPr>
          <w:lang w:val="pl-PL"/>
        </w:rPr>
        <w:t>oparciu o szczegółową informację</w:t>
      </w:r>
      <w:r>
        <w:rPr>
          <w:lang w:val="pl-PL"/>
        </w:rPr>
        <w:t xml:space="preserve"> wskazującą na wyraźne zagrożenie dla praw podstawowych osoby</w:t>
      </w:r>
      <w:r w:rsidR="0055007C">
        <w:rPr>
          <w:lang w:val="pl-PL"/>
        </w:rPr>
        <w:t xml:space="preserve">, </w:t>
      </w:r>
      <w:r w:rsidR="008F7D61">
        <w:rPr>
          <w:lang w:val="pl-PL"/>
        </w:rPr>
        <w:t>będącą</w:t>
      </w:r>
      <w:r>
        <w:rPr>
          <w:lang w:val="pl-PL"/>
        </w:rPr>
        <w:t xml:space="preserve"> w stanie obalić to domniemanie. W </w:t>
      </w:r>
      <w:r w:rsidR="00F86C29">
        <w:rPr>
          <w:lang w:val="pl-PL"/>
        </w:rPr>
        <w:t xml:space="preserve">omawianej </w:t>
      </w:r>
      <w:r>
        <w:rPr>
          <w:lang w:val="pl-PL"/>
        </w:rPr>
        <w:t xml:space="preserve">sprawie sądy belgijskie uzasadniły swą decyzję o niewykonaniu europejskiego nakazu aresztowania wydanego przez hiszpańskiego sędziego śledczego, powołując się na zagrożenie, że w razie wydania </w:t>
      </w:r>
      <w:r w:rsidR="0055007C">
        <w:rPr>
          <w:lang w:val="pl-PL"/>
        </w:rPr>
        <w:t xml:space="preserve">N.J.E. </w:t>
      </w:r>
      <w:r>
        <w:rPr>
          <w:lang w:val="pl-PL"/>
        </w:rPr>
        <w:t xml:space="preserve">do Hiszpanii </w:t>
      </w:r>
      <w:r w:rsidR="0055007C">
        <w:rPr>
          <w:lang w:val="pl-PL"/>
        </w:rPr>
        <w:t>warunki jej pozbawienia wolności będą sprzeczne</w:t>
      </w:r>
      <w:r>
        <w:rPr>
          <w:lang w:val="pl-PL"/>
        </w:rPr>
        <w:t xml:space="preserve"> z art. 3 Konwencji. To mo</w:t>
      </w:r>
      <w:r w:rsidR="0055007C">
        <w:rPr>
          <w:lang w:val="pl-PL"/>
        </w:rPr>
        <w:t>że</w:t>
      </w:r>
      <w:r>
        <w:rPr>
          <w:lang w:val="pl-PL"/>
        </w:rPr>
        <w:t xml:space="preserve"> stanowić uprawnioną podstawę odmowy wykonania nakazu aresztowania, a zatem odmowy współpracy z Hiszpanią. Jednak z</w:t>
      </w:r>
      <w:r w:rsidR="004A3FC1">
        <w:rPr>
          <w:lang w:val="pl-PL"/>
        </w:rPr>
        <w:t> </w:t>
      </w:r>
      <w:r>
        <w:rPr>
          <w:lang w:val="pl-PL"/>
        </w:rPr>
        <w:t xml:space="preserve">uwagi na </w:t>
      </w:r>
      <w:r w:rsidR="0055007C">
        <w:rPr>
          <w:lang w:val="pl-PL"/>
        </w:rPr>
        <w:t xml:space="preserve">fakt, że w grę wchodzą </w:t>
      </w:r>
      <w:r>
        <w:rPr>
          <w:lang w:val="pl-PL"/>
        </w:rPr>
        <w:t>praw</w:t>
      </w:r>
      <w:r w:rsidR="0055007C">
        <w:rPr>
          <w:lang w:val="pl-PL"/>
        </w:rPr>
        <w:t>a</w:t>
      </w:r>
      <w:r>
        <w:rPr>
          <w:lang w:val="pl-PL"/>
        </w:rPr>
        <w:t xml:space="preserve"> strony trzeciej</w:t>
      </w:r>
      <w:r w:rsidR="0055007C">
        <w:rPr>
          <w:lang w:val="pl-PL"/>
        </w:rPr>
        <w:t>,</w:t>
      </w:r>
      <w:r>
        <w:rPr>
          <w:lang w:val="pl-PL"/>
        </w:rPr>
        <w:t xml:space="preserve"> stwierdzenie istnienia takiego zagrożenia musi </w:t>
      </w:r>
      <w:r w:rsidR="00A82B38">
        <w:rPr>
          <w:lang w:val="pl-PL"/>
        </w:rPr>
        <w:t xml:space="preserve">mieć wystarczającą podstawę faktyczną. </w:t>
      </w:r>
    </w:p>
    <w:p w:rsidR="00A82B38" w:rsidRPr="00A82B38" w:rsidRDefault="00A82B38">
      <w:pPr>
        <w:pStyle w:val="ClinContent"/>
        <w:rPr>
          <w:lang w:val="pl-PL"/>
        </w:rPr>
      </w:pPr>
      <w:r w:rsidRPr="00A82B38">
        <w:rPr>
          <w:lang w:val="pl-PL"/>
        </w:rPr>
        <w:t xml:space="preserve">Wydział </w:t>
      </w:r>
      <w:r w:rsidR="008F7D61" w:rsidRPr="00A82B38">
        <w:rPr>
          <w:lang w:val="pl-PL"/>
        </w:rPr>
        <w:t xml:space="preserve">oskarżeń </w:t>
      </w:r>
      <w:r w:rsidRPr="00A82B38">
        <w:rPr>
          <w:lang w:val="pl-PL"/>
        </w:rPr>
        <w:t xml:space="preserve">oparł swą decyzję głównie na </w:t>
      </w:r>
      <w:r w:rsidR="00F86C29">
        <w:rPr>
          <w:lang w:val="pl-PL"/>
        </w:rPr>
        <w:t>raportach</w:t>
      </w:r>
      <w:r w:rsidR="00F86C29" w:rsidRPr="00A82B38">
        <w:rPr>
          <w:lang w:val="pl-PL"/>
        </w:rPr>
        <w:t xml:space="preserve"> </w:t>
      </w:r>
      <w:r w:rsidRPr="00A82B38">
        <w:rPr>
          <w:lang w:val="pl-PL"/>
        </w:rPr>
        <w:t>międzynarodowych</w:t>
      </w:r>
      <w:r>
        <w:rPr>
          <w:lang w:val="pl-PL"/>
        </w:rPr>
        <w:t xml:space="preserve"> z 2011 r. i</w:t>
      </w:r>
      <w:r w:rsidR="004A3FC1">
        <w:rPr>
          <w:lang w:val="pl-PL"/>
        </w:rPr>
        <w:t> </w:t>
      </w:r>
      <w:r>
        <w:rPr>
          <w:lang w:val="pl-PL"/>
        </w:rPr>
        <w:t xml:space="preserve">2014 r. i </w:t>
      </w:r>
      <w:r w:rsidR="00F86C29">
        <w:rPr>
          <w:lang w:val="pl-PL"/>
        </w:rPr>
        <w:t xml:space="preserve">odwołał się do </w:t>
      </w:r>
      <w:r>
        <w:rPr>
          <w:lang w:val="pl-PL"/>
        </w:rPr>
        <w:t>kontek</w:t>
      </w:r>
      <w:r w:rsidR="00F86C29">
        <w:rPr>
          <w:lang w:val="pl-PL"/>
        </w:rPr>
        <w:t>stu</w:t>
      </w:r>
      <w:r>
        <w:rPr>
          <w:lang w:val="pl-PL"/>
        </w:rPr>
        <w:t xml:space="preserve"> „współczesnej historii politycznej Hiszpanii”. Nie</w:t>
      </w:r>
      <w:r w:rsidR="004A3FC1">
        <w:rPr>
          <w:lang w:val="pl-PL"/>
        </w:rPr>
        <w:t> </w:t>
      </w:r>
      <w:r>
        <w:rPr>
          <w:lang w:val="pl-PL"/>
        </w:rPr>
        <w:t xml:space="preserve">przeprowadził szczegółowego, zaktualizowanego badania sytuacji mającej miejsce </w:t>
      </w:r>
      <w:r w:rsidR="001C2A00">
        <w:rPr>
          <w:lang w:val="pl-PL"/>
        </w:rPr>
        <w:t>w</w:t>
      </w:r>
      <w:r w:rsidR="004A3FC1">
        <w:rPr>
          <w:lang w:val="pl-PL"/>
        </w:rPr>
        <w:t> </w:t>
      </w:r>
      <w:r>
        <w:rPr>
          <w:lang w:val="pl-PL"/>
        </w:rPr>
        <w:t>2016 r. i nie próbował stwierdzić rzeczywistego indywidualnego ryzyka naruszenia praw konwencyjnych N.J.E. ani jakichkolwiek wad systemowych do</w:t>
      </w:r>
      <w:r w:rsidR="00F86C29">
        <w:rPr>
          <w:lang w:val="pl-PL"/>
        </w:rPr>
        <w:t>tyczących</w:t>
      </w:r>
      <w:r>
        <w:rPr>
          <w:lang w:val="pl-PL"/>
        </w:rPr>
        <w:t xml:space="preserve"> warunków pozbawienia wolności w Hiszpanii. </w:t>
      </w:r>
      <w:r w:rsidRPr="00A82B38">
        <w:rPr>
          <w:lang w:val="pl-PL"/>
        </w:rPr>
        <w:t xml:space="preserve"> </w:t>
      </w:r>
    </w:p>
    <w:p w:rsidR="00D227A0" w:rsidRPr="00D227A0" w:rsidRDefault="00D227A0">
      <w:pPr>
        <w:pStyle w:val="ClinContent"/>
        <w:rPr>
          <w:lang w:val="pl-PL"/>
        </w:rPr>
      </w:pPr>
      <w:r w:rsidRPr="00D227A0">
        <w:rPr>
          <w:lang w:val="pl-PL"/>
        </w:rPr>
        <w:t>W przeszłości zosta</w:t>
      </w:r>
      <w:r>
        <w:rPr>
          <w:lang w:val="pl-PL"/>
        </w:rPr>
        <w:t>ł</w:t>
      </w:r>
      <w:r w:rsidRPr="00D227A0">
        <w:rPr>
          <w:lang w:val="pl-PL"/>
        </w:rPr>
        <w:t>y wykonane liczne europejskie nakazy aresztowania w odniesieniu do</w:t>
      </w:r>
      <w:r w:rsidR="004A3FC1">
        <w:rPr>
          <w:lang w:val="pl-PL"/>
        </w:rPr>
        <w:t> </w:t>
      </w:r>
      <w:r w:rsidRPr="00D227A0">
        <w:rPr>
          <w:lang w:val="pl-PL"/>
        </w:rPr>
        <w:t>domniemanych członków ETA, a państwa wykonujące te nakazy, w tym Belgia, nie</w:t>
      </w:r>
      <w:r w:rsidR="004A3FC1">
        <w:rPr>
          <w:lang w:val="pl-PL"/>
        </w:rPr>
        <w:t> </w:t>
      </w:r>
      <w:r w:rsidRPr="00D227A0">
        <w:rPr>
          <w:lang w:val="pl-PL"/>
        </w:rPr>
        <w:t xml:space="preserve">dostrzegały </w:t>
      </w:r>
      <w:r>
        <w:rPr>
          <w:lang w:val="pl-PL"/>
        </w:rPr>
        <w:t xml:space="preserve">ryzyka naruszenia praw podstawowych osób, o których wydanie wnioskowano. </w:t>
      </w:r>
    </w:p>
    <w:p w:rsidR="00D227A0" w:rsidRPr="00D227A0" w:rsidRDefault="00D227A0">
      <w:pPr>
        <w:pStyle w:val="ClinContent"/>
        <w:rPr>
          <w:lang w:val="pl-PL"/>
        </w:rPr>
      </w:pPr>
      <w:r w:rsidRPr="00D227A0">
        <w:rPr>
          <w:lang w:val="pl-PL"/>
        </w:rPr>
        <w:t>W świetle okoliczności sprawy i wchodzących w grę interesów</w:t>
      </w:r>
      <w:r w:rsidR="000B5A11">
        <w:rPr>
          <w:lang w:val="pl-PL"/>
        </w:rPr>
        <w:t>, wykorzystując możliwość prz</w:t>
      </w:r>
      <w:r w:rsidR="00F86C29">
        <w:rPr>
          <w:lang w:val="pl-PL"/>
        </w:rPr>
        <w:t>ewidzianą</w:t>
      </w:r>
      <w:r w:rsidRPr="00D227A0">
        <w:rPr>
          <w:lang w:val="pl-PL"/>
        </w:rPr>
        <w:t xml:space="preserve"> na podstawie prawa krajowego, </w:t>
      </w:r>
      <w:r w:rsidR="00F86C29" w:rsidRPr="00D227A0">
        <w:rPr>
          <w:lang w:val="pl-PL"/>
        </w:rPr>
        <w:t>władze belgijski</w:t>
      </w:r>
      <w:r w:rsidR="00F86C29">
        <w:rPr>
          <w:lang w:val="pl-PL"/>
        </w:rPr>
        <w:t>e</w:t>
      </w:r>
      <w:r w:rsidR="00F86C29" w:rsidRPr="00D227A0">
        <w:rPr>
          <w:lang w:val="pl-PL"/>
        </w:rPr>
        <w:t xml:space="preserve"> </w:t>
      </w:r>
      <w:r w:rsidRPr="00D227A0">
        <w:rPr>
          <w:lang w:val="pl-PL"/>
        </w:rPr>
        <w:t xml:space="preserve">powinny były zwrócić się o </w:t>
      </w:r>
      <w:r w:rsidR="0055007C">
        <w:rPr>
          <w:lang w:val="pl-PL"/>
        </w:rPr>
        <w:t>dodatkowe informacje</w:t>
      </w:r>
      <w:r w:rsidRPr="00D227A0">
        <w:rPr>
          <w:lang w:val="pl-PL"/>
        </w:rPr>
        <w:t xml:space="preserve"> </w:t>
      </w:r>
      <w:r>
        <w:rPr>
          <w:lang w:val="pl-PL"/>
        </w:rPr>
        <w:t>na temat reżimu więziennego w sprawie N.J.E., a konkretnie miejsca i warunków pozbawienia wolności, w celu zweryfikowania, czy wydanie jej pociąga</w:t>
      </w:r>
      <w:r w:rsidR="0055007C">
        <w:rPr>
          <w:lang w:val="pl-PL"/>
        </w:rPr>
        <w:t>łoby</w:t>
      </w:r>
      <w:r w:rsidR="00286A6B">
        <w:rPr>
          <w:lang w:val="pl-PL"/>
        </w:rPr>
        <w:t xml:space="preserve"> za sobą</w:t>
      </w:r>
      <w:r>
        <w:rPr>
          <w:lang w:val="pl-PL"/>
        </w:rPr>
        <w:t xml:space="preserve"> rzeczywiste i konkretne ryzyko naruszenia Konwencji. </w:t>
      </w:r>
    </w:p>
    <w:p w:rsidR="00D227A0" w:rsidRPr="00D227A0" w:rsidRDefault="00286A6B">
      <w:pPr>
        <w:pStyle w:val="ClinContent"/>
        <w:rPr>
          <w:lang w:val="pl-PL"/>
        </w:rPr>
      </w:pPr>
      <w:r>
        <w:rPr>
          <w:lang w:val="pl-PL"/>
        </w:rPr>
        <w:t>K</w:t>
      </w:r>
      <w:r w:rsidR="00D227A0" w:rsidRPr="00D227A0">
        <w:rPr>
          <w:lang w:val="pl-PL"/>
        </w:rPr>
        <w:t xml:space="preserve">ontrola </w:t>
      </w:r>
      <w:r>
        <w:rPr>
          <w:lang w:val="pl-PL"/>
        </w:rPr>
        <w:t>do</w:t>
      </w:r>
      <w:r w:rsidR="00D227A0" w:rsidRPr="00D227A0">
        <w:rPr>
          <w:lang w:val="pl-PL"/>
        </w:rPr>
        <w:t>konana przez sądy belgijskie w trak</w:t>
      </w:r>
      <w:r w:rsidR="00D227A0">
        <w:rPr>
          <w:lang w:val="pl-PL"/>
        </w:rPr>
        <w:t>c</w:t>
      </w:r>
      <w:r w:rsidR="00D227A0" w:rsidRPr="00D227A0">
        <w:rPr>
          <w:lang w:val="pl-PL"/>
        </w:rPr>
        <w:t xml:space="preserve">ie procedury wydania nie była </w:t>
      </w:r>
      <w:r>
        <w:rPr>
          <w:lang w:val="pl-PL"/>
        </w:rPr>
        <w:t xml:space="preserve">zatem </w:t>
      </w:r>
      <w:r w:rsidR="00D227A0" w:rsidRPr="00D227A0">
        <w:rPr>
          <w:lang w:val="pl-PL"/>
        </w:rPr>
        <w:t>wystarczająco dogłębna, by Trybunał mógł uznać, że p</w:t>
      </w:r>
      <w:r w:rsidR="00D227A0">
        <w:rPr>
          <w:lang w:val="pl-PL"/>
        </w:rPr>
        <w:t>rzesłanki</w:t>
      </w:r>
      <w:r w:rsidR="00D227A0" w:rsidRPr="00D227A0">
        <w:rPr>
          <w:lang w:val="pl-PL"/>
        </w:rPr>
        <w:t>, na któr</w:t>
      </w:r>
      <w:r>
        <w:rPr>
          <w:lang w:val="pl-PL"/>
        </w:rPr>
        <w:t>ych oparły one swą odmowę</w:t>
      </w:r>
      <w:r w:rsidR="00D227A0" w:rsidRPr="00D227A0">
        <w:rPr>
          <w:lang w:val="pl-PL"/>
        </w:rPr>
        <w:t xml:space="preserve"> wydania N.J.E.</w:t>
      </w:r>
      <w:r w:rsidR="00D227A0">
        <w:rPr>
          <w:lang w:val="pl-PL"/>
        </w:rPr>
        <w:t>,</w:t>
      </w:r>
      <w:r w:rsidR="00D227A0" w:rsidRPr="00D227A0">
        <w:rPr>
          <w:lang w:val="pl-PL"/>
        </w:rPr>
        <w:t xml:space="preserve"> ze szkodą dla praw skarżących, miały wystarczającą podst</w:t>
      </w:r>
      <w:r w:rsidR="00D227A0">
        <w:rPr>
          <w:lang w:val="pl-PL"/>
        </w:rPr>
        <w:t>a</w:t>
      </w:r>
      <w:r w:rsidR="00D227A0" w:rsidRPr="00D227A0">
        <w:rPr>
          <w:lang w:val="pl-PL"/>
        </w:rPr>
        <w:t xml:space="preserve">wę faktyczną. </w:t>
      </w:r>
      <w:r w:rsidR="00187506">
        <w:rPr>
          <w:lang w:val="pl-PL"/>
        </w:rPr>
        <w:t xml:space="preserve">Belgia nie wypełniła </w:t>
      </w:r>
      <w:r>
        <w:rPr>
          <w:lang w:val="pl-PL"/>
        </w:rPr>
        <w:t xml:space="preserve">zatem </w:t>
      </w:r>
      <w:r w:rsidR="00187506">
        <w:rPr>
          <w:lang w:val="pl-PL"/>
        </w:rPr>
        <w:t>swego obowiązku współpracy wynikającego z proceduralnego aspektu art. 2</w:t>
      </w:r>
      <w:r>
        <w:rPr>
          <w:lang w:val="pl-PL"/>
        </w:rPr>
        <w:t xml:space="preserve"> i </w:t>
      </w:r>
      <w:r w:rsidR="00187506">
        <w:rPr>
          <w:lang w:val="pl-PL"/>
        </w:rPr>
        <w:t xml:space="preserve">doszło do naruszenia tego postanowienia. </w:t>
      </w:r>
    </w:p>
    <w:p w:rsidR="00187506" w:rsidRPr="00187506" w:rsidRDefault="00187506">
      <w:pPr>
        <w:pStyle w:val="ClinContent"/>
        <w:rPr>
          <w:lang w:val="pl-PL"/>
        </w:rPr>
      </w:pPr>
      <w:r w:rsidRPr="00187506">
        <w:rPr>
          <w:lang w:val="pl-PL"/>
        </w:rPr>
        <w:t xml:space="preserve">Stwierdzenie to nie </w:t>
      </w:r>
      <w:r>
        <w:rPr>
          <w:lang w:val="pl-PL"/>
        </w:rPr>
        <w:t xml:space="preserve">przesądza, że Belgia </w:t>
      </w:r>
      <w:r w:rsidR="001A30E1">
        <w:rPr>
          <w:lang w:val="pl-PL"/>
        </w:rPr>
        <w:t>jest</w:t>
      </w:r>
      <w:r w:rsidR="000B5A11">
        <w:rPr>
          <w:lang w:val="pl-PL"/>
        </w:rPr>
        <w:t xml:space="preserve"> obowiązana</w:t>
      </w:r>
      <w:r>
        <w:rPr>
          <w:lang w:val="pl-PL"/>
        </w:rPr>
        <w:t xml:space="preserve"> wydać N.J.E. władzom </w:t>
      </w:r>
      <w:r w:rsidR="00286A6B">
        <w:rPr>
          <w:lang w:val="pl-PL"/>
        </w:rPr>
        <w:t>hiszpańskim. D</w:t>
      </w:r>
      <w:r>
        <w:rPr>
          <w:lang w:val="pl-PL"/>
        </w:rPr>
        <w:t>o</w:t>
      </w:r>
      <w:r w:rsidR="00286A6B">
        <w:rPr>
          <w:lang w:val="pl-PL"/>
        </w:rPr>
        <w:t xml:space="preserve"> stwierdzenia przez </w:t>
      </w:r>
      <w:r>
        <w:rPr>
          <w:lang w:val="pl-PL"/>
        </w:rPr>
        <w:t>Trybunał naruszenia art. 2</w:t>
      </w:r>
      <w:r w:rsidR="00286A6B">
        <w:rPr>
          <w:lang w:val="pl-PL"/>
        </w:rPr>
        <w:t xml:space="preserve"> doprowadził brak </w:t>
      </w:r>
      <w:r w:rsidR="00286A6B">
        <w:rPr>
          <w:lang w:val="pl-PL"/>
        </w:rPr>
        <w:lastRenderedPageBreak/>
        <w:t>wystarczających podstaw faktycznych d</w:t>
      </w:r>
      <w:r w:rsidR="001C2A00">
        <w:rPr>
          <w:lang w:val="pl-PL"/>
        </w:rPr>
        <w:t>o</w:t>
      </w:r>
      <w:r w:rsidR="00286A6B">
        <w:rPr>
          <w:lang w:val="pl-PL"/>
        </w:rPr>
        <w:t xml:space="preserve"> odmowy wydania</w:t>
      </w:r>
      <w:r>
        <w:rPr>
          <w:lang w:val="pl-PL"/>
        </w:rPr>
        <w:t>. W żaden sposób nie</w:t>
      </w:r>
      <w:r w:rsidR="004A3FC1">
        <w:rPr>
          <w:lang w:val="pl-PL"/>
        </w:rPr>
        <w:t> </w:t>
      </w:r>
      <w:r>
        <w:rPr>
          <w:lang w:val="pl-PL"/>
        </w:rPr>
        <w:t xml:space="preserve">zmniejsza to obowiązku władz belgijskich dokonania weryfikacji, czy w razie wydania </w:t>
      </w:r>
      <w:r w:rsidR="001A30E1">
        <w:rPr>
          <w:lang w:val="pl-PL"/>
        </w:rPr>
        <w:t xml:space="preserve">N.J.E. </w:t>
      </w:r>
      <w:r>
        <w:rPr>
          <w:lang w:val="pl-PL"/>
        </w:rPr>
        <w:t>władzom hiszpańskim nie będzie</w:t>
      </w:r>
      <w:r w:rsidR="001A30E1">
        <w:rPr>
          <w:lang w:val="pl-PL"/>
        </w:rPr>
        <w:t xml:space="preserve"> ona</w:t>
      </w:r>
      <w:r>
        <w:rPr>
          <w:lang w:val="pl-PL"/>
        </w:rPr>
        <w:t xml:space="preserve"> narażona na ryzyko traktowania sprzecznego z art. 3. Ogólnie rzecz biorąc, nie należy rozumieć obecnego wyroku jako zmniejszającego obowiązek państw powstrzymania się od ekstradycji osoby do państwa </w:t>
      </w:r>
      <w:r w:rsidR="00286A6B">
        <w:rPr>
          <w:lang w:val="pl-PL"/>
        </w:rPr>
        <w:t xml:space="preserve">wnioskującego </w:t>
      </w:r>
      <w:r>
        <w:rPr>
          <w:lang w:val="pl-PL"/>
        </w:rPr>
        <w:t>w</w:t>
      </w:r>
      <w:r w:rsidR="00286A6B">
        <w:rPr>
          <w:lang w:val="pl-PL"/>
        </w:rPr>
        <w:t xml:space="preserve"> przypadku</w:t>
      </w:r>
      <w:r>
        <w:rPr>
          <w:lang w:val="pl-PL"/>
        </w:rPr>
        <w:t xml:space="preserve">, gdy </w:t>
      </w:r>
      <w:r w:rsidR="008577AC">
        <w:rPr>
          <w:lang w:val="pl-PL"/>
        </w:rPr>
        <w:t xml:space="preserve">zachodzą </w:t>
      </w:r>
      <w:r>
        <w:rPr>
          <w:lang w:val="pl-PL"/>
        </w:rPr>
        <w:t xml:space="preserve">istotne powody, by sądzić, że w razie ekstradycji do tego państwa osoba </w:t>
      </w:r>
      <w:r w:rsidR="00286A6B">
        <w:rPr>
          <w:lang w:val="pl-PL"/>
        </w:rPr>
        <w:t xml:space="preserve">ta </w:t>
      </w:r>
      <w:r w:rsidR="008577AC">
        <w:rPr>
          <w:lang w:val="pl-PL"/>
        </w:rPr>
        <w:t xml:space="preserve">będzie narażona na rzeczywiste ryzyko traktowania sprzecznego z art. 3, a zatem weryfikowania, czy nie istnieje takie ryzyko. </w:t>
      </w:r>
    </w:p>
    <w:p w:rsidR="008577AC" w:rsidRPr="008A4010" w:rsidRDefault="008577AC">
      <w:pPr>
        <w:pStyle w:val="ClinContent"/>
        <w:rPr>
          <w:lang w:val="pl-PL"/>
        </w:rPr>
      </w:pPr>
      <w:r w:rsidRPr="008A4010">
        <w:rPr>
          <w:i/>
          <w:lang w:val="pl-PL"/>
        </w:rPr>
        <w:t xml:space="preserve">Rozstrzygnięcie: </w:t>
      </w:r>
      <w:r w:rsidRPr="008A4010">
        <w:rPr>
          <w:lang w:val="pl-PL"/>
        </w:rPr>
        <w:t xml:space="preserve">naruszenie (jednogłośnie). </w:t>
      </w:r>
    </w:p>
    <w:p w:rsidR="008577AC" w:rsidRPr="008577AC" w:rsidRDefault="008577AC">
      <w:pPr>
        <w:pStyle w:val="ClinContent"/>
        <w:rPr>
          <w:lang w:val="pl-PL"/>
        </w:rPr>
      </w:pPr>
      <w:r w:rsidRPr="008577AC">
        <w:rPr>
          <w:lang w:val="pl-PL"/>
        </w:rPr>
        <w:t xml:space="preserve">Art. 41: 5000 euro dla każdego ze skarżących tytułem szkody niemajątkowej. </w:t>
      </w:r>
    </w:p>
    <w:p w:rsidR="009717AF" w:rsidRPr="008577AC" w:rsidRDefault="00E4296B">
      <w:pPr>
        <w:pStyle w:val="ClinContent"/>
        <w:rPr>
          <w:lang w:val="pl-PL"/>
        </w:rPr>
      </w:pPr>
      <w:r w:rsidRPr="008577AC">
        <w:rPr>
          <w:lang w:val="pl-PL"/>
        </w:rPr>
        <w:t>(</w:t>
      </w:r>
      <w:r w:rsidR="008577AC" w:rsidRPr="008577AC">
        <w:rPr>
          <w:lang w:val="pl-PL"/>
        </w:rPr>
        <w:t>Zobacz również</w:t>
      </w:r>
      <w:r w:rsidRPr="008577AC">
        <w:rPr>
          <w:lang w:val="pl-PL"/>
        </w:rPr>
        <w:t xml:space="preserve"> </w:t>
      </w:r>
      <w:proofErr w:type="spellStart"/>
      <w:r w:rsidRPr="008577AC">
        <w:rPr>
          <w:i/>
          <w:lang w:val="pl-PL"/>
        </w:rPr>
        <w:t>Soering</w:t>
      </w:r>
      <w:proofErr w:type="spellEnd"/>
      <w:r w:rsidRPr="008577AC">
        <w:rPr>
          <w:i/>
          <w:lang w:val="pl-PL"/>
        </w:rPr>
        <w:t xml:space="preserve"> </w:t>
      </w:r>
      <w:r w:rsidR="008577AC" w:rsidRPr="008577AC">
        <w:rPr>
          <w:i/>
          <w:lang w:val="pl-PL"/>
        </w:rPr>
        <w:t>p.</w:t>
      </w:r>
      <w:r w:rsidR="008577AC">
        <w:rPr>
          <w:i/>
          <w:lang w:val="pl-PL"/>
        </w:rPr>
        <w:t xml:space="preserve"> Zjednoczonemu Królestwu</w:t>
      </w:r>
      <w:r w:rsidRPr="008577AC">
        <w:rPr>
          <w:lang w:val="pl-PL"/>
        </w:rPr>
        <w:t xml:space="preserve">, </w:t>
      </w:r>
      <w:r w:rsidR="008577AC">
        <w:rPr>
          <w:lang w:val="pl-PL"/>
        </w:rPr>
        <w:t xml:space="preserve">nr </w:t>
      </w:r>
      <w:r w:rsidRPr="008577AC">
        <w:rPr>
          <w:lang w:val="pl-PL"/>
        </w:rPr>
        <w:t>14038/88, 7 </w:t>
      </w:r>
      <w:r w:rsidR="008577AC">
        <w:rPr>
          <w:lang w:val="pl-PL"/>
        </w:rPr>
        <w:t>lipca</w:t>
      </w:r>
      <w:r w:rsidRPr="008577AC">
        <w:rPr>
          <w:lang w:val="pl-PL"/>
        </w:rPr>
        <w:t xml:space="preserve"> 1989</w:t>
      </w:r>
      <w:r w:rsidR="008577AC">
        <w:rPr>
          <w:lang w:val="pl-PL"/>
        </w:rPr>
        <w:t xml:space="preserve"> r.</w:t>
      </w:r>
      <w:r w:rsidRPr="008577AC">
        <w:rPr>
          <w:lang w:val="pl-PL"/>
        </w:rPr>
        <w:t xml:space="preserve">; </w:t>
      </w:r>
      <w:proofErr w:type="spellStart"/>
      <w:r w:rsidRPr="008577AC">
        <w:rPr>
          <w:i/>
          <w:lang w:val="pl-PL"/>
        </w:rPr>
        <w:t>Mamatkoulov</w:t>
      </w:r>
      <w:proofErr w:type="spellEnd"/>
      <w:r w:rsidRPr="008577AC">
        <w:rPr>
          <w:i/>
          <w:lang w:val="pl-PL"/>
        </w:rPr>
        <w:t xml:space="preserve"> </w:t>
      </w:r>
      <w:r w:rsidR="008577AC">
        <w:rPr>
          <w:i/>
          <w:lang w:val="pl-PL"/>
        </w:rPr>
        <w:t>i</w:t>
      </w:r>
      <w:r w:rsidRPr="008577AC">
        <w:rPr>
          <w:i/>
          <w:lang w:val="pl-PL"/>
        </w:rPr>
        <w:t xml:space="preserve"> </w:t>
      </w:r>
      <w:proofErr w:type="spellStart"/>
      <w:r w:rsidRPr="008577AC">
        <w:rPr>
          <w:i/>
          <w:lang w:val="pl-PL"/>
        </w:rPr>
        <w:t>Askarov</w:t>
      </w:r>
      <w:proofErr w:type="spellEnd"/>
      <w:r w:rsidRPr="008577AC">
        <w:rPr>
          <w:i/>
          <w:lang w:val="pl-PL"/>
        </w:rPr>
        <w:t xml:space="preserve"> </w:t>
      </w:r>
      <w:r w:rsidR="008577AC" w:rsidRPr="008577AC">
        <w:rPr>
          <w:i/>
          <w:lang w:val="pl-PL"/>
        </w:rPr>
        <w:t>p.</w:t>
      </w:r>
      <w:r w:rsidRPr="008577AC">
        <w:rPr>
          <w:i/>
          <w:lang w:val="pl-PL"/>
        </w:rPr>
        <w:t xml:space="preserve"> Tur</w:t>
      </w:r>
      <w:r w:rsidR="008577AC">
        <w:rPr>
          <w:i/>
          <w:lang w:val="pl-PL"/>
        </w:rPr>
        <w:t>cji</w:t>
      </w:r>
      <w:r w:rsidRPr="008577AC">
        <w:rPr>
          <w:lang w:val="pl-PL"/>
        </w:rPr>
        <w:t xml:space="preserve"> [</w:t>
      </w:r>
      <w:r w:rsidR="008577AC" w:rsidRPr="008577AC">
        <w:rPr>
          <w:lang w:val="pl-PL"/>
        </w:rPr>
        <w:t>WI</w:t>
      </w:r>
      <w:r w:rsidRPr="008577AC">
        <w:rPr>
          <w:lang w:val="pl-PL"/>
        </w:rPr>
        <w:t xml:space="preserve">], </w:t>
      </w:r>
      <w:r w:rsidR="008577AC">
        <w:rPr>
          <w:lang w:val="pl-PL"/>
        </w:rPr>
        <w:t xml:space="preserve">nr </w:t>
      </w:r>
      <w:r w:rsidRPr="008577AC">
        <w:rPr>
          <w:lang w:val="pl-PL"/>
        </w:rPr>
        <w:t xml:space="preserve">46827/99 </w:t>
      </w:r>
      <w:r w:rsidR="008577AC">
        <w:rPr>
          <w:lang w:val="pl-PL"/>
        </w:rPr>
        <w:t xml:space="preserve">i </w:t>
      </w:r>
      <w:r w:rsidRPr="008577AC">
        <w:rPr>
          <w:lang w:val="pl-PL"/>
        </w:rPr>
        <w:t>46951/99, 4 </w:t>
      </w:r>
      <w:r w:rsidR="008577AC">
        <w:rPr>
          <w:lang w:val="pl-PL"/>
        </w:rPr>
        <w:t>lutego</w:t>
      </w:r>
      <w:r w:rsidRPr="008577AC">
        <w:rPr>
          <w:lang w:val="pl-PL"/>
        </w:rPr>
        <w:t xml:space="preserve"> 2005</w:t>
      </w:r>
      <w:r w:rsidR="008577AC">
        <w:rPr>
          <w:lang w:val="pl-PL"/>
        </w:rPr>
        <w:t xml:space="preserve"> r.</w:t>
      </w:r>
      <w:r w:rsidRPr="008577AC">
        <w:rPr>
          <w:lang w:val="pl-PL"/>
        </w:rPr>
        <w:t xml:space="preserve">, </w:t>
      </w:r>
      <w:r w:rsidR="008577AC" w:rsidRPr="008577AC">
        <w:rPr>
          <w:lang w:val="pl-PL"/>
        </w:rPr>
        <w:t>Nota</w:t>
      </w:r>
      <w:r w:rsidR="004A3FC1">
        <w:rPr>
          <w:lang w:val="pl-PL"/>
        </w:rPr>
        <w:t> </w:t>
      </w:r>
      <w:r w:rsidR="008577AC" w:rsidRPr="008577AC">
        <w:rPr>
          <w:lang w:val="pl-PL"/>
        </w:rPr>
        <w:t xml:space="preserve">informacyjna nr </w:t>
      </w:r>
      <w:r w:rsidRPr="008577AC">
        <w:rPr>
          <w:lang w:val="pl-PL"/>
        </w:rPr>
        <w:t xml:space="preserve">72; </w:t>
      </w:r>
      <w:proofErr w:type="spellStart"/>
      <w:r w:rsidRPr="008577AC">
        <w:rPr>
          <w:i/>
          <w:lang w:val="pl-PL"/>
        </w:rPr>
        <w:t>Rantsev</w:t>
      </w:r>
      <w:proofErr w:type="spellEnd"/>
      <w:r w:rsidRPr="008577AC">
        <w:rPr>
          <w:i/>
          <w:lang w:val="pl-PL"/>
        </w:rPr>
        <w:t xml:space="preserve"> </w:t>
      </w:r>
      <w:r w:rsidR="008577AC" w:rsidRPr="008577AC">
        <w:rPr>
          <w:i/>
          <w:lang w:val="pl-PL"/>
        </w:rPr>
        <w:t>p.</w:t>
      </w:r>
      <w:r w:rsidRPr="008577AC">
        <w:rPr>
          <w:i/>
          <w:lang w:val="pl-PL"/>
        </w:rPr>
        <w:t xml:space="preserve"> Cypr</w:t>
      </w:r>
      <w:r w:rsidR="008577AC">
        <w:rPr>
          <w:i/>
          <w:lang w:val="pl-PL"/>
        </w:rPr>
        <w:t>owi i Rosji</w:t>
      </w:r>
      <w:r w:rsidRPr="008577AC">
        <w:rPr>
          <w:lang w:val="pl-PL"/>
        </w:rPr>
        <w:t xml:space="preserve">, </w:t>
      </w:r>
      <w:r w:rsidR="008577AC">
        <w:rPr>
          <w:lang w:val="pl-PL"/>
        </w:rPr>
        <w:t xml:space="preserve">nr </w:t>
      </w:r>
      <w:r w:rsidRPr="008577AC">
        <w:rPr>
          <w:lang w:val="pl-PL"/>
        </w:rPr>
        <w:t>25965/04, 7 </w:t>
      </w:r>
      <w:r w:rsidR="008577AC">
        <w:rPr>
          <w:lang w:val="pl-PL"/>
        </w:rPr>
        <w:t>stycznia</w:t>
      </w:r>
      <w:r w:rsidRPr="008577AC">
        <w:rPr>
          <w:lang w:val="pl-PL"/>
        </w:rPr>
        <w:t xml:space="preserve"> 2010</w:t>
      </w:r>
      <w:r w:rsidR="008577AC">
        <w:rPr>
          <w:lang w:val="pl-PL"/>
        </w:rPr>
        <w:t xml:space="preserve"> r.</w:t>
      </w:r>
      <w:r w:rsidRPr="008577AC">
        <w:rPr>
          <w:lang w:val="pl-PL"/>
        </w:rPr>
        <w:t xml:space="preserve">, </w:t>
      </w:r>
      <w:r w:rsidR="008577AC" w:rsidRPr="008577AC">
        <w:rPr>
          <w:lang w:val="pl-PL"/>
        </w:rPr>
        <w:t xml:space="preserve">Nota informacyjna nr </w:t>
      </w:r>
      <w:r w:rsidRPr="008577AC">
        <w:rPr>
          <w:lang w:val="pl-PL"/>
        </w:rPr>
        <w:t xml:space="preserve">126; </w:t>
      </w:r>
      <w:proofErr w:type="spellStart"/>
      <w:r w:rsidRPr="008577AC">
        <w:rPr>
          <w:i/>
          <w:lang w:val="pl-PL"/>
        </w:rPr>
        <w:t>Trabelsi</w:t>
      </w:r>
      <w:proofErr w:type="spellEnd"/>
      <w:r w:rsidRPr="008577AC">
        <w:rPr>
          <w:i/>
          <w:lang w:val="pl-PL"/>
        </w:rPr>
        <w:t xml:space="preserve"> </w:t>
      </w:r>
      <w:r w:rsidR="008577AC" w:rsidRPr="008577AC">
        <w:rPr>
          <w:i/>
          <w:lang w:val="pl-PL"/>
        </w:rPr>
        <w:t>p.</w:t>
      </w:r>
      <w:r w:rsidRPr="008577AC">
        <w:rPr>
          <w:i/>
          <w:lang w:val="pl-PL"/>
        </w:rPr>
        <w:t xml:space="preserve"> Belgi</w:t>
      </w:r>
      <w:r w:rsidR="008577AC">
        <w:rPr>
          <w:i/>
          <w:lang w:val="pl-PL"/>
        </w:rPr>
        <w:t>i</w:t>
      </w:r>
      <w:r w:rsidRPr="008577AC">
        <w:rPr>
          <w:lang w:val="pl-PL"/>
        </w:rPr>
        <w:t xml:space="preserve">, </w:t>
      </w:r>
      <w:r w:rsidR="008577AC">
        <w:rPr>
          <w:lang w:val="pl-PL"/>
        </w:rPr>
        <w:t xml:space="preserve">nr </w:t>
      </w:r>
      <w:r w:rsidRPr="008577AC">
        <w:rPr>
          <w:lang w:val="pl-PL"/>
        </w:rPr>
        <w:t>140/10, 4 </w:t>
      </w:r>
      <w:r w:rsidR="008577AC">
        <w:rPr>
          <w:lang w:val="pl-PL"/>
        </w:rPr>
        <w:t>września</w:t>
      </w:r>
      <w:r w:rsidRPr="008577AC">
        <w:rPr>
          <w:lang w:val="pl-PL"/>
        </w:rPr>
        <w:t xml:space="preserve"> 2014</w:t>
      </w:r>
      <w:r w:rsidR="008577AC">
        <w:rPr>
          <w:lang w:val="pl-PL"/>
        </w:rPr>
        <w:t xml:space="preserve"> r.</w:t>
      </w:r>
      <w:r w:rsidRPr="008577AC">
        <w:rPr>
          <w:lang w:val="pl-PL"/>
        </w:rPr>
        <w:t xml:space="preserve">, </w:t>
      </w:r>
      <w:r w:rsidR="008577AC" w:rsidRPr="008577AC">
        <w:rPr>
          <w:lang w:val="pl-PL"/>
        </w:rPr>
        <w:t>Nota</w:t>
      </w:r>
      <w:r w:rsidR="004A3FC1">
        <w:rPr>
          <w:lang w:val="pl-PL"/>
        </w:rPr>
        <w:t> </w:t>
      </w:r>
      <w:r w:rsidR="008577AC" w:rsidRPr="008577AC">
        <w:rPr>
          <w:lang w:val="pl-PL"/>
        </w:rPr>
        <w:t xml:space="preserve">informacyjna nr </w:t>
      </w:r>
      <w:r w:rsidRPr="008577AC">
        <w:rPr>
          <w:lang w:val="pl-PL"/>
        </w:rPr>
        <w:t xml:space="preserve">177; </w:t>
      </w:r>
      <w:proofErr w:type="spellStart"/>
      <w:r w:rsidRPr="008577AC">
        <w:rPr>
          <w:i/>
          <w:lang w:val="pl-PL"/>
        </w:rPr>
        <w:t>Avotiņš</w:t>
      </w:r>
      <w:proofErr w:type="spellEnd"/>
      <w:r w:rsidRPr="008577AC">
        <w:rPr>
          <w:i/>
          <w:lang w:val="pl-PL"/>
        </w:rPr>
        <w:t xml:space="preserve"> </w:t>
      </w:r>
      <w:r w:rsidR="008577AC" w:rsidRPr="008577AC">
        <w:rPr>
          <w:i/>
          <w:lang w:val="pl-PL"/>
        </w:rPr>
        <w:t>p.</w:t>
      </w:r>
      <w:r w:rsidRPr="008577AC">
        <w:rPr>
          <w:i/>
          <w:lang w:val="pl-PL"/>
        </w:rPr>
        <w:t xml:space="preserve"> </w:t>
      </w:r>
      <w:r w:rsidR="008577AC">
        <w:rPr>
          <w:i/>
          <w:lang w:val="pl-PL"/>
        </w:rPr>
        <w:t xml:space="preserve">Łotwie </w:t>
      </w:r>
      <w:r w:rsidRPr="008577AC">
        <w:rPr>
          <w:lang w:val="pl-PL"/>
        </w:rPr>
        <w:t>[</w:t>
      </w:r>
      <w:r w:rsidR="008577AC" w:rsidRPr="008577AC">
        <w:rPr>
          <w:lang w:val="pl-PL"/>
        </w:rPr>
        <w:t>WI</w:t>
      </w:r>
      <w:r w:rsidRPr="008577AC">
        <w:rPr>
          <w:lang w:val="pl-PL"/>
        </w:rPr>
        <w:t xml:space="preserve">], </w:t>
      </w:r>
      <w:r w:rsidR="008577AC">
        <w:rPr>
          <w:lang w:val="pl-PL"/>
        </w:rPr>
        <w:t xml:space="preserve">nr </w:t>
      </w:r>
      <w:r w:rsidRPr="008577AC">
        <w:rPr>
          <w:lang w:val="pl-PL"/>
        </w:rPr>
        <w:t>17502/07, 23 </w:t>
      </w:r>
      <w:r w:rsidR="008577AC">
        <w:rPr>
          <w:lang w:val="pl-PL"/>
        </w:rPr>
        <w:t>maja</w:t>
      </w:r>
      <w:r w:rsidRPr="008577AC">
        <w:rPr>
          <w:lang w:val="pl-PL"/>
        </w:rPr>
        <w:t xml:space="preserve"> 2016</w:t>
      </w:r>
      <w:r w:rsidR="008577AC">
        <w:rPr>
          <w:lang w:val="pl-PL"/>
        </w:rPr>
        <w:t xml:space="preserve"> r.</w:t>
      </w:r>
      <w:r w:rsidRPr="008577AC">
        <w:rPr>
          <w:lang w:val="pl-PL"/>
        </w:rPr>
        <w:t xml:space="preserve">, </w:t>
      </w:r>
      <w:r w:rsidR="008577AC" w:rsidRPr="008577AC">
        <w:rPr>
          <w:lang w:val="pl-PL"/>
        </w:rPr>
        <w:t>Nota</w:t>
      </w:r>
      <w:r w:rsidR="004A3FC1">
        <w:rPr>
          <w:lang w:val="pl-PL"/>
        </w:rPr>
        <w:t> </w:t>
      </w:r>
      <w:r w:rsidR="008577AC" w:rsidRPr="008577AC">
        <w:rPr>
          <w:lang w:val="pl-PL"/>
        </w:rPr>
        <w:t xml:space="preserve">informacyjna nr </w:t>
      </w:r>
      <w:r w:rsidRPr="008577AC">
        <w:rPr>
          <w:lang w:val="pl-PL"/>
        </w:rPr>
        <w:t xml:space="preserve">196; </w:t>
      </w:r>
      <w:proofErr w:type="spellStart"/>
      <w:r w:rsidRPr="008577AC">
        <w:rPr>
          <w:i/>
          <w:lang w:val="pl-PL"/>
        </w:rPr>
        <w:t>Pirozzi</w:t>
      </w:r>
      <w:proofErr w:type="spellEnd"/>
      <w:r w:rsidRPr="008577AC">
        <w:rPr>
          <w:i/>
          <w:lang w:val="pl-PL"/>
        </w:rPr>
        <w:t xml:space="preserve"> </w:t>
      </w:r>
      <w:r w:rsidR="008577AC" w:rsidRPr="008577AC">
        <w:rPr>
          <w:i/>
          <w:lang w:val="pl-PL"/>
        </w:rPr>
        <w:t>p.</w:t>
      </w:r>
      <w:r w:rsidRPr="008577AC">
        <w:rPr>
          <w:i/>
          <w:lang w:val="pl-PL"/>
        </w:rPr>
        <w:t xml:space="preserve"> Belgi</w:t>
      </w:r>
      <w:r w:rsidR="008577AC">
        <w:rPr>
          <w:i/>
          <w:lang w:val="pl-PL"/>
        </w:rPr>
        <w:t>i</w:t>
      </w:r>
      <w:r w:rsidRPr="008577AC">
        <w:rPr>
          <w:lang w:val="pl-PL"/>
        </w:rPr>
        <w:t xml:space="preserve">, </w:t>
      </w:r>
      <w:r w:rsidR="008577AC">
        <w:rPr>
          <w:lang w:val="pl-PL"/>
        </w:rPr>
        <w:t xml:space="preserve">nr </w:t>
      </w:r>
      <w:r w:rsidRPr="008577AC">
        <w:rPr>
          <w:lang w:val="pl-PL"/>
        </w:rPr>
        <w:t>21055/11, 17 </w:t>
      </w:r>
      <w:r w:rsidR="008577AC">
        <w:rPr>
          <w:lang w:val="pl-PL"/>
        </w:rPr>
        <w:t>kwietnia</w:t>
      </w:r>
      <w:r w:rsidRPr="008577AC">
        <w:rPr>
          <w:lang w:val="pl-PL"/>
        </w:rPr>
        <w:t xml:space="preserve"> 2018</w:t>
      </w:r>
      <w:r w:rsidR="008577AC">
        <w:rPr>
          <w:lang w:val="pl-PL"/>
        </w:rPr>
        <w:t xml:space="preserve"> r.</w:t>
      </w:r>
      <w:r w:rsidRPr="008577AC">
        <w:rPr>
          <w:lang w:val="pl-PL"/>
        </w:rPr>
        <w:t xml:space="preserve">; </w:t>
      </w:r>
      <w:proofErr w:type="spellStart"/>
      <w:r w:rsidRPr="008577AC">
        <w:rPr>
          <w:i/>
          <w:lang w:val="pl-PL"/>
        </w:rPr>
        <w:t>Güzelyurtlu</w:t>
      </w:r>
      <w:proofErr w:type="spellEnd"/>
      <w:r w:rsidRPr="008577AC">
        <w:rPr>
          <w:i/>
          <w:lang w:val="pl-PL"/>
        </w:rPr>
        <w:t xml:space="preserve"> </w:t>
      </w:r>
      <w:r w:rsidR="008577AC">
        <w:rPr>
          <w:i/>
          <w:lang w:val="pl-PL"/>
        </w:rPr>
        <w:t xml:space="preserve">i Inni </w:t>
      </w:r>
      <w:r w:rsidR="008577AC" w:rsidRPr="008577AC">
        <w:rPr>
          <w:i/>
          <w:lang w:val="pl-PL"/>
        </w:rPr>
        <w:t>p.</w:t>
      </w:r>
      <w:r w:rsidRPr="008577AC">
        <w:rPr>
          <w:i/>
          <w:lang w:val="pl-PL"/>
        </w:rPr>
        <w:t xml:space="preserve"> Cypr</w:t>
      </w:r>
      <w:r w:rsidR="008577AC">
        <w:rPr>
          <w:i/>
          <w:lang w:val="pl-PL"/>
        </w:rPr>
        <w:t>owi</w:t>
      </w:r>
      <w:r w:rsidRPr="008577AC">
        <w:rPr>
          <w:i/>
          <w:lang w:val="pl-PL"/>
        </w:rPr>
        <w:t xml:space="preserve"> </w:t>
      </w:r>
      <w:r w:rsidR="008577AC">
        <w:rPr>
          <w:i/>
          <w:lang w:val="pl-PL"/>
        </w:rPr>
        <w:t>i Turcji</w:t>
      </w:r>
      <w:r w:rsidRPr="008577AC">
        <w:rPr>
          <w:i/>
          <w:lang w:val="pl-PL"/>
        </w:rPr>
        <w:t xml:space="preserve"> </w:t>
      </w:r>
      <w:r w:rsidRPr="008577AC">
        <w:rPr>
          <w:lang w:val="pl-PL"/>
        </w:rPr>
        <w:t>[</w:t>
      </w:r>
      <w:r w:rsidR="008577AC" w:rsidRPr="008577AC">
        <w:rPr>
          <w:lang w:val="pl-PL"/>
        </w:rPr>
        <w:t>WI</w:t>
      </w:r>
      <w:r w:rsidRPr="008577AC">
        <w:rPr>
          <w:lang w:val="pl-PL"/>
        </w:rPr>
        <w:t xml:space="preserve">], </w:t>
      </w:r>
      <w:r w:rsidR="008577AC">
        <w:rPr>
          <w:lang w:val="pl-PL"/>
        </w:rPr>
        <w:t xml:space="preserve">nr </w:t>
      </w:r>
      <w:r w:rsidRPr="008577AC">
        <w:rPr>
          <w:lang w:val="pl-PL"/>
        </w:rPr>
        <w:t>36925/07, 29 </w:t>
      </w:r>
      <w:r w:rsidR="008577AC">
        <w:rPr>
          <w:lang w:val="pl-PL"/>
        </w:rPr>
        <w:t>stycznia</w:t>
      </w:r>
      <w:r w:rsidRPr="008577AC">
        <w:rPr>
          <w:lang w:val="pl-PL"/>
        </w:rPr>
        <w:t xml:space="preserve"> 2019</w:t>
      </w:r>
      <w:r w:rsidR="008577AC">
        <w:rPr>
          <w:lang w:val="pl-PL"/>
        </w:rPr>
        <w:t xml:space="preserve"> r.</w:t>
      </w:r>
      <w:r w:rsidRPr="008577AC">
        <w:rPr>
          <w:lang w:val="pl-PL"/>
        </w:rPr>
        <w:t xml:space="preserve">, </w:t>
      </w:r>
      <w:r w:rsidR="008577AC" w:rsidRPr="008577AC">
        <w:rPr>
          <w:lang w:val="pl-PL"/>
        </w:rPr>
        <w:t>Nota</w:t>
      </w:r>
      <w:r w:rsidR="004A3FC1">
        <w:rPr>
          <w:lang w:val="pl-PL"/>
        </w:rPr>
        <w:t> </w:t>
      </w:r>
      <w:bookmarkStart w:id="0" w:name="_GoBack"/>
      <w:bookmarkEnd w:id="0"/>
      <w:r w:rsidR="008577AC" w:rsidRPr="008577AC">
        <w:rPr>
          <w:lang w:val="pl-PL"/>
        </w:rPr>
        <w:t xml:space="preserve">informacyjna nr </w:t>
      </w:r>
      <w:r w:rsidRPr="008577AC">
        <w:rPr>
          <w:lang w:val="pl-PL"/>
        </w:rPr>
        <w:t xml:space="preserve">225; </w:t>
      </w:r>
      <w:r w:rsidR="008577AC">
        <w:rPr>
          <w:lang w:val="pl-PL"/>
        </w:rPr>
        <w:t xml:space="preserve">a także </w:t>
      </w:r>
      <w:r w:rsidR="00213E5B">
        <w:rPr>
          <w:lang w:val="pl-PL"/>
        </w:rPr>
        <w:t>z</w:t>
      </w:r>
      <w:r w:rsidR="008577AC">
        <w:rPr>
          <w:lang w:val="pl-PL"/>
        </w:rPr>
        <w:t xml:space="preserve">estawienie tematyczne pt. </w:t>
      </w:r>
      <w:hyperlink r:id="rId8" w:history="1">
        <w:r w:rsidR="008577AC">
          <w:rPr>
            <w:rStyle w:val="Hipercze"/>
            <w:lang w:val="pl-PL"/>
          </w:rPr>
          <w:t>Orzecznictwo dotyczące Unii Europejskiej</w:t>
        </w:r>
      </w:hyperlink>
      <w:r w:rsidRPr="008577AC">
        <w:rPr>
          <w:lang w:val="pl-PL"/>
        </w:rPr>
        <w:t>)</w:t>
      </w:r>
    </w:p>
    <w:p w:rsidR="009717AF" w:rsidRPr="008577AC" w:rsidRDefault="009717AF">
      <w:pPr>
        <w:pBdr>
          <w:bottom w:val="single" w:sz="8" w:space="1" w:color="auto"/>
        </w:pBdr>
        <w:rPr>
          <w:lang w:val="pl-PL"/>
        </w:rPr>
      </w:pPr>
    </w:p>
    <w:p w:rsidR="00363CBC" w:rsidRDefault="00363CBC" w:rsidP="00363CBC">
      <w:pPr>
        <w:pStyle w:val="ClinFooter"/>
        <w:rPr>
          <w:lang w:val="pl-PL"/>
        </w:rPr>
      </w:pPr>
      <w:r>
        <w:rPr>
          <w:lang w:val="pl-PL"/>
        </w:rPr>
        <w:t xml:space="preserve">© </w:t>
      </w:r>
      <w:proofErr w:type="spellStart"/>
      <w:r>
        <w:rPr>
          <w:lang w:val="pl-PL"/>
        </w:rPr>
        <w:t>Council</w:t>
      </w:r>
      <w:proofErr w:type="spellEnd"/>
      <w:r>
        <w:rPr>
          <w:lang w:val="pl-PL"/>
        </w:rPr>
        <w:t xml:space="preserve"> of Europe/European Court of Human Rights</w:t>
      </w:r>
      <w:r>
        <w:rPr>
          <w:lang w:val="pl-PL"/>
        </w:rPr>
        <w:br/>
        <w:t xml:space="preserve">Niniejsze streszczenie przygotowane przez Kancelarię nie wiąże Trybunału.  </w:t>
      </w:r>
    </w:p>
    <w:p w:rsidR="009717AF" w:rsidRDefault="00363CBC" w:rsidP="00363CBC">
      <w:pPr>
        <w:pStyle w:val="ClinFooter"/>
        <w:rPr>
          <w:rStyle w:val="Hipercze"/>
          <w:lang w:val="pl-PL"/>
        </w:rPr>
      </w:pPr>
      <w:r>
        <w:rPr>
          <w:lang w:val="pl-PL"/>
        </w:rPr>
        <w:t xml:space="preserve">Link do </w:t>
      </w:r>
      <w:hyperlink r:id="rId9" w:history="1">
        <w:r>
          <w:rPr>
            <w:rStyle w:val="Hipercze"/>
            <w:lang w:val="pl-PL"/>
          </w:rPr>
          <w:t>Not informacyjnych nt. orzecznictwa</w:t>
        </w:r>
      </w:hyperlink>
    </w:p>
    <w:p w:rsidR="0052503C" w:rsidRPr="00284061" w:rsidRDefault="0052503C" w:rsidP="0052503C">
      <w:pPr>
        <w:pStyle w:val="ClinFooter"/>
        <w:jc w:val="left"/>
        <w:rPr>
          <w:lang w:val="pl-PL"/>
        </w:rPr>
      </w:pPr>
    </w:p>
    <w:sectPr w:rsidR="0052503C" w:rsidRPr="00284061" w:rsidSect="004A5B52">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6B4" w:rsidRDefault="00C746B4" w:rsidP="00C63262">
      <w:r>
        <w:separator/>
      </w:r>
    </w:p>
  </w:endnote>
  <w:endnote w:type="continuationSeparator" w:id="0">
    <w:p w:rsidR="00C746B4" w:rsidRDefault="00C746B4"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A00" w:rsidRDefault="001C2A0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A00" w:rsidRDefault="001C2A0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6B4" w:rsidRDefault="00C746B4" w:rsidP="00C63262">
      <w:r>
        <w:separator/>
      </w:r>
    </w:p>
  </w:footnote>
  <w:footnote w:type="continuationSeparator" w:id="0">
    <w:p w:rsidR="00C746B4" w:rsidRDefault="00C746B4"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A00" w:rsidRDefault="001C2A0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4A3FC1">
          <w:rPr>
            <w:noProof/>
          </w:rPr>
          <w:t>3</w:t>
        </w:r>
        <w:r>
          <w:rPr>
            <w:lang w:val="fr-FR"/>
          </w:rPr>
          <w:fldChar w:fldCharType="end"/>
        </w:r>
        <w:r>
          <w:t xml:space="preserve"> </w:t>
        </w:r>
        <w:r>
          <w:sym w:font="Symbol" w:char="F02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removePersonalInformation/>
  <w:removeDateAndTime/>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54BC5"/>
    <w:rsid w:val="000823EF"/>
    <w:rsid w:val="00097888"/>
    <w:rsid w:val="000A3172"/>
    <w:rsid w:val="000B5A11"/>
    <w:rsid w:val="000F13B5"/>
    <w:rsid w:val="00107377"/>
    <w:rsid w:val="00143602"/>
    <w:rsid w:val="001769E4"/>
    <w:rsid w:val="00186560"/>
    <w:rsid w:val="00187506"/>
    <w:rsid w:val="001A30E1"/>
    <w:rsid w:val="001C2A00"/>
    <w:rsid w:val="00212E83"/>
    <w:rsid w:val="00213E5B"/>
    <w:rsid w:val="00264BF6"/>
    <w:rsid w:val="00284061"/>
    <w:rsid w:val="00286A6B"/>
    <w:rsid w:val="002966E7"/>
    <w:rsid w:val="002E088D"/>
    <w:rsid w:val="0030264F"/>
    <w:rsid w:val="00334FA2"/>
    <w:rsid w:val="003450B3"/>
    <w:rsid w:val="00363CBC"/>
    <w:rsid w:val="00386958"/>
    <w:rsid w:val="003A64A6"/>
    <w:rsid w:val="003D7BB3"/>
    <w:rsid w:val="0046453F"/>
    <w:rsid w:val="004A3FC1"/>
    <w:rsid w:val="004A5B52"/>
    <w:rsid w:val="004D568D"/>
    <w:rsid w:val="004E1037"/>
    <w:rsid w:val="0052092D"/>
    <w:rsid w:val="0052503C"/>
    <w:rsid w:val="00540D75"/>
    <w:rsid w:val="0055007C"/>
    <w:rsid w:val="005514E5"/>
    <w:rsid w:val="00585CF2"/>
    <w:rsid w:val="005A7D38"/>
    <w:rsid w:val="006028A1"/>
    <w:rsid w:val="00631A28"/>
    <w:rsid w:val="00694FC2"/>
    <w:rsid w:val="006A36AD"/>
    <w:rsid w:val="006C17F9"/>
    <w:rsid w:val="006C1D96"/>
    <w:rsid w:val="0071773F"/>
    <w:rsid w:val="00774515"/>
    <w:rsid w:val="0085218B"/>
    <w:rsid w:val="008577AC"/>
    <w:rsid w:val="00895EF3"/>
    <w:rsid w:val="008A4010"/>
    <w:rsid w:val="008C64D5"/>
    <w:rsid w:val="008F7D61"/>
    <w:rsid w:val="00903D38"/>
    <w:rsid w:val="009717AF"/>
    <w:rsid w:val="009B3B2C"/>
    <w:rsid w:val="009E3EF0"/>
    <w:rsid w:val="00A01052"/>
    <w:rsid w:val="00A04D9C"/>
    <w:rsid w:val="00A258BB"/>
    <w:rsid w:val="00A33541"/>
    <w:rsid w:val="00A45616"/>
    <w:rsid w:val="00A82B38"/>
    <w:rsid w:val="00AC7726"/>
    <w:rsid w:val="00B80CA0"/>
    <w:rsid w:val="00B85770"/>
    <w:rsid w:val="00BF1CD9"/>
    <w:rsid w:val="00C37433"/>
    <w:rsid w:val="00C63262"/>
    <w:rsid w:val="00C71AC8"/>
    <w:rsid w:val="00C72355"/>
    <w:rsid w:val="00C746B4"/>
    <w:rsid w:val="00C93CFB"/>
    <w:rsid w:val="00CF7BA6"/>
    <w:rsid w:val="00D227A0"/>
    <w:rsid w:val="00D42086"/>
    <w:rsid w:val="00D425B3"/>
    <w:rsid w:val="00D8741C"/>
    <w:rsid w:val="00D87DED"/>
    <w:rsid w:val="00DB784D"/>
    <w:rsid w:val="00DF2F6E"/>
    <w:rsid w:val="00E4296B"/>
    <w:rsid w:val="00E55491"/>
    <w:rsid w:val="00E83DB6"/>
    <w:rsid w:val="00E84754"/>
    <w:rsid w:val="00EA53E7"/>
    <w:rsid w:val="00F45B72"/>
    <w:rsid w:val="00F508C9"/>
    <w:rsid w:val="00F50CCD"/>
    <w:rsid w:val="00F5247C"/>
    <w:rsid w:val="00F86C29"/>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paragraph" w:customStyle="1" w:styleId="s6e50bd9a">
    <w:name w:val="s6e50bd9a"/>
    <w:basedOn w:val="Normalny"/>
    <w:rsid w:val="00363CBC"/>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363CBC"/>
  </w:style>
  <w:style w:type="character" w:styleId="UyteHipercze">
    <w:name w:val="FollowedHyperlink"/>
    <w:basedOn w:val="Domylnaczcionkaakapitu"/>
    <w:semiHidden/>
    <w:unhideWhenUsed/>
    <w:rsid w:val="001C2A00"/>
    <w:rPr>
      <w:color w:val="7030A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paragraph" w:customStyle="1" w:styleId="s6e50bd9a">
    <w:name w:val="s6e50bd9a"/>
    <w:basedOn w:val="Normalny"/>
    <w:rsid w:val="00363CBC"/>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363CBC"/>
  </w:style>
  <w:style w:type="character" w:styleId="UyteHipercze">
    <w:name w:val="FollowedHyperlink"/>
    <w:basedOn w:val="Domylnaczcionkaakapitu"/>
    <w:semiHidden/>
    <w:unhideWhenUsed/>
    <w:rsid w:val="001C2A00"/>
    <w:rPr>
      <w:color w:val="7030A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chr.coe.int/Documents/FS_European_Union_ENG.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gov.pl/web/dyplomacja" TargetMode="External"/><Relationship Id="rId12" Type="http://schemas.openxmlformats.org/officeDocument/2006/relationships/footer" Target="footer1.xm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chr.coe.int/NoteInformation/en"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1064</Words>
  <Characters>6390</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2020-07-31T12:25:00Z</dcterms:created>
  <dcterms:modified xsi:type="dcterms:W3CDTF">2020-07-31T16:34:00Z</dcterms:modified>
</cp:coreProperties>
</file>