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04C007" w14:textId="77777777" w:rsidR="009E30E7" w:rsidRPr="00A219A8" w:rsidRDefault="009E30E7" w:rsidP="00A219A8">
      <w:pPr>
        <w:pStyle w:val="DecHTitle"/>
        <w:rPr>
          <w:lang w:val="fr-FR"/>
        </w:rPr>
      </w:pPr>
    </w:p>
    <w:p w14:paraId="33479659" w14:textId="77777777" w:rsidR="002D2C99" w:rsidRPr="00A219A8" w:rsidRDefault="00E04081" w:rsidP="00A219A8">
      <w:pPr>
        <w:pStyle w:val="DecHTitle"/>
      </w:pPr>
      <w:r>
        <w:t>SEKCJA DRUGA</w:t>
      </w:r>
    </w:p>
    <w:p w14:paraId="5C5FAAF3" w14:textId="77777777" w:rsidR="002D2C99" w:rsidRPr="00A219A8" w:rsidRDefault="002D2C99" w:rsidP="00A219A8">
      <w:pPr>
        <w:pStyle w:val="JuTitle"/>
      </w:pPr>
      <w:r>
        <w:t>SPRAWA ROMEO CASTAÑO przeciwko BELGII</w:t>
      </w:r>
      <w:r>
        <w:tab/>
      </w:r>
    </w:p>
    <w:p w14:paraId="5D2E0537" w14:textId="77777777" w:rsidR="002D2C99" w:rsidRPr="00A219A8" w:rsidRDefault="002D2C99" w:rsidP="00A219A8">
      <w:pPr>
        <w:pStyle w:val="Title4"/>
      </w:pPr>
      <w:r>
        <w:t>(Skarga nr 8351/17)</w:t>
      </w:r>
    </w:p>
    <w:p w14:paraId="498B001F" w14:textId="77777777" w:rsidR="002D2C99" w:rsidRPr="000D6DC4" w:rsidRDefault="002D2C99" w:rsidP="00A219A8">
      <w:pPr>
        <w:pStyle w:val="DecHCase"/>
      </w:pPr>
    </w:p>
    <w:p w14:paraId="749089BD" w14:textId="77777777" w:rsidR="002D2C99" w:rsidRPr="000D6DC4" w:rsidRDefault="002D2C99" w:rsidP="00A219A8">
      <w:pPr>
        <w:pStyle w:val="DecHCase"/>
      </w:pPr>
    </w:p>
    <w:p w14:paraId="680107C0" w14:textId="77777777" w:rsidR="002D2C99" w:rsidRPr="000D6DC4" w:rsidRDefault="002D2C99" w:rsidP="00A219A8">
      <w:pPr>
        <w:pStyle w:val="DecHCase"/>
      </w:pPr>
    </w:p>
    <w:p w14:paraId="0A9346C4" w14:textId="77777777" w:rsidR="002D2C99" w:rsidRPr="000D6DC4" w:rsidRDefault="002D2C99" w:rsidP="00A219A8">
      <w:pPr>
        <w:pStyle w:val="DecHCase"/>
      </w:pPr>
    </w:p>
    <w:p w14:paraId="4F0E83E6" w14:textId="77777777" w:rsidR="002D2C99" w:rsidRPr="00A219A8" w:rsidRDefault="002D2C99" w:rsidP="00A219A8">
      <w:pPr>
        <w:pStyle w:val="DecHCase"/>
        <w:spacing w:after="480"/>
      </w:pPr>
      <w:r>
        <w:t>WYROK</w:t>
      </w:r>
    </w:p>
    <w:p w14:paraId="7AE6FF52" w14:textId="24E84EB9" w:rsidR="001A226A" w:rsidRPr="00A219A8" w:rsidRDefault="001A226A" w:rsidP="00A219A8">
      <w:pPr>
        <w:pStyle w:val="JuPara"/>
        <w:jc w:val="center"/>
        <w:rPr>
          <w:rFonts w:eastAsia="Calibri" w:cstheme="minorHAnsi"/>
          <w:i/>
          <w:sz w:val="22"/>
        </w:rPr>
      </w:pPr>
      <w:r>
        <w:rPr>
          <w:i/>
          <w:sz w:val="22"/>
        </w:rPr>
        <w:t>Niniejsza wersja została s</w:t>
      </w:r>
      <w:r w:rsidR="00C16D96">
        <w:rPr>
          <w:i/>
          <w:sz w:val="22"/>
        </w:rPr>
        <w:t>prostowana</w:t>
      </w:r>
      <w:r w:rsidR="0040015C">
        <w:rPr>
          <w:i/>
          <w:sz w:val="22"/>
        </w:rPr>
        <w:t xml:space="preserve"> </w:t>
      </w:r>
      <w:r>
        <w:rPr>
          <w:i/>
          <w:sz w:val="22"/>
        </w:rPr>
        <w:t>w dniu 26 listopada 2019 r. zgodnie z</w:t>
      </w:r>
      <w:r w:rsidR="00A418A3">
        <w:rPr>
          <w:i/>
          <w:sz w:val="22"/>
        </w:rPr>
        <w:t> </w:t>
      </w:r>
      <w:r>
        <w:rPr>
          <w:i/>
          <w:sz w:val="22"/>
        </w:rPr>
        <w:t>art. 81 Regulaminu Trybunału.</w:t>
      </w:r>
    </w:p>
    <w:p w14:paraId="0ADDD4CB" w14:textId="77777777" w:rsidR="001A226A" w:rsidRPr="000D6DC4" w:rsidRDefault="001A226A" w:rsidP="00A219A8">
      <w:pPr>
        <w:pStyle w:val="JuPara"/>
        <w:jc w:val="center"/>
        <w:rPr>
          <w:rFonts w:ascii="Calibri" w:eastAsia="Calibri" w:hAnsi="Calibri" w:cs="Times New Roman"/>
          <w:i/>
          <w:sz w:val="22"/>
        </w:rPr>
      </w:pPr>
    </w:p>
    <w:p w14:paraId="7B3927B7" w14:textId="77777777" w:rsidR="001A226A" w:rsidRPr="000D6DC4" w:rsidRDefault="001A226A" w:rsidP="00A219A8">
      <w:pPr>
        <w:pStyle w:val="JuPara"/>
        <w:jc w:val="center"/>
      </w:pPr>
    </w:p>
    <w:p w14:paraId="5AB58B9E" w14:textId="77777777" w:rsidR="002D2C99" w:rsidRPr="00A219A8" w:rsidRDefault="002D2C99" w:rsidP="00A219A8">
      <w:pPr>
        <w:pStyle w:val="DecHCase"/>
      </w:pPr>
      <w:r>
        <w:t>STRASBURG</w:t>
      </w:r>
    </w:p>
    <w:p w14:paraId="01BA1B39" w14:textId="77777777" w:rsidR="002D2C99" w:rsidRPr="00A219A8" w:rsidRDefault="00E04081" w:rsidP="00A219A8">
      <w:pPr>
        <w:pStyle w:val="DecHCase"/>
      </w:pPr>
      <w:r>
        <w:t>9 lipca 2019 r.</w:t>
      </w:r>
    </w:p>
    <w:p w14:paraId="5BB2FF9F" w14:textId="77777777" w:rsidR="002D2C99" w:rsidRPr="00A219A8" w:rsidRDefault="002D2C99" w:rsidP="00A219A8">
      <w:pPr>
        <w:jc w:val="center"/>
      </w:pPr>
    </w:p>
    <w:p w14:paraId="7D054D27" w14:textId="77777777" w:rsidR="009E30E7" w:rsidRPr="00A219A8" w:rsidRDefault="009E30E7" w:rsidP="00A219A8">
      <w:pPr>
        <w:jc w:val="center"/>
      </w:pPr>
    </w:p>
    <w:p w14:paraId="4F6DD292" w14:textId="467BEF94" w:rsidR="00E55EC9" w:rsidRPr="00A219A8" w:rsidRDefault="00F47E41" w:rsidP="00A219A8">
      <w:pPr>
        <w:pStyle w:val="jucase0"/>
        <w:ind w:firstLine="0"/>
        <w:jc w:val="center"/>
        <w:rPr>
          <w:color w:val="FF0000"/>
          <w:sz w:val="28"/>
          <w:szCs w:val="28"/>
          <w:u w:val="single"/>
        </w:rPr>
      </w:pPr>
      <w:r>
        <w:rPr>
          <w:color w:val="FF0000"/>
          <w:sz w:val="28"/>
          <w:szCs w:val="28"/>
          <w:u w:val="single"/>
        </w:rPr>
        <w:t xml:space="preserve">WYROK </w:t>
      </w:r>
      <w:r w:rsidR="00E55EC9">
        <w:rPr>
          <w:color w:val="FF0000"/>
          <w:sz w:val="28"/>
          <w:szCs w:val="28"/>
          <w:u w:val="single"/>
        </w:rPr>
        <w:t>OSTATECZNY</w:t>
      </w:r>
    </w:p>
    <w:p w14:paraId="4333F930" w14:textId="77777777" w:rsidR="00E55EC9" w:rsidRPr="000D6DC4" w:rsidRDefault="00E55EC9" w:rsidP="00A219A8">
      <w:pPr>
        <w:pStyle w:val="jupara0"/>
        <w:tabs>
          <w:tab w:val="left" w:pos="3450"/>
        </w:tabs>
        <w:ind w:firstLine="0"/>
        <w:jc w:val="center"/>
        <w:rPr>
          <w:color w:val="FF0000"/>
          <w:sz w:val="28"/>
          <w:szCs w:val="28"/>
        </w:rPr>
      </w:pPr>
    </w:p>
    <w:p w14:paraId="3BEB9196" w14:textId="21D2688C" w:rsidR="00E55EC9" w:rsidRPr="00A219A8" w:rsidRDefault="00E55EC9" w:rsidP="00A219A8">
      <w:pPr>
        <w:pStyle w:val="jupara0"/>
        <w:ind w:firstLine="0"/>
        <w:jc w:val="center"/>
        <w:rPr>
          <w:color w:val="FF0000"/>
          <w:sz w:val="28"/>
          <w:szCs w:val="28"/>
        </w:rPr>
      </w:pPr>
      <w:r>
        <w:rPr>
          <w:color w:val="FF0000"/>
          <w:sz w:val="28"/>
          <w:szCs w:val="28"/>
        </w:rPr>
        <w:t>09</w:t>
      </w:r>
      <w:r w:rsidR="00C16D96">
        <w:rPr>
          <w:color w:val="FF0000"/>
          <w:sz w:val="28"/>
          <w:szCs w:val="28"/>
        </w:rPr>
        <w:t>/</w:t>
      </w:r>
      <w:r>
        <w:rPr>
          <w:color w:val="FF0000"/>
          <w:sz w:val="28"/>
          <w:szCs w:val="28"/>
        </w:rPr>
        <w:t>10</w:t>
      </w:r>
      <w:r w:rsidR="00C16D96">
        <w:rPr>
          <w:color w:val="FF0000"/>
          <w:sz w:val="28"/>
          <w:szCs w:val="28"/>
        </w:rPr>
        <w:t>/</w:t>
      </w:r>
      <w:r>
        <w:rPr>
          <w:color w:val="FF0000"/>
          <w:sz w:val="28"/>
          <w:szCs w:val="28"/>
        </w:rPr>
        <w:t>2019</w:t>
      </w:r>
      <w:r w:rsidR="003B592F">
        <w:rPr>
          <w:color w:val="FF0000"/>
          <w:sz w:val="28"/>
          <w:szCs w:val="28"/>
        </w:rPr>
        <w:t xml:space="preserve"> r.</w:t>
      </w:r>
    </w:p>
    <w:p w14:paraId="573CF797" w14:textId="77777777" w:rsidR="00E55EC9" w:rsidRPr="000D6DC4" w:rsidRDefault="00E55EC9" w:rsidP="00A219A8">
      <w:pPr>
        <w:pStyle w:val="jupara0"/>
        <w:ind w:firstLine="0"/>
        <w:jc w:val="center"/>
        <w:rPr>
          <w:u w:val="single"/>
        </w:rPr>
      </w:pPr>
    </w:p>
    <w:p w14:paraId="58F33C5D" w14:textId="77777777" w:rsidR="002D2C99" w:rsidRPr="00A219A8" w:rsidRDefault="00E55EC9" w:rsidP="00A219A8">
      <w:pPr>
        <w:jc w:val="center"/>
      </w:pPr>
      <w:r>
        <w:rPr>
          <w:i/>
          <w:iCs/>
          <w:sz w:val="22"/>
        </w:rPr>
        <w:t>Wyrok ten stał się ostateczny zgodnie z warunkami określonymi w art. 44 ust. 2 Konwencji. Może on podlegać korekcie wydawniczej.</w:t>
      </w:r>
    </w:p>
    <w:p w14:paraId="065F93D4" w14:textId="77777777" w:rsidR="009E30E7" w:rsidRPr="00A219A8" w:rsidRDefault="009E30E7" w:rsidP="00A219A8">
      <w:pPr>
        <w:sectPr w:rsidR="009E30E7" w:rsidRPr="00A219A8" w:rsidSect="00F5432B">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14:paraId="1BB6EFE7" w14:textId="77777777" w:rsidR="002D2C99" w:rsidRPr="00A219A8" w:rsidRDefault="002D2C99" w:rsidP="00A219A8">
      <w:pPr>
        <w:pStyle w:val="JuCase"/>
      </w:pPr>
      <w:r>
        <w:lastRenderedPageBreak/>
        <w:t xml:space="preserve">W sprawie Romeo </w:t>
      </w:r>
      <w:proofErr w:type="spellStart"/>
      <w:r>
        <w:t>Castaño</w:t>
      </w:r>
      <w:proofErr w:type="spellEnd"/>
      <w:r>
        <w:t xml:space="preserve"> przeciwko Belgii,</w:t>
      </w:r>
    </w:p>
    <w:p w14:paraId="541E3A1F" w14:textId="7887E4E6" w:rsidR="00E04081" w:rsidRPr="00A219A8" w:rsidRDefault="00E04081" w:rsidP="00A219A8">
      <w:pPr>
        <w:pStyle w:val="JuPara"/>
      </w:pPr>
      <w:r>
        <w:t xml:space="preserve">Europejski Trybunał Praw Człowieka (sekcja druga), zasiadając jako </w:t>
      </w:r>
      <w:r w:rsidR="00C16D96">
        <w:t>I</w:t>
      </w:r>
      <w:r>
        <w:t>zba w składzie:</w:t>
      </w:r>
    </w:p>
    <w:p w14:paraId="26A8A2DC" w14:textId="77777777" w:rsidR="0035145D" w:rsidRPr="00A219A8" w:rsidRDefault="0035145D" w:rsidP="00A219A8">
      <w:pPr>
        <w:pStyle w:val="JuJudges"/>
        <w:rPr>
          <w:i/>
        </w:rPr>
      </w:pPr>
      <w:r>
        <w:tab/>
        <w:t>Robert Spano,</w:t>
      </w:r>
      <w:r>
        <w:rPr>
          <w:i/>
        </w:rPr>
        <w:t xml:space="preserve"> przewodniczący,</w:t>
      </w:r>
    </w:p>
    <w:p w14:paraId="2E7CA578" w14:textId="77777777" w:rsidR="0035145D" w:rsidRPr="00A219A8" w:rsidRDefault="0035145D" w:rsidP="00A219A8">
      <w:pPr>
        <w:pStyle w:val="JuJudges"/>
        <w:rPr>
          <w:i/>
        </w:rPr>
      </w:pPr>
      <w:r>
        <w:tab/>
        <w:t xml:space="preserve">Paul </w:t>
      </w:r>
      <w:proofErr w:type="spellStart"/>
      <w:r>
        <w:t>Lemmens</w:t>
      </w:r>
      <w:proofErr w:type="spellEnd"/>
      <w:r>
        <w:t>,</w:t>
      </w:r>
    </w:p>
    <w:p w14:paraId="7EE4B45F" w14:textId="77777777" w:rsidR="0035145D" w:rsidRPr="000D6DC4" w:rsidRDefault="0035145D" w:rsidP="00A219A8">
      <w:pPr>
        <w:pStyle w:val="JuJudges"/>
        <w:rPr>
          <w:i/>
          <w:lang w:val="fr-FR"/>
        </w:rPr>
      </w:pPr>
      <w:r>
        <w:tab/>
      </w:r>
      <w:r w:rsidRPr="000D6DC4">
        <w:rPr>
          <w:lang w:val="fr-FR"/>
        </w:rPr>
        <w:t>Julia Laffranque,</w:t>
      </w:r>
    </w:p>
    <w:p w14:paraId="26E8A12A" w14:textId="77777777" w:rsidR="0035145D" w:rsidRPr="000D6DC4" w:rsidRDefault="0035145D" w:rsidP="00A219A8">
      <w:pPr>
        <w:pStyle w:val="JuJudges"/>
        <w:rPr>
          <w:i/>
          <w:lang w:val="fr-FR"/>
        </w:rPr>
      </w:pPr>
      <w:r w:rsidRPr="000D6DC4">
        <w:rPr>
          <w:lang w:val="fr-FR"/>
        </w:rPr>
        <w:tab/>
        <w:t>Valeriu</w:t>
      </w:r>
      <w:r w:rsidR="003B592F">
        <w:rPr>
          <w:lang w:val="fr-FR"/>
        </w:rPr>
        <w:t xml:space="preserve"> </w:t>
      </w:r>
      <w:r w:rsidRPr="000D6DC4">
        <w:rPr>
          <w:lang w:val="fr-FR"/>
        </w:rPr>
        <w:t>Griţco,</w:t>
      </w:r>
    </w:p>
    <w:p w14:paraId="457B9D74" w14:textId="77777777" w:rsidR="0035145D" w:rsidRPr="000D6DC4" w:rsidRDefault="0035145D" w:rsidP="00A219A8">
      <w:pPr>
        <w:pStyle w:val="JuJudges"/>
        <w:rPr>
          <w:i/>
          <w:lang w:val="fr-FR"/>
        </w:rPr>
      </w:pPr>
      <w:r w:rsidRPr="000D6DC4">
        <w:rPr>
          <w:lang w:val="fr-FR"/>
        </w:rPr>
        <w:tab/>
        <w:t>Stéphanie Mourou-Vikström,</w:t>
      </w:r>
    </w:p>
    <w:p w14:paraId="325432C6" w14:textId="77777777" w:rsidR="0035145D" w:rsidRPr="00A219A8" w:rsidRDefault="0035145D" w:rsidP="00A219A8">
      <w:pPr>
        <w:pStyle w:val="JuJudges"/>
        <w:rPr>
          <w:i/>
        </w:rPr>
      </w:pPr>
      <w:r w:rsidRPr="000D6DC4">
        <w:rPr>
          <w:lang w:val="fr-FR"/>
        </w:rPr>
        <w:tab/>
      </w:r>
      <w:r>
        <w:t xml:space="preserve">Ivana </w:t>
      </w:r>
      <w:proofErr w:type="spellStart"/>
      <w:r>
        <w:t>Jelić</w:t>
      </w:r>
      <w:proofErr w:type="spellEnd"/>
      <w:r>
        <w:t>,</w:t>
      </w:r>
    </w:p>
    <w:p w14:paraId="632CA248" w14:textId="77777777" w:rsidR="0035145D" w:rsidRPr="00A219A8" w:rsidRDefault="0035145D" w:rsidP="00A219A8">
      <w:pPr>
        <w:pStyle w:val="JuJudges"/>
        <w:rPr>
          <w:i/>
        </w:rPr>
      </w:pPr>
      <w:r>
        <w:tab/>
      </w:r>
      <w:proofErr w:type="spellStart"/>
      <w:r>
        <w:t>Darian</w:t>
      </w:r>
      <w:proofErr w:type="spellEnd"/>
      <w:r>
        <w:t xml:space="preserve"> Pavli,</w:t>
      </w:r>
      <w:r>
        <w:rPr>
          <w:i/>
        </w:rPr>
        <w:t xml:space="preserve"> sędziowie</w:t>
      </w:r>
      <w:r>
        <w:t>,</w:t>
      </w:r>
    </w:p>
    <w:p w14:paraId="425A8184" w14:textId="18F9F49F" w:rsidR="00E04081" w:rsidRPr="00A219A8" w:rsidRDefault="00E04081" w:rsidP="00A219A8">
      <w:pPr>
        <w:pStyle w:val="JuJudges"/>
      </w:pPr>
      <w:r>
        <w:t xml:space="preserve">oraz Stanley </w:t>
      </w:r>
      <w:proofErr w:type="spellStart"/>
      <w:r>
        <w:t>Naismith</w:t>
      </w:r>
      <w:proofErr w:type="spellEnd"/>
      <w:r>
        <w:t xml:space="preserve">, </w:t>
      </w:r>
      <w:r w:rsidR="007E27A2">
        <w:rPr>
          <w:i/>
        </w:rPr>
        <w:t>K</w:t>
      </w:r>
      <w:r>
        <w:rPr>
          <w:i/>
        </w:rPr>
        <w:t xml:space="preserve">anclerz </w:t>
      </w:r>
      <w:r w:rsidR="007E27A2">
        <w:rPr>
          <w:i/>
        </w:rPr>
        <w:t>S</w:t>
      </w:r>
      <w:r>
        <w:rPr>
          <w:i/>
        </w:rPr>
        <w:t>ekcji</w:t>
      </w:r>
      <w:r>
        <w:t>,</w:t>
      </w:r>
    </w:p>
    <w:p w14:paraId="25278B3B" w14:textId="77777777" w:rsidR="00E04081" w:rsidRPr="00A219A8" w:rsidRDefault="00E04081" w:rsidP="00A219A8">
      <w:pPr>
        <w:pStyle w:val="JuPara"/>
      </w:pPr>
      <w:r>
        <w:t>obradując na posiedzeniu niejawnym w dniu 11 czerwca 2019 r.,</w:t>
      </w:r>
    </w:p>
    <w:p w14:paraId="79152DF2" w14:textId="77777777" w:rsidR="00E04081" w:rsidRPr="00A219A8" w:rsidRDefault="00E04081" w:rsidP="00A219A8">
      <w:pPr>
        <w:pStyle w:val="JuPara"/>
      </w:pPr>
      <w:r>
        <w:t>wydaje następujący wyrok, który został przyjęty w tym dniu:</w:t>
      </w:r>
    </w:p>
    <w:p w14:paraId="3C90A31C" w14:textId="77777777" w:rsidR="00E04081" w:rsidRPr="00A219A8" w:rsidRDefault="00E04081" w:rsidP="00A219A8">
      <w:pPr>
        <w:pStyle w:val="JuHHead"/>
        <w:spacing w:before="360" w:beforeAutospacing="0"/>
      </w:pPr>
      <w:r>
        <w:t>POSTĘPOWANIE</w:t>
      </w:r>
    </w:p>
    <w:p w14:paraId="13CE4F4D" w14:textId="71FAB6AC" w:rsidR="00E04081" w:rsidRPr="00A219A8" w:rsidRDefault="0070416B" w:rsidP="00A219A8">
      <w:pPr>
        <w:pStyle w:val="JuPara"/>
      </w:pPr>
      <w:r>
        <w:fldChar w:fldCharType="begin"/>
      </w:r>
      <w:r>
        <w:instrText xml:space="preserve"> SEQ level0 \*arabic </w:instrText>
      </w:r>
      <w:r>
        <w:fldChar w:fldCharType="separate"/>
      </w:r>
      <w:r w:rsidR="000D6DC4">
        <w:rPr>
          <w:noProof/>
        </w:rPr>
        <w:t>1</w:t>
      </w:r>
      <w:r>
        <w:rPr>
          <w:noProof/>
        </w:rPr>
        <w:fldChar w:fldCharType="end"/>
      </w:r>
      <w:r w:rsidR="00E04081">
        <w:t>.</w:t>
      </w:r>
      <w:r w:rsidR="00A418A3">
        <w:t xml:space="preserve"> </w:t>
      </w:r>
      <w:r w:rsidR="00E04081">
        <w:t>Sprawa wywodzi się ze skargi (nr 8351/17) przeciwko Królestwu Belgii, wniesionej do Trybunału na podstawie art. 34 Konwencji o ochronie praw człowieka i podstawowych wolności („Konwencji”) przez pięciu obywateli hiszpańskich („skarżący”) w dniu 16 stycznia 2017 r. Dane osobowe skarżących znajdują się na załączonym wykazie.</w:t>
      </w:r>
    </w:p>
    <w:p w14:paraId="6CC5068D" w14:textId="482A3A26" w:rsidR="00E04081" w:rsidRPr="00A219A8" w:rsidRDefault="0070416B" w:rsidP="00A219A8">
      <w:pPr>
        <w:pStyle w:val="JuPara"/>
      </w:pPr>
      <w:r>
        <w:fldChar w:fldCharType="begin"/>
      </w:r>
      <w:r>
        <w:instrText xml:space="preserve"> SEQ level0 \*arabic </w:instrText>
      </w:r>
      <w:r>
        <w:fldChar w:fldCharType="separate"/>
      </w:r>
      <w:r w:rsidR="000D6DC4">
        <w:rPr>
          <w:noProof/>
        </w:rPr>
        <w:t>2</w:t>
      </w:r>
      <w:r>
        <w:rPr>
          <w:noProof/>
        </w:rPr>
        <w:fldChar w:fldCharType="end"/>
      </w:r>
      <w:r w:rsidR="00E04081">
        <w:t>.</w:t>
      </w:r>
      <w:r w:rsidR="00A418A3">
        <w:t xml:space="preserve"> </w:t>
      </w:r>
      <w:r w:rsidR="00E04081">
        <w:t>Skarżący byli reprezentowani prze</w:t>
      </w:r>
      <w:r w:rsidR="00ED5355">
        <w:t xml:space="preserve">z M.L. </w:t>
      </w:r>
      <w:proofErr w:type="spellStart"/>
      <w:r w:rsidR="00ED5355">
        <w:t>Garcíę</w:t>
      </w:r>
      <w:proofErr w:type="spellEnd"/>
      <w:r w:rsidR="00ED5355">
        <w:t xml:space="preserve"> Blanco, adwokat</w:t>
      </w:r>
      <w:r w:rsidR="007E27A2">
        <w:t xml:space="preserve">a </w:t>
      </w:r>
      <w:r w:rsidR="00ED5355">
        <w:t xml:space="preserve"> z </w:t>
      </w:r>
      <w:r w:rsidR="00E04081">
        <w:t xml:space="preserve">Madrytu. Rząd belgijski („Rząd”) reprezentowany był przez swojego pełnomocnika, I. </w:t>
      </w:r>
      <w:proofErr w:type="spellStart"/>
      <w:r w:rsidR="00E04081">
        <w:t>Niedlispacher</w:t>
      </w:r>
      <w:proofErr w:type="spellEnd"/>
      <w:r w:rsidR="00E04081">
        <w:t>, z Federalnej Służby Publicznej Wymiaru Sprawiedliwości.</w:t>
      </w:r>
    </w:p>
    <w:p w14:paraId="5D99374C" w14:textId="40770F8E" w:rsidR="00E04081" w:rsidRPr="00A219A8" w:rsidRDefault="0070416B" w:rsidP="00A219A8">
      <w:pPr>
        <w:pStyle w:val="JuPara"/>
      </w:pPr>
      <w:r>
        <w:fldChar w:fldCharType="begin"/>
      </w:r>
      <w:r>
        <w:instrText xml:space="preserve"> SEQ level0 \*arabic </w:instrText>
      </w:r>
      <w:r>
        <w:fldChar w:fldCharType="separate"/>
      </w:r>
      <w:r w:rsidR="000D6DC4">
        <w:rPr>
          <w:noProof/>
        </w:rPr>
        <w:t>3</w:t>
      </w:r>
      <w:r>
        <w:rPr>
          <w:noProof/>
        </w:rPr>
        <w:fldChar w:fldCharType="end"/>
      </w:r>
      <w:r w:rsidR="00E04081">
        <w:t>.</w:t>
      </w:r>
      <w:r w:rsidR="00A418A3">
        <w:t xml:space="preserve"> </w:t>
      </w:r>
      <w:r w:rsidR="00E04081">
        <w:t xml:space="preserve">Powołując się na aspekt proceduralny art. 2 Konwencji, skarżący zarzucili, że władze belgijskie odmówiły wykonania europejskiego nakazu aresztowania wydanego przez władze hiszpańskie wobec N.J.E. </w:t>
      </w:r>
      <w:r w:rsidR="00EA7F34">
        <w:t xml:space="preserve"> </w:t>
      </w:r>
      <w:r w:rsidR="00E04081">
        <w:t>osoby</w:t>
      </w:r>
      <w:r w:rsidR="00EA7F34">
        <w:t xml:space="preserve"> </w:t>
      </w:r>
      <w:r w:rsidR="00E04081">
        <w:t xml:space="preserve">, </w:t>
      </w:r>
      <w:r w:rsidR="008E6F21">
        <w:t>rzekomo biorącej udział</w:t>
      </w:r>
      <w:r w:rsidR="00B30F1F">
        <w:t xml:space="preserve"> </w:t>
      </w:r>
      <w:r w:rsidR="00EA7F34">
        <w:t xml:space="preserve">w </w:t>
      </w:r>
      <w:r w:rsidR="00B30F1F">
        <w:t xml:space="preserve">zabójstwie </w:t>
      </w:r>
      <w:r w:rsidR="00E04081">
        <w:t xml:space="preserve"> ich ojca, w zakresie, w jakim uniemożliwiło to prowadzenie przeciw tej osobie postępowania karnego.</w:t>
      </w:r>
    </w:p>
    <w:p w14:paraId="59EB43FC" w14:textId="7ABAC04D" w:rsidR="00E04081" w:rsidRPr="00A219A8" w:rsidRDefault="0070416B" w:rsidP="00A219A8">
      <w:pPr>
        <w:pStyle w:val="JuPara"/>
      </w:pPr>
      <w:r>
        <w:fldChar w:fldCharType="begin"/>
      </w:r>
      <w:r>
        <w:instrText xml:space="preserve"> SEQ level0 \*arabic </w:instrText>
      </w:r>
      <w:r>
        <w:fldChar w:fldCharType="separate"/>
      </w:r>
      <w:r w:rsidR="000D6DC4">
        <w:rPr>
          <w:noProof/>
        </w:rPr>
        <w:t>4</w:t>
      </w:r>
      <w:r>
        <w:rPr>
          <w:noProof/>
        </w:rPr>
        <w:fldChar w:fldCharType="end"/>
      </w:r>
      <w:r w:rsidR="00E04081">
        <w:t>.</w:t>
      </w:r>
      <w:r w:rsidR="00A418A3">
        <w:t xml:space="preserve"> </w:t>
      </w:r>
      <w:r w:rsidR="00E04081">
        <w:t>Sprawa została zakomunikowana Rządowi w dniu 14 marca 2017 r. Skarżący i Rząd przedstawili pisemne uwagi w przedmiocie dopuszczalności i przedmiotu sprawy (Reguła 54 § 2 Regulaminu). Rząd hiszpański skorzystał ze swojego prawa do interwencji (art. 36 ust. 1 Konwencji i Reguła 44 § 1 lit. a) Regulaminu</w:t>
      </w:r>
      <w:r w:rsidR="00F24A86">
        <w:t xml:space="preserve"> </w:t>
      </w:r>
      <w:r w:rsidR="00E04081">
        <w:t xml:space="preserve">). Uwagi otrzymano również od N.J.E. oraz stowarzyszenia </w:t>
      </w:r>
      <w:proofErr w:type="spellStart"/>
      <w:r w:rsidR="00E04081">
        <w:rPr>
          <w:i/>
        </w:rPr>
        <w:t>Colectivo</w:t>
      </w:r>
      <w:proofErr w:type="spellEnd"/>
      <w:r w:rsidR="00E04081">
        <w:rPr>
          <w:i/>
        </w:rPr>
        <w:t xml:space="preserve"> de </w:t>
      </w:r>
      <w:proofErr w:type="spellStart"/>
      <w:r w:rsidR="00E04081">
        <w:rPr>
          <w:i/>
        </w:rPr>
        <w:t>víctimas</w:t>
      </w:r>
      <w:proofErr w:type="spellEnd"/>
      <w:r w:rsidR="00E04081">
        <w:rPr>
          <w:i/>
        </w:rPr>
        <w:t xml:space="preserve"> del </w:t>
      </w:r>
      <w:proofErr w:type="spellStart"/>
      <w:r w:rsidR="00E04081">
        <w:rPr>
          <w:i/>
        </w:rPr>
        <w:t>terrorismo</w:t>
      </w:r>
      <w:proofErr w:type="spellEnd"/>
      <w:r w:rsidR="009B1CEF">
        <w:rPr>
          <w:i/>
        </w:rPr>
        <w:t xml:space="preserve"> </w:t>
      </w:r>
      <w:r w:rsidR="00E04081">
        <w:t>(„COVITE”), którym udzielono zgody na interwencję w ramach procedury pisemnej jako stronom trzecim (art. 36 ust. 2 Konwencji i Reguła 44 § 3 lit. a) Regulaminu).</w:t>
      </w:r>
    </w:p>
    <w:p w14:paraId="319C1189" w14:textId="77777777" w:rsidR="00E04081" w:rsidRPr="00A219A8" w:rsidRDefault="00E04081" w:rsidP="00A219A8">
      <w:pPr>
        <w:pStyle w:val="JuHHead"/>
        <w:spacing w:before="360" w:beforeAutospacing="0"/>
      </w:pPr>
      <w:r>
        <w:lastRenderedPageBreak/>
        <w:t>FAKTY</w:t>
      </w:r>
    </w:p>
    <w:p w14:paraId="4B597954" w14:textId="77777777" w:rsidR="00E04081" w:rsidRPr="00A219A8" w:rsidRDefault="005734C4" w:rsidP="00A219A8">
      <w:pPr>
        <w:pStyle w:val="JuHIRoman"/>
        <w:rPr>
          <w:rFonts w:eastAsiaTheme="majorEastAsia"/>
        </w:rPr>
      </w:pPr>
      <w:r>
        <w:t> OKOLICZNOŚCI SPRAWY</w:t>
      </w:r>
    </w:p>
    <w:p w14:paraId="42906D13" w14:textId="77777777" w:rsidR="00E04081" w:rsidRPr="00A219A8" w:rsidRDefault="00E04081" w:rsidP="00A219A8">
      <w:pPr>
        <w:pStyle w:val="JuHA"/>
        <w:rPr>
          <w:rFonts w:eastAsiaTheme="majorEastAsia"/>
        </w:rPr>
      </w:pPr>
      <w:r>
        <w:t>Kontekst sprawy</w:t>
      </w:r>
    </w:p>
    <w:p w14:paraId="39B53869" w14:textId="4AE8FB00" w:rsidR="00E04081" w:rsidRPr="00A219A8" w:rsidRDefault="0070416B" w:rsidP="00A219A8">
      <w:pPr>
        <w:pStyle w:val="JuPara"/>
      </w:pPr>
      <w:r>
        <w:fldChar w:fldCharType="begin"/>
      </w:r>
      <w:r>
        <w:instrText xml:space="preserve"> SEQ level0 \*arabic </w:instrText>
      </w:r>
      <w:r>
        <w:fldChar w:fldCharType="separate"/>
      </w:r>
      <w:r w:rsidR="000D6DC4">
        <w:rPr>
          <w:noProof/>
        </w:rPr>
        <w:t>5</w:t>
      </w:r>
      <w:r>
        <w:rPr>
          <w:noProof/>
        </w:rPr>
        <w:fldChar w:fldCharType="end"/>
      </w:r>
      <w:r w:rsidR="00E04081">
        <w:t>.</w:t>
      </w:r>
      <w:r w:rsidR="00A418A3">
        <w:t xml:space="preserve"> </w:t>
      </w:r>
      <w:r w:rsidR="00E04081">
        <w:t xml:space="preserve">Skarżący są dziećmi podpułkownika </w:t>
      </w:r>
      <w:proofErr w:type="spellStart"/>
      <w:r w:rsidR="00E04081">
        <w:t>Ramóna</w:t>
      </w:r>
      <w:proofErr w:type="spellEnd"/>
      <w:r w:rsidR="00E04081">
        <w:t xml:space="preserve"> Romeo, który zginął w wyniku zamachu dokonanego w dniu 19 marca 1981 r. w Bilbao (Hiszpania) przez oddział </w:t>
      </w:r>
      <w:r w:rsidR="00B30F1F">
        <w:t xml:space="preserve">jednostki komandosów </w:t>
      </w:r>
      <w:r w:rsidR="00E04081">
        <w:t>należące</w:t>
      </w:r>
      <w:r w:rsidR="00B30F1F">
        <w:t xml:space="preserve">j </w:t>
      </w:r>
      <w:r w:rsidR="00E04081">
        <w:t>do organizacji terrorystycznej ETA</w:t>
      </w:r>
      <w:r w:rsidR="007135C1" w:rsidRPr="00A219A8">
        <w:rPr>
          <w:rStyle w:val="Odwoanieprzypisudolnego"/>
          <w:lang w:val="fr-FR"/>
        </w:rPr>
        <w:footnoteReference w:id="1"/>
      </w:r>
      <w:r w:rsidR="009B1CEF">
        <w:t>.</w:t>
      </w:r>
      <w:r w:rsidR="00E04081">
        <w:t xml:space="preserve"> Jedna z rzekomych członkiń </w:t>
      </w:r>
      <w:r w:rsidR="00B30F1F">
        <w:t xml:space="preserve">jednostki </w:t>
      </w:r>
      <w:r w:rsidR="00E04081">
        <w:t>komand</w:t>
      </w:r>
      <w:r w:rsidR="00B30F1F">
        <w:t xml:space="preserve">osów </w:t>
      </w:r>
      <w:r w:rsidR="00E04081">
        <w:t>, N.J.E., obywatelka hiszpańska pochodzenia baskijskiego, była podejrzana o</w:t>
      </w:r>
      <w:r w:rsidR="009B1CEF">
        <w:t> </w:t>
      </w:r>
      <w:r w:rsidR="00E04081">
        <w:t>zastrzelenie ojca skarżących z bliskiej odległości.</w:t>
      </w:r>
    </w:p>
    <w:p w14:paraId="7841EB0F" w14:textId="66F211FB" w:rsidR="00E04081" w:rsidRPr="00A219A8" w:rsidRDefault="0070416B" w:rsidP="00A219A8">
      <w:pPr>
        <w:pStyle w:val="JuPara"/>
      </w:pPr>
      <w:r>
        <w:fldChar w:fldCharType="begin"/>
      </w:r>
      <w:r>
        <w:instrText xml:space="preserve"> SEQ level0 \*arabic </w:instrText>
      </w:r>
      <w:r>
        <w:fldChar w:fldCharType="separate"/>
      </w:r>
      <w:r w:rsidR="000D6DC4">
        <w:rPr>
          <w:noProof/>
        </w:rPr>
        <w:t>6</w:t>
      </w:r>
      <w:r>
        <w:rPr>
          <w:noProof/>
        </w:rPr>
        <w:fldChar w:fldCharType="end"/>
      </w:r>
      <w:r w:rsidR="00E04081">
        <w:t>.</w:t>
      </w:r>
      <w:r w:rsidR="00A418A3">
        <w:t xml:space="preserve"> </w:t>
      </w:r>
      <w:r w:rsidR="00E04081">
        <w:t xml:space="preserve">Jedno z dzieci Ramona Romeo wystąpiło w Hiszpanii z powództwem adhezyjnym. W maju 2007 r. wszyscy członkowie </w:t>
      </w:r>
      <w:r w:rsidR="00B30F1F">
        <w:t>jednostki komandosów</w:t>
      </w:r>
      <w:r w:rsidR="00E04081">
        <w:t>, z wyjątkiem N.J.E., zostali skazani przez sąd hiszpański. Po wydarzeniach, które miały miejsce w 1981 r., N.J.E. zbiegła najpierw do Meksyku, a następnie osiedliła się w Belgii.</w:t>
      </w:r>
    </w:p>
    <w:p w14:paraId="13E39344" w14:textId="77777777" w:rsidR="00E04081" w:rsidRPr="00A219A8" w:rsidRDefault="00E04081" w:rsidP="00A219A8">
      <w:pPr>
        <w:pStyle w:val="JuHA"/>
        <w:rPr>
          <w:rFonts w:eastAsiaTheme="majorEastAsia"/>
        </w:rPr>
      </w:pPr>
      <w:r>
        <w:t>Postępowania w sprawie przekazania</w:t>
      </w:r>
    </w:p>
    <w:p w14:paraId="1C955213" w14:textId="77777777" w:rsidR="00E04081" w:rsidRPr="00A219A8" w:rsidRDefault="00E04081" w:rsidP="00A219A8">
      <w:pPr>
        <w:pStyle w:val="JuH1"/>
        <w:rPr>
          <w:rFonts w:eastAsiaTheme="majorEastAsia"/>
        </w:rPr>
      </w:pPr>
      <w:r>
        <w:t>Pierwsze postępowanie w sprawie przekazania</w:t>
      </w:r>
    </w:p>
    <w:p w14:paraId="277A697D" w14:textId="6FA8AD76" w:rsidR="00E04081" w:rsidRPr="00A219A8" w:rsidRDefault="0070416B" w:rsidP="00A219A8">
      <w:pPr>
        <w:pStyle w:val="JuPara"/>
      </w:pPr>
      <w:r>
        <w:fldChar w:fldCharType="begin"/>
      </w:r>
      <w:r>
        <w:instrText xml:space="preserve"> SEQ level0 \*arabic </w:instrText>
      </w:r>
      <w:r>
        <w:fldChar w:fldCharType="separate"/>
      </w:r>
      <w:r w:rsidR="000D6DC4">
        <w:rPr>
          <w:noProof/>
        </w:rPr>
        <w:t>7</w:t>
      </w:r>
      <w:r>
        <w:rPr>
          <w:noProof/>
        </w:rPr>
        <w:fldChar w:fldCharType="end"/>
      </w:r>
      <w:r w:rsidR="00E04081">
        <w:t>.</w:t>
      </w:r>
      <w:r w:rsidR="00A418A3">
        <w:t xml:space="preserve"> </w:t>
      </w:r>
      <w:r w:rsidR="00E04081">
        <w:t xml:space="preserve">W dniach 9 lipca 2004 r. i 1 grudnia 2005 r. hiszpański sędzia śledczy </w:t>
      </w:r>
      <w:r w:rsidR="000B0570">
        <w:t xml:space="preserve"> Krajowego Sądu Karnego i Administracyjnego</w:t>
      </w:r>
      <w:r w:rsidR="00E04081">
        <w:t xml:space="preserve"> </w:t>
      </w:r>
      <w:r w:rsidR="000B0570" w:rsidRPr="0040015C">
        <w:rPr>
          <w:i/>
          <w:iCs/>
        </w:rPr>
        <w:t>(</w:t>
      </w:r>
      <w:proofErr w:type="spellStart"/>
      <w:r w:rsidR="00E04081" w:rsidRPr="0040015C">
        <w:rPr>
          <w:i/>
          <w:iCs/>
        </w:rPr>
        <w:t>A</w:t>
      </w:r>
      <w:r w:rsidR="00E04081">
        <w:rPr>
          <w:i/>
        </w:rPr>
        <w:t>udiencia</w:t>
      </w:r>
      <w:proofErr w:type="spellEnd"/>
      <w:r w:rsidR="008D288F">
        <w:rPr>
          <w:i/>
        </w:rPr>
        <w:t xml:space="preserve"> </w:t>
      </w:r>
      <w:proofErr w:type="spellStart"/>
      <w:r w:rsidR="00E04081">
        <w:rPr>
          <w:i/>
        </w:rPr>
        <w:t>Nacional</w:t>
      </w:r>
      <w:proofErr w:type="spellEnd"/>
      <w:r w:rsidR="000B0570">
        <w:rPr>
          <w:i/>
        </w:rPr>
        <w:t>)</w:t>
      </w:r>
      <w:r w:rsidR="00E04081">
        <w:t xml:space="preserve"> wydał wobec N.J.E. dwa europejskie nakazy aresztowania („ENA”) w celu przeprowadzenia postępowania karnego za usiłowanie zabójstwa i akty terroryzmu popełnione w Bilbao w dniu 14 czerwca 1981 r. z jednej strony oraz za udział w organizacji przestępczej, akty terroryzmu, umyślne zabójstwo, ciężkie uszkodzenie ciała i zabójstwo popełnione w Bilbao w dniu 19 marca 1981 r. z drugiej strony.</w:t>
      </w:r>
    </w:p>
    <w:p w14:paraId="1E2D97EF" w14:textId="57B23B97" w:rsidR="00E04081" w:rsidRPr="00A219A8" w:rsidRDefault="0070416B" w:rsidP="00A219A8">
      <w:pPr>
        <w:pStyle w:val="JuPara"/>
      </w:pPr>
      <w:r>
        <w:fldChar w:fldCharType="begin"/>
      </w:r>
      <w:r>
        <w:instrText xml:space="preserve"> SEQ level0 \*arabic </w:instrText>
      </w:r>
      <w:r>
        <w:fldChar w:fldCharType="separate"/>
      </w:r>
      <w:r w:rsidR="000D6DC4">
        <w:rPr>
          <w:noProof/>
        </w:rPr>
        <w:t>8</w:t>
      </w:r>
      <w:r>
        <w:rPr>
          <w:noProof/>
        </w:rPr>
        <w:fldChar w:fldCharType="end"/>
      </w:r>
      <w:r w:rsidR="00E04081">
        <w:t>.</w:t>
      </w:r>
      <w:r w:rsidR="00A418A3">
        <w:t xml:space="preserve"> </w:t>
      </w:r>
      <w:r w:rsidR="00E04081">
        <w:t>Zatrzymania N.J.E. dokonano na podstawie postanowienia sędziego śledczego sądu pierwszej instancji w Gand</w:t>
      </w:r>
      <w:r w:rsidR="008D288F">
        <w:t>awie z dnia 9 października 2013 </w:t>
      </w:r>
      <w:r w:rsidR="00E04081">
        <w:t>r.</w:t>
      </w:r>
    </w:p>
    <w:p w14:paraId="562A7627" w14:textId="4777E1CF" w:rsidR="00E04081" w:rsidRPr="00A219A8" w:rsidRDefault="0070416B" w:rsidP="00A219A8">
      <w:pPr>
        <w:pStyle w:val="JuPara"/>
      </w:pPr>
      <w:r>
        <w:fldChar w:fldCharType="begin"/>
      </w:r>
      <w:r>
        <w:instrText xml:space="preserve"> SEQ level0 \*arabic </w:instrText>
      </w:r>
      <w:r>
        <w:fldChar w:fldCharType="separate"/>
      </w:r>
      <w:r w:rsidR="000D6DC4">
        <w:rPr>
          <w:noProof/>
        </w:rPr>
        <w:t>9</w:t>
      </w:r>
      <w:r>
        <w:rPr>
          <w:noProof/>
        </w:rPr>
        <w:fldChar w:fldCharType="end"/>
      </w:r>
      <w:r w:rsidR="00E04081">
        <w:t>.</w:t>
      </w:r>
      <w:r w:rsidR="00A418A3">
        <w:t xml:space="preserve"> </w:t>
      </w:r>
      <w:r w:rsidR="00E04081">
        <w:t xml:space="preserve">Postanowieniem z dnia 16 października 2013 r. </w:t>
      </w:r>
      <w:r w:rsidR="00890E9C" w:rsidRPr="00890E9C">
        <w:t xml:space="preserve">Wydział Wykonawczy </w:t>
      </w:r>
      <w:r w:rsidR="00890E9C">
        <w:t>(</w:t>
      </w:r>
      <w:r w:rsidR="00890E9C" w:rsidRPr="00A219A8">
        <w:rPr>
          <w:lang w:val="fr-FR"/>
        </w:rPr>
        <w:t>la chambre du conseil</w:t>
      </w:r>
      <w:r w:rsidR="00890E9C">
        <w:t xml:space="preserve">) </w:t>
      </w:r>
      <w:r w:rsidR="00E04081">
        <w:t>tego samego sądu stwierdził wykonalność ENA.</w:t>
      </w:r>
    </w:p>
    <w:p w14:paraId="36039733" w14:textId="346ED7C1" w:rsidR="00E04081" w:rsidRPr="00A219A8" w:rsidRDefault="0070416B" w:rsidP="00A219A8">
      <w:pPr>
        <w:pStyle w:val="JuPara"/>
      </w:pPr>
      <w:r>
        <w:fldChar w:fldCharType="begin"/>
      </w:r>
      <w:r>
        <w:instrText xml:space="preserve"> SEQ level0 \*arabic </w:instrText>
      </w:r>
      <w:r>
        <w:fldChar w:fldCharType="separate"/>
      </w:r>
      <w:r w:rsidR="000D6DC4">
        <w:rPr>
          <w:noProof/>
        </w:rPr>
        <w:t>10</w:t>
      </w:r>
      <w:r>
        <w:rPr>
          <w:noProof/>
        </w:rPr>
        <w:fldChar w:fldCharType="end"/>
      </w:r>
      <w:r w:rsidR="00E04081">
        <w:t>.</w:t>
      </w:r>
      <w:r w:rsidR="00A418A3">
        <w:t xml:space="preserve"> </w:t>
      </w:r>
      <w:r w:rsidR="00E04081">
        <w:t>N.J.E. zaskarżyła to postanowienie. Stwierdziła przede wszystkim, że należy odmówić wykonania ENA, ponieważ zgodnie z prawem belgijskim ściganie z oskarżenia publ</w:t>
      </w:r>
      <w:r w:rsidR="00E47D21">
        <w:t>icznego uległo przedawnieniu, a </w:t>
      </w:r>
      <w:r w:rsidR="00E04081">
        <w:t>popełnione czyny podlegały jurysdykcji eksterytorialnej sądów belgijskich (art. 4, 4</w:t>
      </w:r>
      <w:r w:rsidR="00E04081">
        <w:rPr>
          <w:vertAlign w:val="superscript"/>
        </w:rPr>
        <w:t>o</w:t>
      </w:r>
      <w:r w:rsidR="00E04081">
        <w:t xml:space="preserve"> ustawy o ENA z dnia 19 grudnia 2003 r., zob. paragraf </w:t>
      </w:r>
      <w:r w:rsidR="008E0C4F">
        <w:fldChar w:fldCharType="begin"/>
      </w:r>
      <w:r w:rsidR="008E0C4F">
        <w:instrText xml:space="preserve"> REF LoiMAE \h  \* MERGEFORMAT </w:instrText>
      </w:r>
      <w:r w:rsidR="008E0C4F">
        <w:fldChar w:fldCharType="separate"/>
      </w:r>
      <w:r w:rsidR="000D6DC4">
        <w:t>25</w:t>
      </w:r>
      <w:r w:rsidR="008E0C4F">
        <w:fldChar w:fldCharType="end"/>
      </w:r>
      <w:r w:rsidR="00E04081">
        <w:t xml:space="preserve"> poniżej). Ponadto twierdziła, że istnieją poważne powody, aby sądzić, że wykonanie przedmiotowych </w:t>
      </w:r>
      <w:r w:rsidR="00E04081">
        <w:lastRenderedPageBreak/>
        <w:t>ENA skutkowałoby naruszeniem jej praw podstawowych wynikających z art. 6 Traktatu o Unii Europejskiej („UE”) (art. 4, 5</w:t>
      </w:r>
      <w:r w:rsidR="00E04081">
        <w:rPr>
          <w:vertAlign w:val="superscript"/>
        </w:rPr>
        <w:t>o</w:t>
      </w:r>
      <w:r w:rsidR="00E04081">
        <w:t xml:space="preserve"> ww. ustawy).</w:t>
      </w:r>
    </w:p>
    <w:bookmarkStart w:id="0" w:name="extraterr"/>
    <w:bookmarkStart w:id="1" w:name="bvgh"/>
    <w:p w14:paraId="42CC61FC" w14:textId="2F4E16BA"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11</w:t>
      </w:r>
      <w:r w:rsidRPr="00A219A8">
        <w:fldChar w:fldCharType="end"/>
      </w:r>
      <w:bookmarkEnd w:id="0"/>
      <w:bookmarkEnd w:id="1"/>
      <w:r w:rsidR="00E04081">
        <w:t>.</w:t>
      </w:r>
      <w:r w:rsidR="00A418A3">
        <w:t xml:space="preserve"> </w:t>
      </w:r>
      <w:r w:rsidR="00E04081">
        <w:t>W dniu 31 października 2013 r., powołując się na art. 6 i 7 tytułu wstępnego kodeksu postępowania karnego („k.p.k.”) (zob. paragraf </w:t>
      </w:r>
      <w:r w:rsidR="008E0C4F">
        <w:fldChar w:fldCharType="begin"/>
      </w:r>
      <w:r w:rsidR="008E0C4F">
        <w:instrText xml:space="preserve"> REF VT \h  \* MERGEFORMAT </w:instrText>
      </w:r>
      <w:r w:rsidR="008E0C4F">
        <w:fldChar w:fldCharType="separate"/>
      </w:r>
      <w:r w:rsidR="000D6DC4">
        <w:t>26</w:t>
      </w:r>
      <w:r w:rsidR="008E0C4F">
        <w:fldChar w:fldCharType="end"/>
      </w:r>
      <w:r w:rsidR="00E04081">
        <w:t xml:space="preserve"> poniżej), </w:t>
      </w:r>
      <w:r w:rsidR="00B30F1F">
        <w:t xml:space="preserve">wydział </w:t>
      </w:r>
      <w:r w:rsidR="00E04081">
        <w:t xml:space="preserve"> oskarżeń sądu apelacyjnego w Gandawie uznał, że N.J.E. nie podlega belgijskim sądom karnym. </w:t>
      </w:r>
      <w:r w:rsidR="00B30F1F">
        <w:t xml:space="preserve">Wydział </w:t>
      </w:r>
      <w:r w:rsidR="00E04081">
        <w:t>uznał, że N.J.E. nie ma głównego miejsca zamieszkania w Belgii. Zauważył ponadto, że N.J.E. nie była ścigana w Belgii za żadne z przestępstw określonych w art. 6 tytułu wstępnego k.p.k. Wreszcie zauważył, że brak było „skargi ze strony cudzoziemca lub jego rodziny” bądź „oficjalnego zawiadomienia władz belgijskich przez władze kraju, w kt</w:t>
      </w:r>
      <w:r w:rsidR="008A72E0">
        <w:t>órym popełniono przestępstwo” w </w:t>
      </w:r>
      <w:r w:rsidR="00E04081">
        <w:t>rozumieniu art. 7 § 2 tytułu wstępnego k.p.k.</w:t>
      </w:r>
    </w:p>
    <w:bookmarkStart w:id="2" w:name="CHBMISES2011"/>
    <w:p w14:paraId="35D7CDF3" w14:textId="4473C314"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12</w:t>
      </w:r>
      <w:r w:rsidRPr="00A219A8">
        <w:fldChar w:fldCharType="end"/>
      </w:r>
      <w:bookmarkEnd w:id="2"/>
      <w:r w:rsidR="00E04081">
        <w:t>.</w:t>
      </w:r>
      <w:r w:rsidR="00A418A3">
        <w:t xml:space="preserve"> </w:t>
      </w:r>
      <w:r w:rsidR="00B30F1F">
        <w:t xml:space="preserve">Wydział </w:t>
      </w:r>
      <w:r w:rsidR="00E04081">
        <w:t>oskarżeń odmówił jednak wykonania ENA na podstawie art. 4, 5</w:t>
      </w:r>
      <w:r w:rsidR="00E04081">
        <w:rPr>
          <w:vertAlign w:val="superscript"/>
        </w:rPr>
        <w:t>o</w:t>
      </w:r>
      <w:r w:rsidR="00E04081">
        <w:t xml:space="preserve"> ustawy o ENA. Je</w:t>
      </w:r>
      <w:r w:rsidR="000F413D">
        <w:t>go</w:t>
      </w:r>
      <w:r w:rsidR="00E04081">
        <w:t xml:space="preserve"> zdaniem czy</w:t>
      </w:r>
      <w:r w:rsidR="008A72E0">
        <w:t>ny zabronione należy umieścić w </w:t>
      </w:r>
      <w:r w:rsidR="00E04081">
        <w:t>szerszym kontekście współczesnej histor</w:t>
      </w:r>
      <w:r w:rsidR="008A72E0">
        <w:t>ii politycznej Hiszpanii oraz w </w:t>
      </w:r>
      <w:r w:rsidR="00E04081">
        <w:t>kontekście indywidualnym N.J.E., któr</w:t>
      </w:r>
      <w:r w:rsidR="008A72E0">
        <w:t>a w wieku ok. 20 lat działała w </w:t>
      </w:r>
      <w:r w:rsidR="00E04081">
        <w:t xml:space="preserve">ramach „zbrojnego baskijskiego ruchu oporu”, a w wieku 55 lat stała się aktywna zawodowo, prowadząc normalne życie w Gandawie. Ponadto, opierając się między innymi na raporcie Europejskiego Komitetu Zapobiegania Torturom („CPT”) z okresowej wizyty w Hiszpanii w dniach 31 maja–13 czerwca 2011 r., organ uznał, że istnieją poważne podstawy, aby sądzić, że wykonanie ENA naruszy prawa podstawowe N.J.E. zagwarantowane w art. 6 Traktatu UE. W szczególności </w:t>
      </w:r>
      <w:r w:rsidR="00B30F1F">
        <w:t xml:space="preserve">Wydział </w:t>
      </w:r>
      <w:r w:rsidR="00E04081">
        <w:t>uznał, że:</w:t>
      </w:r>
    </w:p>
    <w:p w14:paraId="3304AF1B" w14:textId="77777777" w:rsidR="00E04081" w:rsidRPr="00A219A8" w:rsidRDefault="00E04081" w:rsidP="00A219A8">
      <w:pPr>
        <w:pStyle w:val="JuQuot"/>
      </w:pPr>
      <w:r>
        <w:t>„(...) osoby oskarżone o czyny zabronione z rzekomo terrorystycznych pobudek muszą być poddane w Hiszpanii innemu r</w:t>
      </w:r>
      <w:r w:rsidR="008A72E0">
        <w:t>eżimowi pozbawienia wolności, w </w:t>
      </w:r>
      <w:r>
        <w:t>poniżających warunkach, które mogą obejmować tortury i przy bardzo ograniczonym kontakcie ze światem zewnętrznym (rodziną lub obrońcą), bowiem zachodzą ku temu przesłanki (...). Sąd pierwszej instancji i prokuratur</w:t>
      </w:r>
      <w:r w:rsidR="00732D54">
        <w:t>a</w:t>
      </w:r>
      <w:r>
        <w:t xml:space="preserve"> nie mają racji twierdząc, że istnieje domniemanie poszanowania praw podstawowych przez Hiszpanię, nawet w odniesieniu do byłych członków baskijskiego ruchu oporu, którym prawdopodobnie była [zainteresowana].</w:t>
      </w:r>
    </w:p>
    <w:p w14:paraId="55BE71C1" w14:textId="77777777" w:rsidR="00E04081" w:rsidRPr="00A219A8" w:rsidRDefault="00E04081" w:rsidP="00A219A8">
      <w:pPr>
        <w:pStyle w:val="JuQuot"/>
      </w:pPr>
      <w:r>
        <w:t>Po pierwsze, poszanowania praw człowieka nigdy nie należy domniemywać.</w:t>
      </w:r>
    </w:p>
    <w:p w14:paraId="061ED5E1" w14:textId="77777777" w:rsidR="00E04081" w:rsidRPr="00A219A8" w:rsidRDefault="00E04081" w:rsidP="00A219A8">
      <w:pPr>
        <w:pStyle w:val="JuQuot"/>
      </w:pPr>
      <w:r>
        <w:t>Po drugie, samo prawo zaprzecza istnieniu [takiego domniemania], ponieważ osoba będąca przedmiotem ENA ma prawo wykazać i uprawdopodobnić, że istnieją poważne podstawy, aby przypuszczać, że dojdzie do naruszenia praw człowieka. Ta dodatkowa gwarancja jest oferowana właśnie w ściśle europejskim kontekście prawnym.</w:t>
      </w:r>
    </w:p>
    <w:p w14:paraId="67FFC744" w14:textId="77777777" w:rsidR="00E04081" w:rsidRPr="00A219A8" w:rsidRDefault="00E04081" w:rsidP="00A219A8">
      <w:pPr>
        <w:pStyle w:val="JuQuot"/>
      </w:pPr>
      <w:r>
        <w:t>Te poważne obawy znajdują potwierdzenie w raportach organizacji międzynarodowych.</w:t>
      </w:r>
    </w:p>
    <w:p w14:paraId="5A8C7430" w14:textId="77777777" w:rsidR="00E04081" w:rsidRPr="00A219A8" w:rsidRDefault="00E04081" w:rsidP="00A219A8">
      <w:pPr>
        <w:pStyle w:val="JuQuot"/>
      </w:pPr>
      <w:r>
        <w:t xml:space="preserve">Po trzecie, żadne przepisy prawa nie wymagają udowodnienia, że z </w:t>
      </w:r>
      <w:r w:rsidR="000D6DC4">
        <w:t>całą pewnością</w:t>
      </w:r>
      <w:r>
        <w:t xml:space="preserve"> doszłoby do naruszenia praw podstawowych.”</w:t>
      </w:r>
    </w:p>
    <w:p w14:paraId="59523246" w14:textId="306441E7" w:rsidR="00E04081" w:rsidRPr="00A219A8" w:rsidRDefault="0070416B" w:rsidP="00A219A8">
      <w:pPr>
        <w:pStyle w:val="JuPara"/>
      </w:pPr>
      <w:r>
        <w:fldChar w:fldCharType="begin"/>
      </w:r>
      <w:r>
        <w:instrText xml:space="preserve"> SEQ level0 \*arabic </w:instrText>
      </w:r>
      <w:r>
        <w:fldChar w:fldCharType="separate"/>
      </w:r>
      <w:r w:rsidR="000D6DC4">
        <w:rPr>
          <w:noProof/>
        </w:rPr>
        <w:t>13</w:t>
      </w:r>
      <w:r>
        <w:rPr>
          <w:noProof/>
        </w:rPr>
        <w:fldChar w:fldCharType="end"/>
      </w:r>
      <w:r w:rsidR="00E04081">
        <w:t>.</w:t>
      </w:r>
      <w:r w:rsidR="00A418A3">
        <w:t xml:space="preserve"> </w:t>
      </w:r>
      <w:r w:rsidR="00C75811">
        <w:t xml:space="preserve">Ostatecznie </w:t>
      </w:r>
      <w:r w:rsidR="00E04081">
        <w:t xml:space="preserve"> </w:t>
      </w:r>
      <w:r w:rsidR="000F413D">
        <w:t xml:space="preserve">Wydział </w:t>
      </w:r>
      <w:r w:rsidR="00E04081">
        <w:t>oskarżeń postanowił zwolnić N.J.E.</w:t>
      </w:r>
    </w:p>
    <w:p w14:paraId="415F834B" w14:textId="7F20DEC7" w:rsidR="00E04081" w:rsidRPr="00A219A8" w:rsidRDefault="0070416B" w:rsidP="00A219A8">
      <w:pPr>
        <w:pStyle w:val="JuPara"/>
      </w:pPr>
      <w:r>
        <w:fldChar w:fldCharType="begin"/>
      </w:r>
      <w:r>
        <w:instrText xml:space="preserve"> SEQ level0 \*arabic </w:instrText>
      </w:r>
      <w:r>
        <w:fldChar w:fldCharType="separate"/>
      </w:r>
      <w:r w:rsidR="000D6DC4">
        <w:rPr>
          <w:noProof/>
        </w:rPr>
        <w:t>14</w:t>
      </w:r>
      <w:r>
        <w:rPr>
          <w:noProof/>
        </w:rPr>
        <w:fldChar w:fldCharType="end"/>
      </w:r>
      <w:r w:rsidR="00E04081">
        <w:t>.</w:t>
      </w:r>
      <w:r w:rsidR="00A418A3">
        <w:t xml:space="preserve"> </w:t>
      </w:r>
      <w:r w:rsidR="00E04081">
        <w:t xml:space="preserve">Belgijski </w:t>
      </w:r>
      <w:r w:rsidR="00C75811">
        <w:t>P</w:t>
      </w:r>
      <w:r w:rsidR="00E04081">
        <w:t xml:space="preserve">rokurator </w:t>
      </w:r>
      <w:r w:rsidR="00C75811">
        <w:t>F</w:t>
      </w:r>
      <w:r w:rsidR="00E04081">
        <w:t>ederalny wniósł skargę kasacyjną. W</w:t>
      </w:r>
      <w:r w:rsidR="00732D54">
        <w:t> </w:t>
      </w:r>
      <w:r w:rsidR="00E04081">
        <w:t xml:space="preserve">szczególności uznał, że w świetle zasady wzajemnego zaufania między państwami członkowskimi Unii Europejskiej („UE”) odmowa ekstradycji ze </w:t>
      </w:r>
      <w:r w:rsidR="00E04081">
        <w:lastRenderedPageBreak/>
        <w:t xml:space="preserve">względu na naruszenie praw podstawowych danej osoby musi być uzasadniona konkretnymi dowodami wskazującymi na oczywiste zagrożenie dla jej praw i mogącymi obalić domniemanie poszanowania praw podstawowych. Tymczasem w </w:t>
      </w:r>
      <w:r w:rsidR="00FB4CD6">
        <w:t xml:space="preserve">orzeczeniu </w:t>
      </w:r>
      <w:r w:rsidR="00783363">
        <w:t xml:space="preserve">Wydziału </w:t>
      </w:r>
      <w:r w:rsidR="00E04081">
        <w:t>oskarżeń nie wskazano żadnych konkretnych dowodów świadczących o ryzyku naruszenia praw podstawowych N.J.E., a sam</w:t>
      </w:r>
      <w:r w:rsidR="00783363">
        <w:t>o</w:t>
      </w:r>
      <w:r w:rsidR="00E04081">
        <w:t xml:space="preserve"> </w:t>
      </w:r>
      <w:r w:rsidR="00783363">
        <w:t xml:space="preserve">orzeczenie </w:t>
      </w:r>
      <w:r w:rsidR="00E04081">
        <w:t>został</w:t>
      </w:r>
      <w:r w:rsidR="00783363">
        <w:t>o</w:t>
      </w:r>
      <w:r w:rsidR="00E04081">
        <w:t xml:space="preserve"> sformułowan</w:t>
      </w:r>
      <w:r w:rsidR="00783363">
        <w:t>e</w:t>
      </w:r>
      <w:r w:rsidR="00E04081">
        <w:t xml:space="preserve"> w sposób tak ogólny, że brak było możliwości obalenia domniemania poszanowania praw człowieka, z którego korzysta państwo wydające ENA.</w:t>
      </w:r>
    </w:p>
    <w:bookmarkStart w:id="3" w:name="Cass19112013"/>
    <w:p w14:paraId="083CA240" w14:textId="1684BB24"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15</w:t>
      </w:r>
      <w:r w:rsidRPr="00A219A8">
        <w:fldChar w:fldCharType="end"/>
      </w:r>
      <w:bookmarkEnd w:id="3"/>
      <w:r w:rsidR="00E04081">
        <w:t>.</w:t>
      </w:r>
      <w:r w:rsidR="00A418A3">
        <w:t xml:space="preserve"> </w:t>
      </w:r>
      <w:r w:rsidR="00E04081">
        <w:t xml:space="preserve">Wyrokiem z dnia 19 listopada 2013 r. Sąd </w:t>
      </w:r>
      <w:r w:rsidR="00A9700E">
        <w:t>K</w:t>
      </w:r>
      <w:r w:rsidR="00E04081">
        <w:t xml:space="preserve">asacyjny oddalił wniesioną przez </w:t>
      </w:r>
      <w:r w:rsidR="00C75811">
        <w:t>P</w:t>
      </w:r>
      <w:r w:rsidR="00E04081">
        <w:t xml:space="preserve">rokuratora </w:t>
      </w:r>
      <w:r w:rsidR="00C75811">
        <w:t>F</w:t>
      </w:r>
      <w:r w:rsidR="00E04081">
        <w:t>ederalnego skargę kasacyjną. Jeśli chodzi o</w:t>
      </w:r>
      <w:r w:rsidR="00207B6D">
        <w:t> </w:t>
      </w:r>
      <w:r w:rsidR="00E04081">
        <w:t>zasady mające zastosowanie w tym przypadku, sąd ten przypomniał, że :</w:t>
      </w:r>
    </w:p>
    <w:p w14:paraId="1929281A" w14:textId="3152E5CE" w:rsidR="00E04081" w:rsidRPr="00A219A8" w:rsidRDefault="00E04081" w:rsidP="00A219A8">
      <w:pPr>
        <w:pStyle w:val="JuQuot"/>
      </w:pPr>
      <w:r>
        <w:t>„Zgodnie z art. 4, 5</w:t>
      </w:r>
      <w:r>
        <w:rPr>
          <w:vertAlign w:val="superscript"/>
        </w:rPr>
        <w:t>o</w:t>
      </w:r>
      <w:r>
        <w:t xml:space="preserve"> ustawy z dnia 19 grudnia 2003 r. odmawia się wykonania europejskiego nakazu aresztowania, jeśli istnieją poważne powody, by sądzić, że wykonanie europejskiego nakazu aresztowania skutkowałoby naruszeniem praw podstawowych danej osoby, zapisanych w art. 6 Traktatu o Unii Europejskiej, a</w:t>
      </w:r>
      <w:r w:rsidR="00DC05C2">
        <w:t> </w:t>
      </w:r>
      <w:r>
        <w:t>mianowicie praw gwarantowanych przez [Konwencję] i wynikających jako ogólne zasady prawa wspólnotowego z tradycji konstytucyjnych wspólnych dla państw członkowskich Unii Europejskiej”.</w:t>
      </w:r>
    </w:p>
    <w:p w14:paraId="5AF41F6C" w14:textId="5AD902E9" w:rsidR="00E04081" w:rsidRPr="00A219A8" w:rsidRDefault="00E04081" w:rsidP="00A219A8">
      <w:pPr>
        <w:pStyle w:val="JuQuot"/>
      </w:pPr>
      <w:r>
        <w:t>Z motywu 10 preambuły decyzji ramowej Rady 2002/584/</w:t>
      </w:r>
      <w:proofErr w:type="spellStart"/>
      <w:r>
        <w:t>WSiSW</w:t>
      </w:r>
      <w:proofErr w:type="spellEnd"/>
      <w:r>
        <w:t xml:space="preserve"> z dnia 13 czerwca 2002 r. w sprawie europejskiego nakazu aresztowania i procedury wydawania osób między państwami członkowskimi wynika, że mechanizm europejskiego nakazu aresztowania opiera się na wysokim stopniu zaufania w</w:t>
      </w:r>
      <w:r w:rsidR="00630A51">
        <w:t> </w:t>
      </w:r>
      <w:r>
        <w:t>stosunkach między państwami członkowskimi. Ten wysoki stopień zaufania między państwami członkowskimi pociąga za sobą domniemanie, że państwo wydające nakaz przestrzega praw podstawowych, o których mowa w art. 4, 5</w:t>
      </w:r>
      <w:r>
        <w:rPr>
          <w:vertAlign w:val="superscript"/>
        </w:rPr>
        <w:t>o</w:t>
      </w:r>
      <w:r>
        <w:t xml:space="preserve"> ustawy z dnia 19 grudnia 2003 r. o europejskim nakazie aresztowania.</w:t>
      </w:r>
    </w:p>
    <w:p w14:paraId="626651FE" w14:textId="4073B887" w:rsidR="00E04081" w:rsidRPr="00A219A8" w:rsidRDefault="00E04081" w:rsidP="00A219A8">
      <w:pPr>
        <w:pStyle w:val="JuQuot"/>
      </w:pPr>
      <w:r>
        <w:t>W świetle tej zasady wzajemnego zaufania w stosunkach między państwami członkowskimi odmowa wydania musi być uzasadniona konkretnymi dowodami wskazującymi na oczywiste zagrożenie dla praw podstawowych danej osoby i</w:t>
      </w:r>
      <w:r w:rsidR="004B336D">
        <w:t> </w:t>
      </w:r>
      <w:r>
        <w:t>mogącymi obalić domniemanie poszanowania tych praw, z którego korzysta państwo wydające nakaz.</w:t>
      </w:r>
    </w:p>
    <w:p w14:paraId="0A645C5C" w14:textId="3DD1DB5C" w:rsidR="00E04081" w:rsidRPr="00A219A8" w:rsidRDefault="00E04081" w:rsidP="00A219A8">
      <w:pPr>
        <w:pStyle w:val="JuQuot"/>
      </w:pPr>
      <w:r>
        <w:t>Sędzia ocenia w sposób suwerenny, czy przedstawione konkretne dowody wskazujące na oczywiste zagrożenie dla praw podstawowych danej osoby są wystarczające do obalenia ww. domniemania. Sąd [</w:t>
      </w:r>
      <w:r w:rsidR="002E606F">
        <w:t>K</w:t>
      </w:r>
      <w:r>
        <w:t xml:space="preserve">asacyjny] sprawdza jedynie, czy sędzia nie wyciąga ze swoich ustaleń </w:t>
      </w:r>
      <w:r w:rsidR="00C12911">
        <w:t xml:space="preserve">wniosków </w:t>
      </w:r>
      <w:r>
        <w:t>, które nie są z nimi związane lub których nie można uzasadnić. ”</w:t>
      </w:r>
    </w:p>
    <w:p w14:paraId="4737FC27" w14:textId="327AE76A" w:rsidR="00E04081" w:rsidRPr="00A219A8" w:rsidRDefault="00E04081" w:rsidP="00A219A8">
      <w:pPr>
        <w:pStyle w:val="JuPara"/>
      </w:pPr>
      <w:r>
        <w:t xml:space="preserve">Przechodząc do okoliczności sprawy, Sąd </w:t>
      </w:r>
      <w:r w:rsidR="00A9700E">
        <w:t>K</w:t>
      </w:r>
      <w:r>
        <w:t>asacyjny uznał, że:</w:t>
      </w:r>
    </w:p>
    <w:p w14:paraId="49D14FFD" w14:textId="54A40090" w:rsidR="00E04081" w:rsidRPr="00A219A8" w:rsidRDefault="00E04081" w:rsidP="00A219A8">
      <w:pPr>
        <w:pStyle w:val="JuQuot"/>
      </w:pPr>
      <w:r>
        <w:t>„W wyroku stwierdzono, że istnieją poważne powody, aby sądzić, że wykonanie europejskich nakazów aresztowania skutkowałoby naruszeniem praw podstawowych oskarżonej, ponieważ </w:t>
      </w:r>
      <w:r>
        <w:rPr>
          <w:i/>
        </w:rPr>
        <w:t>„osoby oskarżone o popełnienie czynów zabronionych o</w:t>
      </w:r>
      <w:r w:rsidR="009352F0">
        <w:rPr>
          <w:i/>
        </w:rPr>
        <w:t> </w:t>
      </w:r>
      <w:r>
        <w:rPr>
          <w:i/>
        </w:rPr>
        <w:t>charakterze terrorystycznym, muszą być poddane innemu reżimowi pozbawienia wolności w Hiszpanii, w poniżających warunkach, którym mogą towarzyszyć tortury i</w:t>
      </w:r>
      <w:r w:rsidR="008B3ED4">
        <w:rPr>
          <w:i/>
        </w:rPr>
        <w:t> </w:t>
      </w:r>
      <w:r>
        <w:rPr>
          <w:i/>
        </w:rPr>
        <w:t>przy bardzo ograniczonym kontakcie ze światem zewnętrznym (rodziną i obrońcą)”</w:t>
      </w:r>
      <w:r>
        <w:t xml:space="preserve"> i</w:t>
      </w:r>
      <w:r w:rsidR="008B3ED4">
        <w:t> </w:t>
      </w:r>
      <w:r>
        <w:t>od</w:t>
      </w:r>
      <w:r w:rsidR="00CF13C4">
        <w:t xml:space="preserve">esłano </w:t>
      </w:r>
      <w:r>
        <w:t>w tym zakresie do raportów Europejskiego Komitetu Zapobiegania Torturom oraz Nieludzkiemu lub Poniżającemu Traktowaniu albo Karaniu Rady Europy z 2011</w:t>
      </w:r>
      <w:r w:rsidR="002E00FF">
        <w:t> </w:t>
      </w:r>
      <w:r>
        <w:t>r.</w:t>
      </w:r>
    </w:p>
    <w:p w14:paraId="7DF6855B" w14:textId="77777777" w:rsidR="00E04081" w:rsidRPr="00A219A8" w:rsidRDefault="00E04081" w:rsidP="00A219A8">
      <w:pPr>
        <w:pStyle w:val="JuQuot"/>
      </w:pPr>
      <w:r>
        <w:lastRenderedPageBreak/>
        <w:t>Tym samym wyrok zawiera prawną podstawę odmowy ekstradycji, ponieważ istnieją poważne powody, aby sądzić, że wykonanie europejskich nakazów aresztowania skutkowałoby naruszeniem praw podstawowych danej osoby, zapisanych w art. 6 Traktatu o Unii Europejskiej.</w:t>
      </w:r>
    </w:p>
    <w:p w14:paraId="7566FC33" w14:textId="32B67B57" w:rsidR="00E04081" w:rsidRPr="00A219A8" w:rsidRDefault="00E04081" w:rsidP="00A219A8">
      <w:pPr>
        <w:pStyle w:val="JuQuot"/>
      </w:pPr>
      <w:r>
        <w:t>Zarzut ten nie zasługuje na uwzględnienie.”</w:t>
      </w:r>
    </w:p>
    <w:bookmarkStart w:id="4" w:name="cass"/>
    <w:bookmarkStart w:id="5" w:name="presidentcass"/>
    <w:p w14:paraId="0AE63262" w14:textId="3C67FE0D"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16</w:t>
      </w:r>
      <w:r w:rsidRPr="00A219A8">
        <w:fldChar w:fldCharType="end"/>
      </w:r>
      <w:bookmarkEnd w:id="4"/>
      <w:bookmarkEnd w:id="5"/>
      <w:r w:rsidR="00E04081">
        <w:t>.</w:t>
      </w:r>
      <w:r w:rsidR="00A418A3">
        <w:t xml:space="preserve"> </w:t>
      </w:r>
      <w:r w:rsidR="00E04081">
        <w:t xml:space="preserve">Pismem z dnia 27 listopada 2014 r., w odpowiedzi skierowanej do jednego ze skarżących w związku z odmową wykonania ENA wobec N.J.E., pierwszy prezes Sądu </w:t>
      </w:r>
      <w:r w:rsidR="00CF13C4">
        <w:t>K</w:t>
      </w:r>
      <w:r w:rsidR="00E04081">
        <w:t>asacyjnego wyjaśnił, że niewykonanie ENA nie musi oznaczać bezkarności osoby, któr</w:t>
      </w:r>
      <w:r w:rsidR="00862FE0">
        <w:t xml:space="preserve">ej </w:t>
      </w:r>
      <w:r w:rsidR="00E04081">
        <w:t>nakaz</w:t>
      </w:r>
      <w:r w:rsidR="00862FE0">
        <w:t xml:space="preserve"> dotyczył</w:t>
      </w:r>
      <w:r w:rsidR="00E04081">
        <w:t>. Dodał, że:</w:t>
      </w:r>
    </w:p>
    <w:p w14:paraId="3C2784D6" w14:textId="77777777" w:rsidR="00E04081" w:rsidRPr="00A219A8" w:rsidRDefault="00E04081" w:rsidP="00A219A8">
      <w:pPr>
        <w:pStyle w:val="JuQuot"/>
      </w:pPr>
      <w:r>
        <w:noBreakHyphen/>
        <w:t>„Istnieją inne procedury, z których właściwy organ może w stosownych przypadkach skorzystać w celu osądzenia osób podejrzanych o popełnienie przestępstw, które nie przebywają już na terytorium państwa, w którym przestępstwa te miały zostać popełnione. W tym zakresie należy zwrócić się do prokuratora federalnego”.</w:t>
      </w:r>
    </w:p>
    <w:p w14:paraId="531FD82A" w14:textId="77777777" w:rsidR="00E04081" w:rsidRPr="00A219A8" w:rsidRDefault="00E04081" w:rsidP="00A219A8">
      <w:pPr>
        <w:pStyle w:val="JuH1"/>
        <w:rPr>
          <w:rFonts w:eastAsiaTheme="majorEastAsia"/>
        </w:rPr>
      </w:pPr>
      <w:r>
        <w:t>Drugie postępowanie w sprawie przekazania</w:t>
      </w:r>
    </w:p>
    <w:bookmarkStart w:id="6" w:name="nouveauMAE"/>
    <w:p w14:paraId="07B4959C" w14:textId="1CBC5DA7"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17</w:t>
      </w:r>
      <w:r w:rsidRPr="00A219A8">
        <w:fldChar w:fldCharType="end"/>
      </w:r>
      <w:bookmarkEnd w:id="6"/>
      <w:r w:rsidR="00E04081">
        <w:t>.</w:t>
      </w:r>
      <w:r w:rsidR="00A418A3">
        <w:t xml:space="preserve"> </w:t>
      </w:r>
      <w:r w:rsidR="00E04081">
        <w:t xml:space="preserve">W dniu 8 maja 2015 r. wobec N.J.E. został wydany nowy ENA przez sędziego śledczego </w:t>
      </w:r>
      <w:r w:rsidR="000B0570">
        <w:t xml:space="preserve">Krajowego Sądu Karnego i Administracyjnego </w:t>
      </w:r>
      <w:r w:rsidR="00B14D72">
        <w:t xml:space="preserve"> </w:t>
      </w:r>
      <w:r w:rsidR="000B0570" w:rsidRPr="0040015C">
        <w:rPr>
          <w:i/>
          <w:iCs/>
        </w:rPr>
        <w:t>(</w:t>
      </w:r>
      <w:proofErr w:type="spellStart"/>
      <w:r w:rsidR="00E04081">
        <w:rPr>
          <w:i/>
        </w:rPr>
        <w:t>Audiencia</w:t>
      </w:r>
      <w:proofErr w:type="spellEnd"/>
      <w:r w:rsidR="00B14D72">
        <w:rPr>
          <w:i/>
        </w:rPr>
        <w:t xml:space="preserve"> </w:t>
      </w:r>
      <w:proofErr w:type="spellStart"/>
      <w:r w:rsidR="00E04081">
        <w:rPr>
          <w:i/>
        </w:rPr>
        <w:t>Nacional</w:t>
      </w:r>
      <w:proofErr w:type="spellEnd"/>
      <w:r w:rsidR="000B0570">
        <w:rPr>
          <w:i/>
        </w:rPr>
        <w:t>)</w:t>
      </w:r>
      <w:r w:rsidR="00B14D72">
        <w:rPr>
          <w:i/>
        </w:rPr>
        <w:t xml:space="preserve"> </w:t>
      </w:r>
      <w:r w:rsidR="00E04081">
        <w:t xml:space="preserve">w związku z czynami popełnionymi w Bilbao w dniu 19 marca 1981 r., które w prawie hiszpańskim kwalifikuje się m.in. jako „zabójstwo o charakterze terrorystycznym”. W odniesieniu do zarzutu dotyczącego ryzyka torturowania w Hiszpanii przedstawionego przez </w:t>
      </w:r>
      <w:r w:rsidR="00862FE0">
        <w:t xml:space="preserve">Wydział </w:t>
      </w:r>
      <w:r w:rsidR="00E04081">
        <w:t xml:space="preserve"> oskarżeń, wskazał on, że informacje pochodzące od CPT zostały zakwestionowane przez rząd hiszpański w marcu 2012 r. oraz że podcz</w:t>
      </w:r>
      <w:r w:rsidR="00B14D72">
        <w:t>as kolejnych wizyt okresowych w </w:t>
      </w:r>
      <w:r w:rsidR="00E04081">
        <w:t>latach 2012 i 2014 CPT w żaden sposób nie odniosła się do tej kwestii. W</w:t>
      </w:r>
      <w:r w:rsidR="00B14D72">
        <w:t> </w:t>
      </w:r>
      <w:r w:rsidR="00E04081">
        <w:t>odniesieniu do przetrzymywania w trybie</w:t>
      </w:r>
      <w:r w:rsidR="00B14D72">
        <w:t xml:space="preserve"> </w:t>
      </w:r>
      <w:proofErr w:type="spellStart"/>
      <w:r w:rsidR="00E04081">
        <w:rPr>
          <w:i/>
          <w:iCs/>
        </w:rPr>
        <w:t>incommunicado</w:t>
      </w:r>
      <w:proofErr w:type="spellEnd"/>
      <w:r w:rsidR="00E04081">
        <w:t xml:space="preserve">, </w:t>
      </w:r>
      <w:r w:rsidR="00B30326">
        <w:t xml:space="preserve">Wydział </w:t>
      </w:r>
      <w:r w:rsidR="00E04081">
        <w:t xml:space="preserve">wskazał, że środek ten </w:t>
      </w:r>
      <w:r w:rsidR="00B14D72">
        <w:t xml:space="preserve">jest </w:t>
      </w:r>
      <w:r w:rsidR="00E04081">
        <w:t>ściśle uregulowany: można go stosować jedynie w wyjątkowych przypadkach, w których prowadzi się postępowanie w</w:t>
      </w:r>
      <w:r w:rsidR="00B14D72">
        <w:t> </w:t>
      </w:r>
      <w:r w:rsidR="00E04081">
        <w:t xml:space="preserve">sprawach dotyczących grup uzbrojonych lub terrorystycznych; każdej osobie, która została poddana torturom, zapewnia się badanie przez biegłego sądowego, a krajowy mechanizm zapobiegania torturom przewiduje możliwość niezapowiedzianych wizyt Rzecznika Praw Obywatelskich; na etapie postępowania przygotowawczego i sądowego osobie przysługuje prawo do korzystania z pomocy obrońcy; przetrzymywanie w areszcie w każdym przypadku odbywa się pod kontrolą sądu, a osobie przysługuje prawo do wystąpienia z wnioskiem </w:t>
      </w:r>
      <w:proofErr w:type="spellStart"/>
      <w:r w:rsidR="00E04081">
        <w:rPr>
          <w:i/>
        </w:rPr>
        <w:t>habeas</w:t>
      </w:r>
      <w:proofErr w:type="spellEnd"/>
      <w:r w:rsidR="0052432A">
        <w:rPr>
          <w:i/>
        </w:rPr>
        <w:t xml:space="preserve"> </w:t>
      </w:r>
      <w:proofErr w:type="spellStart"/>
      <w:r w:rsidR="00E04081">
        <w:rPr>
          <w:i/>
        </w:rPr>
        <w:t>corpus</w:t>
      </w:r>
      <w:proofErr w:type="spellEnd"/>
      <w:r w:rsidR="00E04081">
        <w:t>; obszary ogólnodostępne objęte są monitoringiem wideo i istnieje możliwość nagrywania przesłuchań; ograniczenia w kontaktach z osobami bliskimi i znajomymi są ograniczone do pięciu dni i zależą od uznania sędziego. Ponadto przestępstwo tortur w hiszpańskim kodeksie karnym obejmuje wszelkie przypadki fizycznego lub psychicznego znęcania się, a</w:t>
      </w:r>
      <w:r w:rsidR="0052432A">
        <w:t> </w:t>
      </w:r>
      <w:r w:rsidR="00E04081">
        <w:t>zarzuty w tym zakresie rozpatrywane są przez niezależnego sędziego. Wreszcie, sędzia śledczy wywodził, że Hiszpania dokonała transpozycji dyrektyw europejskich, które rozszerzają dotychczasowe gwarancje w</w:t>
      </w:r>
      <w:r w:rsidR="00117080">
        <w:t> </w:t>
      </w:r>
      <w:r w:rsidR="00E04081">
        <w:t>sprawach karnych.</w:t>
      </w:r>
    </w:p>
    <w:p w14:paraId="35DC26B0" w14:textId="4D0AF2C7" w:rsidR="00E04081" w:rsidRPr="00A219A8" w:rsidRDefault="0070416B" w:rsidP="00A219A8">
      <w:pPr>
        <w:pStyle w:val="JuPara"/>
      </w:pPr>
      <w:r>
        <w:lastRenderedPageBreak/>
        <w:fldChar w:fldCharType="begin"/>
      </w:r>
      <w:r>
        <w:instrText xml:space="preserve"> SEQ level0 \*arabic </w:instrText>
      </w:r>
      <w:r>
        <w:fldChar w:fldCharType="separate"/>
      </w:r>
      <w:r w:rsidR="000D6DC4">
        <w:rPr>
          <w:noProof/>
        </w:rPr>
        <w:t>18</w:t>
      </w:r>
      <w:r>
        <w:rPr>
          <w:noProof/>
        </w:rPr>
        <w:fldChar w:fldCharType="end"/>
      </w:r>
      <w:r w:rsidR="00E04081">
        <w:t>.</w:t>
      </w:r>
      <w:r w:rsidR="00A418A3">
        <w:t xml:space="preserve"> </w:t>
      </w:r>
      <w:r w:rsidR="00E04081">
        <w:t>Po wydaniu przedmiotowego ENA N.J.E. została ponownie zatrzymana w dniu 20 czerwca 2016 r. przez władze belgijskie, ale zwolniono ją tego samego dnia.</w:t>
      </w:r>
    </w:p>
    <w:bookmarkStart w:id="7" w:name="TPI290616"/>
    <w:p w14:paraId="59C4FD6F" w14:textId="1985BF5A"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19</w:t>
      </w:r>
      <w:r w:rsidRPr="00A219A8">
        <w:fldChar w:fldCharType="end"/>
      </w:r>
      <w:bookmarkEnd w:id="7"/>
      <w:r w:rsidR="00E04081">
        <w:t>.</w:t>
      </w:r>
      <w:r w:rsidR="00A418A3">
        <w:t xml:space="preserve"> </w:t>
      </w:r>
      <w:r w:rsidR="00E04081">
        <w:t xml:space="preserve">Postanowieniem z dnia 29 czerwca 2016 r. </w:t>
      </w:r>
      <w:r w:rsidR="00B30326">
        <w:t xml:space="preserve">Wydział wykonawczy </w:t>
      </w:r>
      <w:r w:rsidR="00E04081">
        <w:t>sądu pierwszej instancji w Gandawie odmówił wykonania nowego ENA.</w:t>
      </w:r>
    </w:p>
    <w:bookmarkStart w:id="8" w:name="CHBMISES2016"/>
    <w:p w14:paraId="753B80CF" w14:textId="4E37D08D"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20</w:t>
      </w:r>
      <w:r w:rsidRPr="00A219A8">
        <w:fldChar w:fldCharType="end"/>
      </w:r>
      <w:bookmarkEnd w:id="8"/>
      <w:r w:rsidR="00E04081">
        <w:t>.</w:t>
      </w:r>
      <w:r w:rsidR="00A418A3">
        <w:t xml:space="preserve"> </w:t>
      </w:r>
      <w:r w:rsidR="00E04081">
        <w:t xml:space="preserve">W dniu 14 lipca 2016 r., wskutek środka zaskarżenia wniesionego przez </w:t>
      </w:r>
      <w:r w:rsidR="00B30326">
        <w:t>P</w:t>
      </w:r>
      <w:r w:rsidR="00E04081">
        <w:t xml:space="preserve">rokuratura </w:t>
      </w:r>
      <w:r w:rsidR="00B30326">
        <w:t>F</w:t>
      </w:r>
      <w:r w:rsidR="00E04081">
        <w:t xml:space="preserve">ederalnego, </w:t>
      </w:r>
      <w:r w:rsidR="00B30326">
        <w:t xml:space="preserve">Wydział </w:t>
      </w:r>
      <w:r w:rsidR="00E04081">
        <w:t>oskarżeń sądu apelacyjnego w</w:t>
      </w:r>
      <w:r w:rsidR="002E50EB">
        <w:t> </w:t>
      </w:r>
      <w:r w:rsidR="00E04081">
        <w:t xml:space="preserve">Gandawie utrzymał w mocy wydane postanowienie, uznając, że nowy ENA nie zawierał żadnych elementów, które prowadziłyby do wniosku odmiennego niż wniosek wywiedziony w </w:t>
      </w:r>
      <w:r w:rsidR="00B30326">
        <w:t xml:space="preserve">orzeczeniu </w:t>
      </w:r>
      <w:r w:rsidR="00E04081">
        <w:t xml:space="preserve">z dnia 31 października 2013 r., w szczególności w świetle dokumentów przedłożonych przez N.J.E., a </w:t>
      </w:r>
      <w:r w:rsidR="00B30326">
        <w:t xml:space="preserve">zwłaszcza </w:t>
      </w:r>
      <w:r w:rsidR="00E04081">
        <w:t xml:space="preserve">uwag końcowych Komitetu Praw Człowieka ONZ dotyczących szóstego raportu okresowego Hiszpanii (przyjętego podczas sesji w dniach 29 czerwca </w:t>
      </w:r>
      <w:r w:rsidR="009D6B72">
        <w:t>–</w:t>
      </w:r>
      <w:r w:rsidR="00E04081">
        <w:t xml:space="preserve"> 24 lipca 2015 r.), który „po raz kolejny” wezwał władze hiszpańskie do zaprzestania stosowania środka w postaci przetrzymywania w trybie </w:t>
      </w:r>
      <w:proofErr w:type="spellStart"/>
      <w:r w:rsidR="00E04081">
        <w:rPr>
          <w:i/>
        </w:rPr>
        <w:t>incommunicado</w:t>
      </w:r>
      <w:proofErr w:type="spellEnd"/>
      <w:r w:rsidR="00E04081">
        <w:t xml:space="preserve"> oraz do zapewnienia podejrzanemu swobodnego wyboru obrońcy, możliwości prowadzenia z</w:t>
      </w:r>
      <w:r w:rsidR="009D6B72">
        <w:t> </w:t>
      </w:r>
      <w:r w:rsidR="00E04081">
        <w:t>nim rozmów poufnych oraz jego obecności podczas przesłuchań.</w:t>
      </w:r>
    </w:p>
    <w:p w14:paraId="06C97E36" w14:textId="52E8B581" w:rsidR="00E04081" w:rsidRPr="00A219A8" w:rsidRDefault="0070416B" w:rsidP="00A219A8">
      <w:pPr>
        <w:pStyle w:val="JuPara"/>
      </w:pPr>
      <w:r>
        <w:fldChar w:fldCharType="begin"/>
      </w:r>
      <w:r>
        <w:instrText xml:space="preserve"> SEQ level0 \*arabic </w:instrText>
      </w:r>
      <w:r>
        <w:fldChar w:fldCharType="separate"/>
      </w:r>
      <w:r w:rsidR="000D6DC4">
        <w:rPr>
          <w:noProof/>
        </w:rPr>
        <w:t>21</w:t>
      </w:r>
      <w:r>
        <w:rPr>
          <w:noProof/>
        </w:rPr>
        <w:fldChar w:fldCharType="end"/>
      </w:r>
      <w:r w:rsidR="00E04081">
        <w:t>.</w:t>
      </w:r>
      <w:r w:rsidR="00A418A3">
        <w:t xml:space="preserve"> </w:t>
      </w:r>
      <w:r w:rsidR="00E04081">
        <w:t xml:space="preserve">W dniu 15 lipca 2016 r. </w:t>
      </w:r>
      <w:r w:rsidR="00CD25BE">
        <w:t>P</w:t>
      </w:r>
      <w:r w:rsidR="00E04081">
        <w:t xml:space="preserve">rokurator </w:t>
      </w:r>
      <w:r w:rsidR="00CD25BE">
        <w:t>F</w:t>
      </w:r>
      <w:r w:rsidR="00E04081">
        <w:t>ederalny wniósł skargę kasacyjną powołując się m.in. na naruszenie art. 4, 5</w:t>
      </w:r>
      <w:r w:rsidR="00E04081">
        <w:rPr>
          <w:vertAlign w:val="superscript"/>
        </w:rPr>
        <w:t>o</w:t>
      </w:r>
      <w:r w:rsidR="00E04081">
        <w:t xml:space="preserve"> ustawy o ENA polegające na tym, że powołanie się na uwagi Komitetu Praw Człowieka nie było wystarczające do obalenia domniemania poszanowania praw człowieka.</w:t>
      </w:r>
    </w:p>
    <w:bookmarkStart w:id="9" w:name="Cass270716"/>
    <w:p w14:paraId="7AFB9E94" w14:textId="4F6117F5"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22</w:t>
      </w:r>
      <w:r w:rsidRPr="00A219A8">
        <w:fldChar w:fldCharType="end"/>
      </w:r>
      <w:bookmarkEnd w:id="9"/>
      <w:r w:rsidR="00E04081">
        <w:t>.</w:t>
      </w:r>
      <w:r w:rsidR="00A418A3">
        <w:t xml:space="preserve"> </w:t>
      </w:r>
      <w:r w:rsidR="00E04081">
        <w:t xml:space="preserve">Wyrokiem z dnia 27 lipca 2016 r. Sąd </w:t>
      </w:r>
      <w:r w:rsidR="00CD25BE">
        <w:t>K</w:t>
      </w:r>
      <w:r w:rsidR="00E04081">
        <w:t xml:space="preserve">asacyjny oddalił skargę, między innymi </w:t>
      </w:r>
      <w:r w:rsidR="00CD25BE">
        <w:t xml:space="preserve">na tej podstawie </w:t>
      </w:r>
      <w:r w:rsidR="00E04081">
        <w:t xml:space="preserve"> że podniesiony zarzut opierał się na niepełnej analizie zaskarżonego </w:t>
      </w:r>
      <w:r w:rsidR="00CD25BE">
        <w:t>orzeczenia</w:t>
      </w:r>
      <w:r w:rsidR="00E04081">
        <w:t>.</w:t>
      </w:r>
    </w:p>
    <w:p w14:paraId="21FF801D" w14:textId="77777777" w:rsidR="00E04081" w:rsidRPr="00A219A8" w:rsidRDefault="005734C4" w:rsidP="00A219A8">
      <w:pPr>
        <w:pStyle w:val="JuHIRoman"/>
        <w:rPr>
          <w:rFonts w:eastAsiaTheme="majorEastAsia"/>
        </w:rPr>
      </w:pPr>
      <w:r>
        <w:t> WŁAŚCIWE PRAWO KRAJOWE I PRAKTYKA</w:t>
      </w:r>
    </w:p>
    <w:p w14:paraId="61E2A52F" w14:textId="77777777" w:rsidR="00E04081" w:rsidRPr="00A219A8" w:rsidRDefault="00E04081" w:rsidP="00A219A8">
      <w:pPr>
        <w:pStyle w:val="JuHA"/>
        <w:rPr>
          <w:rFonts w:eastAsiaTheme="majorEastAsia"/>
        </w:rPr>
      </w:pPr>
      <w:r>
        <w:t>Decyzja ramowa 2002/584/</w:t>
      </w:r>
      <w:proofErr w:type="spellStart"/>
      <w:r>
        <w:t>WSiSW</w:t>
      </w:r>
      <w:proofErr w:type="spellEnd"/>
    </w:p>
    <w:bookmarkStart w:id="10" w:name="kaderbesluit1"/>
    <w:p w14:paraId="4EE7F54F" w14:textId="55FFBA98" w:rsidR="00E04081" w:rsidRPr="00A219A8" w:rsidRDefault="000F375F" w:rsidP="00A219A8">
      <w:pPr>
        <w:pStyle w:val="JuPara"/>
        <w:rPr>
          <w:rFonts w:eastAsiaTheme="majorEastAsia"/>
        </w:rPr>
      </w:pPr>
      <w:r w:rsidRPr="00A219A8">
        <w:fldChar w:fldCharType="begin"/>
      </w:r>
      <w:r w:rsidR="00E04081" w:rsidRPr="00A219A8">
        <w:instrText xml:space="preserve"> SEQ level0 \*arabic </w:instrText>
      </w:r>
      <w:r w:rsidRPr="00A219A8">
        <w:fldChar w:fldCharType="separate"/>
      </w:r>
      <w:r w:rsidR="000D6DC4">
        <w:rPr>
          <w:noProof/>
        </w:rPr>
        <w:t>23</w:t>
      </w:r>
      <w:r w:rsidRPr="00A219A8">
        <w:fldChar w:fldCharType="end"/>
      </w:r>
      <w:bookmarkEnd w:id="10"/>
      <w:r w:rsidR="00E04081">
        <w:t>.</w:t>
      </w:r>
      <w:r w:rsidR="00A418A3">
        <w:t xml:space="preserve"> </w:t>
      </w:r>
      <w:r w:rsidR="00E04081">
        <w:rPr>
          <w:snapToGrid w:val="0"/>
        </w:rPr>
        <w:t>Na potrzeby niniejszej sprawy Trybunał odsyła do wyroku w</w:t>
      </w:r>
      <w:r w:rsidR="009D6B72">
        <w:rPr>
          <w:snapToGrid w:val="0"/>
        </w:rPr>
        <w:t> </w:t>
      </w:r>
      <w:r w:rsidR="00E04081">
        <w:rPr>
          <w:snapToGrid w:val="0"/>
        </w:rPr>
        <w:t xml:space="preserve">sprawie </w:t>
      </w:r>
      <w:proofErr w:type="spellStart"/>
      <w:r w:rsidR="00E04081">
        <w:rPr>
          <w:i/>
          <w:iCs/>
          <w:snapToGrid w:val="0"/>
        </w:rPr>
        <w:t>Pirozzi</w:t>
      </w:r>
      <w:proofErr w:type="spellEnd"/>
      <w:r w:rsidR="00E04081">
        <w:rPr>
          <w:i/>
          <w:iCs/>
          <w:snapToGrid w:val="0"/>
        </w:rPr>
        <w:t xml:space="preserve"> przeciwko Belgii</w:t>
      </w:r>
      <w:r w:rsidR="00E04081">
        <w:rPr>
          <w:snapToGrid w:val="0"/>
        </w:rPr>
        <w:t xml:space="preserve"> (skarga nr 21055/11, §§ 24-29, 17 kwietnia 2018 r.) w celu przedstawienia odpowiednich</w:t>
      </w:r>
      <w:r w:rsidR="00E04081">
        <w:t xml:space="preserve"> przepisów decyzji ramowej Rady 2002/584/</w:t>
      </w:r>
      <w:proofErr w:type="spellStart"/>
      <w:r w:rsidR="00E04081">
        <w:t>WSiSW</w:t>
      </w:r>
      <w:proofErr w:type="spellEnd"/>
      <w:r w:rsidR="00E04081">
        <w:t xml:space="preserve"> z dnia 13 czerwca 2002 r. w sprawie europejskiego nakazu aresztowania i procedury wydawania osób między Państwami Członkowskimi, jak również podsumowania orzecznictwa Trybunału Sprawiedliwości Unii Europejskiej („TSUE”) dotyczącego tej kwestii.</w:t>
      </w:r>
    </w:p>
    <w:bookmarkStart w:id="11" w:name="kaderbesluit2"/>
    <w:p w14:paraId="33BAAD7E" w14:textId="6C189FEE" w:rsidR="00E04081" w:rsidRPr="00A219A8" w:rsidRDefault="000F375F" w:rsidP="00A219A8">
      <w:pPr>
        <w:pStyle w:val="JuPara"/>
        <w:rPr>
          <w:snapToGrid w:val="0"/>
        </w:rPr>
      </w:pPr>
      <w:r w:rsidRPr="00A219A8">
        <w:rPr>
          <w:rFonts w:eastAsiaTheme="majorEastAsia"/>
        </w:rPr>
        <w:fldChar w:fldCharType="begin"/>
      </w:r>
      <w:r w:rsidR="00E04081" w:rsidRPr="00A219A8">
        <w:rPr>
          <w:rFonts w:eastAsiaTheme="majorEastAsia"/>
        </w:rPr>
        <w:instrText xml:space="preserve"> SEQ level0 \*arabic </w:instrText>
      </w:r>
      <w:r w:rsidRPr="00A219A8">
        <w:rPr>
          <w:rFonts w:eastAsiaTheme="majorEastAsia"/>
        </w:rPr>
        <w:fldChar w:fldCharType="separate"/>
      </w:r>
      <w:r w:rsidR="000D6DC4">
        <w:rPr>
          <w:rFonts w:eastAsiaTheme="majorEastAsia"/>
          <w:noProof/>
        </w:rPr>
        <w:t>24</w:t>
      </w:r>
      <w:r w:rsidRPr="00A219A8">
        <w:rPr>
          <w:rFonts w:eastAsiaTheme="majorEastAsia"/>
        </w:rPr>
        <w:fldChar w:fldCharType="end"/>
      </w:r>
      <w:bookmarkEnd w:id="11"/>
      <w:r w:rsidR="00E04081">
        <w:t>.</w:t>
      </w:r>
      <w:r w:rsidR="00A418A3">
        <w:t xml:space="preserve"> </w:t>
      </w:r>
      <w:r w:rsidR="00E04081">
        <w:t>W tym zakresie należy również odnieść się do wyroku </w:t>
      </w:r>
      <w:proofErr w:type="spellStart"/>
      <w:r w:rsidR="00E04081">
        <w:rPr>
          <w:i/>
        </w:rPr>
        <w:t>Generalstaatsanwaltschaft</w:t>
      </w:r>
      <w:proofErr w:type="spellEnd"/>
      <w:r w:rsidR="00E04081">
        <w:rPr>
          <w:i/>
        </w:rPr>
        <w:t xml:space="preserve"> (Warunki przebywania w areszcie na Węgrzech) </w:t>
      </w:r>
      <w:r w:rsidR="00E04081">
        <w:t xml:space="preserve">(sprawa C-220/18 PPU, wyrok z dnia 25 lipca 2018 r.). Wyjaśniając metodologię wypracowaną w sprawach </w:t>
      </w:r>
      <w:proofErr w:type="spellStart"/>
      <w:r w:rsidR="00E04081">
        <w:rPr>
          <w:i/>
        </w:rPr>
        <w:t>Aranyosi</w:t>
      </w:r>
      <w:proofErr w:type="spellEnd"/>
      <w:r w:rsidR="00E04081">
        <w:rPr>
          <w:i/>
        </w:rPr>
        <w:t xml:space="preserve"> i </w:t>
      </w:r>
      <w:proofErr w:type="spellStart"/>
      <w:r w:rsidR="00E04081">
        <w:rPr>
          <w:i/>
        </w:rPr>
        <w:t>Căldăraru</w:t>
      </w:r>
      <w:proofErr w:type="spellEnd"/>
      <w:r w:rsidR="00E04081">
        <w:t xml:space="preserve"> (sprawy połączone C-404/15 i C-659/15, wyrok z dnia 5 kwietnia 2016 r.), wyrok ten określa zakres </w:t>
      </w:r>
      <w:r w:rsidR="00D55040">
        <w:t>kontroli</w:t>
      </w:r>
      <w:r w:rsidR="00E04081">
        <w:t>, któr</w:t>
      </w:r>
      <w:r w:rsidR="00D55040">
        <w:t xml:space="preserve">a </w:t>
      </w:r>
      <w:r w:rsidR="00E04081">
        <w:t>ma być przeprowadzon</w:t>
      </w:r>
      <w:r w:rsidR="00D55040">
        <w:t>a</w:t>
      </w:r>
      <w:r w:rsidR="00E04081">
        <w:t xml:space="preserve"> przez wykonujące państwo członkowskie, gdy posiada ono dowody dające </w:t>
      </w:r>
      <w:r w:rsidR="00E04081">
        <w:lastRenderedPageBreak/>
        <w:t>podstawy do obaw o systemowe lub powszechne uchybienia w warunkach osadzenia w jednostkach penitencjarnych w państwie wydającym nakaz. Stanowi on zasadniczo, po pierwsze, że wykonujący nakaz organ sądowy musi sprawdzić jedynie konkretne i szczegółowe warunki przebywania w</w:t>
      </w:r>
      <w:r w:rsidR="00EC52AF">
        <w:t> </w:t>
      </w:r>
      <w:r w:rsidR="00E04081">
        <w:t>areszcie danej osoby, które są istotne dla ustalenia, czy osobie tej grozi realne ryzyko nieludzkiego lub poniżającego traktowania, a po drugie że jeżeli organ wydający nakaz udzielił zapewnienia, że dana osoba nie będzie poddana nieludzkiemu lub poniżającemu traktowaniu, to organ wykonujący nakaz powinien, w świetle zasady wzajemnego zaufania między państwami członkowskimi, oprzeć się na tym zapewnieniu, w braku konkretnych dowodów na to, że warunki przebywania w areszcie są sprzeczne z art. 4 Karty praw podstawowych UE.</w:t>
      </w:r>
    </w:p>
    <w:p w14:paraId="1B9E93CA" w14:textId="77777777" w:rsidR="00E04081" w:rsidRPr="00A219A8" w:rsidRDefault="00556B48" w:rsidP="00A219A8">
      <w:pPr>
        <w:pStyle w:val="JuHA"/>
        <w:rPr>
          <w:rFonts w:eastAsiaTheme="majorEastAsia"/>
        </w:rPr>
      </w:pPr>
      <w:r>
        <w:t>Ustawa z dnia 19 grudnia 2003 r. o europejskim nakazie aresztowania</w:t>
      </w:r>
    </w:p>
    <w:bookmarkStart w:id="12" w:name="LoiMAE"/>
    <w:p w14:paraId="2D987E22" w14:textId="54A13722"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25</w:t>
      </w:r>
      <w:r w:rsidRPr="00A219A8">
        <w:fldChar w:fldCharType="end"/>
      </w:r>
      <w:bookmarkEnd w:id="12"/>
      <w:r w:rsidR="00E04081">
        <w:t>.</w:t>
      </w:r>
      <w:r w:rsidR="00A418A3">
        <w:t xml:space="preserve"> </w:t>
      </w:r>
      <w:r w:rsidR="00E04081">
        <w:t>W Belgii wyżej wymieniona decyzja ramowa została transponowana ustawą z dnia 19 grudnia 2003 r. w sprawie ENA, której odpowiednie przepisy stanowią:</w:t>
      </w:r>
    </w:p>
    <w:p w14:paraId="4E2B9858" w14:textId="77777777" w:rsidR="00E04081" w:rsidRPr="00A219A8" w:rsidRDefault="00E04081" w:rsidP="00A219A8">
      <w:pPr>
        <w:pStyle w:val="JuQuot"/>
        <w:rPr>
          <w:rFonts w:eastAsiaTheme="majorEastAsia"/>
        </w:rPr>
      </w:pPr>
      <w:r>
        <w:t>„Art. 2. § 1. Niniejsza ustawa reguluje aresztowanie i wydawanie osób poszukiwanych w celu prowadzenia postępowania karnego lub wykonania kary pozbawienia wolności lub środka zabezpieczającego między Belgią a innymi państwami członkowskimi Unii Europejskiej.</w:t>
      </w:r>
    </w:p>
    <w:p w14:paraId="7980586F" w14:textId="77777777" w:rsidR="00E04081" w:rsidRPr="00A219A8" w:rsidRDefault="00E04081" w:rsidP="00A219A8">
      <w:pPr>
        <w:pStyle w:val="JuQuot"/>
        <w:rPr>
          <w:rFonts w:eastAsiaTheme="majorEastAsia"/>
        </w:rPr>
      </w:pPr>
      <w:r>
        <w:t>§ 2. Aresztowania i wydania dokonuje się na podstawie europejskiego nakazu aresztowania.</w:t>
      </w:r>
    </w:p>
    <w:p w14:paraId="4BCD8CD0" w14:textId="77777777" w:rsidR="00E04081" w:rsidRPr="00A219A8" w:rsidRDefault="00E04081" w:rsidP="00A219A8">
      <w:pPr>
        <w:pStyle w:val="JuQuot"/>
        <w:rPr>
          <w:rFonts w:eastAsiaTheme="majorEastAsia"/>
        </w:rPr>
      </w:pPr>
      <w:r>
        <w:t>§ 3. Europejski nakaz aresztowania jest decyzją sądową wydaną przez właściwy organ sądowy państwa członkowskiego Unii Europejskiej, zwany organem wydającym nakaz, w celu aresztowania i wydania przez właściwy organ sądowy innego państwa członkowskiego, zwany organem wykonującym nakaz, osoby, której dotyczy wniosek, w celu przeprowadzenia postępowania karnego lub wykonania kary pozbawienia wolności lub środka zabezpieczającego.</w:t>
      </w:r>
    </w:p>
    <w:p w14:paraId="279FF662" w14:textId="77777777" w:rsidR="00E04081" w:rsidRPr="00A219A8" w:rsidRDefault="00E04081" w:rsidP="00A219A8">
      <w:pPr>
        <w:pStyle w:val="JuQuot"/>
        <w:rPr>
          <w:rFonts w:eastAsiaTheme="majorEastAsia"/>
        </w:rPr>
      </w:pPr>
      <w:r>
        <w:t>(…)”</w:t>
      </w:r>
    </w:p>
    <w:p w14:paraId="3EBBD9E1" w14:textId="77777777" w:rsidR="00E04081" w:rsidRPr="00A219A8" w:rsidRDefault="00E04081" w:rsidP="00A219A8">
      <w:pPr>
        <w:pStyle w:val="JuQuot"/>
        <w:rPr>
          <w:rFonts w:eastAsiaTheme="majorEastAsia"/>
        </w:rPr>
      </w:pPr>
      <w:r>
        <w:t>„Art. 3. Europejski nakaz aresztowania może zostać wydany w odniesieniu do czynów, które zgodnie z prawem wydającego nakaz państwa członkowskiego zagrożone są karą pozbawienia wolności lub środkiem zabezpieczającym na maksymalny okres co najmniej dwunastu miesięcy lub, jeśli kara została orzeczona lub środek zabezpieczający został wydany, na okres co najmniej czterech miesięcy.</w:t>
      </w:r>
    </w:p>
    <w:p w14:paraId="47A26321" w14:textId="47CCEB18" w:rsidR="00E04081" w:rsidRPr="00A219A8" w:rsidRDefault="00E04081" w:rsidP="00A219A8">
      <w:pPr>
        <w:pStyle w:val="JuQuot"/>
        <w:rPr>
          <w:rFonts w:eastAsiaTheme="majorEastAsia"/>
        </w:rPr>
      </w:pPr>
      <w:r>
        <w:t>„Art. 4. Wykonania europejskiego nakazu aresztowania odmawia się w</w:t>
      </w:r>
      <w:r w:rsidR="007537C0">
        <w:t> </w:t>
      </w:r>
      <w:r>
        <w:t>następujących przypadkach:</w:t>
      </w:r>
    </w:p>
    <w:p w14:paraId="3BC1D363" w14:textId="1B63C619" w:rsidR="00E04081" w:rsidRPr="00A219A8" w:rsidRDefault="00E04081" w:rsidP="00A219A8">
      <w:pPr>
        <w:pStyle w:val="JuQuot"/>
        <w:rPr>
          <w:rFonts w:eastAsiaTheme="majorEastAsia"/>
        </w:rPr>
      </w:pPr>
      <w:r>
        <w:t>1. jeżeli przestępstwo będące podstawą nakazu aresztowania jest objęte amnestią w</w:t>
      </w:r>
      <w:r w:rsidR="00451682">
        <w:t> </w:t>
      </w:r>
      <w:r>
        <w:t>Belgii, w przypadku gdy przestępstwo to podlega ściganiu w Belgii z mocy prawa belgijskiego;</w:t>
      </w:r>
    </w:p>
    <w:p w14:paraId="15D7541C" w14:textId="77777777" w:rsidR="00E04081" w:rsidRPr="00A219A8" w:rsidRDefault="00E04081" w:rsidP="00A219A8">
      <w:pPr>
        <w:pStyle w:val="JuQuot"/>
        <w:rPr>
          <w:rFonts w:eastAsiaTheme="majorEastAsia"/>
        </w:rPr>
      </w:pPr>
      <w:r>
        <w:t xml:space="preserve">2. jeżeli sędzia zostaje poinformowany, że w stosunku do osoby, której dotyczy wniosek, zapadło w związku z popełnieniem tych samych czynów prawomocne orzeczenie w Belgii lub w innym państwie członkowskim, z zastrzeżeniem, że jeśli </w:t>
      </w:r>
      <w:r>
        <w:lastRenderedPageBreak/>
        <w:t>została orzeczona kara, to została ona wykonana lub jest wykonywana, lub też nie może być dłużej wykonywana w świetle prawa belgijskiego, w którym nastąpiło skazanie, lub jeżeli w stosunku do danej osoby wydano w Belgii lub w innym państwie członkowskim inne prawomocne orzeczenie za te same czyny, co wyklucza możliwość dalszego ścigania;</w:t>
      </w:r>
    </w:p>
    <w:p w14:paraId="00C2732B" w14:textId="77777777" w:rsidR="00E04081" w:rsidRPr="00A219A8" w:rsidRDefault="00E04081" w:rsidP="00A219A8">
      <w:pPr>
        <w:pStyle w:val="JuQuot"/>
        <w:rPr>
          <w:rFonts w:eastAsiaTheme="majorEastAsia"/>
        </w:rPr>
      </w:pPr>
      <w:r>
        <w:t>3. jeżeli w świetle prawa belgijskiego osoba podlegająca europejskiemu nakazowi aresztowania z uwagi na jej wiek nie może być pociągnięta do odpowiedzialności karnej za czyny stanowiące podstawę wydania nakazu aresztowania;</w:t>
      </w:r>
    </w:p>
    <w:p w14:paraId="3EC8E68D" w14:textId="77777777" w:rsidR="00E04081" w:rsidRPr="00A219A8" w:rsidRDefault="00E04081" w:rsidP="00A219A8">
      <w:pPr>
        <w:pStyle w:val="JuQuot"/>
        <w:rPr>
          <w:rFonts w:eastAsiaTheme="majorEastAsia"/>
        </w:rPr>
      </w:pPr>
      <w:r>
        <w:t>4. gdy ściganie karne lub ukaranie jest ustawowo zakazane i gdy czyny podlegają jurysdykcji sądów belgijskich;</w:t>
      </w:r>
    </w:p>
    <w:p w14:paraId="3C419653" w14:textId="77777777" w:rsidR="00E04081" w:rsidRPr="00A219A8" w:rsidRDefault="00E04081" w:rsidP="00A219A8">
      <w:pPr>
        <w:pStyle w:val="JuQuot"/>
        <w:rPr>
          <w:rFonts w:eastAsiaTheme="majorEastAsia"/>
        </w:rPr>
      </w:pPr>
      <w:r>
        <w:t>5. gdy istnieją poważne powody, aby sądzić, że wykonanie europejskich nakazów aresztowania skutkowałoby naruszeniem praw podstawowych danej osoby, zapisanych w art. 6 Traktatu o Unii Europejskiej.</w:t>
      </w:r>
    </w:p>
    <w:p w14:paraId="3B30D10F" w14:textId="77777777" w:rsidR="00E04081" w:rsidRPr="00A219A8" w:rsidRDefault="00E04081" w:rsidP="00A219A8">
      <w:pPr>
        <w:pStyle w:val="JuQuot"/>
        <w:rPr>
          <w:rFonts w:eastAsiaTheme="majorEastAsia"/>
        </w:rPr>
      </w:pPr>
      <w:r>
        <w:t>(…)</w:t>
      </w:r>
    </w:p>
    <w:p w14:paraId="5AD0FD4C" w14:textId="5DB36068" w:rsidR="00E04081" w:rsidRPr="00A219A8" w:rsidRDefault="00E04081" w:rsidP="00A219A8">
      <w:pPr>
        <w:pStyle w:val="JuQuot"/>
        <w:rPr>
          <w:rFonts w:eastAsiaTheme="majorEastAsia"/>
        </w:rPr>
      </w:pPr>
      <w:r>
        <w:t>Art. 11. § 1. W ciągu 24 godzin od momentu rzeczywistego pozbawienia wolności dana osoba zostaje postawiona przed sędzią śledczym, który informuje ją o: 1.</w:t>
      </w:r>
      <w:r w:rsidR="00451682">
        <w:t> </w:t>
      </w:r>
      <w:r>
        <w:t>istnieniu i treści europejskiego nakazu aresztowania; 2. możliwości wyrażenia zgody na przekazanie do wydającego nakaz organu sądowego; 3. prawie do ustanowienia obrońcy z wyboru i skorzystania z pomocy tłumacza.</w:t>
      </w:r>
    </w:p>
    <w:p w14:paraId="1E922613" w14:textId="77777777" w:rsidR="009E30E7" w:rsidRPr="00A219A8" w:rsidRDefault="00E04081" w:rsidP="00A219A8">
      <w:pPr>
        <w:pStyle w:val="JuQuot"/>
        <w:rPr>
          <w:rFonts w:eastAsiaTheme="majorEastAsia"/>
        </w:rPr>
      </w:pPr>
      <w:r>
        <w:t>Informacje te odnotowuje się w protokole z przesłuchania.</w:t>
      </w:r>
    </w:p>
    <w:p w14:paraId="67CB7C18" w14:textId="77777777" w:rsidR="009E30E7" w:rsidRPr="00A219A8" w:rsidRDefault="00E04081" w:rsidP="00A219A8">
      <w:pPr>
        <w:pStyle w:val="JuQuot"/>
        <w:rPr>
          <w:rFonts w:eastAsiaTheme="majorEastAsia"/>
        </w:rPr>
      </w:pPr>
      <w:r>
        <w:t>(…)</w:t>
      </w:r>
    </w:p>
    <w:p w14:paraId="046492B8" w14:textId="77777777" w:rsidR="00E04081" w:rsidRPr="00A219A8" w:rsidRDefault="00E04081" w:rsidP="00A219A8">
      <w:pPr>
        <w:pStyle w:val="JuQuot"/>
        <w:rPr>
          <w:rFonts w:eastAsiaTheme="majorEastAsia"/>
        </w:rPr>
      </w:pPr>
      <w:r>
        <w:t>Art. 15. Jeżeli sędzia śledczy uzna, że informacje przekazane przez wydające nakaz państwo członkowskie w europejskim nakazie aresztowania są niewystarczające do podjęcia decyzji o przekazaniu, zwraca się o pilne przekazanie niezbędnych informacji dodatkowych i może wyznaczyć termin ich otrzymania, uwzględniając konieczność zachowania terminu określonego w art. 16 ust. 1.</w:t>
      </w:r>
    </w:p>
    <w:p w14:paraId="215D42D6" w14:textId="77777777" w:rsidR="00E04081" w:rsidRPr="00A219A8" w:rsidRDefault="00E04081" w:rsidP="00A219A8">
      <w:pPr>
        <w:pStyle w:val="JuQuot"/>
        <w:rPr>
          <w:rFonts w:eastAsiaTheme="majorEastAsia"/>
        </w:rPr>
      </w:pPr>
      <w:r>
        <w:t>(…)”</w:t>
      </w:r>
    </w:p>
    <w:p w14:paraId="11D9C2BE" w14:textId="77777777" w:rsidR="00E04081" w:rsidRPr="00A219A8" w:rsidRDefault="00E04081" w:rsidP="00A219A8">
      <w:pPr>
        <w:pStyle w:val="JuHA"/>
        <w:rPr>
          <w:rFonts w:eastAsiaTheme="majorEastAsia"/>
        </w:rPr>
      </w:pPr>
      <w:r>
        <w:t>Eksterytorialna jurysdykcja karna sądów belgijskich</w:t>
      </w:r>
    </w:p>
    <w:bookmarkStart w:id="13" w:name="VT"/>
    <w:bookmarkStart w:id="14" w:name="bvgh2"/>
    <w:p w14:paraId="6A10B2EF" w14:textId="45865FE1"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26</w:t>
      </w:r>
      <w:r w:rsidRPr="00A219A8">
        <w:fldChar w:fldCharType="end"/>
      </w:r>
      <w:bookmarkEnd w:id="13"/>
      <w:bookmarkEnd w:id="14"/>
      <w:r w:rsidR="00E04081">
        <w:t>.</w:t>
      </w:r>
      <w:r w:rsidR="00A418A3">
        <w:t xml:space="preserve"> </w:t>
      </w:r>
      <w:r w:rsidR="00E04081">
        <w:t>Artykuł 4 belgijskiego kodeksu karnego stanowi:</w:t>
      </w:r>
    </w:p>
    <w:p w14:paraId="1DAD78B5" w14:textId="095E0657" w:rsidR="00E04081" w:rsidRPr="00A219A8" w:rsidRDefault="00E04081" w:rsidP="00A219A8">
      <w:pPr>
        <w:pStyle w:val="JuQuot"/>
      </w:pPr>
      <w:r>
        <w:t xml:space="preserve">„Przestępstwo popełnione poza terytorium Królestwa, przez Belgów lub cudzoziemców, </w:t>
      </w:r>
      <w:r w:rsidR="00063B1A">
        <w:t xml:space="preserve">podlega karze </w:t>
      </w:r>
      <w:r>
        <w:t xml:space="preserve">w Belgii tylko w przypadkach określonych </w:t>
      </w:r>
      <w:r w:rsidR="00063B1A">
        <w:t xml:space="preserve">w </w:t>
      </w:r>
      <w:r>
        <w:t>ustaw</w:t>
      </w:r>
      <w:r w:rsidR="00063B1A">
        <w:t>ie</w:t>
      </w:r>
      <w:r>
        <w:t>.”</w:t>
      </w:r>
    </w:p>
    <w:p w14:paraId="22FC713A" w14:textId="7725EAEE" w:rsidR="00E04081" w:rsidRPr="00A219A8" w:rsidRDefault="0070416B" w:rsidP="00A219A8">
      <w:pPr>
        <w:pStyle w:val="JuPara"/>
        <w:rPr>
          <w:bCs/>
        </w:rPr>
      </w:pPr>
      <w:r>
        <w:fldChar w:fldCharType="begin"/>
      </w:r>
      <w:r>
        <w:instrText xml:space="preserve"> SEQ level0 \*arabic </w:instrText>
      </w:r>
      <w:r>
        <w:fldChar w:fldCharType="separate"/>
      </w:r>
      <w:r w:rsidR="000D6DC4">
        <w:rPr>
          <w:noProof/>
        </w:rPr>
        <w:t>27</w:t>
      </w:r>
      <w:r>
        <w:rPr>
          <w:noProof/>
        </w:rPr>
        <w:fldChar w:fldCharType="end"/>
      </w:r>
      <w:r w:rsidR="00E04081">
        <w:t>.</w:t>
      </w:r>
      <w:r w:rsidR="00A418A3">
        <w:t xml:space="preserve"> </w:t>
      </w:r>
      <w:r w:rsidR="00E04081">
        <w:t xml:space="preserve">Odpowiednie przepisy dotyczące eksterytorialnej jurysdykcji karnej sądów belgijskich </w:t>
      </w:r>
      <w:r w:rsidR="00BA50FE">
        <w:t xml:space="preserve">wymienione </w:t>
      </w:r>
      <w:r w:rsidR="00E04081">
        <w:t>są w tytule wstępnym k.p.k.:</w:t>
      </w:r>
    </w:p>
    <w:p w14:paraId="49907DC2" w14:textId="77777777" w:rsidR="00E04081" w:rsidRPr="00A219A8" w:rsidRDefault="00E04081" w:rsidP="00A219A8">
      <w:pPr>
        <w:pStyle w:val="JuHArticle"/>
      </w:pPr>
      <w:r>
        <w:t>Artykuł 6</w:t>
      </w:r>
    </w:p>
    <w:p w14:paraId="47356473" w14:textId="77777777" w:rsidR="00E04081" w:rsidRPr="00A219A8" w:rsidRDefault="00E04081" w:rsidP="00A219A8">
      <w:pPr>
        <w:pStyle w:val="JuQuot"/>
      </w:pPr>
      <w:r>
        <w:t>„Każdy Belg lub każda osoba mająca główne miejsce zamieszkania na terytorium Królestwa, która poza terytorium Królestwa zostaje uznana winną popełnienia:</w:t>
      </w:r>
    </w:p>
    <w:p w14:paraId="665B7BF9" w14:textId="77777777" w:rsidR="00E04081" w:rsidRPr="00A219A8" w:rsidRDefault="00E04081" w:rsidP="00A219A8">
      <w:pPr>
        <w:pStyle w:val="JuQuot"/>
      </w:pPr>
      <w:r>
        <w:t xml:space="preserve"> 1. zbrodni lub występku przeciwko bezpieczeństwu państwa;</w:t>
      </w:r>
    </w:p>
    <w:p w14:paraId="5EAFE462" w14:textId="7FBDFDB4" w:rsidR="00E04081" w:rsidRPr="00A219A8" w:rsidRDefault="00E04081" w:rsidP="00A219A8">
      <w:pPr>
        <w:pStyle w:val="JuQuot"/>
      </w:pPr>
      <w:r>
        <w:t xml:space="preserve"> 1</w:t>
      </w:r>
      <w:r w:rsidRPr="0040015C">
        <w:rPr>
          <w:i/>
          <w:iCs/>
        </w:rPr>
        <w:t>bis</w:t>
      </w:r>
      <w:r>
        <w:t>. poważnego naruszenia międzynarodowego prawa humanitarnego, zgodnie z</w:t>
      </w:r>
      <w:r w:rsidR="00295168">
        <w:t> </w:t>
      </w:r>
      <w:r>
        <w:t>definicją zawartą w księdze II, tytule I</w:t>
      </w:r>
      <w:r>
        <w:rPr>
          <w:i/>
        </w:rPr>
        <w:t xml:space="preserve"> bis</w:t>
      </w:r>
      <w:r>
        <w:t xml:space="preserve"> kodeksu karnego;</w:t>
      </w:r>
    </w:p>
    <w:p w14:paraId="1CD97725" w14:textId="1D87EEC7" w:rsidR="00E04081" w:rsidRPr="00A219A8" w:rsidRDefault="00E04081" w:rsidP="00A219A8">
      <w:pPr>
        <w:pStyle w:val="JuQuot"/>
      </w:pPr>
      <w:r>
        <w:t xml:space="preserve"> 1</w:t>
      </w:r>
      <w:r w:rsidRPr="0040015C">
        <w:rPr>
          <w:i/>
          <w:iCs/>
        </w:rPr>
        <w:t>ter</w:t>
      </w:r>
      <w:r>
        <w:t>. przestępstwa o charakterze terrorystycznym, o którym mowa w księdze II, tytule I</w:t>
      </w:r>
      <w:r w:rsidR="00BA50FE">
        <w:t xml:space="preserve"> </w:t>
      </w:r>
      <w:r w:rsidRPr="0040015C">
        <w:rPr>
          <w:i/>
          <w:iCs/>
        </w:rPr>
        <w:t>ter</w:t>
      </w:r>
      <w:r>
        <w:t xml:space="preserve"> kodeksu karnego.</w:t>
      </w:r>
    </w:p>
    <w:p w14:paraId="5DBC7D5D" w14:textId="7FBCFF1A" w:rsidR="00E04081" w:rsidRPr="00A219A8" w:rsidRDefault="00E04081" w:rsidP="00A219A8">
      <w:pPr>
        <w:pStyle w:val="JuQuot"/>
      </w:pPr>
      <w:r>
        <w:lastRenderedPageBreak/>
        <w:t xml:space="preserve"> 2. zbrodni lub występku przeciwko wiarygodności dokumentów, stypizowanych w</w:t>
      </w:r>
      <w:r w:rsidR="0037323E">
        <w:t> </w:t>
      </w:r>
      <w:r>
        <w:t>rozdziałach I, II i III tytułu III księgi II kodeksu karnego lub występku stypizowanego w art. 497 i 497</w:t>
      </w:r>
      <w:r w:rsidRPr="0040015C">
        <w:rPr>
          <w:i/>
          <w:iCs/>
        </w:rPr>
        <w:t>bis</w:t>
      </w:r>
      <w:r>
        <w:t>, jeżeli przedmiotem zbrodni lub występku jest euro albo waluty będące prawnym środkiem płatniczym w Belgii, albo przedmioty przeznaczone do ich produkcji, albo podrabiani</w:t>
      </w:r>
      <w:r w:rsidR="00DF3B02">
        <w:t>a</w:t>
      </w:r>
      <w:r>
        <w:t>, przerabiani</w:t>
      </w:r>
      <w:r w:rsidR="000C6B85">
        <w:t>a</w:t>
      </w:r>
      <w:r>
        <w:t xml:space="preserve"> lub fałszowani</w:t>
      </w:r>
      <w:r w:rsidR="00DF3B02">
        <w:t>a</w:t>
      </w:r>
      <w:r>
        <w:t>, albo przedmioty, papiery, pieczęcie, stemple, znaki lub znaki legitymacyjne państwa, belgijskiej administracji publicznej lub belgijskich instytucji publicznych.</w:t>
      </w:r>
    </w:p>
    <w:p w14:paraId="23223819" w14:textId="26B3435E" w:rsidR="00E04081" w:rsidRPr="00A219A8" w:rsidRDefault="00E04081" w:rsidP="00A219A8">
      <w:pPr>
        <w:pStyle w:val="JuQuot"/>
      </w:pPr>
      <w:r>
        <w:t xml:space="preserve"> 3. zbrodni lub występku przeciwko wiarygodności dokumentów, stypizowanych w</w:t>
      </w:r>
      <w:r w:rsidR="0037323E">
        <w:t> </w:t>
      </w:r>
      <w:r>
        <w:t>tych samych przepisach, jeżeli przedmiotem zbrodni lub występku są monety niebędące prawnym środkiem płatniczym w Belgii lub przedmioty przeznaczone do ich produkcji, podrabiani</w:t>
      </w:r>
      <w:r w:rsidR="000C6B85">
        <w:t>a</w:t>
      </w:r>
      <w:r>
        <w:t>, przerabiani</w:t>
      </w:r>
      <w:r w:rsidR="000C6B85">
        <w:t>a</w:t>
      </w:r>
      <w:r>
        <w:t xml:space="preserve"> lub fałszowani</w:t>
      </w:r>
      <w:r w:rsidR="000C6B85">
        <w:t>a</w:t>
      </w:r>
      <w:r>
        <w:t>, lub przedmioty, papiery, pieczęcie, stemple, znaki lub znaki legitymacyjne państwa obcego.</w:t>
      </w:r>
    </w:p>
    <w:p w14:paraId="72CECC5A" w14:textId="77777777" w:rsidR="00E04081" w:rsidRPr="00A219A8" w:rsidRDefault="00E04081" w:rsidP="00A219A8">
      <w:pPr>
        <w:pStyle w:val="JuQuot"/>
      </w:pPr>
      <w:r>
        <w:t xml:space="preserve"> W tym ostatnim przypadku ściganie może nastąpić wyłącznie na podstawie oficjalnego zawiadomienia przekazanego organowi belgijskiemu przez organ zagraniczny.”</w:t>
      </w:r>
    </w:p>
    <w:p w14:paraId="02829E85" w14:textId="77777777" w:rsidR="00E04081" w:rsidRPr="00A219A8" w:rsidRDefault="00E04081" w:rsidP="00A219A8">
      <w:pPr>
        <w:pStyle w:val="JuHArticle"/>
      </w:pPr>
      <w:r>
        <w:t>Artykuł 7</w:t>
      </w:r>
    </w:p>
    <w:p w14:paraId="680817AD" w14:textId="77777777" w:rsidR="00E04081" w:rsidRPr="00A219A8" w:rsidRDefault="00E04081" w:rsidP="00A219A8">
      <w:pPr>
        <w:pStyle w:val="JuQuot"/>
      </w:pPr>
      <w:r>
        <w:t>„§ 1. Każdy Belg lub każda osoba, której główne miejsce zamieszkania znajduje się na terytorium Królestwa, która poza terytorium Królestwa zostaje uznana winną popełnienia czynu kwalifikowanego jako zbrodnia lub występek według prawa belgijskiego, może być ścigana w Belgii, jeżeli czyn ten jest karalny według prawa kraju, w którym został popełniony.</w:t>
      </w:r>
    </w:p>
    <w:p w14:paraId="19812D02" w14:textId="77777777" w:rsidR="00E04081" w:rsidRPr="00A219A8" w:rsidRDefault="00E04081" w:rsidP="00A219A8">
      <w:pPr>
        <w:pStyle w:val="JuQuot"/>
      </w:pPr>
      <w:r>
        <w:t xml:space="preserve"> § 2. Jeżeli przestępstwo zostało popełnione wobec cudzoziemca, ściganie może nastąpić tylko na wniosek prokuratora, a ponadto musi być poprzedzone skargą pokrzywdzonego cudzoziemca lub jego rodziny albo oficjalnym zawiadomieniem skierowanym do władz belgijskich przez władze kraju, w którym przestępstwo zostało popełnione.</w:t>
      </w:r>
    </w:p>
    <w:p w14:paraId="0BA85216" w14:textId="77777777" w:rsidR="00E04081" w:rsidRPr="00A219A8" w:rsidRDefault="00E04081" w:rsidP="00A219A8">
      <w:pPr>
        <w:pStyle w:val="JuQuot"/>
      </w:pPr>
      <w:r>
        <w:t xml:space="preserve"> Jeżeli przestępstwo zostało popełnione w czasie wojny przeciwko obywatelowi państwa sprzymierzonego z Belgią w rozumieniu art. 117 ust. 2 kodeksu karnego, oficjalne zawiadomienie może zostać wydane również przez władze państwa, którego cudzoziemiec jest lub był obywatelem.”</w:t>
      </w:r>
    </w:p>
    <w:p w14:paraId="5361DDD9" w14:textId="7CD3E049" w:rsidR="00E04081" w:rsidRPr="00A219A8" w:rsidRDefault="00A418A3" w:rsidP="00A219A8">
      <w:pPr>
        <w:pStyle w:val="JuHIRoman"/>
        <w:rPr>
          <w:rFonts w:eastAsiaTheme="majorEastAsia"/>
        </w:rPr>
      </w:pPr>
      <w:r>
        <w:t xml:space="preserve"> </w:t>
      </w:r>
      <w:r w:rsidR="005734C4">
        <w:t>INNE WŁAŚCIWE AKTY MIĘDZYNARODOWE</w:t>
      </w:r>
    </w:p>
    <w:bookmarkStart w:id="15" w:name="ComitéNU2015"/>
    <w:p w14:paraId="6C88AF16" w14:textId="462C3C33"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28</w:t>
      </w:r>
      <w:r w:rsidRPr="00A219A8">
        <w:fldChar w:fldCharType="end"/>
      </w:r>
      <w:bookmarkEnd w:id="15"/>
      <w:r w:rsidR="00E04081">
        <w:t>.</w:t>
      </w:r>
      <w:r w:rsidR="00A418A3">
        <w:t xml:space="preserve"> </w:t>
      </w:r>
      <w:r w:rsidR="00E04081">
        <w:t xml:space="preserve">W uwagach końcowych do szóstego raportu okresowego Hiszpanii przyjętych na 3192 posiedzeniu w dniu 20 lipca 2015 r., Komitet Praw Człowieka ONZ przedstawił swoje stanowisko dotyczące przetrzymywania w trybie </w:t>
      </w:r>
      <w:proofErr w:type="spellStart"/>
      <w:r w:rsidR="00E04081">
        <w:rPr>
          <w:i/>
        </w:rPr>
        <w:t>incommunicado</w:t>
      </w:r>
      <w:proofErr w:type="spellEnd"/>
      <w:r w:rsidR="00E04081">
        <w:t>:</w:t>
      </w:r>
    </w:p>
    <w:p w14:paraId="52B1D65A" w14:textId="10B6C9A1" w:rsidR="00E04081" w:rsidRPr="004078FF" w:rsidRDefault="00E04081" w:rsidP="00A219A8">
      <w:pPr>
        <w:pStyle w:val="JuQuot"/>
      </w:pPr>
      <w:r w:rsidRPr="00FD6847">
        <w:t>„17.</w:t>
      </w:r>
      <w:r w:rsidR="00A418A3" w:rsidRPr="00FD6847">
        <w:t xml:space="preserve"> </w:t>
      </w:r>
      <w:r w:rsidR="004078FF" w:rsidRPr="004078FF">
        <w:t xml:space="preserve">Komitet ponownie wyraża swoje zaniepokojenie praktyką dozwolonego przez sąd przetrzymywania w </w:t>
      </w:r>
      <w:r w:rsidR="004078FF">
        <w:t xml:space="preserve">trybie </w:t>
      </w:r>
      <w:proofErr w:type="spellStart"/>
      <w:r w:rsidR="004078FF" w:rsidRPr="004078FF">
        <w:rPr>
          <w:i/>
          <w:iCs/>
        </w:rPr>
        <w:t>incommunicado</w:t>
      </w:r>
      <w:proofErr w:type="spellEnd"/>
      <w:r w:rsidR="004078FF" w:rsidRPr="004078FF">
        <w:t xml:space="preserve">. Komitet odnotowuje inicjatywę reformy kodeksu postępowania karnego oraz informacje przekazane przez Państwo-Stronę dotyczące ograniczenia stosowania </w:t>
      </w:r>
      <w:r w:rsidR="004078FF">
        <w:t xml:space="preserve">środka polegającego na </w:t>
      </w:r>
      <w:r w:rsidR="004078FF" w:rsidRPr="004078FF">
        <w:t xml:space="preserve">przetrzymywania w </w:t>
      </w:r>
      <w:r w:rsidR="004078FF">
        <w:t xml:space="preserve">trybie </w:t>
      </w:r>
      <w:proofErr w:type="spellStart"/>
      <w:r w:rsidR="004078FF" w:rsidRPr="004078FF">
        <w:rPr>
          <w:i/>
          <w:iCs/>
        </w:rPr>
        <w:t>incommunicado</w:t>
      </w:r>
      <w:proofErr w:type="spellEnd"/>
      <w:r w:rsidR="004078FF" w:rsidRPr="004078FF">
        <w:t xml:space="preserve">, ale ubolewa, że reforma nie </w:t>
      </w:r>
      <w:r w:rsidR="004078FF">
        <w:t xml:space="preserve">uchyla środka polegającego na </w:t>
      </w:r>
      <w:r w:rsidR="004078FF" w:rsidRPr="004078FF">
        <w:t>przetrzymywani</w:t>
      </w:r>
      <w:r w:rsidR="004078FF">
        <w:t>u</w:t>
      </w:r>
      <w:r w:rsidR="004078FF" w:rsidRPr="004078FF">
        <w:t xml:space="preserve"> w </w:t>
      </w:r>
      <w:r w:rsidR="004078FF">
        <w:t xml:space="preserve">trybie </w:t>
      </w:r>
      <w:proofErr w:type="spellStart"/>
      <w:r w:rsidR="004078FF" w:rsidRPr="004078FF">
        <w:rPr>
          <w:i/>
          <w:iCs/>
        </w:rPr>
        <w:t>incommunicado</w:t>
      </w:r>
      <w:proofErr w:type="spellEnd"/>
      <w:r w:rsidR="004078FF" w:rsidRPr="004078FF">
        <w:t xml:space="preserve"> ani nie gwarantuje wszystkich praw określonych w art. 14 Paktu, w tym prawa do pomocy prawnej (art. 7, 9, 10 i 14).</w:t>
      </w:r>
    </w:p>
    <w:p w14:paraId="0B79222D" w14:textId="2A0E3C35" w:rsidR="00E04081" w:rsidRPr="004078FF" w:rsidRDefault="004078FF" w:rsidP="00A219A8">
      <w:pPr>
        <w:pStyle w:val="JuQuot"/>
      </w:pPr>
      <w:r w:rsidRPr="004078FF">
        <w:t xml:space="preserve">Komitet powtarza swoje poprzednie zalecenia (CCPR/C/ESP/CO/5, </w:t>
      </w:r>
      <w:r>
        <w:t>pkt</w:t>
      </w:r>
      <w:r w:rsidRPr="004078FF">
        <w:t xml:space="preserve"> 14) i ponownie zaleca, aby Państwo-Strona podjęło niezbędne środki legislacyjne w celu </w:t>
      </w:r>
      <w:r>
        <w:t xml:space="preserve">uchylenia środka polegającego na </w:t>
      </w:r>
      <w:r w:rsidRPr="004078FF">
        <w:t>przetrzymywani</w:t>
      </w:r>
      <w:r>
        <w:t>u</w:t>
      </w:r>
      <w:r w:rsidRPr="004078FF">
        <w:t xml:space="preserve"> w </w:t>
      </w:r>
      <w:r>
        <w:t xml:space="preserve">trybie </w:t>
      </w:r>
      <w:proofErr w:type="spellStart"/>
      <w:r w:rsidRPr="004078FF">
        <w:rPr>
          <w:i/>
          <w:iCs/>
        </w:rPr>
        <w:t>incommunicado</w:t>
      </w:r>
      <w:proofErr w:type="spellEnd"/>
      <w:r w:rsidRPr="004078FF">
        <w:t xml:space="preserve"> oraz </w:t>
      </w:r>
      <w:r w:rsidRPr="004078FF">
        <w:lastRenderedPageBreak/>
        <w:t xml:space="preserve">zagwarantowania wszystkim zatrzymanym prawa do usług medycznych i swobodnego wyboru </w:t>
      </w:r>
      <w:r>
        <w:t>obrońc</w:t>
      </w:r>
      <w:r w:rsidR="002E3826">
        <w:t>y</w:t>
      </w:r>
      <w:r w:rsidRPr="004078FF">
        <w:t xml:space="preserve">, z którym mogą </w:t>
      </w:r>
      <w:r>
        <w:t>porozumiewać się</w:t>
      </w:r>
      <w:r w:rsidRPr="004078FF">
        <w:t xml:space="preserve"> </w:t>
      </w:r>
      <w:r>
        <w:t>z zachowaniem</w:t>
      </w:r>
      <w:r w:rsidRPr="004078FF">
        <w:t xml:space="preserve"> pełnej poufności i który może być obecny podczas przesłuchań</w:t>
      </w:r>
      <w:r w:rsidR="00E04081" w:rsidRPr="004078FF">
        <w:t>.”</w:t>
      </w:r>
    </w:p>
    <w:p w14:paraId="4120C5E8" w14:textId="77777777" w:rsidR="00E04081" w:rsidRPr="00A219A8" w:rsidRDefault="00E04081" w:rsidP="00A219A8">
      <w:pPr>
        <w:pStyle w:val="JuHHead"/>
        <w:spacing w:before="360" w:beforeAutospacing="0"/>
      </w:pPr>
      <w:r>
        <w:t>PRAWO</w:t>
      </w:r>
    </w:p>
    <w:p w14:paraId="2155198B" w14:textId="77777777" w:rsidR="00E04081" w:rsidRPr="00A219A8" w:rsidRDefault="005734C4" w:rsidP="00A219A8">
      <w:pPr>
        <w:pStyle w:val="JuHIRoman"/>
        <w:rPr>
          <w:rFonts w:eastAsiaTheme="majorEastAsia"/>
        </w:rPr>
      </w:pPr>
      <w:r>
        <w:t> ZARZUCANE NARUSZENIE ART. 2 KONWENCJI</w:t>
      </w:r>
    </w:p>
    <w:p w14:paraId="58C1AF2E" w14:textId="7F288242" w:rsidR="00E04081" w:rsidRPr="00A219A8" w:rsidRDefault="0070416B" w:rsidP="00A219A8">
      <w:pPr>
        <w:pStyle w:val="JuPara"/>
      </w:pPr>
      <w:r>
        <w:fldChar w:fldCharType="begin"/>
      </w:r>
      <w:r>
        <w:instrText xml:space="preserve"> SEQ level0 \*arabic </w:instrText>
      </w:r>
      <w:r>
        <w:fldChar w:fldCharType="separate"/>
      </w:r>
      <w:r w:rsidR="000D6DC4">
        <w:rPr>
          <w:noProof/>
        </w:rPr>
        <w:t>29</w:t>
      </w:r>
      <w:r>
        <w:rPr>
          <w:noProof/>
        </w:rPr>
        <w:fldChar w:fldCharType="end"/>
      </w:r>
      <w:r w:rsidR="00E04081">
        <w:t>.</w:t>
      </w:r>
      <w:r w:rsidR="00A418A3">
        <w:t xml:space="preserve"> </w:t>
      </w:r>
      <w:r w:rsidR="00E04081">
        <w:t>Skarżący zarzucili naruszenie art. 2 Konwencji przez władze belgijskie, ponieważ decyzja o niewykonaniu ENA uniemożliwiła władzom hiszpańskim ściganie domniemanego sprawcy zabójstwa ich ojca. W tym kontekście skarżący wskazują również na problem związany z prawem dostępu do sądu wynikając</w:t>
      </w:r>
      <w:r w:rsidR="007470F1">
        <w:t xml:space="preserve">y </w:t>
      </w:r>
      <w:r w:rsidR="00E04081">
        <w:t>z art. 6 Konwencji.</w:t>
      </w:r>
    </w:p>
    <w:p w14:paraId="196A4EB5" w14:textId="0AFEB85A" w:rsidR="00E04081" w:rsidRPr="00C2514C" w:rsidRDefault="0070416B" w:rsidP="00A219A8">
      <w:pPr>
        <w:pStyle w:val="JuPara"/>
      </w:pPr>
      <w:r>
        <w:fldChar w:fldCharType="begin"/>
      </w:r>
      <w:r>
        <w:instrText xml:space="preserve"> SEQ level0 \*arabic </w:instrText>
      </w:r>
      <w:r>
        <w:fldChar w:fldCharType="separate"/>
      </w:r>
      <w:r w:rsidR="000D6DC4">
        <w:rPr>
          <w:noProof/>
        </w:rPr>
        <w:t>30</w:t>
      </w:r>
      <w:r>
        <w:rPr>
          <w:noProof/>
        </w:rPr>
        <w:fldChar w:fldCharType="end"/>
      </w:r>
      <w:r w:rsidR="00E04081">
        <w:t>.</w:t>
      </w:r>
      <w:r w:rsidR="00A418A3">
        <w:t xml:space="preserve"> </w:t>
      </w:r>
      <w:r w:rsidR="00C2514C">
        <w:t xml:space="preserve">Trybunał przypomina, że może rozstrzygać o kwalifikacji prawnej przedmiotu skargi badając skargę w świetle przepisów i postanowień innych niż te, które przytoczyli skarżący </w:t>
      </w:r>
      <w:r w:rsidR="00C2514C" w:rsidRPr="002E606F">
        <w:t>(</w:t>
      </w:r>
      <w:r w:rsidR="0040015C" w:rsidRPr="0040015C">
        <w:rPr>
          <w:i/>
          <w:iCs/>
          <w:lang w:val="fr-FR"/>
        </w:rPr>
        <w:t>R</w:t>
      </w:r>
      <w:r w:rsidR="00C2514C" w:rsidRPr="00A219A8">
        <w:rPr>
          <w:i/>
          <w:iCs/>
          <w:lang w:val="fr-FR"/>
        </w:rPr>
        <w:t xml:space="preserve">adomilja </w:t>
      </w:r>
      <w:r w:rsidR="00C2514C">
        <w:rPr>
          <w:i/>
          <w:iCs/>
          <w:lang w:val="fr-FR"/>
        </w:rPr>
        <w:t xml:space="preserve">i Inni przeciwko Chorwacji </w:t>
      </w:r>
      <w:r w:rsidR="00C2514C" w:rsidRPr="00A219A8">
        <w:rPr>
          <w:lang w:val="fr-FR"/>
        </w:rPr>
        <w:t>[</w:t>
      </w:r>
      <w:r w:rsidR="00C2514C">
        <w:rPr>
          <w:lang w:val="fr-FR"/>
        </w:rPr>
        <w:t>WI</w:t>
      </w:r>
      <w:r w:rsidR="00C2514C" w:rsidRPr="00A219A8">
        <w:rPr>
          <w:lang w:val="fr-FR"/>
        </w:rPr>
        <w:t xml:space="preserve">], </w:t>
      </w:r>
      <w:r w:rsidR="00C2514C">
        <w:rPr>
          <w:lang w:val="fr-FR"/>
        </w:rPr>
        <w:t xml:space="preserve">skargi </w:t>
      </w:r>
      <w:r w:rsidR="00C2514C" w:rsidRPr="00A219A8">
        <w:rPr>
          <w:lang w:val="fr-FR"/>
        </w:rPr>
        <w:t>n</w:t>
      </w:r>
      <w:r w:rsidR="00C2514C">
        <w:rPr>
          <w:lang w:val="fr-FR"/>
        </w:rPr>
        <w:t>r</w:t>
      </w:r>
      <w:r w:rsidR="00C2514C" w:rsidRPr="00A219A8">
        <w:rPr>
          <w:lang w:val="fr-FR"/>
        </w:rPr>
        <w:t xml:space="preserve"> 37685/10 </w:t>
      </w:r>
      <w:r w:rsidR="00C2514C">
        <w:rPr>
          <w:lang w:val="fr-FR"/>
        </w:rPr>
        <w:t xml:space="preserve">i </w:t>
      </w:r>
      <w:r w:rsidR="00C2514C" w:rsidRPr="00A219A8">
        <w:rPr>
          <w:lang w:val="fr-FR"/>
        </w:rPr>
        <w:t>22768/12, § 126, 20 mar</w:t>
      </w:r>
      <w:r w:rsidR="00C2514C">
        <w:rPr>
          <w:lang w:val="fr-FR"/>
        </w:rPr>
        <w:t xml:space="preserve">ca </w:t>
      </w:r>
      <w:r w:rsidR="00C2514C" w:rsidRPr="00A219A8">
        <w:rPr>
          <w:lang w:val="fr-FR"/>
        </w:rPr>
        <w:t>2018</w:t>
      </w:r>
      <w:r w:rsidR="00C2514C">
        <w:rPr>
          <w:lang w:val="fr-FR"/>
        </w:rPr>
        <w:t xml:space="preserve"> r.</w:t>
      </w:r>
      <w:r w:rsidR="00C2514C" w:rsidRPr="00A219A8">
        <w:rPr>
          <w:lang w:val="fr-FR"/>
        </w:rPr>
        <w:t>).</w:t>
      </w:r>
      <w:r w:rsidR="00C2514C">
        <w:t xml:space="preserve">   </w:t>
      </w:r>
    </w:p>
    <w:p w14:paraId="1E5A24D0" w14:textId="40E46942" w:rsidR="00E04081" w:rsidRPr="00A219A8" w:rsidRDefault="0070416B" w:rsidP="00A219A8">
      <w:pPr>
        <w:pStyle w:val="JuPara"/>
      </w:pPr>
      <w:r>
        <w:fldChar w:fldCharType="begin"/>
      </w:r>
      <w:r>
        <w:instrText xml:space="preserve"> SEQ level0 \*arabic </w:instrText>
      </w:r>
      <w:r>
        <w:fldChar w:fldCharType="separate"/>
      </w:r>
      <w:r w:rsidR="000D6DC4">
        <w:rPr>
          <w:noProof/>
        </w:rPr>
        <w:t>31</w:t>
      </w:r>
      <w:r>
        <w:rPr>
          <w:noProof/>
        </w:rPr>
        <w:fldChar w:fldCharType="end"/>
      </w:r>
      <w:r w:rsidR="00E04081">
        <w:t>.</w:t>
      </w:r>
      <w:r w:rsidR="00A418A3">
        <w:t xml:space="preserve"> </w:t>
      </w:r>
      <w:r w:rsidR="00E04081">
        <w:t>W niniejszej sprawie, stwierdziwszy, że skargi wniesione przez skarżących są ze sobą powiązane, Trybunał uważa za właściwe zbadanie skarg skarżących wyłącznie na podstawie art. 2 Konwencji, którego odpowiednia część brzmi następująco:</w:t>
      </w:r>
    </w:p>
    <w:p w14:paraId="0342F5BD" w14:textId="77777777" w:rsidR="00E04081" w:rsidRPr="00A219A8" w:rsidRDefault="00E04081" w:rsidP="00A219A8">
      <w:pPr>
        <w:pStyle w:val="JuQuot"/>
      </w:pPr>
      <w:r>
        <w:t>„1. Prawo każdego człowieka do życia jest chronione przez ustawę. (…)”</w:t>
      </w:r>
    </w:p>
    <w:p w14:paraId="3ADA13A6" w14:textId="77777777" w:rsidR="00E04081" w:rsidRPr="00A219A8" w:rsidRDefault="00E04081" w:rsidP="00A219A8">
      <w:pPr>
        <w:pStyle w:val="JuHA"/>
        <w:rPr>
          <w:rFonts w:eastAsiaTheme="majorEastAsia"/>
        </w:rPr>
      </w:pPr>
      <w:r>
        <w:t>Dopuszczalność</w:t>
      </w:r>
    </w:p>
    <w:p w14:paraId="5B30A5CA" w14:textId="77777777" w:rsidR="00E04081" w:rsidRPr="00A219A8" w:rsidRDefault="00E04081" w:rsidP="00A219A8">
      <w:pPr>
        <w:pStyle w:val="JuH1"/>
        <w:rPr>
          <w:rFonts w:eastAsiaTheme="majorEastAsia"/>
        </w:rPr>
      </w:pPr>
      <w:r>
        <w:t>W kwestii tego, czy skarżący podlegają jurysdykcji Belgii</w:t>
      </w:r>
    </w:p>
    <w:p w14:paraId="74552918" w14:textId="15A6D1A9" w:rsidR="00E04081" w:rsidRPr="00A219A8" w:rsidRDefault="0070416B" w:rsidP="00A219A8">
      <w:pPr>
        <w:pStyle w:val="JuPara"/>
      </w:pPr>
      <w:r>
        <w:fldChar w:fldCharType="begin"/>
      </w:r>
      <w:r>
        <w:instrText xml:space="preserve"> SEQ level0 \*arabic </w:instrText>
      </w:r>
      <w:r>
        <w:fldChar w:fldCharType="separate"/>
      </w:r>
      <w:r w:rsidR="000D6DC4">
        <w:rPr>
          <w:noProof/>
        </w:rPr>
        <w:t>32</w:t>
      </w:r>
      <w:r>
        <w:rPr>
          <w:noProof/>
        </w:rPr>
        <w:fldChar w:fldCharType="end"/>
      </w:r>
      <w:r w:rsidR="00E04081">
        <w:t>.</w:t>
      </w:r>
      <w:r w:rsidR="00A418A3">
        <w:t xml:space="preserve"> </w:t>
      </w:r>
      <w:r w:rsidR="00E04081">
        <w:t>Artykuł 1 Konwencji stanowi:</w:t>
      </w:r>
    </w:p>
    <w:p w14:paraId="02168172" w14:textId="090CF860" w:rsidR="00E04081" w:rsidRPr="00A219A8" w:rsidRDefault="00E04081" w:rsidP="00A219A8">
      <w:pPr>
        <w:pStyle w:val="JuQuot"/>
      </w:pPr>
      <w:r>
        <w:t xml:space="preserve">„Wysokie Układające się Strony zapewniają każdemu człowiekowi, podlegającemu ich jurysdykcji, prawa i wolności określone w rozdziale I (...) </w:t>
      </w:r>
      <w:r w:rsidR="009220ED">
        <w:t>K</w:t>
      </w:r>
      <w:r>
        <w:t>onwencji.”</w:t>
      </w:r>
    </w:p>
    <w:p w14:paraId="3470B27B" w14:textId="77777777" w:rsidR="00E04081" w:rsidRPr="00A219A8" w:rsidRDefault="00E04081" w:rsidP="00A219A8">
      <w:pPr>
        <w:pStyle w:val="JuHa0"/>
        <w:rPr>
          <w:rFonts w:eastAsiaTheme="majorEastAsia"/>
        </w:rPr>
      </w:pPr>
      <w:r>
        <w:t>Argumenty stron</w:t>
      </w:r>
    </w:p>
    <w:p w14:paraId="627BD7C6" w14:textId="3BC5FB37" w:rsidR="00E04081" w:rsidRPr="00A219A8" w:rsidRDefault="0070416B" w:rsidP="00A219A8">
      <w:pPr>
        <w:pStyle w:val="JuPara"/>
      </w:pPr>
      <w:r>
        <w:fldChar w:fldCharType="begin"/>
      </w:r>
      <w:r>
        <w:instrText xml:space="preserve"> SEQ level0 \*arabic </w:instrText>
      </w:r>
      <w:r>
        <w:fldChar w:fldCharType="separate"/>
      </w:r>
      <w:r w:rsidR="000D6DC4">
        <w:rPr>
          <w:noProof/>
        </w:rPr>
        <w:t>33</w:t>
      </w:r>
      <w:r>
        <w:rPr>
          <w:noProof/>
        </w:rPr>
        <w:fldChar w:fldCharType="end"/>
      </w:r>
      <w:r w:rsidR="00E04081">
        <w:t>.</w:t>
      </w:r>
      <w:r w:rsidR="00A418A3">
        <w:t xml:space="preserve"> </w:t>
      </w:r>
      <w:r w:rsidR="00E04081">
        <w:t xml:space="preserve">Rząd jest zdania, że w niniejszej sprawie państwu belgijskiemu nie można przypisać jurysdykcji w rozumieniu art. 1 Konwencji. Skarżący przebywają na terytorium Hiszpanii, a postępowanie w sprawie zabójstwa ich ojca było i nadal jest prowadzone przed sądami hiszpańskimi. Tymczasem zabójstwo popełniono w Hiszpanii i nie stwierdzono żadnego związku z Belgią. Ponadto odmowa wykonania ENA przez władze belgijskie jest podyktowana względami związanymi z traktowaniem osób zatrzymanych w Hiszpanii. Po drugie, Rząd argumentował, że o ile prawdą jest, że N.J.E. podlegała </w:t>
      </w:r>
      <w:r w:rsidR="00E04081" w:rsidRPr="0040015C">
        <w:rPr>
          <w:i/>
          <w:iCs/>
        </w:rPr>
        <w:t>prima facie</w:t>
      </w:r>
      <w:r w:rsidR="00E04081">
        <w:t xml:space="preserve"> jurysdykcji belgijskiej, to nie można wnioskować, że to samo dotyczyło pokrzywdzonych, którzy nie mieli żadnego związku z tym państwem. Przyznając, że postępowanie w sprawie wykonania ENA nie pozwalało im na interwencję oraz że sporne decyzje miały (pośredni) wpływ </w:t>
      </w:r>
      <w:r w:rsidR="00E04081">
        <w:lastRenderedPageBreak/>
        <w:t>na ich sytuację prawną, Rząd podkreślił jednak, że skarżący nigdy nie byli stronami postępowania belgijskiego.</w:t>
      </w:r>
    </w:p>
    <w:p w14:paraId="4411B586" w14:textId="51A1262F" w:rsidR="00E04081" w:rsidRPr="00A219A8" w:rsidRDefault="0070416B" w:rsidP="00A219A8">
      <w:pPr>
        <w:pStyle w:val="JuPara"/>
      </w:pPr>
      <w:r>
        <w:fldChar w:fldCharType="begin"/>
      </w:r>
      <w:r>
        <w:instrText xml:space="preserve"> SEQ level0 \*arabic </w:instrText>
      </w:r>
      <w:r>
        <w:fldChar w:fldCharType="separate"/>
      </w:r>
      <w:r w:rsidR="000D6DC4">
        <w:rPr>
          <w:noProof/>
        </w:rPr>
        <w:t>34</w:t>
      </w:r>
      <w:r>
        <w:rPr>
          <w:noProof/>
        </w:rPr>
        <w:fldChar w:fldCharType="end"/>
      </w:r>
      <w:r w:rsidR="00E04081">
        <w:t>.</w:t>
      </w:r>
      <w:r w:rsidR="00A418A3">
        <w:t xml:space="preserve"> </w:t>
      </w:r>
      <w:r w:rsidR="00E04081">
        <w:t>Rząd twierdzi, że co do zasady skarżący podlegali jurysdykcji hiszpańskiej i że w związku z tym powinni byli wnieść skargę do Trybunału przeciwko Hiszpanii. To Hiszpania miała obowiązek przeprowadzenia postępowania przygotowawczego w spra</w:t>
      </w:r>
      <w:r w:rsidR="00F30574">
        <w:t>wie zabójstwa ojca skarżących w </w:t>
      </w:r>
      <w:r w:rsidR="00E04081">
        <w:t>1981 r. oraz ścigania domniemanych sprawców i N.J.E. na podstawie art.</w:t>
      </w:r>
      <w:r w:rsidR="00F30574">
        <w:t> </w:t>
      </w:r>
      <w:r w:rsidR="00E04081">
        <w:t>2 Konwencji. Niniejsza sprawa różni się od spraw, w których Trybunał uznał, że państwu, do którego zbiegł domniemany sprawca, może przysługiwać jurysdykcja w rozumieniu art. 1 Konwencji. Po pierwsze, Belgia nigdy nie wszczęła postępowania przygotowawczego w sprawie zabójstwa ojca skarżących. Po drugie, nie można twierdzić, że na państw</w:t>
      </w:r>
      <w:r w:rsidR="00E836E7">
        <w:t>ie</w:t>
      </w:r>
      <w:r w:rsidR="00E04081">
        <w:t xml:space="preserve"> belgijskim spoczywały obowiązki wynikające z art. 2 w zakresie uzyskania dowodów. Nie wspomniano bowiem o nich na żadnym etapie postępowania dotyczącego ENA, a biorąc pod uwagę czas, jaki upłynął między popełnieniem zabójstwa a pierwszym postępowaniem w Belgii, możliwość zgromadzenia dowodów na tym etapie jest raczej iluzoryczna. Po trzecie, Rząd podkreśla, że Belgia współpracowała z Hiszpanią i wyłącznie w</w:t>
      </w:r>
      <w:r w:rsidR="00D97B2D">
        <w:t> </w:t>
      </w:r>
      <w:r w:rsidR="00E04081">
        <w:t>ramach tej współpracy sędziowie belgijscy, stosując w szczególności art. 3 Konwencji, podjęli decyzję o nieprzekazywaniu N.J.E. Z tego punktu widzenia, zdaniem Rządu, jest oczywiste, że szkoda objęta przedmiotem skargi skarżących wynika nie tyle z zachowania władz belgijskich, co z</w:t>
      </w:r>
      <w:r w:rsidR="009515B5">
        <w:t> </w:t>
      </w:r>
      <w:r w:rsidR="00E04081">
        <w:t>sytuacji panującej w hiszpańskich zakładach karnych w momencie odmowy.</w:t>
      </w:r>
    </w:p>
    <w:p w14:paraId="766DB369" w14:textId="2ACD006A" w:rsidR="00E04081" w:rsidRPr="00A219A8" w:rsidRDefault="0070416B" w:rsidP="00A219A8">
      <w:pPr>
        <w:pStyle w:val="JuPara"/>
      </w:pPr>
      <w:r>
        <w:fldChar w:fldCharType="begin"/>
      </w:r>
      <w:r>
        <w:instrText xml:space="preserve"> SEQ level0 \*arabic </w:instrText>
      </w:r>
      <w:r>
        <w:fldChar w:fldCharType="separate"/>
      </w:r>
      <w:r w:rsidR="000D6DC4">
        <w:rPr>
          <w:noProof/>
        </w:rPr>
        <w:t>35</w:t>
      </w:r>
      <w:r>
        <w:rPr>
          <w:noProof/>
        </w:rPr>
        <w:fldChar w:fldCharType="end"/>
      </w:r>
      <w:r w:rsidR="00E04081">
        <w:t>.</w:t>
      </w:r>
      <w:r w:rsidR="00A418A3">
        <w:t xml:space="preserve"> </w:t>
      </w:r>
      <w:r w:rsidR="00E04081">
        <w:t>Skarżący podnoszą, że chociaż z karnoprawnego punktu widzenia ściganie czynu popełnionego w niniejszej sprawie należy do kompetencji sądów hiszpańskich, to zakończenie tego postępowania było niemożliwe, ponieważ osoba, która popełniła przestępstwo, uchyliła się od jurysdykcji sądów hiszpańskich. Wywodzą, że o ile do Belgii nie należy prowadzenie czynności postępowania przygotowawczego, który to etap został już zakończony w Hiszpanii, to jest ona odpowiedzialna za umożliwienie, poprzez wykonanie ENA wydanego w 2015 roku, pociągnięcia N.J.E. do odpowiedzialności karnej w Hiszpanii. W ich ocenie Hiszpania dołożyła wszelkich starań, aby przeprowadzić postępowanie w sprawie przedmiotowego przestępstwa w formie niezależnego śledztwa i</w:t>
      </w:r>
      <w:r w:rsidR="009515B5">
        <w:t> </w:t>
      </w:r>
      <w:r w:rsidR="00E04081">
        <w:t>przeprowadzając w tym celu wszystkie niezbędne czynności mające na celu ustalenie okoliczności czynów i wykrycie sprawców.</w:t>
      </w:r>
    </w:p>
    <w:p w14:paraId="6988CC43" w14:textId="77777777" w:rsidR="00E04081" w:rsidRPr="00A219A8" w:rsidRDefault="00E04081" w:rsidP="00A219A8">
      <w:pPr>
        <w:pStyle w:val="JuHa0"/>
        <w:rPr>
          <w:rFonts w:eastAsiaTheme="majorEastAsia"/>
        </w:rPr>
      </w:pPr>
      <w:r>
        <w:t>Ocena Trybunału</w:t>
      </w:r>
    </w:p>
    <w:bookmarkStart w:id="16" w:name="JPJURIDICTIONstart"/>
    <w:p w14:paraId="40110FC4" w14:textId="1232C661" w:rsidR="009E30E7"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36</w:t>
      </w:r>
      <w:r w:rsidRPr="00A219A8">
        <w:fldChar w:fldCharType="end"/>
      </w:r>
      <w:bookmarkEnd w:id="16"/>
      <w:r w:rsidR="00E04081">
        <w:t>.</w:t>
      </w:r>
      <w:r w:rsidR="00A418A3">
        <w:t xml:space="preserve"> </w:t>
      </w:r>
      <w:r w:rsidR="00E04081">
        <w:t xml:space="preserve">Trybunał przypomina, że „jurysdykcja” w rozumieniu art. 1 Konwencji jest warunkiem wstępnym i </w:t>
      </w:r>
      <w:r w:rsidR="00E04081">
        <w:rPr>
          <w:i/>
        </w:rPr>
        <w:t>sine qua non</w:t>
      </w:r>
      <w:r w:rsidR="00E04081">
        <w:t xml:space="preserve">. Musi być ona wykonywana, aby Układające się Państwo mogło być pociągnięte do odpowiedzialności za przypisywane mu działania lub zaniechania, które stanowią podstawę zarzucanego naruszenia praw i wolności wynikających </w:t>
      </w:r>
      <w:r w:rsidR="00E04081">
        <w:lastRenderedPageBreak/>
        <w:t>z</w:t>
      </w:r>
      <w:r w:rsidR="00BB1B5D">
        <w:t> </w:t>
      </w:r>
      <w:r w:rsidR="00E04081">
        <w:t xml:space="preserve">Konwencji </w:t>
      </w:r>
      <w:r w:rsidR="00E04081">
        <w:rPr>
          <w:i/>
        </w:rPr>
        <w:t>(</w:t>
      </w:r>
      <w:proofErr w:type="spellStart"/>
      <w:r w:rsidR="00E04081">
        <w:rPr>
          <w:i/>
        </w:rPr>
        <w:t>Güzelyurtlu</w:t>
      </w:r>
      <w:proofErr w:type="spellEnd"/>
      <w:r w:rsidR="00E04081">
        <w:rPr>
          <w:i/>
        </w:rPr>
        <w:t xml:space="preserve"> i Inni przeciwko Cyprowi i Turcji </w:t>
      </w:r>
      <w:r w:rsidR="00E04081">
        <w:t>[WI], skarga nr 36925/07, § 178, 29 stycznia 2019 r.).</w:t>
      </w:r>
    </w:p>
    <w:p w14:paraId="69969B7B" w14:textId="3455A8F4" w:rsidR="00E04081" w:rsidRPr="00A219A8" w:rsidRDefault="0070416B" w:rsidP="00A219A8">
      <w:pPr>
        <w:pStyle w:val="JuPara"/>
      </w:pPr>
      <w:r>
        <w:fldChar w:fldCharType="begin"/>
      </w:r>
      <w:r>
        <w:instrText xml:space="preserve"> SEQ level0 \*arabic </w:instrText>
      </w:r>
      <w:r>
        <w:fldChar w:fldCharType="separate"/>
      </w:r>
      <w:r w:rsidR="000D6DC4">
        <w:rPr>
          <w:noProof/>
        </w:rPr>
        <w:t>37</w:t>
      </w:r>
      <w:r>
        <w:rPr>
          <w:noProof/>
        </w:rPr>
        <w:fldChar w:fldCharType="end"/>
      </w:r>
      <w:r w:rsidR="0036144A">
        <w:t>.</w:t>
      </w:r>
      <w:r w:rsidR="00A418A3">
        <w:t xml:space="preserve"> </w:t>
      </w:r>
      <w:r w:rsidR="0036144A">
        <w:t xml:space="preserve">Trybunał przypomniał również, że w kontekście aspektu proceduralnego art. 2 w odniesieniu do </w:t>
      </w:r>
      <w:r w:rsidR="00D80B71">
        <w:t xml:space="preserve">zgonów </w:t>
      </w:r>
      <w:r w:rsidR="00EA3A13">
        <w:t xml:space="preserve">mających </w:t>
      </w:r>
      <w:r w:rsidR="0036144A">
        <w:t xml:space="preserve">miejsce w ramach jurysdykcji innej niż jurysdykcja państwa, którego ma dotyczyć obowiązek proceduralny zbadania sprawy, Wielka Izba niedawno wyjaśniła, że nawet jeżeli nie wszczęto śledztwa lub postępowania w związku ze śmiercią poza jurysdykcją pozwanego państwa, to możliwe jest ustalenie związku jurysdykcyjnego i przypisanie temu państwu obowiązku proceduralnego wynikającego z art. 2. Chociaż obowiązek co do zasady powstaje tylko po stronie Układającego się Państwa, pod którego jurysdykcją ofiara znajdowała się w chwili śmierci, to „szczególne okoliczności” sprawy mogą uzasadniać odejście od tego stanowiska </w:t>
      </w:r>
      <w:r w:rsidR="0036144A">
        <w:rPr>
          <w:i/>
        </w:rPr>
        <w:t>(ibidem</w:t>
      </w:r>
      <w:r w:rsidR="0036144A">
        <w:t xml:space="preserve">, § 190, w nawiązaniu do sprawy </w:t>
      </w:r>
      <w:proofErr w:type="spellStart"/>
      <w:r w:rsidR="0036144A">
        <w:rPr>
          <w:i/>
        </w:rPr>
        <w:t>Rantsev</w:t>
      </w:r>
      <w:proofErr w:type="spellEnd"/>
      <w:r w:rsidR="0036144A">
        <w:rPr>
          <w:i/>
        </w:rPr>
        <w:t xml:space="preserve"> przeciwko Cyprowi i Rosji</w:t>
      </w:r>
      <w:r w:rsidR="0036144A">
        <w:t>, skarga nr 25965/04, §§ 243-244, ETPC</w:t>
      </w:r>
      <w:r w:rsidR="00BB1B5D">
        <w:t xml:space="preserve"> </w:t>
      </w:r>
      <w:r w:rsidR="0036144A">
        <w:t>z 2010</w:t>
      </w:r>
      <w:r w:rsidR="00834879">
        <w:t xml:space="preserve"> r.</w:t>
      </w:r>
      <w:r w:rsidR="0036144A">
        <w:t xml:space="preserve"> (fragmenty)).</w:t>
      </w:r>
    </w:p>
    <w:p w14:paraId="51D7B040" w14:textId="553F7986" w:rsidR="00E04081" w:rsidRPr="00A219A8" w:rsidRDefault="0070416B" w:rsidP="00A219A8">
      <w:pPr>
        <w:pStyle w:val="JuPara"/>
      </w:pPr>
      <w:r>
        <w:fldChar w:fldCharType="begin"/>
      </w:r>
      <w:r>
        <w:instrText xml:space="preserve"> SEQ level0 \*arabic </w:instrText>
      </w:r>
      <w:r>
        <w:fldChar w:fldCharType="separate"/>
      </w:r>
      <w:r w:rsidR="000D6DC4">
        <w:rPr>
          <w:noProof/>
        </w:rPr>
        <w:t>38</w:t>
      </w:r>
      <w:r>
        <w:rPr>
          <w:noProof/>
        </w:rPr>
        <w:fldChar w:fldCharType="end"/>
      </w:r>
      <w:r w:rsidR="00E04081">
        <w:t>.</w:t>
      </w:r>
      <w:r w:rsidR="00A418A3">
        <w:t xml:space="preserve"> </w:t>
      </w:r>
      <w:r w:rsidR="00E04081">
        <w:t>W niniejszej sprawie skarga skarżących wniesiona na podstawie art.</w:t>
      </w:r>
      <w:r w:rsidR="00BB1B5D">
        <w:t> </w:t>
      </w:r>
      <w:r w:rsidR="00E04081">
        <w:t>2 Konwencji przeciwko Belgii dotyczy zarzucanego braku współpracy władz belgijskich z władzami hiszpańskimi w zakresie podjęcia niezbędnych kroków w celu umożliwienia osądzenia w Hiszpanii domniemanego sprawcy zabójstwa ich ojca</w:t>
      </w:r>
      <w:r w:rsidR="009F4A44">
        <w:t xml:space="preserve">, </w:t>
      </w:r>
      <w:r w:rsidR="00E04081">
        <w:t xml:space="preserve"> uchodźcy w Belgii.</w:t>
      </w:r>
    </w:p>
    <w:p w14:paraId="5A9156AC" w14:textId="7A3960FB" w:rsidR="00E04081" w:rsidRPr="00A219A8" w:rsidRDefault="0070416B" w:rsidP="00A219A8">
      <w:pPr>
        <w:pStyle w:val="JuPara"/>
      </w:pPr>
      <w:r>
        <w:fldChar w:fldCharType="begin"/>
      </w:r>
      <w:r>
        <w:instrText xml:space="preserve"> SEQ level0 \*arabic </w:instrText>
      </w:r>
      <w:r>
        <w:fldChar w:fldCharType="separate"/>
      </w:r>
      <w:r w:rsidR="000D6DC4">
        <w:rPr>
          <w:noProof/>
        </w:rPr>
        <w:t>39</w:t>
      </w:r>
      <w:r>
        <w:rPr>
          <w:noProof/>
        </w:rPr>
        <w:fldChar w:fldCharType="end"/>
      </w:r>
      <w:r w:rsidR="00E04081">
        <w:t>.</w:t>
      </w:r>
      <w:r w:rsidR="00A418A3">
        <w:t xml:space="preserve"> </w:t>
      </w:r>
      <w:r w:rsidR="00E04081">
        <w:t xml:space="preserve">W odróżnieniu od przytoczonych powyżej spraw </w:t>
      </w:r>
      <w:proofErr w:type="spellStart"/>
      <w:r w:rsidR="00E04081">
        <w:rPr>
          <w:i/>
        </w:rPr>
        <w:t>Güzelyurtlu</w:t>
      </w:r>
      <w:proofErr w:type="spellEnd"/>
      <w:r w:rsidR="00E04081">
        <w:rPr>
          <w:i/>
        </w:rPr>
        <w:t xml:space="preserve"> i Inni</w:t>
      </w:r>
      <w:r w:rsidR="00E04081">
        <w:t xml:space="preserve"> oraz </w:t>
      </w:r>
      <w:proofErr w:type="spellStart"/>
      <w:r w:rsidR="00E04081">
        <w:rPr>
          <w:i/>
        </w:rPr>
        <w:t>Rantsev</w:t>
      </w:r>
      <w:proofErr w:type="spellEnd"/>
      <w:r w:rsidR="00E04081">
        <w:t xml:space="preserve"> skarga na podstawie art. 2 nie opiera się zatem na twierdzeniu, że Belgia nie dopełniła ewentualnego obowiązku proceduralnego w zakresie samodzielnego przeprowadzenia postępowania przygotowawczego w</w:t>
      </w:r>
      <w:r w:rsidR="00306F5A">
        <w:t> </w:t>
      </w:r>
      <w:r w:rsidR="00E04081">
        <w:t>sprawie zabójstwa.</w:t>
      </w:r>
    </w:p>
    <w:p w14:paraId="14B6F302" w14:textId="70C7DE16" w:rsidR="00E04081" w:rsidRPr="00A219A8" w:rsidRDefault="0070416B" w:rsidP="00A219A8">
      <w:pPr>
        <w:pStyle w:val="JuPara"/>
      </w:pPr>
      <w:r>
        <w:fldChar w:fldCharType="begin"/>
      </w:r>
      <w:r>
        <w:instrText xml:space="preserve"> SEQ level0 \*arabic </w:instrText>
      </w:r>
      <w:r>
        <w:fldChar w:fldCharType="separate"/>
      </w:r>
      <w:r w:rsidR="000D6DC4">
        <w:rPr>
          <w:noProof/>
        </w:rPr>
        <w:t>40</w:t>
      </w:r>
      <w:r>
        <w:rPr>
          <w:noProof/>
        </w:rPr>
        <w:fldChar w:fldCharType="end"/>
      </w:r>
      <w:r w:rsidR="00E04081">
        <w:t>.</w:t>
      </w:r>
      <w:r w:rsidR="00A418A3">
        <w:t xml:space="preserve"> </w:t>
      </w:r>
      <w:r w:rsidR="00E04081">
        <w:t>Tym samym Trybunał nie dostrzega przyczyny pozwalającej odróżnić niniejszą sprawę w zakresie ustalenia istnienia związku jurysdykcyjnego z Belgią i uważa, że należy zastosować zasady przyjęte w</w:t>
      </w:r>
      <w:r w:rsidR="00306F5A">
        <w:t> </w:t>
      </w:r>
      <w:r w:rsidR="00E04081">
        <w:t xml:space="preserve">tym względzie w wyroku w sprawie </w:t>
      </w:r>
      <w:proofErr w:type="spellStart"/>
      <w:r w:rsidR="00E04081">
        <w:rPr>
          <w:i/>
        </w:rPr>
        <w:t>Güzelyurtlu</w:t>
      </w:r>
      <w:proofErr w:type="spellEnd"/>
      <w:r w:rsidR="00E04081">
        <w:rPr>
          <w:i/>
        </w:rPr>
        <w:t xml:space="preserve"> i Inni.</w:t>
      </w:r>
    </w:p>
    <w:p w14:paraId="49954421" w14:textId="67410323" w:rsidR="00E04081" w:rsidRPr="00A219A8" w:rsidRDefault="0070416B" w:rsidP="00A219A8">
      <w:pPr>
        <w:pStyle w:val="JuPara"/>
      </w:pPr>
      <w:r>
        <w:fldChar w:fldCharType="begin"/>
      </w:r>
      <w:r>
        <w:instrText xml:space="preserve"> SEQ level0 \*ar</w:instrText>
      </w:r>
      <w:r>
        <w:instrText xml:space="preserve">abic </w:instrText>
      </w:r>
      <w:r>
        <w:fldChar w:fldCharType="separate"/>
      </w:r>
      <w:r w:rsidR="000D6DC4">
        <w:rPr>
          <w:noProof/>
        </w:rPr>
        <w:t>41</w:t>
      </w:r>
      <w:r>
        <w:rPr>
          <w:noProof/>
        </w:rPr>
        <w:fldChar w:fldCharType="end"/>
      </w:r>
      <w:r w:rsidR="00E04081">
        <w:t>.</w:t>
      </w:r>
      <w:r w:rsidR="00A418A3">
        <w:t xml:space="preserve"> </w:t>
      </w:r>
      <w:r w:rsidR="00E04081">
        <w:t xml:space="preserve">Stosując </w:t>
      </w:r>
      <w:r w:rsidR="009F4A44" w:rsidRPr="0040015C">
        <w:rPr>
          <w:i/>
          <w:iCs/>
        </w:rPr>
        <w:t>mutatis mutandis</w:t>
      </w:r>
      <w:r w:rsidR="009F4A44">
        <w:t xml:space="preserve"> </w:t>
      </w:r>
      <w:r w:rsidR="00E04081">
        <w:t xml:space="preserve">wyżej wymienione orzecznictwo (zob. paragraf 37 powyżej), Trybunał zauważa, że N.J.E., która miała </w:t>
      </w:r>
      <w:r w:rsidR="009F4A44">
        <w:t xml:space="preserve">dokonać </w:t>
      </w:r>
      <w:r w:rsidR="00E04081">
        <w:t xml:space="preserve"> zabójstw</w:t>
      </w:r>
      <w:r w:rsidR="009F4A44">
        <w:t>a</w:t>
      </w:r>
      <w:r w:rsidR="00E04081">
        <w:t xml:space="preserve">, zbiegła do Belgii, gdzie dotychczas przebywa. W kontekście istnienia obowiązku współpracy w sprawach karnych między dwoma zainteresowanymi państwami, w tym przypadku w ramach systemu ENA (zob. paragrafy </w:t>
      </w:r>
      <w:r w:rsidR="008E0C4F">
        <w:fldChar w:fldCharType="begin"/>
      </w:r>
      <w:r w:rsidR="008E0C4F">
        <w:instrText xml:space="preserve"> REF kaderbesluit1 \h  \* MERGEFORMAT </w:instrText>
      </w:r>
      <w:r w:rsidR="008E0C4F">
        <w:fldChar w:fldCharType="separate"/>
      </w:r>
      <w:r w:rsidR="000D6DC4">
        <w:t>23</w:t>
      </w:r>
      <w:r w:rsidR="008E0C4F">
        <w:fldChar w:fldCharType="end"/>
      </w:r>
      <w:r w:rsidR="00E04081">
        <w:t>-</w:t>
      </w:r>
      <w:r w:rsidR="008E0C4F">
        <w:fldChar w:fldCharType="begin"/>
      </w:r>
      <w:r w:rsidR="008E0C4F">
        <w:instrText xml:space="preserve"> REF kaderbesluit2 \h  \* MERGEFORMAT </w:instrText>
      </w:r>
      <w:r w:rsidR="008E0C4F">
        <w:fldChar w:fldCharType="separate"/>
      </w:r>
      <w:r w:rsidR="000D6DC4">
        <w:rPr>
          <w:rFonts w:eastAsiaTheme="majorEastAsia"/>
        </w:rPr>
        <w:t>24</w:t>
      </w:r>
      <w:r w:rsidR="008E0C4F">
        <w:fldChar w:fldCharType="end"/>
      </w:r>
      <w:r w:rsidR="00E04081">
        <w:t xml:space="preserve"> powyżej), władze belgijskie zostały następnie poinformowane o zamiarze ścigania N.J.E. przez władze hiszpańskie i</w:t>
      </w:r>
      <w:r w:rsidR="0015737D">
        <w:t> </w:t>
      </w:r>
      <w:r w:rsidR="00E04081">
        <w:t>zwrócono się do nich o jej zatrzymanie i wydanie.</w:t>
      </w:r>
    </w:p>
    <w:bookmarkStart w:id="17" w:name="Juridiction1"/>
    <w:p w14:paraId="7E638CDD" w14:textId="4D18A47E"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42</w:t>
      </w:r>
      <w:r w:rsidRPr="00A219A8">
        <w:fldChar w:fldCharType="end"/>
      </w:r>
      <w:bookmarkEnd w:id="17"/>
      <w:r w:rsidR="00E04081">
        <w:t>.</w:t>
      </w:r>
      <w:r w:rsidR="00A418A3">
        <w:t xml:space="preserve"> </w:t>
      </w:r>
      <w:r w:rsidR="00E04081">
        <w:t xml:space="preserve">Te okoliczności niniejszej sprawy są wystarczające, aby uznać, że między skarżącymi a Belgią istnieje związek jurysdykcyjny w rozumieniu art. 1 Konwencji w odniesieniu do zarzutu podniesionego przez skarżących w ramach aspektu proceduralnego art. 2 Konwencji (zob. </w:t>
      </w:r>
      <w:r w:rsidR="00E04081">
        <w:rPr>
          <w:i/>
        </w:rPr>
        <w:t>mutatis mutandis</w:t>
      </w:r>
      <w:r w:rsidR="00E04081">
        <w:t xml:space="preserve">, </w:t>
      </w:r>
      <w:proofErr w:type="spellStart"/>
      <w:r w:rsidR="00E04081">
        <w:rPr>
          <w:i/>
        </w:rPr>
        <w:t>Güzelyurtlu</w:t>
      </w:r>
      <w:proofErr w:type="spellEnd"/>
      <w:r w:rsidR="00E04081">
        <w:rPr>
          <w:i/>
        </w:rPr>
        <w:t xml:space="preserve"> i Inni</w:t>
      </w:r>
      <w:r w:rsidR="00E04081">
        <w:t xml:space="preserve">, </w:t>
      </w:r>
      <w:r w:rsidR="00E04081">
        <w:rPr>
          <w:i/>
          <w:iCs/>
        </w:rPr>
        <w:t>op. cit.</w:t>
      </w:r>
      <w:r w:rsidR="00E04081">
        <w:t>, §§ 194-196).</w:t>
      </w:r>
    </w:p>
    <w:bookmarkStart w:id="18" w:name="Juridiction2"/>
    <w:p w14:paraId="4C1FE32F" w14:textId="1D6E7DA7"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43</w:t>
      </w:r>
      <w:r w:rsidRPr="00A219A8">
        <w:fldChar w:fldCharType="end"/>
      </w:r>
      <w:bookmarkEnd w:id="18"/>
      <w:r w:rsidR="00E04081">
        <w:t>.</w:t>
      </w:r>
      <w:r w:rsidR="00A418A3">
        <w:t xml:space="preserve"> </w:t>
      </w:r>
      <w:r w:rsidR="00E04081">
        <w:t xml:space="preserve">Trybunał stwierdza zatem, że zastrzeżenie wstępne Rządu dotyczące niezgodności </w:t>
      </w:r>
      <w:proofErr w:type="spellStart"/>
      <w:r w:rsidR="00E04081">
        <w:rPr>
          <w:i/>
        </w:rPr>
        <w:t>ratione</w:t>
      </w:r>
      <w:proofErr w:type="spellEnd"/>
      <w:r w:rsidR="009F4A44">
        <w:rPr>
          <w:i/>
        </w:rPr>
        <w:t xml:space="preserve"> </w:t>
      </w:r>
      <w:proofErr w:type="spellStart"/>
      <w:r w:rsidR="00E04081">
        <w:rPr>
          <w:i/>
        </w:rPr>
        <w:t>loci</w:t>
      </w:r>
      <w:proofErr w:type="spellEnd"/>
      <w:r w:rsidR="00E04081">
        <w:t xml:space="preserve"> podlega odrzuceniu. Oceniając zasadność tego </w:t>
      </w:r>
      <w:r w:rsidR="00E04081">
        <w:lastRenderedPageBreak/>
        <w:t>zarzutu, Trybunał będzie musiał ustalić zakres i stopień proceduralnego obowiązku współpracy ze strony Belgii na tle okoliczności niniejszej sprawy.</w:t>
      </w:r>
    </w:p>
    <w:p w14:paraId="7E5B674D" w14:textId="77777777" w:rsidR="00E04081" w:rsidRPr="00A219A8" w:rsidRDefault="00E04081" w:rsidP="00A219A8">
      <w:pPr>
        <w:pStyle w:val="JuH1"/>
        <w:rPr>
          <w:rFonts w:eastAsiaTheme="majorEastAsia"/>
        </w:rPr>
      </w:pPr>
      <w:r>
        <w:t>W przedmiocie statusu skarżących jako ofiar</w:t>
      </w:r>
    </w:p>
    <w:p w14:paraId="1396DE06" w14:textId="77777777" w:rsidR="00E04081" w:rsidRPr="00A219A8" w:rsidRDefault="00E04081" w:rsidP="00A219A8">
      <w:pPr>
        <w:pStyle w:val="JuHa0"/>
        <w:rPr>
          <w:rFonts w:eastAsiaTheme="majorEastAsia"/>
        </w:rPr>
      </w:pPr>
      <w:r>
        <w:t>Argumenty stron</w:t>
      </w:r>
    </w:p>
    <w:p w14:paraId="1DD05922" w14:textId="292EE8FB" w:rsidR="00E04081" w:rsidRPr="00A219A8" w:rsidRDefault="0070416B" w:rsidP="00A219A8">
      <w:pPr>
        <w:pStyle w:val="JuPara"/>
      </w:pPr>
      <w:r>
        <w:fldChar w:fldCharType="begin"/>
      </w:r>
      <w:r>
        <w:instrText xml:space="preserve"> SEQ level0 \*arabic </w:instrText>
      </w:r>
      <w:r>
        <w:fldChar w:fldCharType="separate"/>
      </w:r>
      <w:r w:rsidR="000D6DC4">
        <w:rPr>
          <w:noProof/>
        </w:rPr>
        <w:t>44</w:t>
      </w:r>
      <w:r>
        <w:rPr>
          <w:noProof/>
        </w:rPr>
        <w:fldChar w:fldCharType="end"/>
      </w:r>
      <w:r w:rsidR="00E04081">
        <w:t>.</w:t>
      </w:r>
      <w:r w:rsidR="00A418A3">
        <w:t xml:space="preserve"> </w:t>
      </w:r>
      <w:r w:rsidR="00E04081">
        <w:t xml:space="preserve">Rząd uważa, że konieczne jest zakwestionowanie związku przyczynowego między odmową sądów belgijskich a hipotetycznym brakiem uznania odpowiedzialności N.J.E. </w:t>
      </w:r>
      <w:r w:rsidR="00E04081">
        <w:rPr>
          <w:i/>
          <w:iCs/>
        </w:rPr>
        <w:t>in fine</w:t>
      </w:r>
      <w:r w:rsidR="00E04081">
        <w:t>. Należy również zauważyć, że władze hiszpańskie zdecydowały się na zastosowanie ENA, a</w:t>
      </w:r>
      <w:r w:rsidR="00224EAA">
        <w:t> </w:t>
      </w:r>
      <w:r w:rsidR="00E04081">
        <w:t xml:space="preserve">w obliczu odmowy władz belgijskich mogły również rozważyć inne możliwości. Powinny były sięgnąć po inne procedury, chociażby takie jak procedura </w:t>
      </w:r>
      <w:r w:rsidR="00E04081">
        <w:rPr>
          <w:i/>
        </w:rPr>
        <w:t xml:space="preserve">in </w:t>
      </w:r>
      <w:proofErr w:type="spellStart"/>
      <w:r w:rsidR="00E04081">
        <w:rPr>
          <w:i/>
        </w:rPr>
        <w:t>absentia</w:t>
      </w:r>
      <w:proofErr w:type="spellEnd"/>
      <w:r w:rsidR="00E04081">
        <w:t xml:space="preserve"> w Hiszpanii. Argumentacja skarżących, że konstytucja hiszpańska zabrania takiej procedury i że w związku z tym władze belgijskie powinny być bardziej „skłonne do współpracy” nie była trafna w zakresie, w jakim uzależniała obowiązki Belgii wynikające z art. 2 Konwencji od hiszpańskich wymogów konstytucyjnych, chociaż nie można było krytykować ich za wywiązanie się z obowiązków wynikających z art. 3 Konwencji.</w:t>
      </w:r>
    </w:p>
    <w:p w14:paraId="5CF835BB" w14:textId="5098FDAA" w:rsidR="00E04081" w:rsidRPr="00A219A8" w:rsidRDefault="0070416B" w:rsidP="00A219A8">
      <w:pPr>
        <w:pStyle w:val="JuPara"/>
      </w:pPr>
      <w:r>
        <w:fldChar w:fldCharType="begin"/>
      </w:r>
      <w:r>
        <w:instrText xml:space="preserve"> SEQ level0 \*arabic </w:instrText>
      </w:r>
      <w:r>
        <w:fldChar w:fldCharType="separate"/>
      </w:r>
      <w:r w:rsidR="000D6DC4">
        <w:rPr>
          <w:noProof/>
        </w:rPr>
        <w:t>45</w:t>
      </w:r>
      <w:r>
        <w:rPr>
          <w:noProof/>
        </w:rPr>
        <w:fldChar w:fldCharType="end"/>
      </w:r>
      <w:r w:rsidR="007D4200">
        <w:t>.</w:t>
      </w:r>
      <w:r w:rsidR="00A418A3">
        <w:t xml:space="preserve"> </w:t>
      </w:r>
      <w:r w:rsidR="007D4200">
        <w:t>Skarżący, powołując się na orzecznictwo Trybunału, twierdzili, że są ofiarami, ponieważ są dziećmi osoby, wobec której dopuszczono się zabójstwa. Twierdzą, że w świetle przepisów zarówno prawa hiszpańskiego, jak i belgijskiego, wydanie ENA przez władze hiszpańskie było jedynym właściwym sposobem doprowadzenia do ścigania N.J.E. Brak możliwości ścigania N.J.E. przypisują wyłącznie zachowaniu władz belgijskich. W</w:t>
      </w:r>
      <w:r w:rsidR="00224EAA">
        <w:t> </w:t>
      </w:r>
      <w:r w:rsidR="007D4200">
        <w:t>związku z tym skarżący wyjaśniają, że powodem, dla którego w Hiszpanii nie jest możliwe wydanie wyroku zaocznego, jest uniknięcie naruszenia prawa do rzetelnego procesu sądowego, gwarantowanego przez art. 24 ust.</w:t>
      </w:r>
      <w:r w:rsidR="00224EAA">
        <w:t> </w:t>
      </w:r>
      <w:r w:rsidR="007D4200">
        <w:t>1 Konstytucji Hiszpanii. Zakaz ten dotyczy przestępstw zagrożonych karą pozbawienia wolności powyżej jednego roku (art. 841 k.p.k.).</w:t>
      </w:r>
    </w:p>
    <w:p w14:paraId="3932329B" w14:textId="77777777" w:rsidR="00E04081" w:rsidRPr="00A219A8" w:rsidRDefault="00E04081" w:rsidP="00A219A8">
      <w:pPr>
        <w:pStyle w:val="JuHa0"/>
        <w:rPr>
          <w:rFonts w:eastAsiaTheme="majorEastAsia"/>
        </w:rPr>
      </w:pPr>
      <w:r>
        <w:t>Uwagi interweniujących stron trzecich</w:t>
      </w:r>
    </w:p>
    <w:p w14:paraId="55CC3ED2" w14:textId="184836D5" w:rsidR="00E04081" w:rsidRPr="00A219A8" w:rsidRDefault="0070416B" w:rsidP="00A219A8">
      <w:pPr>
        <w:pStyle w:val="JuPara"/>
      </w:pPr>
      <w:r>
        <w:fldChar w:fldCharType="begin"/>
      </w:r>
      <w:r>
        <w:instrText xml:space="preserve"> SEQ level0 \*arabic </w:instrText>
      </w:r>
      <w:r>
        <w:fldChar w:fldCharType="separate"/>
      </w:r>
      <w:r w:rsidR="000D6DC4">
        <w:rPr>
          <w:noProof/>
        </w:rPr>
        <w:t>46</w:t>
      </w:r>
      <w:r>
        <w:rPr>
          <w:noProof/>
        </w:rPr>
        <w:fldChar w:fldCharType="end"/>
      </w:r>
      <w:r w:rsidR="00E04081">
        <w:t>.</w:t>
      </w:r>
      <w:r w:rsidR="00A418A3">
        <w:t xml:space="preserve"> </w:t>
      </w:r>
      <w:r w:rsidR="00E04081">
        <w:t>Rząd hiszpański potwierdza, że odmowa belgijskich organów sądowych oznacza, że osoba poszukiwana nigdy nie będzie ścigana za udział w zabójstwie. Nieprzekazanie Hiszpanii będzie skutkować brakiem możliwości ścigania N.J.E. przed sądami hiszpańskimi. Ponadto należy wskazać, że zgodnie z tym, co stwierdziły same sądy belgijskie, w razie jej nieprzekazania Hiszpanii N.J.E. nie mogłaby być w żadnym wypadku sądzona przed sądami belgijskimi.</w:t>
      </w:r>
    </w:p>
    <w:p w14:paraId="1792E851" w14:textId="43423C6C" w:rsidR="00E04081" w:rsidRPr="00A219A8" w:rsidRDefault="0070416B" w:rsidP="00A219A8">
      <w:pPr>
        <w:pStyle w:val="JuPara"/>
      </w:pPr>
      <w:r>
        <w:fldChar w:fldCharType="begin"/>
      </w:r>
      <w:r>
        <w:instrText xml:space="preserve"> SEQ level0 \*arabic </w:instrText>
      </w:r>
      <w:r>
        <w:fldChar w:fldCharType="separate"/>
      </w:r>
      <w:r w:rsidR="000D6DC4">
        <w:rPr>
          <w:noProof/>
        </w:rPr>
        <w:t>47</w:t>
      </w:r>
      <w:r>
        <w:rPr>
          <w:noProof/>
        </w:rPr>
        <w:fldChar w:fldCharType="end"/>
      </w:r>
      <w:r w:rsidR="00E04081">
        <w:t>.</w:t>
      </w:r>
      <w:r w:rsidR="00A418A3">
        <w:t xml:space="preserve"> </w:t>
      </w:r>
      <w:r w:rsidR="00E04081">
        <w:t xml:space="preserve">N.J.E. podkreśla, że pokrzywdzony będący stroną cywilną nie może brać udziału w postępowaniu w sprawie wykonania ENA, ponieważ sądy śledcze nie rozstrzygają o przedmiocie sprawy ani o odszkodowaniu. Odsyłają one jedynie podejrzanego do kraju, w którym prowadzone jest przeciwko niemu postępowanie przygotowawcze. Strona cywilna nie podlega również jurysdykcji wyżej wymienionych sądów, ponieważ zgodnie </w:t>
      </w:r>
      <w:r w:rsidR="00E04081">
        <w:lastRenderedPageBreak/>
        <w:t>z decyzją ramową UE i belgijską ustawą o ENA postępowanie w</w:t>
      </w:r>
      <w:r w:rsidR="001E1F7D">
        <w:t> </w:t>
      </w:r>
      <w:r w:rsidR="00E04081">
        <w:t>sprawie wykonania ENA jest postępowaniem międzypaństwowym.</w:t>
      </w:r>
    </w:p>
    <w:p w14:paraId="79E71FB9" w14:textId="77777777" w:rsidR="00E04081" w:rsidRPr="00A219A8" w:rsidRDefault="00E04081" w:rsidP="00A219A8">
      <w:pPr>
        <w:pStyle w:val="JuHa0"/>
        <w:rPr>
          <w:rFonts w:eastAsiaTheme="majorEastAsia"/>
        </w:rPr>
      </w:pPr>
      <w:r>
        <w:t>Ocena Trybunału</w:t>
      </w:r>
    </w:p>
    <w:p w14:paraId="32B8F42B" w14:textId="3CEE8F32" w:rsidR="00E04081" w:rsidRPr="00A219A8" w:rsidRDefault="0070416B" w:rsidP="00A219A8">
      <w:pPr>
        <w:pStyle w:val="JuPara"/>
        <w:rPr>
          <w:i/>
        </w:rPr>
      </w:pPr>
      <w:r>
        <w:fldChar w:fldCharType="begin"/>
      </w:r>
      <w:r>
        <w:instrText xml:space="preserve"> SEQ level0 \*arabic </w:instrText>
      </w:r>
      <w:r>
        <w:fldChar w:fldCharType="separate"/>
      </w:r>
      <w:r w:rsidR="000D6DC4">
        <w:rPr>
          <w:noProof/>
        </w:rPr>
        <w:t>48</w:t>
      </w:r>
      <w:r>
        <w:rPr>
          <w:noProof/>
        </w:rPr>
        <w:fldChar w:fldCharType="end"/>
      </w:r>
      <w:r w:rsidR="00E04081">
        <w:t>.</w:t>
      </w:r>
      <w:r w:rsidR="00A418A3">
        <w:t xml:space="preserve"> </w:t>
      </w:r>
      <w:r w:rsidR="00E04081">
        <w:t xml:space="preserve">Trybunał odwołuje się do zasad mających zastosowanie do wymogu statusu ofiary na podstawie art. 34 Konwencji, określonych między innymi w wyroku </w:t>
      </w:r>
      <w:proofErr w:type="spellStart"/>
      <w:r w:rsidR="00E04081">
        <w:rPr>
          <w:i/>
        </w:rPr>
        <w:t>Vallianatos</w:t>
      </w:r>
      <w:proofErr w:type="spellEnd"/>
      <w:r w:rsidR="00E04081">
        <w:rPr>
          <w:i/>
        </w:rPr>
        <w:t xml:space="preserve"> i Inni przeciwko Grecji</w:t>
      </w:r>
      <w:r w:rsidR="00E04081">
        <w:t xml:space="preserve"> ([WI], skargi nr 29381/09 i</w:t>
      </w:r>
      <w:r w:rsidR="00834879">
        <w:t> </w:t>
      </w:r>
      <w:r w:rsidR="00E04081">
        <w:t>32684/09</w:t>
      </w:r>
      <w:r w:rsidR="00E04081">
        <w:rPr>
          <w:snapToGrid w:val="0"/>
        </w:rPr>
        <w:t xml:space="preserve">, § 47, </w:t>
      </w:r>
      <w:r w:rsidR="00E04081">
        <w:t>ETPC</w:t>
      </w:r>
      <w:r w:rsidR="00834879">
        <w:t xml:space="preserve"> </w:t>
      </w:r>
      <w:r w:rsidR="00E04081">
        <w:t>z 2013</w:t>
      </w:r>
      <w:r w:rsidR="00834879">
        <w:t xml:space="preserve"> r.</w:t>
      </w:r>
      <w:r w:rsidR="00E04081">
        <w:t xml:space="preserve"> (fragmenty)).</w:t>
      </w:r>
    </w:p>
    <w:p w14:paraId="7C7BE81D" w14:textId="1E5C774C" w:rsidR="00E04081" w:rsidRPr="00A219A8" w:rsidRDefault="0070416B" w:rsidP="00A219A8">
      <w:pPr>
        <w:pStyle w:val="JuPara"/>
      </w:pPr>
      <w:r>
        <w:fldChar w:fldCharType="begin"/>
      </w:r>
      <w:r>
        <w:instrText xml:space="preserve"> SEQ level0 \*arabic </w:instrText>
      </w:r>
      <w:r>
        <w:fldChar w:fldCharType="separate"/>
      </w:r>
      <w:r w:rsidR="000D6DC4">
        <w:rPr>
          <w:noProof/>
        </w:rPr>
        <w:t>49</w:t>
      </w:r>
      <w:r>
        <w:rPr>
          <w:noProof/>
        </w:rPr>
        <w:fldChar w:fldCharType="end"/>
      </w:r>
      <w:r w:rsidR="00E04081">
        <w:t>.</w:t>
      </w:r>
      <w:r w:rsidR="00A418A3">
        <w:t xml:space="preserve"> </w:t>
      </w:r>
      <w:r w:rsidR="00E04081">
        <w:t>W szczególności Trybunał przypomina, że przyznał, iż bliscy członkowie rodziny osoby, której śmierć lub zaginięcie rzekomo wiąże się z</w:t>
      </w:r>
      <w:r w:rsidR="00A31E0F">
        <w:t> </w:t>
      </w:r>
      <w:r w:rsidR="00E04081">
        <w:t>odpowiedzialnością Państwa, mogą sami twierdzić, że są pośrednimi ofiarami rzekomego naruszenia art. 2 Konwencji</w:t>
      </w:r>
      <w:r w:rsidR="00A31E0F">
        <w:t xml:space="preserve"> </w:t>
      </w:r>
      <w:r w:rsidR="00E04081">
        <w:t xml:space="preserve">(zob., na przykład, </w:t>
      </w:r>
      <w:proofErr w:type="spellStart"/>
      <w:r w:rsidR="00E04081">
        <w:rPr>
          <w:i/>
        </w:rPr>
        <w:t>McKerr</w:t>
      </w:r>
      <w:proofErr w:type="spellEnd"/>
      <w:r w:rsidR="00E04081">
        <w:rPr>
          <w:i/>
        </w:rPr>
        <w:t xml:space="preserve"> przeciwko Zjednoczonemu Królestwu</w:t>
      </w:r>
      <w:r w:rsidR="00E04081">
        <w:t>, skarga nr 28883/95, ETPC</w:t>
      </w:r>
      <w:r w:rsidR="00A31E0F">
        <w:t xml:space="preserve"> z </w:t>
      </w:r>
      <w:r w:rsidR="00E04081">
        <w:t>2001</w:t>
      </w:r>
      <w:r w:rsidR="00E04081">
        <w:noBreakHyphen/>
        <w:t xml:space="preserve">III (w przypadku dzieci) oraz </w:t>
      </w:r>
      <w:r w:rsidR="00E04081">
        <w:rPr>
          <w:i/>
        </w:rPr>
        <w:t xml:space="preserve">Van </w:t>
      </w:r>
      <w:proofErr w:type="spellStart"/>
      <w:r w:rsidR="00E04081">
        <w:rPr>
          <w:i/>
        </w:rPr>
        <w:t>Colle</w:t>
      </w:r>
      <w:proofErr w:type="spellEnd"/>
      <w:r w:rsidR="00E04081">
        <w:rPr>
          <w:i/>
        </w:rPr>
        <w:t xml:space="preserve"> przeciwko Zjednoczonemu Królestwu</w:t>
      </w:r>
      <w:r w:rsidR="00E04081">
        <w:t>, skarga nr 7678/09,</w:t>
      </w:r>
      <w:r w:rsidR="00E04081">
        <w:rPr>
          <w:snapToGrid w:val="0"/>
        </w:rPr>
        <w:t>§ 86, 13 </w:t>
      </w:r>
      <w:r w:rsidR="00E04081">
        <w:t>listopada</w:t>
      </w:r>
      <w:r w:rsidR="00E04081">
        <w:rPr>
          <w:snapToGrid w:val="0"/>
        </w:rPr>
        <w:t xml:space="preserve"> 2012 r. (w przypadku rodziców</w:t>
      </w:r>
      <w:r w:rsidR="00E04081">
        <w:t>)).</w:t>
      </w:r>
    </w:p>
    <w:bookmarkStart w:id="19" w:name="partievict"/>
    <w:p w14:paraId="3884A037" w14:textId="5C5959E0" w:rsidR="00E04081" w:rsidRPr="00A219A8" w:rsidRDefault="000F375F" w:rsidP="00A219A8">
      <w:pPr>
        <w:pStyle w:val="JuPara"/>
        <w:rPr>
          <w:snapToGrid w:val="0"/>
        </w:rPr>
      </w:pPr>
      <w:r w:rsidRPr="00A219A8">
        <w:rPr>
          <w:snapToGrid w:val="0"/>
        </w:rPr>
        <w:fldChar w:fldCharType="begin"/>
      </w:r>
      <w:r w:rsidR="00E04081" w:rsidRPr="00A219A8">
        <w:rPr>
          <w:snapToGrid w:val="0"/>
        </w:rPr>
        <w:instrText xml:space="preserve"> SEQ level0 \*arabic </w:instrText>
      </w:r>
      <w:r w:rsidRPr="00A219A8">
        <w:rPr>
          <w:snapToGrid w:val="0"/>
        </w:rPr>
        <w:fldChar w:fldCharType="separate"/>
      </w:r>
      <w:r w:rsidR="000D6DC4">
        <w:rPr>
          <w:noProof/>
          <w:snapToGrid w:val="0"/>
        </w:rPr>
        <w:t>50</w:t>
      </w:r>
      <w:r w:rsidRPr="00A219A8">
        <w:rPr>
          <w:snapToGrid w:val="0"/>
        </w:rPr>
        <w:fldChar w:fldCharType="end"/>
      </w:r>
      <w:bookmarkEnd w:id="19"/>
      <w:r w:rsidR="00E04081">
        <w:rPr>
          <w:snapToGrid w:val="0"/>
        </w:rPr>
        <w:t>.</w:t>
      </w:r>
      <w:r w:rsidR="00A418A3">
        <w:rPr>
          <w:snapToGrid w:val="0"/>
        </w:rPr>
        <w:t xml:space="preserve"> </w:t>
      </w:r>
      <w:r w:rsidR="00E04081">
        <w:rPr>
          <w:snapToGrid w:val="0"/>
        </w:rPr>
        <w:t>W świetle tego orzecznictw</w:t>
      </w:r>
      <w:r w:rsidR="00A31E0F">
        <w:rPr>
          <w:snapToGrid w:val="0"/>
        </w:rPr>
        <w:t>a Trybunał uważa, że skarżący w </w:t>
      </w:r>
      <w:r w:rsidR="00E04081">
        <w:rPr>
          <w:snapToGrid w:val="0"/>
        </w:rPr>
        <w:t>niniejszej sprawie mają status ofiar w rozumieniu art. 34 Konwencji.</w:t>
      </w:r>
    </w:p>
    <w:p w14:paraId="5303253D" w14:textId="77777777" w:rsidR="00E04081" w:rsidRPr="00A219A8" w:rsidRDefault="00E04081" w:rsidP="00A219A8">
      <w:pPr>
        <w:pStyle w:val="JuH1"/>
        <w:rPr>
          <w:rFonts w:eastAsiaTheme="majorEastAsia"/>
        </w:rPr>
      </w:pPr>
      <w:r>
        <w:t>W przedmiocie niewyczerpania krajowych środków odwoławczych</w:t>
      </w:r>
    </w:p>
    <w:p w14:paraId="3AB86509" w14:textId="77777777" w:rsidR="00E04081" w:rsidRPr="00A219A8" w:rsidRDefault="00E04081" w:rsidP="00A219A8">
      <w:pPr>
        <w:pStyle w:val="JuHa0"/>
        <w:rPr>
          <w:rFonts w:eastAsiaTheme="majorEastAsia"/>
        </w:rPr>
      </w:pPr>
      <w:r>
        <w:t>Argumenty stron</w:t>
      </w:r>
    </w:p>
    <w:p w14:paraId="4F08D5DF" w14:textId="2D216EDF" w:rsidR="00E04081" w:rsidRPr="00A219A8" w:rsidRDefault="0070416B" w:rsidP="00A219A8">
      <w:pPr>
        <w:pStyle w:val="JuPara"/>
      </w:pPr>
      <w:r>
        <w:fldChar w:fldCharType="begin"/>
      </w:r>
      <w:r>
        <w:instrText xml:space="preserve"> SEQ level0 \*arabic </w:instrText>
      </w:r>
      <w:r>
        <w:fldChar w:fldCharType="separate"/>
      </w:r>
      <w:r w:rsidR="000D6DC4">
        <w:rPr>
          <w:noProof/>
        </w:rPr>
        <w:t>51</w:t>
      </w:r>
      <w:r>
        <w:rPr>
          <w:noProof/>
        </w:rPr>
        <w:fldChar w:fldCharType="end"/>
      </w:r>
      <w:r w:rsidR="00E04081">
        <w:t>.</w:t>
      </w:r>
      <w:r w:rsidR="00A418A3">
        <w:t xml:space="preserve"> </w:t>
      </w:r>
      <w:r w:rsidR="00E04081">
        <w:t>Rząd twierdzi, że skarżący nie wyczerpali krajowych środków odwoławczych. Chociaż jeden ze skarżących był stroną cywilną w</w:t>
      </w:r>
      <w:r w:rsidR="00A2423D">
        <w:t> </w:t>
      </w:r>
      <w:r w:rsidR="00E04081">
        <w:t xml:space="preserve">postępowaniu karnym przed sądami hiszpańskimi, okoliczność ta nie ma znaczenia, bowiem ich skarga skierowana jest wyłącznie przeciwko Belgii. Niemniej jednak, mimo że skarga dotyczy jedynie państwa belgijskiego, skarżący nie podjęli żadnych kroków proceduralnych w Belgii, poza wymianą „nieformalnej, uprzejmej” korespondencji pomiędzy jednym ze skarżących a pierwszym prezesem Sądu </w:t>
      </w:r>
      <w:r w:rsidR="003A5796">
        <w:t>K</w:t>
      </w:r>
      <w:r w:rsidR="00E04081">
        <w:t>asacyjnego. Rząd przyznał, że nie można zarzucić skarżącym, że nie brali udziału w postępowaniu w sprawie wykonania ENA jako ofiary zarzucanych przestępstw, ponieważ postępowanie to dotyczyło zasadniczo prokuratora i osoby zatrzymanej, o</w:t>
      </w:r>
      <w:r w:rsidR="00A2423D">
        <w:t> </w:t>
      </w:r>
      <w:r w:rsidR="00E04081">
        <w:t xml:space="preserve">wydanie której wnioskowano. W związku z tym, jego zdaniem, z pisma pierwszego prezesa Sądu </w:t>
      </w:r>
      <w:r w:rsidR="006758B6">
        <w:t>K</w:t>
      </w:r>
      <w:r w:rsidR="00E04081">
        <w:t xml:space="preserve">asacyjnego z dnia 27 listopada 2014 r. (zob. paragraf </w:t>
      </w:r>
      <w:r w:rsidR="008E0C4F">
        <w:fldChar w:fldCharType="begin"/>
      </w:r>
      <w:r w:rsidR="008E0C4F">
        <w:instrText xml:space="preserve"> REF cass \h  \* MERGEFORMAT </w:instrText>
      </w:r>
      <w:r w:rsidR="008E0C4F">
        <w:fldChar w:fldCharType="separate"/>
      </w:r>
      <w:r w:rsidR="000D6DC4">
        <w:t>16</w:t>
      </w:r>
      <w:r w:rsidR="008E0C4F">
        <w:fldChar w:fldCharType="end"/>
      </w:r>
      <w:r w:rsidR="00E04081">
        <w:t xml:space="preserve"> powyżej) wynika, że otwarto drzwi do dialogu w celu rozważenia z prokuratorem federalnym możliwości zaradzenia odmowie wykonania ENA. W swoich uwagach dodatkowych Rząd odniósł się również do możliwości wszczęcia przez skarżących postępowania uproszczonego lub powództwa cywilnego.</w:t>
      </w:r>
    </w:p>
    <w:p w14:paraId="2101B06B" w14:textId="0C398578" w:rsidR="00E04081" w:rsidRPr="00A219A8" w:rsidRDefault="0070416B" w:rsidP="00A219A8">
      <w:pPr>
        <w:pStyle w:val="JuPara"/>
      </w:pPr>
      <w:r>
        <w:fldChar w:fldCharType="begin"/>
      </w:r>
      <w:r>
        <w:instrText xml:space="preserve"> SEQ level0 \*arabic </w:instrText>
      </w:r>
      <w:r>
        <w:fldChar w:fldCharType="separate"/>
      </w:r>
      <w:r w:rsidR="000D6DC4">
        <w:rPr>
          <w:noProof/>
        </w:rPr>
        <w:t>52</w:t>
      </w:r>
      <w:r>
        <w:rPr>
          <w:noProof/>
        </w:rPr>
        <w:fldChar w:fldCharType="end"/>
      </w:r>
      <w:r w:rsidR="00E04081">
        <w:t>.</w:t>
      </w:r>
      <w:r w:rsidR="00A418A3">
        <w:t xml:space="preserve"> </w:t>
      </w:r>
      <w:r w:rsidR="00E04081">
        <w:t>Skarżący uważają, że wyczerpali krajowe środki odwoławcze w</w:t>
      </w:r>
      <w:r w:rsidR="00A2423D">
        <w:t> </w:t>
      </w:r>
      <w:r w:rsidR="00E04081">
        <w:t>Hiszpanii, ponieważ jeden ze skarżących wystąpił z powództwem adhezyjnym w ramach postępowania karnego przed sądami hiszpańskimi w</w:t>
      </w:r>
      <w:r w:rsidR="008D610B">
        <w:t> </w:t>
      </w:r>
      <w:r w:rsidR="00E04081">
        <w:t xml:space="preserve">sprawie zabójstwa ich ojca. W odniesieniu do Belgii twierdzą, że krajowe środki odwoławcze zostały wyczerpane poprzez środki zaskarżenia </w:t>
      </w:r>
      <w:r w:rsidR="00E04081">
        <w:lastRenderedPageBreak/>
        <w:t>belgijskiego prokuratora federalnego, biorąc pod uwagę jego rolę w</w:t>
      </w:r>
      <w:r w:rsidR="008D610B">
        <w:t> </w:t>
      </w:r>
      <w:r w:rsidR="00E04081">
        <w:t>reprezentowaniu ofiar, oraz brak możliwości podjęcia przez nich innych środków zaskarżenia czy czynności proceduralnych. Ich zdaniem pismo</w:t>
      </w:r>
      <w:r w:rsidR="00C852A7">
        <w:t xml:space="preserve"> </w:t>
      </w:r>
      <w:r w:rsidR="00E04081">
        <w:t xml:space="preserve">skierowane do nich przez </w:t>
      </w:r>
      <w:r w:rsidR="006758B6">
        <w:t>P</w:t>
      </w:r>
      <w:r w:rsidR="00E04081">
        <w:t xml:space="preserve">ierwszego </w:t>
      </w:r>
      <w:r w:rsidR="006758B6">
        <w:t>P</w:t>
      </w:r>
      <w:r w:rsidR="00E04081">
        <w:t xml:space="preserve">rezesa Sądu </w:t>
      </w:r>
      <w:r w:rsidR="006758B6">
        <w:t>K</w:t>
      </w:r>
      <w:r w:rsidR="00E04081">
        <w:t>asacyjnego można postrzegać jedynie jako uprzejmą i nieformalną odpowiedź skierowaną do ofiar.</w:t>
      </w:r>
    </w:p>
    <w:p w14:paraId="58D9BBA2" w14:textId="77777777" w:rsidR="00E04081" w:rsidRPr="00A219A8" w:rsidRDefault="00E04081" w:rsidP="00A219A8">
      <w:pPr>
        <w:pStyle w:val="JuHa0"/>
        <w:rPr>
          <w:rFonts w:eastAsiaTheme="majorEastAsia"/>
        </w:rPr>
      </w:pPr>
      <w:r>
        <w:t>Ocena Trybunału</w:t>
      </w:r>
    </w:p>
    <w:p w14:paraId="3400099F" w14:textId="11523188" w:rsidR="00E04081" w:rsidRPr="00A219A8" w:rsidRDefault="0070416B" w:rsidP="00A219A8">
      <w:pPr>
        <w:pStyle w:val="JuPara"/>
        <w:rPr>
          <w:i/>
        </w:rPr>
      </w:pPr>
      <w:r>
        <w:fldChar w:fldCharType="begin"/>
      </w:r>
      <w:r>
        <w:instrText xml:space="preserve"> SEQ level0 \*arabic </w:instrText>
      </w:r>
      <w:r>
        <w:fldChar w:fldCharType="separate"/>
      </w:r>
      <w:r w:rsidR="000D6DC4">
        <w:rPr>
          <w:noProof/>
        </w:rPr>
        <w:t>53</w:t>
      </w:r>
      <w:r>
        <w:rPr>
          <w:noProof/>
        </w:rPr>
        <w:fldChar w:fldCharType="end"/>
      </w:r>
      <w:r w:rsidR="00E04081">
        <w:t>.</w:t>
      </w:r>
      <w:r w:rsidR="00A418A3">
        <w:t xml:space="preserve"> </w:t>
      </w:r>
      <w:r w:rsidR="00E04081">
        <w:t xml:space="preserve">Trybunał przypomniał, że zasada wyczerpania krajowych środków odwoławczych musi być stosowana z pewną dozą elastyczności i bez nadmiernego formalizmu, biorąc pod uwagę kontekst ochrony praw człowieka. Trybunał przyjął ponadto, że zasada ta nie podlega automatycznemu stosowaniu i nie ma charakteru absolutnego; przy kontroli jej przestrzegania należy mieć na uwadze okoliczności sprawy </w:t>
      </w:r>
      <w:r w:rsidR="00E04081">
        <w:rPr>
          <w:i/>
        </w:rPr>
        <w:t>(</w:t>
      </w:r>
      <w:proofErr w:type="spellStart"/>
      <w:r w:rsidR="00E04081">
        <w:rPr>
          <w:i/>
        </w:rPr>
        <w:t>Vučković</w:t>
      </w:r>
      <w:proofErr w:type="spellEnd"/>
      <w:r w:rsidR="00E04081">
        <w:rPr>
          <w:i/>
        </w:rPr>
        <w:t xml:space="preserve"> i</w:t>
      </w:r>
      <w:r w:rsidR="00A13DA5">
        <w:rPr>
          <w:i/>
        </w:rPr>
        <w:t> </w:t>
      </w:r>
      <w:r w:rsidR="00E04081">
        <w:rPr>
          <w:i/>
        </w:rPr>
        <w:t>Inni przeciwko Serbii</w:t>
      </w:r>
      <w:r w:rsidR="00E04081">
        <w:t xml:space="preserve"> ([WI], skarga nr 17153/11, §§ 69-77, 25 marca 2014</w:t>
      </w:r>
      <w:r w:rsidR="00A13DA5">
        <w:t> </w:t>
      </w:r>
      <w:r w:rsidR="00E04081">
        <w:t xml:space="preserve">r., oraz </w:t>
      </w:r>
      <w:proofErr w:type="spellStart"/>
      <w:r w:rsidR="00E04081">
        <w:rPr>
          <w:i/>
        </w:rPr>
        <w:t>Gherghina</w:t>
      </w:r>
      <w:proofErr w:type="spellEnd"/>
      <w:r w:rsidR="00E04081">
        <w:rPr>
          <w:i/>
        </w:rPr>
        <w:t xml:space="preserve"> przeciwko Rumunii</w:t>
      </w:r>
      <w:r w:rsidR="00E04081">
        <w:t xml:space="preserve"> [WI] (</w:t>
      </w:r>
      <w:proofErr w:type="spellStart"/>
      <w:r w:rsidR="00E04081">
        <w:t>dec</w:t>
      </w:r>
      <w:proofErr w:type="spellEnd"/>
      <w:r w:rsidR="00E04081">
        <w:t>.), skarga nr 42219/07, §§ 83-84, 9 lipca 2015 r., wraz z odniesieniami).</w:t>
      </w:r>
    </w:p>
    <w:bookmarkStart w:id="20" w:name="JPNEXChargePreuve"/>
    <w:p w14:paraId="007DF574" w14:textId="1DA621D9"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54</w:t>
      </w:r>
      <w:r w:rsidRPr="00A219A8">
        <w:fldChar w:fldCharType="end"/>
      </w:r>
      <w:bookmarkEnd w:id="20"/>
      <w:r w:rsidR="00E04081">
        <w:t>.</w:t>
      </w:r>
      <w:r w:rsidR="00A418A3">
        <w:t xml:space="preserve"> </w:t>
      </w:r>
      <w:r w:rsidR="00E04081">
        <w:t xml:space="preserve">Jeśli chodzi o ciężar dowodu, to pozwany Rząd powinien przekonać Trybunał, że w czasie zaistnienia okoliczności faktycznych środek odwoławczy był skuteczny i dostępny zarówno w teorii, jak i w praktyce. Po ustaleniu tej okoliczności zadaniem skarżącego jest wykazanie, że ze środka odwoławczego, na który powołał się Rząd pozwany, faktycznie skorzystano lub że z jakiegokolwiek powodu nie był on adekwatny ani skuteczny </w:t>
      </w:r>
      <w:r w:rsidR="0040478D">
        <w:t>biorąc pod uwag</w:t>
      </w:r>
      <w:r w:rsidR="00124F27">
        <w:t>ę</w:t>
      </w:r>
      <w:r w:rsidR="0040478D">
        <w:t xml:space="preserve"> stan </w:t>
      </w:r>
      <w:r w:rsidR="00E04081">
        <w:t>fakt</w:t>
      </w:r>
      <w:r w:rsidR="0040478D">
        <w:t xml:space="preserve">yczny </w:t>
      </w:r>
      <w:r w:rsidR="00E04081">
        <w:t xml:space="preserve"> sprawy, lub że istniały szczególne okoliczności, które zwolniły skarżącego z jego wykorzystania </w:t>
      </w:r>
      <w:r w:rsidR="00E04081">
        <w:rPr>
          <w:i/>
        </w:rPr>
        <w:t>(</w:t>
      </w:r>
      <w:proofErr w:type="spellStart"/>
      <w:r w:rsidR="00E04081">
        <w:rPr>
          <w:i/>
        </w:rPr>
        <w:t>Vučković</w:t>
      </w:r>
      <w:proofErr w:type="spellEnd"/>
      <w:r w:rsidR="00E04081">
        <w:rPr>
          <w:i/>
        </w:rPr>
        <w:t xml:space="preserve"> i Inni</w:t>
      </w:r>
      <w:r w:rsidR="00E04081">
        <w:t>,</w:t>
      </w:r>
      <w:r w:rsidR="00A13DA5">
        <w:t xml:space="preserve"> </w:t>
      </w:r>
      <w:r w:rsidR="00E04081">
        <w:rPr>
          <w:i/>
          <w:iCs/>
        </w:rPr>
        <w:t>op. cit.</w:t>
      </w:r>
      <w:r w:rsidR="00E04081">
        <w:t xml:space="preserve">, § 77, oraz </w:t>
      </w:r>
      <w:proofErr w:type="spellStart"/>
      <w:r w:rsidR="00E04081">
        <w:rPr>
          <w:i/>
        </w:rPr>
        <w:t>Gherghina</w:t>
      </w:r>
      <w:proofErr w:type="spellEnd"/>
      <w:r w:rsidR="00E04081">
        <w:t xml:space="preserve">, </w:t>
      </w:r>
      <w:r w:rsidR="00E04081">
        <w:rPr>
          <w:i/>
          <w:iCs/>
        </w:rPr>
        <w:t>op. cit</w:t>
      </w:r>
      <w:r w:rsidR="00E04081">
        <w:t>., §§ 88-89, wraz z odniesieniami).</w:t>
      </w:r>
    </w:p>
    <w:bookmarkStart w:id="21" w:name="positie"/>
    <w:bookmarkStart w:id="22" w:name="enquete"/>
    <w:p w14:paraId="7B3E0AB3" w14:textId="6B1C7D53" w:rsidR="00E04081" w:rsidRPr="00A219A8" w:rsidRDefault="000F375F" w:rsidP="00A219A8">
      <w:pPr>
        <w:pStyle w:val="JuPara"/>
        <w:rPr>
          <w:strike/>
        </w:rPr>
      </w:pPr>
      <w:r w:rsidRPr="00A219A8">
        <w:fldChar w:fldCharType="begin"/>
      </w:r>
      <w:r w:rsidR="00E04081" w:rsidRPr="00A219A8">
        <w:instrText xml:space="preserve"> SEQ level0 \*arabic </w:instrText>
      </w:r>
      <w:r w:rsidRPr="00A219A8">
        <w:fldChar w:fldCharType="separate"/>
      </w:r>
      <w:r w:rsidR="000D6DC4">
        <w:rPr>
          <w:noProof/>
        </w:rPr>
        <w:t>55</w:t>
      </w:r>
      <w:r w:rsidRPr="00A219A8">
        <w:fldChar w:fldCharType="end"/>
      </w:r>
      <w:bookmarkEnd w:id="21"/>
      <w:bookmarkEnd w:id="22"/>
      <w:r w:rsidR="00E04081">
        <w:t>.</w:t>
      </w:r>
      <w:r w:rsidR="00A418A3">
        <w:t xml:space="preserve"> </w:t>
      </w:r>
      <w:r w:rsidR="00E04081">
        <w:t>Przechodząc na grunt konkretnych okoliczności niniejszej sprawy, Trybunał zauważył, że władze hiszpańskie wszczęły postępowanie przygotowawcze w tej sprawie oraz że jeden ze skarżących wystąpił z</w:t>
      </w:r>
      <w:r w:rsidR="004947C6">
        <w:t> </w:t>
      </w:r>
      <w:r w:rsidR="00E04081">
        <w:t>powództwem adhezyjnym przeciwko N.J.E. w Hiszpanii. W niniejszej sprawie chodzi jednak o postępowanie w sprawie wykonania ENA przed sądami belgijskimi, które jest bezpośrednią przyczyną aktualnego braku możliwości prowadzenia postępowania przeciwko N.J.E., postępowanie, w</w:t>
      </w:r>
      <w:r w:rsidR="00A13DA5">
        <w:t> </w:t>
      </w:r>
      <w:r w:rsidR="00E04081">
        <w:t>którym ani udział, ani interwencja skarżących nie są przewidziane ani w</w:t>
      </w:r>
      <w:r w:rsidR="004947C6">
        <w:t> </w:t>
      </w:r>
      <w:r w:rsidR="00E04081">
        <w:t>decyzji ramowej, ani w prawie belgijskim.</w:t>
      </w:r>
    </w:p>
    <w:p w14:paraId="162D71A3" w14:textId="7BB94993" w:rsidR="00E04081" w:rsidRPr="00A219A8" w:rsidRDefault="0070416B" w:rsidP="00A219A8">
      <w:pPr>
        <w:pStyle w:val="JuPara"/>
        <w:rPr>
          <w:rFonts w:cs="Times New Roman"/>
          <w:strike/>
        </w:rPr>
      </w:pPr>
      <w:r>
        <w:fldChar w:fldCharType="begin"/>
      </w:r>
      <w:r>
        <w:instrText xml:space="preserve"> SEQ level0 \*arabic </w:instrText>
      </w:r>
      <w:r>
        <w:fldChar w:fldCharType="separate"/>
      </w:r>
      <w:r w:rsidR="000D6DC4">
        <w:rPr>
          <w:noProof/>
        </w:rPr>
        <w:t>56</w:t>
      </w:r>
      <w:r>
        <w:rPr>
          <w:noProof/>
        </w:rPr>
        <w:fldChar w:fldCharType="end"/>
      </w:r>
      <w:r w:rsidR="00E04081">
        <w:t>.</w:t>
      </w:r>
      <w:r w:rsidR="00A418A3">
        <w:t xml:space="preserve"> </w:t>
      </w:r>
      <w:r w:rsidR="00E04081">
        <w:t xml:space="preserve">W odniesieniu do argumentu Rządu, opartego na piśmie </w:t>
      </w:r>
      <w:r w:rsidR="007B5255">
        <w:t>P</w:t>
      </w:r>
      <w:r w:rsidR="00E04081">
        <w:t xml:space="preserve">ierwszego </w:t>
      </w:r>
      <w:r w:rsidR="007B5255">
        <w:t>P</w:t>
      </w:r>
      <w:r w:rsidR="00E04081">
        <w:t xml:space="preserve">rezesa Sądu </w:t>
      </w:r>
      <w:r w:rsidR="007B5255">
        <w:t>K</w:t>
      </w:r>
      <w:r w:rsidR="00E04081">
        <w:t>asacyjnego, że skarżący mogli skontaktować się z belgijską prokuraturą federalną w celu znalezienia sposobu zaradzenia odmowie wykonania ENA, Trybunał uważa, że możliwość ta jest niejasna i</w:t>
      </w:r>
      <w:r w:rsidR="00AD740D">
        <w:t> </w:t>
      </w:r>
      <w:r w:rsidR="00E04081">
        <w:t xml:space="preserve">dyskusyjna i nie może być uznana za </w:t>
      </w:r>
      <w:r w:rsidR="000A4B00">
        <w:t xml:space="preserve">bezpośrednie rozwiązanie </w:t>
      </w:r>
      <w:r w:rsidR="00E04081">
        <w:t xml:space="preserve">sytuacji </w:t>
      </w:r>
      <w:r w:rsidR="007B5255">
        <w:t xml:space="preserve">stanowiącej </w:t>
      </w:r>
      <w:r w:rsidR="00E04081">
        <w:t xml:space="preserve">przedmiot skargi lub za </w:t>
      </w:r>
      <w:r w:rsidR="008D3D30">
        <w:t xml:space="preserve">dającą </w:t>
      </w:r>
      <w:r w:rsidR="00E04081">
        <w:t>rozsądne szanse powodzenia (zob. w szczególności paragrafy </w:t>
      </w:r>
      <w:r w:rsidR="008E0C4F">
        <w:fldChar w:fldCharType="begin"/>
      </w:r>
      <w:r w:rsidR="008E0C4F">
        <w:instrText xml:space="preserve"> REF bvgh \h  \* MERGEFORMAT </w:instrText>
      </w:r>
      <w:r w:rsidR="008E0C4F">
        <w:fldChar w:fldCharType="separate"/>
      </w:r>
      <w:r w:rsidR="000D6DC4">
        <w:t>11</w:t>
      </w:r>
      <w:r w:rsidR="008E0C4F">
        <w:fldChar w:fldCharType="end"/>
      </w:r>
      <w:r w:rsidR="00E04081">
        <w:t xml:space="preserve"> i </w:t>
      </w:r>
      <w:r w:rsidR="008E0C4F">
        <w:fldChar w:fldCharType="begin"/>
      </w:r>
      <w:r w:rsidR="008E0C4F">
        <w:instrText xml:space="preserve"> REF bvgh2 \h  \* MERGEFORMAT </w:instrText>
      </w:r>
      <w:r w:rsidR="008E0C4F">
        <w:fldChar w:fldCharType="separate"/>
      </w:r>
      <w:r w:rsidR="000D6DC4">
        <w:t>26</w:t>
      </w:r>
      <w:r w:rsidR="008E0C4F">
        <w:fldChar w:fldCharType="end"/>
      </w:r>
      <w:r w:rsidR="00E04081">
        <w:t xml:space="preserve"> powyżej).</w:t>
      </w:r>
    </w:p>
    <w:p w14:paraId="686D3BED" w14:textId="0E489201" w:rsidR="00E04081" w:rsidRPr="00A219A8" w:rsidRDefault="0070416B" w:rsidP="00A219A8">
      <w:pPr>
        <w:pStyle w:val="JuPara"/>
        <w:rPr>
          <w:rFonts w:cs="Times New Roman"/>
          <w:strike/>
        </w:rPr>
      </w:pPr>
      <w:r>
        <w:fldChar w:fldCharType="begin"/>
      </w:r>
      <w:r>
        <w:instrText xml:space="preserve"> SEQ level0 \*arabic </w:instrText>
      </w:r>
      <w:r>
        <w:fldChar w:fldCharType="separate"/>
      </w:r>
      <w:r w:rsidR="000D6DC4">
        <w:rPr>
          <w:noProof/>
        </w:rPr>
        <w:t>57</w:t>
      </w:r>
      <w:r>
        <w:rPr>
          <w:noProof/>
        </w:rPr>
        <w:fldChar w:fldCharType="end"/>
      </w:r>
      <w:r w:rsidR="00E04081">
        <w:t>.</w:t>
      </w:r>
      <w:r w:rsidR="00A418A3">
        <w:t xml:space="preserve"> </w:t>
      </w:r>
      <w:r w:rsidR="00E04081">
        <w:t xml:space="preserve">W odniesieniu do środków tymczasowych oraz powództwa </w:t>
      </w:r>
      <w:r w:rsidR="008D3D30">
        <w:t xml:space="preserve">z tytułu odpowiedzialności </w:t>
      </w:r>
      <w:r w:rsidR="00E04081">
        <w:t>cywilne</w:t>
      </w:r>
      <w:r w:rsidR="008D3D30">
        <w:t>j</w:t>
      </w:r>
      <w:r w:rsidR="00E04081">
        <w:t xml:space="preserve"> Trybunał zauważa, że Rząd nie przedstawił </w:t>
      </w:r>
      <w:r w:rsidR="00E04081">
        <w:lastRenderedPageBreak/>
        <w:t>żadnych dowodów na poparcie swojego twierdzenia, że środki te były skuteczne w niniejszej sprawie.</w:t>
      </w:r>
    </w:p>
    <w:p w14:paraId="41A0D867" w14:textId="0C45ED6C" w:rsidR="00E04081" w:rsidRPr="00A219A8" w:rsidRDefault="0070416B" w:rsidP="00A219A8">
      <w:pPr>
        <w:pStyle w:val="JuPara"/>
      </w:pPr>
      <w:r>
        <w:fldChar w:fldCharType="begin"/>
      </w:r>
      <w:r>
        <w:instrText xml:space="preserve"> SEQ level0 \*arabic </w:instrText>
      </w:r>
      <w:r>
        <w:fldChar w:fldCharType="separate"/>
      </w:r>
      <w:r w:rsidR="000D6DC4">
        <w:rPr>
          <w:noProof/>
        </w:rPr>
        <w:t>58</w:t>
      </w:r>
      <w:r>
        <w:rPr>
          <w:noProof/>
        </w:rPr>
        <w:fldChar w:fldCharType="end"/>
      </w:r>
      <w:r w:rsidR="00E04081">
        <w:t>.</w:t>
      </w:r>
      <w:r w:rsidR="00A418A3">
        <w:t xml:space="preserve"> </w:t>
      </w:r>
      <w:r w:rsidR="00E04081">
        <w:t>W związku z tym, choć prawdą jest, że skarżący nie skorzystali ze środków odwoławczych sugerowanych przez Rząd, Trybunał uważa, że Rząd, na którym spoczywa ciężar dowodu w tym zakresie (zob. paragraf </w:t>
      </w:r>
      <w:r w:rsidR="008E0C4F">
        <w:fldChar w:fldCharType="begin"/>
      </w:r>
      <w:r w:rsidR="008E0C4F">
        <w:instrText xml:space="preserve"> REF JPNEXChargePreuve \h  \* MERGEFORMAT </w:instrText>
      </w:r>
      <w:r w:rsidR="008E0C4F">
        <w:fldChar w:fldCharType="separate"/>
      </w:r>
      <w:r w:rsidR="000D6DC4">
        <w:t>54</w:t>
      </w:r>
      <w:r w:rsidR="008E0C4F">
        <w:fldChar w:fldCharType="end"/>
      </w:r>
      <w:r w:rsidR="00E04081">
        <w:t xml:space="preserve"> powyżej), nie wykazał, że skorzystanie ze środków odwoławczych, do których się odniósł, mogło zapewnić skarżącym zadośćuczynienie w</w:t>
      </w:r>
      <w:r w:rsidR="00AD740D">
        <w:t> </w:t>
      </w:r>
      <w:r w:rsidR="00E04081">
        <w:t>ramach ich skargi na podstawie art. 2 Konwencji.</w:t>
      </w:r>
    </w:p>
    <w:p w14:paraId="529AB112" w14:textId="71B2061F" w:rsidR="00E04081" w:rsidRPr="00A219A8" w:rsidRDefault="0070416B" w:rsidP="00A219A8">
      <w:pPr>
        <w:pStyle w:val="JuPara"/>
      </w:pPr>
      <w:r>
        <w:fldChar w:fldCharType="begin"/>
      </w:r>
      <w:r>
        <w:instrText xml:space="preserve"> SEQ level0 \*arabic </w:instrText>
      </w:r>
      <w:r>
        <w:fldChar w:fldCharType="separate"/>
      </w:r>
      <w:r w:rsidR="000D6DC4">
        <w:rPr>
          <w:noProof/>
        </w:rPr>
        <w:t>59</w:t>
      </w:r>
      <w:r>
        <w:rPr>
          <w:noProof/>
        </w:rPr>
        <w:fldChar w:fldCharType="end"/>
      </w:r>
      <w:r w:rsidR="00E04081">
        <w:t>.</w:t>
      </w:r>
      <w:r w:rsidR="00A418A3">
        <w:t xml:space="preserve"> </w:t>
      </w:r>
      <w:r w:rsidR="00E04081">
        <w:t>W związku z powyższym Trybunał uznał, że skarga nie może zostać odrzucona z powodu niewyczerpania krajowych środków odwoławczych.</w:t>
      </w:r>
    </w:p>
    <w:p w14:paraId="1387EE96" w14:textId="77777777" w:rsidR="00E04081" w:rsidRPr="00A219A8" w:rsidRDefault="00E04081" w:rsidP="00A219A8">
      <w:pPr>
        <w:pStyle w:val="JuH1"/>
        <w:rPr>
          <w:rFonts w:eastAsiaTheme="majorEastAsia"/>
        </w:rPr>
      </w:pPr>
      <w:r>
        <w:t>Okres sześciu miesięcy</w:t>
      </w:r>
    </w:p>
    <w:p w14:paraId="60D8AB4F" w14:textId="77777777" w:rsidR="00E04081" w:rsidRPr="00A219A8" w:rsidRDefault="00E04081" w:rsidP="00A219A8">
      <w:pPr>
        <w:pStyle w:val="JuHa0"/>
        <w:rPr>
          <w:rFonts w:eastAsiaTheme="majorEastAsia"/>
        </w:rPr>
      </w:pPr>
      <w:r>
        <w:t>Argumenty stron</w:t>
      </w:r>
    </w:p>
    <w:p w14:paraId="7330E617" w14:textId="15C1F4C2" w:rsidR="00E04081" w:rsidRPr="00A219A8" w:rsidRDefault="0070416B" w:rsidP="00A219A8">
      <w:pPr>
        <w:pStyle w:val="JuPara"/>
      </w:pPr>
      <w:r>
        <w:fldChar w:fldCharType="begin"/>
      </w:r>
      <w:r>
        <w:instrText xml:space="preserve"> SEQ level0 \*arabic </w:instrText>
      </w:r>
      <w:r>
        <w:fldChar w:fldCharType="separate"/>
      </w:r>
      <w:r w:rsidR="000D6DC4">
        <w:rPr>
          <w:noProof/>
        </w:rPr>
        <w:t>60</w:t>
      </w:r>
      <w:r>
        <w:rPr>
          <w:noProof/>
        </w:rPr>
        <w:fldChar w:fldCharType="end"/>
      </w:r>
      <w:r w:rsidR="00E04081">
        <w:t>.</w:t>
      </w:r>
      <w:r w:rsidR="00A418A3">
        <w:t xml:space="preserve"> </w:t>
      </w:r>
      <w:r w:rsidR="00886957">
        <w:t xml:space="preserve">Końcowo </w:t>
      </w:r>
      <w:r w:rsidR="00E04081">
        <w:t>Rząd podniósł  zarzut niedopuszczalności związany z</w:t>
      </w:r>
      <w:r w:rsidR="00AD740D">
        <w:t> </w:t>
      </w:r>
      <w:r w:rsidR="00E04081">
        <w:t xml:space="preserve">niezachowaniem sześciomiesięcznego terminu. Uważa bowiem, że uszczerbek, który zarzucają skarżący, wynika nie z odmowy wykonania ENA z 2015 r., lecz z odmownej decyzji </w:t>
      </w:r>
      <w:r w:rsidR="00886957">
        <w:t xml:space="preserve">Wydziału </w:t>
      </w:r>
      <w:r w:rsidR="00E04081">
        <w:t xml:space="preserve">oskarżeń z dnia 31 października 2013 r., potwierdzonej przez Sąd </w:t>
      </w:r>
      <w:r w:rsidR="00886957">
        <w:t>K</w:t>
      </w:r>
      <w:r w:rsidR="00E04081">
        <w:t xml:space="preserve">asacyjny w dniu 19 listopada 2013 r., w zakresie wykonania ENA z lat 2004 i 2005. Zarzuca on zatem skarżącym, że nie zaskarżyli tej pierwszej decyzji odmownej przed Trybunałem. Rzeczywiście w dniu 14 lipca 2016 r. </w:t>
      </w:r>
      <w:r w:rsidR="00ED6C50">
        <w:t xml:space="preserve">Wydział </w:t>
      </w:r>
      <w:r w:rsidR="00E04081">
        <w:t>oskarżeń uznał, że ENA z 2015 r. nie zawierał żadnych nowych elementów w porównaniu z</w:t>
      </w:r>
      <w:r w:rsidR="003E3146">
        <w:t> </w:t>
      </w:r>
      <w:r w:rsidR="00E04081">
        <w:t>ENA z lat 2004 i 2005.</w:t>
      </w:r>
      <w:r w:rsidR="00ED6C50">
        <w:t xml:space="preserve"> </w:t>
      </w:r>
    </w:p>
    <w:p w14:paraId="35F7EBE1" w14:textId="01196F85" w:rsidR="00E04081" w:rsidRPr="00A219A8" w:rsidRDefault="0070416B" w:rsidP="00A219A8">
      <w:pPr>
        <w:pStyle w:val="JuPara"/>
      </w:pPr>
      <w:r>
        <w:fldChar w:fldCharType="begin"/>
      </w:r>
      <w:r>
        <w:instrText xml:space="preserve"> SEQ level0 \*arabic </w:instrText>
      </w:r>
      <w:r>
        <w:fldChar w:fldCharType="separate"/>
      </w:r>
      <w:r w:rsidR="000D6DC4">
        <w:rPr>
          <w:noProof/>
        </w:rPr>
        <w:t>61</w:t>
      </w:r>
      <w:r>
        <w:rPr>
          <w:noProof/>
        </w:rPr>
        <w:fldChar w:fldCharType="end"/>
      </w:r>
      <w:r w:rsidR="00E04081">
        <w:t>.</w:t>
      </w:r>
      <w:r w:rsidR="00A418A3">
        <w:t xml:space="preserve"> </w:t>
      </w:r>
      <w:r w:rsidR="00E04081">
        <w:t xml:space="preserve">Skarżący podnoszą, że informacje o działaniach następczych przeprowadzonych przez CPT, o których mowa w ENA wydanym w dniu 8 maja 2015 r., wyjaśniły sytuację panującą w hiszpańskich zakładach karnych i warunki przetrzymywania w areszcie wobec osób podejrzanych o działalność terrorystyczną i skłoniły hiszpańskie władze sądowe do wydania nowego ENA, którego odmowa wykonania przyczyniła się do kolejnego sześciomiesięcznego opóźnienia. W związku z tym skarżący uważają, że termin ten rozpoczął bieg w dniu 27 lipca 2016 r., czyli w dniu wydania ostatniego wyroku przez Sąd </w:t>
      </w:r>
      <w:r w:rsidR="00C852A7">
        <w:t>K</w:t>
      </w:r>
      <w:r w:rsidR="00E04081">
        <w:t>asacyjny, który zakończył postępowanie krajowe.</w:t>
      </w:r>
    </w:p>
    <w:p w14:paraId="0320E365" w14:textId="77777777" w:rsidR="00E04081" w:rsidRPr="00A219A8" w:rsidRDefault="00E04081" w:rsidP="00A219A8">
      <w:pPr>
        <w:pStyle w:val="JuHa0"/>
        <w:rPr>
          <w:rFonts w:eastAsiaTheme="majorEastAsia"/>
        </w:rPr>
      </w:pPr>
      <w:r>
        <w:t>Ocena Trybunału</w:t>
      </w:r>
    </w:p>
    <w:p w14:paraId="1FC04633" w14:textId="2A97642B" w:rsidR="00E04081" w:rsidRPr="00A219A8" w:rsidRDefault="0070416B" w:rsidP="00A219A8">
      <w:pPr>
        <w:pStyle w:val="JuPara"/>
      </w:pPr>
      <w:r>
        <w:fldChar w:fldCharType="begin"/>
      </w:r>
      <w:r>
        <w:instrText xml:space="preserve"> SEQ level0 \*arabic </w:instrText>
      </w:r>
      <w:r>
        <w:fldChar w:fldCharType="separate"/>
      </w:r>
      <w:r w:rsidR="000D6DC4">
        <w:rPr>
          <w:noProof/>
        </w:rPr>
        <w:t>62</w:t>
      </w:r>
      <w:r>
        <w:rPr>
          <w:noProof/>
        </w:rPr>
        <w:fldChar w:fldCharType="end"/>
      </w:r>
      <w:r w:rsidR="00E04081">
        <w:t>.</w:t>
      </w:r>
      <w:r w:rsidR="00A418A3">
        <w:t xml:space="preserve"> </w:t>
      </w:r>
      <w:r w:rsidR="00E04081">
        <w:t xml:space="preserve">W niniejszej sprawie Trybunał zauważa, że chociaż pierwsze postępowanie w sprawie przekazania zakończyło się wyrokiem Sądu kasacyjnego z dnia 19 listopada 2013 r., to Rząd nie przedstawił żadnych dowodów świadczących o tym, że skarżący, którzy nie byli stronami tego postępowania, byli w tym czasie świadomi jego przebiegu. Dopiero gdy skarżący zwrócili się do </w:t>
      </w:r>
      <w:r w:rsidR="00ED6C50">
        <w:t>P</w:t>
      </w:r>
      <w:r w:rsidR="00E04081">
        <w:t xml:space="preserve">ierwszego </w:t>
      </w:r>
      <w:r w:rsidR="00ED6C50">
        <w:t>P</w:t>
      </w:r>
      <w:r w:rsidR="00E04081">
        <w:t xml:space="preserve">rezesa Sądu </w:t>
      </w:r>
      <w:r w:rsidR="00ED6C50">
        <w:t>K</w:t>
      </w:r>
      <w:r w:rsidR="00E04081">
        <w:t>asacyjnego w dniu 17 listopada 2014 r. (zob. paragraf </w:t>
      </w:r>
      <w:r w:rsidR="008E0C4F">
        <w:fldChar w:fldCharType="begin"/>
      </w:r>
      <w:r w:rsidR="008E0C4F">
        <w:instrText xml:space="preserve"> REF presidentcass \h  \* MERGEFORMAT </w:instrText>
      </w:r>
      <w:r w:rsidR="008E0C4F">
        <w:fldChar w:fldCharType="separate"/>
      </w:r>
      <w:r w:rsidR="000D6DC4">
        <w:t>16</w:t>
      </w:r>
      <w:r w:rsidR="008E0C4F">
        <w:fldChar w:fldCharType="end"/>
      </w:r>
      <w:r w:rsidR="00E04081">
        <w:t xml:space="preserve"> powyżej), można z całą pewnością uznać, że wiedzieli o decyzji odmownej władz belgijskich. Tymczasem w</w:t>
      </w:r>
      <w:r w:rsidR="00B93AFE">
        <w:t> </w:t>
      </w:r>
      <w:r w:rsidR="00E04081">
        <w:t xml:space="preserve">dniu 8 </w:t>
      </w:r>
      <w:r w:rsidR="00E04081">
        <w:lastRenderedPageBreak/>
        <w:t xml:space="preserve">maja 2015 r., tj. w ciągu sześciu miesięcy od tego kontaktu, sędzia hiszpański wydał kolejny ENA </w:t>
      </w:r>
      <w:r w:rsidR="00712E3E">
        <w:t xml:space="preserve">w </w:t>
      </w:r>
      <w:r w:rsidR="00E04081">
        <w:t>oparci</w:t>
      </w:r>
      <w:r w:rsidR="00712E3E">
        <w:t xml:space="preserve">u </w:t>
      </w:r>
      <w:r w:rsidR="00E04081">
        <w:t xml:space="preserve"> </w:t>
      </w:r>
      <w:r w:rsidR="00712E3E">
        <w:t xml:space="preserve">o </w:t>
      </w:r>
      <w:r w:rsidR="00E04081">
        <w:t>now</w:t>
      </w:r>
      <w:r w:rsidR="00712E3E">
        <w:t xml:space="preserve">e </w:t>
      </w:r>
      <w:r w:rsidR="00E04081">
        <w:t>dowod</w:t>
      </w:r>
      <w:r w:rsidR="00712E3E">
        <w:t xml:space="preserve">y </w:t>
      </w:r>
      <w:r w:rsidR="00E04081">
        <w:t>(zob. paragraf </w:t>
      </w:r>
      <w:r w:rsidR="008E0C4F">
        <w:fldChar w:fldCharType="begin"/>
      </w:r>
      <w:r w:rsidR="008E0C4F">
        <w:instrText xml:space="preserve"> REF nouveauMAE \h  \* MERGEFORMAT </w:instrText>
      </w:r>
      <w:r w:rsidR="008E0C4F">
        <w:fldChar w:fldCharType="separate"/>
      </w:r>
      <w:r w:rsidR="000D6DC4">
        <w:t>17</w:t>
      </w:r>
      <w:r w:rsidR="008E0C4F">
        <w:fldChar w:fldCharType="end"/>
      </w:r>
      <w:r w:rsidR="00E04081">
        <w:t xml:space="preserve"> powyżej). Następnie prowadzono nowe postępowanie w</w:t>
      </w:r>
      <w:r w:rsidR="00B93AFE">
        <w:t> </w:t>
      </w:r>
      <w:r w:rsidR="00E04081">
        <w:t xml:space="preserve">sprawie wykonania ENA, które zakończyło się orzeczeniem Sądu </w:t>
      </w:r>
      <w:r w:rsidR="002100D7">
        <w:t>K</w:t>
      </w:r>
      <w:r w:rsidR="00E04081">
        <w:t>asacyjnego z dnia 27 lipca 2016 r.</w:t>
      </w:r>
    </w:p>
    <w:p w14:paraId="2E51E853" w14:textId="371309D8" w:rsidR="00E04081" w:rsidRPr="00A219A8" w:rsidRDefault="0070416B" w:rsidP="00A219A8">
      <w:pPr>
        <w:pStyle w:val="JuPara"/>
      </w:pPr>
      <w:r>
        <w:fldChar w:fldCharType="begin"/>
      </w:r>
      <w:r>
        <w:instrText xml:space="preserve"> SEQ level0 \*arabic </w:instrText>
      </w:r>
      <w:r>
        <w:fldChar w:fldCharType="separate"/>
      </w:r>
      <w:r w:rsidR="000D6DC4">
        <w:rPr>
          <w:noProof/>
        </w:rPr>
        <w:t>63</w:t>
      </w:r>
      <w:r>
        <w:rPr>
          <w:noProof/>
        </w:rPr>
        <w:fldChar w:fldCharType="end"/>
      </w:r>
      <w:r w:rsidR="00E04081">
        <w:t>.</w:t>
      </w:r>
      <w:r w:rsidR="00A418A3">
        <w:t xml:space="preserve"> </w:t>
      </w:r>
      <w:r w:rsidR="00E04081">
        <w:t>Przypominając, że art. 35 ust. 1 Konwencji nie należy interpretować w taki sposób, aby wymagać od skarżącego skierowania skargi do Trybunału przed ostatecznym rozstrzygnięciem sytuacji dotyczącej spornej kwestii na poziomie krajowym, Trybunał uznaje, że sześciomiesięczny termin w niniejszej sprawie rozpoczął bieg w dniu 27 lipca 2016 r.</w:t>
      </w:r>
    </w:p>
    <w:p w14:paraId="174A81CF" w14:textId="706D8313" w:rsidR="00E04081" w:rsidRPr="00A219A8" w:rsidRDefault="0070416B" w:rsidP="00A219A8">
      <w:pPr>
        <w:pStyle w:val="JuPara"/>
      </w:pPr>
      <w:r>
        <w:fldChar w:fldCharType="begin"/>
      </w:r>
      <w:r>
        <w:instrText xml:space="preserve"> SEQ level0 \*arabic </w:instrText>
      </w:r>
      <w:r>
        <w:fldChar w:fldCharType="separate"/>
      </w:r>
      <w:r w:rsidR="000D6DC4">
        <w:rPr>
          <w:noProof/>
        </w:rPr>
        <w:t>64</w:t>
      </w:r>
      <w:r>
        <w:rPr>
          <w:noProof/>
        </w:rPr>
        <w:fldChar w:fldCharType="end"/>
      </w:r>
      <w:r w:rsidR="00E04081">
        <w:t>.</w:t>
      </w:r>
      <w:r w:rsidR="00A418A3">
        <w:t xml:space="preserve"> </w:t>
      </w:r>
      <w:r w:rsidR="00E04081">
        <w:t>W świetle powyższego Trybunał stwierdza, że zarzut Rządu dotyczący opóźnienia w złożeniu skargi podlega odrzuceniu.</w:t>
      </w:r>
    </w:p>
    <w:p w14:paraId="2062AAE2" w14:textId="77777777" w:rsidR="00E04081" w:rsidRPr="00A219A8" w:rsidRDefault="00E04081" w:rsidP="00A219A8">
      <w:pPr>
        <w:pStyle w:val="JuH1"/>
        <w:rPr>
          <w:rFonts w:eastAsiaTheme="majorEastAsia"/>
        </w:rPr>
      </w:pPr>
      <w:r>
        <w:t>W przedmiocie dopuszczalności</w:t>
      </w:r>
    </w:p>
    <w:p w14:paraId="04425AED" w14:textId="344A676A" w:rsidR="00E04081" w:rsidRPr="00A219A8" w:rsidRDefault="0070416B" w:rsidP="00A219A8">
      <w:pPr>
        <w:pStyle w:val="JuPara"/>
      </w:pPr>
      <w:r>
        <w:fldChar w:fldCharType="begin"/>
      </w:r>
      <w:r>
        <w:instrText xml:space="preserve"> SEQ level0 \*arabic </w:instrText>
      </w:r>
      <w:r>
        <w:fldChar w:fldCharType="separate"/>
      </w:r>
      <w:r w:rsidR="000D6DC4">
        <w:rPr>
          <w:noProof/>
        </w:rPr>
        <w:t>65</w:t>
      </w:r>
      <w:r>
        <w:rPr>
          <w:noProof/>
        </w:rPr>
        <w:fldChar w:fldCharType="end"/>
      </w:r>
      <w:r w:rsidR="00E04081">
        <w:t>.</w:t>
      </w:r>
      <w:r w:rsidR="00A418A3">
        <w:t xml:space="preserve"> </w:t>
      </w:r>
      <w:r w:rsidR="00E04081">
        <w:t>Trybunał uznaje, że skarga nie jest w sposób oczywisty nieuzasadniona w rozumieniu art. 35 ust. 3 Konwencji. Ponieważ nie stwierdzono żadnych innych podstaw niedopuszczalności, skargę należy uznać za dopuszczalną.</w:t>
      </w:r>
    </w:p>
    <w:p w14:paraId="00A6D9C5" w14:textId="77777777" w:rsidR="00E04081" w:rsidRPr="00A219A8" w:rsidRDefault="00E04081" w:rsidP="00A219A8">
      <w:pPr>
        <w:pStyle w:val="JuHA"/>
        <w:rPr>
          <w:rFonts w:eastAsiaTheme="majorEastAsia"/>
        </w:rPr>
      </w:pPr>
      <w:r>
        <w:t>Przedmiot skargi</w:t>
      </w:r>
    </w:p>
    <w:p w14:paraId="1BFCF95D" w14:textId="77777777" w:rsidR="00E04081" w:rsidRPr="00A219A8" w:rsidRDefault="00E04081" w:rsidP="00A219A8">
      <w:pPr>
        <w:pStyle w:val="JuH1"/>
        <w:rPr>
          <w:rFonts w:eastAsiaTheme="majorEastAsia"/>
        </w:rPr>
      </w:pPr>
      <w:r>
        <w:t>Argumenty stron</w:t>
      </w:r>
    </w:p>
    <w:p w14:paraId="52F7315D" w14:textId="77777777" w:rsidR="00E04081" w:rsidRPr="00A219A8" w:rsidRDefault="00E04081" w:rsidP="00A219A8">
      <w:pPr>
        <w:pStyle w:val="JuHa0"/>
        <w:rPr>
          <w:rFonts w:eastAsiaTheme="majorEastAsia"/>
        </w:rPr>
      </w:pPr>
      <w:r>
        <w:t>Skarżący</w:t>
      </w:r>
    </w:p>
    <w:p w14:paraId="702D9430" w14:textId="4D4DEEEF" w:rsidR="00E04081" w:rsidRPr="00A219A8" w:rsidRDefault="0070416B" w:rsidP="00A219A8">
      <w:pPr>
        <w:pStyle w:val="JuPara"/>
      </w:pPr>
      <w:r>
        <w:fldChar w:fldCharType="begin"/>
      </w:r>
      <w:r>
        <w:instrText xml:space="preserve"> SEQ level0 \*arabic </w:instrText>
      </w:r>
      <w:r>
        <w:fldChar w:fldCharType="separate"/>
      </w:r>
      <w:r w:rsidR="000D6DC4">
        <w:rPr>
          <w:noProof/>
        </w:rPr>
        <w:t>66</w:t>
      </w:r>
      <w:r>
        <w:rPr>
          <w:noProof/>
        </w:rPr>
        <w:fldChar w:fldCharType="end"/>
      </w:r>
      <w:r w:rsidR="00E04081">
        <w:t>.</w:t>
      </w:r>
      <w:r w:rsidR="00A418A3">
        <w:t xml:space="preserve"> </w:t>
      </w:r>
      <w:r w:rsidR="00E04081">
        <w:t>Skarżący podnieśli, że odmowa wykonania przez państwo belgijskie ENA wydanych przez władze hiszpańskie w stosunku do domniemanego sprawcy zabójstwa ich ojca była bezzasadna i w sposób oczywisty nieuzasadniona, a zatem naruszała art. 2 Konwencji w aspekcie proceduralnym. Uniemożliwia ona, na podstawie arbitralnej oceny jednego z wyjątków od wykonania ENA, osądzenie domniemanego sprawcy zabójstwa ich ojca.</w:t>
      </w:r>
    </w:p>
    <w:p w14:paraId="1F9ADE0A" w14:textId="0C4A65A1" w:rsidR="00E04081" w:rsidRPr="00A219A8" w:rsidRDefault="0070416B" w:rsidP="00A219A8">
      <w:pPr>
        <w:pStyle w:val="JuPara"/>
      </w:pPr>
      <w:r>
        <w:fldChar w:fldCharType="begin"/>
      </w:r>
      <w:r>
        <w:instrText xml:space="preserve"> SEQ level0 \*arabic </w:instrText>
      </w:r>
      <w:r>
        <w:fldChar w:fldCharType="separate"/>
      </w:r>
      <w:r w:rsidR="000D6DC4">
        <w:rPr>
          <w:noProof/>
        </w:rPr>
        <w:t>67</w:t>
      </w:r>
      <w:r>
        <w:rPr>
          <w:noProof/>
        </w:rPr>
        <w:fldChar w:fldCharType="end"/>
      </w:r>
      <w:r w:rsidR="00E04081">
        <w:t>.</w:t>
      </w:r>
      <w:r w:rsidR="00A418A3">
        <w:t xml:space="preserve"> </w:t>
      </w:r>
      <w:r w:rsidR="00E04081">
        <w:t>Skarżący uważają, że nawet jeżeli sądy belgijskie były w stanie stwierdzić istnienie ryzyka naruszenia praw podstawowych N.J.E., to nie powinny były odmówić jej przekazania wyłącznie na tej podstawie. Sądy belgijskie były zobowiązane do zindywidualizowania przedmiotowego zarzutu ryzyka poprzez zbadanie konkretnego i szczególnego wpływu, jaki przekazanie mogło potencjalnie mieć na N.J.E. W tym celu powinny one były zażądać od władz hiszpańskich więcej informacji na temat warunków osadzenia w areszcie, które zastosowano wobec N.J.E. Pozwoliłoby to Hiszpanii, jako państwu wydającemu ENA, na zapewnienie, że N.J.E. nie będzie poddawana nieludzkiemu lub poniżającemu traktowaniu.</w:t>
      </w:r>
    </w:p>
    <w:p w14:paraId="1344EEFE" w14:textId="402CB084" w:rsidR="00E04081" w:rsidRPr="00A219A8" w:rsidRDefault="0070416B" w:rsidP="00A219A8">
      <w:pPr>
        <w:pStyle w:val="JuPara"/>
      </w:pPr>
      <w:r>
        <w:fldChar w:fldCharType="begin"/>
      </w:r>
      <w:r>
        <w:instrText xml:space="preserve"> SEQ level0 \*arabic </w:instrText>
      </w:r>
      <w:r>
        <w:fldChar w:fldCharType="separate"/>
      </w:r>
      <w:r w:rsidR="000D6DC4">
        <w:rPr>
          <w:noProof/>
        </w:rPr>
        <w:t>68</w:t>
      </w:r>
      <w:r>
        <w:rPr>
          <w:noProof/>
        </w:rPr>
        <w:fldChar w:fldCharType="end"/>
      </w:r>
      <w:r w:rsidR="00E04081">
        <w:t>.</w:t>
      </w:r>
      <w:r w:rsidR="00A418A3">
        <w:t xml:space="preserve"> </w:t>
      </w:r>
      <w:r w:rsidR="00E04081">
        <w:t xml:space="preserve">W odniesieniu do uzasadnienia przytoczonego przez sądy belgijskie, skarżący uważają, że jest ono podyktowane względami politycznymi (a nie prawnymi) i </w:t>
      </w:r>
      <w:r w:rsidR="00D02639">
        <w:t xml:space="preserve">jest </w:t>
      </w:r>
      <w:r w:rsidR="00E04081">
        <w:t>błędne. W drugim postępowaniu o</w:t>
      </w:r>
      <w:r w:rsidR="00F10D04">
        <w:t> </w:t>
      </w:r>
      <w:r w:rsidR="00E04081">
        <w:t xml:space="preserve">przekazanie sądy belgijskie ograniczyły się do ponownego przytoczenia argumentacji </w:t>
      </w:r>
      <w:r w:rsidR="00E04081">
        <w:lastRenderedPageBreak/>
        <w:t xml:space="preserve">przedstawionej przez </w:t>
      </w:r>
      <w:r w:rsidR="0047310F">
        <w:t xml:space="preserve">Wydział </w:t>
      </w:r>
      <w:r w:rsidR="00E04081">
        <w:t>oskarżeń w Gandawie w</w:t>
      </w:r>
      <w:r w:rsidR="00F10D04">
        <w:t> </w:t>
      </w:r>
      <w:r w:rsidR="00E04081">
        <w:t>postanowieniu z dnia 31 października 2013 r., p</w:t>
      </w:r>
      <w:r w:rsidR="00482B12">
        <w:t xml:space="preserve">owtarzając </w:t>
      </w:r>
      <w:r w:rsidR="00E04081">
        <w:t xml:space="preserve"> tym samym „fałszywą, błędną i chybioną” </w:t>
      </w:r>
      <w:r w:rsidR="00482B12">
        <w:t xml:space="preserve">historię </w:t>
      </w:r>
      <w:r w:rsidR="00E04081">
        <w:t>Hiszpanii.</w:t>
      </w:r>
    </w:p>
    <w:p w14:paraId="56913314" w14:textId="0D7CA14E" w:rsidR="00E04081" w:rsidRPr="00A219A8" w:rsidRDefault="0070416B" w:rsidP="00A219A8">
      <w:pPr>
        <w:pStyle w:val="JuPara"/>
      </w:pPr>
      <w:r>
        <w:fldChar w:fldCharType="begin"/>
      </w:r>
      <w:r>
        <w:instrText xml:space="preserve"> SEQ level0 \*arabic </w:instrText>
      </w:r>
      <w:r>
        <w:fldChar w:fldCharType="separate"/>
      </w:r>
      <w:r w:rsidR="000D6DC4">
        <w:rPr>
          <w:noProof/>
        </w:rPr>
        <w:t>69</w:t>
      </w:r>
      <w:r>
        <w:rPr>
          <w:noProof/>
        </w:rPr>
        <w:fldChar w:fldCharType="end"/>
      </w:r>
      <w:r w:rsidR="00E04081">
        <w:t>.</w:t>
      </w:r>
      <w:r w:rsidR="00A418A3">
        <w:t xml:space="preserve"> </w:t>
      </w:r>
      <w:r w:rsidR="00E04081">
        <w:t xml:space="preserve">W odróżnieniu od sprawy </w:t>
      </w:r>
      <w:r w:rsidR="00E04081">
        <w:rPr>
          <w:i/>
        </w:rPr>
        <w:t>M.S.S. przeciwko Belgii i Grecji</w:t>
      </w:r>
      <w:r w:rsidR="00E04081">
        <w:t xml:space="preserve"> ([WI] (skarga nr 30696/09, ETPC</w:t>
      </w:r>
      <w:r w:rsidR="00780331">
        <w:t xml:space="preserve"> </w:t>
      </w:r>
      <w:r w:rsidR="00E04081">
        <w:t>z 2011</w:t>
      </w:r>
      <w:r w:rsidR="00780331">
        <w:t xml:space="preserve"> r.</w:t>
      </w:r>
      <w:r w:rsidR="00E04081">
        <w:t xml:space="preserve">), w niniejszej sprawie raporty międzynarodowe nie są wystarczające do obalenia domniemania poszanowania praw człowieka. Przytoczone uchybienia odnoszą się wyłącznie do warunków przetrzymywania w areszcie bez możliwości kontaktu, które nie ma zastosowania w przypadku przekazania, o które wnioskuje się dla celów postępowania sądowego, jak w niniejszej sprawie. Skarżący twierdzą, że z uwagi na czas, jaki upłynął od przedmiotowych wydarzeń oraz fakt, że „przesłanki prawne jego zastosowania” nie zostały spełnione (zob. paragraf </w:t>
      </w:r>
      <w:r w:rsidR="008E0C4F">
        <w:fldChar w:fldCharType="begin"/>
      </w:r>
      <w:r w:rsidR="008E0C4F">
        <w:instrText xml:space="preserve"> REF TiersPartieGouvEsp \h  \* MERGEFORMAT </w:instrText>
      </w:r>
      <w:r w:rsidR="008E0C4F">
        <w:fldChar w:fldCharType="separate"/>
      </w:r>
      <w:r w:rsidR="000D6DC4">
        <w:t>78</w:t>
      </w:r>
      <w:r w:rsidR="008E0C4F">
        <w:fldChar w:fldCharType="end"/>
      </w:r>
      <w:r w:rsidR="00E04081">
        <w:t xml:space="preserve"> poniżej), a także uwzględniając fakt, że pozostali członkowie </w:t>
      </w:r>
      <w:r w:rsidR="00482B12">
        <w:t xml:space="preserve">jednostki </w:t>
      </w:r>
      <w:r w:rsidR="00E04081">
        <w:t>komand</w:t>
      </w:r>
      <w:r w:rsidR="00482B12">
        <w:t xml:space="preserve">osów </w:t>
      </w:r>
      <w:r w:rsidR="00E04081">
        <w:t>zostali już skazani, reżim policyjnego przetrzymywania w izolacji nie będzie w żadnym wypadku miał zastosowania do N.J.E. Zostałaby ona niezwłocznie przekazana sądom. Skarżący zarzucają władzom belgijskim, że nie uzyskały tej informacji od władz hiszpańskich.</w:t>
      </w:r>
    </w:p>
    <w:bookmarkStart w:id="23" w:name="AUTRESMAE"/>
    <w:p w14:paraId="1B6177EF" w14:textId="0421E7CA"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70</w:t>
      </w:r>
      <w:r w:rsidRPr="00A219A8">
        <w:fldChar w:fldCharType="end"/>
      </w:r>
      <w:bookmarkEnd w:id="23"/>
      <w:r w:rsidR="00E04081">
        <w:t>.</w:t>
      </w:r>
      <w:r w:rsidR="00A418A3">
        <w:t xml:space="preserve"> </w:t>
      </w:r>
      <w:r w:rsidR="00E04081">
        <w:t xml:space="preserve">Wreszcie, powołując się na raport </w:t>
      </w:r>
      <w:r w:rsidR="00482B12">
        <w:t>S</w:t>
      </w:r>
      <w:r w:rsidR="00E04081">
        <w:t xml:space="preserve">ekretariatu </w:t>
      </w:r>
      <w:r w:rsidR="00482B12">
        <w:t>S</w:t>
      </w:r>
      <w:r w:rsidR="00E04081">
        <w:t xml:space="preserve">tanu ds. bezpieczeństwa hiszpańskiego </w:t>
      </w:r>
      <w:r w:rsidR="00482B12">
        <w:t>M</w:t>
      </w:r>
      <w:r w:rsidR="00E04081">
        <w:t xml:space="preserve">inisterstwa </w:t>
      </w:r>
      <w:r w:rsidR="00482B12">
        <w:t>S</w:t>
      </w:r>
      <w:r w:rsidR="00E04081">
        <w:t xml:space="preserve">praw </w:t>
      </w:r>
      <w:r w:rsidR="00482B12">
        <w:t>W</w:t>
      </w:r>
      <w:r w:rsidR="00E04081">
        <w:t xml:space="preserve">ewnętrznych, skarżący podnoszą, że w latach 2011-2017 ENA wydane przez hiszpańskie organy sądowe i dotyczące 70 osób powiązanych z organizacją terrorystyczną ETA zostały wykonane, przy czym państwa wykonujące ENA (w tym Francja, Zjednoczone Królestwo, Włochy) nie dostrzegły żadnego ryzyka naruszenia praw podstawowych wydanych osób. Ponadto z raportu wynika, że Belgia wykonała cztery ENA wydane przez </w:t>
      </w:r>
      <w:r w:rsidR="00482B12">
        <w:t xml:space="preserve">Sąd Karny i Administracyjny </w:t>
      </w:r>
      <w:r w:rsidR="00482B12" w:rsidRPr="0040015C">
        <w:rPr>
          <w:i/>
          <w:iCs/>
        </w:rPr>
        <w:t>(</w:t>
      </w:r>
      <w:proofErr w:type="spellStart"/>
      <w:r w:rsidR="00E04081">
        <w:rPr>
          <w:i/>
        </w:rPr>
        <w:t>Audiencia</w:t>
      </w:r>
      <w:proofErr w:type="spellEnd"/>
      <w:r w:rsidR="00780331">
        <w:rPr>
          <w:i/>
        </w:rPr>
        <w:t xml:space="preserve"> </w:t>
      </w:r>
      <w:proofErr w:type="spellStart"/>
      <w:r w:rsidR="00E04081">
        <w:rPr>
          <w:i/>
        </w:rPr>
        <w:t>Nacional</w:t>
      </w:r>
      <w:proofErr w:type="spellEnd"/>
      <w:r w:rsidR="00482B12">
        <w:rPr>
          <w:i/>
        </w:rPr>
        <w:t>)</w:t>
      </w:r>
      <w:r w:rsidR="00780331">
        <w:rPr>
          <w:i/>
        </w:rPr>
        <w:t xml:space="preserve"> </w:t>
      </w:r>
      <w:r w:rsidR="00E04081">
        <w:t>przeciwko domniemanym członkom ETA (w latach 2005, 2010 i 2011).</w:t>
      </w:r>
    </w:p>
    <w:p w14:paraId="0542D45C" w14:textId="77777777" w:rsidR="00E04081" w:rsidRPr="00A219A8" w:rsidRDefault="00153B5B" w:rsidP="00A219A8">
      <w:pPr>
        <w:pStyle w:val="JuHa0"/>
        <w:rPr>
          <w:rFonts w:eastAsiaTheme="majorEastAsia"/>
        </w:rPr>
      </w:pPr>
      <w:r>
        <w:t>Rząd belgijski</w:t>
      </w:r>
    </w:p>
    <w:p w14:paraId="6FD97A4D" w14:textId="35345EAD" w:rsidR="00E04081" w:rsidRPr="00A219A8" w:rsidRDefault="0070416B" w:rsidP="00A219A8">
      <w:pPr>
        <w:pStyle w:val="JuPara"/>
      </w:pPr>
      <w:r>
        <w:fldChar w:fldCharType="begin"/>
      </w:r>
      <w:r>
        <w:instrText xml:space="preserve"> SEQ level0 \*arabic </w:instrText>
      </w:r>
      <w:r>
        <w:fldChar w:fldCharType="separate"/>
      </w:r>
      <w:r w:rsidR="000D6DC4">
        <w:rPr>
          <w:noProof/>
        </w:rPr>
        <w:t>71</w:t>
      </w:r>
      <w:r>
        <w:rPr>
          <w:noProof/>
        </w:rPr>
        <w:fldChar w:fldCharType="end"/>
      </w:r>
      <w:r w:rsidR="00E04081">
        <w:t>.</w:t>
      </w:r>
      <w:r w:rsidR="00A418A3">
        <w:t xml:space="preserve"> </w:t>
      </w:r>
      <w:r w:rsidR="00E04081">
        <w:t>Rząd belgijski podkreśla, że obowiązki wynikające z art. 2 w jego aspekcie proceduralnym spoczywają przede wszystkim na państwie hiszpańskim. O ile prawdą jest, że Trybunał wskazał, iż w przypadku gdy zaangażowanych jest kilka państw, na pozostałych państwach również mogą spoczywać obowiązki wynikające z art. 2 Konwencji, w niniejszej sprawie należy uznać, że Belgia wywiązała się ze swoich obowiązków w</w:t>
      </w:r>
      <w:r w:rsidR="00780331">
        <w:t> </w:t>
      </w:r>
      <w:r w:rsidR="00E04081">
        <w:t>zakresie współpracy. Belgijskie organy sądowe dokonały zatrzymania N.J.E. Dopiero później, w trakcie postępowania przed sądami śledczymi, stało się jasne, że przekazanie było niemożliwe ze względu na realne ryzyko złego traktowania N.J.E. w hiszpańskich zakładach karnych. W związku z</w:t>
      </w:r>
      <w:r w:rsidR="00780331">
        <w:t> </w:t>
      </w:r>
      <w:r w:rsidR="00E04081">
        <w:t>tym, nawet jeśli władze belgijskie wyrażały wolę współpracy z Hiszpanią, to obowiązki wynikające z art. 3 Konwencji uniemożliwiały doprowadzenie do przekazania N.J.E. w ramach tej współpracy.</w:t>
      </w:r>
    </w:p>
    <w:p w14:paraId="0535D49C" w14:textId="481CD087" w:rsidR="00E04081" w:rsidRPr="00A219A8" w:rsidRDefault="0070416B" w:rsidP="00A219A8">
      <w:pPr>
        <w:pStyle w:val="JuPara"/>
      </w:pPr>
      <w:r>
        <w:lastRenderedPageBreak/>
        <w:fldChar w:fldCharType="begin"/>
      </w:r>
      <w:r>
        <w:instrText xml:space="preserve"> SEQ level0 \*arabic </w:instrText>
      </w:r>
      <w:r>
        <w:fldChar w:fldCharType="separate"/>
      </w:r>
      <w:r w:rsidR="000D6DC4">
        <w:rPr>
          <w:noProof/>
        </w:rPr>
        <w:t>72</w:t>
      </w:r>
      <w:r>
        <w:rPr>
          <w:noProof/>
        </w:rPr>
        <w:fldChar w:fldCharType="end"/>
      </w:r>
      <w:r w:rsidR="00E04081">
        <w:t>.</w:t>
      </w:r>
      <w:r w:rsidR="00A418A3">
        <w:t xml:space="preserve"> </w:t>
      </w:r>
      <w:r w:rsidR="00E04081">
        <w:t>W tym względzie Rząd podkreśla, że sytuacja, w jakiej znalazły się władze belgijskie, jest co najmniej niekomfortowa. Niezależnie bowiem od tego, jakiego wyboru dokonają władze belgijskie, ryzykują one naruszenie Konwencji. Sytuacja ta jest tym bardziej godna ubolewania, że Belgia nie jest odpowiedzialna za prowadzenie postępowania przygotowawczego w</w:t>
      </w:r>
      <w:r w:rsidR="00160084">
        <w:t> </w:t>
      </w:r>
      <w:r w:rsidR="00E04081">
        <w:t>Hiszpanii, ani za sytuację w hiszpańskich zakładach karnych, a w Belgii nie prowadzi się żadnego postępowania przygotowawczego.</w:t>
      </w:r>
    </w:p>
    <w:p w14:paraId="7D2A293A" w14:textId="1478A496" w:rsidR="00E04081" w:rsidRPr="00A219A8" w:rsidRDefault="0070416B" w:rsidP="00A219A8">
      <w:pPr>
        <w:pStyle w:val="JuPara"/>
      </w:pPr>
      <w:r>
        <w:fldChar w:fldCharType="begin"/>
      </w:r>
      <w:r>
        <w:instrText xml:space="preserve"> SEQ level0 \*arabic </w:instrText>
      </w:r>
      <w:r>
        <w:fldChar w:fldCharType="separate"/>
      </w:r>
      <w:r w:rsidR="000D6DC4">
        <w:rPr>
          <w:noProof/>
        </w:rPr>
        <w:t>73</w:t>
      </w:r>
      <w:r>
        <w:rPr>
          <w:noProof/>
        </w:rPr>
        <w:fldChar w:fldCharType="end"/>
      </w:r>
      <w:r w:rsidR="00E04081">
        <w:t>.</w:t>
      </w:r>
      <w:r w:rsidR="00A418A3">
        <w:t xml:space="preserve"> </w:t>
      </w:r>
      <w:r w:rsidR="00E04081">
        <w:t>W takiej sytuacji rolą Trybunału jest sprawdzenie, czy władze krajowe zachowały właściwą równowagę między przedmiotowymi prawami i czy uwzględniły wszystkie odpowiednie kwestie. W tym względzie, biorąc pod uwagę bezwzględny charakter art. 3, należy uznać za normalne, że belgijskie organy sądowe uprzywilejowały ochronę tego bezwzględnego prawa względem obowiązku współpracy wynikającym z proceduralnego aspektu art. 2.</w:t>
      </w:r>
    </w:p>
    <w:p w14:paraId="557C9DFD" w14:textId="734EC44A" w:rsidR="00E04081" w:rsidRPr="00A219A8" w:rsidRDefault="0070416B" w:rsidP="00A219A8">
      <w:pPr>
        <w:pStyle w:val="JuPara"/>
      </w:pPr>
      <w:r>
        <w:fldChar w:fldCharType="begin"/>
      </w:r>
      <w:r>
        <w:instrText xml:space="preserve"> SEQ level</w:instrText>
      </w:r>
      <w:r>
        <w:instrText xml:space="preserve">0 \*arabic </w:instrText>
      </w:r>
      <w:r>
        <w:fldChar w:fldCharType="separate"/>
      </w:r>
      <w:r w:rsidR="000D6DC4">
        <w:rPr>
          <w:noProof/>
        </w:rPr>
        <w:t>74</w:t>
      </w:r>
      <w:r>
        <w:rPr>
          <w:noProof/>
        </w:rPr>
        <w:fldChar w:fldCharType="end"/>
      </w:r>
      <w:r w:rsidR="00E04081">
        <w:t>.</w:t>
      </w:r>
      <w:r w:rsidR="00A418A3">
        <w:t xml:space="preserve"> </w:t>
      </w:r>
      <w:r w:rsidR="00E04081">
        <w:t>Rząd wskazuje również, że sądy belgijskie oparły się na raportach CPT i Komitetu Praw Człowieka ONZ. Z tego też względu nie można wywieść, że podejmowały one decyzje nierozważnie, arbitralnie i nie dysponując wiarygodnymi dowodami.</w:t>
      </w:r>
    </w:p>
    <w:p w14:paraId="28C5DFEF" w14:textId="6E6DC347" w:rsidR="00E04081" w:rsidRPr="00A219A8" w:rsidRDefault="0070416B" w:rsidP="00A219A8">
      <w:pPr>
        <w:pStyle w:val="JuPara"/>
      </w:pPr>
      <w:r>
        <w:fldChar w:fldCharType="begin"/>
      </w:r>
      <w:r>
        <w:instrText xml:space="preserve"> SEQ l</w:instrText>
      </w:r>
      <w:r>
        <w:instrText xml:space="preserve">evel0 \*arabic </w:instrText>
      </w:r>
      <w:r>
        <w:fldChar w:fldCharType="separate"/>
      </w:r>
      <w:r w:rsidR="000D6DC4">
        <w:rPr>
          <w:noProof/>
        </w:rPr>
        <w:t>75</w:t>
      </w:r>
      <w:r>
        <w:rPr>
          <w:noProof/>
        </w:rPr>
        <w:fldChar w:fldCharType="end"/>
      </w:r>
      <w:r w:rsidR="00E04081">
        <w:t>.</w:t>
      </w:r>
      <w:r w:rsidR="00A418A3">
        <w:t xml:space="preserve"> </w:t>
      </w:r>
      <w:r w:rsidR="00E04081">
        <w:t>Wreszcie Rząd twierdzi, że domniemanie ochrony praw człowieka, które przeważa w logice wzajemnego zaufania między państwami członkowskimi UE, a którego częścią jest ENA, nie jest „domniemaniem niemożliwym do obalenia”. Powołując się na motywy 12 i 13 decyzji ramowej w sprawie ENA, jak również na art. 4 ust. 5 belgijskiej ustawy o</w:t>
      </w:r>
      <w:r w:rsidR="00120EFF">
        <w:t> </w:t>
      </w:r>
      <w:r w:rsidR="00E04081">
        <w:t>ENA, Rząd twierdzi, że zasada wzajemnego zaufania nie może uchylać spoczywającego na państwach będących stronami Konwencji obowiązku zapewnienia, by wydalenie nie zagrażało podstawowym prawom danej osoby w państwie przyjmującym.</w:t>
      </w:r>
    </w:p>
    <w:p w14:paraId="4A2C9250" w14:textId="2A6BF07F" w:rsidR="00E04081" w:rsidRPr="00A219A8" w:rsidRDefault="0070416B" w:rsidP="00A219A8">
      <w:pPr>
        <w:pStyle w:val="JuPara"/>
      </w:pPr>
      <w:r>
        <w:fldChar w:fldCharType="begin"/>
      </w:r>
      <w:r>
        <w:instrText xml:space="preserve"> SEQ level0 \*arabic </w:instrText>
      </w:r>
      <w:r>
        <w:fldChar w:fldCharType="separate"/>
      </w:r>
      <w:r w:rsidR="000D6DC4">
        <w:rPr>
          <w:noProof/>
        </w:rPr>
        <w:t>76</w:t>
      </w:r>
      <w:r>
        <w:rPr>
          <w:noProof/>
        </w:rPr>
        <w:fldChar w:fldCharType="end"/>
      </w:r>
      <w:r w:rsidR="00E04081">
        <w:t>.</w:t>
      </w:r>
      <w:r w:rsidR="00A418A3">
        <w:t xml:space="preserve"> </w:t>
      </w:r>
      <w:r w:rsidR="00E04081">
        <w:t>Przypominając, że w niniejszej sprawie nikt nie kwestionował, że N.J.E. jest pochodzenia baskijskiego i była podejrzana o udział w</w:t>
      </w:r>
      <w:r w:rsidR="00B95F6F">
        <w:t> </w:t>
      </w:r>
      <w:r w:rsidR="00E04081">
        <w:t>działalności ETA, Rząd uznał, że w niniejszej sprawie zachodzą dwie przesłanki określone przez Trybunał w odniesieniu do art. 3 Konwencji – a mianowicie dostępność wiarygodnych raportów międzynarodowych wskazujących na istnienie przedmiotowych zagrożeń oraz fakt wykazania przez skarżącego przynależności do grupy, której dotyczyły środki rzekomo naruszające to postanowienie.</w:t>
      </w:r>
    </w:p>
    <w:p w14:paraId="2AF5F3A3" w14:textId="09F611E8" w:rsidR="00E04081" w:rsidRPr="00A219A8" w:rsidRDefault="0070416B" w:rsidP="00A219A8">
      <w:pPr>
        <w:pStyle w:val="JuPara"/>
        <w:rPr>
          <w:i/>
        </w:rPr>
      </w:pPr>
      <w:r>
        <w:fldChar w:fldCharType="begin"/>
      </w:r>
      <w:r>
        <w:instrText xml:space="preserve"> SEQ level0 \*arabic </w:instrText>
      </w:r>
      <w:r>
        <w:fldChar w:fldCharType="separate"/>
      </w:r>
      <w:r w:rsidR="000D6DC4">
        <w:rPr>
          <w:noProof/>
        </w:rPr>
        <w:t>77</w:t>
      </w:r>
      <w:r>
        <w:rPr>
          <w:noProof/>
        </w:rPr>
        <w:fldChar w:fldCharType="end"/>
      </w:r>
      <w:r w:rsidR="00E04081">
        <w:t>.</w:t>
      </w:r>
      <w:r w:rsidR="00A418A3">
        <w:t xml:space="preserve"> </w:t>
      </w:r>
      <w:r w:rsidR="00E04081">
        <w:t>Rząd stwierdził, że biorąc pod uwagę informacje, którymi dysponowały sądy belgijskie w chwili podejmowania decyzji oraz w świetle zobowiązań wynikających z art. 3 Konwencji, działały one w pełnej zgodności ze zobowiązaniami traktatowymi Belgii i nie można im zarzucić naruszenia art. 2 Konwencji.</w:t>
      </w:r>
    </w:p>
    <w:p w14:paraId="38906F42" w14:textId="77777777" w:rsidR="00E04081" w:rsidRPr="00A219A8" w:rsidRDefault="00E04081" w:rsidP="00A219A8">
      <w:pPr>
        <w:pStyle w:val="JuHa0"/>
        <w:rPr>
          <w:rFonts w:eastAsiaTheme="majorEastAsia"/>
        </w:rPr>
      </w:pPr>
      <w:r>
        <w:t>Uwagi interweniujących stron trzecich</w:t>
      </w:r>
    </w:p>
    <w:bookmarkStart w:id="24" w:name="TiersPartieGouvEsp"/>
    <w:p w14:paraId="180915EA" w14:textId="6913BA6E"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78</w:t>
      </w:r>
      <w:r w:rsidRPr="00A219A8">
        <w:fldChar w:fldCharType="end"/>
      </w:r>
      <w:bookmarkEnd w:id="24"/>
      <w:r w:rsidR="00E04081">
        <w:t>.</w:t>
      </w:r>
      <w:r w:rsidR="00A418A3">
        <w:t xml:space="preserve"> </w:t>
      </w:r>
      <w:r w:rsidR="00E04081">
        <w:t xml:space="preserve">Rząd hiszpański podkreśla, że odmowa wykonania ENA przez władze belgijskie opiera się na ogólnych i fałszywych przesłankach, a nie na </w:t>
      </w:r>
      <w:r w:rsidR="00E04081">
        <w:lastRenderedPageBreak/>
        <w:t>jakiejkolwiek konkretnej okoliczności mającej zastosowanie do osoby poszukiwanej. W szczególności twierdzi on, na podstawie raportu dotyczącego hiszpańskich przepisów regulujących przetrzymywanie w</w:t>
      </w:r>
      <w:r w:rsidR="00827609">
        <w:t> </w:t>
      </w:r>
      <w:r w:rsidR="00E04081">
        <w:t>izolacji, przytoczonego w ENA, że</w:t>
      </w:r>
      <w:r w:rsidR="00827609">
        <w:t xml:space="preserve"> </w:t>
      </w:r>
      <w:r w:rsidR="00E04081">
        <w:t>przepisy te nie mają zastosowania do N.J.E. Ten instrument prawny obowiązuje bowiem jedynie w ciągu pięciu dni od pierwszego zatrzymania domniemanego terrorysty, aby uniknąć utraty dowodów lub zwiększenia szkód wyrządzonych ofiarom lub zapobieżenia innym atakom. Ponadto Hiszpania jest państwem o dojrzałej demokracji, która funkcjonuje w niej od niemal 40 lat, posiadającą jedną z</w:t>
      </w:r>
      <w:r w:rsidR="00AB57A9">
        <w:t> </w:t>
      </w:r>
      <w:r w:rsidR="00E04081">
        <w:t>najbardziej wypracowanych konstytucji w zakresie obrony praw człowieka, a także jest państwem, które relatywnie najmniej spraw kieruje do Trybunału. Opierając się na orzecznictwie Trybunału, rząd hiszpański stwierdził, że nie istniało poważne lub realne ryzyko, że względem N.J.E. doszłoby do naruszenia art. 3 wskutek pociągnięcia jej do odpowiedzialności karnej w Hiszpanii.</w:t>
      </w:r>
    </w:p>
    <w:p w14:paraId="2F9A6ACE" w14:textId="77777777" w:rsidR="00E04081" w:rsidRPr="00A219A8" w:rsidRDefault="00E04081" w:rsidP="00A219A8">
      <w:pPr>
        <w:pStyle w:val="JuH1"/>
        <w:rPr>
          <w:rFonts w:eastAsiaTheme="majorEastAsia"/>
        </w:rPr>
      </w:pPr>
      <w:r>
        <w:t>Ocena Trybunału</w:t>
      </w:r>
    </w:p>
    <w:bookmarkStart w:id="25" w:name="JuridicitionConclusion"/>
    <w:p w14:paraId="52002E89" w14:textId="74787443" w:rsidR="00E04081" w:rsidRPr="00A219A8" w:rsidRDefault="000F375F" w:rsidP="00A219A8">
      <w:pPr>
        <w:pStyle w:val="JuPara"/>
      </w:pPr>
      <w:r w:rsidRPr="00A219A8">
        <w:fldChar w:fldCharType="begin"/>
      </w:r>
      <w:r w:rsidR="00E04081" w:rsidRPr="00A219A8">
        <w:instrText xml:space="preserve"> SEQ level0 \*arabic </w:instrText>
      </w:r>
      <w:r w:rsidRPr="00A219A8">
        <w:fldChar w:fldCharType="separate"/>
      </w:r>
      <w:r w:rsidR="000D6DC4">
        <w:rPr>
          <w:noProof/>
        </w:rPr>
        <w:t>79</w:t>
      </w:r>
      <w:r w:rsidRPr="00A219A8">
        <w:fldChar w:fldCharType="end"/>
      </w:r>
      <w:bookmarkEnd w:id="25"/>
      <w:r w:rsidR="00E04081">
        <w:t>.</w:t>
      </w:r>
      <w:r w:rsidR="00A418A3">
        <w:t xml:space="preserve"> </w:t>
      </w:r>
      <w:r w:rsidR="00E04081">
        <w:t>Stwierdziwszy</w:t>
      </w:r>
      <w:r w:rsidR="00E81130">
        <w:t xml:space="preserve"> uprzednio</w:t>
      </w:r>
      <w:r w:rsidR="00E04081">
        <w:t xml:space="preserve">, że skarżący podlegają jurysdykcji Belgii, Trybunał musi w następnej kolejności ustalić zakres i stopień proceduralnego obowiązku współpracy ze strony Belgii w okolicznościach niniejszej sprawy (zob. paragrafy </w:t>
      </w:r>
      <w:r w:rsidR="008E0C4F">
        <w:fldChar w:fldCharType="begin"/>
      </w:r>
      <w:r w:rsidR="008E0C4F">
        <w:instrText xml:space="preserve"> REF Juridiction1 \h  \* MERGEFORMAT </w:instrText>
      </w:r>
      <w:r w:rsidR="008E0C4F">
        <w:fldChar w:fldCharType="separate"/>
      </w:r>
      <w:r w:rsidR="000D6DC4">
        <w:t>42</w:t>
      </w:r>
      <w:r w:rsidR="008E0C4F">
        <w:fldChar w:fldCharType="end"/>
      </w:r>
      <w:r w:rsidR="00E04081">
        <w:t>-</w:t>
      </w:r>
      <w:r w:rsidR="008E0C4F">
        <w:fldChar w:fldCharType="begin"/>
      </w:r>
      <w:r w:rsidR="008E0C4F">
        <w:instrText xml:space="preserve"> REF Juridiction2 \h  \* MERGEFORMAT </w:instrText>
      </w:r>
      <w:r w:rsidR="008E0C4F">
        <w:fldChar w:fldCharType="separate"/>
      </w:r>
      <w:r w:rsidR="000D6DC4">
        <w:t>43</w:t>
      </w:r>
      <w:r w:rsidR="008E0C4F">
        <w:fldChar w:fldCharType="end"/>
      </w:r>
      <w:r w:rsidR="00E04081">
        <w:t xml:space="preserve"> powyżej). Następnie Trybunał będzie musi</w:t>
      </w:r>
      <w:r w:rsidR="00E81130">
        <w:t>ał</w:t>
      </w:r>
      <w:r w:rsidR="00E04081">
        <w:t xml:space="preserve"> zbadać, w jakim stopniu Belgia wywiązała się z tego obowiązku.</w:t>
      </w:r>
    </w:p>
    <w:p w14:paraId="6C062578" w14:textId="27432982" w:rsidR="009E30E7" w:rsidRPr="00A219A8" w:rsidRDefault="0070416B" w:rsidP="00A219A8">
      <w:pPr>
        <w:pStyle w:val="JuPara"/>
      </w:pPr>
      <w:r>
        <w:fldChar w:fldCharType="begin"/>
      </w:r>
      <w:r>
        <w:instrText xml:space="preserve"> SEQ level0 \*arabic </w:instrText>
      </w:r>
      <w:r>
        <w:fldChar w:fldCharType="separate"/>
      </w:r>
      <w:r w:rsidR="000D6DC4">
        <w:rPr>
          <w:noProof/>
        </w:rPr>
        <w:t>80</w:t>
      </w:r>
      <w:r>
        <w:rPr>
          <w:noProof/>
        </w:rPr>
        <w:fldChar w:fldCharType="end"/>
      </w:r>
      <w:r w:rsidR="00E04081">
        <w:t>.</w:t>
      </w:r>
      <w:r w:rsidR="00A418A3">
        <w:t xml:space="preserve"> </w:t>
      </w:r>
      <w:r w:rsidR="00E04081">
        <w:t>Trybunał zauważa, że podstawę skargi skarżących na gruncie art. 2 Konwencji stanowi odmowa wykonania przez sądy belgijskie ENA wydanych przez władze hiszpańskie wobec N.J.E. Skarżą się oni, że odmowa wykonania ENA przez władze belgijskie uniemożliwia im skorzystanie z prawa do przeprowadzenia skutecznego oficjalnego postępowania przygotowawczego przez Hiszpanię. Jak już wskazał Trybunał, nie chodzi zatem o to, czy Belgia ponosi odpowiedzialność za działania lub zaniechania proceduralne na etapie prowadzenia postępowania przygotowawczego w sprawie, która należy wyłącznie do kompetencji władz hiszpańskich.</w:t>
      </w:r>
    </w:p>
    <w:p w14:paraId="42D8556B" w14:textId="3E841CDA" w:rsidR="00E04081" w:rsidRPr="00A219A8" w:rsidRDefault="0070416B" w:rsidP="00A219A8">
      <w:pPr>
        <w:pStyle w:val="JuPara"/>
      </w:pPr>
      <w:r>
        <w:fldChar w:fldCharType="begin"/>
      </w:r>
      <w:r>
        <w:instrText xml:space="preserve"> SEQ level0 \*arabic </w:instrText>
      </w:r>
      <w:r>
        <w:fldChar w:fldCharType="separate"/>
      </w:r>
      <w:r w:rsidR="000D6DC4">
        <w:rPr>
          <w:noProof/>
        </w:rPr>
        <w:t>81</w:t>
      </w:r>
      <w:r>
        <w:rPr>
          <w:noProof/>
        </w:rPr>
        <w:fldChar w:fldCharType="end"/>
      </w:r>
      <w:r w:rsidR="00E04081">
        <w:t>.</w:t>
      </w:r>
      <w:r w:rsidR="00A418A3">
        <w:t xml:space="preserve"> </w:t>
      </w:r>
      <w:r w:rsidR="00E04081">
        <w:t>W związku z tym Trybunał przypomina, że w wyroku w</w:t>
      </w:r>
      <w:r w:rsidR="00504828">
        <w:t> </w:t>
      </w:r>
      <w:r w:rsidR="00E04081">
        <w:t>sprawie</w:t>
      </w:r>
      <w:r w:rsidR="00504828">
        <w:t xml:space="preserve"> </w:t>
      </w:r>
      <w:proofErr w:type="spellStart"/>
      <w:r w:rsidR="00E04081">
        <w:rPr>
          <w:i/>
        </w:rPr>
        <w:t>Güzelyurtlu</w:t>
      </w:r>
      <w:proofErr w:type="spellEnd"/>
      <w:r w:rsidR="00E04081">
        <w:rPr>
          <w:i/>
        </w:rPr>
        <w:t xml:space="preserve"> i Inni </w:t>
      </w:r>
      <w:r w:rsidR="00E04081">
        <w:t>(</w:t>
      </w:r>
      <w:r w:rsidR="00E04081">
        <w:rPr>
          <w:i/>
          <w:iCs/>
        </w:rPr>
        <w:t>op. cit</w:t>
      </w:r>
      <w:r w:rsidR="00E04081">
        <w:t xml:space="preserve">., § 232-235) </w:t>
      </w:r>
      <w:r w:rsidR="00504828">
        <w:t>wypowiedział się na ten temat w </w:t>
      </w:r>
      <w:r w:rsidR="00E04081">
        <w:t>następujący sposób:</w:t>
      </w:r>
    </w:p>
    <w:p w14:paraId="0051C836" w14:textId="6D53BF45" w:rsidR="00E04081" w:rsidRPr="00A219A8" w:rsidRDefault="00E04081" w:rsidP="00A219A8">
      <w:pPr>
        <w:pStyle w:val="JuQuot"/>
      </w:pPr>
      <w:r>
        <w:t>„232. Trybunał orzekł już, że przy interpretacji Konwencji musi brać pod uwagę szczególny charakter tego aktu prawnego jako zbiorowej gwarancji praw człowieka i</w:t>
      </w:r>
      <w:r w:rsidR="004B3C65">
        <w:t> </w:t>
      </w:r>
      <w:r>
        <w:t>podstawowych wolności [...]. Ten zbiorowy charakter może, w szczególnych okolicznościach, pociągać za sobą zobowiązanie Układających się Państw do współdziałania i współpracy w celu ochrony praw i wolności, które zobowiązały się zapewnić każdemu w ramach swojej jurysdykcji [...]. W przypadkach, w których skuteczne postępowanie przygotowawcze w sprawie zabójstwa podlegającego jurysdykcji Układającego się Państwa wymaga udziału więcej niż jednego U</w:t>
      </w:r>
      <w:r w:rsidR="00544453">
        <w:t>kładającego</w:t>
      </w:r>
      <w:r>
        <w:t xml:space="preserve"> się Państwa, Trybunał uważa, że szczególny charakter Konwencji jako aktu prawnego gwarancji zbiorowej pociąga za sobą, co do zasady, obowiązek zainteresowanych państw w zakresie skutecznej współpracy w celu wyjaśnienia okoliczności zabójstwa i pociągnięcia sprawców do odpowiedzialności karnej.</w:t>
      </w:r>
    </w:p>
    <w:p w14:paraId="5C7A6707" w14:textId="40DD9F5F" w:rsidR="00E04081" w:rsidRPr="00A219A8" w:rsidRDefault="00E04081" w:rsidP="00A219A8">
      <w:pPr>
        <w:pStyle w:val="JuQuot"/>
      </w:pPr>
      <w:r>
        <w:lastRenderedPageBreak/>
        <w:t>233. Trybunał uważa zatem, że art. 2 może nakładać na oba państwa dwustronny obowiązek współpracy, oznaczający jednocześnie obowiązek zwracania się o pomoc i</w:t>
      </w:r>
      <w:r w:rsidR="00216940">
        <w:t> </w:t>
      </w:r>
      <w:r>
        <w:t>obowiązek udzielenia pomocy. Charakter i zakres tych obowiązków będzie nieuchronnie zależał od okoliczności każdej sprawy, na przykład od tego, czy główne dowody znajdują się na terytorium danego Układającego się Państwa lub czy podejrzani się w nim ukrywają.</w:t>
      </w:r>
    </w:p>
    <w:p w14:paraId="5ECF6636" w14:textId="23C5DE51" w:rsidR="00E04081" w:rsidRPr="00A219A8" w:rsidRDefault="00E04081" w:rsidP="00A219A8">
      <w:pPr>
        <w:pStyle w:val="JuQuot"/>
      </w:pPr>
      <w:r>
        <w:t xml:space="preserve">234. Taki obowiązek wpisuje się w skuteczną ochroną prawa do życia gwarantowaną przez art. 2. Odmienny wniosek byłby bowiem sprzeczny z obowiązkiem państwa wynikającym z art. 2 do ochrony prawa do życia, w połączeniu z ogólnym obowiązkiem państwa wynikającym z art. 1 do „zapewnienia każdemu człowiekowi, podlegającemu ich jurysdykcji, praw i wolności określonych w [...] </w:t>
      </w:r>
      <w:r w:rsidR="00142664">
        <w:t>K</w:t>
      </w:r>
      <w:r>
        <w:t>onwencji”. W rezultacie utrudniłoby to prowadzenie postępowania karnego w</w:t>
      </w:r>
      <w:r w:rsidR="00216940">
        <w:t> </w:t>
      </w:r>
      <w:r>
        <w:t>sprawie zabójstw, których sprawcy pozostawaliby bezkarni. Taki rezultat mógłby godzić w sam cel ochrony zapewnionej przez art. 2 i uczynić gwarancje związane z</w:t>
      </w:r>
      <w:r w:rsidR="00216940">
        <w:t> </w:t>
      </w:r>
      <w:r>
        <w:t>prawem do życia iluzorycznymi. Przedmiot i cel Konwencji, jako instrumentu ochrony istot ludzkich, wymaga, aby jej postanowienia były rozumiane i stosowane w</w:t>
      </w:r>
      <w:r w:rsidR="0054404E">
        <w:t> </w:t>
      </w:r>
      <w:r>
        <w:t>taki sposób, aby ich wymogi były konkretne i skuteczne [...].</w:t>
      </w:r>
    </w:p>
    <w:p w14:paraId="559118B5" w14:textId="78EE8A29" w:rsidR="00E04081" w:rsidRPr="00A219A8" w:rsidRDefault="00E04081" w:rsidP="00A219A8">
      <w:pPr>
        <w:pStyle w:val="JuQuot"/>
      </w:pPr>
      <w:r>
        <w:t xml:space="preserve">235. Trybunał zauważa jednak, że obowiązek współpracy państw w ramach aspektu proceduralnego art. 2 może być jedynie obowiązkiem środków, a nie rezultatu, zgodnie z tym, co ustalił w odniesieniu do obowiązku prowadzenia postępowania przygotowawczego [...]. Oznacza to, że zainteresowane państwa muszą podjąć wszelkie rozsądne środki w celu wzajemnej współpracy i wyczerpać w dobrej wierze możliwości wynikające z odpowiednich instrumentów międzynarodowych dotyczące wzajemnej pomocy prawnej i współpracy w sprawach karnych. W tym względzie Trybunał jest świadomy, że współpraca między </w:t>
      </w:r>
      <w:r w:rsidR="00142664">
        <w:t>U</w:t>
      </w:r>
      <w:r>
        <w:t>kładającymi się państwami nie może odbywać się w próżni prawnej; ponadto w międzynarodowym prawie karnym wypracowano szczególne sformalizowane ustalenia dotyczące współpracy między państwami. Takie stanowisko jest zgodne ze stanowiskiem przyjętym w poprzednich sprawach transnarodowych dotyczących aspektów proceduralnych art. 2, 3 i 4, w</w:t>
      </w:r>
      <w:r w:rsidR="00E95D76">
        <w:t> </w:t>
      </w:r>
      <w:r>
        <w:t>których Trybunał zasadniczo odwoływał się do instrumentów wiążących zainteresowane państwa w zakresie ekstradycji lub wzajemnej pomocy [...].</w:t>
      </w:r>
    </w:p>
    <w:p w14:paraId="3A6DB198" w14:textId="5091D188" w:rsidR="00E04081" w:rsidRPr="00A219A8" w:rsidRDefault="00E04081" w:rsidP="00A219A8">
      <w:pPr>
        <w:pStyle w:val="JuQuot"/>
      </w:pPr>
      <w:r>
        <w:t>236. (…)</w:t>
      </w:r>
      <w:bookmarkStart w:id="26" w:name="lt_pId1446"/>
      <w:r>
        <w:t xml:space="preserve"> W tym kontekście naruszenie proceduralnego obowiązku współpracy będzie miało miejsce jedynie po stronie państwa zobowiązanego do zwrócenia się o</w:t>
      </w:r>
      <w:r w:rsidR="004E4E80">
        <w:t> </w:t>
      </w:r>
      <w:r>
        <w:t>współpracę, jeżeli nie uruchomiło ono odpowiednich mechanizmów współpracy przewidzianych w odpowiednich traktatach międzynarodowych, lub po stronie państwa wezwanego, jeżeli nie udzieliło ono odpowiedniej odpowiedzi lub nie było w</w:t>
      </w:r>
      <w:r w:rsidR="004B40C8">
        <w:t> </w:t>
      </w:r>
      <w:r>
        <w:t>stanie powołać się na uzasadniony powód odmowy współpracy wymagany na mocy tych traktatów międzynarodowych.</w:t>
      </w:r>
      <w:bookmarkEnd w:id="26"/>
      <w:r>
        <w:t>”</w:t>
      </w:r>
    </w:p>
    <w:p w14:paraId="1D42E5E5" w14:textId="5B527C9A" w:rsidR="00E04081" w:rsidRPr="00A219A8" w:rsidRDefault="0070416B" w:rsidP="00A219A8">
      <w:pPr>
        <w:pStyle w:val="JuPara"/>
      </w:pPr>
      <w:r>
        <w:fldChar w:fldCharType="begin"/>
      </w:r>
      <w:r>
        <w:instrText xml:space="preserve"> SEQ level0 \*arabic </w:instrText>
      </w:r>
      <w:r>
        <w:fldChar w:fldCharType="separate"/>
      </w:r>
      <w:r w:rsidR="000D6DC4">
        <w:rPr>
          <w:noProof/>
        </w:rPr>
        <w:t>82</w:t>
      </w:r>
      <w:r>
        <w:rPr>
          <w:noProof/>
        </w:rPr>
        <w:fldChar w:fldCharType="end"/>
      </w:r>
      <w:r w:rsidR="00E04081">
        <w:t>.</w:t>
      </w:r>
      <w:r w:rsidR="00A418A3">
        <w:t xml:space="preserve"> </w:t>
      </w:r>
      <w:r w:rsidR="00E04081">
        <w:t>W tym przypadku mechanizm, w ramach którego Hiszpania zwróciła się do Belgii o współpracę, jest systemem ustanowionym w UE na mocy decyzji ramowej w sprawie ENA (zob. paragrafy </w:t>
      </w:r>
      <w:r w:rsidR="008E0C4F">
        <w:fldChar w:fldCharType="begin"/>
      </w:r>
      <w:r w:rsidR="008E0C4F">
        <w:instrText xml:space="preserve"> REF kaderbesluit1 \h  \* MERGEFORMAT </w:instrText>
      </w:r>
      <w:r w:rsidR="008E0C4F">
        <w:fldChar w:fldCharType="separate"/>
      </w:r>
      <w:r w:rsidR="000D6DC4">
        <w:t>23</w:t>
      </w:r>
      <w:r w:rsidR="008E0C4F">
        <w:fldChar w:fldCharType="end"/>
      </w:r>
      <w:r w:rsidR="00E04081">
        <w:t>-</w:t>
      </w:r>
      <w:r w:rsidR="008E0C4F">
        <w:fldChar w:fldCharType="begin"/>
      </w:r>
      <w:r w:rsidR="008E0C4F">
        <w:instrText xml:space="preserve"> REF kaderbesluit2 \h  \* MERGEFORMAT </w:instrText>
      </w:r>
      <w:r w:rsidR="008E0C4F">
        <w:fldChar w:fldCharType="separate"/>
      </w:r>
      <w:r w:rsidR="000D6DC4">
        <w:rPr>
          <w:rFonts w:eastAsiaTheme="majorEastAsia"/>
        </w:rPr>
        <w:t>24</w:t>
      </w:r>
      <w:r w:rsidR="008E0C4F">
        <w:fldChar w:fldCharType="end"/>
      </w:r>
      <w:r w:rsidR="00E04081">
        <w:t xml:space="preserve"> powyżej). Stosując powyższe zasady, Trybunał musi zatem w pierwszej kolejności zbadać, czy w tym kontekście władze belgijskie udzieliły właściwej odpowiedzi na wniosek o współpracę. Po drugie, Trybunał musi sprawdzić, czy odmowa współpracy była oparta na uzasadnionych podstawach.</w:t>
      </w:r>
    </w:p>
    <w:p w14:paraId="2A7A3538" w14:textId="02283766" w:rsidR="00E04081" w:rsidRPr="00A219A8" w:rsidRDefault="0070416B" w:rsidP="00A219A8">
      <w:pPr>
        <w:pStyle w:val="JuPara"/>
      </w:pPr>
      <w:r>
        <w:fldChar w:fldCharType="begin"/>
      </w:r>
      <w:r>
        <w:instrText xml:space="preserve"> SEQ level0 \*arabic </w:instrText>
      </w:r>
      <w:r>
        <w:fldChar w:fldCharType="separate"/>
      </w:r>
      <w:r w:rsidR="000D6DC4">
        <w:rPr>
          <w:noProof/>
        </w:rPr>
        <w:t>83</w:t>
      </w:r>
      <w:r>
        <w:rPr>
          <w:noProof/>
        </w:rPr>
        <w:fldChar w:fldCharType="end"/>
      </w:r>
      <w:r w:rsidR="00E04081">
        <w:t>.</w:t>
      </w:r>
      <w:r w:rsidR="00A418A3">
        <w:t xml:space="preserve"> </w:t>
      </w:r>
      <w:r w:rsidR="00E04081">
        <w:t xml:space="preserve">W odniesieniu do pierwszego punktu Trybunał zauważa, że władze belgijskie udzieliły swoim hiszpańskim odpowiednikom odpowiednio uzasadnionej odpowiedzi. Jak wskazał belgijski Sąd </w:t>
      </w:r>
      <w:r w:rsidR="005E3BCB">
        <w:t>K</w:t>
      </w:r>
      <w:r w:rsidR="00E04081">
        <w:t>asacyjny w wyroku z</w:t>
      </w:r>
      <w:r w:rsidR="004B40C8">
        <w:t> </w:t>
      </w:r>
      <w:r w:rsidR="00E04081">
        <w:t xml:space="preserve">dnia 19 listopada 2013 r., mechanizm ten opiera się na wysokim stopniu </w:t>
      </w:r>
      <w:r w:rsidR="00E04081">
        <w:lastRenderedPageBreak/>
        <w:t>zaufania między państwami członkowskimi, co pociąga za sobą domniemanie poszanowania praw podstawowych przez państwo wydające nakaz. W świetle tej zasady odmowa wydania musi być uzasadniona konkretnymi dowodami wskazującymi na oczywiste zagrożenie dla praw podstawowych danej osoby, które obalają przedmiotowe domniemanie. W</w:t>
      </w:r>
      <w:r w:rsidR="004B40C8">
        <w:t> </w:t>
      </w:r>
      <w:r w:rsidR="00E04081">
        <w:t xml:space="preserve">niniejszej sprawie Sąd </w:t>
      </w:r>
      <w:r w:rsidR="005E3BCB">
        <w:t>K</w:t>
      </w:r>
      <w:r w:rsidR="00E04081">
        <w:t xml:space="preserve">asacyjny uznał, że </w:t>
      </w:r>
      <w:r w:rsidR="005E3BCB">
        <w:t xml:space="preserve">Wydział </w:t>
      </w:r>
      <w:r w:rsidR="00E04081">
        <w:t>oskarżeń sądu apelacyjnego w Gandawie, wyrokiem z dnia 31 października 2013 r., prawnie uzasadniła, na podstawie art. 4, 5</w:t>
      </w:r>
      <w:r w:rsidR="00E04081">
        <w:rPr>
          <w:vertAlign w:val="superscript"/>
        </w:rPr>
        <w:t>o</w:t>
      </w:r>
      <w:r w:rsidR="00E04081">
        <w:t xml:space="preserve"> belgijskiej ustawy o ENA, swoją decyzję o odmowie wykonania ENA wydanych przez hiszpańskiego sędziego śledczego z</w:t>
      </w:r>
      <w:r w:rsidR="00BF6626">
        <w:t> </w:t>
      </w:r>
      <w:r w:rsidR="00E04081">
        <w:t>uwagi na ryzyko naruszenia praw podstawowych N.J.E. w przypadku przekazania jej Hiszpanii, a w szczególności ryzyko, że będzie ona przetrzymywana w warunkach sprzecznych z art. 3 Konwencji (zob. paragraf </w:t>
      </w:r>
      <w:r w:rsidR="008E0C4F">
        <w:fldChar w:fldCharType="begin"/>
      </w:r>
      <w:r w:rsidR="008E0C4F">
        <w:instrText xml:space="preserve"> REF CHBMISES2011 \h  \* MERGEFORMAT </w:instrText>
      </w:r>
      <w:r w:rsidR="008E0C4F">
        <w:fldChar w:fldCharType="separate"/>
      </w:r>
      <w:r w:rsidR="000D6DC4">
        <w:t>12</w:t>
      </w:r>
      <w:r w:rsidR="008E0C4F">
        <w:fldChar w:fldCharType="end"/>
      </w:r>
      <w:r w:rsidR="00E04081">
        <w:t xml:space="preserve"> powyżej). W wyroku z dnia 14 lipca 2016 r. </w:t>
      </w:r>
      <w:r w:rsidR="00DD52D9">
        <w:t xml:space="preserve">Wydział </w:t>
      </w:r>
      <w:r w:rsidR="00E04081">
        <w:t>oskarżeń zasadniczo odni</w:t>
      </w:r>
      <w:r w:rsidR="00DD52D9">
        <w:t xml:space="preserve">ósł </w:t>
      </w:r>
      <w:r w:rsidR="00E04081">
        <w:t xml:space="preserve">się do swojego wcześniejszego wyroku, stwierdzając, że nowe elementy powołane w nowym ENA nie dały podstaw do odmiennej oceny, a wcześniejsza ocena wręcz znalazła potwierdzenie w uwagach Komitetu Praw Człowieka z 2015 r. (zob. paragraf </w:t>
      </w:r>
      <w:r w:rsidR="008E0C4F">
        <w:fldChar w:fldCharType="begin"/>
      </w:r>
      <w:r w:rsidR="008E0C4F">
        <w:instrText xml:space="preserve"> REF CHBMISES2016 \h  \* MERGEFORMAT </w:instrText>
      </w:r>
      <w:r w:rsidR="008E0C4F">
        <w:fldChar w:fldCharType="separate"/>
      </w:r>
      <w:r w:rsidR="000D6DC4">
        <w:t>20</w:t>
      </w:r>
      <w:r w:rsidR="008E0C4F">
        <w:fldChar w:fldCharType="end"/>
      </w:r>
      <w:r w:rsidR="00E04081">
        <w:t xml:space="preserve"> powyżej).</w:t>
      </w:r>
    </w:p>
    <w:p w14:paraId="2D587392" w14:textId="5B636DD8" w:rsidR="00E04081" w:rsidRPr="00A219A8" w:rsidRDefault="0070416B" w:rsidP="00A219A8">
      <w:pPr>
        <w:pStyle w:val="JuPara"/>
      </w:pPr>
      <w:r>
        <w:fldChar w:fldCharType="begin"/>
      </w:r>
      <w:r>
        <w:instrText xml:space="preserve"> SEQ level0 \*arabic </w:instrText>
      </w:r>
      <w:r>
        <w:fldChar w:fldCharType="separate"/>
      </w:r>
      <w:r w:rsidR="000D6DC4">
        <w:rPr>
          <w:noProof/>
        </w:rPr>
        <w:t>84</w:t>
      </w:r>
      <w:r>
        <w:rPr>
          <w:noProof/>
        </w:rPr>
        <w:fldChar w:fldCharType="end"/>
      </w:r>
      <w:r w:rsidR="005F209E">
        <w:t>.</w:t>
      </w:r>
      <w:r w:rsidR="00A418A3">
        <w:t xml:space="preserve"> </w:t>
      </w:r>
      <w:r w:rsidR="005F209E">
        <w:t xml:space="preserve">Trybunał zauważa, że stanowisko przyjęte przez sądy belgijskie odpowiada zasadom, które wypracował w swoim orzecznictwie </w:t>
      </w:r>
      <w:r w:rsidR="005F209E">
        <w:rPr>
          <w:i/>
        </w:rPr>
        <w:t>(</w:t>
      </w:r>
      <w:proofErr w:type="spellStart"/>
      <w:r w:rsidR="005F209E">
        <w:rPr>
          <w:i/>
        </w:rPr>
        <w:t>Pirozzi</w:t>
      </w:r>
      <w:proofErr w:type="spellEnd"/>
      <w:r w:rsidR="005F209E">
        <w:rPr>
          <w:i/>
        </w:rPr>
        <w:t>, op. cit.</w:t>
      </w:r>
      <w:r w:rsidR="005F209E">
        <w:t xml:space="preserve">, §§ 57-64, w którym przyjęto metodologię zalecaną w sprawie </w:t>
      </w:r>
      <w:proofErr w:type="spellStart"/>
      <w:r w:rsidR="005F209E">
        <w:rPr>
          <w:i/>
        </w:rPr>
        <w:t>Avotiņš</w:t>
      </w:r>
      <w:proofErr w:type="spellEnd"/>
      <w:r w:rsidR="005F209E">
        <w:rPr>
          <w:i/>
        </w:rPr>
        <w:t xml:space="preserve"> przeciwko Łotwie</w:t>
      </w:r>
      <w:r w:rsidR="005F209E">
        <w:t xml:space="preserve"> [WI], skarga nr 17502/07, §§ 105-127, 23 maja 2016 r.), zgodnie z którymi w kontekście wykonania ENA przez państwo członkowskie UE mechanizm wzajemnego uznawania nie może być stosowany automatycznie i mechanicznie, ze szkodą dla praw podstawowych.</w:t>
      </w:r>
    </w:p>
    <w:p w14:paraId="355673CB" w14:textId="2DC40556" w:rsidR="00E04081" w:rsidRPr="00A219A8" w:rsidRDefault="0070416B" w:rsidP="00A219A8">
      <w:pPr>
        <w:pStyle w:val="JuPara"/>
      </w:pPr>
      <w:r>
        <w:fldChar w:fldCharType="begin"/>
      </w:r>
      <w:r>
        <w:instrText xml:space="preserve"> SEQ level0 \*arabic </w:instrText>
      </w:r>
      <w:r>
        <w:fldChar w:fldCharType="separate"/>
      </w:r>
      <w:r w:rsidR="000D6DC4">
        <w:rPr>
          <w:noProof/>
        </w:rPr>
        <w:t>85</w:t>
      </w:r>
      <w:r>
        <w:rPr>
          <w:noProof/>
        </w:rPr>
        <w:fldChar w:fldCharType="end"/>
      </w:r>
      <w:r w:rsidR="00E04081">
        <w:t>.</w:t>
      </w:r>
      <w:r w:rsidR="00A418A3">
        <w:t xml:space="preserve"> </w:t>
      </w:r>
      <w:r w:rsidR="00E04081">
        <w:t>W drugiej kwestii Trybunał podkreślił, że z punktu widzenia Konwencji ryzyko nieludzkiego i poniżającego traktowania osoby, o której wydanie się wnioskuje, z uwagi na warunki panujące w hiszpańskim areszcie, może stanowić uzasadnioną podstawę odmowy wykonania ENA, a</w:t>
      </w:r>
      <w:r w:rsidR="00BF6626">
        <w:t> </w:t>
      </w:r>
      <w:r w:rsidR="00E04081">
        <w:t>tym samym odmowy współpracy z Hiszpanią. Jednakże, biorąc pod uwagę istnienie praw osób trzecich, stwierdzenie takiego ryzyka musi znajdować oparcie w wystarczających podstawach faktycznych.</w:t>
      </w:r>
    </w:p>
    <w:p w14:paraId="50A4FEB9" w14:textId="47D7FD55" w:rsidR="00E04081" w:rsidRPr="00A219A8" w:rsidRDefault="0070416B" w:rsidP="00A219A8">
      <w:pPr>
        <w:pStyle w:val="JuPara"/>
      </w:pPr>
      <w:r>
        <w:fldChar w:fldCharType="begin"/>
      </w:r>
      <w:r>
        <w:instrText xml:space="preserve"> SEQ level0 \*arabic </w:instrText>
      </w:r>
      <w:r>
        <w:fldChar w:fldCharType="separate"/>
      </w:r>
      <w:r w:rsidR="000D6DC4">
        <w:rPr>
          <w:noProof/>
        </w:rPr>
        <w:t>86</w:t>
      </w:r>
      <w:r>
        <w:rPr>
          <w:noProof/>
        </w:rPr>
        <w:fldChar w:fldCharType="end"/>
      </w:r>
      <w:r w:rsidR="00E04081">
        <w:t>.</w:t>
      </w:r>
      <w:r w:rsidR="00A418A3">
        <w:t xml:space="preserve"> </w:t>
      </w:r>
      <w:r w:rsidR="00E04081">
        <w:t xml:space="preserve">Trybunał zauważa w tym względzie, że </w:t>
      </w:r>
      <w:r w:rsidR="004D6DA7">
        <w:t xml:space="preserve">Wydział </w:t>
      </w:r>
      <w:r w:rsidR="00E04081">
        <w:t xml:space="preserve">oskarżeń oparł się przede wszystkim na raportach międzynarodowych oraz na kontekście „współczesnej historii politycznej Hiszpanii” (zob. paragraf </w:t>
      </w:r>
      <w:r w:rsidR="008E0C4F">
        <w:fldChar w:fldCharType="begin"/>
      </w:r>
      <w:r w:rsidR="008E0C4F">
        <w:instrText xml:space="preserve"> REF CHBMISES2011 \h  \* MERGEFORMAT </w:instrText>
      </w:r>
      <w:r w:rsidR="008E0C4F">
        <w:fldChar w:fldCharType="separate"/>
      </w:r>
      <w:r w:rsidR="000D6DC4">
        <w:t>12</w:t>
      </w:r>
      <w:r w:rsidR="008E0C4F">
        <w:fldChar w:fldCharType="end"/>
      </w:r>
      <w:r w:rsidR="00E04081">
        <w:t xml:space="preserve"> powyżej). W</w:t>
      </w:r>
      <w:r w:rsidR="00A962D2">
        <w:t> </w:t>
      </w:r>
      <w:r w:rsidR="00E04081">
        <w:t xml:space="preserve">wyroku z dnia 31 października 2013 r. przytoczył m.in. raport sporządzony w następstwie okresowej wizyty CPT przeprowadzonej kilka lat wcześniej, a mianowicie w 2011 r. Pomimo informacji przedstawionych na poparcie ENA wydanego w dniu 8 maja 2015 r., w szczególności na temat milczenia kolejnych raportów CPT oraz charakterystyki przetrzymywania w trybie </w:t>
      </w:r>
      <w:proofErr w:type="spellStart"/>
      <w:r w:rsidR="00E04081">
        <w:rPr>
          <w:i/>
        </w:rPr>
        <w:t>incommunicado</w:t>
      </w:r>
      <w:proofErr w:type="spellEnd"/>
      <w:r w:rsidR="00E04081">
        <w:t xml:space="preserve"> w Hiszpanii (zob. paragraf </w:t>
      </w:r>
      <w:r w:rsidR="008E0C4F">
        <w:fldChar w:fldCharType="begin"/>
      </w:r>
      <w:r w:rsidR="008E0C4F">
        <w:instrText xml:space="preserve"> REF nouveauMAE \h  \* MERGEFORMAT </w:instrText>
      </w:r>
      <w:r w:rsidR="008E0C4F">
        <w:fldChar w:fldCharType="separate"/>
      </w:r>
      <w:r w:rsidR="000D6DC4">
        <w:t>17</w:t>
      </w:r>
      <w:r w:rsidR="008E0C4F">
        <w:fldChar w:fldCharType="end"/>
      </w:r>
      <w:r w:rsidR="00E04081">
        <w:t xml:space="preserve"> powyżej), w wyroku z dnia 14 lipca 2016 r. </w:t>
      </w:r>
      <w:r w:rsidR="00CC5955">
        <w:t xml:space="preserve">Wydział </w:t>
      </w:r>
      <w:r w:rsidR="00E04081">
        <w:t xml:space="preserve">oskarżeń uznał, że nie pozwalają one na odejście od oceny dokonanej w 2013 r. (zob. paragraf </w:t>
      </w:r>
      <w:r w:rsidR="008E0C4F">
        <w:fldChar w:fldCharType="begin"/>
      </w:r>
      <w:r w:rsidR="008E0C4F">
        <w:instrText xml:space="preserve"> REF CHBMISES2016 \h  \* MERGEFORMAT </w:instrText>
      </w:r>
      <w:r w:rsidR="008E0C4F">
        <w:fldChar w:fldCharType="separate"/>
      </w:r>
      <w:r w:rsidR="000D6DC4">
        <w:t>20</w:t>
      </w:r>
      <w:r w:rsidR="008E0C4F">
        <w:fldChar w:fldCharType="end"/>
      </w:r>
      <w:r w:rsidR="00E04081">
        <w:t xml:space="preserve"> powyżej). Prawdą jest, że </w:t>
      </w:r>
      <w:r w:rsidR="00CC5955">
        <w:t xml:space="preserve">Wydział </w:t>
      </w:r>
      <w:r w:rsidR="00E04081">
        <w:t>oskarżeń odni</w:t>
      </w:r>
      <w:r w:rsidR="00CC5955">
        <w:t>ósł</w:t>
      </w:r>
      <w:r w:rsidR="00E04081">
        <w:t xml:space="preserve"> się do uwag poczynionych w 2015 r. przez </w:t>
      </w:r>
      <w:r w:rsidR="00E04081">
        <w:lastRenderedPageBreak/>
        <w:t xml:space="preserve">Komitet Praw Człowieka dotyczących przetrzymywania w trybie </w:t>
      </w:r>
      <w:proofErr w:type="spellStart"/>
      <w:r w:rsidR="00E04081">
        <w:rPr>
          <w:i/>
        </w:rPr>
        <w:t>incommunicado</w:t>
      </w:r>
      <w:proofErr w:type="spellEnd"/>
      <w:r w:rsidR="00E04081">
        <w:t xml:space="preserve"> (zob. paragraf </w:t>
      </w:r>
      <w:r w:rsidR="008E0C4F">
        <w:fldChar w:fldCharType="begin"/>
      </w:r>
      <w:r w:rsidR="008E0C4F">
        <w:instrText xml:space="preserve"> REF ComitéNU2015 \h  \* MERGEFORMAT </w:instrText>
      </w:r>
      <w:r w:rsidR="008E0C4F">
        <w:fldChar w:fldCharType="separate"/>
      </w:r>
      <w:r w:rsidR="000D6DC4">
        <w:t>28</w:t>
      </w:r>
      <w:r w:rsidR="008E0C4F">
        <w:fldChar w:fldCharType="end"/>
      </w:r>
      <w:r w:rsidR="00E04081">
        <w:t xml:space="preserve"> powyżej), ale nie przeprowadził zaktualizowanego i szczegółowego badania sytuacji, która miała miejsce w 2016 r. ani nie dążył do zidentyfikowania realnego i</w:t>
      </w:r>
      <w:r w:rsidR="00A962D2">
        <w:t> </w:t>
      </w:r>
      <w:r w:rsidR="00E04081">
        <w:t>możliwego do zindywidualizowania ryzyka naruszenia praw Konwencji w</w:t>
      </w:r>
      <w:r w:rsidR="000821C1">
        <w:t> </w:t>
      </w:r>
      <w:r w:rsidR="00E04081">
        <w:t>odniesieniu do N.J.E. lub strukturalnych braków w warunkach osadzenia w</w:t>
      </w:r>
      <w:r w:rsidR="000821C1">
        <w:t> </w:t>
      </w:r>
      <w:r w:rsidR="00E04081">
        <w:t>areszcie w Hiszpanii.</w:t>
      </w:r>
    </w:p>
    <w:p w14:paraId="64CCE016" w14:textId="6328F1BF" w:rsidR="00E04081" w:rsidRPr="00A219A8" w:rsidRDefault="0070416B" w:rsidP="00A219A8">
      <w:pPr>
        <w:pStyle w:val="JuPara"/>
      </w:pPr>
      <w:r>
        <w:fldChar w:fldCharType="begin"/>
      </w:r>
      <w:r>
        <w:instrText xml:space="preserve"> SEQ level0 \*arabic </w:instrText>
      </w:r>
      <w:r>
        <w:fldChar w:fldCharType="separate"/>
      </w:r>
      <w:r w:rsidR="000D6DC4">
        <w:rPr>
          <w:noProof/>
        </w:rPr>
        <w:t>87</w:t>
      </w:r>
      <w:r>
        <w:rPr>
          <w:noProof/>
        </w:rPr>
        <w:fldChar w:fldCharType="end"/>
      </w:r>
      <w:r w:rsidR="00E04081">
        <w:t>.</w:t>
      </w:r>
      <w:r w:rsidR="00A418A3">
        <w:t xml:space="preserve"> </w:t>
      </w:r>
      <w:r w:rsidR="00E04081">
        <w:t xml:space="preserve">Trybunał zauważa również, że zgodnie z uwagami przedstawionymi przez rząd hiszpański w sprawie ram prawnych dotyczących reżimu przetrzymywania w trybie </w:t>
      </w:r>
      <w:proofErr w:type="spellStart"/>
      <w:r w:rsidR="00E04081">
        <w:rPr>
          <w:i/>
        </w:rPr>
        <w:t>incommunicado</w:t>
      </w:r>
      <w:proofErr w:type="spellEnd"/>
      <w:r w:rsidR="00E04081">
        <w:t>, reżim ten nie miałby zastosowania w sytuacji, która ma miejsce w niniejszej sprawie. Ponieważ kwestia ta nie była przedmiotem debaty przed sądami belgijskimi, Trybunał uważa, że nie musi jej samodzielnie rozstrzygać.</w:t>
      </w:r>
    </w:p>
    <w:p w14:paraId="22BDA6E0" w14:textId="536B3BA1" w:rsidR="00E04081" w:rsidRPr="00A219A8" w:rsidRDefault="0070416B" w:rsidP="00A219A8">
      <w:pPr>
        <w:pStyle w:val="JuPara"/>
      </w:pPr>
      <w:r>
        <w:fldChar w:fldCharType="begin"/>
      </w:r>
      <w:r>
        <w:instrText xml:space="preserve"> SEQ level0 \*arabic </w:instrText>
      </w:r>
      <w:r>
        <w:fldChar w:fldCharType="separate"/>
      </w:r>
      <w:r w:rsidR="000D6DC4">
        <w:rPr>
          <w:noProof/>
        </w:rPr>
        <w:t>88</w:t>
      </w:r>
      <w:r>
        <w:rPr>
          <w:noProof/>
        </w:rPr>
        <w:fldChar w:fldCharType="end"/>
      </w:r>
      <w:r w:rsidR="00E04081">
        <w:t>.</w:t>
      </w:r>
      <w:r w:rsidR="00A418A3">
        <w:t xml:space="preserve"> </w:t>
      </w:r>
      <w:r w:rsidR="00E04081">
        <w:t>Trybunał zwraca również uwagę na argument skarżących, który nie został zakwestionowany przez Rząd, że wiele ENA zostało wydanych i</w:t>
      </w:r>
      <w:r w:rsidR="00616DD0">
        <w:t> </w:t>
      </w:r>
      <w:r w:rsidR="00E04081">
        <w:t xml:space="preserve">wykonanych w odniesieniu do podejrzanych członków ETA, przy czym państwa wykonujące ENA nie dostrzegły żadnego ryzyka naruszenia praw podstawowych osób wydanych, a Belgia jest jednym z tych państw wykonujących (zob. paragraf </w:t>
      </w:r>
      <w:r w:rsidR="008E0C4F">
        <w:fldChar w:fldCharType="begin"/>
      </w:r>
      <w:r w:rsidR="008E0C4F">
        <w:instrText xml:space="preserve"> REF AUTRESMAE \h  \* MERGEFORMAT </w:instrText>
      </w:r>
      <w:r w:rsidR="008E0C4F">
        <w:fldChar w:fldCharType="separate"/>
      </w:r>
      <w:r w:rsidR="000D6DC4">
        <w:t>70</w:t>
      </w:r>
      <w:r w:rsidR="008E0C4F">
        <w:fldChar w:fldCharType="end"/>
      </w:r>
      <w:r w:rsidR="00E04081">
        <w:t xml:space="preserve"> powyżej).</w:t>
      </w:r>
    </w:p>
    <w:p w14:paraId="60B7B504" w14:textId="2333BDC6" w:rsidR="00E04081" w:rsidRPr="00A219A8" w:rsidRDefault="0070416B" w:rsidP="00A219A8">
      <w:pPr>
        <w:pStyle w:val="JuPara"/>
      </w:pPr>
      <w:r>
        <w:fldChar w:fldCharType="begin"/>
      </w:r>
      <w:r>
        <w:instrText xml:space="preserve"> SEQ level0 \*arabic </w:instrText>
      </w:r>
      <w:r>
        <w:fldChar w:fldCharType="separate"/>
      </w:r>
      <w:r w:rsidR="000D6DC4">
        <w:rPr>
          <w:noProof/>
        </w:rPr>
        <w:t>89</w:t>
      </w:r>
      <w:r>
        <w:rPr>
          <w:noProof/>
        </w:rPr>
        <w:fldChar w:fldCharType="end"/>
      </w:r>
      <w:r w:rsidR="00E04081">
        <w:t>.</w:t>
      </w:r>
      <w:r w:rsidR="00A418A3">
        <w:t xml:space="preserve"> </w:t>
      </w:r>
      <w:r w:rsidR="00E04081">
        <w:t>Wreszcie, Trybunał jest zdania, że okoliczności sprawy i wchodzące w grę interesy powinny były skłonić władze belgijskie, korzystając z</w:t>
      </w:r>
      <w:r w:rsidR="00616DD0">
        <w:t> </w:t>
      </w:r>
      <w:r w:rsidR="00E04081">
        <w:t xml:space="preserve">możliwości, jaką daje im prawo belgijskie (art. 15 ustawy o ENA, zob. paragraf </w:t>
      </w:r>
      <w:r w:rsidR="008E0C4F">
        <w:fldChar w:fldCharType="begin"/>
      </w:r>
      <w:r w:rsidR="008E0C4F">
        <w:instrText xml:space="preserve"> REF LoiMAE \h  \* MERGEFORMAT </w:instrText>
      </w:r>
      <w:r w:rsidR="008E0C4F">
        <w:fldChar w:fldCharType="separate"/>
      </w:r>
      <w:r w:rsidR="000D6DC4">
        <w:t>25</w:t>
      </w:r>
      <w:r w:rsidR="008E0C4F">
        <w:fldChar w:fldCharType="end"/>
      </w:r>
      <w:r w:rsidR="00E04081">
        <w:t xml:space="preserve"> powyżej), do zwrócenia się o dalsze informacje na temat stosowania reżimu przetrzymywania w sprawie N.J.E., w szczególności na temat miejsca i warunków przetrzymywania, w celu stwierdzenia istnienia konkretnego i realnego ryzyka naruszenia Konwencji w przypadku przekazania.</w:t>
      </w:r>
    </w:p>
    <w:p w14:paraId="02A84BE6" w14:textId="130422DC" w:rsidR="00E04081" w:rsidRPr="00A219A8" w:rsidRDefault="0070416B" w:rsidP="00A219A8">
      <w:pPr>
        <w:pStyle w:val="JuPara"/>
      </w:pPr>
      <w:r>
        <w:fldChar w:fldCharType="begin"/>
      </w:r>
      <w:r>
        <w:instrText xml:space="preserve"> SEQ level0 \*arabic </w:instrText>
      </w:r>
      <w:r>
        <w:fldChar w:fldCharType="separate"/>
      </w:r>
      <w:r w:rsidR="000D6DC4">
        <w:rPr>
          <w:noProof/>
        </w:rPr>
        <w:t>90</w:t>
      </w:r>
      <w:r>
        <w:rPr>
          <w:noProof/>
        </w:rPr>
        <w:fldChar w:fldCharType="end"/>
      </w:r>
      <w:r w:rsidR="00E04081">
        <w:t>.</w:t>
      </w:r>
      <w:r w:rsidR="00A418A3">
        <w:t xml:space="preserve"> </w:t>
      </w:r>
      <w:r w:rsidR="00E04081">
        <w:t>W świetle powyższego Trybunał uznał, że analiza przeprowadzona przez sądy belgijskie w trakcie postępowania w sprawie przekazania nie była wystarczająco wszechstronna, aby uznać, że powołany przez nie powód odmowy wydania N.J.E. z uszczerbkiem dla praw skarżących miał wystarczającą podstawę faktyczną.</w:t>
      </w:r>
    </w:p>
    <w:p w14:paraId="0D746A2F" w14:textId="20BA01CE" w:rsidR="00E04081" w:rsidRPr="00A219A8" w:rsidRDefault="0070416B" w:rsidP="00A219A8">
      <w:pPr>
        <w:pStyle w:val="JuPara"/>
      </w:pPr>
      <w:r>
        <w:fldChar w:fldCharType="begin"/>
      </w:r>
      <w:r>
        <w:instrText xml:space="preserve"> SEQ level0 \*arabic </w:instrText>
      </w:r>
      <w:r>
        <w:fldChar w:fldCharType="separate"/>
      </w:r>
      <w:r w:rsidR="000D6DC4">
        <w:rPr>
          <w:noProof/>
        </w:rPr>
        <w:t>91</w:t>
      </w:r>
      <w:r>
        <w:rPr>
          <w:noProof/>
        </w:rPr>
        <w:fldChar w:fldCharType="end"/>
      </w:r>
      <w:r w:rsidR="00E04081">
        <w:t>.</w:t>
      </w:r>
      <w:r w:rsidR="00A418A3">
        <w:t xml:space="preserve"> </w:t>
      </w:r>
      <w:r w:rsidR="00E04081">
        <w:t>Trybunał stwierdza zatem, że Belgia nie wywiązała się z obowiązku współpracy w ramach aspektu proceduralnego art. 2 Konwencji oraz że doszło do naruszenia tego postanowienia.</w:t>
      </w:r>
    </w:p>
    <w:p w14:paraId="461A4652" w14:textId="34CF0B79" w:rsidR="00E04081" w:rsidRPr="00A219A8" w:rsidRDefault="0070416B" w:rsidP="00A219A8">
      <w:pPr>
        <w:pStyle w:val="JuPara"/>
      </w:pPr>
      <w:r>
        <w:fldChar w:fldCharType="begin"/>
      </w:r>
      <w:r>
        <w:instrText xml:space="preserve"> SEQ level0 \*arabic </w:instrText>
      </w:r>
      <w:r>
        <w:fldChar w:fldCharType="separate"/>
      </w:r>
      <w:r w:rsidR="000D6DC4">
        <w:rPr>
          <w:noProof/>
        </w:rPr>
        <w:t>92</w:t>
      </w:r>
      <w:r>
        <w:rPr>
          <w:noProof/>
        </w:rPr>
        <w:fldChar w:fldCharType="end"/>
      </w:r>
      <w:r w:rsidR="00E04081">
        <w:t>.</w:t>
      </w:r>
      <w:r w:rsidR="00A418A3">
        <w:t xml:space="preserve"> </w:t>
      </w:r>
      <w:r w:rsidR="00E04081">
        <w:t>Trybunał podkreślił, że stwierdzenie naruszenia art. 2 Konwencji nie musi oznaczać, że Belgia ma obowiązek przekazania N.J.E. władzom hiszpańskim. To właśnie nieadekwatność podstawy faktycznej odmowy przekazania doprowadziła Trybunał do stwierdzenia naruszenia art. 2. W</w:t>
      </w:r>
      <w:r w:rsidR="00616DD0">
        <w:t> </w:t>
      </w:r>
      <w:r w:rsidR="00E04081">
        <w:t>żaden sposób nie umniejsza to obowiązku władz belgijskich do zapewnienia, że w przypadku przekazania N.J.E. władzom hiszpańskim nie będzie ona narażona na ryzyko traktowania sprzecznego z art. 3 Konwencji. Bardziej ogólnie, przedmiotowego wyroku nie należy interpretować jako zmniejszając</w:t>
      </w:r>
      <w:r w:rsidR="00616DD0">
        <w:t>ego</w:t>
      </w:r>
      <w:r w:rsidR="00E04081">
        <w:t xml:space="preserve"> obowiązek państw do zaniechania ekstradycji osoby do </w:t>
      </w:r>
      <w:r w:rsidR="00E04081">
        <w:lastRenderedPageBreak/>
        <w:t>kraju żądającego jej ekstradycji, jeżeli zachodzą istotne przesłanki do uznania, że dana osoba, w razie ekstradycji do tego kraju, stanęłaby w</w:t>
      </w:r>
      <w:r w:rsidR="00616DD0">
        <w:t> </w:t>
      </w:r>
      <w:r w:rsidR="00E04081">
        <w:t xml:space="preserve">obliczu realnego ryzyka poddania jej traktowaniu sprzecznemu z art. 3 (zob. w szczególności </w:t>
      </w:r>
      <w:proofErr w:type="spellStart"/>
      <w:r w:rsidR="00E04081">
        <w:rPr>
          <w:i/>
        </w:rPr>
        <w:t>Soering</w:t>
      </w:r>
      <w:proofErr w:type="spellEnd"/>
      <w:r w:rsidR="00E04081">
        <w:rPr>
          <w:i/>
        </w:rPr>
        <w:t xml:space="preserve"> przeciwko Zjednoczonemu Królestwu</w:t>
      </w:r>
      <w:r w:rsidR="00E04081">
        <w:t xml:space="preserve">, 7 lipca 1989 r., § 88, Seria A nr 161, </w:t>
      </w:r>
      <w:proofErr w:type="spellStart"/>
      <w:r w:rsidR="00E04081">
        <w:rPr>
          <w:i/>
        </w:rPr>
        <w:t>Mamatkoulov</w:t>
      </w:r>
      <w:proofErr w:type="spellEnd"/>
      <w:r w:rsidR="00E04081">
        <w:rPr>
          <w:i/>
        </w:rPr>
        <w:t xml:space="preserve"> i </w:t>
      </w:r>
      <w:proofErr w:type="spellStart"/>
      <w:r w:rsidR="00E04081">
        <w:rPr>
          <w:i/>
        </w:rPr>
        <w:t>Askarov</w:t>
      </w:r>
      <w:proofErr w:type="spellEnd"/>
      <w:r w:rsidR="00E04081">
        <w:rPr>
          <w:i/>
        </w:rPr>
        <w:t xml:space="preserve"> przeciwko Turcji</w:t>
      </w:r>
      <w:r w:rsidR="00E04081">
        <w:t xml:space="preserve"> [WI], skargi nr 46827/99 i 46951/99, § 67, ETPC</w:t>
      </w:r>
      <w:r w:rsidR="00BF70DD">
        <w:t xml:space="preserve"> </w:t>
      </w:r>
      <w:r w:rsidR="00E04081">
        <w:t>z 2005</w:t>
      </w:r>
      <w:r w:rsidR="00E04081">
        <w:noBreakHyphen/>
        <w:t xml:space="preserve">I, </w:t>
      </w:r>
      <w:proofErr w:type="spellStart"/>
      <w:r w:rsidR="00E04081">
        <w:rPr>
          <w:i/>
        </w:rPr>
        <w:t>Trabelsi</w:t>
      </w:r>
      <w:proofErr w:type="spellEnd"/>
      <w:r w:rsidR="00E04081">
        <w:rPr>
          <w:i/>
        </w:rPr>
        <w:t xml:space="preserve"> przeciwko Belgii</w:t>
      </w:r>
      <w:r w:rsidR="00E04081">
        <w:t>,</w:t>
      </w:r>
      <w:r w:rsidR="00BF70DD">
        <w:t xml:space="preserve"> </w:t>
      </w:r>
      <w:r w:rsidR="00E04081">
        <w:t>skarga nr 140/10, § 116, ETPC</w:t>
      </w:r>
      <w:r w:rsidR="00BF70DD">
        <w:t xml:space="preserve"> </w:t>
      </w:r>
      <w:r w:rsidR="00E04081">
        <w:t>z 2014</w:t>
      </w:r>
      <w:r w:rsidR="00834879">
        <w:t xml:space="preserve"> r.</w:t>
      </w:r>
      <w:r w:rsidR="00E04081">
        <w:t xml:space="preserve"> (fragmenty)), a tym samym </w:t>
      </w:r>
      <w:r w:rsidR="006742D2">
        <w:t xml:space="preserve">do </w:t>
      </w:r>
      <w:r w:rsidR="00E04081">
        <w:t>zapewnieni</w:t>
      </w:r>
      <w:r w:rsidR="006742D2">
        <w:t>a</w:t>
      </w:r>
      <w:r w:rsidR="00E04081">
        <w:t>, że takie ryzyko nie istnieje.</w:t>
      </w:r>
    </w:p>
    <w:p w14:paraId="79089FF0" w14:textId="77777777" w:rsidR="00E04081" w:rsidRPr="00A219A8" w:rsidRDefault="005734C4" w:rsidP="00A219A8">
      <w:pPr>
        <w:pStyle w:val="JuHIRoman"/>
        <w:rPr>
          <w:rFonts w:eastAsiaTheme="majorEastAsia"/>
        </w:rPr>
      </w:pPr>
      <w:r>
        <w:t> ZASTOSOWANIE ART. 41 KONWENCJI</w:t>
      </w:r>
    </w:p>
    <w:p w14:paraId="5AECA675" w14:textId="43B15100" w:rsidR="00E04081" w:rsidRPr="00A219A8" w:rsidRDefault="0070416B" w:rsidP="00A219A8">
      <w:pPr>
        <w:pStyle w:val="JuPara"/>
      </w:pPr>
      <w:r>
        <w:fldChar w:fldCharType="begin"/>
      </w:r>
      <w:r>
        <w:instrText xml:space="preserve"> SEQ le</w:instrText>
      </w:r>
      <w:r>
        <w:instrText xml:space="preserve">vel0 \*arabic </w:instrText>
      </w:r>
      <w:r>
        <w:fldChar w:fldCharType="separate"/>
      </w:r>
      <w:r w:rsidR="000D6DC4">
        <w:rPr>
          <w:noProof/>
        </w:rPr>
        <w:t>93</w:t>
      </w:r>
      <w:r>
        <w:rPr>
          <w:noProof/>
        </w:rPr>
        <w:fldChar w:fldCharType="end"/>
      </w:r>
      <w:r w:rsidR="00E04081">
        <w:t>.</w:t>
      </w:r>
      <w:r w:rsidR="00A418A3">
        <w:t xml:space="preserve"> </w:t>
      </w:r>
      <w:r w:rsidR="00E04081">
        <w:t>Zgodnie z art. 41 Konwencji:</w:t>
      </w:r>
    </w:p>
    <w:p w14:paraId="43BAC27A" w14:textId="77777777" w:rsidR="00E04081" w:rsidRPr="00A219A8" w:rsidRDefault="00E04081" w:rsidP="00A219A8">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6EC39257" w14:textId="77777777" w:rsidR="00E04081" w:rsidRPr="00A219A8" w:rsidRDefault="00E04081" w:rsidP="00A219A8">
      <w:pPr>
        <w:pStyle w:val="JuHA"/>
        <w:rPr>
          <w:rFonts w:eastAsiaTheme="majorEastAsia"/>
        </w:rPr>
      </w:pPr>
      <w:r>
        <w:t>Szkoda</w:t>
      </w:r>
    </w:p>
    <w:p w14:paraId="5FD21382" w14:textId="047D47AB" w:rsidR="00E04081" w:rsidRPr="00A219A8" w:rsidRDefault="0070416B" w:rsidP="00A219A8">
      <w:pPr>
        <w:pStyle w:val="JuPara"/>
      </w:pPr>
      <w:r>
        <w:fldChar w:fldCharType="begin"/>
      </w:r>
      <w:r>
        <w:instrText xml:space="preserve"> SEQ level0 \*arabic </w:instrText>
      </w:r>
      <w:r>
        <w:fldChar w:fldCharType="separate"/>
      </w:r>
      <w:r w:rsidR="000D6DC4">
        <w:rPr>
          <w:noProof/>
        </w:rPr>
        <w:t>94</w:t>
      </w:r>
      <w:r>
        <w:rPr>
          <w:noProof/>
        </w:rPr>
        <w:fldChar w:fldCharType="end"/>
      </w:r>
      <w:r w:rsidR="00E04081">
        <w:t>.</w:t>
      </w:r>
      <w:r w:rsidR="00A418A3">
        <w:t xml:space="preserve"> </w:t>
      </w:r>
      <w:r w:rsidR="00E04081">
        <w:t>Skarżący domagają się łącznej kwoty 150 000 euro („EUR”) tytułem zadośćuczynienia za szkodę niemajątkową, którą ich zdaniem ponieśli w wyniku naruszenia art. 2 Konwencji w aspekcie proceduralnym.</w:t>
      </w:r>
    </w:p>
    <w:p w14:paraId="19433E77" w14:textId="5533165B" w:rsidR="00E04081" w:rsidRPr="00A219A8" w:rsidRDefault="0070416B" w:rsidP="00A219A8">
      <w:pPr>
        <w:pStyle w:val="JuPara"/>
      </w:pPr>
      <w:r>
        <w:fldChar w:fldCharType="begin"/>
      </w:r>
      <w:r>
        <w:instrText xml:space="preserve"> SEQ level0 \*arabic </w:instrText>
      </w:r>
      <w:r>
        <w:fldChar w:fldCharType="separate"/>
      </w:r>
      <w:r w:rsidR="000D6DC4">
        <w:rPr>
          <w:noProof/>
        </w:rPr>
        <w:t>95</w:t>
      </w:r>
      <w:r>
        <w:rPr>
          <w:noProof/>
        </w:rPr>
        <w:fldChar w:fldCharType="end"/>
      </w:r>
      <w:r w:rsidR="00E04081">
        <w:t>.</w:t>
      </w:r>
      <w:r w:rsidR="00A418A3">
        <w:t xml:space="preserve"> </w:t>
      </w:r>
      <w:r w:rsidR="00E04081">
        <w:t>Rząd uważa, że dochodzona przez skarżących kwota nie jest zgodna z praktyką Trybunału w takich sprawach i w żadnym wypadku nie powinna przekraczać 5000 EUR.</w:t>
      </w:r>
    </w:p>
    <w:p w14:paraId="43C025B6" w14:textId="23ED737B" w:rsidR="00E04081" w:rsidRPr="00A219A8" w:rsidRDefault="0070416B" w:rsidP="00A219A8">
      <w:pPr>
        <w:pStyle w:val="JuPara"/>
      </w:pPr>
      <w:r>
        <w:fldChar w:fldCharType="begin"/>
      </w:r>
      <w:r>
        <w:instrText xml:space="preserve"> SEQ level0 \*arabic </w:instrText>
      </w:r>
      <w:r>
        <w:fldChar w:fldCharType="separate"/>
      </w:r>
      <w:r w:rsidR="000D6DC4">
        <w:rPr>
          <w:noProof/>
        </w:rPr>
        <w:t>96</w:t>
      </w:r>
      <w:r>
        <w:rPr>
          <w:noProof/>
        </w:rPr>
        <w:fldChar w:fldCharType="end"/>
      </w:r>
      <w:r w:rsidR="005F209E">
        <w:t>.</w:t>
      </w:r>
      <w:r w:rsidR="00A418A3">
        <w:t xml:space="preserve"> </w:t>
      </w:r>
      <w:r w:rsidR="005F209E">
        <w:t>Trybunał zauważył, że państwo belgijskie nie jest odpowiedzialne za śmierć ojca skarżących ani za związane z nim cierpienie. Uważa jednak, że brak współpracy ze strony władz belgijskich, który doprowadził do braku możliwości ścigania domniemanego sprawcy zabójstwa ich ojca, musiał wywołać u nich znaczny niepokój i frustrację. Orzekając na zasadzie słuszności, jak wymaga tego art. 41, Trybunał przyznaje każdemu ze skarżących kwotę 5000 EUR z tego tytułu.</w:t>
      </w:r>
    </w:p>
    <w:p w14:paraId="3D737FB9" w14:textId="77777777" w:rsidR="00E04081" w:rsidRPr="00A219A8" w:rsidRDefault="005F209E" w:rsidP="00A219A8">
      <w:pPr>
        <w:pStyle w:val="JuHA"/>
        <w:rPr>
          <w:rFonts w:eastAsiaTheme="majorEastAsia"/>
        </w:rPr>
      </w:pPr>
      <w:r>
        <w:t>Koszty i wydatki</w:t>
      </w:r>
    </w:p>
    <w:p w14:paraId="12F7B66C" w14:textId="6964E648" w:rsidR="00E04081" w:rsidRPr="00A219A8" w:rsidRDefault="0070416B" w:rsidP="00A219A8">
      <w:pPr>
        <w:pStyle w:val="JuPara"/>
      </w:pPr>
      <w:r>
        <w:fldChar w:fldCharType="begin"/>
      </w:r>
      <w:r>
        <w:instrText xml:space="preserve"> SEQ level0 \*arabic </w:instrText>
      </w:r>
      <w:r>
        <w:fldChar w:fldCharType="separate"/>
      </w:r>
      <w:r w:rsidR="000D6DC4">
        <w:rPr>
          <w:noProof/>
        </w:rPr>
        <w:t>97</w:t>
      </w:r>
      <w:r>
        <w:rPr>
          <w:noProof/>
        </w:rPr>
        <w:fldChar w:fldCharType="end"/>
      </w:r>
      <w:r w:rsidR="00E04081">
        <w:t>.</w:t>
      </w:r>
      <w:r w:rsidR="00A418A3">
        <w:t xml:space="preserve"> </w:t>
      </w:r>
      <w:r w:rsidR="00E04081">
        <w:t>Przedstawiając stosowne dowody, skarżący domagają się również kwoty 7260 EUR tytułem zwrotu kosztów i wydatków poniesionych w</w:t>
      </w:r>
      <w:r w:rsidR="0003568D">
        <w:t> </w:t>
      </w:r>
      <w:r w:rsidR="00E04081">
        <w:t>ramach postępowania przed Trybunałem.</w:t>
      </w:r>
    </w:p>
    <w:p w14:paraId="441E1B62" w14:textId="5EE34E04" w:rsidR="00E04081" w:rsidRPr="00A219A8" w:rsidRDefault="0070416B" w:rsidP="00A219A8">
      <w:pPr>
        <w:pStyle w:val="JuPara"/>
      </w:pPr>
      <w:r>
        <w:fldChar w:fldCharType="begin"/>
      </w:r>
      <w:r>
        <w:instrText xml:space="preserve"> SEQ level0 \*arabic </w:instrText>
      </w:r>
      <w:r>
        <w:fldChar w:fldCharType="separate"/>
      </w:r>
      <w:r w:rsidR="000D6DC4">
        <w:rPr>
          <w:noProof/>
        </w:rPr>
        <w:t>98</w:t>
      </w:r>
      <w:r>
        <w:rPr>
          <w:noProof/>
        </w:rPr>
        <w:fldChar w:fldCharType="end"/>
      </w:r>
      <w:r w:rsidR="00E04081">
        <w:t>.</w:t>
      </w:r>
      <w:r w:rsidR="00A418A3">
        <w:t xml:space="preserve"> </w:t>
      </w:r>
      <w:r w:rsidR="00E04081">
        <w:t>Rząd pozostawia tę kwestię do rozstrzygnięcia Trybunałowi.</w:t>
      </w:r>
    </w:p>
    <w:p w14:paraId="520D69C0" w14:textId="753FC432" w:rsidR="00E04081" w:rsidRPr="00A219A8" w:rsidRDefault="0070416B" w:rsidP="00A219A8">
      <w:pPr>
        <w:pStyle w:val="JuPara"/>
      </w:pPr>
      <w:r>
        <w:fldChar w:fldCharType="begin"/>
      </w:r>
      <w:r>
        <w:instrText xml:space="preserve"> SEQ level0 \*arabic </w:instrText>
      </w:r>
      <w:r>
        <w:fldChar w:fldCharType="separate"/>
      </w:r>
      <w:r w:rsidR="000D6DC4">
        <w:rPr>
          <w:noProof/>
        </w:rPr>
        <w:t>99</w:t>
      </w:r>
      <w:r>
        <w:rPr>
          <w:noProof/>
        </w:rPr>
        <w:fldChar w:fldCharType="end"/>
      </w:r>
      <w:r w:rsidR="00E04081">
        <w:t>.</w:t>
      </w:r>
      <w:r w:rsidR="00A418A3">
        <w:t xml:space="preserve"> </w:t>
      </w:r>
      <w:r w:rsidR="00E04081">
        <w:t>Zgodnie z orzecznictwem Trybunału skarżący jest uprawniony do zwrotu poniesionych kosztów i wydatków tylko do wysokości</w:t>
      </w:r>
      <w:r w:rsidR="000D6DC4">
        <w:t>,</w:t>
      </w:r>
      <w:r w:rsidR="00E04081">
        <w:t xml:space="preserve"> do której wykaże, że zostały one faktycznie poniesione, były konieczne i uzasadnione co do wysokości. W niniejszej sprawie, w świetle posiadanych dokumentów, </w:t>
      </w:r>
      <w:r w:rsidR="00E04081">
        <w:lastRenderedPageBreak/>
        <w:t>Trybunał uznaje za uzasadnioną kwotę dochodzoną w</w:t>
      </w:r>
      <w:r w:rsidR="0003568D">
        <w:t> </w:t>
      </w:r>
      <w:r w:rsidR="00E04081">
        <w:t>związku z postępowaniem przed Trybunałem i zasądza ją na rzecz skarżących.</w:t>
      </w:r>
    </w:p>
    <w:p w14:paraId="679EBAD9" w14:textId="77777777" w:rsidR="00E04081" w:rsidRPr="00A219A8" w:rsidRDefault="00E04081" w:rsidP="00A219A8">
      <w:pPr>
        <w:pStyle w:val="JuHA"/>
        <w:rPr>
          <w:rFonts w:eastAsiaTheme="majorEastAsia"/>
        </w:rPr>
      </w:pPr>
      <w:r>
        <w:t>Odsetki za zwłokę</w:t>
      </w:r>
    </w:p>
    <w:p w14:paraId="4F72F757" w14:textId="2A56996B" w:rsidR="00E04081" w:rsidRPr="00A219A8" w:rsidRDefault="0070416B" w:rsidP="00A219A8">
      <w:pPr>
        <w:pStyle w:val="JuPara"/>
      </w:pPr>
      <w:r>
        <w:fldChar w:fldCharType="begin"/>
      </w:r>
      <w:r>
        <w:instrText xml:space="preserve"> SEQ level0 \*ar</w:instrText>
      </w:r>
      <w:r>
        <w:instrText xml:space="preserve">abic </w:instrText>
      </w:r>
      <w:r>
        <w:fldChar w:fldCharType="separate"/>
      </w:r>
      <w:r w:rsidR="000D6DC4">
        <w:rPr>
          <w:noProof/>
        </w:rPr>
        <w:t>100</w:t>
      </w:r>
      <w:r>
        <w:rPr>
          <w:noProof/>
        </w:rPr>
        <w:fldChar w:fldCharType="end"/>
      </w:r>
      <w:r w:rsidR="00E04081">
        <w:t>.</w:t>
      </w:r>
      <w:r w:rsidR="00A418A3">
        <w:t xml:space="preserve"> </w:t>
      </w:r>
      <w:r w:rsidR="00E04081">
        <w:t>Trybunał za słuszne uznaje wyznaczenie wysokości odsetek za zwłokę na podstawie marginalnej stopy procentowej Europejskiego Banku Centralnego powiększonej o trzy punkty procentowe.</w:t>
      </w:r>
    </w:p>
    <w:p w14:paraId="08879CA6" w14:textId="77777777" w:rsidR="00E04081" w:rsidRPr="00A219A8" w:rsidRDefault="00E04081" w:rsidP="00A219A8">
      <w:pPr>
        <w:pStyle w:val="JuHHead"/>
        <w:spacing w:before="360" w:beforeAutospacing="0"/>
      </w:pPr>
      <w:r>
        <w:t>Z TYCH WZGLĘDÓW TRYBUNAŁ JEDNOGŁOŚNIE</w:t>
      </w:r>
    </w:p>
    <w:p w14:paraId="55915030" w14:textId="77777777" w:rsidR="00E04081" w:rsidRPr="00A219A8" w:rsidRDefault="00E04081" w:rsidP="00A219A8">
      <w:pPr>
        <w:pStyle w:val="JuList"/>
        <w:keepNext/>
        <w:keepLines/>
      </w:pPr>
      <w:r>
        <w:rPr>
          <w:i/>
          <w:iCs/>
        </w:rPr>
        <w:t>uznaje</w:t>
      </w:r>
      <w:r>
        <w:t xml:space="preserve"> skargę za dopuszczalną;</w:t>
      </w:r>
    </w:p>
    <w:p w14:paraId="42BE3102" w14:textId="77777777" w:rsidR="00E04081" w:rsidRPr="00A219A8" w:rsidRDefault="00E04081" w:rsidP="00A219A8">
      <w:pPr>
        <w:pStyle w:val="JuList"/>
        <w:keepNext/>
        <w:keepLines/>
      </w:pPr>
      <w:r>
        <w:rPr>
          <w:i/>
          <w:iCs/>
        </w:rPr>
        <w:t>uznaje</w:t>
      </w:r>
      <w:r>
        <w:t>, że doszło do naruszenia art. 2 Konwencji w jego aspekcie proceduralnym;</w:t>
      </w:r>
    </w:p>
    <w:p w14:paraId="156ADEF7" w14:textId="77777777" w:rsidR="00E04081" w:rsidRPr="00A219A8" w:rsidRDefault="00E04081" w:rsidP="00A219A8">
      <w:pPr>
        <w:pStyle w:val="JuList"/>
        <w:keepNext/>
        <w:keepLines/>
        <w:rPr>
          <w:i/>
        </w:rPr>
      </w:pPr>
      <w:r>
        <w:rPr>
          <w:i/>
          <w:iCs/>
        </w:rPr>
        <w:t>uznaje</w:t>
      </w:r>
    </w:p>
    <w:p w14:paraId="3FF856EA" w14:textId="57485D09" w:rsidR="00E04081" w:rsidRPr="00A219A8" w:rsidRDefault="008810C1" w:rsidP="00A219A8">
      <w:pPr>
        <w:pStyle w:val="JuLista"/>
      </w:pPr>
      <w:r>
        <w:t>że pozwane państwo winno, w terminie trzech miesięcy od daty, w</w:t>
      </w:r>
      <w:r w:rsidR="0003568D">
        <w:t> </w:t>
      </w:r>
      <w:r>
        <w:t>której niniejszy wyrok stanie się ostateczny zgodnie z art. 44 ust. 2 Konwencji, uiścić na rzecz skarżących następujące kwoty:</w:t>
      </w:r>
    </w:p>
    <w:p w14:paraId="352B16CA" w14:textId="77777777" w:rsidR="00E04081" w:rsidRPr="00A219A8" w:rsidRDefault="00E04081" w:rsidP="00A219A8">
      <w:pPr>
        <w:pStyle w:val="JuListi"/>
      </w:pPr>
      <w:r>
        <w:t>5000 EUR (pięć tysięcy euro) na rzecz każdego ze skarżących, plus wszelkie należne podatki, tytułem zadośćuczynienia za szkodę niemajątkową;</w:t>
      </w:r>
    </w:p>
    <w:p w14:paraId="51161DAC" w14:textId="0E2600D5" w:rsidR="00E04081" w:rsidRPr="00A219A8" w:rsidRDefault="00E04081" w:rsidP="00A219A8">
      <w:pPr>
        <w:pStyle w:val="JuListi"/>
      </w:pPr>
      <w:r>
        <w:t>7260 EUR (siedem tysięcy dwieście sześćdziesiąt euro), plus wszelkie należne podatki, tytułem poniesionych kosztów i</w:t>
      </w:r>
      <w:r w:rsidR="0003568D">
        <w:t> </w:t>
      </w:r>
      <w:r>
        <w:t>wydatków;</w:t>
      </w:r>
    </w:p>
    <w:p w14:paraId="587D249A" w14:textId="77777777" w:rsidR="00E04081" w:rsidRPr="00A219A8" w:rsidRDefault="00E04081" w:rsidP="00A219A8">
      <w:pPr>
        <w:pStyle w:val="JuLista"/>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53F20EF9" w14:textId="77777777" w:rsidR="00E04081" w:rsidRPr="00A219A8" w:rsidRDefault="00E04081" w:rsidP="00A219A8">
      <w:pPr>
        <w:pStyle w:val="JuList"/>
      </w:pPr>
      <w:r>
        <w:rPr>
          <w:i/>
          <w:iCs/>
        </w:rPr>
        <w:t>oddala</w:t>
      </w:r>
      <w:r>
        <w:t xml:space="preserve"> pozostałe żądania skarżącego w zakresie słusznego zadośćuczynienia.</w:t>
      </w:r>
    </w:p>
    <w:p w14:paraId="083536EF" w14:textId="77777777" w:rsidR="00E04081" w:rsidRPr="00A219A8" w:rsidRDefault="00E04081" w:rsidP="00A219A8">
      <w:pPr>
        <w:pStyle w:val="JuPara"/>
        <w:spacing w:before="240"/>
      </w:pPr>
      <w:r>
        <w:t>Sporządzono w języku francuskim i obwieszczono pisemnie w dniu 9 lipca 2019 r., zgodnie z Regułą 77 §§ 2 i 3 Regulaminu Trybunału.</w:t>
      </w:r>
    </w:p>
    <w:p w14:paraId="7C892572" w14:textId="77777777" w:rsidR="00E04081" w:rsidRPr="00A219A8" w:rsidRDefault="00E04081" w:rsidP="00A219A8">
      <w:pPr>
        <w:pStyle w:val="JuSigned"/>
      </w:pPr>
      <w:r>
        <w:t xml:space="preserve">Stanley </w:t>
      </w:r>
      <w:proofErr w:type="spellStart"/>
      <w:r>
        <w:t>Naismith</w:t>
      </w:r>
      <w:proofErr w:type="spellEnd"/>
      <w:r>
        <w:tab/>
        <w:t>Robert Spano</w:t>
      </w:r>
      <w:r>
        <w:br/>
      </w:r>
      <w:r>
        <w:tab/>
        <w:t>Kanclerz</w:t>
      </w:r>
      <w:r>
        <w:tab/>
        <w:t>Przewodniczący</w:t>
      </w:r>
    </w:p>
    <w:p w14:paraId="346E7037" w14:textId="77777777" w:rsidR="008C4407" w:rsidRPr="00A219A8" w:rsidRDefault="008C4407" w:rsidP="00A219A8"/>
    <w:p w14:paraId="0BD3B3BE" w14:textId="77777777" w:rsidR="008C4407" w:rsidRPr="00A219A8" w:rsidRDefault="008C4407" w:rsidP="00A219A8">
      <w:pPr>
        <w:pStyle w:val="JuParaLast"/>
        <w:spacing w:before="360"/>
      </w:pPr>
      <w:r>
        <w:lastRenderedPageBreak/>
        <w:t>Zgodnie z art. 45 ust. 2 Konwencji i Regułą 74 § 2 Regulaminu Trybunału do niniejszego wyroku załączono opinię odrębną sędziego Spano, z którą zgadza się sędzia Pavli.</w:t>
      </w:r>
    </w:p>
    <w:p w14:paraId="53A3379F" w14:textId="77777777" w:rsidR="008C4407" w:rsidRPr="00A219A8" w:rsidRDefault="00601F53" w:rsidP="00A219A8">
      <w:pPr>
        <w:pStyle w:val="JuInitialled"/>
      </w:pPr>
      <w:r>
        <w:t>R.S.</w:t>
      </w:r>
      <w:r>
        <w:br/>
        <w:t>S.H.N.</w:t>
      </w:r>
    </w:p>
    <w:p w14:paraId="3799A00F" w14:textId="77777777" w:rsidR="005734C4" w:rsidRPr="00A219A8" w:rsidRDefault="005734C4" w:rsidP="00A219A8">
      <w:pPr>
        <w:pStyle w:val="JuInitialled"/>
      </w:pPr>
    </w:p>
    <w:p w14:paraId="1B9E3C5D" w14:textId="77777777" w:rsidR="00AE5FA0" w:rsidRPr="00A219A8" w:rsidRDefault="00AE5FA0" w:rsidP="00A219A8">
      <w:pPr>
        <w:sectPr w:rsidR="00AE5FA0" w:rsidRPr="00A219A8">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noEndnote/>
        </w:sectPr>
      </w:pPr>
    </w:p>
    <w:p w14:paraId="207E7841" w14:textId="77777777" w:rsidR="00CB3286" w:rsidRPr="00A219A8" w:rsidRDefault="00CB3286" w:rsidP="00A219A8">
      <w:pPr>
        <w:pStyle w:val="ECHRTitleCentre1"/>
      </w:pPr>
      <w:r>
        <w:lastRenderedPageBreak/>
        <w:t>ZBIEŻNA OPINIA SĘDZIEGO SPANO, Z KTÓRĄ ZGADZA SIĘ SĘDZIA PAVLI</w:t>
      </w:r>
    </w:p>
    <w:p w14:paraId="2ED81F7E" w14:textId="77777777" w:rsidR="00CB3286" w:rsidRPr="00A219A8" w:rsidRDefault="00CB3286" w:rsidP="00A219A8">
      <w:pPr>
        <w:pStyle w:val="JuPara"/>
        <w:jc w:val="center"/>
        <w:rPr>
          <w:i/>
        </w:rPr>
      </w:pPr>
      <w:r>
        <w:t>(</w:t>
      </w:r>
      <w:r>
        <w:rPr>
          <w:i/>
        </w:rPr>
        <w:t>Tłumaczenie</w:t>
      </w:r>
      <w:r>
        <w:t>)</w:t>
      </w:r>
    </w:p>
    <w:p w14:paraId="343D025C" w14:textId="77777777" w:rsidR="00CB3286" w:rsidRPr="000D6DC4" w:rsidRDefault="00CB3286" w:rsidP="00A219A8">
      <w:pPr>
        <w:pStyle w:val="JuPara"/>
      </w:pPr>
    </w:p>
    <w:p w14:paraId="2390583E" w14:textId="77777777" w:rsidR="006E4FA5" w:rsidRPr="00A219A8" w:rsidRDefault="006E4FA5" w:rsidP="00A219A8">
      <w:pPr>
        <w:pStyle w:val="OpiPara"/>
        <w:jc w:val="center"/>
      </w:pPr>
      <w:r>
        <w:t>I.</w:t>
      </w:r>
    </w:p>
    <w:p w14:paraId="73960DAC" w14:textId="48DB65CE" w:rsidR="006E4FA5" w:rsidRPr="00A219A8" w:rsidRDefault="006E4FA5" w:rsidP="00A219A8">
      <w:pPr>
        <w:pStyle w:val="OpiPara"/>
        <w:rPr>
          <w:i/>
        </w:rPr>
      </w:pPr>
      <w:r>
        <w:t>1.</w:t>
      </w:r>
      <w:r w:rsidR="00A418A3">
        <w:t xml:space="preserve"> </w:t>
      </w:r>
      <w:r>
        <w:t>Europejska konwencja praw człowieka nie funkcjonuje w oderwaniu od regionalnego kontekstu jej stosowania. Dwadzieścia osiem z 47 państw członkowskich Rady Europy jest również członkami Unii Europejskiej („UE”). Chodzi zatem o pogodzenie minimalnych gwarancji praw człowieka określonych w Konwencji z potrzebą jednolitości i harmonizacji norm w prawie UE, które muszą być również zgodne z Kartą praw podstawowych UE, której treść musi uwzględniać zmiany w Trybunale, w</w:t>
      </w:r>
      <w:r w:rsidR="00156236">
        <w:t> </w:t>
      </w:r>
      <w:r>
        <w:t>przypadku gdy prawa wynikające z Karty odpowiadają prawom wynikającym z Konwencji (zob. art. 52 ust. 3 Karty). To „dążenie do symetrii” jest szczególnie widoczne w unijnych mechanizmach wzajemnego uznawania, które opierają się na zasadzie wzajemnego zaufania, co było przedmiotem niedawnej analizy Trybunału w wyroku Wielkiej Izby w</w:t>
      </w:r>
      <w:r w:rsidR="00156236">
        <w:t> </w:t>
      </w:r>
      <w:r>
        <w:t xml:space="preserve">sprawie </w:t>
      </w:r>
      <w:proofErr w:type="spellStart"/>
      <w:r>
        <w:rPr>
          <w:i/>
        </w:rPr>
        <w:t>Avotiņš</w:t>
      </w:r>
      <w:proofErr w:type="spellEnd"/>
      <w:r>
        <w:rPr>
          <w:i/>
        </w:rPr>
        <w:t xml:space="preserve"> przeciwko Łotwie</w:t>
      </w:r>
      <w:r>
        <w:t xml:space="preserve"> [WI] (skarga nr 17502/07</w:t>
      </w:r>
      <w:r>
        <w:rPr>
          <w:snapToGrid w:val="0"/>
        </w:rPr>
        <w:t>, 23 maja 2016</w:t>
      </w:r>
      <w:r w:rsidR="00156236">
        <w:rPr>
          <w:snapToGrid w:val="0"/>
        </w:rPr>
        <w:t> </w:t>
      </w:r>
      <w:r>
        <w:rPr>
          <w:snapToGrid w:val="0"/>
        </w:rPr>
        <w:t xml:space="preserve">r.), a następnie znalazło zastosowanie w kontekście europejskiego nakazu aresztowania („ENA”) w sprawie </w:t>
      </w:r>
      <w:proofErr w:type="spellStart"/>
      <w:r>
        <w:rPr>
          <w:i/>
          <w:iCs/>
          <w:snapToGrid w:val="0"/>
        </w:rPr>
        <w:t>Pirozzi</w:t>
      </w:r>
      <w:proofErr w:type="spellEnd"/>
      <w:r>
        <w:rPr>
          <w:i/>
          <w:iCs/>
          <w:snapToGrid w:val="0"/>
        </w:rPr>
        <w:t xml:space="preserve"> przeciwko Belgii</w:t>
      </w:r>
      <w:r>
        <w:rPr>
          <w:snapToGrid w:val="0"/>
        </w:rPr>
        <w:t xml:space="preserve">, </w:t>
      </w:r>
      <w:r>
        <w:t>skarga nr 21055/11, § 60, 17 kwietnia 2018 r.).</w:t>
      </w:r>
      <w:r>
        <w:rPr>
          <w:snapToGrid w:val="0"/>
        </w:rPr>
        <w:t xml:space="preserve"> Napięcia, które często mogą powstawać na tym tle, są szczególnie widoczne w niniejszej sprawie.</w:t>
      </w:r>
    </w:p>
    <w:p w14:paraId="5E9786CE" w14:textId="7F06B0B5" w:rsidR="006E4FA5" w:rsidRPr="00A219A8" w:rsidRDefault="006E4FA5" w:rsidP="00A219A8">
      <w:pPr>
        <w:pStyle w:val="OpiPara"/>
      </w:pPr>
      <w:r>
        <w:t>2.</w:t>
      </w:r>
      <w:r w:rsidR="00A418A3">
        <w:t xml:space="preserve"> </w:t>
      </w:r>
      <w:r>
        <w:t>W niniejszej sprawie Trybunał po raz pierwszy zetknął się z</w:t>
      </w:r>
      <w:r w:rsidR="00230CFC">
        <w:t> </w:t>
      </w:r>
      <w:r>
        <w:t>następującymi okolicznościami: sądy krajowe jednego państwa członkowskiego UE (Belgii) dwukrotnie odmówiły wykonania ENA wydanego przez inne państwo członkowskie UE (Hiszpanię) na podstawie oceny ryzyka dokonanej w świetle art. 3 Konwencji. Jednakże Trybunał stwierdza obecnie – moim zdaniem słusznie – że analiza tej odmowy wykonania ENA z punktu widzenia obowiązku współpracy ze strony Belgii na podstawie aspektu proceduralnego art. 2 Konwencji prowadzi do wniosku, że pozwany Rząd naruszył to postanowienie Konwencji z uwagi na to, że podstawa faktyczna odmowy była niewystarczająca.</w:t>
      </w:r>
    </w:p>
    <w:p w14:paraId="761B6878" w14:textId="3EB60DDC" w:rsidR="006E4FA5" w:rsidRPr="00A219A8" w:rsidRDefault="006E4FA5" w:rsidP="00A219A8">
      <w:pPr>
        <w:pStyle w:val="OpiPara"/>
      </w:pPr>
      <w:r>
        <w:t>3.</w:t>
      </w:r>
      <w:r w:rsidR="00A418A3">
        <w:t xml:space="preserve"> </w:t>
      </w:r>
      <w:r>
        <w:t>Opinię odrębną redaguję, by zwrócić uwagę na trzy następujące elementy, które moim zdaniem są niezbędne do pełnego zrozumienia dzisiejszego ważnego wyroku, zwłaszcza w kontekście prawa UE.</w:t>
      </w:r>
    </w:p>
    <w:p w14:paraId="1483C96B" w14:textId="77777777" w:rsidR="006E4FA5" w:rsidRPr="000D6DC4" w:rsidRDefault="006E4FA5" w:rsidP="00A219A8">
      <w:pPr>
        <w:pStyle w:val="OpiPara"/>
      </w:pPr>
    </w:p>
    <w:p w14:paraId="1ED2D13C" w14:textId="77777777" w:rsidR="006E4FA5" w:rsidRPr="00A219A8" w:rsidRDefault="006E4FA5" w:rsidP="00A219A8">
      <w:pPr>
        <w:pStyle w:val="OpiPara"/>
        <w:jc w:val="center"/>
      </w:pPr>
      <w:r>
        <w:t>II.</w:t>
      </w:r>
    </w:p>
    <w:p w14:paraId="18B1A997" w14:textId="128036C3" w:rsidR="006E4FA5" w:rsidRPr="00A219A8" w:rsidRDefault="006E4FA5" w:rsidP="00A219A8">
      <w:pPr>
        <w:pStyle w:val="OpiPara"/>
      </w:pPr>
      <w:r>
        <w:t>4.</w:t>
      </w:r>
      <w:r w:rsidR="00A418A3">
        <w:t xml:space="preserve"> </w:t>
      </w:r>
      <w:r>
        <w:rPr>
          <w:i/>
        </w:rPr>
        <w:t>Po pierwsze</w:t>
      </w:r>
      <w:r>
        <w:t xml:space="preserve">, w wyroku Trybunału </w:t>
      </w:r>
      <w:r>
        <w:rPr>
          <w:i/>
        </w:rPr>
        <w:t>obowiązek współpracy</w:t>
      </w:r>
      <w:r>
        <w:t xml:space="preserve"> wynikający z proceduralnego aspektu art. 2 Konwencji, ostatnio sprecyzowany w wyroku Wielkiej Izby wydanym w sprawie </w:t>
      </w:r>
      <w:proofErr w:type="spellStart"/>
      <w:r>
        <w:rPr>
          <w:i/>
        </w:rPr>
        <w:t>Güzelyurtlu</w:t>
      </w:r>
      <w:proofErr w:type="spellEnd"/>
      <w:r>
        <w:rPr>
          <w:i/>
        </w:rPr>
        <w:t xml:space="preserve"> i</w:t>
      </w:r>
      <w:r w:rsidR="00230CFC">
        <w:rPr>
          <w:i/>
        </w:rPr>
        <w:t> </w:t>
      </w:r>
      <w:r>
        <w:rPr>
          <w:i/>
        </w:rPr>
        <w:t xml:space="preserve">Inni przeciwko Turcji i Cyprowi </w:t>
      </w:r>
      <w:r>
        <w:t>([WI], skarg</w:t>
      </w:r>
      <w:r w:rsidR="001E2251">
        <w:t>a</w:t>
      </w:r>
      <w:r>
        <w:t xml:space="preserve"> nr 36925/07, §§ 222-238, 29 stycznia 2019 r.), po raz pierwszy aktualizuje się w sprawie dotyczącej systemu ENA. Innymi słowy, „obowiązek współpracy” jest zależny od kontekstu, ponieważ jest funkcją </w:t>
      </w:r>
      <w:r>
        <w:lastRenderedPageBreak/>
        <w:t xml:space="preserve">ram normatywnych współpracy ponadnarodowej mających zastosowanie w danym przypadku, jak wynika z paragrafu 235 wyroku w sprawie </w:t>
      </w:r>
      <w:proofErr w:type="spellStart"/>
      <w:r>
        <w:rPr>
          <w:i/>
        </w:rPr>
        <w:t>Güzelyurtlu</w:t>
      </w:r>
      <w:proofErr w:type="spellEnd"/>
      <w:r>
        <w:t>, przytoczonej w paragrafie 81 niniejszego wyroku. W przypadku</w:t>
      </w:r>
      <w:r w:rsidR="001E2251">
        <w:t>,</w:t>
      </w:r>
      <w:r>
        <w:t xml:space="preserve"> gdy państwa członkowskie UE powołują się na wzajemne zobowiązania wynikające z decyzji ramowej 2002/584/WS</w:t>
      </w:r>
      <w:r w:rsidR="001E2251">
        <w:t xml:space="preserve"> </w:t>
      </w:r>
      <w:r>
        <w:t>i</w:t>
      </w:r>
      <w:r w:rsidR="001E2251">
        <w:t xml:space="preserve"> </w:t>
      </w:r>
      <w:r>
        <w:t xml:space="preserve">SW w sprawie ENA z 2002 r., którą transponowały do swoich porządków prawnych, jednocześnie w grę może wchodzić „obowiązek współpracy” oparty na art. 2 Konwencji. W takiej sytuacji ostateczną instancją rozstrzygającą jest Trybunał. Trybunał musi przy tym rozważyć, czy wywiązano się z obowiązku współpracy w ramach ENA, starannie formułując swoją ocenę w sposób, który z jednej strony uwzględnia zasady ustanowione już w jego orzecznictwie dotyczącym art. 2 i 3 </w:t>
      </w:r>
      <w:r w:rsidR="001E2251">
        <w:t>K</w:t>
      </w:r>
      <w:r>
        <w:t>onwencji, a z drugiej strony zachowuje w jak największym stopniu wymaganą „symetrię” między prawem konwencyjnym a prawem UE, tak aby nie naruszyć delikatnej równowagi między obowiązkami i</w:t>
      </w:r>
      <w:r w:rsidR="00A21566">
        <w:t> </w:t>
      </w:r>
      <w:r>
        <w:t>zobowiązaniami wynikającymi z systemu współpracy w ramach ENA.</w:t>
      </w:r>
    </w:p>
    <w:p w14:paraId="72C3C192" w14:textId="4E37AA96" w:rsidR="006E4FA5" w:rsidRPr="00A219A8" w:rsidRDefault="006E4FA5" w:rsidP="00A219A8">
      <w:pPr>
        <w:pStyle w:val="OpiPara"/>
        <w:rPr>
          <w:i/>
        </w:rPr>
      </w:pPr>
      <w:r>
        <w:t>5.</w:t>
      </w:r>
      <w:r w:rsidR="00A418A3">
        <w:t xml:space="preserve"> </w:t>
      </w:r>
      <w:r>
        <w:rPr>
          <w:i/>
        </w:rPr>
        <w:t>Po drugie</w:t>
      </w:r>
      <w:r>
        <w:t xml:space="preserve">, zgodnie z paragrafem 236 wyroku Trybunału w sprawie </w:t>
      </w:r>
      <w:proofErr w:type="spellStart"/>
      <w:r>
        <w:rPr>
          <w:i/>
        </w:rPr>
        <w:t>Güzelyurtlu</w:t>
      </w:r>
      <w:proofErr w:type="spellEnd"/>
      <w:r>
        <w:t xml:space="preserve">, państwo, do którego zwrócono się o współpracę w ramach postępowania przygotowawczego prowadzonego przeciwko osobie podejrzanej o zabójstwo popełnione na terytorium państwa wnioskującego, może odmówić współpracy tylko z „uzasadnionych powodów”. Moim zdaniem, w koncepcji tej występują dwa elementy, które Trybunał analizuje na zasadzie </w:t>
      </w:r>
      <w:r>
        <w:rPr>
          <w:i/>
        </w:rPr>
        <w:t>prima facie</w:t>
      </w:r>
      <w:r>
        <w:t xml:space="preserve">. Z jednej strony odmowa musi być zasadniczo zgodna z normami mającymi zastosowanie w ramach współpracy ponadnarodowej, a z drugiej strony musi znajdować wystarczające potwierdzenie w okolicznościach faktycznych, które władze państwa wezwanego przedstawiły na uzasadnienie swojej decyzji, biorąc również pod uwagę prawa osób trzecich wynikające z Konwencji. To właśnie tego drugiego elementu zabrakło w niniejszej sprawie (paragrafy 86-90 wyroku) i to on leży u podstaw stwierdzenia naruszenia przez Trybunał. Niemniej jednak, jak wyjaśniono w paragrafie 92 wyroku, stwierdzenie to w żaden sposób nie oznacza, że rząd belgijski jest zobowiązany do wykonania ENA wydanego przez władze hiszpańskie. Oznacza to po prostu tyle, że rząd belgijski nie zdołał przekonać Trybunału, że sądy krajowe miały wystarczająco solidną podstawę faktyczną do stwierdzenia, że wykonanie ENA skutkowałoby konkretnym i zindywidualizowanym ryzykiem złego traktowania oskarżonej w Hiszpanii, co było wymagane przez orzecznictwo dotyczące art. 3, a także biorąc pod uwagę kontekst niniejszej sprawy (zob. jako najnowszy przykład, </w:t>
      </w:r>
      <w:r>
        <w:rPr>
          <w:i/>
        </w:rPr>
        <w:t>A.M. przeciwko Francji</w:t>
      </w:r>
      <w:r>
        <w:t>, skarga nr 12148/18,</w:t>
      </w:r>
      <w:r>
        <w:rPr>
          <w:snapToGrid w:val="0"/>
        </w:rPr>
        <w:t>§§ 117 i 119, 29 kwietnia 2019 r.)</w:t>
      </w:r>
      <w:r>
        <w:t>.</w:t>
      </w:r>
    </w:p>
    <w:p w14:paraId="5AE5F553" w14:textId="10FBF138" w:rsidR="009E30E7" w:rsidRPr="00A219A8" w:rsidRDefault="006E4FA5" w:rsidP="00A219A8">
      <w:pPr>
        <w:pStyle w:val="OpiPara"/>
      </w:pPr>
      <w:r>
        <w:t>6.</w:t>
      </w:r>
      <w:r w:rsidR="00A418A3">
        <w:t xml:space="preserve"> </w:t>
      </w:r>
      <w:r>
        <w:rPr>
          <w:i/>
        </w:rPr>
        <w:t>Po trzecie</w:t>
      </w:r>
      <w:r>
        <w:t xml:space="preserve">, jak wynika z paragrafu 234 wyroku w sprawie </w:t>
      </w:r>
      <w:proofErr w:type="spellStart"/>
      <w:r>
        <w:rPr>
          <w:i/>
        </w:rPr>
        <w:t>Güzelyurtlu</w:t>
      </w:r>
      <w:proofErr w:type="spellEnd"/>
      <w:r>
        <w:t xml:space="preserve">, </w:t>
      </w:r>
      <w:r>
        <w:rPr>
          <w:i/>
        </w:rPr>
        <w:t>obowiązek współpracy</w:t>
      </w:r>
      <w:r>
        <w:t xml:space="preserve"> ze strony państw członkowskich Rady Europy „jest zgodny ze skuteczną ochroną prawa do życia gwarantowaną przez art. 2. Odmienny wniosek byłby sprzeczny z obowiązkiem państwa wynikającym z </w:t>
      </w:r>
      <w:r>
        <w:lastRenderedPageBreak/>
        <w:t>art. 2 do ochrony prawa do życia, w połączeniu z ogólnym obowiązkiem państwa wynikającym z art. 1 do „zapewnienia każdemu człowiekowi, podlegającemu ich jurysdykcji, praw i wolności określonych w [...] konwencji”. W rezultacie utrudniłoby to prowadzenie postępowania karnego w sprawie zabójstw, których sprawcy pozostawaliby bezkarni. Taki rezultat mógłby godzić w sam cel ochrony zapewnionej przez art. 2 i</w:t>
      </w:r>
      <w:r w:rsidR="00A21566">
        <w:t> </w:t>
      </w:r>
      <w:r>
        <w:t>uczynić gwarancje związane z prawem do życia iluzorycznymi.</w:t>
      </w:r>
    </w:p>
    <w:p w14:paraId="43015196" w14:textId="3FB30ED1" w:rsidR="006E4FA5" w:rsidRPr="00A219A8" w:rsidRDefault="006E4FA5" w:rsidP="00A219A8">
      <w:pPr>
        <w:pStyle w:val="OpiPara"/>
      </w:pPr>
      <w:r>
        <w:t>7.</w:t>
      </w:r>
      <w:r w:rsidR="00A418A3">
        <w:t xml:space="preserve"> </w:t>
      </w:r>
      <w:r>
        <w:t>Jak wynika z utrwalonego orzecznictwa Trybunału, zakaz ustanowiony w art. 3 Konwencji ma charakter absolutny. Żadnego z</w:t>
      </w:r>
      <w:r w:rsidR="00750F95">
        <w:t> </w:t>
      </w:r>
      <w:r>
        <w:t>paragrafów niniejszego wyroku nie należy interpretować w inny sposób (paragraf 92 wyroku). Jednakże obowiązek skutecznej ochrony prawa do życia gwarantowanego przez art. 2, a tym samym prowadzenia skutecznego postępowania przygotowawczego w sprawie zabójstw, wymaga, aby państwo wnioskujące, podejmując decyzję o tym, czy istnieje konkretne i</w:t>
      </w:r>
      <w:r w:rsidR="00750F95">
        <w:t> </w:t>
      </w:r>
      <w:r>
        <w:t>zindywidualizowane ryzyko złego traktowania, które uniemożliwiłoby mu wydalenie lub ekstradycję osoby podejrzanej o zabójstwo do kraju, w którym popełniono czyn i w którym prowadzone jest postępowanie przygotowawcze, dysponowało solidną podstawą faktyczną pozwalającą stwierdzić, że ryzyko to jest odpowiedniej wagi. W związku z tym art. 53 Konwencji, który umożliwia państwom zapewnienie wyższego poziomu ochrony praw człowieka niż poziom zakreślony przez minimalne gwarancje Konwencji, nie ma bezpośredniego zastosowania lub ma niewielkie zastosowanie w tym względzie.</w:t>
      </w:r>
    </w:p>
    <w:p w14:paraId="24A3B891" w14:textId="77777777" w:rsidR="006E4FA5" w:rsidRPr="000D6DC4" w:rsidRDefault="006E4FA5" w:rsidP="00A219A8">
      <w:pPr>
        <w:pStyle w:val="OpiPara"/>
        <w:rPr>
          <w:i/>
        </w:rPr>
      </w:pPr>
    </w:p>
    <w:p w14:paraId="37EC5AAF" w14:textId="77777777" w:rsidR="006E4FA5" w:rsidRPr="00A219A8" w:rsidRDefault="006E4FA5" w:rsidP="00A219A8">
      <w:pPr>
        <w:pStyle w:val="OpiPara"/>
        <w:jc w:val="center"/>
      </w:pPr>
      <w:r>
        <w:t>III.</w:t>
      </w:r>
    </w:p>
    <w:p w14:paraId="015FB469" w14:textId="0A93B9F2" w:rsidR="006E4FA5" w:rsidRPr="00A219A8" w:rsidRDefault="006E4FA5" w:rsidP="00A219A8">
      <w:pPr>
        <w:pStyle w:val="OpiPara"/>
      </w:pPr>
      <w:r>
        <w:t>8.</w:t>
      </w:r>
      <w:r w:rsidR="00A418A3">
        <w:t xml:space="preserve"> </w:t>
      </w:r>
      <w:r>
        <w:t>Reasumując, „dążenie do symetrii” między prawem konwencyjnym a</w:t>
      </w:r>
      <w:r w:rsidR="00437B07">
        <w:t> </w:t>
      </w:r>
      <w:r>
        <w:t>prawem Unii Europejskiej jest procesem ciągłym, który wymaga starannie wypracowanych rozwiązań interpretacyjnych zachowujących, w</w:t>
      </w:r>
      <w:r w:rsidR="00437B07">
        <w:t> </w:t>
      </w:r>
      <w:r>
        <w:t>miarę możliwości, pryncypialny charakter i integralność tego pierwszego bez naruszania delikatnej równowagi instytucjonalnej i podstawowych elementów właściwych temu drugiemu. Z zadowoleniem przyjmuję dzisiejszy wyrok, ponieważ uważam, że realizuje dokładnie ten cel.</w:t>
      </w:r>
    </w:p>
    <w:p w14:paraId="4F98C289" w14:textId="77777777" w:rsidR="005734C4" w:rsidRPr="000D6DC4" w:rsidRDefault="005734C4" w:rsidP="00A219A8">
      <w:pPr>
        <w:pStyle w:val="OpiPara"/>
      </w:pPr>
    </w:p>
    <w:p w14:paraId="326BE9EC" w14:textId="77777777" w:rsidR="00E04081" w:rsidRPr="00A219A8" w:rsidRDefault="00E04081" w:rsidP="00A219A8">
      <w:pPr>
        <w:pStyle w:val="JuPara"/>
      </w:pPr>
      <w:r>
        <w:br w:type="page"/>
      </w:r>
    </w:p>
    <w:p w14:paraId="70F9D41B" w14:textId="77777777" w:rsidR="00E04081" w:rsidRPr="00A219A8" w:rsidRDefault="00E04081" w:rsidP="00A219A8">
      <w:pPr>
        <w:ind w:left="346"/>
        <w:jc w:val="center"/>
        <w:rPr>
          <w:b/>
        </w:rPr>
      </w:pPr>
      <w:r>
        <w:rPr>
          <w:b/>
        </w:rPr>
        <w:lastRenderedPageBreak/>
        <w:t>ZAŁĄCZNIK</w:t>
      </w:r>
    </w:p>
    <w:p w14:paraId="3B4AF3B0" w14:textId="77777777" w:rsidR="00E04081" w:rsidRPr="00A219A8" w:rsidRDefault="00E04081" w:rsidP="00A219A8">
      <w:pPr>
        <w:ind w:left="346"/>
        <w:jc w:val="center"/>
        <w:rPr>
          <w:b/>
        </w:rPr>
      </w:pPr>
    </w:p>
    <w:p w14:paraId="457385B9" w14:textId="77777777" w:rsidR="00E04081" w:rsidRPr="00A219A8" w:rsidRDefault="00E04081" w:rsidP="00A219A8">
      <w:pPr>
        <w:ind w:firstLine="284"/>
        <w:jc w:val="center"/>
      </w:pPr>
      <w:r>
        <w:t>Wykaz skarżących</w:t>
      </w:r>
    </w:p>
    <w:p w14:paraId="7BDDDB6D" w14:textId="77777777" w:rsidR="00E04081" w:rsidRPr="00A219A8" w:rsidRDefault="00E04081" w:rsidP="00A219A8">
      <w:pPr>
        <w:jc w:val="both"/>
      </w:pPr>
    </w:p>
    <w:p w14:paraId="0937E0E8" w14:textId="77777777" w:rsidR="00E04081" w:rsidRPr="00A219A8" w:rsidRDefault="00E04081" w:rsidP="00A219A8">
      <w:pPr>
        <w:numPr>
          <w:ilvl w:val="0"/>
          <w:numId w:val="26"/>
        </w:numPr>
        <w:tabs>
          <w:tab w:val="left" w:pos="425"/>
        </w:tabs>
        <w:contextualSpacing/>
        <w:jc w:val="both"/>
        <w:rPr>
          <w:b/>
        </w:rPr>
      </w:pPr>
      <w:proofErr w:type="spellStart"/>
      <w:r>
        <w:t>Jose</w:t>
      </w:r>
      <w:proofErr w:type="spellEnd"/>
      <w:r>
        <w:t xml:space="preserve"> ROMEO CASTAÑO ur. w 1964 r., zam. w Madrycie;</w:t>
      </w:r>
    </w:p>
    <w:p w14:paraId="3FBBE4F2" w14:textId="60512C77" w:rsidR="00E04081" w:rsidRPr="00A219A8" w:rsidRDefault="00E04081" w:rsidP="00A219A8">
      <w:pPr>
        <w:numPr>
          <w:ilvl w:val="0"/>
          <w:numId w:val="26"/>
        </w:numPr>
        <w:tabs>
          <w:tab w:val="left" w:pos="425"/>
        </w:tabs>
        <w:contextualSpacing/>
        <w:jc w:val="both"/>
        <w:rPr>
          <w:b/>
        </w:rPr>
      </w:pPr>
      <w:proofErr w:type="spellStart"/>
      <w:r>
        <w:t>María</w:t>
      </w:r>
      <w:proofErr w:type="spellEnd"/>
      <w:r>
        <w:t xml:space="preserve"> de la Paz ROMEO CASTAÑO ur. w 1959 r., zam. w</w:t>
      </w:r>
      <w:r w:rsidR="00437B07">
        <w:t> </w:t>
      </w:r>
      <w:r>
        <w:t>Madrycie;</w:t>
      </w:r>
    </w:p>
    <w:p w14:paraId="264AE864" w14:textId="2523A9DF" w:rsidR="00E04081" w:rsidRPr="00A219A8" w:rsidRDefault="00E04081" w:rsidP="00A219A8">
      <w:pPr>
        <w:numPr>
          <w:ilvl w:val="0"/>
          <w:numId w:val="26"/>
        </w:numPr>
        <w:tabs>
          <w:tab w:val="left" w:pos="425"/>
        </w:tabs>
        <w:contextualSpacing/>
        <w:jc w:val="both"/>
        <w:rPr>
          <w:b/>
        </w:rPr>
      </w:pPr>
      <w:proofErr w:type="spellStart"/>
      <w:r>
        <w:t>María</w:t>
      </w:r>
      <w:proofErr w:type="spellEnd"/>
      <w:r>
        <w:t xml:space="preserve"> del Carmen ROMEO CASTAÑO ur. w 1960 r., zam. w</w:t>
      </w:r>
      <w:r w:rsidR="00437B07">
        <w:t> </w:t>
      </w:r>
      <w:r>
        <w:t>Madrycie;</w:t>
      </w:r>
    </w:p>
    <w:p w14:paraId="22C1FAF4" w14:textId="77777777" w:rsidR="00E04081" w:rsidRPr="00A219A8" w:rsidRDefault="00E04081" w:rsidP="00A219A8">
      <w:pPr>
        <w:numPr>
          <w:ilvl w:val="0"/>
          <w:numId w:val="26"/>
        </w:numPr>
        <w:tabs>
          <w:tab w:val="left" w:pos="425"/>
        </w:tabs>
        <w:contextualSpacing/>
        <w:jc w:val="both"/>
        <w:rPr>
          <w:b/>
        </w:rPr>
      </w:pPr>
      <w:proofErr w:type="spellStart"/>
      <w:r>
        <w:t>Monserrat</w:t>
      </w:r>
      <w:proofErr w:type="spellEnd"/>
      <w:r>
        <w:t xml:space="preserve"> ROMEO CASTAÑO ur. w 1961 r., zam. w Madrycie;</w:t>
      </w:r>
    </w:p>
    <w:p w14:paraId="06C52614" w14:textId="77777777" w:rsidR="00E04081" w:rsidRPr="00A219A8" w:rsidRDefault="00E04081" w:rsidP="00A219A8">
      <w:pPr>
        <w:numPr>
          <w:ilvl w:val="0"/>
          <w:numId w:val="26"/>
        </w:numPr>
        <w:tabs>
          <w:tab w:val="left" w:pos="425"/>
        </w:tabs>
        <w:contextualSpacing/>
        <w:jc w:val="both"/>
        <w:rPr>
          <w:rFonts w:ascii="Times New Roman" w:eastAsia="Times New Roman" w:hAnsi="Times New Roman" w:cs="Times New Roman"/>
        </w:rPr>
      </w:pPr>
      <w:proofErr w:type="spellStart"/>
      <w:r>
        <w:t>Ramón</w:t>
      </w:r>
      <w:proofErr w:type="spellEnd"/>
      <w:r>
        <w:t xml:space="preserve"> ROMEO CASTAÑO ur. w 1963 r., zam. w </w:t>
      </w:r>
      <w:proofErr w:type="spellStart"/>
      <w:r>
        <w:t>Santoña</w:t>
      </w:r>
      <w:proofErr w:type="spellEnd"/>
      <w:r>
        <w:t>.</w:t>
      </w:r>
    </w:p>
    <w:p w14:paraId="54529306" w14:textId="77777777" w:rsidR="00A6302E" w:rsidRPr="00A219A8" w:rsidRDefault="00A6302E" w:rsidP="00A219A8">
      <w:pPr>
        <w:tabs>
          <w:tab w:val="left" w:pos="425"/>
        </w:tabs>
        <w:ind w:left="720"/>
        <w:contextualSpacing/>
        <w:jc w:val="both"/>
        <w:rPr>
          <w:rFonts w:ascii="Times New Roman" w:eastAsia="Times New Roman" w:hAnsi="Times New Roman" w:cs="Times New Roman"/>
        </w:rPr>
      </w:pPr>
    </w:p>
    <w:sectPr w:rsidR="00A6302E" w:rsidRPr="00A219A8" w:rsidSect="00AE5FA0">
      <w:headerReference w:type="even" r:id="rId17"/>
      <w:headerReference w:type="default" r:id="rId18"/>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45AEC5" w14:textId="77777777" w:rsidR="0070416B" w:rsidRPr="001D19C3" w:rsidRDefault="0070416B" w:rsidP="002D2C99">
      <w:r w:rsidRPr="001D19C3">
        <w:separator/>
      </w:r>
    </w:p>
  </w:endnote>
  <w:endnote w:type="continuationSeparator" w:id="0">
    <w:p w14:paraId="46FC77F5" w14:textId="77777777" w:rsidR="0070416B" w:rsidRPr="001D19C3" w:rsidRDefault="0070416B" w:rsidP="002D2C99">
      <w:r w:rsidRPr="001D19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3471F" w14:textId="77777777" w:rsidR="0040015C" w:rsidRPr="00150BFA" w:rsidRDefault="0040015C" w:rsidP="00556B48">
    <w:pPr>
      <w:jc w:val="center"/>
    </w:pPr>
    <w:r>
      <w:rPr>
        <w:noProof/>
        <w:lang w:eastAsia="pl-PL"/>
      </w:rPr>
      <w:drawing>
        <wp:inline distT="0" distB="0" distL="0" distR="0" wp14:anchorId="432D3FB5" wp14:editId="39F1D0A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27C2ADB" w14:textId="77777777" w:rsidR="0040015C" w:rsidRPr="001D19C3" w:rsidRDefault="0040015C" w:rsidP="00556B4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06460" w14:textId="77777777" w:rsidR="0040015C" w:rsidRDefault="0040015C" w:rsidP="00556B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2FD15" w14:textId="77777777" w:rsidR="0040015C" w:rsidRDefault="0040015C" w:rsidP="00556B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C0C550" w14:textId="77777777" w:rsidR="0070416B" w:rsidRPr="001D19C3" w:rsidRDefault="0070416B" w:rsidP="002D2C99">
      <w:r w:rsidRPr="001D19C3">
        <w:separator/>
      </w:r>
    </w:p>
  </w:footnote>
  <w:footnote w:type="continuationSeparator" w:id="0">
    <w:p w14:paraId="42150006" w14:textId="77777777" w:rsidR="0070416B" w:rsidRPr="001D19C3" w:rsidRDefault="0070416B" w:rsidP="002D2C99">
      <w:r w:rsidRPr="001D19C3">
        <w:continuationSeparator/>
      </w:r>
    </w:p>
  </w:footnote>
  <w:footnote w:id="1">
    <w:p w14:paraId="0CDF9076" w14:textId="5BC198ED" w:rsidR="0040015C" w:rsidRPr="007135C1" w:rsidRDefault="0040015C" w:rsidP="00AC7FEA">
      <w:pPr>
        <w:pStyle w:val="Tekstprzypisudolnego"/>
        <w:jc w:val="both"/>
      </w:pPr>
      <w:r>
        <w:footnoteRef/>
      </w:r>
      <w:r>
        <w:t>. Sprostowano w dniu 26 listopada 2019 r.: tekst brzmiał następująco: „Skarżący są dziećmi podpułkownika Ramóna Romeo, który został zabity w dniu 19 stycznia 1981 r. w Bilbao (Hiszpania) przez oddział jednostki komandosów a należącej do organizacji terrorystycznej ETA.”</w:t>
      </w:r>
    </w:p>
    <w:p w14:paraId="77B5ABE5" w14:textId="77777777" w:rsidR="0040015C" w:rsidRPr="007135C1" w:rsidRDefault="0040015C">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3880E" w14:textId="77777777" w:rsidR="0040015C" w:rsidRPr="00A45145" w:rsidRDefault="0040015C" w:rsidP="00556B48">
    <w:pPr>
      <w:jc w:val="center"/>
    </w:pPr>
    <w:r>
      <w:rPr>
        <w:noProof/>
        <w:lang w:eastAsia="pl-PL"/>
      </w:rPr>
      <w:drawing>
        <wp:inline distT="0" distB="0" distL="0" distR="0" wp14:anchorId="4EDCACD4" wp14:editId="02DF14CA">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CE772E6" w14:textId="77777777" w:rsidR="0040015C" w:rsidRPr="001D19C3" w:rsidRDefault="0040015C" w:rsidP="00F5432B">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D370E1" w14:textId="77777777" w:rsidR="0040015C" w:rsidRPr="00F5432B" w:rsidRDefault="0040015C" w:rsidP="00F5432B">
    <w:pPr>
      <w:pStyle w:val="JuHeader"/>
    </w:pPr>
    <w:r>
      <w:rPr>
        <w:rStyle w:val="Numerstrony"/>
      </w:rPr>
      <w:fldChar w:fldCharType="begin"/>
    </w:r>
    <w:r w:rsidRPr="00E04081">
      <w:rPr>
        <w:rStyle w:val="Numerstrony"/>
      </w:rPr>
      <w:instrText xml:space="preserve"> PAGE </w:instrText>
    </w:r>
    <w:r>
      <w:rPr>
        <w:rStyle w:val="Numerstrony"/>
      </w:rPr>
      <w:fldChar w:fldCharType="separate"/>
    </w:r>
    <w:r>
      <w:rPr>
        <w:rStyle w:val="Numerstrony"/>
        <w:noProof/>
      </w:rPr>
      <w:t>26</w:t>
    </w:r>
    <w:r>
      <w:rPr>
        <w:rStyle w:val="Numerstrony"/>
      </w:rPr>
      <w:fldChar w:fldCharType="end"/>
    </w:r>
    <w:r>
      <w:tab/>
      <w:t>WYROK W SPRAWIE ROMEO CASTAÑO przeciwko BELGII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E730D" w14:textId="77777777" w:rsidR="0040015C" w:rsidRPr="007100AD" w:rsidRDefault="0040015C" w:rsidP="00420F04">
    <w:pPr>
      <w:pStyle w:val="JuHeader"/>
    </w:pPr>
    <w:r>
      <w:tab/>
      <w:t>WYROK W SPRAWIE ROMEO CASTAÑO przeciwko BELGII</w:t>
    </w:r>
    <w:r>
      <w:tab/>
    </w:r>
    <w:r>
      <w:rPr>
        <w:rStyle w:val="Numerstrony"/>
      </w:rPr>
      <w:fldChar w:fldCharType="begin"/>
    </w:r>
    <w:r w:rsidRPr="00E04081">
      <w:rPr>
        <w:rStyle w:val="Numerstrony"/>
      </w:rPr>
      <w:instrText xml:space="preserve"> PAGE </w:instrText>
    </w:r>
    <w:r>
      <w:rPr>
        <w:rStyle w:val="Numerstrony"/>
      </w:rPr>
      <w:fldChar w:fldCharType="separate"/>
    </w:r>
    <w:r>
      <w:rPr>
        <w:rStyle w:val="Numerstrony"/>
        <w:noProof/>
      </w:rPr>
      <w:t>25</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061F0" w14:textId="77777777" w:rsidR="0040015C" w:rsidRPr="00F5432B" w:rsidRDefault="0040015C" w:rsidP="00AE5FA0">
    <w:pPr>
      <w:pStyle w:val="JuHeader"/>
      <w:tabs>
        <w:tab w:val="clear" w:pos="3686"/>
        <w:tab w:val="clear" w:pos="7371"/>
        <w:tab w:val="center" w:pos="3685"/>
      </w:tabs>
    </w:pPr>
    <w:r>
      <w:rPr>
        <w:rStyle w:val="Numerstrony"/>
      </w:rPr>
      <w:fldChar w:fldCharType="begin"/>
    </w:r>
    <w:r w:rsidRPr="00E04081">
      <w:rPr>
        <w:rStyle w:val="Numerstrony"/>
      </w:rPr>
      <w:instrText xml:space="preserve"> PAGE </w:instrText>
    </w:r>
    <w:r>
      <w:rPr>
        <w:rStyle w:val="Numerstrony"/>
      </w:rPr>
      <w:fldChar w:fldCharType="separate"/>
    </w:r>
    <w:r>
      <w:rPr>
        <w:rStyle w:val="Numerstrony"/>
        <w:noProof/>
      </w:rPr>
      <w:t>30</w:t>
    </w:r>
    <w:r>
      <w:rPr>
        <w:rStyle w:val="Numerstrony"/>
      </w:rPr>
      <w:fldChar w:fldCharType="end"/>
    </w:r>
    <w:r>
      <w:tab/>
      <w:t>WYROK W SPRAWIE ROMEO CASTAÑO przeciwko BELGII – OPINIA ODRĘBNA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FD213" w14:textId="77777777" w:rsidR="0040015C" w:rsidRPr="007100AD" w:rsidRDefault="0040015C" w:rsidP="00AE5FA0">
    <w:pPr>
      <w:pStyle w:val="JuHeader"/>
      <w:tabs>
        <w:tab w:val="clear" w:pos="3686"/>
        <w:tab w:val="clear" w:pos="7371"/>
        <w:tab w:val="center" w:pos="3685"/>
        <w:tab w:val="right" w:pos="7370"/>
      </w:tabs>
    </w:pPr>
    <w:r>
      <w:tab/>
      <w:t>WYROK W SPRAWIE ROMEO CASTAÑO przeciwko BELGII – OPINIA ODRĘBNA</w:t>
    </w:r>
    <w:r>
      <w:tab/>
    </w:r>
    <w:r>
      <w:rPr>
        <w:rStyle w:val="Numerstrony"/>
      </w:rPr>
      <w:fldChar w:fldCharType="begin"/>
    </w:r>
    <w:r w:rsidRPr="00E04081">
      <w:rPr>
        <w:rStyle w:val="Numerstrony"/>
      </w:rPr>
      <w:instrText xml:space="preserve"> PAGE </w:instrText>
    </w:r>
    <w:r>
      <w:rPr>
        <w:rStyle w:val="Numerstrony"/>
      </w:rPr>
      <w:fldChar w:fldCharType="separate"/>
    </w:r>
    <w:r>
      <w:rPr>
        <w:rStyle w:val="Numerstrony"/>
        <w:noProof/>
      </w:rPr>
      <w:t>29</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EF7D7A"/>
    <w:multiLevelType w:val="hybridMultilevel"/>
    <w:tmpl w:val="7EE23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995FC8"/>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063F06"/>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CD7735D"/>
    <w:multiLevelType w:val="hybridMultilevel"/>
    <w:tmpl w:val="AE0A5570"/>
    <w:lvl w:ilvl="0" w:tplc="2270773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6129FF"/>
    <w:multiLevelType w:val="hybridMultilevel"/>
    <w:tmpl w:val="71B23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1"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2" w15:restartNumberingAfterBreak="0">
    <w:nsid w:val="56B9429C"/>
    <w:multiLevelType w:val="multilevel"/>
    <w:tmpl w:val="4CD28D7E"/>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3" w15:restartNumberingAfterBreak="0">
    <w:nsid w:val="5F8A6E72"/>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22"/>
  </w:num>
  <w:num w:numId="2">
    <w:abstractNumId w:val="16"/>
  </w:num>
  <w:num w:numId="3">
    <w:abstractNumId w:val="19"/>
  </w:num>
  <w:num w:numId="4">
    <w:abstractNumId w:val="13"/>
  </w:num>
  <w:num w:numId="5">
    <w:abstractNumId w:val="12"/>
  </w:num>
  <w:num w:numId="6">
    <w:abstractNumId w:val="20"/>
  </w:num>
  <w:num w:numId="7">
    <w:abstractNumId w:val="15"/>
  </w:num>
  <w:num w:numId="8">
    <w:abstractNumId w:val="21"/>
  </w:num>
  <w:num w:numId="9">
    <w:abstractNumId w:val="24"/>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9"/>
  </w:num>
  <w:num w:numId="20">
    <w:abstractNumId w:val="14"/>
  </w:num>
  <w:num w:numId="21">
    <w:abstractNumId w:val="23"/>
  </w:num>
  <w:num w:numId="22">
    <w:abstractNumId w:val="11"/>
  </w:num>
  <w:num w:numId="23">
    <w:abstractNumId w:val="25"/>
  </w:num>
  <w:num w:numId="24">
    <w:abstractNumId w:val="18"/>
  </w:num>
  <w:num w:numId="25">
    <w:abstractNumId w:val="10"/>
  </w:num>
  <w:num w:numId="26">
    <w:abstractNumId w:val="17"/>
  </w:num>
  <w:num w:numId="27">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LW_DocType" w:val="NORMAL"/>
    <w:docVar w:name="NBEMMDOC" w:val="0"/>
  </w:docVars>
  <w:rsids>
    <w:rsidRoot w:val="00E04081"/>
    <w:rsid w:val="000031BA"/>
    <w:rsid w:val="000041F8"/>
    <w:rsid w:val="000042A8"/>
    <w:rsid w:val="00004308"/>
    <w:rsid w:val="00005BF0"/>
    <w:rsid w:val="00007154"/>
    <w:rsid w:val="000103AE"/>
    <w:rsid w:val="00011D69"/>
    <w:rsid w:val="00012AD3"/>
    <w:rsid w:val="00015C2D"/>
    <w:rsid w:val="00015F00"/>
    <w:rsid w:val="00022C1D"/>
    <w:rsid w:val="00034987"/>
    <w:rsid w:val="0003568D"/>
    <w:rsid w:val="000602DF"/>
    <w:rsid w:val="00061B05"/>
    <w:rsid w:val="000624B0"/>
    <w:rsid w:val="000632D5"/>
    <w:rsid w:val="00063B1A"/>
    <w:rsid w:val="000644EE"/>
    <w:rsid w:val="000821C1"/>
    <w:rsid w:val="000925AD"/>
    <w:rsid w:val="000A24EB"/>
    <w:rsid w:val="000A4B00"/>
    <w:rsid w:val="000B0570"/>
    <w:rsid w:val="000B6923"/>
    <w:rsid w:val="000C5F3C"/>
    <w:rsid w:val="000C6B85"/>
    <w:rsid w:val="000C6DCC"/>
    <w:rsid w:val="000D47AA"/>
    <w:rsid w:val="000D6DC4"/>
    <w:rsid w:val="000D721F"/>
    <w:rsid w:val="000E069B"/>
    <w:rsid w:val="000E0E82"/>
    <w:rsid w:val="000E1DC5"/>
    <w:rsid w:val="000E223F"/>
    <w:rsid w:val="000E44C5"/>
    <w:rsid w:val="000E7D45"/>
    <w:rsid w:val="000F375F"/>
    <w:rsid w:val="000F413D"/>
    <w:rsid w:val="000F7851"/>
    <w:rsid w:val="00104E23"/>
    <w:rsid w:val="00106337"/>
    <w:rsid w:val="00111B0C"/>
    <w:rsid w:val="00117080"/>
    <w:rsid w:val="00120D6C"/>
    <w:rsid w:val="00120EFF"/>
    <w:rsid w:val="00124F27"/>
    <w:rsid w:val="001257EC"/>
    <w:rsid w:val="00127B42"/>
    <w:rsid w:val="001331ED"/>
    <w:rsid w:val="00133D33"/>
    <w:rsid w:val="00134D64"/>
    <w:rsid w:val="00135A30"/>
    <w:rsid w:val="0013612C"/>
    <w:rsid w:val="00137FF6"/>
    <w:rsid w:val="001414F3"/>
    <w:rsid w:val="00141650"/>
    <w:rsid w:val="00142664"/>
    <w:rsid w:val="00153B5B"/>
    <w:rsid w:val="00155F70"/>
    <w:rsid w:val="00156236"/>
    <w:rsid w:val="0015737D"/>
    <w:rsid w:val="00160084"/>
    <w:rsid w:val="00162A12"/>
    <w:rsid w:val="00166530"/>
    <w:rsid w:val="001832BD"/>
    <w:rsid w:val="001943B5"/>
    <w:rsid w:val="00195134"/>
    <w:rsid w:val="001A145B"/>
    <w:rsid w:val="001A226A"/>
    <w:rsid w:val="001A674C"/>
    <w:rsid w:val="001B3B24"/>
    <w:rsid w:val="001B4567"/>
    <w:rsid w:val="001C0F98"/>
    <w:rsid w:val="001C2A42"/>
    <w:rsid w:val="001D19C3"/>
    <w:rsid w:val="001D63ED"/>
    <w:rsid w:val="001D7348"/>
    <w:rsid w:val="001E035B"/>
    <w:rsid w:val="001E0961"/>
    <w:rsid w:val="001E1F7D"/>
    <w:rsid w:val="001E2251"/>
    <w:rsid w:val="001E3EAE"/>
    <w:rsid w:val="001E6F32"/>
    <w:rsid w:val="001F2145"/>
    <w:rsid w:val="001F6262"/>
    <w:rsid w:val="001F67B0"/>
    <w:rsid w:val="001F7B3D"/>
    <w:rsid w:val="002014F0"/>
    <w:rsid w:val="00205F9F"/>
    <w:rsid w:val="00207B6D"/>
    <w:rsid w:val="002100D7"/>
    <w:rsid w:val="00210338"/>
    <w:rsid w:val="002115FC"/>
    <w:rsid w:val="0021423C"/>
    <w:rsid w:val="00216940"/>
    <w:rsid w:val="00224EAA"/>
    <w:rsid w:val="0022564B"/>
    <w:rsid w:val="002258CD"/>
    <w:rsid w:val="00230CF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95168"/>
    <w:rsid w:val="00295EF4"/>
    <w:rsid w:val="002A01CC"/>
    <w:rsid w:val="002A61B1"/>
    <w:rsid w:val="002A663C"/>
    <w:rsid w:val="002B40F6"/>
    <w:rsid w:val="002B444B"/>
    <w:rsid w:val="002B46DA"/>
    <w:rsid w:val="002B5887"/>
    <w:rsid w:val="002C0E27"/>
    <w:rsid w:val="002C3040"/>
    <w:rsid w:val="002D022D"/>
    <w:rsid w:val="002D24BB"/>
    <w:rsid w:val="002D2C99"/>
    <w:rsid w:val="002E00FF"/>
    <w:rsid w:val="002E3826"/>
    <w:rsid w:val="002E50EB"/>
    <w:rsid w:val="002E606F"/>
    <w:rsid w:val="002F2AF7"/>
    <w:rsid w:val="002F60C9"/>
    <w:rsid w:val="002F7E1C"/>
    <w:rsid w:val="00301A75"/>
    <w:rsid w:val="00302F70"/>
    <w:rsid w:val="0030336F"/>
    <w:rsid w:val="0030375E"/>
    <w:rsid w:val="00306F5A"/>
    <w:rsid w:val="00312A30"/>
    <w:rsid w:val="00316100"/>
    <w:rsid w:val="00320A40"/>
    <w:rsid w:val="00320F72"/>
    <w:rsid w:val="0032463E"/>
    <w:rsid w:val="00326224"/>
    <w:rsid w:val="00336456"/>
    <w:rsid w:val="00337EE4"/>
    <w:rsid w:val="00340FFD"/>
    <w:rsid w:val="003506B1"/>
    <w:rsid w:val="0035145D"/>
    <w:rsid w:val="0035421C"/>
    <w:rsid w:val="00356AC7"/>
    <w:rsid w:val="003609FA"/>
    <w:rsid w:val="0036144A"/>
    <w:rsid w:val="003710C8"/>
    <w:rsid w:val="0037323E"/>
    <w:rsid w:val="003750BE"/>
    <w:rsid w:val="00387B9D"/>
    <w:rsid w:val="0039253E"/>
    <w:rsid w:val="0039364F"/>
    <w:rsid w:val="00396686"/>
    <w:rsid w:val="0039778E"/>
    <w:rsid w:val="003A5796"/>
    <w:rsid w:val="003B4941"/>
    <w:rsid w:val="003B592F"/>
    <w:rsid w:val="003B7DBE"/>
    <w:rsid w:val="003C5714"/>
    <w:rsid w:val="003C6B9F"/>
    <w:rsid w:val="003C6E2A"/>
    <w:rsid w:val="003D0299"/>
    <w:rsid w:val="003E3146"/>
    <w:rsid w:val="003E6D80"/>
    <w:rsid w:val="003F05FA"/>
    <w:rsid w:val="003F244A"/>
    <w:rsid w:val="003F30B8"/>
    <w:rsid w:val="003F4C45"/>
    <w:rsid w:val="003F5897"/>
    <w:rsid w:val="003F5F7B"/>
    <w:rsid w:val="003F7D64"/>
    <w:rsid w:val="0040015C"/>
    <w:rsid w:val="0040409D"/>
    <w:rsid w:val="0040478D"/>
    <w:rsid w:val="004078FF"/>
    <w:rsid w:val="00414300"/>
    <w:rsid w:val="00420F04"/>
    <w:rsid w:val="00425C67"/>
    <w:rsid w:val="00427E7A"/>
    <w:rsid w:val="00436C49"/>
    <w:rsid w:val="00437B07"/>
    <w:rsid w:val="00445366"/>
    <w:rsid w:val="00447F5B"/>
    <w:rsid w:val="00451682"/>
    <w:rsid w:val="00461DB0"/>
    <w:rsid w:val="00463926"/>
    <w:rsid w:val="00464C9A"/>
    <w:rsid w:val="00471651"/>
    <w:rsid w:val="0047310F"/>
    <w:rsid w:val="00474F3D"/>
    <w:rsid w:val="00477E3A"/>
    <w:rsid w:val="00482B12"/>
    <w:rsid w:val="00483E5F"/>
    <w:rsid w:val="00485FF9"/>
    <w:rsid w:val="004907F0"/>
    <w:rsid w:val="0049140B"/>
    <w:rsid w:val="004922FD"/>
    <w:rsid w:val="004923A5"/>
    <w:rsid w:val="004947C6"/>
    <w:rsid w:val="00496BFB"/>
    <w:rsid w:val="004A15C7"/>
    <w:rsid w:val="004B013B"/>
    <w:rsid w:val="004B112B"/>
    <w:rsid w:val="004B336D"/>
    <w:rsid w:val="004B3C65"/>
    <w:rsid w:val="004B40C8"/>
    <w:rsid w:val="004C01E4"/>
    <w:rsid w:val="004C086C"/>
    <w:rsid w:val="004C1F56"/>
    <w:rsid w:val="004C27BC"/>
    <w:rsid w:val="004C370E"/>
    <w:rsid w:val="004D15F3"/>
    <w:rsid w:val="004D5311"/>
    <w:rsid w:val="004D5DCC"/>
    <w:rsid w:val="004D6DA7"/>
    <w:rsid w:val="004E4E80"/>
    <w:rsid w:val="004E5774"/>
    <w:rsid w:val="004F10AF"/>
    <w:rsid w:val="004F11A4"/>
    <w:rsid w:val="004F1D6C"/>
    <w:rsid w:val="004F2389"/>
    <w:rsid w:val="004F304D"/>
    <w:rsid w:val="004F6066"/>
    <w:rsid w:val="004F61BE"/>
    <w:rsid w:val="004F66B1"/>
    <w:rsid w:val="00504828"/>
    <w:rsid w:val="00511C07"/>
    <w:rsid w:val="005173A6"/>
    <w:rsid w:val="00520BAA"/>
    <w:rsid w:val="005236D5"/>
    <w:rsid w:val="0052432A"/>
    <w:rsid w:val="00525208"/>
    <w:rsid w:val="005257A5"/>
    <w:rsid w:val="005264C0"/>
    <w:rsid w:val="00526A8A"/>
    <w:rsid w:val="00531DF2"/>
    <w:rsid w:val="0054404E"/>
    <w:rsid w:val="0054414D"/>
    <w:rsid w:val="005442EE"/>
    <w:rsid w:val="00544453"/>
    <w:rsid w:val="00547353"/>
    <w:rsid w:val="005474E7"/>
    <w:rsid w:val="005512A3"/>
    <w:rsid w:val="00556B48"/>
    <w:rsid w:val="005578CE"/>
    <w:rsid w:val="00562781"/>
    <w:rsid w:val="0057271C"/>
    <w:rsid w:val="00572845"/>
    <w:rsid w:val="005734C4"/>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E3BCB"/>
    <w:rsid w:val="005F022B"/>
    <w:rsid w:val="005F209E"/>
    <w:rsid w:val="005F51E1"/>
    <w:rsid w:val="00601F53"/>
    <w:rsid w:val="00611C80"/>
    <w:rsid w:val="00616DD0"/>
    <w:rsid w:val="00620692"/>
    <w:rsid w:val="006242CA"/>
    <w:rsid w:val="00626F82"/>
    <w:rsid w:val="00627507"/>
    <w:rsid w:val="00630A51"/>
    <w:rsid w:val="00633717"/>
    <w:rsid w:val="006344E1"/>
    <w:rsid w:val="00640DAF"/>
    <w:rsid w:val="006545C4"/>
    <w:rsid w:val="00661971"/>
    <w:rsid w:val="00661CE8"/>
    <w:rsid w:val="00661E17"/>
    <w:rsid w:val="006623D9"/>
    <w:rsid w:val="006645CA"/>
    <w:rsid w:val="0066550C"/>
    <w:rsid w:val="006716F2"/>
    <w:rsid w:val="006742D2"/>
    <w:rsid w:val="006758B6"/>
    <w:rsid w:val="00682BF2"/>
    <w:rsid w:val="006859CE"/>
    <w:rsid w:val="00691270"/>
    <w:rsid w:val="00694BA8"/>
    <w:rsid w:val="006A037C"/>
    <w:rsid w:val="006A36F4"/>
    <w:rsid w:val="006A406F"/>
    <w:rsid w:val="006A5D3A"/>
    <w:rsid w:val="006C23D4"/>
    <w:rsid w:val="006C7BB0"/>
    <w:rsid w:val="006D3237"/>
    <w:rsid w:val="006E2E37"/>
    <w:rsid w:val="006E3CF1"/>
    <w:rsid w:val="006E4FA5"/>
    <w:rsid w:val="006E7E80"/>
    <w:rsid w:val="006F48CA"/>
    <w:rsid w:val="006F64DD"/>
    <w:rsid w:val="00701B9A"/>
    <w:rsid w:val="0070416B"/>
    <w:rsid w:val="00707B2A"/>
    <w:rsid w:val="00712526"/>
    <w:rsid w:val="00712E3E"/>
    <w:rsid w:val="007135C1"/>
    <w:rsid w:val="00715127"/>
    <w:rsid w:val="00715E8E"/>
    <w:rsid w:val="00723580"/>
    <w:rsid w:val="00723755"/>
    <w:rsid w:val="0073136C"/>
    <w:rsid w:val="00731F0F"/>
    <w:rsid w:val="00732D54"/>
    <w:rsid w:val="00733250"/>
    <w:rsid w:val="00741404"/>
    <w:rsid w:val="007449E5"/>
    <w:rsid w:val="007470F1"/>
    <w:rsid w:val="00747FF0"/>
    <w:rsid w:val="00750F95"/>
    <w:rsid w:val="0075318B"/>
    <w:rsid w:val="007537C0"/>
    <w:rsid w:val="007571AE"/>
    <w:rsid w:val="00764D4E"/>
    <w:rsid w:val="00765A1F"/>
    <w:rsid w:val="00773CCF"/>
    <w:rsid w:val="00775B6D"/>
    <w:rsid w:val="00776D68"/>
    <w:rsid w:val="00780331"/>
    <w:rsid w:val="00783363"/>
    <w:rsid w:val="007850EE"/>
    <w:rsid w:val="00785B95"/>
    <w:rsid w:val="00790E96"/>
    <w:rsid w:val="00793366"/>
    <w:rsid w:val="007A716F"/>
    <w:rsid w:val="007B1407"/>
    <w:rsid w:val="007B270A"/>
    <w:rsid w:val="007B5255"/>
    <w:rsid w:val="007C0695"/>
    <w:rsid w:val="007C419A"/>
    <w:rsid w:val="007C4CC8"/>
    <w:rsid w:val="007C5426"/>
    <w:rsid w:val="007C5798"/>
    <w:rsid w:val="007D4200"/>
    <w:rsid w:val="007D4832"/>
    <w:rsid w:val="007E21B2"/>
    <w:rsid w:val="007E27A2"/>
    <w:rsid w:val="007E2C4E"/>
    <w:rsid w:val="007E40DE"/>
    <w:rsid w:val="007E5FCE"/>
    <w:rsid w:val="007F1905"/>
    <w:rsid w:val="00801300"/>
    <w:rsid w:val="00802C64"/>
    <w:rsid w:val="00805E52"/>
    <w:rsid w:val="008061D0"/>
    <w:rsid w:val="00806912"/>
    <w:rsid w:val="00810B38"/>
    <w:rsid w:val="008204C7"/>
    <w:rsid w:val="00820992"/>
    <w:rsid w:val="00823602"/>
    <w:rsid w:val="008255F5"/>
    <w:rsid w:val="00827609"/>
    <w:rsid w:val="0083014E"/>
    <w:rsid w:val="0083214A"/>
    <w:rsid w:val="00834220"/>
    <w:rsid w:val="00834879"/>
    <w:rsid w:val="00843279"/>
    <w:rsid w:val="00845723"/>
    <w:rsid w:val="00847E93"/>
    <w:rsid w:val="00851EF9"/>
    <w:rsid w:val="00854449"/>
    <w:rsid w:val="008577FD"/>
    <w:rsid w:val="00860B03"/>
    <w:rsid w:val="00862FE0"/>
    <w:rsid w:val="0086497A"/>
    <w:rsid w:val="008713A1"/>
    <w:rsid w:val="008717D7"/>
    <w:rsid w:val="008754AB"/>
    <w:rsid w:val="008802A9"/>
    <w:rsid w:val="0088060C"/>
    <w:rsid w:val="008810C1"/>
    <w:rsid w:val="00886957"/>
    <w:rsid w:val="00890E9C"/>
    <w:rsid w:val="00893576"/>
    <w:rsid w:val="00893E73"/>
    <w:rsid w:val="008A2A1D"/>
    <w:rsid w:val="008A6547"/>
    <w:rsid w:val="008A6DF7"/>
    <w:rsid w:val="008A72E0"/>
    <w:rsid w:val="008B02DC"/>
    <w:rsid w:val="008B3ED4"/>
    <w:rsid w:val="008B57CE"/>
    <w:rsid w:val="008C26DE"/>
    <w:rsid w:val="008C4407"/>
    <w:rsid w:val="008D2225"/>
    <w:rsid w:val="008D288F"/>
    <w:rsid w:val="008D3D30"/>
    <w:rsid w:val="008D4752"/>
    <w:rsid w:val="008D610B"/>
    <w:rsid w:val="008D6F5E"/>
    <w:rsid w:val="008E0C4F"/>
    <w:rsid w:val="008E271C"/>
    <w:rsid w:val="008E418E"/>
    <w:rsid w:val="008E5BC6"/>
    <w:rsid w:val="008E6A25"/>
    <w:rsid w:val="008E6F21"/>
    <w:rsid w:val="008F5193"/>
    <w:rsid w:val="008F55F5"/>
    <w:rsid w:val="009013A7"/>
    <w:rsid w:val="009017FB"/>
    <w:rsid w:val="009017FC"/>
    <w:rsid w:val="0090506B"/>
    <w:rsid w:val="009050C9"/>
    <w:rsid w:val="009066FC"/>
    <w:rsid w:val="009140A3"/>
    <w:rsid w:val="009144A2"/>
    <w:rsid w:val="0091510C"/>
    <w:rsid w:val="009220ED"/>
    <w:rsid w:val="00924F87"/>
    <w:rsid w:val="009259AC"/>
    <w:rsid w:val="00926F38"/>
    <w:rsid w:val="00933AED"/>
    <w:rsid w:val="00934301"/>
    <w:rsid w:val="009352F0"/>
    <w:rsid w:val="00936CD1"/>
    <w:rsid w:val="00941747"/>
    <w:rsid w:val="00941EFB"/>
    <w:rsid w:val="00947AFB"/>
    <w:rsid w:val="009515B5"/>
    <w:rsid w:val="00951D7D"/>
    <w:rsid w:val="009630C7"/>
    <w:rsid w:val="00972B55"/>
    <w:rsid w:val="009743B7"/>
    <w:rsid w:val="0098228B"/>
    <w:rsid w:val="009828DA"/>
    <w:rsid w:val="00985BAB"/>
    <w:rsid w:val="009A4955"/>
    <w:rsid w:val="009B1B5F"/>
    <w:rsid w:val="009B1CEF"/>
    <w:rsid w:val="009B6673"/>
    <w:rsid w:val="009C191B"/>
    <w:rsid w:val="009C2BD6"/>
    <w:rsid w:val="009D6B72"/>
    <w:rsid w:val="009D6E3B"/>
    <w:rsid w:val="009D778F"/>
    <w:rsid w:val="009E1F32"/>
    <w:rsid w:val="009E30E7"/>
    <w:rsid w:val="009E56C7"/>
    <w:rsid w:val="009E776C"/>
    <w:rsid w:val="009F4A44"/>
    <w:rsid w:val="009F65DC"/>
    <w:rsid w:val="00A138AE"/>
    <w:rsid w:val="00A13DA5"/>
    <w:rsid w:val="00A1726E"/>
    <w:rsid w:val="00A204CF"/>
    <w:rsid w:val="00A21566"/>
    <w:rsid w:val="00A218A7"/>
    <w:rsid w:val="00A219A8"/>
    <w:rsid w:val="00A23D49"/>
    <w:rsid w:val="00A2423D"/>
    <w:rsid w:val="00A242AC"/>
    <w:rsid w:val="00A27004"/>
    <w:rsid w:val="00A30C29"/>
    <w:rsid w:val="00A31E0F"/>
    <w:rsid w:val="00A34DD6"/>
    <w:rsid w:val="00A3680C"/>
    <w:rsid w:val="00A36819"/>
    <w:rsid w:val="00A36989"/>
    <w:rsid w:val="00A418A3"/>
    <w:rsid w:val="00A43628"/>
    <w:rsid w:val="00A54192"/>
    <w:rsid w:val="00A5586C"/>
    <w:rsid w:val="00A6035E"/>
    <w:rsid w:val="00A6144C"/>
    <w:rsid w:val="00A6302E"/>
    <w:rsid w:val="00A66617"/>
    <w:rsid w:val="00A671F8"/>
    <w:rsid w:val="00A673A4"/>
    <w:rsid w:val="00A724AE"/>
    <w:rsid w:val="00A73329"/>
    <w:rsid w:val="00A82359"/>
    <w:rsid w:val="00A865D2"/>
    <w:rsid w:val="00A94C20"/>
    <w:rsid w:val="00A962D2"/>
    <w:rsid w:val="00A9700E"/>
    <w:rsid w:val="00A97042"/>
    <w:rsid w:val="00AA227F"/>
    <w:rsid w:val="00AA3BC7"/>
    <w:rsid w:val="00AA754A"/>
    <w:rsid w:val="00AB099E"/>
    <w:rsid w:val="00AB4328"/>
    <w:rsid w:val="00AB57A9"/>
    <w:rsid w:val="00AC3ABA"/>
    <w:rsid w:val="00AC7FEA"/>
    <w:rsid w:val="00AD0E09"/>
    <w:rsid w:val="00AD4891"/>
    <w:rsid w:val="00AD740D"/>
    <w:rsid w:val="00AE0A2E"/>
    <w:rsid w:val="00AE354C"/>
    <w:rsid w:val="00AE5FA0"/>
    <w:rsid w:val="00AF4B07"/>
    <w:rsid w:val="00AF6186"/>
    <w:rsid w:val="00AF7A3A"/>
    <w:rsid w:val="00B04372"/>
    <w:rsid w:val="00B14D72"/>
    <w:rsid w:val="00B160DB"/>
    <w:rsid w:val="00B20804"/>
    <w:rsid w:val="00B20836"/>
    <w:rsid w:val="00B235BB"/>
    <w:rsid w:val="00B25BC4"/>
    <w:rsid w:val="00B27A44"/>
    <w:rsid w:val="00B30326"/>
    <w:rsid w:val="00B30BBF"/>
    <w:rsid w:val="00B30F1F"/>
    <w:rsid w:val="00B33C03"/>
    <w:rsid w:val="00B356FD"/>
    <w:rsid w:val="00B35BE3"/>
    <w:rsid w:val="00B44E56"/>
    <w:rsid w:val="00B46543"/>
    <w:rsid w:val="00B47352"/>
    <w:rsid w:val="00B47D33"/>
    <w:rsid w:val="00B52BE0"/>
    <w:rsid w:val="00B54133"/>
    <w:rsid w:val="00B62A1C"/>
    <w:rsid w:val="00B701ED"/>
    <w:rsid w:val="00B8086C"/>
    <w:rsid w:val="00B861B4"/>
    <w:rsid w:val="00B86DFE"/>
    <w:rsid w:val="00B90990"/>
    <w:rsid w:val="00B922FF"/>
    <w:rsid w:val="00B9281E"/>
    <w:rsid w:val="00B92DE9"/>
    <w:rsid w:val="00B93925"/>
    <w:rsid w:val="00B93AFE"/>
    <w:rsid w:val="00B95187"/>
    <w:rsid w:val="00B95F6F"/>
    <w:rsid w:val="00BA2D55"/>
    <w:rsid w:val="00BA50FE"/>
    <w:rsid w:val="00BA71B1"/>
    <w:rsid w:val="00BA7FE3"/>
    <w:rsid w:val="00BB0637"/>
    <w:rsid w:val="00BB1B5D"/>
    <w:rsid w:val="00BB345F"/>
    <w:rsid w:val="00BB68EA"/>
    <w:rsid w:val="00BC1C27"/>
    <w:rsid w:val="00BC6BBF"/>
    <w:rsid w:val="00BD1572"/>
    <w:rsid w:val="00BE14E3"/>
    <w:rsid w:val="00BE3774"/>
    <w:rsid w:val="00BE41E5"/>
    <w:rsid w:val="00BF4109"/>
    <w:rsid w:val="00BF4CC3"/>
    <w:rsid w:val="00BF6626"/>
    <w:rsid w:val="00BF70DD"/>
    <w:rsid w:val="00C054C7"/>
    <w:rsid w:val="00C057B5"/>
    <w:rsid w:val="00C12911"/>
    <w:rsid w:val="00C16D96"/>
    <w:rsid w:val="00C22687"/>
    <w:rsid w:val="00C2514C"/>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4810"/>
    <w:rsid w:val="00C75811"/>
    <w:rsid w:val="00C852A7"/>
    <w:rsid w:val="00C90D68"/>
    <w:rsid w:val="00C939FE"/>
    <w:rsid w:val="00CA4BDA"/>
    <w:rsid w:val="00CA5C4D"/>
    <w:rsid w:val="00CB1F66"/>
    <w:rsid w:val="00CB25E5"/>
    <w:rsid w:val="00CB2951"/>
    <w:rsid w:val="00CB3286"/>
    <w:rsid w:val="00CC5955"/>
    <w:rsid w:val="00CD25BE"/>
    <w:rsid w:val="00CD282B"/>
    <w:rsid w:val="00CD4C35"/>
    <w:rsid w:val="00CD7369"/>
    <w:rsid w:val="00CE0B0E"/>
    <w:rsid w:val="00CE3831"/>
    <w:rsid w:val="00CF13C4"/>
    <w:rsid w:val="00D00ABB"/>
    <w:rsid w:val="00D02639"/>
    <w:rsid w:val="00D02EEC"/>
    <w:rsid w:val="00D03551"/>
    <w:rsid w:val="00D06A63"/>
    <w:rsid w:val="00D07E0E"/>
    <w:rsid w:val="00D11478"/>
    <w:rsid w:val="00D15ED0"/>
    <w:rsid w:val="00D20A92"/>
    <w:rsid w:val="00D21B3E"/>
    <w:rsid w:val="00D21FED"/>
    <w:rsid w:val="00D24251"/>
    <w:rsid w:val="00D343E2"/>
    <w:rsid w:val="00D361A2"/>
    <w:rsid w:val="00D41675"/>
    <w:rsid w:val="00D44C2E"/>
    <w:rsid w:val="00D45414"/>
    <w:rsid w:val="00D47891"/>
    <w:rsid w:val="00D55040"/>
    <w:rsid w:val="00D566BD"/>
    <w:rsid w:val="00D57A4D"/>
    <w:rsid w:val="00D60AA7"/>
    <w:rsid w:val="00D6435F"/>
    <w:rsid w:val="00D75E28"/>
    <w:rsid w:val="00D772C2"/>
    <w:rsid w:val="00D8008E"/>
    <w:rsid w:val="00D80B71"/>
    <w:rsid w:val="00D82C45"/>
    <w:rsid w:val="00D908A8"/>
    <w:rsid w:val="00D9241C"/>
    <w:rsid w:val="00D977B6"/>
    <w:rsid w:val="00D97B2D"/>
    <w:rsid w:val="00DA4A31"/>
    <w:rsid w:val="00DA7B04"/>
    <w:rsid w:val="00DB36C2"/>
    <w:rsid w:val="00DB5C29"/>
    <w:rsid w:val="00DC05C2"/>
    <w:rsid w:val="00DC169B"/>
    <w:rsid w:val="00DC2AB9"/>
    <w:rsid w:val="00DC63F0"/>
    <w:rsid w:val="00DD52D9"/>
    <w:rsid w:val="00DD6EE5"/>
    <w:rsid w:val="00DE386C"/>
    <w:rsid w:val="00DE4166"/>
    <w:rsid w:val="00DE4D35"/>
    <w:rsid w:val="00DE76CD"/>
    <w:rsid w:val="00DF098B"/>
    <w:rsid w:val="00DF11C4"/>
    <w:rsid w:val="00DF210C"/>
    <w:rsid w:val="00DF3B02"/>
    <w:rsid w:val="00DF4B6A"/>
    <w:rsid w:val="00E0031F"/>
    <w:rsid w:val="00E02C09"/>
    <w:rsid w:val="00E04081"/>
    <w:rsid w:val="00E04D59"/>
    <w:rsid w:val="00E061B3"/>
    <w:rsid w:val="00E07DA1"/>
    <w:rsid w:val="00E123CB"/>
    <w:rsid w:val="00E20E13"/>
    <w:rsid w:val="00E21DBC"/>
    <w:rsid w:val="00E275D7"/>
    <w:rsid w:val="00E27DBE"/>
    <w:rsid w:val="00E32AB1"/>
    <w:rsid w:val="00E36C71"/>
    <w:rsid w:val="00E37CB1"/>
    <w:rsid w:val="00E40404"/>
    <w:rsid w:val="00E459C6"/>
    <w:rsid w:val="00E45A23"/>
    <w:rsid w:val="00E47589"/>
    <w:rsid w:val="00E47D21"/>
    <w:rsid w:val="00E55EC9"/>
    <w:rsid w:val="00E64915"/>
    <w:rsid w:val="00E65D20"/>
    <w:rsid w:val="00E661D4"/>
    <w:rsid w:val="00E70091"/>
    <w:rsid w:val="00E720F5"/>
    <w:rsid w:val="00E76D47"/>
    <w:rsid w:val="00E81130"/>
    <w:rsid w:val="00E836E7"/>
    <w:rsid w:val="00E849F7"/>
    <w:rsid w:val="00E90302"/>
    <w:rsid w:val="00E95D76"/>
    <w:rsid w:val="00E97396"/>
    <w:rsid w:val="00EA185E"/>
    <w:rsid w:val="00EA3A13"/>
    <w:rsid w:val="00EA4BD7"/>
    <w:rsid w:val="00EA592A"/>
    <w:rsid w:val="00EA7F34"/>
    <w:rsid w:val="00EB14E4"/>
    <w:rsid w:val="00EB32A5"/>
    <w:rsid w:val="00EB34ED"/>
    <w:rsid w:val="00EB7BE0"/>
    <w:rsid w:val="00EC315E"/>
    <w:rsid w:val="00EC52AF"/>
    <w:rsid w:val="00EC69C0"/>
    <w:rsid w:val="00ED077C"/>
    <w:rsid w:val="00ED1190"/>
    <w:rsid w:val="00ED5355"/>
    <w:rsid w:val="00ED6544"/>
    <w:rsid w:val="00ED6C50"/>
    <w:rsid w:val="00EE0277"/>
    <w:rsid w:val="00EE3E00"/>
    <w:rsid w:val="00EE5DD2"/>
    <w:rsid w:val="00F00A79"/>
    <w:rsid w:val="00F00E86"/>
    <w:rsid w:val="00F07C1E"/>
    <w:rsid w:val="00F105DB"/>
    <w:rsid w:val="00F10D04"/>
    <w:rsid w:val="00F132BC"/>
    <w:rsid w:val="00F13D80"/>
    <w:rsid w:val="00F16AAA"/>
    <w:rsid w:val="00F21161"/>
    <w:rsid w:val="00F218EF"/>
    <w:rsid w:val="00F21BC7"/>
    <w:rsid w:val="00F24A86"/>
    <w:rsid w:val="00F266A2"/>
    <w:rsid w:val="00F30574"/>
    <w:rsid w:val="00F32269"/>
    <w:rsid w:val="00F47E41"/>
    <w:rsid w:val="00F5432B"/>
    <w:rsid w:val="00F56A6F"/>
    <w:rsid w:val="00F5709C"/>
    <w:rsid w:val="00F64EF1"/>
    <w:rsid w:val="00F86172"/>
    <w:rsid w:val="00F8765F"/>
    <w:rsid w:val="00F90767"/>
    <w:rsid w:val="00F92959"/>
    <w:rsid w:val="00F93802"/>
    <w:rsid w:val="00FA529C"/>
    <w:rsid w:val="00FA685B"/>
    <w:rsid w:val="00FB0C01"/>
    <w:rsid w:val="00FB4CD6"/>
    <w:rsid w:val="00FC18F2"/>
    <w:rsid w:val="00FC39E5"/>
    <w:rsid w:val="00FC3A78"/>
    <w:rsid w:val="00FD1005"/>
    <w:rsid w:val="00FD6847"/>
    <w:rsid w:val="00FD6C75"/>
    <w:rsid w:val="00FE71B3"/>
    <w:rsid w:val="00FF2B1F"/>
    <w:rsid w:val="00FF42C5"/>
    <w:rsid w:val="00FF661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F38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F93802"/>
    <w:rPr>
      <w:rFonts w:eastAsiaTheme="minorEastAsia"/>
      <w:sz w:val="24"/>
    </w:rPr>
  </w:style>
  <w:style w:type="paragraph" w:styleId="Nagwek1">
    <w:name w:val="heading 1"/>
    <w:basedOn w:val="Normalny"/>
    <w:next w:val="Normalny"/>
    <w:link w:val="Nagwek1Znak"/>
    <w:uiPriority w:val="99"/>
    <w:semiHidden/>
    <w:rsid w:val="00F9380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9380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9380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9380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93802"/>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F9380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93802"/>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F9380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9380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93802"/>
    <w:rPr>
      <w:rFonts w:ascii="Tahoma" w:hAnsi="Tahoma" w:cs="Tahoma"/>
      <w:sz w:val="16"/>
      <w:szCs w:val="16"/>
    </w:rPr>
  </w:style>
  <w:style w:type="character" w:customStyle="1" w:styleId="TekstdymkaZnak">
    <w:name w:val="Tekst dymka Znak"/>
    <w:basedOn w:val="Domylnaczcionkaakapitu"/>
    <w:link w:val="Tekstdymka"/>
    <w:uiPriority w:val="99"/>
    <w:semiHidden/>
    <w:rsid w:val="00F93802"/>
    <w:rPr>
      <w:rFonts w:ascii="Tahoma" w:eastAsiaTheme="minorEastAsia" w:hAnsi="Tahoma" w:cs="Tahoma"/>
      <w:sz w:val="16"/>
      <w:szCs w:val="16"/>
      <w:lang w:val="pl-PL"/>
    </w:rPr>
  </w:style>
  <w:style w:type="character" w:styleId="Tytuksiki">
    <w:name w:val="Book Title"/>
    <w:uiPriority w:val="99"/>
    <w:semiHidden/>
    <w:qFormat/>
    <w:rsid w:val="00F93802"/>
    <w:rPr>
      <w:i/>
      <w:iCs/>
      <w:smallCaps/>
      <w:spacing w:val="5"/>
    </w:rPr>
  </w:style>
  <w:style w:type="paragraph" w:customStyle="1" w:styleId="JuHeader">
    <w:name w:val="Ju_Header"/>
    <w:aliases w:val="_Header,ECHR_Header"/>
    <w:basedOn w:val="Nagwek"/>
    <w:uiPriority w:val="4"/>
    <w:qFormat/>
    <w:rsid w:val="00F93802"/>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F93802"/>
    <w:pPr>
      <w:jc w:val="both"/>
    </w:pPr>
  </w:style>
  <w:style w:type="character" w:styleId="Pogrubienie">
    <w:name w:val="Strong"/>
    <w:uiPriority w:val="99"/>
    <w:semiHidden/>
    <w:qFormat/>
    <w:rsid w:val="00F93802"/>
    <w:rPr>
      <w:b/>
      <w:bCs/>
    </w:rPr>
  </w:style>
  <w:style w:type="paragraph" w:styleId="Bezodstpw">
    <w:name w:val="No Spacing"/>
    <w:basedOn w:val="Normalny"/>
    <w:link w:val="BezodstpwZnak"/>
    <w:semiHidden/>
    <w:qFormat/>
    <w:rsid w:val="00F93802"/>
  </w:style>
  <w:style w:type="character" w:customStyle="1" w:styleId="BezodstpwZnak">
    <w:name w:val="Bez odstępów Znak"/>
    <w:basedOn w:val="Domylnaczcionkaakapitu"/>
    <w:link w:val="Bezodstpw"/>
    <w:semiHidden/>
    <w:rsid w:val="00F93802"/>
    <w:rPr>
      <w:rFonts w:eastAsiaTheme="minorEastAsia"/>
      <w:sz w:val="24"/>
      <w:lang w:val="pl-PL"/>
    </w:rPr>
  </w:style>
  <w:style w:type="paragraph" w:customStyle="1" w:styleId="JuQuot">
    <w:name w:val="Ju_Quot"/>
    <w:aliases w:val="_Quote,ECHR_Para_Quote"/>
    <w:basedOn w:val="NormalJustified"/>
    <w:uiPriority w:val="14"/>
    <w:qFormat/>
    <w:rsid w:val="00F93802"/>
    <w:pPr>
      <w:spacing w:before="120" w:after="120"/>
      <w:ind w:left="425" w:firstLine="142"/>
    </w:pPr>
    <w:rPr>
      <w:sz w:val="20"/>
    </w:rPr>
  </w:style>
  <w:style w:type="paragraph" w:customStyle="1" w:styleId="DecList">
    <w:name w:val="Dec_List"/>
    <w:aliases w:val="_List"/>
    <w:basedOn w:val="JuList"/>
    <w:uiPriority w:val="9"/>
    <w:qFormat/>
    <w:rsid w:val="00F93802"/>
    <w:pPr>
      <w:numPr>
        <w:numId w:val="0"/>
      </w:numPr>
      <w:ind w:left="340"/>
    </w:pPr>
  </w:style>
  <w:style w:type="paragraph" w:customStyle="1" w:styleId="JuList">
    <w:name w:val="Ju_List"/>
    <w:aliases w:val="_List_1"/>
    <w:basedOn w:val="NormalJustified"/>
    <w:uiPriority w:val="28"/>
    <w:qFormat/>
    <w:rsid w:val="00F93802"/>
    <w:pPr>
      <w:numPr>
        <w:numId w:val="2"/>
      </w:numPr>
      <w:spacing w:before="280" w:after="60"/>
    </w:pPr>
    <w:rPr>
      <w:rFonts w:eastAsiaTheme="minorHAnsi"/>
    </w:rPr>
  </w:style>
  <w:style w:type="paragraph" w:customStyle="1" w:styleId="JuLista">
    <w:name w:val="Ju_List_a"/>
    <w:aliases w:val="_List_2"/>
    <w:basedOn w:val="NormalJustified"/>
    <w:uiPriority w:val="28"/>
    <w:qFormat/>
    <w:rsid w:val="00F93802"/>
    <w:pPr>
      <w:numPr>
        <w:ilvl w:val="1"/>
        <w:numId w:val="2"/>
      </w:numPr>
    </w:pPr>
  </w:style>
  <w:style w:type="paragraph" w:customStyle="1" w:styleId="JuListi">
    <w:name w:val="Ju_List_i"/>
    <w:aliases w:val="_List_3"/>
    <w:basedOn w:val="NormalJustified"/>
    <w:uiPriority w:val="28"/>
    <w:qFormat/>
    <w:rsid w:val="00F93802"/>
    <w:pPr>
      <w:numPr>
        <w:ilvl w:val="2"/>
        <w:numId w:val="2"/>
      </w:numPr>
    </w:pPr>
  </w:style>
  <w:style w:type="paragraph" w:customStyle="1" w:styleId="JuHArticle">
    <w:name w:val="Ju_H_Article"/>
    <w:aliases w:val="_Title_Quote,ECHR_Title_Centre_3"/>
    <w:basedOn w:val="Normalny"/>
    <w:next w:val="JuQuot"/>
    <w:uiPriority w:val="27"/>
    <w:qFormat/>
    <w:rsid w:val="00F93802"/>
    <w:pPr>
      <w:keepNext/>
      <w:spacing w:before="100" w:beforeAutospacing="1" w:after="120"/>
      <w:contextualSpacing/>
      <w:jc w:val="center"/>
    </w:pPr>
    <w:rPr>
      <w:rFonts w:eastAsiaTheme="minorHAnsi"/>
      <w:b/>
      <w:sz w:val="20"/>
    </w:rPr>
  </w:style>
  <w:style w:type="paragraph" w:customStyle="1" w:styleId="JuParaLast">
    <w:name w:val="Ju_Para_Last"/>
    <w:aliases w:val="_Para_Spaced"/>
    <w:basedOn w:val="NormalJustified"/>
    <w:qFormat/>
    <w:rsid w:val="00F93802"/>
    <w:pPr>
      <w:keepNext/>
      <w:keepLines/>
      <w:spacing w:before="240" w:after="240"/>
      <w:ind w:firstLine="284"/>
    </w:pPr>
    <w:rPr>
      <w:rFonts w:eastAsiaTheme="minorHAnsi"/>
    </w:rPr>
  </w:style>
  <w:style w:type="paragraph" w:customStyle="1" w:styleId="DecHTitle">
    <w:name w:val="Dec_H_Title"/>
    <w:aliases w:val="_Title_1"/>
    <w:basedOn w:val="JuPara"/>
    <w:next w:val="JuPara"/>
    <w:uiPriority w:val="7"/>
    <w:qFormat/>
    <w:rsid w:val="00F93802"/>
    <w:pPr>
      <w:keepNext/>
      <w:keepLines/>
      <w:spacing w:after="240"/>
      <w:ind w:firstLine="0"/>
      <w:jc w:val="center"/>
      <w:outlineLvl w:val="0"/>
    </w:pPr>
    <w:rPr>
      <w:rFonts w:asciiTheme="majorHAnsi" w:hAnsiTheme="majorHAnsi"/>
      <w:sz w:val="28"/>
    </w:rPr>
  </w:style>
  <w:style w:type="paragraph" w:customStyle="1" w:styleId="JuHHead">
    <w:name w:val="Ju_H_Head"/>
    <w:aliases w:val="_Head_1,ECHR_Title_1"/>
    <w:basedOn w:val="Normalny"/>
    <w:next w:val="JuPara"/>
    <w:uiPriority w:val="18"/>
    <w:qFormat/>
    <w:rsid w:val="00F93802"/>
    <w:pPr>
      <w:keepNext/>
      <w:keepLines/>
      <w:numPr>
        <w:numId w:val="1"/>
      </w:numPr>
      <w:spacing w:before="100" w:beforeAutospacing="1" w:after="240"/>
      <w:jc w:val="both"/>
      <w:outlineLvl w:val="0"/>
    </w:pPr>
    <w:rPr>
      <w:caps/>
      <w:sz w:val="28"/>
    </w:rPr>
  </w:style>
  <w:style w:type="paragraph" w:customStyle="1" w:styleId="JuTitle">
    <w:name w:val="Ju_Title"/>
    <w:aliases w:val="_Title_2"/>
    <w:basedOn w:val="Normalny"/>
    <w:next w:val="JuPara"/>
    <w:uiPriority w:val="3"/>
    <w:qFormat/>
    <w:rsid w:val="00F93802"/>
    <w:pPr>
      <w:keepNext/>
      <w:keepLines/>
      <w:spacing w:before="1320" w:after="280"/>
      <w:contextualSpacing/>
      <w:jc w:val="center"/>
    </w:pPr>
    <w:rPr>
      <w:rFonts w:eastAsiaTheme="minorHAnsi"/>
      <w:b/>
    </w:rPr>
  </w:style>
  <w:style w:type="paragraph" w:customStyle="1" w:styleId="Title4">
    <w:name w:val="_Title_4"/>
    <w:basedOn w:val="JuPara"/>
    <w:next w:val="JuPara"/>
    <w:uiPriority w:val="35"/>
    <w:qFormat/>
    <w:rsid w:val="00F93802"/>
    <w:pPr>
      <w:keepNext/>
      <w:keepLines/>
      <w:tabs>
        <w:tab w:val="right" w:pos="7938"/>
      </w:tabs>
      <w:ind w:firstLine="0"/>
      <w:jc w:val="center"/>
    </w:pPr>
    <w:rPr>
      <w:rFonts w:eastAsiaTheme="minorHAnsi"/>
      <w:i/>
    </w:rPr>
  </w:style>
  <w:style w:type="paragraph" w:styleId="Tytu">
    <w:name w:val="Title"/>
    <w:basedOn w:val="Normalny"/>
    <w:next w:val="Normalny"/>
    <w:link w:val="TytuZnak"/>
    <w:uiPriority w:val="99"/>
    <w:semiHidden/>
    <w:qFormat/>
    <w:rsid w:val="00F9380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93802"/>
    <w:rPr>
      <w:rFonts w:asciiTheme="majorHAnsi" w:eastAsiaTheme="majorEastAsia" w:hAnsiTheme="majorHAnsi" w:cstheme="majorBidi"/>
      <w:spacing w:val="5"/>
      <w:sz w:val="52"/>
      <w:szCs w:val="52"/>
      <w:lang w:val="pl-PL" w:bidi="en-US"/>
    </w:rPr>
  </w:style>
  <w:style w:type="numbering" w:customStyle="1" w:styleId="ECHRA1StyleBulletedSquare">
    <w:name w:val="ECHR_A1_Style_Bulleted_Square"/>
    <w:basedOn w:val="Bezlisty"/>
    <w:rsid w:val="00F93802"/>
    <w:pPr>
      <w:numPr>
        <w:numId w:val="6"/>
      </w:numPr>
    </w:pPr>
  </w:style>
  <w:style w:type="numbering" w:customStyle="1" w:styleId="ECHRA1StyleList">
    <w:name w:val="ECHR_A1_Style_List"/>
    <w:basedOn w:val="Bezlisty"/>
    <w:uiPriority w:val="99"/>
    <w:rsid w:val="00F93802"/>
    <w:pPr>
      <w:numPr>
        <w:numId w:val="7"/>
      </w:numPr>
    </w:pPr>
  </w:style>
  <w:style w:type="numbering" w:customStyle="1" w:styleId="ECHRA1StyleNumberedList">
    <w:name w:val="ECHR_A1_Style_Numbered_List"/>
    <w:basedOn w:val="Bezlisty"/>
    <w:rsid w:val="00F93802"/>
    <w:pPr>
      <w:numPr>
        <w:numId w:val="8"/>
      </w:numPr>
    </w:pPr>
  </w:style>
  <w:style w:type="table" w:customStyle="1" w:styleId="ECHRTable2019">
    <w:name w:val="ECHR_Table_2019"/>
    <w:basedOn w:val="Standardowy"/>
    <w:uiPriority w:val="99"/>
    <w:rsid w:val="00F93802"/>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F93802"/>
    <w:rPr>
      <w:sz w:val="8"/>
    </w:rPr>
  </w:style>
  <w:style w:type="paragraph" w:customStyle="1" w:styleId="JuHIRoman">
    <w:name w:val="Ju_H_I_Roman"/>
    <w:aliases w:val="_Head_2,ECHR_Heading_1"/>
    <w:basedOn w:val="Normalny"/>
    <w:next w:val="JuPara"/>
    <w:uiPriority w:val="19"/>
    <w:qFormat/>
    <w:rsid w:val="00F93802"/>
    <w:pPr>
      <w:keepNext/>
      <w:keepLines/>
      <w:numPr>
        <w:ilvl w:val="1"/>
        <w:numId w:val="1"/>
      </w:numPr>
      <w:spacing w:before="100" w:beforeAutospacing="1" w:after="240"/>
      <w:jc w:val="both"/>
      <w:outlineLvl w:val="1"/>
    </w:pPr>
    <w:rPr>
      <w:caps/>
    </w:rPr>
  </w:style>
  <w:style w:type="paragraph" w:customStyle="1" w:styleId="JuHA">
    <w:name w:val="Ju_H_A"/>
    <w:aliases w:val="_Head_3,ECHR_Heading_2"/>
    <w:basedOn w:val="Normalny"/>
    <w:next w:val="JuPara"/>
    <w:uiPriority w:val="20"/>
    <w:qFormat/>
    <w:rsid w:val="00F93802"/>
    <w:pPr>
      <w:keepNext/>
      <w:keepLines/>
      <w:numPr>
        <w:ilvl w:val="2"/>
        <w:numId w:val="1"/>
      </w:numPr>
      <w:spacing w:before="100" w:beforeAutospacing="1" w:after="240"/>
      <w:jc w:val="both"/>
      <w:outlineLvl w:val="2"/>
    </w:pPr>
    <w:rPr>
      <w:b/>
    </w:rPr>
  </w:style>
  <w:style w:type="paragraph" w:customStyle="1" w:styleId="JuH1">
    <w:name w:val="Ju_H_1."/>
    <w:aliases w:val="_Head_4,ECHR_Heading_3"/>
    <w:basedOn w:val="Normalny"/>
    <w:next w:val="JuPara"/>
    <w:uiPriority w:val="21"/>
    <w:qFormat/>
    <w:rsid w:val="00F93802"/>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F9380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93802"/>
    <w:rPr>
      <w:sz w:val="24"/>
      <w:lang w:val="pl-PL"/>
    </w:rPr>
  </w:style>
  <w:style w:type="character" w:customStyle="1" w:styleId="Nagwek1Znak">
    <w:name w:val="Nagłówek 1 Znak"/>
    <w:basedOn w:val="Domylnaczcionkaakapitu"/>
    <w:link w:val="Nagwek1"/>
    <w:uiPriority w:val="99"/>
    <w:semiHidden/>
    <w:rsid w:val="00F93802"/>
    <w:rPr>
      <w:rFonts w:asciiTheme="majorHAnsi" w:eastAsiaTheme="majorEastAsia" w:hAnsiTheme="majorHAnsi" w:cstheme="majorBidi"/>
      <w:b/>
      <w:bCs/>
      <w:color w:val="333333"/>
      <w:sz w:val="28"/>
      <w:szCs w:val="28"/>
      <w:lang w:val="pl-PL"/>
    </w:rPr>
  </w:style>
  <w:style w:type="paragraph" w:customStyle="1" w:styleId="JuHa0">
    <w:name w:val="Ju_H_a"/>
    <w:aliases w:val="_Head_5,ECHR_Heading_4"/>
    <w:basedOn w:val="Normalny"/>
    <w:next w:val="JuPara"/>
    <w:uiPriority w:val="22"/>
    <w:qFormat/>
    <w:rsid w:val="00F93802"/>
    <w:pPr>
      <w:keepNext/>
      <w:keepLines/>
      <w:numPr>
        <w:ilvl w:val="4"/>
        <w:numId w:val="1"/>
      </w:numPr>
      <w:spacing w:before="100" w:beforeAutospacing="1" w:after="120"/>
      <w:jc w:val="both"/>
      <w:outlineLvl w:val="4"/>
    </w:pPr>
    <w:rPr>
      <w:b/>
      <w:sz w:val="20"/>
    </w:rPr>
  </w:style>
  <w:style w:type="paragraph" w:customStyle="1" w:styleId="JuHi">
    <w:name w:val="Ju_H_i"/>
    <w:aliases w:val="_Head_6,ECHR_Heading_5"/>
    <w:basedOn w:val="Normalny"/>
    <w:next w:val="JuPara"/>
    <w:uiPriority w:val="23"/>
    <w:qFormat/>
    <w:rsid w:val="00F93802"/>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F93802"/>
    <w:rPr>
      <w:rFonts w:asciiTheme="majorHAnsi" w:eastAsiaTheme="majorEastAsia" w:hAnsiTheme="majorHAnsi" w:cstheme="majorBidi"/>
      <w:b/>
      <w:bCs/>
      <w:color w:val="4D4D4D"/>
      <w:sz w:val="26"/>
      <w:szCs w:val="26"/>
      <w:lang w:val="pl-PL"/>
    </w:rPr>
  </w:style>
  <w:style w:type="paragraph" w:customStyle="1" w:styleId="JuHalpha">
    <w:name w:val="Ju_H_alpha"/>
    <w:aliases w:val="_Head_7,ECHR_Heading_6"/>
    <w:basedOn w:val="Normalny"/>
    <w:next w:val="JuPara"/>
    <w:uiPriority w:val="24"/>
    <w:qFormat/>
    <w:rsid w:val="00F93802"/>
    <w:pPr>
      <w:keepNext/>
      <w:keepLines/>
      <w:numPr>
        <w:ilvl w:val="6"/>
        <w:numId w:val="1"/>
      </w:numPr>
      <w:spacing w:before="100" w:beforeAutospacing="1" w:after="120"/>
      <w:jc w:val="both"/>
      <w:outlineLvl w:val="6"/>
    </w:pPr>
    <w:rPr>
      <w:sz w:val="20"/>
    </w:rPr>
  </w:style>
  <w:style w:type="paragraph" w:customStyle="1" w:styleId="JuH">
    <w:name w:val="Ju_H_–"/>
    <w:aliases w:val="_Head_8,ECHR_Heading_7"/>
    <w:basedOn w:val="Normalny"/>
    <w:next w:val="JuPara"/>
    <w:uiPriority w:val="25"/>
    <w:qFormat/>
    <w:rsid w:val="00F93802"/>
    <w:pPr>
      <w:keepNext/>
      <w:keepLines/>
      <w:numPr>
        <w:ilvl w:val="7"/>
        <w:numId w:val="1"/>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F93802"/>
    <w:rPr>
      <w:rFonts w:asciiTheme="majorHAnsi" w:eastAsiaTheme="majorEastAsia" w:hAnsiTheme="majorHAnsi" w:cstheme="majorBidi"/>
      <w:b/>
      <w:bCs/>
      <w:color w:val="5F5F5F"/>
      <w:sz w:val="24"/>
      <w:lang w:val="pl-PL"/>
    </w:rPr>
  </w:style>
  <w:style w:type="paragraph" w:customStyle="1" w:styleId="JuCourt">
    <w:name w:val="Ju_Court"/>
    <w:basedOn w:val="Normalny"/>
    <w:next w:val="Normalny"/>
    <w:uiPriority w:val="16"/>
    <w:qFormat/>
    <w:rsid w:val="00F93802"/>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qFormat/>
    <w:rsid w:val="00F93802"/>
    <w:pPr>
      <w:tabs>
        <w:tab w:val="center" w:pos="6407"/>
      </w:tabs>
      <w:spacing w:before="720"/>
      <w:jc w:val="right"/>
    </w:pPr>
  </w:style>
  <w:style w:type="character" w:customStyle="1" w:styleId="Nagwek4Znak">
    <w:name w:val="Nagłówek 4 Znak"/>
    <w:basedOn w:val="Domylnaczcionkaakapitu"/>
    <w:link w:val="Nagwek4"/>
    <w:uiPriority w:val="99"/>
    <w:semiHidden/>
    <w:rsid w:val="00F93802"/>
    <w:rPr>
      <w:rFonts w:asciiTheme="majorHAnsi" w:eastAsiaTheme="majorEastAsia" w:hAnsiTheme="majorHAnsi" w:cstheme="majorBidi"/>
      <w:b/>
      <w:bCs/>
      <w:i/>
      <w:iCs/>
      <w:color w:val="777777"/>
      <w:sz w:val="24"/>
      <w:lang w:val="pl-PL"/>
    </w:rPr>
  </w:style>
  <w:style w:type="character" w:customStyle="1" w:styleId="JuITMark">
    <w:name w:val="Ju_ITMark"/>
    <w:basedOn w:val="Domylnaczcionkaakapitu"/>
    <w:uiPriority w:val="38"/>
    <w:qFormat/>
    <w:rsid w:val="00F93802"/>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9"/>
    <w:semiHidden/>
    <w:rsid w:val="00F93802"/>
    <w:rPr>
      <w:rFonts w:asciiTheme="majorHAnsi" w:eastAsiaTheme="majorEastAsia" w:hAnsiTheme="majorHAnsi" w:cstheme="majorBidi"/>
      <w:b/>
      <w:bCs/>
      <w:color w:val="808080"/>
      <w:sz w:val="24"/>
      <w:lang w:val="pl-PL"/>
    </w:rPr>
  </w:style>
  <w:style w:type="character" w:customStyle="1" w:styleId="JUNAMES">
    <w:name w:val="JU_NAMES"/>
    <w:uiPriority w:val="17"/>
    <w:qFormat/>
    <w:rsid w:val="00F93802"/>
    <w:rPr>
      <w:caps w:val="0"/>
      <w:smallCaps/>
    </w:rPr>
  </w:style>
  <w:style w:type="paragraph" w:customStyle="1" w:styleId="JuSigned">
    <w:name w:val="Ju_Signed"/>
    <w:aliases w:val="_Signature"/>
    <w:basedOn w:val="Normalny"/>
    <w:next w:val="JuPara"/>
    <w:uiPriority w:val="32"/>
    <w:qFormat/>
    <w:rsid w:val="00F93802"/>
    <w:pPr>
      <w:tabs>
        <w:tab w:val="center" w:pos="851"/>
        <w:tab w:val="center" w:pos="6407"/>
      </w:tabs>
      <w:spacing w:before="720"/>
    </w:pPr>
  </w:style>
  <w:style w:type="character" w:styleId="Wyrnieniedelikatne">
    <w:name w:val="Subtle Emphasis"/>
    <w:uiPriority w:val="99"/>
    <w:semiHidden/>
    <w:qFormat/>
    <w:rsid w:val="00F93802"/>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93802"/>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9"/>
    <w:semiHidden/>
    <w:qFormat/>
    <w:rsid w:val="00F93802"/>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F93802"/>
    <w:rPr>
      <w:b/>
      <w:bCs/>
      <w:i/>
      <w:iCs/>
      <w:spacing w:val="10"/>
      <w:bdr w:val="none" w:sz="0" w:space="0" w:color="auto"/>
      <w:shd w:val="clear" w:color="auto" w:fill="auto"/>
    </w:rPr>
  </w:style>
  <w:style w:type="paragraph" w:styleId="Stopka">
    <w:name w:val="footer"/>
    <w:basedOn w:val="Normalny"/>
    <w:link w:val="StopkaZnak"/>
    <w:uiPriority w:val="57"/>
    <w:semiHidden/>
    <w:rsid w:val="00F9380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93802"/>
    <w:rPr>
      <w:sz w:val="24"/>
      <w:lang w:val="pl-PL"/>
    </w:rPr>
  </w:style>
  <w:style w:type="character" w:styleId="Odwoanieprzypisudolnego">
    <w:name w:val="footnote reference"/>
    <w:basedOn w:val="Domylnaczcionkaakapitu"/>
    <w:uiPriority w:val="99"/>
    <w:semiHidden/>
    <w:rsid w:val="00F93802"/>
    <w:rPr>
      <w:vertAlign w:val="superscript"/>
    </w:rPr>
  </w:style>
  <w:style w:type="paragraph" w:styleId="Tekstprzypisudolnego">
    <w:name w:val="footnote text"/>
    <w:basedOn w:val="Normalny"/>
    <w:link w:val="TekstprzypisudolnegoZnak"/>
    <w:uiPriority w:val="99"/>
    <w:semiHidden/>
    <w:rsid w:val="00F93802"/>
    <w:rPr>
      <w:sz w:val="20"/>
      <w:szCs w:val="20"/>
    </w:rPr>
  </w:style>
  <w:style w:type="character" w:customStyle="1" w:styleId="TekstprzypisudolnegoZnak">
    <w:name w:val="Tekst przypisu dolnego Znak"/>
    <w:basedOn w:val="Domylnaczcionkaakapitu"/>
    <w:link w:val="Tekstprzypisudolnego"/>
    <w:uiPriority w:val="99"/>
    <w:semiHidden/>
    <w:rsid w:val="00F93802"/>
    <w:rPr>
      <w:rFonts w:eastAsiaTheme="minorEastAsia"/>
      <w:sz w:val="20"/>
      <w:szCs w:val="20"/>
      <w:lang w:val="pl-PL"/>
    </w:rPr>
  </w:style>
  <w:style w:type="character" w:customStyle="1" w:styleId="Nagwek6Znak">
    <w:name w:val="Nagłówek 6 Znak"/>
    <w:basedOn w:val="Domylnaczcionkaakapitu"/>
    <w:link w:val="Nagwek6"/>
    <w:uiPriority w:val="99"/>
    <w:semiHidden/>
    <w:rsid w:val="00F93802"/>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F93802"/>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F93802"/>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F93802"/>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F93802"/>
    <w:rPr>
      <w:color w:val="0072BC" w:themeColor="hyperlink"/>
      <w:u w:val="single"/>
    </w:rPr>
  </w:style>
  <w:style w:type="character" w:styleId="Wyrnienieintensywne">
    <w:name w:val="Intense Emphasis"/>
    <w:uiPriority w:val="99"/>
    <w:semiHidden/>
    <w:qFormat/>
    <w:rsid w:val="00F93802"/>
    <w:rPr>
      <w:b/>
      <w:bCs/>
    </w:rPr>
  </w:style>
  <w:style w:type="paragraph" w:styleId="Cytatintensywny">
    <w:name w:val="Intense Quote"/>
    <w:basedOn w:val="Normalny"/>
    <w:next w:val="Normalny"/>
    <w:link w:val="CytatintensywnyZnak"/>
    <w:uiPriority w:val="99"/>
    <w:semiHidden/>
    <w:qFormat/>
    <w:rsid w:val="00F9380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F93802"/>
    <w:rPr>
      <w:rFonts w:eastAsiaTheme="minorEastAsia"/>
      <w:b/>
      <w:bCs/>
      <w:i/>
      <w:iCs/>
      <w:sz w:val="24"/>
      <w:lang w:val="pl-PL" w:bidi="en-US"/>
    </w:rPr>
  </w:style>
  <w:style w:type="character" w:styleId="Odwoanieintensywne">
    <w:name w:val="Intense Reference"/>
    <w:uiPriority w:val="99"/>
    <w:semiHidden/>
    <w:qFormat/>
    <w:rsid w:val="00F93802"/>
    <w:rPr>
      <w:smallCaps/>
      <w:spacing w:val="5"/>
      <w:u w:val="single"/>
    </w:rPr>
  </w:style>
  <w:style w:type="paragraph" w:styleId="Akapitzlist">
    <w:name w:val="List Paragraph"/>
    <w:basedOn w:val="Normalny"/>
    <w:uiPriority w:val="99"/>
    <w:semiHidden/>
    <w:qFormat/>
    <w:rsid w:val="00F93802"/>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93802"/>
    <w:pPr>
      <w:spacing w:before="200"/>
      <w:ind w:left="360" w:right="360"/>
    </w:pPr>
    <w:rPr>
      <w:i/>
      <w:iCs/>
      <w:lang w:bidi="en-US"/>
    </w:rPr>
  </w:style>
  <w:style w:type="character" w:customStyle="1" w:styleId="CytatZnak">
    <w:name w:val="Cytat Znak"/>
    <w:basedOn w:val="Domylnaczcionkaakapitu"/>
    <w:link w:val="Cytat"/>
    <w:uiPriority w:val="99"/>
    <w:semiHidden/>
    <w:rsid w:val="00F93802"/>
    <w:rPr>
      <w:rFonts w:eastAsiaTheme="minorEastAsia"/>
      <w:i/>
      <w:iCs/>
      <w:sz w:val="24"/>
      <w:lang w:val="pl-PL" w:bidi="en-US"/>
    </w:rPr>
  </w:style>
  <w:style w:type="character" w:styleId="Odwoaniedelikatne">
    <w:name w:val="Subtle Reference"/>
    <w:uiPriority w:val="99"/>
    <w:semiHidden/>
    <w:qFormat/>
    <w:rsid w:val="00F93802"/>
    <w:rPr>
      <w:smallCaps/>
    </w:rPr>
  </w:style>
  <w:style w:type="table" w:styleId="Tabela-Siatka">
    <w:name w:val="Table Grid"/>
    <w:basedOn w:val="Standardowy"/>
    <w:uiPriority w:val="59"/>
    <w:semiHidden/>
    <w:rsid w:val="00F9380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9380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9380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9380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9380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9380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93802"/>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93802"/>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F9380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F93802"/>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9380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F93802"/>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F93802"/>
    <w:pPr>
      <w:numPr>
        <w:numId w:val="3"/>
      </w:numPr>
    </w:pPr>
  </w:style>
  <w:style w:type="numbering" w:styleId="1ai">
    <w:name w:val="Outline List 1"/>
    <w:basedOn w:val="Bezlisty"/>
    <w:uiPriority w:val="99"/>
    <w:semiHidden/>
    <w:unhideWhenUsed/>
    <w:rsid w:val="00F93802"/>
    <w:pPr>
      <w:numPr>
        <w:numId w:val="4"/>
      </w:numPr>
    </w:pPr>
  </w:style>
  <w:style w:type="paragraph" w:customStyle="1" w:styleId="JuPara">
    <w:name w:val="Ju_Para"/>
    <w:aliases w:val="_Para"/>
    <w:basedOn w:val="NormalJustified"/>
    <w:link w:val="JuParaChar"/>
    <w:uiPriority w:val="8"/>
    <w:qFormat/>
    <w:rsid w:val="008C4407"/>
    <w:pPr>
      <w:ind w:firstLine="284"/>
    </w:pPr>
  </w:style>
  <w:style w:type="numbering" w:styleId="Artykusekcja">
    <w:name w:val="Outline List 3"/>
    <w:basedOn w:val="Bezlisty"/>
    <w:uiPriority w:val="99"/>
    <w:semiHidden/>
    <w:unhideWhenUsed/>
    <w:rsid w:val="00F93802"/>
    <w:pPr>
      <w:numPr>
        <w:numId w:val="5"/>
      </w:numPr>
    </w:pPr>
  </w:style>
  <w:style w:type="table" w:customStyle="1" w:styleId="ECHRTableSimpleBox">
    <w:name w:val="ECHR_Table_Simple_Box"/>
    <w:basedOn w:val="Standardowy"/>
    <w:uiPriority w:val="99"/>
    <w:rsid w:val="00F93802"/>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93802"/>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F93802"/>
  </w:style>
  <w:style w:type="table" w:customStyle="1" w:styleId="ECHRTableForInternalUse">
    <w:name w:val="ECHR_Table_For_Internal_Use"/>
    <w:basedOn w:val="Standardowy"/>
    <w:uiPriority w:val="99"/>
    <w:rsid w:val="00F93802"/>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F9380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F93802"/>
    <w:pPr>
      <w:spacing w:after="120"/>
    </w:pPr>
  </w:style>
  <w:style w:type="table" w:customStyle="1" w:styleId="ECHRHeaderTable">
    <w:name w:val="ECHR_Header_Table"/>
    <w:basedOn w:val="Standardowy"/>
    <w:uiPriority w:val="99"/>
    <w:rsid w:val="00F9380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F93802"/>
    <w:rPr>
      <w:rFonts w:eastAsiaTheme="minorEastAsia"/>
      <w:sz w:val="24"/>
      <w:lang w:val="pl-PL"/>
    </w:rPr>
  </w:style>
  <w:style w:type="paragraph" w:styleId="Tekstpodstawowy2">
    <w:name w:val="Body Text 2"/>
    <w:basedOn w:val="Normalny"/>
    <w:link w:val="Tekstpodstawowy2Znak"/>
    <w:uiPriority w:val="99"/>
    <w:semiHidden/>
    <w:rsid w:val="00F93802"/>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ECHR_Decision_Body"/>
    <w:basedOn w:val="Normalny"/>
    <w:uiPriority w:val="11"/>
    <w:qFormat/>
    <w:rsid w:val="00F93802"/>
    <w:pPr>
      <w:tabs>
        <w:tab w:val="left" w:pos="567"/>
        <w:tab w:val="left" w:pos="1134"/>
      </w:tabs>
    </w:pPr>
  </w:style>
  <w:style w:type="table" w:customStyle="1" w:styleId="ECHRHeaderTableReduced">
    <w:name w:val="ECHR_Header_Table_Reduced"/>
    <w:basedOn w:val="Standardowy"/>
    <w:uiPriority w:val="99"/>
    <w:rsid w:val="00F93802"/>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10"/>
    <w:rsid w:val="00F93802"/>
    <w:pPr>
      <w:ind w:firstLine="284"/>
    </w:pPr>
    <w:rPr>
      <w:b/>
    </w:rPr>
  </w:style>
  <w:style w:type="character" w:styleId="Numerstrony">
    <w:name w:val="page number"/>
    <w:uiPriority w:val="99"/>
    <w:semiHidden/>
    <w:rsid w:val="00F93802"/>
    <w:rPr>
      <w:sz w:val="18"/>
    </w:rPr>
  </w:style>
  <w:style w:type="paragraph" w:styleId="Listapunktowana2">
    <w:name w:val="List Bullet 2"/>
    <w:basedOn w:val="Normalny"/>
    <w:uiPriority w:val="99"/>
    <w:semiHidden/>
    <w:rsid w:val="00F93802"/>
    <w:pPr>
      <w:numPr>
        <w:numId w:val="10"/>
      </w:numPr>
      <w:contextualSpacing/>
    </w:pPr>
  </w:style>
  <w:style w:type="character" w:customStyle="1" w:styleId="Tekstpodstawowy2Znak">
    <w:name w:val="Tekst podstawowy 2 Znak"/>
    <w:basedOn w:val="Domylnaczcionkaakapitu"/>
    <w:link w:val="Tekstpodstawowy2"/>
    <w:uiPriority w:val="99"/>
    <w:semiHidden/>
    <w:rsid w:val="00F93802"/>
    <w:rPr>
      <w:rFonts w:eastAsiaTheme="minorEastAsia"/>
      <w:sz w:val="24"/>
      <w:lang w:val="pl-PL"/>
    </w:rPr>
  </w:style>
  <w:style w:type="paragraph" w:styleId="Tekstpodstawowy3">
    <w:name w:val="Body Text 3"/>
    <w:basedOn w:val="Normalny"/>
    <w:link w:val="Tekstpodstawowy3Znak"/>
    <w:uiPriority w:val="99"/>
    <w:semiHidden/>
    <w:rsid w:val="00F93802"/>
    <w:pPr>
      <w:spacing w:after="120"/>
    </w:pPr>
    <w:rPr>
      <w:sz w:val="16"/>
      <w:szCs w:val="16"/>
    </w:rPr>
  </w:style>
  <w:style w:type="character" w:customStyle="1" w:styleId="Tekstpodstawowy3Znak">
    <w:name w:val="Tekst podstawowy 3 Znak"/>
    <w:basedOn w:val="Domylnaczcionkaakapitu"/>
    <w:link w:val="Tekstpodstawowy3"/>
    <w:uiPriority w:val="99"/>
    <w:semiHidden/>
    <w:rsid w:val="00F93802"/>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F93802"/>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F93802"/>
    <w:rPr>
      <w:rFonts w:eastAsiaTheme="minorEastAsia"/>
      <w:sz w:val="24"/>
      <w:lang w:val="pl-PL"/>
    </w:rPr>
  </w:style>
  <w:style w:type="paragraph" w:styleId="Tekstpodstawowywcity">
    <w:name w:val="Body Text Indent"/>
    <w:basedOn w:val="Normalny"/>
    <w:link w:val="TekstpodstawowywcityZnak"/>
    <w:uiPriority w:val="99"/>
    <w:semiHidden/>
    <w:rsid w:val="00F93802"/>
    <w:pPr>
      <w:spacing w:after="120"/>
      <w:ind w:left="283"/>
    </w:pPr>
  </w:style>
  <w:style w:type="character" w:customStyle="1" w:styleId="TekstpodstawowywcityZnak">
    <w:name w:val="Tekst podstawowy wcięty Znak"/>
    <w:basedOn w:val="Domylnaczcionkaakapitu"/>
    <w:link w:val="Tekstpodstawowywcity"/>
    <w:uiPriority w:val="99"/>
    <w:semiHidden/>
    <w:rsid w:val="00F93802"/>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F93802"/>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F93802"/>
    <w:rPr>
      <w:rFonts w:eastAsiaTheme="minorEastAsia"/>
      <w:sz w:val="24"/>
      <w:lang w:val="pl-PL"/>
    </w:rPr>
  </w:style>
  <w:style w:type="paragraph" w:styleId="Tekstpodstawowywcity2">
    <w:name w:val="Body Text Indent 2"/>
    <w:basedOn w:val="Normalny"/>
    <w:link w:val="Tekstpodstawowywcity2Znak"/>
    <w:uiPriority w:val="99"/>
    <w:semiHidden/>
    <w:rsid w:val="00F9380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F93802"/>
    <w:rPr>
      <w:rFonts w:eastAsiaTheme="minorEastAsia"/>
      <w:sz w:val="24"/>
      <w:lang w:val="pl-PL"/>
    </w:rPr>
  </w:style>
  <w:style w:type="paragraph" w:styleId="Tekstpodstawowywcity3">
    <w:name w:val="Body Text Indent 3"/>
    <w:basedOn w:val="Normalny"/>
    <w:link w:val="Tekstpodstawowywcity3Znak"/>
    <w:uiPriority w:val="99"/>
    <w:semiHidden/>
    <w:rsid w:val="00F9380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F93802"/>
    <w:rPr>
      <w:rFonts w:eastAsiaTheme="minorEastAsia"/>
      <w:sz w:val="16"/>
      <w:szCs w:val="16"/>
      <w:lang w:val="pl-PL"/>
    </w:rPr>
  </w:style>
  <w:style w:type="paragraph" w:styleId="Legenda">
    <w:name w:val="caption"/>
    <w:basedOn w:val="Normalny"/>
    <w:next w:val="Normalny"/>
    <w:uiPriority w:val="99"/>
    <w:semiHidden/>
    <w:qFormat/>
    <w:rsid w:val="00F93802"/>
    <w:pPr>
      <w:spacing w:after="200"/>
    </w:pPr>
    <w:rPr>
      <w:b/>
      <w:bCs/>
      <w:color w:val="0072BC" w:themeColor="accent1"/>
      <w:sz w:val="18"/>
      <w:szCs w:val="18"/>
    </w:rPr>
  </w:style>
  <w:style w:type="paragraph" w:styleId="Zwrotpoegnalny">
    <w:name w:val="Closing"/>
    <w:basedOn w:val="Normalny"/>
    <w:link w:val="ZwrotpoegnalnyZnak"/>
    <w:uiPriority w:val="99"/>
    <w:semiHidden/>
    <w:rsid w:val="00F93802"/>
    <w:pPr>
      <w:ind w:left="4252"/>
    </w:pPr>
  </w:style>
  <w:style w:type="character" w:customStyle="1" w:styleId="ZwrotpoegnalnyZnak">
    <w:name w:val="Zwrot pożegnalny Znak"/>
    <w:basedOn w:val="Domylnaczcionkaakapitu"/>
    <w:link w:val="Zwrotpoegnalny"/>
    <w:uiPriority w:val="99"/>
    <w:semiHidden/>
    <w:rsid w:val="00F93802"/>
    <w:rPr>
      <w:rFonts w:eastAsiaTheme="minorEastAsia"/>
      <w:sz w:val="24"/>
      <w:lang w:val="pl-PL"/>
    </w:rPr>
  </w:style>
  <w:style w:type="table" w:styleId="Kolorowasiatka">
    <w:name w:val="Colorful Grid"/>
    <w:basedOn w:val="Standardowy"/>
    <w:uiPriority w:val="99"/>
    <w:semiHidden/>
    <w:rsid w:val="00F93802"/>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F93802"/>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F93802"/>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F93802"/>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F93802"/>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F93802"/>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F93802"/>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F93802"/>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F93802"/>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F93802"/>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F93802"/>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F93802"/>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F93802"/>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F93802"/>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F93802"/>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F93802"/>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F93802"/>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F93802"/>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F93802"/>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F93802"/>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F93802"/>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sid w:val="000F375F"/>
    <w:rPr>
      <w:sz w:val="16"/>
      <w:szCs w:val="16"/>
    </w:rPr>
  </w:style>
  <w:style w:type="paragraph" w:styleId="Tekstkomentarza">
    <w:name w:val="annotation text"/>
    <w:link w:val="TekstkomentarzaZnak"/>
    <w:uiPriority w:val="99"/>
    <w:semiHidden/>
    <w:unhideWhenUsed/>
    <w:rsid w:val="000F375F"/>
    <w:rPr>
      <w:sz w:val="20"/>
      <w:szCs w:val="20"/>
    </w:rPr>
  </w:style>
  <w:style w:type="character" w:customStyle="1" w:styleId="TekstkomentarzaZnak">
    <w:name w:val="Tekst komentarza Znak"/>
    <w:basedOn w:val="Domylnaczcionkaakapitu"/>
    <w:link w:val="Tekstkomentarza"/>
    <w:semiHidden/>
    <w:rsid w:val="00F93802"/>
    <w:rPr>
      <w:rFonts w:eastAsiaTheme="minorEastAsia"/>
      <w:sz w:val="20"/>
      <w:szCs w:val="20"/>
      <w:lang w:val="pl-PL"/>
    </w:rPr>
  </w:style>
  <w:style w:type="paragraph" w:styleId="Tematkomentarza">
    <w:name w:val="annotation subject"/>
    <w:basedOn w:val="Tekstkomentarza"/>
    <w:next w:val="Tekstkomentarza"/>
    <w:link w:val="TematkomentarzaZnak"/>
    <w:uiPriority w:val="99"/>
    <w:semiHidden/>
    <w:rsid w:val="00F93802"/>
    <w:rPr>
      <w:b/>
      <w:bCs/>
    </w:rPr>
  </w:style>
  <w:style w:type="character" w:customStyle="1" w:styleId="TematkomentarzaZnak">
    <w:name w:val="Temat komentarza Znak"/>
    <w:basedOn w:val="TekstkomentarzaZnak"/>
    <w:link w:val="Tematkomentarza"/>
    <w:uiPriority w:val="99"/>
    <w:semiHidden/>
    <w:rsid w:val="00F93802"/>
    <w:rPr>
      <w:rFonts w:eastAsiaTheme="minorEastAsia"/>
      <w:b/>
      <w:bCs/>
      <w:sz w:val="20"/>
      <w:szCs w:val="20"/>
      <w:lang w:val="pl-PL"/>
    </w:rPr>
  </w:style>
  <w:style w:type="table" w:styleId="Ciemnalista">
    <w:name w:val="Dark List"/>
    <w:basedOn w:val="Standardowy"/>
    <w:uiPriority w:val="99"/>
    <w:semiHidden/>
    <w:rsid w:val="00F93802"/>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F93802"/>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F93802"/>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F93802"/>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F93802"/>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F93802"/>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F93802"/>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F93802"/>
  </w:style>
  <w:style w:type="character" w:customStyle="1" w:styleId="DataZnak">
    <w:name w:val="Data Znak"/>
    <w:basedOn w:val="Domylnaczcionkaakapitu"/>
    <w:link w:val="Data"/>
    <w:uiPriority w:val="99"/>
    <w:semiHidden/>
    <w:rsid w:val="00F93802"/>
    <w:rPr>
      <w:rFonts w:eastAsiaTheme="minorEastAsia"/>
      <w:sz w:val="24"/>
      <w:lang w:val="pl-PL"/>
    </w:rPr>
  </w:style>
  <w:style w:type="paragraph" w:styleId="Mapadokumentu">
    <w:name w:val="Document Map"/>
    <w:basedOn w:val="Normalny"/>
    <w:link w:val="MapadokumentuZnak"/>
    <w:uiPriority w:val="99"/>
    <w:semiHidden/>
    <w:rsid w:val="00F9380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93802"/>
    <w:rPr>
      <w:rFonts w:ascii="Tahoma" w:eastAsiaTheme="minorEastAsia" w:hAnsi="Tahoma" w:cs="Tahoma"/>
      <w:sz w:val="16"/>
      <w:szCs w:val="16"/>
      <w:lang w:val="pl-PL"/>
    </w:rPr>
  </w:style>
  <w:style w:type="paragraph" w:styleId="Podpise-mail">
    <w:name w:val="E-mail Signature"/>
    <w:basedOn w:val="Normalny"/>
    <w:link w:val="Podpise-mailZnak"/>
    <w:uiPriority w:val="99"/>
    <w:semiHidden/>
    <w:rsid w:val="00F93802"/>
  </w:style>
  <w:style w:type="character" w:customStyle="1" w:styleId="Podpise-mailZnak">
    <w:name w:val="Podpis e-mail Znak"/>
    <w:basedOn w:val="Domylnaczcionkaakapitu"/>
    <w:link w:val="Podpise-mail"/>
    <w:uiPriority w:val="99"/>
    <w:semiHidden/>
    <w:rsid w:val="00F93802"/>
    <w:rPr>
      <w:rFonts w:eastAsiaTheme="minorEastAsia"/>
      <w:sz w:val="24"/>
      <w:lang w:val="pl-PL"/>
    </w:rPr>
  </w:style>
  <w:style w:type="character" w:styleId="Odwoanieprzypisukocowego">
    <w:name w:val="endnote reference"/>
    <w:basedOn w:val="Domylnaczcionkaakapitu"/>
    <w:uiPriority w:val="99"/>
    <w:semiHidden/>
    <w:rsid w:val="00F93802"/>
    <w:rPr>
      <w:vertAlign w:val="superscript"/>
    </w:rPr>
  </w:style>
  <w:style w:type="paragraph" w:styleId="Tekstprzypisukocowego">
    <w:name w:val="endnote text"/>
    <w:basedOn w:val="Normalny"/>
    <w:link w:val="TekstprzypisukocowegoZnak"/>
    <w:uiPriority w:val="99"/>
    <w:semiHidden/>
    <w:rsid w:val="00F93802"/>
    <w:rPr>
      <w:sz w:val="20"/>
      <w:szCs w:val="20"/>
    </w:rPr>
  </w:style>
  <w:style w:type="character" w:customStyle="1" w:styleId="TekstprzypisukocowegoZnak">
    <w:name w:val="Tekst przypisu końcowego Znak"/>
    <w:basedOn w:val="Domylnaczcionkaakapitu"/>
    <w:link w:val="Tekstprzypisukocowego"/>
    <w:uiPriority w:val="99"/>
    <w:semiHidden/>
    <w:rsid w:val="00F93802"/>
    <w:rPr>
      <w:rFonts w:eastAsiaTheme="minorEastAsia"/>
      <w:sz w:val="20"/>
      <w:szCs w:val="20"/>
      <w:lang w:val="pl-PL"/>
    </w:rPr>
  </w:style>
  <w:style w:type="paragraph" w:styleId="Adresnakopercie">
    <w:name w:val="envelope address"/>
    <w:basedOn w:val="Normalny"/>
    <w:uiPriority w:val="99"/>
    <w:semiHidden/>
    <w:rsid w:val="00F93802"/>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F93802"/>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F93802"/>
    <w:rPr>
      <w:color w:val="7030A0" w:themeColor="followedHyperlink"/>
      <w:u w:val="single"/>
    </w:rPr>
  </w:style>
  <w:style w:type="character" w:styleId="HTML-akronim">
    <w:name w:val="HTML Acronym"/>
    <w:basedOn w:val="Domylnaczcionkaakapitu"/>
    <w:uiPriority w:val="99"/>
    <w:semiHidden/>
    <w:rsid w:val="00F93802"/>
  </w:style>
  <w:style w:type="paragraph" w:styleId="HTML-adres">
    <w:name w:val="HTML Address"/>
    <w:basedOn w:val="Normalny"/>
    <w:link w:val="HTML-adresZnak"/>
    <w:uiPriority w:val="99"/>
    <w:semiHidden/>
    <w:rsid w:val="00F93802"/>
    <w:rPr>
      <w:i/>
      <w:iCs/>
    </w:rPr>
  </w:style>
  <w:style w:type="character" w:customStyle="1" w:styleId="HTML-adresZnak">
    <w:name w:val="HTML - adres Znak"/>
    <w:basedOn w:val="Domylnaczcionkaakapitu"/>
    <w:link w:val="HTML-adres"/>
    <w:uiPriority w:val="99"/>
    <w:semiHidden/>
    <w:rsid w:val="00F93802"/>
    <w:rPr>
      <w:rFonts w:eastAsiaTheme="minorEastAsia"/>
      <w:i/>
      <w:iCs/>
      <w:sz w:val="24"/>
      <w:lang w:val="pl-PL"/>
    </w:rPr>
  </w:style>
  <w:style w:type="character" w:styleId="HTML-cytat">
    <w:name w:val="HTML Cite"/>
    <w:basedOn w:val="Domylnaczcionkaakapitu"/>
    <w:uiPriority w:val="99"/>
    <w:semiHidden/>
    <w:rsid w:val="00F93802"/>
    <w:rPr>
      <w:i/>
      <w:iCs/>
    </w:rPr>
  </w:style>
  <w:style w:type="character" w:styleId="HTML-kod">
    <w:name w:val="HTML Code"/>
    <w:basedOn w:val="Domylnaczcionkaakapitu"/>
    <w:uiPriority w:val="99"/>
    <w:semiHidden/>
    <w:rsid w:val="00F93802"/>
    <w:rPr>
      <w:rFonts w:ascii="Consolas" w:hAnsi="Consolas" w:cs="Consolas"/>
      <w:sz w:val="20"/>
      <w:szCs w:val="20"/>
    </w:rPr>
  </w:style>
  <w:style w:type="character" w:styleId="HTML-definicja">
    <w:name w:val="HTML Definition"/>
    <w:basedOn w:val="Domylnaczcionkaakapitu"/>
    <w:uiPriority w:val="99"/>
    <w:semiHidden/>
    <w:rsid w:val="00F93802"/>
    <w:rPr>
      <w:i/>
      <w:iCs/>
    </w:rPr>
  </w:style>
  <w:style w:type="character" w:styleId="HTML-klawiatura">
    <w:name w:val="HTML Keyboard"/>
    <w:basedOn w:val="Domylnaczcionkaakapitu"/>
    <w:uiPriority w:val="99"/>
    <w:semiHidden/>
    <w:rsid w:val="00F93802"/>
    <w:rPr>
      <w:rFonts w:ascii="Consolas" w:hAnsi="Consolas" w:cs="Consolas"/>
      <w:sz w:val="20"/>
      <w:szCs w:val="20"/>
    </w:rPr>
  </w:style>
  <w:style w:type="paragraph" w:styleId="HTML-wstpniesformatowany">
    <w:name w:val="HTML Preformatted"/>
    <w:basedOn w:val="Normalny"/>
    <w:link w:val="HTML-wstpniesformatowanyZnak"/>
    <w:uiPriority w:val="99"/>
    <w:semiHidden/>
    <w:rsid w:val="00F9380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F93802"/>
    <w:rPr>
      <w:rFonts w:ascii="Consolas" w:eastAsiaTheme="minorEastAsia" w:hAnsi="Consolas" w:cs="Consolas"/>
      <w:sz w:val="20"/>
      <w:szCs w:val="20"/>
      <w:lang w:val="pl-PL"/>
    </w:rPr>
  </w:style>
  <w:style w:type="character" w:styleId="HTML-przykad">
    <w:name w:val="HTML Sample"/>
    <w:basedOn w:val="Domylnaczcionkaakapitu"/>
    <w:uiPriority w:val="99"/>
    <w:semiHidden/>
    <w:rsid w:val="00F93802"/>
    <w:rPr>
      <w:rFonts w:ascii="Consolas" w:hAnsi="Consolas" w:cs="Consolas"/>
      <w:sz w:val="24"/>
      <w:szCs w:val="24"/>
    </w:rPr>
  </w:style>
  <w:style w:type="character" w:styleId="HTML-staaszeroko">
    <w:name w:val="HTML Typewriter"/>
    <w:basedOn w:val="Domylnaczcionkaakapitu"/>
    <w:uiPriority w:val="99"/>
    <w:semiHidden/>
    <w:rsid w:val="00F93802"/>
    <w:rPr>
      <w:rFonts w:ascii="Consolas" w:hAnsi="Consolas" w:cs="Consolas"/>
      <w:sz w:val="20"/>
      <w:szCs w:val="20"/>
    </w:rPr>
  </w:style>
  <w:style w:type="character" w:styleId="HTML-zmienna">
    <w:name w:val="HTML Variable"/>
    <w:basedOn w:val="Domylnaczcionkaakapitu"/>
    <w:uiPriority w:val="99"/>
    <w:semiHidden/>
    <w:rsid w:val="00F93802"/>
    <w:rPr>
      <w:i/>
      <w:iCs/>
    </w:rPr>
  </w:style>
  <w:style w:type="paragraph" w:styleId="Indeks1">
    <w:name w:val="index 1"/>
    <w:basedOn w:val="Normalny"/>
    <w:next w:val="Normalny"/>
    <w:autoRedefine/>
    <w:uiPriority w:val="99"/>
    <w:semiHidden/>
    <w:rsid w:val="00F93802"/>
    <w:pPr>
      <w:ind w:left="240" w:hanging="240"/>
    </w:pPr>
  </w:style>
  <w:style w:type="paragraph" w:styleId="Indeks2">
    <w:name w:val="index 2"/>
    <w:basedOn w:val="Normalny"/>
    <w:next w:val="Normalny"/>
    <w:autoRedefine/>
    <w:uiPriority w:val="99"/>
    <w:semiHidden/>
    <w:rsid w:val="00F93802"/>
    <w:pPr>
      <w:ind w:left="480" w:hanging="240"/>
    </w:pPr>
  </w:style>
  <w:style w:type="paragraph" w:styleId="Indeks3">
    <w:name w:val="index 3"/>
    <w:basedOn w:val="Normalny"/>
    <w:next w:val="Normalny"/>
    <w:autoRedefine/>
    <w:uiPriority w:val="99"/>
    <w:semiHidden/>
    <w:rsid w:val="00F93802"/>
    <w:pPr>
      <w:ind w:left="720" w:hanging="240"/>
    </w:pPr>
  </w:style>
  <w:style w:type="paragraph" w:styleId="Indeks4">
    <w:name w:val="index 4"/>
    <w:basedOn w:val="Normalny"/>
    <w:next w:val="Normalny"/>
    <w:autoRedefine/>
    <w:uiPriority w:val="99"/>
    <w:semiHidden/>
    <w:rsid w:val="00F93802"/>
    <w:pPr>
      <w:ind w:left="960" w:hanging="240"/>
    </w:pPr>
  </w:style>
  <w:style w:type="paragraph" w:styleId="Indeks5">
    <w:name w:val="index 5"/>
    <w:basedOn w:val="Normalny"/>
    <w:next w:val="Normalny"/>
    <w:autoRedefine/>
    <w:uiPriority w:val="99"/>
    <w:semiHidden/>
    <w:rsid w:val="00F93802"/>
    <w:pPr>
      <w:ind w:left="1200" w:hanging="240"/>
    </w:pPr>
  </w:style>
  <w:style w:type="paragraph" w:styleId="Indeks6">
    <w:name w:val="index 6"/>
    <w:basedOn w:val="Normalny"/>
    <w:next w:val="Normalny"/>
    <w:autoRedefine/>
    <w:uiPriority w:val="99"/>
    <w:semiHidden/>
    <w:rsid w:val="00F93802"/>
    <w:pPr>
      <w:ind w:left="1440" w:hanging="240"/>
    </w:pPr>
  </w:style>
  <w:style w:type="paragraph" w:styleId="Indeks7">
    <w:name w:val="index 7"/>
    <w:basedOn w:val="Normalny"/>
    <w:next w:val="Normalny"/>
    <w:autoRedefine/>
    <w:uiPriority w:val="99"/>
    <w:semiHidden/>
    <w:rsid w:val="00F93802"/>
    <w:pPr>
      <w:ind w:left="1680" w:hanging="240"/>
    </w:pPr>
  </w:style>
  <w:style w:type="paragraph" w:styleId="Indeks8">
    <w:name w:val="index 8"/>
    <w:basedOn w:val="Normalny"/>
    <w:next w:val="Normalny"/>
    <w:autoRedefine/>
    <w:uiPriority w:val="99"/>
    <w:semiHidden/>
    <w:rsid w:val="00F93802"/>
    <w:pPr>
      <w:ind w:left="1920" w:hanging="240"/>
    </w:pPr>
  </w:style>
  <w:style w:type="paragraph" w:styleId="Indeks9">
    <w:name w:val="index 9"/>
    <w:basedOn w:val="Normalny"/>
    <w:next w:val="Normalny"/>
    <w:autoRedefine/>
    <w:uiPriority w:val="99"/>
    <w:semiHidden/>
    <w:rsid w:val="00F93802"/>
    <w:pPr>
      <w:ind w:left="2160" w:hanging="240"/>
    </w:pPr>
  </w:style>
  <w:style w:type="paragraph" w:styleId="Nagwekindeksu">
    <w:name w:val="index heading"/>
    <w:basedOn w:val="Normalny"/>
    <w:next w:val="Indeks1"/>
    <w:uiPriority w:val="99"/>
    <w:semiHidden/>
    <w:rsid w:val="00F93802"/>
    <w:rPr>
      <w:rFonts w:asciiTheme="majorHAnsi" w:eastAsiaTheme="majorEastAsia" w:hAnsiTheme="majorHAnsi" w:cstheme="majorBidi"/>
      <w:b/>
      <w:bCs/>
    </w:rPr>
  </w:style>
  <w:style w:type="table" w:styleId="Jasnasiatka">
    <w:name w:val="Light Grid"/>
    <w:basedOn w:val="Standardowy"/>
    <w:uiPriority w:val="99"/>
    <w:semiHidden/>
    <w:rsid w:val="00F9380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F9380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F9380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F9380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F9380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F9380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F9380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F9380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F93802"/>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F93802"/>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F93802"/>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F93802"/>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F93802"/>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F93802"/>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F9380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F93802"/>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F93802"/>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F93802"/>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F93802"/>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F93802"/>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F93802"/>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F93802"/>
  </w:style>
  <w:style w:type="paragraph" w:styleId="Lista">
    <w:name w:val="List"/>
    <w:basedOn w:val="Normalny"/>
    <w:uiPriority w:val="99"/>
    <w:semiHidden/>
    <w:rsid w:val="00F93802"/>
    <w:pPr>
      <w:ind w:left="283" w:hanging="283"/>
      <w:contextualSpacing/>
    </w:pPr>
  </w:style>
  <w:style w:type="paragraph" w:styleId="Lista2">
    <w:name w:val="List 2"/>
    <w:basedOn w:val="Normalny"/>
    <w:uiPriority w:val="99"/>
    <w:semiHidden/>
    <w:rsid w:val="00F93802"/>
    <w:pPr>
      <w:ind w:left="566" w:hanging="283"/>
      <w:contextualSpacing/>
    </w:pPr>
  </w:style>
  <w:style w:type="paragraph" w:styleId="Lista3">
    <w:name w:val="List 3"/>
    <w:basedOn w:val="Normalny"/>
    <w:uiPriority w:val="99"/>
    <w:semiHidden/>
    <w:rsid w:val="00F93802"/>
    <w:pPr>
      <w:ind w:left="849" w:hanging="283"/>
      <w:contextualSpacing/>
    </w:pPr>
  </w:style>
  <w:style w:type="paragraph" w:styleId="Lista4">
    <w:name w:val="List 4"/>
    <w:basedOn w:val="Normalny"/>
    <w:uiPriority w:val="99"/>
    <w:semiHidden/>
    <w:rsid w:val="00F93802"/>
    <w:pPr>
      <w:ind w:left="1132" w:hanging="283"/>
      <w:contextualSpacing/>
    </w:pPr>
  </w:style>
  <w:style w:type="paragraph" w:styleId="Lista5">
    <w:name w:val="List 5"/>
    <w:basedOn w:val="Normalny"/>
    <w:uiPriority w:val="99"/>
    <w:semiHidden/>
    <w:rsid w:val="00F93802"/>
    <w:pPr>
      <w:ind w:left="1415" w:hanging="283"/>
      <w:contextualSpacing/>
    </w:pPr>
  </w:style>
  <w:style w:type="paragraph" w:styleId="Listapunktowana">
    <w:name w:val="List Bullet"/>
    <w:basedOn w:val="Normalny"/>
    <w:semiHidden/>
    <w:rsid w:val="00F93802"/>
    <w:pPr>
      <w:numPr>
        <w:numId w:val="9"/>
      </w:numPr>
    </w:pPr>
  </w:style>
  <w:style w:type="paragraph" w:styleId="Listapunktowana3">
    <w:name w:val="List Bullet 3"/>
    <w:basedOn w:val="Normalny"/>
    <w:uiPriority w:val="99"/>
    <w:semiHidden/>
    <w:rsid w:val="00F93802"/>
    <w:pPr>
      <w:numPr>
        <w:numId w:val="11"/>
      </w:numPr>
      <w:contextualSpacing/>
    </w:pPr>
  </w:style>
  <w:style w:type="paragraph" w:styleId="Listapunktowana4">
    <w:name w:val="List Bullet 4"/>
    <w:basedOn w:val="Normalny"/>
    <w:uiPriority w:val="99"/>
    <w:semiHidden/>
    <w:rsid w:val="00F93802"/>
    <w:pPr>
      <w:numPr>
        <w:numId w:val="12"/>
      </w:numPr>
      <w:contextualSpacing/>
    </w:pPr>
  </w:style>
  <w:style w:type="paragraph" w:styleId="Listapunktowana5">
    <w:name w:val="List Bullet 5"/>
    <w:basedOn w:val="Normalny"/>
    <w:uiPriority w:val="99"/>
    <w:semiHidden/>
    <w:rsid w:val="00F93802"/>
    <w:pPr>
      <w:numPr>
        <w:numId w:val="13"/>
      </w:numPr>
      <w:contextualSpacing/>
    </w:pPr>
  </w:style>
  <w:style w:type="paragraph" w:styleId="Lista-kontynuacja">
    <w:name w:val="List Continue"/>
    <w:basedOn w:val="Normalny"/>
    <w:uiPriority w:val="99"/>
    <w:semiHidden/>
    <w:rsid w:val="00F93802"/>
    <w:pPr>
      <w:spacing w:after="120"/>
      <w:ind w:left="283"/>
      <w:contextualSpacing/>
    </w:pPr>
  </w:style>
  <w:style w:type="paragraph" w:styleId="Lista-kontynuacja2">
    <w:name w:val="List Continue 2"/>
    <w:basedOn w:val="Normalny"/>
    <w:uiPriority w:val="99"/>
    <w:semiHidden/>
    <w:rsid w:val="00F93802"/>
    <w:pPr>
      <w:spacing w:after="120"/>
      <w:ind w:left="566"/>
      <w:contextualSpacing/>
    </w:pPr>
  </w:style>
  <w:style w:type="paragraph" w:styleId="Lista-kontynuacja3">
    <w:name w:val="List Continue 3"/>
    <w:basedOn w:val="Normalny"/>
    <w:uiPriority w:val="99"/>
    <w:semiHidden/>
    <w:rsid w:val="00F93802"/>
    <w:pPr>
      <w:spacing w:after="120"/>
      <w:ind w:left="849"/>
      <w:contextualSpacing/>
    </w:pPr>
  </w:style>
  <w:style w:type="paragraph" w:styleId="Lista-kontynuacja4">
    <w:name w:val="List Continue 4"/>
    <w:basedOn w:val="Normalny"/>
    <w:uiPriority w:val="99"/>
    <w:semiHidden/>
    <w:rsid w:val="00F93802"/>
    <w:pPr>
      <w:spacing w:after="120"/>
      <w:ind w:left="1132"/>
      <w:contextualSpacing/>
    </w:pPr>
  </w:style>
  <w:style w:type="paragraph" w:styleId="Lista-kontynuacja5">
    <w:name w:val="List Continue 5"/>
    <w:basedOn w:val="Normalny"/>
    <w:uiPriority w:val="99"/>
    <w:semiHidden/>
    <w:rsid w:val="00F93802"/>
    <w:pPr>
      <w:spacing w:after="120"/>
      <w:ind w:left="1415"/>
      <w:contextualSpacing/>
    </w:pPr>
  </w:style>
  <w:style w:type="paragraph" w:styleId="Listanumerowana">
    <w:name w:val="List Number"/>
    <w:basedOn w:val="Normalny"/>
    <w:uiPriority w:val="99"/>
    <w:semiHidden/>
    <w:rsid w:val="00F93802"/>
    <w:pPr>
      <w:numPr>
        <w:numId w:val="14"/>
      </w:numPr>
      <w:contextualSpacing/>
    </w:pPr>
  </w:style>
  <w:style w:type="paragraph" w:styleId="Listanumerowana2">
    <w:name w:val="List Number 2"/>
    <w:basedOn w:val="Normalny"/>
    <w:uiPriority w:val="99"/>
    <w:semiHidden/>
    <w:rsid w:val="00F93802"/>
    <w:pPr>
      <w:numPr>
        <w:numId w:val="15"/>
      </w:numPr>
      <w:contextualSpacing/>
    </w:pPr>
  </w:style>
  <w:style w:type="paragraph" w:styleId="Listanumerowana3">
    <w:name w:val="List Number 3"/>
    <w:basedOn w:val="Normalny"/>
    <w:uiPriority w:val="99"/>
    <w:semiHidden/>
    <w:rsid w:val="00F93802"/>
    <w:pPr>
      <w:numPr>
        <w:numId w:val="16"/>
      </w:numPr>
      <w:contextualSpacing/>
    </w:pPr>
  </w:style>
  <w:style w:type="paragraph" w:styleId="Listanumerowana4">
    <w:name w:val="List Number 4"/>
    <w:basedOn w:val="Normalny"/>
    <w:uiPriority w:val="99"/>
    <w:semiHidden/>
    <w:rsid w:val="00F93802"/>
    <w:pPr>
      <w:numPr>
        <w:numId w:val="17"/>
      </w:numPr>
      <w:contextualSpacing/>
    </w:pPr>
  </w:style>
  <w:style w:type="paragraph" w:styleId="Listanumerowana5">
    <w:name w:val="List Number 5"/>
    <w:basedOn w:val="Normalny"/>
    <w:uiPriority w:val="99"/>
    <w:semiHidden/>
    <w:rsid w:val="00F93802"/>
    <w:pPr>
      <w:numPr>
        <w:numId w:val="18"/>
      </w:numPr>
      <w:contextualSpacing/>
    </w:pPr>
  </w:style>
  <w:style w:type="paragraph" w:styleId="Tekstmakra">
    <w:name w:val="macro"/>
    <w:link w:val="TekstmakraZnak"/>
    <w:uiPriority w:val="99"/>
    <w:semiHidden/>
    <w:rsid w:val="00F9380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F93802"/>
    <w:rPr>
      <w:rFonts w:ascii="Consolas" w:eastAsiaTheme="minorEastAsia" w:hAnsi="Consolas" w:cs="Consolas"/>
      <w:sz w:val="20"/>
      <w:szCs w:val="20"/>
    </w:rPr>
  </w:style>
  <w:style w:type="table" w:styleId="redniasiatka1">
    <w:name w:val="Medium Grid 1"/>
    <w:basedOn w:val="Standardowy"/>
    <w:uiPriority w:val="99"/>
    <w:semiHidden/>
    <w:rsid w:val="00F9380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F9380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F9380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F9380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F9380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F9380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F9380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F9380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F9380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F9380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F9380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F9380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F9380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F93802"/>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F93802"/>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F93802"/>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F93802"/>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F93802"/>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F93802"/>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F93802"/>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F93802"/>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F93802"/>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F9380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F93802"/>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F93802"/>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F93802"/>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F93802"/>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F93802"/>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F93802"/>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F9380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F9380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F9380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F9380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F9380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F9380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F9380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F9380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F93802"/>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F93802"/>
    <w:rPr>
      <w:rFonts w:ascii="Times New Roman" w:hAnsi="Times New Roman" w:cs="Times New Roman"/>
      <w:szCs w:val="24"/>
    </w:rPr>
  </w:style>
  <w:style w:type="paragraph" w:styleId="Wcicienormalne">
    <w:name w:val="Normal Indent"/>
    <w:basedOn w:val="Normalny"/>
    <w:uiPriority w:val="99"/>
    <w:semiHidden/>
    <w:rsid w:val="00F93802"/>
    <w:pPr>
      <w:ind w:left="720"/>
    </w:pPr>
  </w:style>
  <w:style w:type="paragraph" w:styleId="Nagweknotatki">
    <w:name w:val="Note Heading"/>
    <w:basedOn w:val="Normalny"/>
    <w:next w:val="Normalny"/>
    <w:link w:val="NagweknotatkiZnak"/>
    <w:uiPriority w:val="99"/>
    <w:semiHidden/>
    <w:rsid w:val="00F93802"/>
  </w:style>
  <w:style w:type="character" w:customStyle="1" w:styleId="NagweknotatkiZnak">
    <w:name w:val="Nagłówek notatki Znak"/>
    <w:basedOn w:val="Domylnaczcionkaakapitu"/>
    <w:link w:val="Nagweknotatki"/>
    <w:uiPriority w:val="99"/>
    <w:semiHidden/>
    <w:rsid w:val="00F93802"/>
    <w:rPr>
      <w:rFonts w:eastAsiaTheme="minorEastAsia"/>
      <w:sz w:val="24"/>
      <w:lang w:val="pl-PL"/>
    </w:rPr>
  </w:style>
  <w:style w:type="character" w:styleId="Tekstzastpczy">
    <w:name w:val="Placeholder Text"/>
    <w:basedOn w:val="Domylnaczcionkaakapitu"/>
    <w:uiPriority w:val="99"/>
    <w:rsid w:val="00F9380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F93802"/>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F93802"/>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F93802"/>
  </w:style>
  <w:style w:type="character" w:customStyle="1" w:styleId="ZwrotgrzecznociowyZnak">
    <w:name w:val="Zwrot grzecznościowy Znak"/>
    <w:basedOn w:val="Domylnaczcionkaakapitu"/>
    <w:link w:val="Zwrotgrzecznociowy"/>
    <w:uiPriority w:val="99"/>
    <w:semiHidden/>
    <w:rsid w:val="00F93802"/>
    <w:rPr>
      <w:rFonts w:eastAsiaTheme="minorEastAsia"/>
      <w:sz w:val="24"/>
      <w:lang w:val="pl-PL"/>
    </w:rPr>
  </w:style>
  <w:style w:type="paragraph" w:styleId="Podpis">
    <w:name w:val="Signature"/>
    <w:basedOn w:val="Normalny"/>
    <w:link w:val="PodpisZnak"/>
    <w:uiPriority w:val="99"/>
    <w:semiHidden/>
    <w:rsid w:val="00F93802"/>
    <w:pPr>
      <w:ind w:left="4252"/>
    </w:pPr>
  </w:style>
  <w:style w:type="character" w:customStyle="1" w:styleId="PodpisZnak">
    <w:name w:val="Podpis Znak"/>
    <w:basedOn w:val="Domylnaczcionkaakapitu"/>
    <w:link w:val="Podpis"/>
    <w:uiPriority w:val="99"/>
    <w:semiHidden/>
    <w:rsid w:val="00F93802"/>
    <w:rPr>
      <w:rFonts w:eastAsiaTheme="minorEastAsia"/>
      <w:sz w:val="24"/>
      <w:lang w:val="pl-PL"/>
    </w:rPr>
  </w:style>
  <w:style w:type="table" w:styleId="Tabela-Efekty3D1">
    <w:name w:val="Table 3D effects 1"/>
    <w:basedOn w:val="Standardowy"/>
    <w:uiPriority w:val="99"/>
    <w:semiHidden/>
    <w:unhideWhenUsed/>
    <w:rsid w:val="00F93802"/>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F93802"/>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F93802"/>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F93802"/>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F93802"/>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F93802"/>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F93802"/>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F93802"/>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F93802"/>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F93802"/>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F93802"/>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F93802"/>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F93802"/>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F93802"/>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F93802"/>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F93802"/>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F93802"/>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F9380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F93802"/>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F93802"/>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F93802"/>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F93802"/>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F93802"/>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F93802"/>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F93802"/>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93802"/>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F93802"/>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F93802"/>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F93802"/>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F93802"/>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F93802"/>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F93802"/>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F93802"/>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F93802"/>
    <w:pPr>
      <w:ind w:left="240" w:hanging="240"/>
    </w:pPr>
  </w:style>
  <w:style w:type="paragraph" w:styleId="Spisilustracji">
    <w:name w:val="table of figures"/>
    <w:basedOn w:val="Normalny"/>
    <w:next w:val="Normalny"/>
    <w:uiPriority w:val="99"/>
    <w:semiHidden/>
    <w:rsid w:val="00F93802"/>
  </w:style>
  <w:style w:type="table" w:styleId="Tabela-Profesjonalny">
    <w:name w:val="Table Professional"/>
    <w:basedOn w:val="Standardowy"/>
    <w:uiPriority w:val="99"/>
    <w:semiHidden/>
    <w:unhideWhenUsed/>
    <w:rsid w:val="00F9380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F93802"/>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F93802"/>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F93802"/>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F93802"/>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F93802"/>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F9380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F93802"/>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F93802"/>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F93802"/>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9380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9380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F93802"/>
    <w:pPr>
      <w:spacing w:after="100"/>
      <w:ind w:left="1680"/>
    </w:pPr>
  </w:style>
  <w:style w:type="paragraph" w:styleId="Spistreci9">
    <w:name w:val="toc 9"/>
    <w:basedOn w:val="Normalny"/>
    <w:next w:val="Normalny"/>
    <w:autoRedefine/>
    <w:uiPriority w:val="99"/>
    <w:semiHidden/>
    <w:rsid w:val="00F93802"/>
    <w:pPr>
      <w:spacing w:after="100"/>
      <w:ind w:left="1920"/>
    </w:pPr>
  </w:style>
  <w:style w:type="paragraph" w:customStyle="1" w:styleId="ECHRFooter">
    <w:name w:val="ECHR_Footer"/>
    <w:aliases w:val="Footer_ECHR"/>
    <w:basedOn w:val="Stopka"/>
    <w:uiPriority w:val="57"/>
    <w:semiHidden/>
    <w:rsid w:val="00D20A92"/>
    <w:rPr>
      <w:sz w:val="8"/>
    </w:rPr>
  </w:style>
  <w:style w:type="paragraph" w:customStyle="1" w:styleId="FooterLine">
    <w:name w:val="_Footer_Line"/>
    <w:aliases w:val="Footer_Line,ECHR_Footer_Line"/>
    <w:basedOn w:val="Normalny"/>
    <w:next w:val="Footer"/>
    <w:uiPriority w:val="57"/>
    <w:semiHidden/>
    <w:rsid w:val="00F93802"/>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ECHR_Title_Centre_2"/>
    <w:basedOn w:val="JuPara"/>
    <w:next w:val="JuPara"/>
    <w:uiPriority w:val="8"/>
    <w:qFormat/>
    <w:rsid w:val="00F93802"/>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4"/>
    <w:qFormat/>
    <w:rsid w:val="00F93802"/>
    <w:pPr>
      <w:tabs>
        <w:tab w:val="clear" w:pos="3686"/>
        <w:tab w:val="clear" w:pos="7371"/>
        <w:tab w:val="center" w:pos="6146"/>
        <w:tab w:val="right" w:pos="12293"/>
      </w:tabs>
    </w:pPr>
  </w:style>
  <w:style w:type="paragraph" w:customStyle="1" w:styleId="ECHRParaSpaced">
    <w:name w:val="ECHR_Para_Spaced"/>
    <w:aliases w:val="Para_Spaced"/>
    <w:basedOn w:val="Normalny"/>
    <w:uiPriority w:val="4"/>
    <w:qFormat/>
    <w:rsid w:val="000031BA"/>
    <w:pPr>
      <w:spacing w:before="120" w:after="120"/>
      <w:jc w:val="both"/>
    </w:pPr>
  </w:style>
  <w:style w:type="paragraph" w:customStyle="1" w:styleId="ECHRTitleCentre1">
    <w:name w:val="ECHR_Title_Centre_1"/>
    <w:aliases w:val="Opi_H_Head"/>
    <w:basedOn w:val="Normalny"/>
    <w:next w:val="Normalny"/>
    <w:uiPriority w:val="39"/>
    <w:qFormat/>
    <w:rsid w:val="00E04081"/>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04081"/>
    <w:pPr>
      <w:numPr>
        <w:numId w:val="23"/>
      </w:numPr>
    </w:pPr>
    <w:rPr>
      <w:b/>
    </w:rPr>
  </w:style>
  <w:style w:type="paragraph" w:customStyle="1" w:styleId="JuParaSub">
    <w:name w:val="Ju_Para_Sub"/>
    <w:basedOn w:val="JuPara"/>
    <w:uiPriority w:val="13"/>
    <w:qFormat/>
    <w:rsid w:val="00E04081"/>
    <w:pPr>
      <w:ind w:left="284"/>
    </w:pPr>
  </w:style>
  <w:style w:type="paragraph" w:customStyle="1" w:styleId="JuQuotSub">
    <w:name w:val="Ju_Quot_Sub"/>
    <w:basedOn w:val="JuQuot"/>
    <w:uiPriority w:val="15"/>
    <w:qFormat/>
    <w:rsid w:val="00E04081"/>
    <w:pPr>
      <w:ind w:left="567"/>
    </w:pPr>
  </w:style>
  <w:style w:type="numbering" w:customStyle="1" w:styleId="1111111">
    <w:name w:val="1 / 1.1 / 1.1.11"/>
    <w:basedOn w:val="Bezlisty"/>
    <w:next w:val="111111"/>
    <w:uiPriority w:val="99"/>
    <w:semiHidden/>
    <w:rsid w:val="00E04081"/>
    <w:pPr>
      <w:numPr>
        <w:numId w:val="20"/>
      </w:numPr>
    </w:pPr>
  </w:style>
  <w:style w:type="paragraph" w:customStyle="1" w:styleId="ECHRSpacer">
    <w:name w:val="ECHR_Spacer"/>
    <w:basedOn w:val="Normalny"/>
    <w:uiPriority w:val="45"/>
    <w:rsid w:val="00E04081"/>
    <w:rPr>
      <w:rFonts w:eastAsiaTheme="minorHAnsi"/>
      <w:sz w:val="4"/>
    </w:rPr>
  </w:style>
  <w:style w:type="character" w:customStyle="1" w:styleId="JuParaChar">
    <w:name w:val="Ju_Para Char"/>
    <w:aliases w:val="_Para Char"/>
    <w:link w:val="JuPara"/>
    <w:uiPriority w:val="8"/>
    <w:rsid w:val="00E04081"/>
    <w:rPr>
      <w:rFonts w:eastAsiaTheme="minorEastAsia"/>
      <w:sz w:val="24"/>
      <w:lang w:val="pl-PL"/>
    </w:rPr>
  </w:style>
  <w:style w:type="paragraph" w:customStyle="1" w:styleId="OpiPara">
    <w:name w:val="Opi_Para"/>
    <w:basedOn w:val="Normalny"/>
    <w:uiPriority w:val="46"/>
    <w:qFormat/>
    <w:rsid w:val="006E4FA5"/>
    <w:pPr>
      <w:ind w:firstLine="284"/>
      <w:jc w:val="both"/>
    </w:pPr>
  </w:style>
  <w:style w:type="paragraph" w:customStyle="1" w:styleId="jupara0">
    <w:name w:val="jupara"/>
    <w:basedOn w:val="Normalny"/>
    <w:rsid w:val="00E55EC9"/>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E55EC9"/>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427534">
      <w:bodyDiv w:val="1"/>
      <w:marLeft w:val="0"/>
      <w:marRight w:val="0"/>
      <w:marTop w:val="0"/>
      <w:marBottom w:val="0"/>
      <w:divBdr>
        <w:top w:val="none" w:sz="0" w:space="0" w:color="auto"/>
        <w:left w:val="none" w:sz="0" w:space="0" w:color="auto"/>
        <w:bottom w:val="none" w:sz="0" w:space="0" w:color="auto"/>
        <w:right w:val="none" w:sz="0" w:space="0" w:color="auto"/>
      </w:divBdr>
    </w:div>
    <w:div w:id="1187252983">
      <w:bodyDiv w:val="1"/>
      <w:marLeft w:val="0"/>
      <w:marRight w:val="0"/>
      <w:marTop w:val="0"/>
      <w:marBottom w:val="0"/>
      <w:divBdr>
        <w:top w:val="none" w:sz="0" w:space="0" w:color="auto"/>
        <w:left w:val="none" w:sz="0" w:space="0" w:color="auto"/>
        <w:bottom w:val="none" w:sz="0" w:space="0" w:color="auto"/>
        <w:right w:val="none" w:sz="0" w:space="0" w:color="auto"/>
      </w:divBdr>
    </w:div>
    <w:div w:id="124599110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4698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AB886E-BD06-4B55-A76C-E2339E3CC4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3D87FE-BB22-4483-8F35-DC532B320815}">
  <ds:schemaRefs>
    <ds:schemaRef ds:uri="http://schemas.openxmlformats.org/officeDocument/2006/bibliography"/>
  </ds:schemaRefs>
</ds:datastoreItem>
</file>

<file path=customXml/itemProps3.xml><?xml version="1.0" encoding="utf-8"?>
<ds:datastoreItem xmlns:ds="http://schemas.openxmlformats.org/officeDocument/2006/customXml" ds:itemID="{3EAA0FE5-64C0-48C9-B7A9-FDAD5BEE13F1}">
  <ds:schemaRefs>
    <ds:schemaRef ds:uri="http://schemas.microsoft.com/sharepoint/v3/contenttype/forms"/>
  </ds:schemaRefs>
</ds:datastoreItem>
</file>

<file path=customXml/itemProps4.xml><?xml version="1.0" encoding="utf-8"?>
<ds:datastoreItem xmlns:ds="http://schemas.openxmlformats.org/officeDocument/2006/customXml" ds:itemID="{E5E01803-0CCF-4E44-9715-0C5FA4C30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11122</Words>
  <Characters>66738</Characters>
  <Application>Microsoft Office Word</Application>
  <DocSecurity>0</DocSecurity>
  <Lines>556</Lines>
  <Paragraphs>155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2021-09-15T18:11:00Z</dcterms:created>
  <dcterms:modified xsi:type="dcterms:W3CDTF">2021-09-16T06:35:00Z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8351/17</vt:lpwstr>
  </property>
  <property fmtid="{D5CDD505-2E9C-101B-9397-08002B2CF9AE}" pid="4" name="CASEID">
    <vt:lpwstr>1281607</vt:lpwstr>
  </property>
  <property fmtid="{D5CDD505-2E9C-101B-9397-08002B2CF9AE}" pid="5" name="ContentTypeId">
    <vt:lpwstr>0x010100558EB02BDB9E204AB350EDD385B68E10</vt:lpwstr>
  </property>
</Properties>
</file>