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26DA1" w14:textId="77777777" w:rsidR="00EE4B82" w:rsidRPr="0014054A" w:rsidRDefault="00EE4B82" w:rsidP="00C45D12">
      <w:pPr>
        <w:jc w:val="center"/>
        <w:rPr>
          <w:lang w:val="pl-PL"/>
        </w:rPr>
      </w:pPr>
      <w:bookmarkStart w:id="0" w:name="_GoBack"/>
      <w:r w:rsidRPr="0014054A">
        <w:rPr>
          <w:rStyle w:val="s4f807e54"/>
          <w:rFonts w:ascii="Arial" w:hAnsi="Arial" w:cs="Arial"/>
          <w:sz w:val="18"/>
          <w:szCs w:val="18"/>
          <w:lang w:val="pl-PL"/>
        </w:rPr>
        <w:t>© Copyright for the Polish translation by Naczelny Sąd Administracyjny, Warszawa 202</w:t>
      </w:r>
      <w:r>
        <w:rPr>
          <w:rStyle w:val="s4f807e54"/>
          <w:rFonts w:ascii="Arial" w:hAnsi="Arial" w:cs="Arial"/>
          <w:sz w:val="18"/>
          <w:szCs w:val="18"/>
          <w:lang w:val="pl-PL"/>
        </w:rPr>
        <w:t>1</w:t>
      </w:r>
    </w:p>
    <w:p w14:paraId="7FF478B9" w14:textId="77777777" w:rsidR="00EE4B82" w:rsidRPr="00284309" w:rsidRDefault="00EE4B82" w:rsidP="00ED40FA">
      <w:pPr>
        <w:jc w:val="center"/>
        <w:rPr>
          <w:lang w:val="pl-PL"/>
        </w:rPr>
      </w:pPr>
    </w:p>
    <w:p w14:paraId="60C85D19" w14:textId="77777777" w:rsidR="00EE4B82" w:rsidRDefault="00284309" w:rsidP="00ED40FA">
      <w:pPr>
        <w:jc w:val="center"/>
        <w:rPr>
          <w:lang w:val="pl-PL"/>
        </w:rPr>
      </w:pPr>
      <w:r w:rsidRPr="00284309">
        <w:rPr>
          <w:lang w:val="pl-PL"/>
        </w:rPr>
        <w:t>EUROPEJSKI T</w:t>
      </w:r>
      <w:r>
        <w:rPr>
          <w:lang w:val="pl-PL"/>
        </w:rPr>
        <w:t>RYBUNAŁ PRAW CZŁOWIEKA</w:t>
      </w:r>
    </w:p>
    <w:p w14:paraId="01A866B8" w14:textId="77777777" w:rsidR="00284309" w:rsidRPr="00284309" w:rsidRDefault="00284309" w:rsidP="00ED40FA">
      <w:pPr>
        <w:jc w:val="center"/>
        <w:rPr>
          <w:lang w:val="pl-PL"/>
        </w:rPr>
      </w:pPr>
    </w:p>
    <w:p w14:paraId="34796421" w14:textId="77777777" w:rsidR="00EE4B82" w:rsidRPr="003D74F3" w:rsidRDefault="00EE4B82" w:rsidP="00ED40FA">
      <w:pPr>
        <w:tabs>
          <w:tab w:val="left" w:pos="5529"/>
        </w:tabs>
        <w:jc w:val="center"/>
        <w:rPr>
          <w:lang w:val="pl-PL"/>
        </w:rPr>
      </w:pPr>
      <w:r w:rsidRPr="003D74F3">
        <w:rPr>
          <w:lang w:val="pl-PL"/>
        </w:rPr>
        <w:t>PIERWSZA SEKCJA</w:t>
      </w:r>
    </w:p>
    <w:p w14:paraId="3003242D" w14:textId="77777777" w:rsidR="00EE4B82" w:rsidRPr="003D74F3" w:rsidRDefault="00EE4B82" w:rsidP="00ED40FA">
      <w:pPr>
        <w:jc w:val="center"/>
        <w:rPr>
          <w:lang w:val="pl-PL"/>
        </w:rPr>
      </w:pPr>
    </w:p>
    <w:p w14:paraId="038F9DB1" w14:textId="77777777" w:rsidR="00EE4B82" w:rsidRPr="003D74F3" w:rsidRDefault="00EE4B82" w:rsidP="00ED40FA">
      <w:pPr>
        <w:jc w:val="center"/>
        <w:rPr>
          <w:lang w:val="pl-PL"/>
        </w:rPr>
      </w:pPr>
    </w:p>
    <w:p w14:paraId="37A14822" w14:textId="77777777" w:rsidR="00EE4B82" w:rsidRPr="003D74F3" w:rsidRDefault="00EE4B82" w:rsidP="00ED40FA">
      <w:pPr>
        <w:jc w:val="center"/>
        <w:rPr>
          <w:lang w:val="pl-PL"/>
        </w:rPr>
      </w:pPr>
    </w:p>
    <w:p w14:paraId="415924B8" w14:textId="77777777" w:rsidR="00EE4B82" w:rsidRDefault="00EE4B82" w:rsidP="00ED40FA">
      <w:pPr>
        <w:jc w:val="center"/>
        <w:rPr>
          <w:lang w:val="pl-PL"/>
        </w:rPr>
      </w:pPr>
    </w:p>
    <w:p w14:paraId="13E27945" w14:textId="77777777" w:rsidR="009B06BC" w:rsidRPr="003D74F3" w:rsidRDefault="009B06BC" w:rsidP="00ED40FA">
      <w:pPr>
        <w:jc w:val="center"/>
        <w:rPr>
          <w:lang w:val="pl-PL"/>
        </w:rPr>
      </w:pPr>
    </w:p>
    <w:p w14:paraId="7252F80C" w14:textId="77777777" w:rsidR="00EE4B82" w:rsidRPr="003D74F3" w:rsidRDefault="00EE4B82" w:rsidP="00ED40FA">
      <w:pPr>
        <w:jc w:val="center"/>
        <w:rPr>
          <w:lang w:val="pl-PL"/>
        </w:rPr>
      </w:pPr>
    </w:p>
    <w:p w14:paraId="7402D619" w14:textId="77777777" w:rsidR="00EE4B82" w:rsidRPr="003D74F3" w:rsidRDefault="00EE4B82" w:rsidP="00ED40FA">
      <w:pPr>
        <w:jc w:val="center"/>
        <w:outlineLvl w:val="0"/>
        <w:rPr>
          <w:b/>
          <w:bCs/>
          <w:lang w:val="pl-PL"/>
        </w:rPr>
      </w:pPr>
      <w:r w:rsidRPr="003D74F3">
        <w:rPr>
          <w:b/>
          <w:bCs/>
          <w:lang w:val="pl-PL"/>
        </w:rPr>
        <w:t>SPRAWA CORDELLA I INNI p. WŁOCHOM</w:t>
      </w:r>
    </w:p>
    <w:p w14:paraId="2BDC7318" w14:textId="77777777" w:rsidR="00EE4B82" w:rsidRPr="003D74F3" w:rsidRDefault="00EE4B82" w:rsidP="00ED40FA">
      <w:pPr>
        <w:jc w:val="center"/>
        <w:rPr>
          <w:lang w:val="pl-PL"/>
        </w:rPr>
      </w:pPr>
    </w:p>
    <w:p w14:paraId="43383CDB" w14:textId="77777777" w:rsidR="00EE4B82" w:rsidRPr="003D74F3" w:rsidRDefault="00EE4B82" w:rsidP="00ED40FA">
      <w:pPr>
        <w:jc w:val="center"/>
        <w:rPr>
          <w:i/>
          <w:iCs/>
          <w:lang w:val="pl-PL"/>
        </w:rPr>
      </w:pPr>
      <w:r w:rsidRPr="003D74F3">
        <w:rPr>
          <w:i/>
          <w:iCs/>
          <w:lang w:val="pl-PL"/>
        </w:rPr>
        <w:t>(Skarga nr 54414/13 i nr 54264/15)</w:t>
      </w:r>
    </w:p>
    <w:p w14:paraId="5F836EEE" w14:textId="77777777" w:rsidR="00EE4B82" w:rsidRPr="003D74F3" w:rsidRDefault="00EE4B82" w:rsidP="00ED40FA">
      <w:pPr>
        <w:jc w:val="center"/>
        <w:rPr>
          <w:lang w:val="pl-PL"/>
        </w:rPr>
      </w:pPr>
    </w:p>
    <w:p w14:paraId="50438457" w14:textId="77777777" w:rsidR="00EE4B82" w:rsidRPr="003D74F3" w:rsidRDefault="00EE4B82" w:rsidP="00ED40FA">
      <w:pPr>
        <w:jc w:val="center"/>
        <w:rPr>
          <w:lang w:val="pl-PL"/>
        </w:rPr>
      </w:pPr>
    </w:p>
    <w:p w14:paraId="4938DC51" w14:textId="77777777" w:rsidR="00EE4B82" w:rsidRPr="003D74F3" w:rsidRDefault="00EE4B82" w:rsidP="00ED40FA">
      <w:pPr>
        <w:jc w:val="center"/>
        <w:rPr>
          <w:lang w:val="pl-PL"/>
        </w:rPr>
      </w:pPr>
    </w:p>
    <w:p w14:paraId="2568D9AF" w14:textId="77777777" w:rsidR="00EE4B82" w:rsidRDefault="00EE4B82" w:rsidP="00ED40FA">
      <w:pPr>
        <w:jc w:val="center"/>
        <w:rPr>
          <w:lang w:val="pl-PL"/>
        </w:rPr>
      </w:pPr>
    </w:p>
    <w:p w14:paraId="4273C246" w14:textId="77777777" w:rsidR="009B06BC" w:rsidRPr="003D74F3" w:rsidRDefault="009B06BC" w:rsidP="00ED40FA">
      <w:pPr>
        <w:jc w:val="center"/>
        <w:rPr>
          <w:lang w:val="pl-PL"/>
        </w:rPr>
      </w:pPr>
    </w:p>
    <w:p w14:paraId="6DF0DE01" w14:textId="77777777" w:rsidR="00EE4B82" w:rsidRPr="003D74F3" w:rsidRDefault="00EE4B82" w:rsidP="00ED40FA">
      <w:pPr>
        <w:jc w:val="center"/>
        <w:rPr>
          <w:lang w:val="pl-PL"/>
        </w:rPr>
      </w:pPr>
    </w:p>
    <w:p w14:paraId="4C81BFC1" w14:textId="77777777" w:rsidR="00EE4B82" w:rsidRPr="003D74F3" w:rsidRDefault="00EE4B82" w:rsidP="00ED40FA">
      <w:pPr>
        <w:jc w:val="center"/>
        <w:rPr>
          <w:lang w:val="pl-PL"/>
        </w:rPr>
      </w:pPr>
    </w:p>
    <w:p w14:paraId="28A61E77" w14:textId="77777777" w:rsidR="00EE4B82" w:rsidRPr="003D74F3" w:rsidRDefault="00EE4B82" w:rsidP="00ED40FA">
      <w:pPr>
        <w:jc w:val="center"/>
        <w:rPr>
          <w:lang w:val="pl-PL"/>
        </w:rPr>
      </w:pPr>
    </w:p>
    <w:p w14:paraId="07EB7C6C" w14:textId="77777777" w:rsidR="00EE4B82" w:rsidRPr="003D74F3" w:rsidRDefault="00EE4B82" w:rsidP="00ED40FA">
      <w:pPr>
        <w:jc w:val="center"/>
        <w:outlineLvl w:val="0"/>
        <w:rPr>
          <w:lang w:val="pl-PL"/>
        </w:rPr>
      </w:pPr>
      <w:r w:rsidRPr="003D74F3">
        <w:rPr>
          <w:lang w:val="pl-PL"/>
        </w:rPr>
        <w:t>WYROK</w:t>
      </w:r>
    </w:p>
    <w:p w14:paraId="7010EFC2" w14:textId="77777777" w:rsidR="00EE4B82" w:rsidRPr="003D74F3" w:rsidRDefault="00EE4B82" w:rsidP="00ED40FA">
      <w:pPr>
        <w:jc w:val="center"/>
        <w:rPr>
          <w:lang w:val="pl-PL"/>
        </w:rPr>
      </w:pPr>
    </w:p>
    <w:p w14:paraId="54CACBFA" w14:textId="77777777" w:rsidR="00EE4B82" w:rsidRPr="003D74F3" w:rsidRDefault="00EE4B82" w:rsidP="00ED40FA">
      <w:pPr>
        <w:jc w:val="center"/>
        <w:rPr>
          <w:i/>
          <w:iCs/>
          <w:lang w:val="pl-PL"/>
        </w:rPr>
      </w:pPr>
    </w:p>
    <w:p w14:paraId="0300223F" w14:textId="77777777" w:rsidR="00EE4B82" w:rsidRPr="003D74F3" w:rsidRDefault="00EE4B82" w:rsidP="00ED40FA">
      <w:pPr>
        <w:jc w:val="center"/>
        <w:outlineLvl w:val="0"/>
        <w:rPr>
          <w:lang w:val="pl-PL"/>
        </w:rPr>
      </w:pPr>
      <w:r w:rsidRPr="003D74F3">
        <w:rPr>
          <w:lang w:val="pl-PL"/>
        </w:rPr>
        <w:t>STRASBURG</w:t>
      </w:r>
    </w:p>
    <w:p w14:paraId="372E77FF" w14:textId="77777777" w:rsidR="00EE4B82" w:rsidRPr="003D74F3" w:rsidRDefault="00EE4B82" w:rsidP="00ED40FA">
      <w:pPr>
        <w:jc w:val="center"/>
        <w:rPr>
          <w:lang w:val="pl-PL"/>
        </w:rPr>
      </w:pPr>
    </w:p>
    <w:p w14:paraId="0CBE3275" w14:textId="77777777" w:rsidR="00EE4B82" w:rsidRPr="003D74F3" w:rsidRDefault="00EE4B82" w:rsidP="00ED40FA">
      <w:pPr>
        <w:jc w:val="center"/>
        <w:rPr>
          <w:lang w:val="pl-PL"/>
        </w:rPr>
      </w:pPr>
      <w:r w:rsidRPr="003D74F3">
        <w:rPr>
          <w:lang w:val="pl-PL"/>
        </w:rPr>
        <w:t>24 stycznia 2019 r.</w:t>
      </w:r>
    </w:p>
    <w:p w14:paraId="77A25B30" w14:textId="77777777" w:rsidR="00EE4B82" w:rsidRPr="003D74F3" w:rsidRDefault="00EE4B82" w:rsidP="00ED40FA">
      <w:pPr>
        <w:jc w:val="center"/>
        <w:rPr>
          <w:lang w:val="pl-PL"/>
        </w:rPr>
      </w:pPr>
    </w:p>
    <w:p w14:paraId="2A91327B" w14:textId="77777777" w:rsidR="00EE4B82" w:rsidRPr="003D74F3" w:rsidRDefault="00EE4B82" w:rsidP="00ED40FA">
      <w:pPr>
        <w:jc w:val="center"/>
        <w:rPr>
          <w:lang w:val="pl-PL"/>
        </w:rPr>
      </w:pPr>
    </w:p>
    <w:p w14:paraId="1F4A5DD8" w14:textId="77777777" w:rsidR="00EE4B82" w:rsidRPr="003D74F3" w:rsidRDefault="00EE4B82" w:rsidP="00ED40FA">
      <w:pPr>
        <w:jc w:val="center"/>
        <w:rPr>
          <w:lang w:val="pl-PL"/>
        </w:rPr>
      </w:pPr>
    </w:p>
    <w:p w14:paraId="02FEF40D" w14:textId="77777777" w:rsidR="00EE4B82" w:rsidRPr="003D74F3" w:rsidRDefault="00EE4B82" w:rsidP="00ED40FA">
      <w:pPr>
        <w:pStyle w:val="jucase0"/>
        <w:ind w:firstLine="0"/>
        <w:jc w:val="center"/>
        <w:rPr>
          <w:color w:val="FF0000"/>
          <w:sz w:val="28"/>
          <w:szCs w:val="28"/>
          <w:u w:val="single"/>
          <w:lang w:val="pl-PL"/>
        </w:rPr>
      </w:pPr>
      <w:r w:rsidRPr="003D74F3">
        <w:rPr>
          <w:color w:val="FF0000"/>
          <w:sz w:val="28"/>
          <w:szCs w:val="28"/>
          <w:u w:val="single"/>
          <w:lang w:val="pl-PL"/>
        </w:rPr>
        <w:t>OSTATECZNY</w:t>
      </w:r>
    </w:p>
    <w:p w14:paraId="09E53C44" w14:textId="77777777" w:rsidR="00EE4B82" w:rsidRPr="003D74F3" w:rsidRDefault="00EE4B82" w:rsidP="00ED40FA">
      <w:pPr>
        <w:pStyle w:val="jupara"/>
        <w:tabs>
          <w:tab w:val="left" w:pos="3450"/>
        </w:tabs>
        <w:ind w:firstLine="0"/>
        <w:jc w:val="center"/>
        <w:rPr>
          <w:color w:val="FF0000"/>
          <w:sz w:val="28"/>
          <w:szCs w:val="28"/>
          <w:lang w:val="pl-PL"/>
        </w:rPr>
      </w:pPr>
    </w:p>
    <w:p w14:paraId="3A45B042" w14:textId="77777777" w:rsidR="00EE4B82" w:rsidRPr="003D74F3" w:rsidRDefault="00EE4B82" w:rsidP="00ED40FA">
      <w:pPr>
        <w:pStyle w:val="jupara"/>
        <w:ind w:firstLine="0"/>
        <w:jc w:val="center"/>
        <w:rPr>
          <w:color w:val="FF0000"/>
          <w:sz w:val="28"/>
          <w:szCs w:val="28"/>
          <w:lang w:val="pl-PL"/>
        </w:rPr>
      </w:pPr>
      <w:r w:rsidRPr="003D74F3">
        <w:rPr>
          <w:color w:val="FF0000"/>
          <w:sz w:val="28"/>
          <w:szCs w:val="28"/>
          <w:lang w:val="pl-PL"/>
        </w:rPr>
        <w:t>24/06/2019</w:t>
      </w:r>
    </w:p>
    <w:p w14:paraId="1E879D40" w14:textId="77777777" w:rsidR="00EE4B82" w:rsidRPr="003D74F3" w:rsidRDefault="00EE4B82" w:rsidP="00ED40FA">
      <w:pPr>
        <w:pStyle w:val="jupara"/>
        <w:ind w:firstLine="0"/>
        <w:jc w:val="center"/>
        <w:rPr>
          <w:u w:val="single"/>
          <w:lang w:val="pl-PL"/>
        </w:rPr>
      </w:pPr>
    </w:p>
    <w:p w14:paraId="53A85D2A" w14:textId="77777777" w:rsidR="00EE4B82" w:rsidRPr="003D74F3" w:rsidRDefault="00EE4B82" w:rsidP="00ED40FA">
      <w:pPr>
        <w:pStyle w:val="jupara"/>
        <w:ind w:firstLine="0"/>
        <w:jc w:val="center"/>
        <w:rPr>
          <w:u w:val="single"/>
          <w:lang w:val="pl-PL"/>
        </w:rPr>
      </w:pPr>
    </w:p>
    <w:p w14:paraId="7D0B07F2" w14:textId="77777777" w:rsidR="00EE4B82" w:rsidRPr="003D74F3" w:rsidRDefault="00EE4B82" w:rsidP="009B06BC">
      <w:pPr>
        <w:jc w:val="center"/>
        <w:rPr>
          <w:i/>
          <w:iCs/>
          <w:lang w:val="pl-PL"/>
        </w:rPr>
      </w:pPr>
      <w:r w:rsidRPr="003D74F3">
        <w:rPr>
          <w:i/>
          <w:iCs/>
          <w:sz w:val="22"/>
          <w:szCs w:val="22"/>
          <w:lang w:val="pl-PL"/>
        </w:rPr>
        <w:t>Wyrok ten stał się ostateczny na mocy art. 44 ust. 2 Konwencji. Może podlegać korekcie wydawniczej.</w:t>
      </w:r>
    </w:p>
    <w:p w14:paraId="2B3CBA23" w14:textId="77777777" w:rsidR="00EE4B82" w:rsidRPr="003D74F3" w:rsidRDefault="00EE4B82" w:rsidP="00ED40FA">
      <w:pPr>
        <w:rPr>
          <w:lang w:val="pl-PL"/>
        </w:rPr>
        <w:sectPr w:rsidR="00EE4B82" w:rsidRPr="003D74F3" w:rsidSect="00F5432B">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08" w:gutter="0"/>
          <w:pgNumType w:start="1"/>
          <w:cols w:space="708"/>
          <w:noEndnote/>
        </w:sectPr>
      </w:pPr>
    </w:p>
    <w:p w14:paraId="53BDA7DB" w14:textId="77777777" w:rsidR="00EE4B82" w:rsidRPr="003D74F3" w:rsidRDefault="00EE4B82" w:rsidP="00ED40FA">
      <w:pPr>
        <w:pStyle w:val="JuCase"/>
        <w:rPr>
          <w:lang w:val="pl-PL"/>
        </w:rPr>
      </w:pPr>
      <w:r w:rsidRPr="003D74F3">
        <w:rPr>
          <w:lang w:val="pl-PL"/>
        </w:rPr>
        <w:lastRenderedPageBreak/>
        <w:t>W sprawie Cordella i Inni przeciwko Włochom,</w:t>
      </w:r>
    </w:p>
    <w:p w14:paraId="2DDD5FEA" w14:textId="77777777" w:rsidR="00EE4B82" w:rsidRPr="003D74F3" w:rsidRDefault="00EE4B82" w:rsidP="00ED40FA">
      <w:pPr>
        <w:pStyle w:val="ECHRPara"/>
        <w:rPr>
          <w:lang w:val="pl-PL"/>
        </w:rPr>
      </w:pPr>
      <w:r w:rsidRPr="003D74F3">
        <w:rPr>
          <w:lang w:val="pl-PL"/>
        </w:rPr>
        <w:t>Europejski Trybunał Praw Człowieka (</w:t>
      </w:r>
      <w:r w:rsidR="00CA3B04" w:rsidRPr="003D74F3">
        <w:rPr>
          <w:lang w:val="pl-PL"/>
        </w:rPr>
        <w:t>Pierwsza Sekcja</w:t>
      </w:r>
      <w:r w:rsidRPr="003D74F3">
        <w:rPr>
          <w:lang w:val="pl-PL"/>
        </w:rPr>
        <w:t xml:space="preserve">), zasiadając jako </w:t>
      </w:r>
      <w:r w:rsidR="00CA3B04" w:rsidRPr="003D74F3">
        <w:rPr>
          <w:lang w:val="pl-PL"/>
        </w:rPr>
        <w:t xml:space="preserve">Izba </w:t>
      </w:r>
      <w:r w:rsidRPr="003D74F3">
        <w:rPr>
          <w:lang w:val="pl-PL"/>
        </w:rPr>
        <w:t>w składzie:</w:t>
      </w:r>
    </w:p>
    <w:p w14:paraId="20B5684E" w14:textId="77777777" w:rsidR="00EE4B82" w:rsidRPr="00A059D8" w:rsidRDefault="00EE4B82" w:rsidP="00ED40FA">
      <w:pPr>
        <w:pStyle w:val="ECHRDecisionBody"/>
        <w:rPr>
          <w:lang w:val="pl-PL"/>
        </w:rPr>
      </w:pPr>
      <w:r w:rsidRPr="003D74F3">
        <w:rPr>
          <w:lang w:val="pl-PL"/>
        </w:rPr>
        <w:tab/>
      </w:r>
      <w:r w:rsidRPr="00A059D8">
        <w:rPr>
          <w:lang w:val="pl-PL"/>
        </w:rPr>
        <w:t>Linos-Alexandre Sicilianos,</w:t>
      </w:r>
      <w:r w:rsidRPr="00A059D8">
        <w:rPr>
          <w:i/>
          <w:iCs/>
          <w:lang w:val="pl-PL"/>
        </w:rPr>
        <w:t xml:space="preserve"> przewodniczący,</w:t>
      </w:r>
      <w:r w:rsidRPr="00A059D8">
        <w:rPr>
          <w:lang w:val="pl-PL"/>
        </w:rPr>
        <w:br/>
      </w:r>
      <w:r w:rsidRPr="00A059D8">
        <w:rPr>
          <w:lang w:val="pl-PL"/>
        </w:rPr>
        <w:tab/>
        <w:t>Guido Raimondi,</w:t>
      </w:r>
      <w:r w:rsidRPr="00A059D8">
        <w:rPr>
          <w:lang w:val="pl-PL"/>
        </w:rPr>
        <w:br/>
      </w:r>
      <w:r w:rsidRPr="00A059D8">
        <w:rPr>
          <w:lang w:val="pl-PL"/>
        </w:rPr>
        <w:tab/>
        <w:t>Ledi Bianku,</w:t>
      </w:r>
      <w:r w:rsidRPr="00A059D8">
        <w:rPr>
          <w:lang w:val="pl-PL"/>
        </w:rPr>
        <w:br/>
      </w:r>
      <w:r w:rsidRPr="00A059D8">
        <w:rPr>
          <w:lang w:val="pl-PL"/>
        </w:rPr>
        <w:tab/>
        <w:t>Aleš Pejchal,</w:t>
      </w:r>
      <w:r w:rsidRPr="00A059D8">
        <w:rPr>
          <w:lang w:val="pl-PL"/>
        </w:rPr>
        <w:br/>
      </w:r>
      <w:r w:rsidRPr="00A059D8">
        <w:rPr>
          <w:lang w:val="pl-PL"/>
        </w:rPr>
        <w:tab/>
        <w:t>Krzysztof Wojtyczek,</w:t>
      </w:r>
      <w:r w:rsidRPr="00A059D8">
        <w:rPr>
          <w:lang w:val="pl-PL"/>
        </w:rPr>
        <w:br/>
      </w:r>
      <w:r w:rsidRPr="00A059D8">
        <w:rPr>
          <w:lang w:val="pl-PL"/>
        </w:rPr>
        <w:tab/>
        <w:t>Tim Eicke,</w:t>
      </w:r>
      <w:r w:rsidRPr="00A059D8">
        <w:rPr>
          <w:lang w:val="pl-PL"/>
        </w:rPr>
        <w:br/>
      </w:r>
      <w:r w:rsidRPr="00A059D8">
        <w:rPr>
          <w:lang w:val="pl-PL"/>
        </w:rPr>
        <w:tab/>
        <w:t>Gilberto Felici,</w:t>
      </w:r>
      <w:r w:rsidRPr="00A059D8">
        <w:rPr>
          <w:i/>
          <w:iCs/>
          <w:lang w:val="pl-PL"/>
        </w:rPr>
        <w:t xml:space="preserve"> sędziowie,</w:t>
      </w:r>
      <w:r w:rsidRPr="00A059D8">
        <w:rPr>
          <w:lang w:val="pl-PL"/>
        </w:rPr>
        <w:br/>
        <w:t xml:space="preserve">i Renata Degener, </w:t>
      </w:r>
      <w:r w:rsidR="00D859AE" w:rsidRPr="00A059D8">
        <w:rPr>
          <w:i/>
          <w:iCs/>
          <w:lang w:val="pl-PL"/>
        </w:rPr>
        <w:t xml:space="preserve">Zastępca </w:t>
      </w:r>
      <w:r w:rsidRPr="00A059D8">
        <w:rPr>
          <w:i/>
          <w:iCs/>
          <w:lang w:val="pl-PL"/>
        </w:rPr>
        <w:t>Kanclerza Sekcji</w:t>
      </w:r>
      <w:r w:rsidRPr="00A059D8">
        <w:rPr>
          <w:lang w:val="pl-PL"/>
        </w:rPr>
        <w:t>,</w:t>
      </w:r>
    </w:p>
    <w:p w14:paraId="6A6F3912" w14:textId="77777777" w:rsidR="00EE4B82" w:rsidRPr="003D74F3" w:rsidRDefault="00EE4B82" w:rsidP="00ED40FA">
      <w:pPr>
        <w:pStyle w:val="ECHRPara"/>
        <w:rPr>
          <w:lang w:val="pl-PL"/>
        </w:rPr>
      </w:pPr>
      <w:r w:rsidRPr="003D74F3">
        <w:rPr>
          <w:lang w:val="pl-PL"/>
        </w:rPr>
        <w:t xml:space="preserve">Obradując na posiedzeniu </w:t>
      </w:r>
      <w:r w:rsidR="00853C12">
        <w:rPr>
          <w:lang w:val="pl-PL"/>
        </w:rPr>
        <w:t>niejawnym</w:t>
      </w:r>
      <w:r w:rsidRPr="003D74F3">
        <w:rPr>
          <w:lang w:val="pl-PL"/>
        </w:rPr>
        <w:t xml:space="preserve"> w dniu 18 grudnia 2018 r,</w:t>
      </w:r>
    </w:p>
    <w:p w14:paraId="47ED6558" w14:textId="77777777" w:rsidR="00EE4B82" w:rsidRPr="003D74F3" w:rsidRDefault="00EE4B82" w:rsidP="00ED40FA">
      <w:pPr>
        <w:pStyle w:val="ECHRPara"/>
        <w:rPr>
          <w:lang w:val="pl-PL"/>
        </w:rPr>
      </w:pPr>
      <w:r w:rsidRPr="003D74F3">
        <w:rPr>
          <w:lang w:val="pl-PL"/>
        </w:rPr>
        <w:t>Wydaje następujący wyrok, który został przyjęty w tym dniu:</w:t>
      </w:r>
    </w:p>
    <w:p w14:paraId="7955B9D5" w14:textId="77777777" w:rsidR="00EE4B82" w:rsidRPr="00A059D8" w:rsidRDefault="00EE4B82" w:rsidP="00ED40FA">
      <w:pPr>
        <w:pStyle w:val="ECHRTitle1"/>
        <w:rPr>
          <w:lang w:val="pl-PL"/>
        </w:rPr>
      </w:pPr>
      <w:r w:rsidRPr="00A059D8">
        <w:rPr>
          <w:lang w:val="pl-PL"/>
        </w:rPr>
        <w:t>POSTĘPOWANIE</w:t>
      </w:r>
    </w:p>
    <w:p w14:paraId="68C70A8D" w14:textId="30171FE7" w:rsidR="00EE4B82" w:rsidRPr="003D74F3" w:rsidRDefault="00EE4B82" w:rsidP="00ED40FA">
      <w:pPr>
        <w:pStyle w:val="ECHRPara"/>
        <w:rPr>
          <w:lang w:val="pl-PL"/>
        </w:rPr>
      </w:pPr>
      <w:r w:rsidRPr="003D74F3">
        <w:rPr>
          <w:noProof/>
          <w:lang w:val="pl-PL"/>
        </w:rPr>
        <w:t>1</w:t>
      </w:r>
      <w:r w:rsidRPr="003D74F3">
        <w:rPr>
          <w:lang w:val="pl-PL"/>
        </w:rPr>
        <w:t>.</w:t>
      </w:r>
      <w:r w:rsidR="009F3BFE">
        <w:rPr>
          <w:lang w:val="pl-PL"/>
        </w:rPr>
        <w:t xml:space="preserve"> </w:t>
      </w:r>
      <w:r w:rsidRPr="003D74F3">
        <w:rPr>
          <w:lang w:val="pl-PL"/>
        </w:rPr>
        <w:t>Sprawa wywodzi się z dwóch skarg (nr 54414/13 i 54264/15) przeciwko Republice Włoskiej, wniesionych do Trybunału odpowiednio</w:t>
      </w:r>
      <w:r w:rsidR="009F3BFE">
        <w:rPr>
          <w:lang w:val="pl-PL"/>
        </w:rPr>
        <w:t xml:space="preserve"> </w:t>
      </w:r>
      <w:r w:rsidRPr="003D74F3">
        <w:rPr>
          <w:lang w:val="pl-PL"/>
        </w:rPr>
        <w:t>w dniach 29</w:t>
      </w:r>
      <w:r w:rsidR="00C70FD8">
        <w:rPr>
          <w:lang w:val="pl-PL"/>
        </w:rPr>
        <w:t> </w:t>
      </w:r>
      <w:r w:rsidRPr="003D74F3">
        <w:rPr>
          <w:lang w:val="pl-PL"/>
        </w:rPr>
        <w:t>lipca 2013 r. i 21 października 2015 r. przez obywateli tego państwa („skarżący”), wymienionych w załączniku, na podstawie art. 34 Konwencji o ochronie praw człowieka i podstawowych wolności („Konwencja”).</w:t>
      </w:r>
    </w:p>
    <w:p w14:paraId="36ECABE6" w14:textId="77777777" w:rsidR="00EE4B82" w:rsidRPr="003D74F3" w:rsidRDefault="00EE4B82" w:rsidP="00ED40FA">
      <w:pPr>
        <w:pStyle w:val="ECHRPara"/>
        <w:rPr>
          <w:lang w:val="pl-PL"/>
        </w:rPr>
      </w:pPr>
      <w:r w:rsidRPr="003D74F3">
        <w:rPr>
          <w:noProof/>
          <w:lang w:val="pl-PL"/>
        </w:rPr>
        <w:t>2</w:t>
      </w:r>
      <w:r w:rsidRPr="003D74F3">
        <w:rPr>
          <w:lang w:val="pl-PL"/>
        </w:rPr>
        <w:t>.</w:t>
      </w:r>
      <w:r w:rsidR="009F3BFE">
        <w:rPr>
          <w:lang w:val="pl-PL"/>
        </w:rPr>
        <w:t xml:space="preserve"> </w:t>
      </w:r>
      <w:r w:rsidRPr="003D74F3">
        <w:rPr>
          <w:lang w:val="pl-PL"/>
        </w:rPr>
        <w:t>Skarżący, którzy wnieśli skargę nr 54414/13</w:t>
      </w:r>
      <w:r w:rsidR="003809BA">
        <w:rPr>
          <w:lang w:val="pl-PL"/>
        </w:rPr>
        <w:t>,</w:t>
      </w:r>
      <w:r w:rsidRPr="003D74F3">
        <w:rPr>
          <w:lang w:val="pl-PL"/>
        </w:rPr>
        <w:t xml:space="preserve"> byli reprezentowani przez panią S.</w:t>
      </w:r>
      <w:r w:rsidR="009F3BFE">
        <w:rPr>
          <w:lang w:val="pl-PL"/>
        </w:rPr>
        <w:t xml:space="preserve"> </w:t>
      </w:r>
      <w:r w:rsidRPr="003D74F3">
        <w:rPr>
          <w:lang w:val="pl-PL"/>
        </w:rPr>
        <w:t>Maggio, adwokat praktykującą w Tarencie, i przez panią D.</w:t>
      </w:r>
      <w:r w:rsidR="009F3BFE">
        <w:rPr>
          <w:lang w:val="pl-PL"/>
        </w:rPr>
        <w:t xml:space="preserve"> </w:t>
      </w:r>
      <w:r w:rsidRPr="003D74F3">
        <w:rPr>
          <w:lang w:val="pl-PL"/>
        </w:rPr>
        <w:t xml:space="preserve">Spera. Ta ostatnia, będąca również stroną skarżącą, była reprezentowana w tym charakterze przez panią S. Maggio i </w:t>
      </w:r>
      <w:r w:rsidR="003809BA">
        <w:rPr>
          <w:lang w:val="pl-PL"/>
        </w:rPr>
        <w:t xml:space="preserve">panią </w:t>
      </w:r>
      <w:r w:rsidRPr="003D74F3">
        <w:rPr>
          <w:lang w:val="pl-PL"/>
        </w:rPr>
        <w:t>L.</w:t>
      </w:r>
      <w:r w:rsidR="009F3BFE">
        <w:rPr>
          <w:lang w:val="pl-PL"/>
        </w:rPr>
        <w:t xml:space="preserve"> </w:t>
      </w:r>
      <w:r w:rsidRPr="003D74F3">
        <w:rPr>
          <w:lang w:val="pl-PL"/>
        </w:rPr>
        <w:t>La</w:t>
      </w:r>
      <w:r w:rsidR="009F3BFE">
        <w:rPr>
          <w:lang w:val="pl-PL"/>
        </w:rPr>
        <w:t xml:space="preserve"> </w:t>
      </w:r>
      <w:r w:rsidRPr="003D74F3">
        <w:rPr>
          <w:lang w:val="pl-PL"/>
        </w:rPr>
        <w:t>Porta.</w:t>
      </w:r>
    </w:p>
    <w:p w14:paraId="308B66E1" w14:textId="77777777" w:rsidR="00EE4B82" w:rsidRPr="003D74F3" w:rsidRDefault="00EE4B82" w:rsidP="00ED40FA">
      <w:pPr>
        <w:pStyle w:val="ECHRPara"/>
        <w:rPr>
          <w:lang w:val="pl-PL"/>
        </w:rPr>
      </w:pPr>
      <w:r w:rsidRPr="003D74F3">
        <w:rPr>
          <w:noProof/>
          <w:lang w:val="pl-PL"/>
        </w:rPr>
        <w:t>3</w:t>
      </w:r>
      <w:r w:rsidRPr="003D74F3">
        <w:rPr>
          <w:lang w:val="pl-PL"/>
        </w:rPr>
        <w:t>.</w:t>
      </w:r>
      <w:r w:rsidR="009F3BFE">
        <w:rPr>
          <w:lang w:val="pl-PL"/>
        </w:rPr>
        <w:t xml:space="preserve"> </w:t>
      </w:r>
      <w:r w:rsidRPr="003D74F3">
        <w:rPr>
          <w:lang w:val="pl-PL"/>
        </w:rPr>
        <w:t>Skarżący, którzy wnieśli skargę nr 54264/15</w:t>
      </w:r>
      <w:r w:rsidR="003809BA">
        <w:rPr>
          <w:lang w:val="pl-PL"/>
        </w:rPr>
        <w:t>,</w:t>
      </w:r>
      <w:r w:rsidRPr="003D74F3">
        <w:rPr>
          <w:lang w:val="pl-PL"/>
        </w:rPr>
        <w:t xml:space="preserve"> byli reprezentowani przez panią A. Saccucci, adwokat praktykującą w Rzymie.</w:t>
      </w:r>
    </w:p>
    <w:p w14:paraId="6EF694C9" w14:textId="77777777" w:rsidR="00EE4B82" w:rsidRPr="003D74F3" w:rsidRDefault="00EE4B82" w:rsidP="00ED40FA">
      <w:pPr>
        <w:pStyle w:val="ECHRPara"/>
        <w:rPr>
          <w:lang w:val="pl-PL"/>
        </w:rPr>
      </w:pPr>
      <w:r w:rsidRPr="003D74F3">
        <w:rPr>
          <w:noProof/>
          <w:lang w:val="pl-PL"/>
        </w:rPr>
        <w:t>4</w:t>
      </w:r>
      <w:r w:rsidRPr="003D74F3">
        <w:rPr>
          <w:lang w:val="pl-PL"/>
        </w:rPr>
        <w:t>.</w:t>
      </w:r>
      <w:r w:rsidR="009F3BFE">
        <w:rPr>
          <w:lang w:val="pl-PL"/>
        </w:rPr>
        <w:t xml:space="preserve"> </w:t>
      </w:r>
      <w:r w:rsidRPr="003D74F3">
        <w:rPr>
          <w:lang w:val="pl-PL"/>
        </w:rPr>
        <w:t>Rząd włoski („Rząd”) był reprezentowany przez swojego byłego pełnomocnika, panią E. Spatafora</w:t>
      </w:r>
      <w:r w:rsidR="003809BA">
        <w:rPr>
          <w:lang w:val="pl-PL"/>
        </w:rPr>
        <w:t>,</w:t>
      </w:r>
      <w:r w:rsidRPr="003D74F3">
        <w:rPr>
          <w:lang w:val="pl-PL"/>
        </w:rPr>
        <w:t xml:space="preserve"> i </w:t>
      </w:r>
      <w:r w:rsidR="00853C12">
        <w:rPr>
          <w:lang w:val="pl-PL"/>
        </w:rPr>
        <w:t xml:space="preserve">zastępcę </w:t>
      </w:r>
      <w:r w:rsidRPr="003D74F3">
        <w:rPr>
          <w:lang w:val="pl-PL"/>
        </w:rPr>
        <w:t>pełnomocnika, panią M.L.</w:t>
      </w:r>
      <w:r w:rsidR="009F3BFE">
        <w:rPr>
          <w:lang w:val="pl-PL"/>
        </w:rPr>
        <w:t xml:space="preserve"> </w:t>
      </w:r>
      <w:r w:rsidRPr="003D74F3">
        <w:rPr>
          <w:lang w:val="pl-PL"/>
        </w:rPr>
        <w:t>Aversano.</w:t>
      </w:r>
    </w:p>
    <w:p w14:paraId="04B6D510" w14:textId="7822E3ED" w:rsidR="00EE4B82" w:rsidRPr="003D74F3" w:rsidRDefault="00EE4B82" w:rsidP="00ED40FA">
      <w:pPr>
        <w:pStyle w:val="ECHRPara"/>
        <w:rPr>
          <w:lang w:val="pl-PL"/>
        </w:rPr>
      </w:pPr>
      <w:r w:rsidRPr="003D74F3">
        <w:rPr>
          <w:noProof/>
          <w:lang w:val="pl-PL"/>
        </w:rPr>
        <w:t>5</w:t>
      </w:r>
      <w:r w:rsidRPr="003D74F3">
        <w:rPr>
          <w:lang w:val="pl-PL"/>
        </w:rPr>
        <w:t>.</w:t>
      </w:r>
      <w:r w:rsidR="009F3BFE">
        <w:rPr>
          <w:lang w:val="pl-PL"/>
        </w:rPr>
        <w:t xml:space="preserve"> </w:t>
      </w:r>
      <w:r w:rsidRPr="003D74F3">
        <w:rPr>
          <w:lang w:val="pl-PL"/>
        </w:rPr>
        <w:t xml:space="preserve">Powołując się na wpływ emisji z huty stali Ilva w Tarencie na ich zdrowie i środowisko naturalne, skarżący podnieśli między innymi </w:t>
      </w:r>
      <w:r w:rsidR="003809BA">
        <w:rPr>
          <w:lang w:val="pl-PL"/>
        </w:rPr>
        <w:t>zarzut naruszenia</w:t>
      </w:r>
      <w:r w:rsidRPr="003D74F3">
        <w:rPr>
          <w:lang w:val="pl-PL"/>
        </w:rPr>
        <w:t xml:space="preserve"> ich prawa do życia, do </w:t>
      </w:r>
      <w:r w:rsidR="003809BA">
        <w:rPr>
          <w:lang w:val="pl-PL"/>
        </w:rPr>
        <w:t xml:space="preserve">poszanowania życia prywatnego </w:t>
      </w:r>
      <w:r w:rsidRPr="003D74F3">
        <w:rPr>
          <w:lang w:val="pl-PL"/>
        </w:rPr>
        <w:t>i</w:t>
      </w:r>
      <w:r w:rsidR="00C70FD8">
        <w:rPr>
          <w:lang w:val="pl-PL"/>
        </w:rPr>
        <w:t> </w:t>
      </w:r>
      <w:r w:rsidRPr="003D74F3">
        <w:rPr>
          <w:lang w:val="pl-PL"/>
        </w:rPr>
        <w:t>do</w:t>
      </w:r>
      <w:r w:rsidR="00C70FD8">
        <w:rPr>
          <w:lang w:val="pl-PL"/>
        </w:rPr>
        <w:t> </w:t>
      </w:r>
      <w:r w:rsidRPr="003D74F3">
        <w:rPr>
          <w:lang w:val="pl-PL"/>
        </w:rPr>
        <w:t>skutecznego środka odwoławczego (art. 2, 8 i 13 Konwencji).</w:t>
      </w:r>
    </w:p>
    <w:p w14:paraId="75188BF8" w14:textId="6D8EFBE6" w:rsidR="00EE4B82" w:rsidRPr="003D74F3" w:rsidRDefault="00EE4B82" w:rsidP="00ED40FA">
      <w:pPr>
        <w:pStyle w:val="ECHRPara"/>
        <w:rPr>
          <w:lang w:val="pl-PL"/>
        </w:rPr>
      </w:pPr>
      <w:r w:rsidRPr="003D74F3">
        <w:rPr>
          <w:noProof/>
          <w:lang w:val="pl-PL"/>
        </w:rPr>
        <w:t>6</w:t>
      </w:r>
      <w:r w:rsidRPr="003D74F3">
        <w:rPr>
          <w:lang w:val="pl-PL"/>
        </w:rPr>
        <w:t>.</w:t>
      </w:r>
      <w:r w:rsidR="009F3BFE">
        <w:rPr>
          <w:lang w:val="pl-PL"/>
        </w:rPr>
        <w:t xml:space="preserve"> </w:t>
      </w:r>
      <w:r w:rsidRPr="003D74F3">
        <w:rPr>
          <w:lang w:val="pl-PL"/>
        </w:rPr>
        <w:t>W dniu 27 kwietnia 2016 r. zarzuty na podstawie art. 2, 8 i</w:t>
      </w:r>
      <w:r w:rsidR="009F3BFE">
        <w:rPr>
          <w:lang w:val="pl-PL"/>
        </w:rPr>
        <w:t xml:space="preserve"> </w:t>
      </w:r>
      <w:r w:rsidRPr="003D74F3">
        <w:rPr>
          <w:lang w:val="pl-PL"/>
        </w:rPr>
        <w:t>13</w:t>
      </w:r>
      <w:r w:rsidR="009F3BFE">
        <w:rPr>
          <w:lang w:val="pl-PL"/>
        </w:rPr>
        <w:t xml:space="preserve"> </w:t>
      </w:r>
      <w:r w:rsidRPr="003D74F3">
        <w:rPr>
          <w:lang w:val="pl-PL"/>
        </w:rPr>
        <w:t>Konwencji zostały zakomunikowane Rządowi</w:t>
      </w:r>
      <w:r w:rsidR="003809BA">
        <w:rPr>
          <w:lang w:val="pl-PL"/>
        </w:rPr>
        <w:t>,</w:t>
      </w:r>
      <w:r w:rsidRPr="003D74F3">
        <w:rPr>
          <w:lang w:val="pl-PL"/>
        </w:rPr>
        <w:t xml:space="preserve"> </w:t>
      </w:r>
      <w:r w:rsidR="003809BA">
        <w:rPr>
          <w:lang w:val="pl-PL"/>
        </w:rPr>
        <w:t>a</w:t>
      </w:r>
      <w:r w:rsidRPr="003D74F3">
        <w:rPr>
          <w:lang w:val="pl-PL"/>
        </w:rPr>
        <w:t xml:space="preserve"> skargi zostały uznane za</w:t>
      </w:r>
      <w:r w:rsidR="00C70FD8">
        <w:rPr>
          <w:lang w:val="pl-PL"/>
        </w:rPr>
        <w:t> </w:t>
      </w:r>
      <w:r w:rsidRPr="003D74F3">
        <w:rPr>
          <w:lang w:val="pl-PL"/>
        </w:rPr>
        <w:t>niedopuszczalne co do pozostałej części zgodnie z Regułą 54</w:t>
      </w:r>
      <w:r w:rsidR="009F3BFE">
        <w:rPr>
          <w:lang w:val="sv-SE"/>
        </w:rPr>
        <w:t xml:space="preserve"> </w:t>
      </w:r>
      <w:r w:rsidRPr="003D74F3">
        <w:rPr>
          <w:lang w:val="pl-PL"/>
        </w:rPr>
        <w:t>§</w:t>
      </w:r>
      <w:r w:rsidR="009F3BFE">
        <w:rPr>
          <w:lang w:val="pl-PL"/>
        </w:rPr>
        <w:t xml:space="preserve"> </w:t>
      </w:r>
      <w:r w:rsidRPr="003D74F3">
        <w:rPr>
          <w:lang w:val="pl-PL"/>
        </w:rPr>
        <w:t>3</w:t>
      </w:r>
      <w:r w:rsidR="009F3BFE">
        <w:rPr>
          <w:lang w:val="pl-PL"/>
        </w:rPr>
        <w:t xml:space="preserve"> </w:t>
      </w:r>
      <w:r w:rsidRPr="003D74F3">
        <w:rPr>
          <w:lang w:val="pl-PL"/>
        </w:rPr>
        <w:t>Regulaminu Trybunału.</w:t>
      </w:r>
    </w:p>
    <w:p w14:paraId="49BE9C09" w14:textId="5FB87CD4" w:rsidR="00EE4B82" w:rsidRPr="003D74F3" w:rsidRDefault="00EE4B82" w:rsidP="00ED40FA">
      <w:pPr>
        <w:pStyle w:val="ECHRPara"/>
        <w:rPr>
          <w:lang w:val="pl-PL"/>
        </w:rPr>
      </w:pPr>
      <w:r w:rsidRPr="003D74F3">
        <w:rPr>
          <w:noProof/>
          <w:lang w:val="pl-PL"/>
        </w:rPr>
        <w:t>7</w:t>
      </w:r>
      <w:r w:rsidRPr="003D74F3">
        <w:rPr>
          <w:rStyle w:val="ECHRParaChar"/>
          <w:lang w:val="pl-PL"/>
        </w:rPr>
        <w:t>.</w:t>
      </w:r>
      <w:r w:rsidR="009F3BFE">
        <w:rPr>
          <w:rStyle w:val="ECHRParaChar"/>
          <w:lang w:val="pl-PL"/>
        </w:rPr>
        <w:t xml:space="preserve"> </w:t>
      </w:r>
      <w:r w:rsidRPr="003D74F3">
        <w:rPr>
          <w:rStyle w:val="ECHRParaChar"/>
          <w:lang w:val="pl-PL"/>
        </w:rPr>
        <w:t xml:space="preserve">Ponadto ISDE (International Society of Doctors for Environment), </w:t>
      </w:r>
      <w:r w:rsidRPr="003D74F3">
        <w:rPr>
          <w:rStyle w:val="ECHRParaChar"/>
          <w:i/>
          <w:iCs/>
          <w:lang w:val="pl-PL"/>
        </w:rPr>
        <w:t>Clinical Program</w:t>
      </w:r>
      <w:r w:rsidRPr="003D74F3">
        <w:rPr>
          <w:rStyle w:val="ECHRParaChar"/>
          <w:lang w:val="pl-PL"/>
        </w:rPr>
        <w:t xml:space="preserve"> (</w:t>
      </w:r>
      <w:r w:rsidR="003809BA" w:rsidRPr="003D74F3">
        <w:rPr>
          <w:rStyle w:val="ECHRParaChar"/>
          <w:lang w:val="pl-PL"/>
        </w:rPr>
        <w:t>Wydział Orzecznictwa</w:t>
      </w:r>
      <w:r w:rsidRPr="003D74F3">
        <w:rPr>
          <w:rStyle w:val="ECHRParaChar"/>
          <w:lang w:val="pl-PL"/>
        </w:rPr>
        <w:t>, Uniwersytet Turyński), Riva Fire S.p.a. i inni, upoważnione przez przewodniczącego do udziału w</w:t>
      </w:r>
      <w:r w:rsidR="00C70FD8">
        <w:rPr>
          <w:rStyle w:val="ECHRParaChar"/>
          <w:lang w:val="pl-PL"/>
        </w:rPr>
        <w:t> </w:t>
      </w:r>
      <w:r w:rsidRPr="003D74F3">
        <w:rPr>
          <w:rStyle w:val="ECHRParaChar"/>
          <w:lang w:val="pl-PL"/>
        </w:rPr>
        <w:t xml:space="preserve">postępowaniu, przedstawiły swoje uwagi jako interwenienci (art. 36 ust. 2 </w:t>
      </w:r>
      <w:r w:rsidRPr="003D74F3">
        <w:rPr>
          <w:rStyle w:val="ECHRParaChar"/>
          <w:lang w:val="pl-PL"/>
        </w:rPr>
        <w:lastRenderedPageBreak/>
        <w:t>Konwencji i Reguła 44 § 3 Regulaminu Trybunału). Jednakże w dniu 13</w:t>
      </w:r>
      <w:r w:rsidR="00C70FD8">
        <w:rPr>
          <w:rStyle w:val="ECHRParaChar"/>
          <w:lang w:val="pl-PL"/>
        </w:rPr>
        <w:t> </w:t>
      </w:r>
      <w:r w:rsidRPr="003D74F3">
        <w:rPr>
          <w:rStyle w:val="ECHRParaChar"/>
          <w:lang w:val="pl-PL"/>
        </w:rPr>
        <w:t>września 2018 r. przewodniczący postanowił nie włączać do akt sprawy uwag Riva Fire S.p.a. i inni, ponieważ nie spełniały one warunków przewidzianych dla interwencji osoby trzeciej (Reguła 44</w:t>
      </w:r>
      <w:r w:rsidR="009F3BFE">
        <w:rPr>
          <w:rStyle w:val="ECHRParaChar"/>
          <w:lang w:val="pl-PL"/>
        </w:rPr>
        <w:t xml:space="preserve"> </w:t>
      </w:r>
      <w:r w:rsidRPr="003D74F3">
        <w:rPr>
          <w:rStyle w:val="ECHRParaChar"/>
          <w:lang w:val="pl-PL"/>
        </w:rPr>
        <w:t>§ 5 Regulaminu Trybunału).</w:t>
      </w:r>
    </w:p>
    <w:p w14:paraId="3074D153" w14:textId="77777777" w:rsidR="00EE4B82" w:rsidRPr="003D74F3" w:rsidRDefault="00EE4B82" w:rsidP="00ED40FA">
      <w:pPr>
        <w:pStyle w:val="ECHRTitle1"/>
        <w:rPr>
          <w:lang w:val="pl-PL"/>
        </w:rPr>
      </w:pPr>
      <w:r w:rsidRPr="003D74F3">
        <w:rPr>
          <w:lang w:val="pl-PL"/>
        </w:rPr>
        <w:t>FAKT</w:t>
      </w:r>
      <w:r w:rsidR="00D859AE">
        <w:rPr>
          <w:lang w:val="pl-PL"/>
        </w:rPr>
        <w:t>Y</w:t>
      </w:r>
    </w:p>
    <w:p w14:paraId="0C8F1EA5" w14:textId="77777777" w:rsidR="00EE4B82" w:rsidRPr="00DC153B" w:rsidRDefault="00EE4B82" w:rsidP="00522C6E">
      <w:pPr>
        <w:pStyle w:val="ECHRPara"/>
        <w:ind w:firstLine="0"/>
        <w:rPr>
          <w:i/>
          <w:iCs/>
          <w:lang w:val="pl-PL"/>
        </w:rPr>
      </w:pPr>
      <w:r w:rsidRPr="00DC153B">
        <w:rPr>
          <w:i/>
          <w:iCs/>
          <w:lang w:val="pl-PL"/>
        </w:rPr>
        <w:t>[Paragrafy 8 – 91 wyroku pominięto i zastąpiono tłumaczeniem poniższego streszczenia przygotowanego przez Kancelarię Europejskiego Trybunału Praw Człowieka</w:t>
      </w:r>
    </w:p>
    <w:p w14:paraId="699749F9" w14:textId="77777777" w:rsidR="00EE4B82" w:rsidRPr="00DC153B" w:rsidRDefault="00EE4B82" w:rsidP="00522C6E">
      <w:pPr>
        <w:pStyle w:val="ECHRPara"/>
        <w:ind w:firstLine="0"/>
        <w:rPr>
          <w:i/>
          <w:iCs/>
          <w:lang w:val="pl-PL"/>
        </w:rPr>
      </w:pPr>
    </w:p>
    <w:p w14:paraId="6BFDD1D6" w14:textId="77777777" w:rsidR="00EE4B82" w:rsidRPr="003D74F3" w:rsidRDefault="00EE4B82" w:rsidP="00FD3FB5">
      <w:pPr>
        <w:pStyle w:val="ECHRPara"/>
        <w:rPr>
          <w:u w:val="single"/>
          <w:lang w:val="pl-PL"/>
        </w:rPr>
      </w:pPr>
      <w:r w:rsidRPr="00DC153B">
        <w:rPr>
          <w:i/>
          <w:iCs/>
          <w:u w:val="single"/>
          <w:lang w:val="pl-PL"/>
        </w:rPr>
        <w:t>Streszczenie stanu faktycznego</w:t>
      </w:r>
      <w:r w:rsidRPr="00DC153B">
        <w:rPr>
          <w:rStyle w:val="Odwoanieprzypisudolnego"/>
          <w:u w:val="single"/>
        </w:rPr>
        <w:footnoteReference w:id="2"/>
      </w:r>
      <w:r w:rsidRPr="00DC153B">
        <w:rPr>
          <w:u w:val="single"/>
          <w:lang w:val="pl-PL"/>
        </w:rPr>
        <w:t>:</w:t>
      </w:r>
    </w:p>
    <w:p w14:paraId="0367ECAB" w14:textId="7D44175D" w:rsidR="00EE4B82" w:rsidRPr="00522C6E" w:rsidRDefault="00EE4B82" w:rsidP="00522C6E">
      <w:pPr>
        <w:pStyle w:val="s6c429373"/>
        <w:jc w:val="both"/>
      </w:pPr>
      <w:r>
        <w:t>„Sprawa dotyczy ciągłego zanieczyszczania powietrza przez hutę stali eksploatowaną od 1965 r. w Tarencie (miasto liczące ok. 200 tys. mieszkańców) przez byłe przedsiębiorstwo państwowe, sprywatyzowane w</w:t>
      </w:r>
      <w:r w:rsidR="00C70FD8">
        <w:t> </w:t>
      </w:r>
      <w:r>
        <w:t>1995 r. W 1990 r. Rada Ministrów na swoim posiedzeniu zakwalifikowała miasto Tarent i cztery sąsiednie gminy do grupy „wysokiego ryzyka środowiskowego” ze względu na emisje z tej huty. W</w:t>
      </w:r>
      <w:r w:rsidR="009F3BFE">
        <w:t xml:space="preserve"> </w:t>
      </w:r>
      <w:r>
        <w:t>1998 r. prezydent Republiki zatwierdził plan oczyszczania. W 2000 r. na mocy dekretu ministerialnego gminy Tarent i Statte zostały zaliczone do „miejsc o</w:t>
      </w:r>
      <w:r w:rsidR="00C70FD8">
        <w:t> </w:t>
      </w:r>
      <w:r>
        <w:t xml:space="preserve">krajowym znaczeniu do celów </w:t>
      </w:r>
      <w:r w:rsidRPr="002D1FBF">
        <w:t>remediacji</w:t>
      </w:r>
      <w:r w:rsidR="00A75F0D" w:rsidRPr="002D1FBF">
        <w:t>” (</w:t>
      </w:r>
      <w:r w:rsidR="00A75F0D">
        <w:t>SIN)</w:t>
      </w:r>
      <w:r>
        <w:t>. Władze zawarły umowy z przedsiębiorstwem. W 2011 r. nałożono na nie wymogi materialne i</w:t>
      </w:r>
      <w:r w:rsidR="00C70FD8">
        <w:t> </w:t>
      </w:r>
      <w:r>
        <w:t>informacyjne w ramach administracyjnego pozwolenia na prowadzenie działalności. Kilka dekretów z mocą ustawy, przyj</w:t>
      </w:r>
      <w:r w:rsidR="00A75F0D">
        <w:t>mowanych</w:t>
      </w:r>
      <w:r>
        <w:t xml:space="preserve"> </w:t>
      </w:r>
      <w:r w:rsidR="00A75F0D">
        <w:t>od</w:t>
      </w:r>
      <w:r>
        <w:t xml:space="preserve"> 2012 r. i</w:t>
      </w:r>
      <w:r w:rsidR="00C70FD8">
        <w:t> </w:t>
      </w:r>
      <w:r>
        <w:t>mających na celu ochronę przemysłu stalowego w Tarencie, wydłużyło ustanowione terminy. W 2015 r., w związku z niewypłacalnością, spółka została objęta zarządem tymczasowym, ze zwolnieniem zarządcy z</w:t>
      </w:r>
      <w:r w:rsidR="00C70FD8">
        <w:t> </w:t>
      </w:r>
      <w:r>
        <w:t>odpowiedzialności administracyjnej lub karnej w zakresie realizacji planowanych działań środowiskowych. W międzyczasie organy Unii Europejskiej (Trybunał Sprawiedliwości i Komisja) stwierdziły, że Włochy nie wywiązały się z obowiązku zapewnienia zgodności z odpowiednimi dyrektywami. Podjęto różne działania cywilne i karne. Tymczasem szkodliwe emisje nadal się utrzymują.</w:t>
      </w:r>
    </w:p>
    <w:p w14:paraId="44EEFB37" w14:textId="38414EF6" w:rsidR="00EE4B82" w:rsidRPr="003D74F3" w:rsidRDefault="00EE4B82" w:rsidP="00522C6E">
      <w:pPr>
        <w:spacing w:before="100" w:beforeAutospacing="1" w:after="100" w:afterAutospacing="1"/>
        <w:rPr>
          <w:rFonts w:eastAsia="Times New Roman"/>
          <w:lang w:val="pl-PL"/>
        </w:rPr>
      </w:pPr>
      <w:r w:rsidRPr="003D74F3">
        <w:rPr>
          <w:lang w:val="pl-PL"/>
        </w:rPr>
        <w:t>Skarżący to kilkadziesiąt osób fizycznych, które zamieszkują lub</w:t>
      </w:r>
      <w:r w:rsidR="00C70FD8">
        <w:rPr>
          <w:lang w:val="pl-PL"/>
        </w:rPr>
        <w:t> </w:t>
      </w:r>
      <w:r w:rsidRPr="003D74F3">
        <w:rPr>
          <w:lang w:val="pl-PL"/>
        </w:rPr>
        <w:t xml:space="preserve">zamieszkiwały w bliższym lub dalszym sąsiedztwie huty. Wskazują oni </w:t>
      </w:r>
      <w:r w:rsidRPr="003D74F3">
        <w:rPr>
          <w:lang w:val="pl-PL"/>
        </w:rPr>
        <w:lastRenderedPageBreak/>
        <w:t>na brak działań państwa, które zapobiegałyby skutkom emisji szkodliwych dla ich zdrowia”.</w:t>
      </w:r>
    </w:p>
    <w:p w14:paraId="1F28556F" w14:textId="77777777" w:rsidR="00EE4B82" w:rsidRPr="003D74F3" w:rsidRDefault="00EE4B82" w:rsidP="00522C6E">
      <w:pPr>
        <w:pStyle w:val="ECHRTitle1"/>
        <w:rPr>
          <w:sz w:val="24"/>
          <w:szCs w:val="24"/>
          <w:lang w:val="pl-PL"/>
        </w:rPr>
      </w:pPr>
      <w:r>
        <w:rPr>
          <w:sz w:val="24"/>
          <w:szCs w:val="24"/>
          <w:lang w:val="pl-PL"/>
        </w:rPr>
        <w:t>PRAWO</w:t>
      </w:r>
    </w:p>
    <w:p w14:paraId="69623EBD" w14:textId="77777777" w:rsidR="00EE4B82" w:rsidRPr="003D74F3" w:rsidRDefault="00EE4B82" w:rsidP="00ED40FA">
      <w:pPr>
        <w:pStyle w:val="ECHRHeading1"/>
        <w:rPr>
          <w:lang w:val="pl-PL"/>
        </w:rPr>
      </w:pPr>
      <w:r w:rsidRPr="003D74F3">
        <w:rPr>
          <w:lang w:val="pl-PL"/>
        </w:rPr>
        <w:t xml:space="preserve">I. </w:t>
      </w:r>
      <w:r w:rsidR="00D859AE">
        <w:rPr>
          <w:lang w:val="pl-PL"/>
        </w:rPr>
        <w:t>POŁĄCZENIE</w:t>
      </w:r>
      <w:r w:rsidRPr="003D74F3">
        <w:rPr>
          <w:lang w:val="pl-PL"/>
        </w:rPr>
        <w:t xml:space="preserve"> SKARG</w:t>
      </w:r>
    </w:p>
    <w:p w14:paraId="790DDA6F" w14:textId="77777777" w:rsidR="00EE4B82" w:rsidRPr="003D74F3" w:rsidRDefault="00EE4B82" w:rsidP="00ED40FA">
      <w:pPr>
        <w:pStyle w:val="ECHRPara"/>
        <w:rPr>
          <w:lang w:val="pl-PL"/>
        </w:rPr>
      </w:pPr>
      <w:r w:rsidRPr="003D74F3">
        <w:rPr>
          <w:noProof/>
          <w:lang w:val="pl-PL"/>
        </w:rPr>
        <w:t>92</w:t>
      </w:r>
      <w:r w:rsidRPr="003D74F3">
        <w:rPr>
          <w:lang w:val="pl-PL"/>
        </w:rPr>
        <w:t>.</w:t>
      </w:r>
      <w:r w:rsidR="009F3BFE">
        <w:rPr>
          <w:lang w:val="pl-PL"/>
        </w:rPr>
        <w:t xml:space="preserve"> </w:t>
      </w:r>
      <w:r w:rsidRPr="003D74F3">
        <w:rPr>
          <w:lang w:val="pl-PL"/>
        </w:rPr>
        <w:t>Z uwagi na podobieństwo skarg Trybunał uzna</w:t>
      </w:r>
      <w:r w:rsidR="00101FBA">
        <w:rPr>
          <w:lang w:val="pl-PL"/>
        </w:rPr>
        <w:t>je</w:t>
      </w:r>
      <w:r w:rsidRPr="003D74F3">
        <w:rPr>
          <w:lang w:val="pl-PL"/>
        </w:rPr>
        <w:t xml:space="preserve"> za stosowne rozpatrzyć je łącznie w jednym wyroku.</w:t>
      </w:r>
    </w:p>
    <w:p w14:paraId="2381C53E" w14:textId="77777777" w:rsidR="00EE4B82" w:rsidRPr="003D74F3" w:rsidRDefault="00EE4B82" w:rsidP="00ED40FA">
      <w:pPr>
        <w:pStyle w:val="ECHRHeading1"/>
        <w:rPr>
          <w:lang w:val="pl-PL"/>
        </w:rPr>
      </w:pPr>
      <w:r w:rsidRPr="003D74F3">
        <w:rPr>
          <w:lang w:val="pl-PL"/>
        </w:rPr>
        <w:t>II.</w:t>
      </w:r>
      <w:r w:rsidR="009F3BFE">
        <w:rPr>
          <w:lang w:val="pl-PL"/>
        </w:rPr>
        <w:t xml:space="preserve"> </w:t>
      </w:r>
      <w:r w:rsidR="00D859AE">
        <w:rPr>
          <w:lang w:val="pl-PL"/>
        </w:rPr>
        <w:t>ZARZUCANE</w:t>
      </w:r>
      <w:r w:rsidRPr="003D74F3">
        <w:rPr>
          <w:lang w:val="pl-PL"/>
        </w:rPr>
        <w:t xml:space="preserve"> NARUSZENIA ART.</w:t>
      </w:r>
      <w:r w:rsidR="009F3BFE">
        <w:rPr>
          <w:lang w:val="pl-PL"/>
        </w:rPr>
        <w:t xml:space="preserve"> </w:t>
      </w:r>
      <w:r w:rsidRPr="003D74F3">
        <w:rPr>
          <w:lang w:val="pl-PL"/>
        </w:rPr>
        <w:t>2,</w:t>
      </w:r>
      <w:r w:rsidR="009F3BFE">
        <w:rPr>
          <w:lang w:val="pl-PL"/>
        </w:rPr>
        <w:t xml:space="preserve"> </w:t>
      </w:r>
      <w:r w:rsidRPr="003D74F3">
        <w:rPr>
          <w:lang w:val="pl-PL"/>
        </w:rPr>
        <w:t>8</w:t>
      </w:r>
      <w:r w:rsidR="00D859AE">
        <w:rPr>
          <w:lang w:val="pl-PL"/>
        </w:rPr>
        <w:t xml:space="preserve"> </w:t>
      </w:r>
      <w:r w:rsidRPr="003D74F3">
        <w:rPr>
          <w:lang w:val="pl-PL"/>
        </w:rPr>
        <w:t>I 13</w:t>
      </w:r>
      <w:r w:rsidR="009F3BFE">
        <w:rPr>
          <w:lang w:val="pl-PL"/>
        </w:rPr>
        <w:t xml:space="preserve"> </w:t>
      </w:r>
      <w:r w:rsidRPr="003D74F3">
        <w:rPr>
          <w:lang w:val="pl-PL"/>
        </w:rPr>
        <w:t>KONWENCJI</w:t>
      </w:r>
    </w:p>
    <w:p w14:paraId="4478AB2C" w14:textId="3C7EF6BA" w:rsidR="00EE4B82" w:rsidRPr="003D74F3" w:rsidRDefault="00EE4B82" w:rsidP="00ED40FA">
      <w:pPr>
        <w:pStyle w:val="ECHRPara"/>
        <w:rPr>
          <w:rStyle w:val="ECHRParaChar"/>
          <w:lang w:val="pl-PL"/>
        </w:rPr>
      </w:pPr>
      <w:r w:rsidRPr="003D74F3">
        <w:rPr>
          <w:noProof/>
          <w:lang w:val="pl-PL"/>
        </w:rPr>
        <w:t>93</w:t>
      </w:r>
      <w:r w:rsidRPr="003D74F3">
        <w:rPr>
          <w:lang w:val="pl-PL"/>
        </w:rPr>
        <w:t>.</w:t>
      </w:r>
      <w:r w:rsidR="009F3BFE">
        <w:rPr>
          <w:lang w:val="pl-PL"/>
        </w:rPr>
        <w:t xml:space="preserve"> </w:t>
      </w:r>
      <w:r w:rsidRPr="003D74F3">
        <w:rPr>
          <w:lang w:val="pl-PL"/>
        </w:rPr>
        <w:t>Powołując się na art. 2 i 8 Konwencji, skarżący zarzuc</w:t>
      </w:r>
      <w:r w:rsidR="00101FBA">
        <w:rPr>
          <w:lang w:val="pl-PL"/>
        </w:rPr>
        <w:t>ają</w:t>
      </w:r>
      <w:r w:rsidRPr="003D74F3">
        <w:rPr>
          <w:lang w:val="pl-PL"/>
        </w:rPr>
        <w:t xml:space="preserve"> naruszenie ich prawa do życia i poszanowania życia prywatnego. Skarżący podnoszą, że</w:t>
      </w:r>
      <w:r w:rsidR="00C70FD8">
        <w:rPr>
          <w:lang w:val="pl-PL"/>
        </w:rPr>
        <w:t> </w:t>
      </w:r>
      <w:r w:rsidRPr="003D74F3">
        <w:rPr>
          <w:lang w:val="pl-PL"/>
        </w:rPr>
        <w:t>państwo nie przyjęło środków prawnych i regulacyjnych w celu ochrony ich zdrowia i środowiska oraz nie dostarczyło im informacji na temat zanieczyszczenia i związanego z nim ryzyka dla ich zdrowia.</w:t>
      </w:r>
    </w:p>
    <w:p w14:paraId="644B940B" w14:textId="77777777" w:rsidR="00EE4B82" w:rsidRPr="003D74F3" w:rsidRDefault="00EE4B82" w:rsidP="00ED40FA">
      <w:pPr>
        <w:pStyle w:val="ECHRPara"/>
        <w:rPr>
          <w:i/>
          <w:iCs/>
          <w:lang w:val="pl-PL"/>
        </w:rPr>
      </w:pPr>
      <w:r w:rsidRPr="003D74F3">
        <w:rPr>
          <w:rStyle w:val="ECHRParaChar"/>
          <w:noProof/>
          <w:lang w:val="pl-PL"/>
        </w:rPr>
        <w:t>94</w:t>
      </w:r>
      <w:r w:rsidRPr="003D74F3">
        <w:rPr>
          <w:rStyle w:val="ECHRParaChar"/>
          <w:lang w:val="pl-PL"/>
        </w:rPr>
        <w:t>.</w:t>
      </w:r>
      <w:r w:rsidR="009F3BFE">
        <w:rPr>
          <w:rStyle w:val="ECHRParaChar"/>
          <w:lang w:val="pl-PL"/>
        </w:rPr>
        <w:t xml:space="preserve"> </w:t>
      </w:r>
      <w:r w:rsidR="00101FBA">
        <w:rPr>
          <w:rStyle w:val="ECHRParaChar"/>
          <w:lang w:val="pl-PL"/>
        </w:rPr>
        <w:t xml:space="preserve">Decydując o </w:t>
      </w:r>
      <w:r w:rsidRPr="003D74F3">
        <w:rPr>
          <w:lang w:val="pl-PL"/>
        </w:rPr>
        <w:t>kwalifikacji prawnej okoliczności faktycznych Trybunał stwierdz</w:t>
      </w:r>
      <w:r w:rsidR="00101FBA">
        <w:rPr>
          <w:lang w:val="pl-PL"/>
        </w:rPr>
        <w:t>a</w:t>
      </w:r>
      <w:r w:rsidRPr="003D74F3">
        <w:rPr>
          <w:lang w:val="pl-PL"/>
        </w:rPr>
        <w:t xml:space="preserve">, że zarzuty te pokrywają się. Trybunał </w:t>
      </w:r>
      <w:r w:rsidR="00101FBA">
        <w:rPr>
          <w:lang w:val="pl-PL"/>
        </w:rPr>
        <w:t xml:space="preserve">uznaje </w:t>
      </w:r>
      <w:r w:rsidRPr="003D74F3">
        <w:rPr>
          <w:lang w:val="pl-PL"/>
        </w:rPr>
        <w:t>za właściwe zbadanie zarzutów skarżących wyłącznie w świetle art. 8 Konwencji (</w:t>
      </w:r>
      <w:r w:rsidRPr="003D74F3">
        <w:rPr>
          <w:i/>
          <w:iCs/>
          <w:lang w:val="pl-PL"/>
        </w:rPr>
        <w:t>Radomilja i Inni p. Chorwacji</w:t>
      </w:r>
      <w:r w:rsidRPr="003D74F3">
        <w:rPr>
          <w:lang w:val="pl-PL"/>
        </w:rPr>
        <w:t xml:space="preserve"> [WI], skargi nr 37685/10 i 22768/12, 20</w:t>
      </w:r>
      <w:r w:rsidR="009F3BFE">
        <w:rPr>
          <w:lang w:val="pl-PL"/>
        </w:rPr>
        <w:t xml:space="preserve"> </w:t>
      </w:r>
      <w:r w:rsidRPr="003D74F3">
        <w:rPr>
          <w:lang w:val="pl-PL"/>
        </w:rPr>
        <w:t>marca 2018 r.). Postanowienie to ma następujące brzmienie:</w:t>
      </w:r>
    </w:p>
    <w:p w14:paraId="427B5AC3" w14:textId="77777777" w:rsidR="00EE4B82" w:rsidRPr="003D74F3" w:rsidRDefault="00EE4B82" w:rsidP="00ED40FA">
      <w:pPr>
        <w:pStyle w:val="ECHRParaQuote"/>
        <w:rPr>
          <w:lang w:val="pl-PL"/>
        </w:rPr>
      </w:pPr>
      <w:r w:rsidRPr="003D74F3">
        <w:rPr>
          <w:lang w:val="pl-PL"/>
        </w:rPr>
        <w:t>„1.</w:t>
      </w:r>
      <w:r w:rsidR="009F3BFE">
        <w:rPr>
          <w:lang w:val="pl-PL"/>
        </w:rPr>
        <w:t xml:space="preserve"> </w:t>
      </w:r>
      <w:r w:rsidRPr="003D74F3">
        <w:rPr>
          <w:lang w:val="pl-PL"/>
        </w:rPr>
        <w:t>Każdy ma prawo do poszanowania swojego życia prywatnego [...]</w:t>
      </w:r>
    </w:p>
    <w:p w14:paraId="1155D2D8" w14:textId="1704E724" w:rsidR="00EE4B82" w:rsidRPr="003D74F3" w:rsidRDefault="00EE4B82" w:rsidP="00ED40FA">
      <w:pPr>
        <w:pStyle w:val="ECHRParaQuote"/>
        <w:rPr>
          <w:lang w:val="pl-PL"/>
        </w:rPr>
      </w:pPr>
      <w:r w:rsidRPr="003D74F3">
        <w:rPr>
          <w:lang w:val="pl-PL"/>
        </w:rPr>
        <w:t>2.</w:t>
      </w:r>
      <w:r w:rsidR="009F3BFE">
        <w:rPr>
          <w:lang w:val="pl-PL"/>
        </w:rPr>
        <w:t xml:space="preserve"> </w:t>
      </w:r>
      <w:r w:rsidRPr="003D74F3">
        <w:rPr>
          <w:lang w:val="pl-PL"/>
        </w:rPr>
        <w:t>Niedopuszczalna jest ingerencja władzy publicznej w korzystanie z tego prawa z</w:t>
      </w:r>
      <w:r w:rsidR="00C70FD8">
        <w:rPr>
          <w:lang w:val="pl-PL"/>
        </w:rPr>
        <w:t> </w:t>
      </w:r>
      <w:r w:rsidRPr="003D74F3">
        <w:rPr>
          <w:lang w:val="pl-PL"/>
        </w:rPr>
        <w:t>wyjątkiem przypadków przewidzianych przez ustawę i koniecznych w</w:t>
      </w:r>
      <w:r w:rsidR="00C70FD8">
        <w:rPr>
          <w:lang w:val="pl-PL"/>
        </w:rPr>
        <w:t> </w:t>
      </w:r>
      <w:r w:rsidRPr="003D74F3">
        <w:rPr>
          <w:lang w:val="pl-PL"/>
        </w:rPr>
        <w:t>demokratycznym społeczeństwie z uwagi na bezpieczeństwo państwowe, bezpieczeństwo publiczne lub dobrobyt gospodarczy kraju, ochronę porządku i</w:t>
      </w:r>
      <w:r w:rsidR="00C70FD8">
        <w:rPr>
          <w:lang w:val="pl-PL"/>
        </w:rPr>
        <w:t> </w:t>
      </w:r>
      <w:r w:rsidRPr="003D74F3">
        <w:rPr>
          <w:lang w:val="pl-PL"/>
        </w:rPr>
        <w:t>zapobieganie przestępstwom, ochronę zdrowia i moralności lub ochronę praw i</w:t>
      </w:r>
      <w:r w:rsidR="00F13BAC">
        <w:rPr>
          <w:lang w:val="pl-PL"/>
        </w:rPr>
        <w:t> </w:t>
      </w:r>
      <w:r w:rsidRPr="003D74F3">
        <w:rPr>
          <w:lang w:val="pl-PL"/>
        </w:rPr>
        <w:t>wolności osób”.</w:t>
      </w:r>
    </w:p>
    <w:p w14:paraId="24866071" w14:textId="77777777" w:rsidR="00EE4B82" w:rsidRPr="003D74F3" w:rsidRDefault="00EE4B82" w:rsidP="00ED40FA">
      <w:pPr>
        <w:pStyle w:val="JuParaSub"/>
        <w:ind w:left="0"/>
        <w:rPr>
          <w:lang w:val="pl-PL"/>
        </w:rPr>
      </w:pPr>
      <w:r w:rsidRPr="003D74F3">
        <w:rPr>
          <w:noProof/>
          <w:lang w:val="pl-PL"/>
        </w:rPr>
        <w:t>95</w:t>
      </w:r>
      <w:r w:rsidRPr="003D74F3">
        <w:rPr>
          <w:lang w:val="pl-PL"/>
        </w:rPr>
        <w:t>.</w:t>
      </w:r>
      <w:r w:rsidR="009F3BFE">
        <w:rPr>
          <w:lang w:val="pl-PL"/>
        </w:rPr>
        <w:t xml:space="preserve"> </w:t>
      </w:r>
      <w:r w:rsidRPr="003D74F3">
        <w:rPr>
          <w:lang w:val="pl-PL"/>
        </w:rPr>
        <w:t>Na podstawie art. 13 Konwencji skarżący podnoszą, że doznali naruszenia ich prawa do skutecznego środka odwoławczego. Postanowienie to ma następujące brzmienie:</w:t>
      </w:r>
    </w:p>
    <w:p w14:paraId="522E9CD3" w14:textId="32241D08" w:rsidR="00EE4B82" w:rsidRPr="003D74F3" w:rsidRDefault="00EE4B82" w:rsidP="00ED40FA">
      <w:pPr>
        <w:pStyle w:val="ECHRParaQuote"/>
        <w:rPr>
          <w:lang w:val="pl-PL"/>
        </w:rPr>
      </w:pPr>
      <w:r w:rsidRPr="003D74F3">
        <w:rPr>
          <w:lang w:val="pl-PL"/>
        </w:rPr>
        <w:t>„</w:t>
      </w:r>
      <w:r w:rsidR="00D859AE" w:rsidRPr="00D859AE">
        <w:rPr>
          <w:lang w:val="pl-PL"/>
        </w:rPr>
        <w:t xml:space="preserve">Każdy, czyje prawa i wolności zawarte w niniejszej </w:t>
      </w:r>
      <w:r w:rsidR="00CD782E" w:rsidRPr="00D859AE">
        <w:rPr>
          <w:lang w:val="pl-PL"/>
        </w:rPr>
        <w:t>K</w:t>
      </w:r>
      <w:r w:rsidR="00CD782E" w:rsidRPr="00D859AE">
        <w:rPr>
          <w:lang w:val="pl-PL"/>
        </w:rPr>
        <w:t xml:space="preserve">onwencji </w:t>
      </w:r>
      <w:r w:rsidR="00D859AE" w:rsidRPr="00D859AE">
        <w:rPr>
          <w:lang w:val="pl-PL"/>
        </w:rPr>
        <w:t>zostały naruszone, ma prawo do skutecznego środka odwoławczego do właściwego organu państwowego także wówczas, gdy naruszenia dokonały osoby wykonujące swoje funkcje urzędowe</w:t>
      </w:r>
      <w:r w:rsidRPr="003D74F3">
        <w:rPr>
          <w:lang w:val="pl-PL"/>
        </w:rPr>
        <w:t>”.</w:t>
      </w:r>
    </w:p>
    <w:p w14:paraId="61433952" w14:textId="77777777" w:rsidR="00EE4B82" w:rsidRPr="003D74F3" w:rsidRDefault="00EE4B82" w:rsidP="00ED40FA">
      <w:pPr>
        <w:pStyle w:val="ECHRHeading2"/>
        <w:rPr>
          <w:lang w:val="pl-PL"/>
        </w:rPr>
      </w:pPr>
      <w:r w:rsidRPr="003D74F3">
        <w:rPr>
          <w:lang w:val="pl-PL"/>
        </w:rPr>
        <w:lastRenderedPageBreak/>
        <w:t>A.</w:t>
      </w:r>
      <w:r w:rsidR="009F3BFE">
        <w:rPr>
          <w:lang w:val="pl-PL"/>
        </w:rPr>
        <w:t xml:space="preserve"> </w:t>
      </w:r>
      <w:r w:rsidR="00853C12">
        <w:rPr>
          <w:lang w:val="pl-PL"/>
        </w:rPr>
        <w:t>Wstępne zastrzeżenia</w:t>
      </w:r>
      <w:r w:rsidRPr="003D74F3">
        <w:rPr>
          <w:lang w:val="pl-PL"/>
        </w:rPr>
        <w:t xml:space="preserve"> Rządu</w:t>
      </w:r>
    </w:p>
    <w:p w14:paraId="6AFAE37E" w14:textId="77777777" w:rsidR="00EE4B82" w:rsidRPr="003D74F3" w:rsidRDefault="00EE4B82" w:rsidP="00ED40FA">
      <w:pPr>
        <w:pStyle w:val="ECHRHeading3"/>
        <w:rPr>
          <w:lang w:val="pl-PL"/>
        </w:rPr>
      </w:pPr>
      <w:r w:rsidRPr="003D74F3">
        <w:rPr>
          <w:lang w:val="pl-PL"/>
        </w:rPr>
        <w:t>1.</w:t>
      </w:r>
      <w:r w:rsidR="009F3BFE">
        <w:rPr>
          <w:lang w:val="pl-PL"/>
        </w:rPr>
        <w:t xml:space="preserve"> </w:t>
      </w:r>
      <w:r w:rsidRPr="003D74F3">
        <w:rPr>
          <w:lang w:val="pl-PL"/>
        </w:rPr>
        <w:t>W przedmiocie statusu „ofiary” skarżących</w:t>
      </w:r>
    </w:p>
    <w:p w14:paraId="35F63769" w14:textId="77777777" w:rsidR="00EE4B82" w:rsidRPr="003D74F3" w:rsidRDefault="00EE4B82" w:rsidP="00ED40FA">
      <w:pPr>
        <w:pStyle w:val="ECHRHeading4"/>
        <w:rPr>
          <w:lang w:val="pl-PL"/>
        </w:rPr>
      </w:pPr>
      <w:r w:rsidRPr="003D74F3">
        <w:rPr>
          <w:lang w:val="pl-PL"/>
        </w:rPr>
        <w:t>a)</w:t>
      </w:r>
      <w:r w:rsidR="009F3BFE">
        <w:rPr>
          <w:lang w:val="pl-PL"/>
        </w:rPr>
        <w:t xml:space="preserve"> </w:t>
      </w:r>
      <w:r w:rsidRPr="003D74F3">
        <w:rPr>
          <w:lang w:val="pl-PL"/>
        </w:rPr>
        <w:t>Stanowisko Rządu</w:t>
      </w:r>
    </w:p>
    <w:p w14:paraId="41B87A81" w14:textId="77777777" w:rsidR="00EE4B82" w:rsidRPr="003D74F3" w:rsidRDefault="00EE4B82" w:rsidP="00ED40FA">
      <w:pPr>
        <w:pStyle w:val="ECHRPara"/>
        <w:rPr>
          <w:lang w:val="pl-PL"/>
        </w:rPr>
      </w:pPr>
      <w:r w:rsidRPr="003D74F3">
        <w:rPr>
          <w:noProof/>
          <w:lang w:val="pl-PL"/>
        </w:rPr>
        <w:t>96</w:t>
      </w:r>
      <w:r w:rsidRPr="003D74F3">
        <w:rPr>
          <w:lang w:val="pl-PL"/>
        </w:rPr>
        <w:t>.</w:t>
      </w:r>
      <w:r w:rsidR="009F3BFE">
        <w:rPr>
          <w:lang w:val="pl-PL"/>
        </w:rPr>
        <w:t xml:space="preserve"> </w:t>
      </w:r>
      <w:r w:rsidRPr="003D74F3">
        <w:rPr>
          <w:lang w:val="pl-PL"/>
        </w:rPr>
        <w:t xml:space="preserve">Rząd kwestionuje status skarżących jako ofiar. Wskazuje w tym względzie, że status ten może zostać stwierdzony jedynie w następstwie postępowania </w:t>
      </w:r>
      <w:r w:rsidR="00322474">
        <w:rPr>
          <w:lang w:val="pl-PL"/>
        </w:rPr>
        <w:t>krajowego</w:t>
      </w:r>
      <w:r w:rsidRPr="003D74F3">
        <w:rPr>
          <w:lang w:val="pl-PL"/>
        </w:rPr>
        <w:t xml:space="preserve"> dotyczącego zarzutów podniesionych następnie przed Trybunałem.</w:t>
      </w:r>
    </w:p>
    <w:p w14:paraId="5D408C04" w14:textId="77777777" w:rsidR="00EE4B82" w:rsidRPr="003D74F3" w:rsidRDefault="00EE4B82" w:rsidP="00ED40FA">
      <w:pPr>
        <w:pStyle w:val="ECHRPara"/>
        <w:rPr>
          <w:lang w:val="pl-PL"/>
        </w:rPr>
      </w:pPr>
      <w:r w:rsidRPr="003D74F3">
        <w:rPr>
          <w:noProof/>
          <w:lang w:val="pl-PL"/>
        </w:rPr>
        <w:t>97</w:t>
      </w:r>
      <w:r w:rsidRPr="003D74F3">
        <w:rPr>
          <w:lang w:val="pl-PL"/>
        </w:rPr>
        <w:t>.</w:t>
      </w:r>
      <w:r w:rsidR="009F3BFE">
        <w:rPr>
          <w:lang w:val="pl-PL"/>
        </w:rPr>
        <w:t xml:space="preserve"> </w:t>
      </w:r>
      <w:r w:rsidRPr="003D74F3">
        <w:rPr>
          <w:lang w:val="pl-PL"/>
        </w:rPr>
        <w:t>Rząd stwierdza ponadto, że skargi skarżących mają jedynie charakter ogólny i nie odnoszą się do konkretnych sytuacji oraz że nie przedstawiają one żadnych elementów faktycznych na poparcie twierdzenia, że skarżący ponieśli rzeczywistą szkodę. Obecne skargi miałyby zatem być jedynie skargami obywatelskimi (</w:t>
      </w:r>
      <w:r w:rsidRPr="003D74F3">
        <w:rPr>
          <w:i/>
          <w:iCs/>
          <w:lang w:val="pl-PL"/>
        </w:rPr>
        <w:t>actio popularis</w:t>
      </w:r>
      <w:r w:rsidRPr="003D74F3">
        <w:rPr>
          <w:lang w:val="pl-PL"/>
        </w:rPr>
        <w:t>).</w:t>
      </w:r>
    </w:p>
    <w:p w14:paraId="1048578A" w14:textId="77777777" w:rsidR="00EE4B82" w:rsidRPr="003D74F3" w:rsidRDefault="00EE4B82" w:rsidP="00ED40FA">
      <w:pPr>
        <w:pStyle w:val="ECHRPara"/>
        <w:rPr>
          <w:lang w:val="pl-PL"/>
        </w:rPr>
      </w:pPr>
      <w:r w:rsidRPr="003D74F3">
        <w:rPr>
          <w:noProof/>
          <w:lang w:val="pl-PL"/>
        </w:rPr>
        <w:t>98</w:t>
      </w:r>
      <w:r w:rsidRPr="003D74F3">
        <w:rPr>
          <w:lang w:val="pl-PL"/>
        </w:rPr>
        <w:t>.</w:t>
      </w:r>
      <w:r w:rsidR="009F3BFE">
        <w:rPr>
          <w:lang w:val="pl-PL"/>
        </w:rPr>
        <w:t xml:space="preserve"> </w:t>
      </w:r>
      <w:r w:rsidRPr="003D74F3">
        <w:rPr>
          <w:lang w:val="pl-PL"/>
        </w:rPr>
        <w:t>Rząd stwierdza ponadto, że większość skarżących mieszka w</w:t>
      </w:r>
      <w:r w:rsidR="009F3BFE">
        <w:rPr>
          <w:lang w:val="pl-PL"/>
        </w:rPr>
        <w:t xml:space="preserve"> </w:t>
      </w:r>
      <w:r w:rsidRPr="003D74F3">
        <w:rPr>
          <w:lang w:val="pl-PL"/>
        </w:rPr>
        <w:t>gminach innych niż ta, której bezpośrednio dotyczy zanieczyszczenie środowiska, czyli w mieście Tarent.</w:t>
      </w:r>
    </w:p>
    <w:p w14:paraId="4252F3B1" w14:textId="77777777" w:rsidR="00EE4B82" w:rsidRPr="003D74F3" w:rsidRDefault="00EE4B82" w:rsidP="00ED40FA">
      <w:pPr>
        <w:pStyle w:val="ECHRHeading4"/>
        <w:rPr>
          <w:lang w:val="pl-PL"/>
        </w:rPr>
      </w:pPr>
      <w:r w:rsidRPr="003D74F3">
        <w:rPr>
          <w:lang w:val="pl-PL"/>
        </w:rPr>
        <w:t>b) Stanowisko skarżących</w:t>
      </w:r>
    </w:p>
    <w:p w14:paraId="035BADBD" w14:textId="77777777" w:rsidR="00EE4B82" w:rsidRPr="003D74F3" w:rsidRDefault="00EE4B82" w:rsidP="00ED40FA">
      <w:pPr>
        <w:pStyle w:val="ECHRPara"/>
        <w:rPr>
          <w:lang w:val="pl-PL"/>
        </w:rPr>
      </w:pPr>
      <w:r w:rsidRPr="003D74F3">
        <w:rPr>
          <w:noProof/>
          <w:lang w:val="pl-PL"/>
        </w:rPr>
        <w:t>99</w:t>
      </w:r>
      <w:r w:rsidRPr="003D74F3">
        <w:rPr>
          <w:lang w:val="pl-PL"/>
        </w:rPr>
        <w:t>.</w:t>
      </w:r>
      <w:r w:rsidR="009F3BFE">
        <w:rPr>
          <w:lang w:val="pl-PL"/>
        </w:rPr>
        <w:t xml:space="preserve"> </w:t>
      </w:r>
      <w:r w:rsidRPr="003D74F3">
        <w:rPr>
          <w:lang w:val="pl-PL"/>
        </w:rPr>
        <w:t>Skarżący odpowiadają, że wszyscy oni zamieszkują lub zamieszkiwali w mieście Tarent lub w sąsiednich gminach i</w:t>
      </w:r>
      <w:r w:rsidR="009F3BFE">
        <w:rPr>
          <w:lang w:val="pl-PL"/>
        </w:rPr>
        <w:t xml:space="preserve"> </w:t>
      </w:r>
      <w:r w:rsidRPr="003D74F3">
        <w:rPr>
          <w:lang w:val="pl-PL"/>
        </w:rPr>
        <w:t>że</w:t>
      </w:r>
      <w:r w:rsidR="009F3BFE">
        <w:rPr>
          <w:lang w:val="pl-PL"/>
        </w:rPr>
        <w:t xml:space="preserve"> </w:t>
      </w:r>
      <w:r w:rsidRPr="003D74F3">
        <w:rPr>
          <w:lang w:val="pl-PL"/>
        </w:rPr>
        <w:t>zanieczyszczenie tych miast szkodliwymi emisjami z zakładu Ilva jest pewnikiem uznanym przez władze publiczne. Ponadto niektórzy z nich przedstawili zaświadczenia lekarskie potwierdzające choroby, na które zapadli oni sami lub ich bliscy.</w:t>
      </w:r>
    </w:p>
    <w:p w14:paraId="6F24D65E" w14:textId="77777777" w:rsidR="00EE4B82" w:rsidRPr="003D74F3" w:rsidRDefault="00EE4B82" w:rsidP="00ED40FA">
      <w:pPr>
        <w:pStyle w:val="ECHRHeading4"/>
        <w:rPr>
          <w:lang w:val="pl-PL"/>
        </w:rPr>
      </w:pPr>
      <w:r w:rsidRPr="003D74F3">
        <w:rPr>
          <w:lang w:val="pl-PL"/>
        </w:rPr>
        <w:t>c)</w:t>
      </w:r>
      <w:r w:rsidR="009F3BFE">
        <w:rPr>
          <w:lang w:val="pl-PL"/>
        </w:rPr>
        <w:t xml:space="preserve"> </w:t>
      </w:r>
      <w:r w:rsidRPr="003D74F3">
        <w:rPr>
          <w:lang w:val="pl-PL"/>
        </w:rPr>
        <w:t>Ocena Trybunału</w:t>
      </w:r>
    </w:p>
    <w:p w14:paraId="7340C284" w14:textId="6B0CC250" w:rsidR="00EE4B82" w:rsidRPr="003D74F3" w:rsidRDefault="00EE4B82" w:rsidP="00ED40FA">
      <w:pPr>
        <w:pStyle w:val="ECHRPara"/>
        <w:rPr>
          <w:lang w:val="pl-PL"/>
        </w:rPr>
      </w:pPr>
      <w:r w:rsidRPr="003D74F3">
        <w:rPr>
          <w:noProof/>
          <w:lang w:val="pl-PL"/>
        </w:rPr>
        <w:t>100</w:t>
      </w:r>
      <w:r w:rsidRPr="003D74F3">
        <w:rPr>
          <w:lang w:val="pl-PL"/>
        </w:rPr>
        <w:t>.</w:t>
      </w:r>
      <w:r w:rsidR="009F3BFE">
        <w:rPr>
          <w:lang w:val="pl-PL"/>
        </w:rPr>
        <w:t xml:space="preserve"> </w:t>
      </w:r>
      <w:r w:rsidRPr="003D74F3">
        <w:rPr>
          <w:lang w:val="pl-PL"/>
        </w:rPr>
        <w:t>Trybunał przypomina, że mechanizm kontrolny Konwencji nie</w:t>
      </w:r>
      <w:r w:rsidR="00F13BAC">
        <w:rPr>
          <w:lang w:val="pl-PL"/>
        </w:rPr>
        <w:t> </w:t>
      </w:r>
      <w:r w:rsidRPr="003D74F3">
        <w:rPr>
          <w:lang w:val="pl-PL"/>
        </w:rPr>
        <w:t xml:space="preserve">dopuszcza </w:t>
      </w:r>
      <w:r w:rsidRPr="003D74F3">
        <w:rPr>
          <w:i/>
          <w:iCs/>
          <w:lang w:val="pl-PL"/>
        </w:rPr>
        <w:t>actio popularis</w:t>
      </w:r>
      <w:r w:rsidRPr="003D74F3">
        <w:rPr>
          <w:lang w:val="pl-PL"/>
        </w:rPr>
        <w:t xml:space="preserve"> (</w:t>
      </w:r>
      <w:r w:rsidRPr="003D74F3">
        <w:rPr>
          <w:i/>
          <w:iCs/>
          <w:lang w:val="pl-PL"/>
        </w:rPr>
        <w:t xml:space="preserve">Perez p. Francji </w:t>
      </w:r>
      <w:r w:rsidRPr="003D74F3">
        <w:rPr>
          <w:lang w:val="pl-PL"/>
        </w:rPr>
        <w:t>[WI], skarga nr 47287/99, §</w:t>
      </w:r>
      <w:r w:rsidR="00F13BAC">
        <w:rPr>
          <w:lang w:val="pl-PL"/>
        </w:rPr>
        <w:t> </w:t>
      </w:r>
      <w:r w:rsidRPr="003D74F3">
        <w:rPr>
          <w:lang w:val="pl-PL"/>
        </w:rPr>
        <w:t xml:space="preserve">70, </w:t>
      </w:r>
      <w:r w:rsidR="009F3BFE">
        <w:rPr>
          <w:lang w:val="pl-PL"/>
        </w:rPr>
        <w:t>ETPC</w:t>
      </w:r>
      <w:r w:rsidRPr="003D74F3">
        <w:rPr>
          <w:lang w:val="pl-PL"/>
        </w:rPr>
        <w:t xml:space="preserve"> 2004-I, oraz</w:t>
      </w:r>
      <w:r w:rsidRPr="003D74F3">
        <w:rPr>
          <w:i/>
          <w:iCs/>
          <w:lang w:val="pl-PL"/>
        </w:rPr>
        <w:t xml:space="preserve"> Di Sarno i Inni p. Włochom,</w:t>
      </w:r>
      <w:r w:rsidRPr="003D74F3">
        <w:rPr>
          <w:lang w:val="pl-PL"/>
        </w:rPr>
        <w:t xml:space="preserve"> skarga nr 30765/08, §</w:t>
      </w:r>
      <w:r w:rsidR="00F13BAC">
        <w:rPr>
          <w:lang w:val="pl-PL"/>
        </w:rPr>
        <w:t> </w:t>
      </w:r>
      <w:r w:rsidRPr="003D74F3">
        <w:rPr>
          <w:lang w:val="pl-PL"/>
        </w:rPr>
        <w:t>80, 10 stycznia 2012 r.). Ponadto ani art. 8, ani żadne inne postanowienie Konwencji nie gwarantuje w sposób wyraźny ogólne</w:t>
      </w:r>
      <w:r w:rsidR="00322474">
        <w:rPr>
          <w:lang w:val="pl-PL"/>
        </w:rPr>
        <w:t>j ochrony środowiska jako takiego</w:t>
      </w:r>
      <w:r w:rsidRPr="003D74F3">
        <w:rPr>
          <w:lang w:val="pl-PL"/>
        </w:rPr>
        <w:t xml:space="preserve"> (</w:t>
      </w:r>
      <w:r w:rsidRPr="003D74F3">
        <w:rPr>
          <w:i/>
          <w:iCs/>
          <w:lang w:val="pl-PL"/>
        </w:rPr>
        <w:t>Kyrtatos p. Grecji</w:t>
      </w:r>
      <w:r w:rsidRPr="003D74F3">
        <w:rPr>
          <w:lang w:val="pl-PL"/>
        </w:rPr>
        <w:t>,</w:t>
      </w:r>
      <w:r w:rsidRPr="003D74F3">
        <w:rPr>
          <w:i/>
          <w:iCs/>
          <w:lang w:val="pl-PL"/>
        </w:rPr>
        <w:t xml:space="preserve"> </w:t>
      </w:r>
      <w:r w:rsidRPr="003D74F3">
        <w:rPr>
          <w:lang w:val="pl-PL"/>
        </w:rPr>
        <w:t xml:space="preserve">skarga nr 41666/98, § 52, </w:t>
      </w:r>
      <w:r w:rsidR="009F3BFE">
        <w:rPr>
          <w:lang w:val="pl-PL"/>
        </w:rPr>
        <w:t>ETPC</w:t>
      </w:r>
      <w:r w:rsidRPr="003D74F3">
        <w:rPr>
          <w:lang w:val="pl-PL"/>
        </w:rPr>
        <w:t xml:space="preserve"> 2003</w:t>
      </w:r>
      <w:r w:rsidRPr="003D74F3">
        <w:rPr>
          <w:lang w:val="pl-PL"/>
        </w:rPr>
        <w:noBreakHyphen/>
        <w:t>VI (fragmenty)).</w:t>
      </w:r>
    </w:p>
    <w:p w14:paraId="16733139" w14:textId="5BA463BB" w:rsidR="00EE4B82" w:rsidRPr="003D74F3" w:rsidRDefault="00EE4B82" w:rsidP="00ED40FA">
      <w:pPr>
        <w:pStyle w:val="ECHRPara"/>
        <w:rPr>
          <w:lang w:val="pl-PL"/>
        </w:rPr>
      </w:pPr>
      <w:r w:rsidRPr="003D74F3">
        <w:rPr>
          <w:noProof/>
          <w:lang w:val="pl-PL"/>
        </w:rPr>
        <w:t>101</w:t>
      </w:r>
      <w:r w:rsidRPr="003D74F3">
        <w:rPr>
          <w:lang w:val="pl-PL"/>
        </w:rPr>
        <w:t>.</w:t>
      </w:r>
      <w:r w:rsidR="009F3BFE">
        <w:rPr>
          <w:lang w:val="pl-PL"/>
        </w:rPr>
        <w:t xml:space="preserve"> </w:t>
      </w:r>
      <w:r w:rsidRPr="003D74F3">
        <w:rPr>
          <w:lang w:val="pl-PL"/>
        </w:rPr>
        <w:t>Zgodnie z orzecznictwem Trybunału, kluczowym elementem dla</w:t>
      </w:r>
      <w:r w:rsidR="00F13BAC">
        <w:rPr>
          <w:lang w:val="pl-PL"/>
        </w:rPr>
        <w:t> </w:t>
      </w:r>
      <w:r w:rsidRPr="003D74F3">
        <w:rPr>
          <w:lang w:val="pl-PL"/>
        </w:rPr>
        <w:t>ustalenia, czy w okolicznościach danej sprawy szkody w środowisku doprowadziły do naruszenia jednego z praw gwarantowanych przez art.</w:t>
      </w:r>
      <w:r w:rsidR="009F3BFE">
        <w:rPr>
          <w:lang w:val="pl-PL"/>
        </w:rPr>
        <w:t xml:space="preserve"> </w:t>
      </w:r>
      <w:r w:rsidRPr="003D74F3">
        <w:rPr>
          <w:lang w:val="pl-PL"/>
        </w:rPr>
        <w:t>8</w:t>
      </w:r>
      <w:r w:rsidR="009F3BFE">
        <w:rPr>
          <w:lang w:val="pl-PL"/>
        </w:rPr>
        <w:t xml:space="preserve"> </w:t>
      </w:r>
      <w:r w:rsidRPr="003D74F3">
        <w:rPr>
          <w:lang w:val="pl-PL"/>
        </w:rPr>
        <w:t>ust.</w:t>
      </w:r>
      <w:r w:rsidR="00F13BAC">
        <w:rPr>
          <w:lang w:val="pl-PL"/>
        </w:rPr>
        <w:t> </w:t>
      </w:r>
      <w:r w:rsidRPr="003D74F3">
        <w:rPr>
          <w:lang w:val="pl-PL"/>
        </w:rPr>
        <w:t>1, jest istnienie negatywnego wpływu na sferę prywatną lub rodzinną danej osoby, a nie tylko ogólna degradacja środowiska (</w:t>
      </w:r>
      <w:r w:rsidRPr="003D74F3">
        <w:rPr>
          <w:i/>
          <w:iCs/>
          <w:lang w:val="pl-PL"/>
        </w:rPr>
        <w:t>Fadeïeva p. Rosji</w:t>
      </w:r>
      <w:r w:rsidRPr="003D74F3">
        <w:rPr>
          <w:lang w:val="pl-PL"/>
        </w:rPr>
        <w:t xml:space="preserve">, skarga nr 55723/00, § 88, </w:t>
      </w:r>
      <w:r w:rsidR="009F3BFE">
        <w:rPr>
          <w:lang w:val="pl-PL"/>
        </w:rPr>
        <w:t xml:space="preserve">ETPC </w:t>
      </w:r>
      <w:r w:rsidRPr="003D74F3">
        <w:rPr>
          <w:lang w:val="pl-PL"/>
        </w:rPr>
        <w:t>2005</w:t>
      </w:r>
      <w:r w:rsidRPr="003D74F3">
        <w:rPr>
          <w:lang w:val="pl-PL"/>
        </w:rPr>
        <w:noBreakHyphen/>
        <w:t>IV).</w:t>
      </w:r>
    </w:p>
    <w:p w14:paraId="5C342781" w14:textId="4C92D580" w:rsidR="00EE4B82" w:rsidRPr="003D74F3" w:rsidRDefault="00EE4B82" w:rsidP="00ED40FA">
      <w:pPr>
        <w:pStyle w:val="ECHRPara"/>
        <w:rPr>
          <w:lang w:val="pl-PL"/>
        </w:rPr>
      </w:pPr>
      <w:r w:rsidRPr="003D74F3">
        <w:rPr>
          <w:noProof/>
          <w:lang w:val="pl-PL"/>
        </w:rPr>
        <w:t>102</w:t>
      </w:r>
      <w:r w:rsidRPr="003D74F3">
        <w:rPr>
          <w:lang w:val="pl-PL"/>
        </w:rPr>
        <w:t>.</w:t>
      </w:r>
      <w:r w:rsidR="009F3BFE">
        <w:rPr>
          <w:lang w:val="pl-PL"/>
        </w:rPr>
        <w:t xml:space="preserve"> </w:t>
      </w:r>
      <w:r w:rsidRPr="003D74F3">
        <w:rPr>
          <w:lang w:val="pl-PL"/>
        </w:rPr>
        <w:t>W niniejszej sprawie Trybunał stwierdza, że skarżący podnoszą szkodę wynikającą ze szkodliwych emisji z zakładu Ilva w Tarencie. Gminy dotknięte tymi emisjami zostały określone na posiedzeniu Rady Ministrów w</w:t>
      </w:r>
      <w:r w:rsidR="00F13BAC">
        <w:rPr>
          <w:lang w:val="pl-PL"/>
        </w:rPr>
        <w:t> </w:t>
      </w:r>
      <w:r w:rsidRPr="003D74F3">
        <w:rPr>
          <w:lang w:val="pl-PL"/>
        </w:rPr>
        <w:t xml:space="preserve">dniu 30 listopada 1990 r.: są to miasta Taranto, Crispiano, Massafra, Montemesola i Statte, które zostały sklasyfikowane jako „obszary wysokiego </w:t>
      </w:r>
      <w:r w:rsidRPr="003D74F3">
        <w:rPr>
          <w:lang w:val="pl-PL"/>
        </w:rPr>
        <w:lastRenderedPageBreak/>
        <w:t>ryzyka środowiskowego”. Ponadto dekretem Ministerstwa Środowiska z dnia 10 stycznia 2000 r. do SIN włączono gminy Tarent i</w:t>
      </w:r>
      <w:r w:rsidR="009F3BFE">
        <w:rPr>
          <w:lang w:val="pl-PL"/>
        </w:rPr>
        <w:t xml:space="preserve"> </w:t>
      </w:r>
      <w:r w:rsidRPr="003D74F3">
        <w:rPr>
          <w:lang w:val="pl-PL"/>
        </w:rPr>
        <w:t xml:space="preserve">Statte (paragraf </w:t>
      </w:r>
      <w:r w:rsidRPr="003D74F3">
        <w:rPr>
          <w:noProof/>
          <w:lang w:val="pl-PL"/>
        </w:rPr>
        <w:t>34</w:t>
      </w:r>
      <w:r w:rsidRPr="003D74F3">
        <w:rPr>
          <w:lang w:val="pl-PL"/>
        </w:rPr>
        <w:t xml:space="preserve"> powyżej).</w:t>
      </w:r>
    </w:p>
    <w:p w14:paraId="57DC6ADC" w14:textId="77777777" w:rsidR="00EE4B82" w:rsidRPr="003D74F3" w:rsidRDefault="00EE4B82" w:rsidP="00ED40FA">
      <w:pPr>
        <w:pStyle w:val="ECHRPara"/>
        <w:rPr>
          <w:lang w:val="pl-PL"/>
        </w:rPr>
      </w:pPr>
      <w:bookmarkStart w:id="1" w:name="IRR"/>
      <w:bookmarkStart w:id="2" w:name="résidence"/>
      <w:r w:rsidRPr="003D74F3">
        <w:rPr>
          <w:noProof/>
          <w:lang w:val="pl-PL"/>
        </w:rPr>
        <w:t>103</w:t>
      </w:r>
      <w:bookmarkEnd w:id="1"/>
      <w:bookmarkEnd w:id="2"/>
      <w:r w:rsidRPr="003D74F3">
        <w:rPr>
          <w:lang w:val="pl-PL"/>
        </w:rPr>
        <w:t>.</w:t>
      </w:r>
      <w:r w:rsidR="009F3BFE">
        <w:rPr>
          <w:lang w:val="pl-PL"/>
        </w:rPr>
        <w:t xml:space="preserve"> </w:t>
      </w:r>
      <w:r w:rsidRPr="003D74F3">
        <w:rPr>
          <w:lang w:val="pl-PL"/>
        </w:rPr>
        <w:t>Ponieważ obszar bezpośrednio dotknięty uciążliwościami</w:t>
      </w:r>
      <w:r w:rsidR="00D00163">
        <w:rPr>
          <w:lang w:val="pl-PL"/>
        </w:rPr>
        <w:t xml:space="preserve"> powodowanymi</w:t>
      </w:r>
      <w:r w:rsidRPr="003D74F3">
        <w:rPr>
          <w:lang w:val="pl-PL"/>
        </w:rPr>
        <w:t xml:space="preserve"> przez przedsiębiorstwo Ilva został w ten sposób określony za pomocą środków </w:t>
      </w:r>
      <w:r w:rsidR="00D00163">
        <w:rPr>
          <w:lang w:val="pl-PL"/>
        </w:rPr>
        <w:t>krajowych, Trybunał stwierdza</w:t>
      </w:r>
      <w:r w:rsidRPr="003D74F3">
        <w:rPr>
          <w:lang w:val="pl-PL"/>
        </w:rPr>
        <w:t>, że dziewiętnastu skarżących zamieszkuje w gminach innych niż Tarent, Crispiano, Massafra, Montemesola i Statte</w:t>
      </w:r>
      <w:r>
        <w:rPr>
          <w:rStyle w:val="Odwoanieprzypisudolnego"/>
        </w:rPr>
        <w:footnoteReference w:id="3"/>
      </w:r>
      <w:r w:rsidRPr="003D74F3">
        <w:rPr>
          <w:lang w:val="pl-PL"/>
        </w:rPr>
        <w:t xml:space="preserve"> oraz że skarżący ci nie przedstawili żadnych dowodów mogących zakwestionować zasięg tego obszaru.</w:t>
      </w:r>
    </w:p>
    <w:p w14:paraId="3DFC6273" w14:textId="26BC5432" w:rsidR="00EE4B82" w:rsidRPr="003D74F3" w:rsidRDefault="00EE4B82" w:rsidP="00ED40FA">
      <w:pPr>
        <w:pStyle w:val="ECHRPara"/>
        <w:rPr>
          <w:lang w:val="pl-PL"/>
        </w:rPr>
      </w:pPr>
      <w:r w:rsidRPr="003D74F3">
        <w:rPr>
          <w:noProof/>
          <w:lang w:val="pl-PL"/>
        </w:rPr>
        <w:t>104</w:t>
      </w:r>
      <w:r w:rsidRPr="003D74F3">
        <w:rPr>
          <w:lang w:val="pl-PL"/>
        </w:rPr>
        <w:t>.</w:t>
      </w:r>
      <w:r w:rsidR="009F3BFE">
        <w:rPr>
          <w:lang w:val="pl-PL"/>
        </w:rPr>
        <w:t xml:space="preserve"> </w:t>
      </w:r>
      <w:r w:rsidRPr="003D74F3">
        <w:rPr>
          <w:lang w:val="pl-PL"/>
        </w:rPr>
        <w:t>W odniesieniu do pozostałych skarżących Trybunał przypom</w:t>
      </w:r>
      <w:r w:rsidR="00D00163">
        <w:rPr>
          <w:lang w:val="pl-PL"/>
        </w:rPr>
        <w:t>ina</w:t>
      </w:r>
      <w:r w:rsidRPr="003D74F3">
        <w:rPr>
          <w:lang w:val="pl-PL"/>
        </w:rPr>
        <w:t>, że</w:t>
      </w:r>
      <w:r w:rsidR="00F13BAC">
        <w:rPr>
          <w:lang w:val="pl-PL"/>
        </w:rPr>
        <w:t> </w:t>
      </w:r>
      <w:r w:rsidRPr="003D74F3">
        <w:rPr>
          <w:lang w:val="pl-PL"/>
        </w:rPr>
        <w:t xml:space="preserve">zanieczyszczenie </w:t>
      </w:r>
      <w:r w:rsidR="00D00163">
        <w:rPr>
          <w:lang w:val="pl-PL"/>
        </w:rPr>
        <w:t>danego obszaru</w:t>
      </w:r>
      <w:r w:rsidRPr="003D74F3">
        <w:rPr>
          <w:lang w:val="pl-PL"/>
        </w:rPr>
        <w:t xml:space="preserve"> staje się potencjalnie niebezpieczne dla</w:t>
      </w:r>
      <w:r w:rsidR="00F13BAC">
        <w:rPr>
          <w:lang w:val="pl-PL"/>
        </w:rPr>
        <w:t> </w:t>
      </w:r>
      <w:r w:rsidRPr="003D74F3">
        <w:rPr>
          <w:lang w:val="pl-PL"/>
        </w:rPr>
        <w:t>zdrowia i samopoczucia osób na nie narażonych. Jest to w każdym razie domniemanie, które w danym przypadku może nie być prawdziwe.</w:t>
      </w:r>
    </w:p>
    <w:p w14:paraId="1659982B" w14:textId="77777777" w:rsidR="00EE4B82" w:rsidRPr="003D74F3" w:rsidRDefault="00EE4B82" w:rsidP="00ED40FA">
      <w:pPr>
        <w:pStyle w:val="ECHRPara"/>
        <w:rPr>
          <w:lang w:val="pl-PL"/>
        </w:rPr>
      </w:pPr>
      <w:r w:rsidRPr="003D74F3">
        <w:rPr>
          <w:noProof/>
          <w:lang w:val="pl-PL"/>
        </w:rPr>
        <w:t>105</w:t>
      </w:r>
      <w:r w:rsidRPr="003D74F3">
        <w:rPr>
          <w:lang w:val="pl-PL"/>
        </w:rPr>
        <w:t>.</w:t>
      </w:r>
      <w:r w:rsidR="009F3BFE">
        <w:rPr>
          <w:lang w:val="pl-PL"/>
        </w:rPr>
        <w:t xml:space="preserve"> </w:t>
      </w:r>
      <w:r w:rsidRPr="003D74F3">
        <w:rPr>
          <w:lang w:val="pl-PL"/>
        </w:rPr>
        <w:t>Niemniej z dowodów przedstawionych Trybunałowi w niniejszej sprawie wynika, że zanieczyszczenie w sposób nieunikniony zwiększyło podatność narażonych na nie osób na różne choroby.</w:t>
      </w:r>
    </w:p>
    <w:p w14:paraId="062F5A8E" w14:textId="13B10314" w:rsidR="00EE4B82" w:rsidRPr="003D74F3" w:rsidRDefault="00EE4B82" w:rsidP="00ED40FA">
      <w:pPr>
        <w:pStyle w:val="ECHRPara"/>
        <w:rPr>
          <w:lang w:val="pl-PL"/>
        </w:rPr>
      </w:pPr>
      <w:r w:rsidRPr="003D74F3">
        <w:rPr>
          <w:noProof/>
          <w:lang w:val="pl-PL"/>
        </w:rPr>
        <w:t>106</w:t>
      </w:r>
      <w:r w:rsidRPr="003D74F3">
        <w:rPr>
          <w:lang w:val="pl-PL"/>
        </w:rPr>
        <w:t>.</w:t>
      </w:r>
      <w:r w:rsidR="009F3BFE">
        <w:rPr>
          <w:lang w:val="pl-PL"/>
        </w:rPr>
        <w:t xml:space="preserve"> </w:t>
      </w:r>
      <w:r w:rsidRPr="003D74F3">
        <w:rPr>
          <w:lang w:val="pl-PL"/>
        </w:rPr>
        <w:t>Liczne raporty i badania naukowe, którymi dysponuje Trybunał (zob.</w:t>
      </w:r>
      <w:r w:rsidR="00F13BAC">
        <w:rPr>
          <w:lang w:val="pl-PL"/>
        </w:rPr>
        <w:t> </w:t>
      </w:r>
      <w:r w:rsidRPr="003D74F3">
        <w:rPr>
          <w:lang w:val="pl-PL"/>
        </w:rPr>
        <w:t xml:space="preserve">w szczególności raport SENTIERI, paragraf </w:t>
      </w:r>
      <w:r w:rsidRPr="003D74F3">
        <w:rPr>
          <w:noProof/>
          <w:lang w:val="pl-PL"/>
        </w:rPr>
        <w:t>20</w:t>
      </w:r>
      <w:r w:rsidRPr="003D74F3">
        <w:rPr>
          <w:lang w:val="pl-PL"/>
        </w:rPr>
        <w:t xml:space="preserve"> i kolejne powyżej), poświadczają istnienie związku przyczynowego między działalnością produkcyjną przedsiębiorstwa Ilva z Tarentu a pogorszeniem sytuacji zdrowotnej, w szczególności w wyżej wymienionych gminach. Odnosząc się do najnowszych badań w tej dziedzinie, Trybunał odwołuje się również do</w:t>
      </w:r>
      <w:r w:rsidR="00F13BAC">
        <w:rPr>
          <w:lang w:val="pl-PL"/>
        </w:rPr>
        <w:t> </w:t>
      </w:r>
      <w:r w:rsidRPr="003D74F3">
        <w:rPr>
          <w:lang w:val="pl-PL"/>
        </w:rPr>
        <w:t>raportu ARPA z 2017 r., w którym powtórzono wspomniane wyżej stwierdzenie związku przyczynowego i poświadczono trwały charakter krytyczny sytuacji sanitarnej w strefie „wysokiego ryzyka środowiskowego” i w SIN w Tarenci</w:t>
      </w:r>
      <w:r>
        <w:rPr>
          <w:lang w:val="pl-PL"/>
        </w:rPr>
        <w:t>e, gdzie wskaźnik śmiertelności</w:t>
      </w:r>
      <w:r w:rsidR="009F3BFE">
        <w:rPr>
          <w:lang w:val="pl-PL"/>
        </w:rPr>
        <w:t xml:space="preserve"> </w:t>
      </w:r>
      <w:r w:rsidRPr="003D74F3">
        <w:rPr>
          <w:lang w:val="pl-PL"/>
        </w:rPr>
        <w:t xml:space="preserve">i hospitalizacji z powodu niektórych schorzeń onkologicznych, sercowo-naczyniowych, oddechowych i układu pokarmowego był wyższy niż średnia regionalna (paragraf </w:t>
      </w:r>
      <w:r w:rsidRPr="003D74F3">
        <w:rPr>
          <w:noProof/>
          <w:lang w:val="pl-PL"/>
        </w:rPr>
        <w:t>29</w:t>
      </w:r>
      <w:r w:rsidRPr="003D74F3">
        <w:rPr>
          <w:lang w:val="pl-PL"/>
        </w:rPr>
        <w:t xml:space="preserve"> powyżej).</w:t>
      </w:r>
    </w:p>
    <w:p w14:paraId="61B19E26" w14:textId="08CFC0E7" w:rsidR="00EE4B82" w:rsidRPr="003D74F3" w:rsidRDefault="00EE4B82" w:rsidP="00ED40FA">
      <w:pPr>
        <w:pStyle w:val="ECHRPara"/>
        <w:rPr>
          <w:lang w:val="pl-PL"/>
        </w:rPr>
      </w:pPr>
      <w:r w:rsidRPr="003D74F3">
        <w:rPr>
          <w:noProof/>
          <w:lang w:val="pl-PL"/>
        </w:rPr>
        <w:t>107</w:t>
      </w:r>
      <w:r w:rsidRPr="003D74F3">
        <w:rPr>
          <w:lang w:val="pl-PL"/>
        </w:rPr>
        <w:t>.</w:t>
      </w:r>
      <w:r w:rsidR="009F3BFE">
        <w:rPr>
          <w:lang w:val="pl-PL"/>
        </w:rPr>
        <w:t xml:space="preserve"> </w:t>
      </w:r>
      <w:r w:rsidRPr="003D74F3">
        <w:rPr>
          <w:lang w:val="pl-PL"/>
        </w:rPr>
        <w:t xml:space="preserve">Zanieczyszczenie to miało zatem niewątpliwie negatywny wpływ na dobrostan zainteresowanych skarżących (zob., </w:t>
      </w:r>
      <w:r w:rsidRPr="003D74F3">
        <w:rPr>
          <w:i/>
          <w:iCs/>
          <w:lang w:val="pl-PL"/>
        </w:rPr>
        <w:t>a contrario</w:t>
      </w:r>
      <w:r w:rsidRPr="003D74F3">
        <w:rPr>
          <w:lang w:val="pl-PL"/>
        </w:rPr>
        <w:t xml:space="preserve">, </w:t>
      </w:r>
      <w:r w:rsidRPr="003D74F3">
        <w:rPr>
          <w:i/>
          <w:iCs/>
          <w:lang w:val="pl-PL"/>
        </w:rPr>
        <w:t>Kyrtatos</w:t>
      </w:r>
      <w:r w:rsidRPr="003D74F3">
        <w:rPr>
          <w:lang w:val="pl-PL"/>
        </w:rPr>
        <w:t xml:space="preserve">, </w:t>
      </w:r>
      <w:r w:rsidRPr="003D74F3">
        <w:rPr>
          <w:i/>
          <w:iCs/>
          <w:lang w:val="pl-PL"/>
        </w:rPr>
        <w:t>op.</w:t>
      </w:r>
      <w:r w:rsidR="009F3BFE">
        <w:rPr>
          <w:i/>
          <w:iCs/>
          <w:lang w:val="pl-PL"/>
        </w:rPr>
        <w:t xml:space="preserve"> </w:t>
      </w:r>
      <w:r w:rsidRPr="003D74F3">
        <w:rPr>
          <w:i/>
          <w:iCs/>
          <w:lang w:val="pl-PL"/>
        </w:rPr>
        <w:t>cit.</w:t>
      </w:r>
      <w:r w:rsidRPr="003D74F3">
        <w:rPr>
          <w:lang w:val="pl-PL"/>
        </w:rPr>
        <w:t xml:space="preserve">, § 53, i zob., odpowiednio, </w:t>
      </w:r>
      <w:r w:rsidRPr="003D74F3">
        <w:rPr>
          <w:i/>
          <w:iCs/>
          <w:lang w:val="pl-PL"/>
        </w:rPr>
        <w:t>Fadeïeva</w:t>
      </w:r>
      <w:r w:rsidRPr="003D74F3">
        <w:rPr>
          <w:lang w:val="pl-PL"/>
        </w:rPr>
        <w:t xml:space="preserve">, </w:t>
      </w:r>
      <w:r w:rsidRPr="003D74F3">
        <w:rPr>
          <w:i/>
          <w:iCs/>
          <w:lang w:val="pl-PL"/>
        </w:rPr>
        <w:t>op.</w:t>
      </w:r>
      <w:r>
        <w:rPr>
          <w:i/>
          <w:iCs/>
          <w:lang w:val="pl-PL"/>
        </w:rPr>
        <w:t xml:space="preserve"> </w:t>
      </w:r>
      <w:r w:rsidRPr="003D74F3">
        <w:rPr>
          <w:i/>
          <w:iCs/>
          <w:lang w:val="pl-PL"/>
        </w:rPr>
        <w:t>cit.</w:t>
      </w:r>
      <w:r>
        <w:rPr>
          <w:lang w:val="pl-PL"/>
        </w:rPr>
        <w:t>, §§</w:t>
      </w:r>
      <w:r w:rsidR="009F3BFE">
        <w:rPr>
          <w:lang w:val="pl-PL"/>
        </w:rPr>
        <w:t xml:space="preserve"> </w:t>
      </w:r>
      <w:r>
        <w:rPr>
          <w:lang w:val="pl-PL"/>
        </w:rPr>
        <w:t>87</w:t>
      </w:r>
      <w:r w:rsidRPr="006E44F7">
        <w:rPr>
          <w:rStyle w:val="acopre"/>
          <w:lang w:val="pl-PL"/>
        </w:rPr>
        <w:t>–</w:t>
      </w:r>
      <w:r w:rsidRPr="003D74F3">
        <w:rPr>
          <w:lang w:val="pl-PL"/>
        </w:rPr>
        <w:t xml:space="preserve">88 oraz </w:t>
      </w:r>
      <w:r w:rsidRPr="003D74F3">
        <w:rPr>
          <w:i/>
          <w:iCs/>
          <w:lang w:val="pl-PL"/>
        </w:rPr>
        <w:t>Di Sarno</w:t>
      </w:r>
      <w:r w:rsidRPr="003D74F3">
        <w:rPr>
          <w:lang w:val="pl-PL"/>
        </w:rPr>
        <w:t xml:space="preserve">, </w:t>
      </w:r>
      <w:r w:rsidRPr="003D74F3">
        <w:rPr>
          <w:i/>
          <w:iCs/>
          <w:lang w:val="pl-PL"/>
        </w:rPr>
        <w:t>op.</w:t>
      </w:r>
      <w:r w:rsidR="00F13BAC">
        <w:rPr>
          <w:i/>
          <w:iCs/>
          <w:lang w:val="pl-PL"/>
        </w:rPr>
        <w:t> </w:t>
      </w:r>
      <w:r w:rsidRPr="003D74F3">
        <w:rPr>
          <w:i/>
          <w:iCs/>
          <w:lang w:val="pl-PL"/>
        </w:rPr>
        <w:t>cit.</w:t>
      </w:r>
      <w:r w:rsidRPr="003D74F3">
        <w:rPr>
          <w:lang w:val="pl-PL"/>
        </w:rPr>
        <w:t>, § 81).</w:t>
      </w:r>
    </w:p>
    <w:p w14:paraId="760D0A38" w14:textId="77777777" w:rsidR="00EE4B82" w:rsidRPr="003D74F3" w:rsidRDefault="00EE4B82" w:rsidP="00ED40FA">
      <w:pPr>
        <w:pStyle w:val="ECHRPara"/>
        <w:rPr>
          <w:lang w:val="pl-PL"/>
        </w:rPr>
      </w:pPr>
      <w:r w:rsidRPr="003D74F3">
        <w:rPr>
          <w:noProof/>
          <w:lang w:val="pl-PL"/>
        </w:rPr>
        <w:t>108</w:t>
      </w:r>
      <w:r w:rsidRPr="003D74F3">
        <w:rPr>
          <w:lang w:val="pl-PL"/>
        </w:rPr>
        <w:t>.</w:t>
      </w:r>
      <w:r w:rsidR="009F3BFE">
        <w:rPr>
          <w:lang w:val="pl-PL"/>
        </w:rPr>
        <w:t xml:space="preserve"> </w:t>
      </w:r>
      <w:r w:rsidRPr="003D74F3">
        <w:rPr>
          <w:lang w:val="pl-PL"/>
        </w:rPr>
        <w:t xml:space="preserve">Z drugiej strony skarżący wymienieni w powyższym paragrafie </w:t>
      </w:r>
      <w:r w:rsidRPr="003D74F3">
        <w:rPr>
          <w:noProof/>
          <w:lang w:val="pl-PL"/>
        </w:rPr>
        <w:t>103</w:t>
      </w:r>
      <w:r w:rsidRPr="003D74F3">
        <w:rPr>
          <w:lang w:val="pl-PL"/>
        </w:rPr>
        <w:t xml:space="preserve"> nie wykazali, że sytuacja, której dotyczy skarga, dotknęła ich osobiście. Trybunał przyjmuje zatem zastrzeżenie Rządu w tym względzie w zakresie, w jakim odnosi się ono do tych skarżących.</w:t>
      </w:r>
    </w:p>
    <w:p w14:paraId="6D4DEE31" w14:textId="25281EF5" w:rsidR="00EE4B82" w:rsidRPr="003D74F3" w:rsidRDefault="00EE4B82" w:rsidP="00ED40FA">
      <w:pPr>
        <w:pStyle w:val="ECHRPara"/>
        <w:rPr>
          <w:lang w:val="pl-PL"/>
        </w:rPr>
      </w:pPr>
      <w:r w:rsidRPr="003D74F3">
        <w:rPr>
          <w:noProof/>
          <w:lang w:val="pl-PL"/>
        </w:rPr>
        <w:t>109</w:t>
      </w:r>
      <w:r w:rsidRPr="003D74F3">
        <w:rPr>
          <w:lang w:val="pl-PL"/>
        </w:rPr>
        <w:t>.</w:t>
      </w:r>
      <w:r w:rsidR="009F3BFE">
        <w:rPr>
          <w:lang w:val="pl-PL"/>
        </w:rPr>
        <w:t xml:space="preserve"> </w:t>
      </w:r>
      <w:r w:rsidRPr="003D74F3">
        <w:rPr>
          <w:lang w:val="pl-PL"/>
        </w:rPr>
        <w:t>Trybunał uważa, że należy oddalić zastrzeżenie pozwanego Rządu w</w:t>
      </w:r>
      <w:r w:rsidR="00F13BAC">
        <w:rPr>
          <w:lang w:val="pl-PL"/>
        </w:rPr>
        <w:t> </w:t>
      </w:r>
      <w:r w:rsidRPr="003D74F3">
        <w:rPr>
          <w:lang w:val="pl-PL"/>
        </w:rPr>
        <w:t>odniesieniu do pozostałych skarżących.</w:t>
      </w:r>
    </w:p>
    <w:p w14:paraId="61B7C4B6" w14:textId="77777777" w:rsidR="00EE4B82" w:rsidRPr="003D74F3" w:rsidRDefault="00EE4B82" w:rsidP="00ED40FA">
      <w:pPr>
        <w:pStyle w:val="ECHRHeading3"/>
        <w:rPr>
          <w:lang w:val="pl-PL"/>
        </w:rPr>
      </w:pPr>
      <w:r w:rsidRPr="003D74F3">
        <w:rPr>
          <w:lang w:val="pl-PL"/>
        </w:rPr>
        <w:lastRenderedPageBreak/>
        <w:t>2.</w:t>
      </w:r>
      <w:r w:rsidR="009F3BFE">
        <w:rPr>
          <w:lang w:val="pl-PL"/>
        </w:rPr>
        <w:t xml:space="preserve"> </w:t>
      </w:r>
      <w:r w:rsidRPr="003D74F3">
        <w:rPr>
          <w:lang w:val="pl-PL"/>
        </w:rPr>
        <w:t>W przedmiocie niewyczerpania krajowych środków odwoławczych</w:t>
      </w:r>
    </w:p>
    <w:p w14:paraId="62025E25" w14:textId="77777777" w:rsidR="00EE4B82" w:rsidRPr="003D74F3" w:rsidRDefault="00EE4B82" w:rsidP="00ED40FA">
      <w:pPr>
        <w:pStyle w:val="ECHRHeading4"/>
        <w:rPr>
          <w:lang w:val="pl-PL"/>
        </w:rPr>
      </w:pPr>
      <w:r w:rsidRPr="003D74F3">
        <w:rPr>
          <w:lang w:val="pl-PL"/>
        </w:rPr>
        <w:t>a)</w:t>
      </w:r>
      <w:r w:rsidR="009F3BFE">
        <w:rPr>
          <w:lang w:val="pl-PL"/>
        </w:rPr>
        <w:t xml:space="preserve"> </w:t>
      </w:r>
      <w:r w:rsidRPr="003D74F3">
        <w:rPr>
          <w:lang w:val="pl-PL"/>
        </w:rPr>
        <w:t>Stanowisko Rządu</w:t>
      </w:r>
      <w:bookmarkStart w:id="3" w:name="NEX"/>
    </w:p>
    <w:p w14:paraId="0FE29E17" w14:textId="0F3869F5" w:rsidR="00EE4B82" w:rsidRPr="003D74F3" w:rsidRDefault="00EE4B82" w:rsidP="00ED40FA">
      <w:pPr>
        <w:pStyle w:val="ECHRPara"/>
        <w:rPr>
          <w:lang w:val="pl-PL"/>
        </w:rPr>
      </w:pPr>
      <w:r w:rsidRPr="003D74F3">
        <w:rPr>
          <w:noProof/>
          <w:lang w:val="pl-PL"/>
        </w:rPr>
        <w:t>110</w:t>
      </w:r>
      <w:bookmarkEnd w:id="3"/>
      <w:r w:rsidRPr="003D74F3">
        <w:rPr>
          <w:lang w:val="pl-PL"/>
        </w:rPr>
        <w:t>.</w:t>
      </w:r>
      <w:r w:rsidR="009F3BFE">
        <w:rPr>
          <w:lang w:val="pl-PL"/>
        </w:rPr>
        <w:t xml:space="preserve"> </w:t>
      </w:r>
      <w:r w:rsidRPr="003D74F3">
        <w:rPr>
          <w:lang w:val="pl-PL"/>
        </w:rPr>
        <w:t>Zdaniem Rządu skarżący mogli wszcząć postępowanie karne (m.in.</w:t>
      </w:r>
      <w:r w:rsidR="00F13BAC">
        <w:rPr>
          <w:lang w:val="pl-PL"/>
        </w:rPr>
        <w:t> </w:t>
      </w:r>
      <w:r w:rsidRPr="003D74F3">
        <w:rPr>
          <w:lang w:val="pl-PL"/>
        </w:rPr>
        <w:t xml:space="preserve">w sprawie katastrofy ekologicznej, na podstawie art. 452 </w:t>
      </w:r>
      <w:r w:rsidRPr="003D74F3">
        <w:rPr>
          <w:i/>
          <w:iCs/>
          <w:lang w:val="pl-PL"/>
        </w:rPr>
        <w:t xml:space="preserve">quater </w:t>
      </w:r>
      <w:r w:rsidR="009F3BFE" w:rsidRPr="003D74F3">
        <w:rPr>
          <w:lang w:val="pl-PL"/>
        </w:rPr>
        <w:t xml:space="preserve">Kodeksu </w:t>
      </w:r>
      <w:r w:rsidRPr="003D74F3">
        <w:rPr>
          <w:lang w:val="pl-PL"/>
        </w:rPr>
        <w:t>karnego), a następnie wnieść powództwo cywilne.</w:t>
      </w:r>
    </w:p>
    <w:p w14:paraId="03D79A5F" w14:textId="77777777" w:rsidR="00EE4B82" w:rsidRPr="003D74F3" w:rsidRDefault="00EE4B82" w:rsidP="00ED40FA">
      <w:pPr>
        <w:pStyle w:val="ECHRPara"/>
        <w:rPr>
          <w:lang w:val="pl-PL"/>
        </w:rPr>
      </w:pPr>
      <w:r w:rsidRPr="003D74F3">
        <w:rPr>
          <w:noProof/>
          <w:lang w:val="pl-PL"/>
        </w:rPr>
        <w:t>111</w:t>
      </w:r>
      <w:r w:rsidRPr="003D74F3">
        <w:rPr>
          <w:lang w:val="pl-PL"/>
        </w:rPr>
        <w:t>.</w:t>
      </w:r>
      <w:r w:rsidR="009F3BFE">
        <w:rPr>
          <w:lang w:val="pl-PL"/>
        </w:rPr>
        <w:t xml:space="preserve"> </w:t>
      </w:r>
      <w:r w:rsidRPr="003D74F3">
        <w:rPr>
          <w:lang w:val="pl-PL"/>
        </w:rPr>
        <w:t>Rząd odnosi się następnie do dwóch toczących się postępowań karnych przeciwko dyrektorom spółki Ilva, stwierdz</w:t>
      </w:r>
      <w:r w:rsidR="00F60160">
        <w:rPr>
          <w:lang w:val="pl-PL"/>
        </w:rPr>
        <w:t>ając</w:t>
      </w:r>
      <w:r w:rsidRPr="003D74F3">
        <w:rPr>
          <w:lang w:val="pl-PL"/>
        </w:rPr>
        <w:t>, że kwestie rozpatrywane przez Trybunał są przedmiotem toczących się obecnie postępowań krajowych. Dodaje, w odniesieniu do pierwszego z tych postępowań, że ośmiu skarżących złożyło pozwy cywilne i że pozostali mogą uczynić to samo.</w:t>
      </w:r>
    </w:p>
    <w:p w14:paraId="0149E2F7" w14:textId="44C02F46" w:rsidR="00EE4B82" w:rsidRPr="003D74F3" w:rsidRDefault="00EE4B82" w:rsidP="00ED40FA">
      <w:pPr>
        <w:pStyle w:val="ECHRPara"/>
        <w:rPr>
          <w:lang w:val="pl-PL"/>
        </w:rPr>
      </w:pPr>
      <w:r w:rsidRPr="003D74F3">
        <w:rPr>
          <w:noProof/>
          <w:lang w:val="pl-PL"/>
        </w:rPr>
        <w:t>112</w:t>
      </w:r>
      <w:r w:rsidRPr="003D74F3">
        <w:rPr>
          <w:lang w:val="pl-PL"/>
        </w:rPr>
        <w:t>.</w:t>
      </w:r>
      <w:r w:rsidR="009F3BFE">
        <w:rPr>
          <w:lang w:val="pl-PL"/>
        </w:rPr>
        <w:t xml:space="preserve"> </w:t>
      </w:r>
      <w:r w:rsidRPr="003D74F3">
        <w:rPr>
          <w:lang w:val="pl-PL"/>
        </w:rPr>
        <w:t xml:space="preserve">Uważa ponadto, że skarżący mieli również możliwość wniesienia różnych powództw na podstawie </w:t>
      </w:r>
      <w:r w:rsidR="009F3BFE" w:rsidRPr="003D74F3">
        <w:rPr>
          <w:lang w:val="pl-PL"/>
        </w:rPr>
        <w:t xml:space="preserve">Kodeksu </w:t>
      </w:r>
      <w:r w:rsidRPr="003D74F3">
        <w:rPr>
          <w:lang w:val="pl-PL"/>
        </w:rPr>
        <w:t>cywilnego i norm środowiskowych (</w:t>
      </w:r>
      <w:r w:rsidR="00F60160">
        <w:rPr>
          <w:lang w:val="pl-PL"/>
        </w:rPr>
        <w:t xml:space="preserve">zob. </w:t>
      </w:r>
      <w:r w:rsidRPr="003D74F3">
        <w:rPr>
          <w:lang w:val="pl-PL"/>
        </w:rPr>
        <w:t xml:space="preserve">paragraf </w:t>
      </w:r>
      <w:r w:rsidRPr="003D74F3">
        <w:rPr>
          <w:noProof/>
          <w:lang w:val="pl-PL"/>
        </w:rPr>
        <w:t>87</w:t>
      </w:r>
      <w:r w:rsidRPr="003D74F3">
        <w:rPr>
          <w:lang w:val="pl-PL"/>
        </w:rPr>
        <w:t xml:space="preserve"> i kolejne powyżej), oprócz powództwa o</w:t>
      </w:r>
      <w:r w:rsidR="00F13BAC">
        <w:rPr>
          <w:lang w:val="pl-PL"/>
        </w:rPr>
        <w:t> </w:t>
      </w:r>
      <w:r w:rsidRPr="003D74F3">
        <w:rPr>
          <w:lang w:val="pl-PL"/>
        </w:rPr>
        <w:t xml:space="preserve">zastosowanie środków tymczasowych na podstawie art. 700 </w:t>
      </w:r>
      <w:r w:rsidR="009F3BFE" w:rsidRPr="003D74F3">
        <w:rPr>
          <w:lang w:val="pl-PL"/>
        </w:rPr>
        <w:t xml:space="preserve">Kodeksu </w:t>
      </w:r>
      <w:r w:rsidRPr="003D74F3">
        <w:rPr>
          <w:lang w:val="pl-PL"/>
        </w:rPr>
        <w:t>postępowania cywilnego i powództwa zbiorowego (</w:t>
      </w:r>
      <w:r w:rsidRPr="003D74F3">
        <w:rPr>
          <w:i/>
          <w:iCs/>
          <w:lang w:val="pl-PL"/>
        </w:rPr>
        <w:t>class action</w:t>
      </w:r>
      <w:r w:rsidRPr="003D74F3">
        <w:rPr>
          <w:lang w:val="pl-PL"/>
        </w:rPr>
        <w:t>) w</w:t>
      </w:r>
      <w:r w:rsidR="00F13BAC">
        <w:rPr>
          <w:lang w:val="pl-PL"/>
        </w:rPr>
        <w:t> </w:t>
      </w:r>
      <w:r w:rsidRPr="003D74F3">
        <w:rPr>
          <w:lang w:val="pl-PL"/>
        </w:rPr>
        <w:t>rozumieniu ustawy nr</w:t>
      </w:r>
      <w:r w:rsidR="009F3BFE">
        <w:rPr>
          <w:lang w:val="pl-PL"/>
        </w:rPr>
        <w:t xml:space="preserve"> </w:t>
      </w:r>
      <w:r w:rsidRPr="003D74F3">
        <w:rPr>
          <w:lang w:val="pl-PL"/>
        </w:rPr>
        <w:t>15/2009.</w:t>
      </w:r>
    </w:p>
    <w:p w14:paraId="0A94D6E8" w14:textId="77777777" w:rsidR="00EE4B82" w:rsidRPr="003D74F3" w:rsidRDefault="00EE4B82" w:rsidP="00ED40FA">
      <w:pPr>
        <w:pStyle w:val="ECHRPara"/>
        <w:rPr>
          <w:lang w:val="pl-PL"/>
        </w:rPr>
      </w:pPr>
      <w:r w:rsidRPr="003D74F3">
        <w:rPr>
          <w:noProof/>
          <w:lang w:val="pl-PL"/>
        </w:rPr>
        <w:t>113</w:t>
      </w:r>
      <w:r w:rsidRPr="003D74F3">
        <w:rPr>
          <w:lang w:val="pl-PL"/>
        </w:rPr>
        <w:t>.</w:t>
      </w:r>
      <w:r w:rsidR="009F3BFE">
        <w:rPr>
          <w:lang w:val="pl-PL"/>
        </w:rPr>
        <w:t xml:space="preserve"> </w:t>
      </w:r>
      <w:r w:rsidRPr="003D74F3">
        <w:rPr>
          <w:lang w:val="pl-PL"/>
        </w:rPr>
        <w:t>Wreszcie, Rząd uważa, że skarżący mogli podnieść kwestię konstytucyjności w ramach postępowania sądowego.</w:t>
      </w:r>
    </w:p>
    <w:p w14:paraId="0B05261A" w14:textId="77777777" w:rsidR="00EE4B82" w:rsidRPr="003D74F3" w:rsidRDefault="00EE4B82" w:rsidP="00ED40FA">
      <w:pPr>
        <w:pStyle w:val="ECHRHeading4"/>
        <w:rPr>
          <w:lang w:val="pl-PL"/>
        </w:rPr>
      </w:pPr>
      <w:r w:rsidRPr="003D74F3">
        <w:rPr>
          <w:lang w:val="pl-PL"/>
        </w:rPr>
        <w:t>b) Stanowisko skarżących</w:t>
      </w:r>
    </w:p>
    <w:p w14:paraId="5F936BAD" w14:textId="582DA093" w:rsidR="00EE4B82" w:rsidRPr="003D74F3" w:rsidRDefault="00EE4B82" w:rsidP="00ED40FA">
      <w:pPr>
        <w:pStyle w:val="ECHRPara"/>
        <w:rPr>
          <w:lang w:val="pl-PL"/>
        </w:rPr>
      </w:pPr>
      <w:r w:rsidRPr="003D74F3">
        <w:rPr>
          <w:noProof/>
          <w:lang w:val="pl-PL"/>
        </w:rPr>
        <w:t>114</w:t>
      </w:r>
      <w:r w:rsidRPr="003D74F3">
        <w:rPr>
          <w:lang w:val="pl-PL"/>
        </w:rPr>
        <w:t>.</w:t>
      </w:r>
      <w:r w:rsidR="009F3BFE">
        <w:rPr>
          <w:lang w:val="pl-PL"/>
        </w:rPr>
        <w:t xml:space="preserve"> </w:t>
      </w:r>
      <w:r w:rsidRPr="003D74F3">
        <w:rPr>
          <w:lang w:val="pl-PL"/>
        </w:rPr>
        <w:t xml:space="preserve">Skarżący kwestionują zastrzeżenie dotyczące niewyczerpania krajowych środków odwoławczych, twierdząc, że żaden ze środków odwoławczych wskazanych przez Rząd nie odnosi się do ich skarg. Skarżący uściślają, że ich skargi nie są roszczeniem mającym za przedmiot odszkodowanie finansowe, lecz </w:t>
      </w:r>
      <w:r w:rsidR="00C0604D">
        <w:rPr>
          <w:lang w:val="pl-PL"/>
        </w:rPr>
        <w:t xml:space="preserve">ich przedmiotem jest </w:t>
      </w:r>
      <w:r w:rsidRPr="003D74F3">
        <w:rPr>
          <w:lang w:val="pl-PL"/>
        </w:rPr>
        <w:t>potępienie braku przyjęcia przez państwo środków administracyjnych i ustawodawczych w</w:t>
      </w:r>
      <w:r w:rsidR="00F13BAC">
        <w:rPr>
          <w:lang w:val="pl-PL"/>
        </w:rPr>
        <w:t> </w:t>
      </w:r>
      <w:r w:rsidRPr="003D74F3">
        <w:rPr>
          <w:lang w:val="pl-PL"/>
        </w:rPr>
        <w:t>celu ochrony zdrowia skarżących i środowiska naturalnego</w:t>
      </w:r>
      <w:r w:rsidR="00C0604D">
        <w:rPr>
          <w:lang w:val="pl-PL"/>
        </w:rPr>
        <w:t xml:space="preserve"> z jednej strony</w:t>
      </w:r>
      <w:r w:rsidRPr="003D74F3">
        <w:rPr>
          <w:lang w:val="pl-PL"/>
        </w:rPr>
        <w:t>, a – z drugiej strony – zakwestionowanie zastosowania środków, które</w:t>
      </w:r>
      <w:r w:rsidR="00F13BAC">
        <w:rPr>
          <w:lang w:val="pl-PL"/>
        </w:rPr>
        <w:t> </w:t>
      </w:r>
      <w:r w:rsidRPr="003D74F3">
        <w:rPr>
          <w:lang w:val="pl-PL"/>
        </w:rPr>
        <w:t>umożliwiły przedsiębiorstwu Ilva kontynuowanie działalności zanieczyszczającej środowisko.</w:t>
      </w:r>
    </w:p>
    <w:p w14:paraId="3596C532" w14:textId="69761F5C" w:rsidR="00EE4B82" w:rsidRPr="003D74F3" w:rsidRDefault="00EE4B82" w:rsidP="00ED40FA">
      <w:pPr>
        <w:pStyle w:val="ECHRPara"/>
        <w:rPr>
          <w:lang w:val="pl-PL"/>
        </w:rPr>
      </w:pPr>
      <w:r w:rsidRPr="003D74F3">
        <w:rPr>
          <w:noProof/>
          <w:lang w:val="pl-PL"/>
        </w:rPr>
        <w:t>115</w:t>
      </w:r>
      <w:r w:rsidRPr="003D74F3">
        <w:rPr>
          <w:lang w:val="pl-PL"/>
        </w:rPr>
        <w:t>.</w:t>
      </w:r>
      <w:r w:rsidR="009F3BFE">
        <w:rPr>
          <w:lang w:val="pl-PL"/>
        </w:rPr>
        <w:t xml:space="preserve"> </w:t>
      </w:r>
      <w:r w:rsidRPr="003D74F3">
        <w:rPr>
          <w:lang w:val="pl-PL"/>
        </w:rPr>
        <w:t>Skarżący podnoszą ponadto, że ci z nich, któr</w:t>
      </w:r>
      <w:r w:rsidR="00CD782E">
        <w:rPr>
          <w:lang w:val="pl-PL"/>
        </w:rPr>
        <w:t>zy</w:t>
      </w:r>
      <w:r w:rsidRPr="003D74F3">
        <w:rPr>
          <w:lang w:val="pl-PL"/>
        </w:rPr>
        <w:t xml:space="preserve"> </w:t>
      </w:r>
      <w:r w:rsidR="00C0604D">
        <w:rPr>
          <w:lang w:val="pl-PL"/>
        </w:rPr>
        <w:t>dołączyli jako strony</w:t>
      </w:r>
      <w:r w:rsidRPr="003D74F3">
        <w:rPr>
          <w:lang w:val="pl-PL"/>
        </w:rPr>
        <w:t xml:space="preserve"> postępowania cywilnego w sprawie nr 938/10, zostali pozbawieni możliwości uzyskania odszkodowania z powodu objęcia spółki Ilva zarządem tymczasowym. Twierdzą oni w każdym razie, że pozostali skarżący nie mog</w:t>
      </w:r>
      <w:r w:rsidR="00AB795F">
        <w:rPr>
          <w:lang w:val="pl-PL"/>
        </w:rPr>
        <w:t>li</w:t>
      </w:r>
      <w:r w:rsidRPr="003D74F3">
        <w:rPr>
          <w:lang w:val="pl-PL"/>
        </w:rPr>
        <w:t xml:space="preserve"> już – wbrew twierdzeniom Rządu – wnieść powództwa cywilnego w tym postępowaniu, ponieważ upłynął termin na jego wniesienie.</w:t>
      </w:r>
    </w:p>
    <w:p w14:paraId="7417DC30" w14:textId="739E0534" w:rsidR="00EE4B82" w:rsidRPr="003D74F3" w:rsidRDefault="00EE4B82" w:rsidP="00ED40FA">
      <w:pPr>
        <w:pStyle w:val="ECHRPara"/>
        <w:rPr>
          <w:lang w:val="pl-PL"/>
        </w:rPr>
      </w:pPr>
      <w:r w:rsidRPr="003D74F3">
        <w:rPr>
          <w:noProof/>
          <w:lang w:val="pl-PL"/>
        </w:rPr>
        <w:t>116</w:t>
      </w:r>
      <w:r w:rsidRPr="003D74F3">
        <w:rPr>
          <w:lang w:val="pl-PL"/>
        </w:rPr>
        <w:t>.</w:t>
      </w:r>
      <w:r w:rsidR="009F3BFE">
        <w:rPr>
          <w:lang w:val="pl-PL"/>
        </w:rPr>
        <w:t xml:space="preserve"> </w:t>
      </w:r>
      <w:r w:rsidRPr="003D74F3">
        <w:rPr>
          <w:lang w:val="pl-PL"/>
        </w:rPr>
        <w:t>W odniesieniu do postępowania nr 9693/14 skarżący podnoszą, że</w:t>
      </w:r>
      <w:r w:rsidR="009F3BFE">
        <w:rPr>
          <w:lang w:val="pl-PL"/>
        </w:rPr>
        <w:t xml:space="preserve"> </w:t>
      </w:r>
      <w:r w:rsidRPr="003D74F3">
        <w:rPr>
          <w:lang w:val="pl-PL"/>
        </w:rPr>
        <w:t xml:space="preserve">prokurator w Tarencie zażądał zamknięcia sprawy z powodu, po pierwsze, przedłużenia terminu na </w:t>
      </w:r>
      <w:r w:rsidRPr="003D74F3">
        <w:rPr>
          <w:lang w:val="pl-PL"/>
        </w:rPr>
        <w:t>w</w:t>
      </w:r>
      <w:r w:rsidR="00CD782E">
        <w:rPr>
          <w:lang w:val="pl-PL"/>
        </w:rPr>
        <w:t>drożenie</w:t>
      </w:r>
      <w:r w:rsidRPr="003D74F3">
        <w:rPr>
          <w:lang w:val="pl-PL"/>
        </w:rPr>
        <w:t xml:space="preserve"> </w:t>
      </w:r>
      <w:r w:rsidR="00AB795F">
        <w:rPr>
          <w:lang w:val="pl-PL"/>
        </w:rPr>
        <w:t xml:space="preserve">zintegrowanego pozwolenia środowiskowego </w:t>
      </w:r>
      <w:r w:rsidR="00AB795F" w:rsidRPr="00AB795F">
        <w:rPr>
          <w:lang w:val="pl-PL"/>
        </w:rPr>
        <w:t>(</w:t>
      </w:r>
      <w:r w:rsidRPr="00AB795F">
        <w:rPr>
          <w:lang w:val="pl-PL"/>
        </w:rPr>
        <w:t>AIA</w:t>
      </w:r>
      <w:r w:rsidR="00AB795F" w:rsidRPr="00AB795F">
        <w:rPr>
          <w:lang w:val="pl-PL"/>
        </w:rPr>
        <w:t>)</w:t>
      </w:r>
      <w:r w:rsidRPr="00AB795F">
        <w:rPr>
          <w:lang w:val="pl-PL"/>
        </w:rPr>
        <w:t>,</w:t>
      </w:r>
      <w:r w:rsidRPr="003D74F3">
        <w:rPr>
          <w:lang w:val="pl-PL"/>
        </w:rPr>
        <w:t xml:space="preserve"> a po drugie, przyznania immunitetu zainteresowanym stronom na podstawie dekretów z mocą ustawy „salva-Ilva”.</w:t>
      </w:r>
    </w:p>
    <w:p w14:paraId="52671326" w14:textId="77777777" w:rsidR="00EE4B82" w:rsidRPr="003D74F3" w:rsidRDefault="00EE4B82" w:rsidP="00ED40FA">
      <w:pPr>
        <w:pStyle w:val="ECHRPara"/>
        <w:rPr>
          <w:lang w:val="pl-PL"/>
        </w:rPr>
      </w:pPr>
      <w:r w:rsidRPr="003D74F3">
        <w:rPr>
          <w:noProof/>
          <w:lang w:val="pl-PL"/>
        </w:rPr>
        <w:lastRenderedPageBreak/>
        <w:t>117</w:t>
      </w:r>
      <w:r w:rsidRPr="003D74F3">
        <w:rPr>
          <w:lang w:val="pl-PL"/>
        </w:rPr>
        <w:t>.</w:t>
      </w:r>
      <w:r w:rsidR="009F3BFE">
        <w:rPr>
          <w:lang w:val="pl-PL"/>
        </w:rPr>
        <w:t xml:space="preserve"> </w:t>
      </w:r>
      <w:r w:rsidRPr="003D74F3">
        <w:rPr>
          <w:lang w:val="pl-PL"/>
        </w:rPr>
        <w:t xml:space="preserve">W odniesieniu do art. 452 </w:t>
      </w:r>
      <w:r w:rsidRPr="003D74F3">
        <w:rPr>
          <w:i/>
          <w:iCs/>
          <w:lang w:val="pl-PL"/>
        </w:rPr>
        <w:t>quater</w:t>
      </w:r>
      <w:r w:rsidRPr="003D74F3">
        <w:rPr>
          <w:lang w:val="pl-PL"/>
        </w:rPr>
        <w:t xml:space="preserve"> </w:t>
      </w:r>
      <w:r w:rsidR="009F3BFE" w:rsidRPr="003D74F3">
        <w:rPr>
          <w:lang w:val="pl-PL"/>
        </w:rPr>
        <w:t xml:space="preserve">Kodeksu </w:t>
      </w:r>
      <w:r w:rsidR="00C50837">
        <w:rPr>
          <w:lang w:val="pl-PL"/>
        </w:rPr>
        <w:t>karnego</w:t>
      </w:r>
      <w:r w:rsidRPr="003D74F3">
        <w:rPr>
          <w:lang w:val="pl-PL"/>
        </w:rPr>
        <w:t xml:space="preserve"> skarżący stwierdzają, że jest on w ich przypadku nieskuteczny, ponieważ, ich zdaniem, przepis ten dotyczy okoliczności, w których, w przeciwieństwie do sytuacji w niniejszej sprawie, okoliczności faktyczne mają miejsce</w:t>
      </w:r>
      <w:r w:rsidR="00C50837">
        <w:rPr>
          <w:lang w:val="pl-PL"/>
        </w:rPr>
        <w:t xml:space="preserve"> w sytuacji</w:t>
      </w:r>
      <w:r w:rsidRPr="003D74F3">
        <w:rPr>
          <w:lang w:val="pl-PL"/>
        </w:rPr>
        <w:t xml:space="preserve"> braku zezwolenia prawnego lub administracyjnego.</w:t>
      </w:r>
    </w:p>
    <w:p w14:paraId="5756806E" w14:textId="103A949A" w:rsidR="00EE4B82" w:rsidRPr="003D74F3" w:rsidRDefault="00EE4B82" w:rsidP="00ED40FA">
      <w:pPr>
        <w:pStyle w:val="ECHRPara"/>
        <w:rPr>
          <w:lang w:val="pl-PL"/>
        </w:rPr>
      </w:pPr>
      <w:r w:rsidRPr="003D74F3">
        <w:rPr>
          <w:noProof/>
          <w:lang w:val="pl-PL"/>
        </w:rPr>
        <w:t>118</w:t>
      </w:r>
      <w:r w:rsidRPr="003D74F3">
        <w:rPr>
          <w:lang w:val="pl-PL"/>
        </w:rPr>
        <w:t>.</w:t>
      </w:r>
      <w:r w:rsidR="009F3BFE">
        <w:rPr>
          <w:lang w:val="pl-PL"/>
        </w:rPr>
        <w:t xml:space="preserve"> </w:t>
      </w:r>
      <w:r w:rsidRPr="003D74F3">
        <w:rPr>
          <w:lang w:val="pl-PL"/>
        </w:rPr>
        <w:t>Skarżący dodają, że w każdym razie sądy krajowe do tej pory odrzucały cywilne roszczenia odszkodowawcze i obciążały powodów kosztami i wydatkami (skarżący powołują się na wyrok sądu w Tarencie, nr</w:t>
      </w:r>
      <w:r w:rsidR="00F13BAC">
        <w:rPr>
          <w:lang w:val="pl-PL"/>
        </w:rPr>
        <w:t> </w:t>
      </w:r>
      <w:r w:rsidRPr="003D74F3">
        <w:rPr>
          <w:lang w:val="pl-PL"/>
        </w:rPr>
        <w:t>2375, z dnia 20 lipca 2016 r.).</w:t>
      </w:r>
    </w:p>
    <w:p w14:paraId="2C89DDD2" w14:textId="77777777" w:rsidR="00EE4B82" w:rsidRPr="003D74F3" w:rsidRDefault="00EE4B82" w:rsidP="00ED40FA">
      <w:pPr>
        <w:pStyle w:val="ECHRPara"/>
        <w:rPr>
          <w:lang w:val="pl-PL"/>
        </w:rPr>
      </w:pPr>
      <w:r w:rsidRPr="003D74F3">
        <w:rPr>
          <w:noProof/>
          <w:lang w:val="pl-PL"/>
        </w:rPr>
        <w:t>119</w:t>
      </w:r>
      <w:r w:rsidRPr="003D74F3">
        <w:rPr>
          <w:lang w:val="pl-PL"/>
        </w:rPr>
        <w:t>.</w:t>
      </w:r>
      <w:r w:rsidR="009F3BFE">
        <w:rPr>
          <w:lang w:val="pl-PL"/>
        </w:rPr>
        <w:t xml:space="preserve"> </w:t>
      </w:r>
      <w:r w:rsidRPr="003D74F3">
        <w:rPr>
          <w:lang w:val="pl-PL"/>
        </w:rPr>
        <w:t xml:space="preserve">Ponadto uważają, że odwołanie administracyjne wskazane przez rząd (art. 309 dekretu z mocą ustawy nr 152/2006) również nie miałoby szans powodzenia, ponieważ, według nich, Ministerstwo Środowiska zostałoby wezwane do zakwestionowania dekretów z mocą ustawy wydanych przez rząd. Ponadto skarga o stwierdzenie nieważności aktów administracyjnych (art. 29 </w:t>
      </w:r>
      <w:r w:rsidR="009F3BFE" w:rsidRPr="003D74F3">
        <w:rPr>
          <w:lang w:val="pl-PL"/>
        </w:rPr>
        <w:t xml:space="preserve">Kodeksu </w:t>
      </w:r>
      <w:r w:rsidRPr="003D74F3">
        <w:rPr>
          <w:lang w:val="pl-PL"/>
        </w:rPr>
        <w:t>postępowania administracyjnego) nie mogła zostać wniesiona w celu zaskarżenia dekretów.</w:t>
      </w:r>
    </w:p>
    <w:p w14:paraId="400F7D4F" w14:textId="77777777" w:rsidR="00EE4B82" w:rsidRPr="003D74F3" w:rsidRDefault="00EE4B82" w:rsidP="00ED40FA">
      <w:pPr>
        <w:pStyle w:val="ECHRPara"/>
        <w:rPr>
          <w:lang w:val="pl-PL"/>
        </w:rPr>
      </w:pPr>
      <w:r w:rsidRPr="003D74F3">
        <w:rPr>
          <w:noProof/>
          <w:lang w:val="pl-PL"/>
        </w:rPr>
        <w:t>120</w:t>
      </w:r>
      <w:r w:rsidRPr="003D74F3">
        <w:rPr>
          <w:lang w:val="pl-PL"/>
        </w:rPr>
        <w:t>.</w:t>
      </w:r>
      <w:r w:rsidR="009F3BFE">
        <w:rPr>
          <w:lang w:val="pl-PL"/>
        </w:rPr>
        <w:t xml:space="preserve"> </w:t>
      </w:r>
      <w:r w:rsidRPr="003D74F3">
        <w:rPr>
          <w:lang w:val="pl-PL"/>
        </w:rPr>
        <w:t xml:space="preserve">Wreszcie skarżący stwierdzają, że powództwo zbiorowe nie może stanowić remedium na ich zarzuty ze względu na to, że skarżący domagają się przyjęcia aktów normatywnych, co </w:t>
      </w:r>
      <w:r w:rsidR="00C50837">
        <w:rPr>
          <w:lang w:val="pl-PL"/>
        </w:rPr>
        <w:t>byłoby wyraźnie wykluczone przez</w:t>
      </w:r>
      <w:r w:rsidRPr="003D74F3">
        <w:rPr>
          <w:lang w:val="pl-PL"/>
        </w:rPr>
        <w:t xml:space="preserve"> dekret ustawodawczy nr 198/2009 (wprowadzający ten środek odwoławczy).</w:t>
      </w:r>
    </w:p>
    <w:p w14:paraId="2D470622" w14:textId="77777777" w:rsidR="00EE4B82" w:rsidRPr="003D74F3" w:rsidRDefault="00EE4B82" w:rsidP="00ED40FA">
      <w:pPr>
        <w:pStyle w:val="ECHRHeading4"/>
        <w:rPr>
          <w:lang w:val="pl-PL"/>
        </w:rPr>
      </w:pPr>
      <w:r w:rsidRPr="003D74F3">
        <w:rPr>
          <w:lang w:val="pl-PL"/>
        </w:rPr>
        <w:t>c)</w:t>
      </w:r>
      <w:r w:rsidR="009F3BFE">
        <w:rPr>
          <w:lang w:val="pl-PL"/>
        </w:rPr>
        <w:t xml:space="preserve"> </w:t>
      </w:r>
      <w:r w:rsidRPr="003D74F3">
        <w:rPr>
          <w:lang w:val="pl-PL"/>
        </w:rPr>
        <w:t>Ocena Trybunału</w:t>
      </w:r>
    </w:p>
    <w:p w14:paraId="18C3164E" w14:textId="33805686" w:rsidR="00EE4B82" w:rsidRPr="003D74F3" w:rsidRDefault="00EE4B82" w:rsidP="00ED40FA">
      <w:pPr>
        <w:pStyle w:val="ECHRPara"/>
        <w:rPr>
          <w:i/>
          <w:iCs/>
          <w:lang w:val="pl-PL"/>
        </w:rPr>
      </w:pPr>
      <w:r w:rsidRPr="003D74F3">
        <w:rPr>
          <w:noProof/>
          <w:lang w:val="pl-PL"/>
        </w:rPr>
        <w:t>121</w:t>
      </w:r>
      <w:r w:rsidRPr="003D74F3">
        <w:rPr>
          <w:lang w:val="pl-PL"/>
        </w:rPr>
        <w:t>.</w:t>
      </w:r>
      <w:r w:rsidR="009F3BFE">
        <w:rPr>
          <w:lang w:val="pl-PL"/>
        </w:rPr>
        <w:t xml:space="preserve"> </w:t>
      </w:r>
      <w:r w:rsidRPr="003D74F3">
        <w:rPr>
          <w:lang w:val="pl-PL"/>
        </w:rPr>
        <w:t>Trybunał przypomina, że zasada wyczerpania krajowych środków odwoławczych na podstawie art. 35 ust. 1 Konwencji ma na celu zapewnienie układającym się państwom możliwości zapobieżenia lub naprawienia zarzucanych im naruszeń, zanim zostaną one przedłożone Trybunałowi. Zasada ta opiera się na założeniu, będącym przedmiotem art.</w:t>
      </w:r>
      <w:r w:rsidR="009F3BFE">
        <w:rPr>
          <w:lang w:val="pl-PL"/>
        </w:rPr>
        <w:t xml:space="preserve"> </w:t>
      </w:r>
      <w:r w:rsidRPr="003D74F3">
        <w:rPr>
          <w:lang w:val="pl-PL"/>
        </w:rPr>
        <w:t>13 Konwencji i</w:t>
      </w:r>
      <w:r w:rsidR="00F13BAC">
        <w:rPr>
          <w:lang w:val="pl-PL"/>
        </w:rPr>
        <w:t> </w:t>
      </w:r>
      <w:r w:rsidRPr="003D74F3">
        <w:rPr>
          <w:lang w:val="pl-PL"/>
        </w:rPr>
        <w:t>z którym jest ona blisko spokrewniona, zgodnie z</w:t>
      </w:r>
      <w:r w:rsidR="009F3BFE">
        <w:rPr>
          <w:lang w:val="pl-PL"/>
        </w:rPr>
        <w:t xml:space="preserve"> </w:t>
      </w:r>
      <w:r w:rsidRPr="003D74F3">
        <w:rPr>
          <w:lang w:val="pl-PL"/>
        </w:rPr>
        <w:t>którym porządek krajowy zapewnia skuteczny środek zaradczy w</w:t>
      </w:r>
      <w:r w:rsidR="009F3BFE">
        <w:rPr>
          <w:lang w:val="pl-PL"/>
        </w:rPr>
        <w:t xml:space="preserve"> </w:t>
      </w:r>
      <w:r w:rsidRPr="003D74F3">
        <w:rPr>
          <w:lang w:val="pl-PL"/>
        </w:rPr>
        <w:t>odniesieniu do zarzucanego naruszenia. Tym samym założenie to stanowi ważny aspekt zasady, zgodnie z którą mechanizm ochronny ustanowiony przez Konwencję ma charakter subsydiarny w stosunku do krajowych systemów gwarancji praw człowieka (</w:t>
      </w:r>
      <w:r w:rsidRPr="003D74F3">
        <w:rPr>
          <w:i/>
          <w:iCs/>
          <w:lang w:val="pl-PL"/>
        </w:rPr>
        <w:t xml:space="preserve">Vučković i Inni p. Serbii </w:t>
      </w:r>
      <w:r w:rsidRPr="003D74F3">
        <w:rPr>
          <w:lang w:val="pl-PL"/>
        </w:rPr>
        <w:t>(zastrzeżenie wstępne) [WI], skarga nr 17153/11 i</w:t>
      </w:r>
      <w:r w:rsidR="00F13BAC">
        <w:rPr>
          <w:lang w:val="pl-PL"/>
        </w:rPr>
        <w:t> </w:t>
      </w:r>
      <w:r w:rsidRPr="003D74F3">
        <w:rPr>
          <w:lang w:val="pl-PL"/>
        </w:rPr>
        <w:t>29 innych, §§ 69–77, 25 marca 2014</w:t>
      </w:r>
      <w:r w:rsidR="009F3BFE">
        <w:rPr>
          <w:lang w:val="pl-PL"/>
        </w:rPr>
        <w:t xml:space="preserve"> </w:t>
      </w:r>
      <w:r w:rsidRPr="003D74F3">
        <w:rPr>
          <w:lang w:val="pl-PL"/>
        </w:rPr>
        <w:t>r.).</w:t>
      </w:r>
    </w:p>
    <w:p w14:paraId="0F3B5A8C" w14:textId="5D3ECBF2" w:rsidR="00EE4B82" w:rsidRPr="003D74F3" w:rsidRDefault="00EE4B82" w:rsidP="00ED40FA">
      <w:pPr>
        <w:pStyle w:val="ECHRPara"/>
        <w:rPr>
          <w:lang w:val="pl-PL"/>
        </w:rPr>
      </w:pPr>
      <w:r w:rsidRPr="003D74F3">
        <w:rPr>
          <w:noProof/>
          <w:lang w:val="pl-PL"/>
        </w:rPr>
        <w:t>122</w:t>
      </w:r>
      <w:r w:rsidRPr="003D74F3">
        <w:rPr>
          <w:lang w:val="pl-PL"/>
        </w:rPr>
        <w:t>.</w:t>
      </w:r>
      <w:r w:rsidR="009F3BFE">
        <w:rPr>
          <w:lang w:val="pl-PL"/>
        </w:rPr>
        <w:t xml:space="preserve"> </w:t>
      </w:r>
      <w:r w:rsidRPr="003D74F3">
        <w:rPr>
          <w:lang w:val="pl-PL"/>
        </w:rPr>
        <w:t>Trybunał przypomina ponadto, że zgodnie z zasadą wyczerpania krajowych środków odwoławczych na podstawie art. 35 ust. 1 Konwencji, skarżący musi skorzystać z takich środków odwoławczych, które są zwykle dostępne i wystarczające, aby umożliwić mu uzyskanie zadośćuczynienia za</w:t>
      </w:r>
      <w:r w:rsidR="00F13BAC">
        <w:rPr>
          <w:lang w:val="pl-PL"/>
        </w:rPr>
        <w:t> </w:t>
      </w:r>
      <w:r w:rsidRPr="003D74F3">
        <w:rPr>
          <w:lang w:val="pl-PL"/>
        </w:rPr>
        <w:t>zarzucane przez niego naruszenia, przy czym przyjmuje się, że na Rządzie powołującym się na niewyczerpanie środków spoczywa obowiązek przekonania Trybunału, że przywołany środek odwoławczy był skuteczny i</w:t>
      </w:r>
      <w:r w:rsidR="00F13BAC">
        <w:rPr>
          <w:lang w:val="pl-PL"/>
        </w:rPr>
        <w:t> </w:t>
      </w:r>
      <w:r w:rsidRPr="003D74F3">
        <w:rPr>
          <w:lang w:val="pl-PL"/>
        </w:rPr>
        <w:t xml:space="preserve">dostępny zarówno w teorii, jak i w praktyce w czasie zaistnienia okoliczności faktycznych, tj. że był dostępny i zdolny do zapewnienia skarżącemu zadośćuczynienia jego skargom oraz że dawał rozsądne </w:t>
      </w:r>
      <w:r w:rsidRPr="003D74F3">
        <w:rPr>
          <w:lang w:val="pl-PL"/>
        </w:rPr>
        <w:lastRenderedPageBreak/>
        <w:t xml:space="preserve">perspektywy powodzenia (zob. m.in., </w:t>
      </w:r>
      <w:r w:rsidRPr="003D74F3">
        <w:rPr>
          <w:i/>
          <w:iCs/>
          <w:lang w:val="pl-PL"/>
        </w:rPr>
        <w:t>Akdivar i Inni p. Turcji</w:t>
      </w:r>
      <w:r w:rsidRPr="003D74F3">
        <w:rPr>
          <w:lang w:val="pl-PL"/>
        </w:rPr>
        <w:t xml:space="preserve">, 16 września 1996 r., </w:t>
      </w:r>
      <w:r w:rsidRPr="003D74F3">
        <w:rPr>
          <w:i/>
          <w:iCs/>
          <w:lang w:val="pl-PL"/>
        </w:rPr>
        <w:t>Zbiór</w:t>
      </w:r>
      <w:r w:rsidRPr="003D74F3">
        <w:rPr>
          <w:lang w:val="pl-PL"/>
        </w:rPr>
        <w:t>, §</w:t>
      </w:r>
      <w:r w:rsidR="009F3BFE">
        <w:rPr>
          <w:lang w:val="pl-PL"/>
        </w:rPr>
        <w:t xml:space="preserve"> </w:t>
      </w:r>
      <w:r w:rsidRPr="003D74F3">
        <w:rPr>
          <w:lang w:val="pl-PL"/>
        </w:rPr>
        <w:t xml:space="preserve">66, oraz </w:t>
      </w:r>
      <w:r w:rsidRPr="003D74F3">
        <w:rPr>
          <w:i/>
          <w:iCs/>
          <w:lang w:val="pl-PL"/>
        </w:rPr>
        <w:t>Giacobbe i Inni p. Włochom</w:t>
      </w:r>
      <w:r w:rsidRPr="003D74F3">
        <w:rPr>
          <w:lang w:val="pl-PL"/>
        </w:rPr>
        <w:t>, skarga nr</w:t>
      </w:r>
      <w:r w:rsidR="009F3BFE">
        <w:rPr>
          <w:lang w:val="pl-PL"/>
        </w:rPr>
        <w:t xml:space="preserve"> </w:t>
      </w:r>
      <w:r w:rsidRPr="003D74F3">
        <w:rPr>
          <w:lang w:val="pl-PL"/>
        </w:rPr>
        <w:t>16041/02, §</w:t>
      </w:r>
      <w:r w:rsidR="00F13BAC">
        <w:rPr>
          <w:lang w:val="pl-PL"/>
        </w:rPr>
        <w:t> </w:t>
      </w:r>
      <w:r w:rsidRPr="003D74F3">
        <w:rPr>
          <w:lang w:val="pl-PL"/>
        </w:rPr>
        <w:t>63, 15 grudnia 2005 r.). Ponadto, zgodnie z „ogólnie uznanymi zasadami prawa międzynarodowego”, pewne szczególne okoliczności mogą zwolnić skarżącego z obowiązku wyczerpania dostępnych mu krajowych środków odwoławczych (</w:t>
      </w:r>
      <w:r w:rsidRPr="003D74F3">
        <w:rPr>
          <w:i/>
          <w:iCs/>
          <w:lang w:val="pl-PL"/>
        </w:rPr>
        <w:t>Selmouni</w:t>
      </w:r>
      <w:r w:rsidRPr="003D74F3">
        <w:rPr>
          <w:lang w:val="pl-PL"/>
        </w:rPr>
        <w:t xml:space="preserve">, </w:t>
      </w:r>
      <w:r w:rsidRPr="003D74F3">
        <w:rPr>
          <w:i/>
          <w:iCs/>
          <w:lang w:val="pl-PL"/>
        </w:rPr>
        <w:t>op. cit.</w:t>
      </w:r>
      <w:r w:rsidRPr="003D74F3">
        <w:rPr>
          <w:lang w:val="pl-PL"/>
        </w:rPr>
        <w:t>, § 75).</w:t>
      </w:r>
    </w:p>
    <w:p w14:paraId="730D66C7" w14:textId="4D22FA0D" w:rsidR="00EE4B82" w:rsidRPr="003D74F3" w:rsidRDefault="00EE4B82" w:rsidP="00ED40FA">
      <w:pPr>
        <w:pStyle w:val="ECHRPara"/>
        <w:rPr>
          <w:lang w:val="pl-PL"/>
        </w:rPr>
      </w:pPr>
      <w:r w:rsidRPr="003D74F3">
        <w:rPr>
          <w:noProof/>
          <w:lang w:val="pl-PL"/>
        </w:rPr>
        <w:t>123</w:t>
      </w:r>
      <w:r w:rsidRPr="003D74F3">
        <w:rPr>
          <w:lang w:val="pl-PL"/>
        </w:rPr>
        <w:t>.</w:t>
      </w:r>
      <w:r w:rsidR="009F3BFE">
        <w:rPr>
          <w:lang w:val="pl-PL"/>
        </w:rPr>
        <w:t xml:space="preserve"> </w:t>
      </w:r>
      <w:r w:rsidRPr="003D74F3">
        <w:rPr>
          <w:lang w:val="pl-PL"/>
        </w:rPr>
        <w:t xml:space="preserve">W niniejszej sprawie Trybunał zauważa, że skargi skarżących dotyczą braku środków zapewniających oczyszczenie przedmiotowego terytorium. Zauważa również, że remediacja dotkniętego obszaru </w:t>
      </w:r>
      <w:r w:rsidR="000C0483">
        <w:rPr>
          <w:lang w:val="pl-PL"/>
        </w:rPr>
        <w:t>jest</w:t>
      </w:r>
      <w:r w:rsidRPr="003D74F3">
        <w:rPr>
          <w:lang w:val="pl-PL"/>
        </w:rPr>
        <w:t xml:space="preserve"> celem, do którego właściwe organy dąż</w:t>
      </w:r>
      <w:r w:rsidR="000C0483">
        <w:rPr>
          <w:lang w:val="pl-PL"/>
        </w:rPr>
        <w:t>ą od kilku</w:t>
      </w:r>
      <w:r w:rsidRPr="003D74F3">
        <w:rPr>
          <w:lang w:val="pl-PL"/>
        </w:rPr>
        <w:t xml:space="preserve"> lat, jednak bez powodzenia. Uwzględniając również dowody przedstawione przez skarżących oraz wobec braku odpowiednich precedensów w orzecznictwie, Trybunał uważa, że</w:t>
      </w:r>
      <w:r w:rsidR="00F13BAC">
        <w:rPr>
          <w:lang w:val="pl-PL"/>
        </w:rPr>
        <w:t> </w:t>
      </w:r>
      <w:r w:rsidRPr="003D74F3">
        <w:rPr>
          <w:lang w:val="pl-PL"/>
        </w:rPr>
        <w:t>żadne podejście o charakterze karnym, cywilnym lub administracyjnym nie może spełnić tego celu w niniejszej sprawie.</w:t>
      </w:r>
    </w:p>
    <w:p w14:paraId="642CC9CA" w14:textId="09B918A9" w:rsidR="00EE4B82" w:rsidRPr="003D74F3" w:rsidRDefault="00EE4B82" w:rsidP="00ED40FA">
      <w:pPr>
        <w:pStyle w:val="ECHRPara"/>
        <w:rPr>
          <w:lang w:val="pl-PL"/>
        </w:rPr>
      </w:pPr>
      <w:r w:rsidRPr="003D74F3">
        <w:rPr>
          <w:noProof/>
          <w:lang w:val="pl-PL"/>
        </w:rPr>
        <w:t>124</w:t>
      </w:r>
      <w:r w:rsidRPr="003D74F3">
        <w:rPr>
          <w:lang w:val="pl-PL"/>
        </w:rPr>
        <w:t>.</w:t>
      </w:r>
      <w:r w:rsidR="009F3BFE">
        <w:rPr>
          <w:lang w:val="pl-PL"/>
        </w:rPr>
        <w:t xml:space="preserve"> </w:t>
      </w:r>
      <w:r w:rsidRPr="003D74F3">
        <w:rPr>
          <w:lang w:val="pl-PL"/>
        </w:rPr>
        <w:t>W tym kontekście Trybunał nie może pominąć immunitetu karnego i</w:t>
      </w:r>
      <w:r w:rsidR="00F13BAC">
        <w:rPr>
          <w:lang w:val="pl-PL"/>
        </w:rPr>
        <w:t> </w:t>
      </w:r>
      <w:r w:rsidRPr="003D74F3">
        <w:rPr>
          <w:lang w:val="pl-PL"/>
        </w:rPr>
        <w:t>administracyjnego przyznanego zarządcy tymczasowemu w odniesieniu do</w:t>
      </w:r>
      <w:r w:rsidR="00F13BAC">
        <w:rPr>
          <w:lang w:val="pl-PL"/>
        </w:rPr>
        <w:t> </w:t>
      </w:r>
      <w:r w:rsidRPr="003D74F3">
        <w:rPr>
          <w:lang w:val="pl-PL"/>
        </w:rPr>
        <w:t xml:space="preserve">wdrażania środków zalecanych w planie ochrony środowiska (immunitet nadany dekretem z mocą ustawy nr 1 z dnia 5 stycznia 2015 r. – paragraf </w:t>
      </w:r>
      <w:r w:rsidRPr="003D74F3">
        <w:rPr>
          <w:noProof/>
          <w:lang w:val="pl-PL"/>
        </w:rPr>
        <w:t>59</w:t>
      </w:r>
      <w:r w:rsidRPr="003D74F3">
        <w:rPr>
          <w:lang w:val="pl-PL"/>
        </w:rPr>
        <w:t xml:space="preserve"> powyżej) oraz rozszerzenia tego immunitetu na przyszłego nabywcę zakładu (paragraf </w:t>
      </w:r>
      <w:r w:rsidRPr="003D74F3">
        <w:rPr>
          <w:noProof/>
          <w:lang w:val="pl-PL"/>
        </w:rPr>
        <w:t>68</w:t>
      </w:r>
      <w:r w:rsidRPr="003D74F3">
        <w:rPr>
          <w:lang w:val="pl-PL"/>
        </w:rPr>
        <w:t xml:space="preserve"> powyżej).</w:t>
      </w:r>
    </w:p>
    <w:p w14:paraId="254640FF" w14:textId="008DE37D" w:rsidR="00EE4B82" w:rsidRPr="003D74F3" w:rsidRDefault="00EE4B82" w:rsidP="00ED40FA">
      <w:pPr>
        <w:pStyle w:val="ECHRPara"/>
        <w:rPr>
          <w:lang w:val="pl-PL"/>
        </w:rPr>
      </w:pPr>
      <w:r w:rsidRPr="003D74F3">
        <w:rPr>
          <w:noProof/>
          <w:lang w:val="pl-PL"/>
        </w:rPr>
        <w:t>125</w:t>
      </w:r>
      <w:r w:rsidRPr="003D74F3">
        <w:rPr>
          <w:lang w:val="pl-PL"/>
        </w:rPr>
        <w:t>.</w:t>
      </w:r>
      <w:r w:rsidR="009F3BFE">
        <w:rPr>
          <w:lang w:val="pl-PL"/>
        </w:rPr>
        <w:t xml:space="preserve"> </w:t>
      </w:r>
      <w:r w:rsidRPr="003D74F3">
        <w:rPr>
          <w:lang w:val="pl-PL"/>
        </w:rPr>
        <w:t>Co się tyczy możliwości wniesienia skargi do Sądu Konstytucyjnego, wystarczy przypomnieć, że Trybunał wielokrotnie wskazywał, że</w:t>
      </w:r>
      <w:r w:rsidR="00F13BAC">
        <w:rPr>
          <w:lang w:val="pl-PL"/>
        </w:rPr>
        <w:t> </w:t>
      </w:r>
      <w:r w:rsidRPr="003D74F3">
        <w:rPr>
          <w:lang w:val="pl-PL"/>
        </w:rPr>
        <w:t>we</w:t>
      </w:r>
      <w:r w:rsidR="00F13BAC">
        <w:rPr>
          <w:lang w:val="pl-PL"/>
        </w:rPr>
        <w:t> </w:t>
      </w:r>
      <w:r w:rsidRPr="003D74F3">
        <w:rPr>
          <w:lang w:val="pl-PL"/>
        </w:rPr>
        <w:t xml:space="preserve">włoskim porządku prawnym strona procesu nie ma bezpośredniego dostępu do Sądu Konstytucyjnego: w rzeczywistości tylko sąd rozpatrujący sprawę merytorycznie ma prawo skierować sprawę do tego wysokiego sądu, na wniosek strony procesu lub z urzędu. Taki wniosek nie może być zatem </w:t>
      </w:r>
      <w:r w:rsidR="000C0483">
        <w:rPr>
          <w:lang w:val="pl-PL"/>
        </w:rPr>
        <w:t>uznany za</w:t>
      </w:r>
      <w:r w:rsidRPr="003D74F3">
        <w:rPr>
          <w:lang w:val="pl-PL"/>
        </w:rPr>
        <w:t xml:space="preserve"> środek odwoławczy, którego wyko</w:t>
      </w:r>
      <w:r w:rsidR="000C0483">
        <w:rPr>
          <w:lang w:val="pl-PL"/>
        </w:rPr>
        <w:t>rzystanie</w:t>
      </w:r>
      <w:r w:rsidRPr="003D74F3">
        <w:rPr>
          <w:lang w:val="pl-PL"/>
        </w:rPr>
        <w:t xml:space="preserve"> jest wymagane przez Konwencję (zob.</w:t>
      </w:r>
      <w:r w:rsidR="005532A4">
        <w:rPr>
          <w:lang w:val="pl-PL"/>
        </w:rPr>
        <w:t>,</w:t>
      </w:r>
      <w:r w:rsidRPr="003D74F3">
        <w:rPr>
          <w:lang w:val="pl-PL"/>
        </w:rPr>
        <w:t xml:space="preserve"> m.in., </w:t>
      </w:r>
      <w:r w:rsidRPr="003D74F3">
        <w:rPr>
          <w:i/>
          <w:iCs/>
          <w:lang w:val="pl-PL"/>
        </w:rPr>
        <w:t xml:space="preserve">Brozicek p. Włochom, </w:t>
      </w:r>
      <w:r w:rsidRPr="003D74F3">
        <w:rPr>
          <w:lang w:val="pl-PL"/>
        </w:rPr>
        <w:t>skarga nr 10964/84, 19</w:t>
      </w:r>
      <w:r w:rsidR="00F13BAC">
        <w:rPr>
          <w:lang w:val="pl-PL"/>
        </w:rPr>
        <w:t> </w:t>
      </w:r>
      <w:r w:rsidRPr="003D74F3">
        <w:rPr>
          <w:lang w:val="pl-PL"/>
        </w:rPr>
        <w:t xml:space="preserve">grudnia 1989 r., § 34, seria A nr 167, </w:t>
      </w:r>
      <w:r w:rsidRPr="003D74F3">
        <w:rPr>
          <w:i/>
          <w:iCs/>
          <w:lang w:val="pl-PL"/>
        </w:rPr>
        <w:t xml:space="preserve">Immobiliare Saffi p. Włochom </w:t>
      </w:r>
      <w:r w:rsidRPr="003D74F3">
        <w:rPr>
          <w:lang w:val="pl-PL"/>
        </w:rPr>
        <w:t>[WI], skarga nr</w:t>
      </w:r>
      <w:r w:rsidR="009F3BFE">
        <w:rPr>
          <w:vertAlign w:val="superscript"/>
          <w:lang w:val="pl-PL"/>
        </w:rPr>
        <w:t xml:space="preserve"> </w:t>
      </w:r>
      <w:r w:rsidRPr="003D74F3">
        <w:rPr>
          <w:lang w:val="pl-PL"/>
        </w:rPr>
        <w:t xml:space="preserve">22774/93, § 42, </w:t>
      </w:r>
      <w:r w:rsidR="009F3BFE">
        <w:rPr>
          <w:lang w:val="pl-PL"/>
        </w:rPr>
        <w:t>ETPC</w:t>
      </w:r>
      <w:r w:rsidRPr="003D74F3">
        <w:rPr>
          <w:lang w:val="pl-PL"/>
        </w:rPr>
        <w:t xml:space="preserve"> 1999</w:t>
      </w:r>
      <w:r w:rsidRPr="003D74F3">
        <w:rPr>
          <w:lang w:val="pl-PL"/>
        </w:rPr>
        <w:noBreakHyphen/>
        <w:t xml:space="preserve">V, </w:t>
      </w:r>
      <w:r w:rsidRPr="003D74F3">
        <w:rPr>
          <w:i/>
          <w:iCs/>
          <w:lang w:val="pl-PL"/>
        </w:rPr>
        <w:t>C.G.I.L. i</w:t>
      </w:r>
      <w:r w:rsidR="009F3BFE">
        <w:rPr>
          <w:i/>
          <w:iCs/>
          <w:lang w:val="pl-PL"/>
        </w:rPr>
        <w:t xml:space="preserve"> </w:t>
      </w:r>
      <w:r w:rsidRPr="003D74F3">
        <w:rPr>
          <w:i/>
          <w:iCs/>
          <w:lang w:val="pl-PL"/>
        </w:rPr>
        <w:t>Cofferati p.</w:t>
      </w:r>
      <w:r w:rsidR="009F3BFE">
        <w:rPr>
          <w:i/>
          <w:iCs/>
          <w:lang w:val="pl-PL"/>
        </w:rPr>
        <w:t xml:space="preserve"> </w:t>
      </w:r>
      <w:r w:rsidRPr="003D74F3">
        <w:rPr>
          <w:i/>
          <w:iCs/>
          <w:lang w:val="pl-PL"/>
        </w:rPr>
        <w:t>Włochom</w:t>
      </w:r>
      <w:r w:rsidRPr="003D74F3">
        <w:rPr>
          <w:lang w:val="pl-PL"/>
        </w:rPr>
        <w:t>, skarga nr</w:t>
      </w:r>
      <w:r w:rsidR="009F3BFE">
        <w:rPr>
          <w:vertAlign w:val="superscript"/>
          <w:lang w:val="pl-PL"/>
        </w:rPr>
        <w:t xml:space="preserve"> </w:t>
      </w:r>
      <w:r w:rsidRPr="003D74F3">
        <w:rPr>
          <w:lang w:val="pl-PL"/>
        </w:rPr>
        <w:t xml:space="preserve">46967/07, </w:t>
      </w:r>
      <w:r w:rsidRPr="003D74F3">
        <w:rPr>
          <w:snapToGrid w:val="0"/>
          <w:lang w:val="pl-PL"/>
        </w:rPr>
        <w:t>§</w:t>
      </w:r>
      <w:r w:rsidR="009F3BFE">
        <w:rPr>
          <w:snapToGrid w:val="0"/>
          <w:lang w:val="pl-PL"/>
        </w:rPr>
        <w:t xml:space="preserve"> </w:t>
      </w:r>
      <w:r w:rsidRPr="003D74F3">
        <w:rPr>
          <w:snapToGrid w:val="0"/>
          <w:lang w:val="pl-PL"/>
        </w:rPr>
        <w:t xml:space="preserve">48, 24 </w:t>
      </w:r>
      <w:r w:rsidRPr="003D74F3">
        <w:rPr>
          <w:lang w:val="pl-PL"/>
        </w:rPr>
        <w:t>flutego</w:t>
      </w:r>
      <w:r w:rsidRPr="003D74F3">
        <w:rPr>
          <w:snapToGrid w:val="0"/>
          <w:lang w:val="pl-PL"/>
        </w:rPr>
        <w:t xml:space="preserve"> 2009 r., </w:t>
      </w:r>
      <w:r w:rsidRPr="003D74F3">
        <w:rPr>
          <w:i/>
          <w:iCs/>
          <w:lang w:val="pl-PL"/>
        </w:rPr>
        <w:t>Scoppola p. Włochom</w:t>
      </w:r>
      <w:r w:rsidRPr="003D74F3">
        <w:rPr>
          <w:lang w:val="pl-PL"/>
        </w:rPr>
        <w:t xml:space="preserve"> (nr</w:t>
      </w:r>
      <w:r w:rsidR="009F3BFE">
        <w:rPr>
          <w:vertAlign w:val="superscript"/>
          <w:lang w:val="pl-PL"/>
        </w:rPr>
        <w:t xml:space="preserve"> </w:t>
      </w:r>
      <w:r w:rsidRPr="003D74F3">
        <w:rPr>
          <w:rFonts w:ascii="Times New (W1)" w:hAnsi="Times New (W1)" w:cs="Times New (W1)"/>
          <w:lang w:val="pl-PL"/>
        </w:rPr>
        <w:t>2)</w:t>
      </w:r>
      <w:r w:rsidRPr="003D74F3">
        <w:rPr>
          <w:lang w:val="pl-PL"/>
        </w:rPr>
        <w:t xml:space="preserve"> [WI], skarga nr</w:t>
      </w:r>
      <w:r w:rsidR="009F3BFE">
        <w:rPr>
          <w:vertAlign w:val="superscript"/>
          <w:lang w:val="pl-PL"/>
        </w:rPr>
        <w:t xml:space="preserve"> </w:t>
      </w:r>
      <w:r w:rsidRPr="003D74F3">
        <w:rPr>
          <w:lang w:val="pl-PL"/>
        </w:rPr>
        <w:t xml:space="preserve">10249/03, § 75, 17 września 2009 r. oraz </w:t>
      </w:r>
      <w:r w:rsidRPr="003D74F3">
        <w:rPr>
          <w:i/>
          <w:iCs/>
          <w:snapToGrid w:val="0"/>
          <w:lang w:val="pl-PL"/>
        </w:rPr>
        <w:t>M.C. i Inni p.</w:t>
      </w:r>
      <w:r w:rsidR="00F13BAC">
        <w:rPr>
          <w:i/>
          <w:iCs/>
          <w:snapToGrid w:val="0"/>
          <w:lang w:val="pl-PL"/>
        </w:rPr>
        <w:t> </w:t>
      </w:r>
      <w:r w:rsidRPr="003D74F3">
        <w:rPr>
          <w:i/>
          <w:iCs/>
          <w:snapToGrid w:val="0"/>
          <w:lang w:val="pl-PL"/>
        </w:rPr>
        <w:t>Włochom</w:t>
      </w:r>
      <w:r w:rsidRPr="003D74F3">
        <w:rPr>
          <w:snapToGrid w:val="0"/>
          <w:lang w:val="pl-PL"/>
        </w:rPr>
        <w:t>, skarga nr 5376/11, § 47, 3</w:t>
      </w:r>
      <w:r w:rsidR="009F3BFE">
        <w:rPr>
          <w:snapToGrid w:val="0"/>
          <w:lang w:val="pl-PL"/>
        </w:rPr>
        <w:t xml:space="preserve"> </w:t>
      </w:r>
      <w:r w:rsidRPr="003D74F3">
        <w:rPr>
          <w:snapToGrid w:val="0"/>
          <w:lang w:val="pl-PL"/>
        </w:rPr>
        <w:t>września 2013 r.).</w:t>
      </w:r>
    </w:p>
    <w:p w14:paraId="13383EB9" w14:textId="1C477041" w:rsidR="00EE4B82" w:rsidRPr="003D74F3" w:rsidRDefault="00EE4B82" w:rsidP="00ED40FA">
      <w:pPr>
        <w:pStyle w:val="ECHRPara"/>
        <w:rPr>
          <w:lang w:val="pl-PL"/>
        </w:rPr>
      </w:pPr>
      <w:r w:rsidRPr="003D74F3">
        <w:rPr>
          <w:noProof/>
          <w:lang w:val="pl-PL"/>
        </w:rPr>
        <w:t>126</w:t>
      </w:r>
      <w:r w:rsidRPr="003D74F3">
        <w:rPr>
          <w:lang w:val="pl-PL"/>
        </w:rPr>
        <w:t>.</w:t>
      </w:r>
      <w:r w:rsidR="009F3BFE">
        <w:rPr>
          <w:lang w:val="pl-PL"/>
        </w:rPr>
        <w:t xml:space="preserve"> </w:t>
      </w:r>
      <w:r w:rsidRPr="003D74F3">
        <w:rPr>
          <w:lang w:val="pl-PL"/>
        </w:rPr>
        <w:t>Trybunał zauważa również, że zgodnie z dekretem z mocą ustawy nr</w:t>
      </w:r>
      <w:r w:rsidR="00F13BAC">
        <w:rPr>
          <w:lang w:val="pl-PL"/>
        </w:rPr>
        <w:t> </w:t>
      </w:r>
      <w:r w:rsidRPr="003D74F3">
        <w:rPr>
          <w:lang w:val="pl-PL"/>
        </w:rPr>
        <w:t>152/06 jedynie Ministerstwo Środowiska może domagać się odszkodowania za szkody ekologiczne, podczas gdy osoby prywatne mogą jedynie zwrócić się do niego o wniesienie sprawy do organów sądowych. Wynika z tego, że w każdym razie</w:t>
      </w:r>
      <w:r>
        <w:rPr>
          <w:lang w:val="pl-PL"/>
        </w:rPr>
        <w:t xml:space="preserve"> środki odwoławcze przewidziane</w:t>
      </w:r>
      <w:r w:rsidR="009F3BFE">
        <w:rPr>
          <w:lang w:val="pl-PL"/>
        </w:rPr>
        <w:t xml:space="preserve"> </w:t>
      </w:r>
      <w:r w:rsidRPr="003D74F3">
        <w:rPr>
          <w:lang w:val="pl-PL"/>
        </w:rPr>
        <w:t>w</w:t>
      </w:r>
      <w:r w:rsidR="00F13BAC">
        <w:rPr>
          <w:lang w:val="pl-PL"/>
        </w:rPr>
        <w:t> </w:t>
      </w:r>
      <w:r w:rsidRPr="003D74F3">
        <w:rPr>
          <w:lang w:val="pl-PL"/>
        </w:rPr>
        <w:t>omawianych przepisach nie pozwoliłyby skarżącym na powołanie się na</w:t>
      </w:r>
      <w:r w:rsidR="00F13BAC">
        <w:rPr>
          <w:lang w:val="pl-PL"/>
        </w:rPr>
        <w:t> </w:t>
      </w:r>
      <w:r w:rsidRPr="003D74F3">
        <w:rPr>
          <w:lang w:val="pl-PL"/>
        </w:rPr>
        <w:t xml:space="preserve">szkodę wynikającą ze szkód dla środowiska. W konsekwencji </w:t>
      </w:r>
      <w:r w:rsidR="005532A4">
        <w:rPr>
          <w:lang w:val="pl-PL"/>
        </w:rPr>
        <w:t>środki</w:t>
      </w:r>
      <w:r w:rsidRPr="003D74F3">
        <w:rPr>
          <w:lang w:val="pl-PL"/>
        </w:rPr>
        <w:t xml:space="preserve"> te nie</w:t>
      </w:r>
      <w:r w:rsidR="00F13BAC">
        <w:rPr>
          <w:lang w:val="pl-PL"/>
        </w:rPr>
        <w:t> </w:t>
      </w:r>
      <w:r w:rsidRPr="003D74F3">
        <w:rPr>
          <w:lang w:val="pl-PL"/>
        </w:rPr>
        <w:t>mogą być uznane za skuteczne środki odwoławcze w rozumieniu art. 35 ust.</w:t>
      </w:r>
      <w:r w:rsidR="009F3BFE">
        <w:rPr>
          <w:lang w:val="pl-PL"/>
        </w:rPr>
        <w:t xml:space="preserve"> </w:t>
      </w:r>
      <w:r w:rsidRPr="003D74F3">
        <w:rPr>
          <w:lang w:val="pl-PL"/>
        </w:rPr>
        <w:t>1 Konwencji (</w:t>
      </w:r>
      <w:r w:rsidRPr="003D74F3">
        <w:rPr>
          <w:i/>
          <w:iCs/>
          <w:lang w:val="pl-PL"/>
        </w:rPr>
        <w:t>Di Sarno</w:t>
      </w:r>
      <w:r w:rsidRPr="003D74F3">
        <w:rPr>
          <w:lang w:val="pl-PL"/>
        </w:rPr>
        <w:t xml:space="preserve">, </w:t>
      </w:r>
      <w:r w:rsidRPr="003D74F3">
        <w:rPr>
          <w:i/>
          <w:iCs/>
          <w:lang w:val="pl-PL"/>
        </w:rPr>
        <w:t>op. cit.</w:t>
      </w:r>
      <w:r w:rsidRPr="003D74F3">
        <w:rPr>
          <w:lang w:val="pl-PL"/>
        </w:rPr>
        <w:t>, § 89).</w:t>
      </w:r>
    </w:p>
    <w:p w14:paraId="6FCAE8A4" w14:textId="77777777" w:rsidR="00EE4B82" w:rsidRPr="003D74F3" w:rsidRDefault="00EE4B82" w:rsidP="00ED40FA">
      <w:pPr>
        <w:pStyle w:val="ECHRPara"/>
        <w:rPr>
          <w:lang w:val="pl-PL"/>
        </w:rPr>
      </w:pPr>
      <w:r w:rsidRPr="003D74F3">
        <w:rPr>
          <w:noProof/>
          <w:lang w:val="pl-PL"/>
        </w:rPr>
        <w:lastRenderedPageBreak/>
        <w:t>127</w:t>
      </w:r>
      <w:r w:rsidRPr="003D74F3">
        <w:rPr>
          <w:lang w:val="pl-PL"/>
        </w:rPr>
        <w:t>.</w:t>
      </w:r>
      <w:r w:rsidR="009F3BFE">
        <w:rPr>
          <w:lang w:val="pl-PL"/>
        </w:rPr>
        <w:t xml:space="preserve"> </w:t>
      </w:r>
      <w:r w:rsidRPr="003D74F3">
        <w:rPr>
          <w:lang w:val="pl-PL"/>
        </w:rPr>
        <w:t>W świetle powyższego Trybunał uważa, że należy oddalić zastrzeżenie Rządu, zgodnie z którym krajowe środki odwoławcze nie zostały wyczerpane.</w:t>
      </w:r>
    </w:p>
    <w:p w14:paraId="564BC693" w14:textId="77777777" w:rsidR="00EE4B82" w:rsidRPr="003D74F3" w:rsidRDefault="00EE4B82" w:rsidP="00ED40FA">
      <w:pPr>
        <w:pStyle w:val="ECHRHeading3"/>
        <w:rPr>
          <w:lang w:val="pl-PL"/>
        </w:rPr>
      </w:pPr>
      <w:r w:rsidRPr="003D74F3">
        <w:rPr>
          <w:lang w:val="pl-PL"/>
        </w:rPr>
        <w:t>3.</w:t>
      </w:r>
      <w:r w:rsidR="009F3BFE">
        <w:rPr>
          <w:lang w:val="pl-PL"/>
        </w:rPr>
        <w:t xml:space="preserve"> </w:t>
      </w:r>
      <w:r w:rsidRPr="003D74F3">
        <w:rPr>
          <w:lang w:val="pl-PL"/>
        </w:rPr>
        <w:t>W przedmiocie przestrzegania terminu sześciu miesięcy</w:t>
      </w:r>
    </w:p>
    <w:p w14:paraId="340DDDEE" w14:textId="77777777" w:rsidR="00EE4B82" w:rsidRPr="003D74F3" w:rsidRDefault="00EE4B82" w:rsidP="00ED40FA">
      <w:pPr>
        <w:pStyle w:val="ECHRHeading4"/>
        <w:rPr>
          <w:lang w:val="pl-PL"/>
        </w:rPr>
      </w:pPr>
      <w:r w:rsidRPr="003D74F3">
        <w:rPr>
          <w:lang w:val="pl-PL"/>
        </w:rPr>
        <w:t>a)</w:t>
      </w:r>
      <w:r w:rsidR="009F3BFE">
        <w:rPr>
          <w:lang w:val="pl-PL"/>
        </w:rPr>
        <w:t xml:space="preserve"> </w:t>
      </w:r>
      <w:r w:rsidRPr="003D74F3">
        <w:rPr>
          <w:lang w:val="pl-PL"/>
        </w:rPr>
        <w:t>Stanowisko Rządu</w:t>
      </w:r>
    </w:p>
    <w:p w14:paraId="1307B5DA" w14:textId="7BAA40EE" w:rsidR="00EE4B82" w:rsidRPr="003D74F3" w:rsidRDefault="00EE4B82" w:rsidP="00ED40FA">
      <w:pPr>
        <w:pStyle w:val="ECHRPara"/>
        <w:rPr>
          <w:lang w:val="pl-PL"/>
        </w:rPr>
      </w:pPr>
      <w:r w:rsidRPr="003D74F3">
        <w:rPr>
          <w:noProof/>
          <w:lang w:val="pl-PL"/>
        </w:rPr>
        <w:t>128</w:t>
      </w:r>
      <w:r w:rsidRPr="003D74F3">
        <w:rPr>
          <w:lang w:val="pl-PL"/>
        </w:rPr>
        <w:t>.</w:t>
      </w:r>
      <w:r w:rsidR="009F3BFE">
        <w:rPr>
          <w:lang w:val="pl-PL"/>
        </w:rPr>
        <w:t xml:space="preserve"> </w:t>
      </w:r>
      <w:r w:rsidRPr="003D74F3">
        <w:rPr>
          <w:lang w:val="pl-PL"/>
        </w:rPr>
        <w:t>Rząd stwierdza, że skarżący od dziesięcioleci mieszkali na</w:t>
      </w:r>
      <w:r w:rsidR="00F13BAC">
        <w:rPr>
          <w:lang w:val="pl-PL"/>
        </w:rPr>
        <w:t> </w:t>
      </w:r>
      <w:r w:rsidRPr="003D74F3">
        <w:rPr>
          <w:lang w:val="pl-PL"/>
        </w:rPr>
        <w:t>przedmiotowych obszarach oraz że do tej pory nigdy nie zgłaszali swoich skarg. Osoby te nie zastosowały się zatem do zasady sześciu miesięcy określonej w art. 35 Konwencji.</w:t>
      </w:r>
    </w:p>
    <w:p w14:paraId="29D81D20" w14:textId="77777777" w:rsidR="00EE4B82" w:rsidRPr="003D74F3" w:rsidRDefault="00EE4B82" w:rsidP="00ED40FA">
      <w:pPr>
        <w:pStyle w:val="ECHRHeading4"/>
        <w:rPr>
          <w:lang w:val="pl-PL"/>
        </w:rPr>
      </w:pPr>
      <w:r w:rsidRPr="003D74F3">
        <w:rPr>
          <w:lang w:val="pl-PL"/>
        </w:rPr>
        <w:t>b) Stanowisko skarżących</w:t>
      </w:r>
    </w:p>
    <w:p w14:paraId="62E21F8D" w14:textId="4D89EA10" w:rsidR="00EE4B82" w:rsidRPr="003D74F3" w:rsidRDefault="00EE4B82" w:rsidP="00ED40FA">
      <w:pPr>
        <w:pStyle w:val="ECHRPara"/>
        <w:rPr>
          <w:lang w:val="pl-PL"/>
        </w:rPr>
      </w:pPr>
      <w:r w:rsidRPr="003D74F3">
        <w:rPr>
          <w:noProof/>
          <w:lang w:val="pl-PL"/>
        </w:rPr>
        <w:t>129</w:t>
      </w:r>
      <w:r w:rsidRPr="003D74F3">
        <w:rPr>
          <w:lang w:val="pl-PL"/>
        </w:rPr>
        <w:t>.</w:t>
      </w:r>
      <w:r w:rsidR="009F3BFE">
        <w:rPr>
          <w:lang w:val="pl-PL"/>
        </w:rPr>
        <w:t xml:space="preserve"> </w:t>
      </w:r>
      <w:r w:rsidRPr="003D74F3">
        <w:rPr>
          <w:lang w:val="pl-PL"/>
        </w:rPr>
        <w:t>Skarżący kwestionują, jakoby złożyli swoje skargi po terminie. Utrzymują oni, że nie mają skutecznych środków odwoławczych, aby</w:t>
      </w:r>
      <w:r w:rsidR="00F13BAC">
        <w:rPr>
          <w:lang w:val="pl-PL"/>
        </w:rPr>
        <w:t> </w:t>
      </w:r>
      <w:r w:rsidRPr="003D74F3">
        <w:rPr>
          <w:lang w:val="pl-PL"/>
        </w:rPr>
        <w:t xml:space="preserve">zgłaszać skargi na szkodliwy wpływ działalności produkcyjnej spółki Ilva na ich zdrowie i środowisko. Ponadto skarżący twierdzą, że procedury wszczęte przez niektórych z nich w celu dochodzenia swoich praw (paragraf </w:t>
      </w:r>
      <w:r w:rsidRPr="003D74F3">
        <w:rPr>
          <w:noProof/>
          <w:lang w:val="pl-PL"/>
        </w:rPr>
        <w:t>74</w:t>
      </w:r>
      <w:r w:rsidRPr="003D74F3">
        <w:rPr>
          <w:lang w:val="pl-PL"/>
        </w:rPr>
        <w:t xml:space="preserve"> powyżej) były nieskuteczne.</w:t>
      </w:r>
    </w:p>
    <w:p w14:paraId="17E156A4" w14:textId="77777777" w:rsidR="00EE4B82" w:rsidRPr="003D74F3" w:rsidRDefault="00EE4B82" w:rsidP="00ED40FA">
      <w:pPr>
        <w:pStyle w:val="ECHRPara"/>
        <w:rPr>
          <w:lang w:val="pl-PL"/>
        </w:rPr>
      </w:pPr>
      <w:r w:rsidRPr="003D74F3">
        <w:rPr>
          <w:noProof/>
          <w:lang w:val="pl-PL"/>
        </w:rPr>
        <w:t>130</w:t>
      </w:r>
      <w:r w:rsidRPr="003D74F3">
        <w:rPr>
          <w:lang w:val="pl-PL"/>
        </w:rPr>
        <w:t>.</w:t>
      </w:r>
      <w:r w:rsidR="009F3BFE">
        <w:rPr>
          <w:lang w:val="pl-PL"/>
        </w:rPr>
        <w:t xml:space="preserve"> </w:t>
      </w:r>
      <w:r w:rsidRPr="003D74F3">
        <w:rPr>
          <w:lang w:val="pl-PL"/>
        </w:rPr>
        <w:t>Skarżący wskazują, że w każdym razie zarzucane przez nich naruszenia mają charakter ciągły, ponieważ wynikają z braku w</w:t>
      </w:r>
      <w:r w:rsidR="005532A4">
        <w:rPr>
          <w:lang w:val="pl-PL"/>
        </w:rPr>
        <w:t>drożenia</w:t>
      </w:r>
      <w:r w:rsidRPr="003D74F3">
        <w:rPr>
          <w:lang w:val="pl-PL"/>
        </w:rPr>
        <w:t xml:space="preserve"> przez państwo środków przewidzianych przez AIA i</w:t>
      </w:r>
      <w:r w:rsidR="009F3BFE">
        <w:rPr>
          <w:lang w:val="pl-PL"/>
        </w:rPr>
        <w:t xml:space="preserve"> </w:t>
      </w:r>
      <w:r w:rsidRPr="003D74F3">
        <w:rPr>
          <w:lang w:val="pl-PL"/>
        </w:rPr>
        <w:t xml:space="preserve">określonych w planie ochrony środowiska. Dlatego też uważają, że w tym przypadku okres sześciu miesięcy powinien rozpoczynać się dopiero od momentu zaprzestania </w:t>
      </w:r>
      <w:r w:rsidR="005532A4">
        <w:rPr>
          <w:lang w:val="pl-PL"/>
        </w:rPr>
        <w:t xml:space="preserve">zarzucanych </w:t>
      </w:r>
      <w:r w:rsidRPr="003D74F3">
        <w:rPr>
          <w:lang w:val="pl-PL"/>
        </w:rPr>
        <w:t>naruszeń.</w:t>
      </w:r>
    </w:p>
    <w:p w14:paraId="3AC59311" w14:textId="77777777" w:rsidR="00EE4B82" w:rsidRPr="003D74F3" w:rsidRDefault="00EE4B82" w:rsidP="00ED40FA">
      <w:pPr>
        <w:pStyle w:val="ECHRHeading4"/>
        <w:rPr>
          <w:lang w:val="pl-PL"/>
        </w:rPr>
      </w:pPr>
      <w:r w:rsidRPr="003D74F3">
        <w:rPr>
          <w:lang w:val="pl-PL"/>
        </w:rPr>
        <w:t>c)</w:t>
      </w:r>
      <w:r w:rsidR="009F3BFE">
        <w:rPr>
          <w:lang w:val="pl-PL"/>
        </w:rPr>
        <w:t xml:space="preserve"> </w:t>
      </w:r>
      <w:r w:rsidRPr="003D74F3">
        <w:rPr>
          <w:lang w:val="pl-PL"/>
        </w:rPr>
        <w:t>Ocena Trybunału</w:t>
      </w:r>
    </w:p>
    <w:p w14:paraId="48A7C393" w14:textId="53DCDED0" w:rsidR="00EE4B82" w:rsidRPr="003D74F3" w:rsidRDefault="00EE4B82" w:rsidP="00ED40FA">
      <w:pPr>
        <w:pStyle w:val="ECHRPara"/>
        <w:rPr>
          <w:lang w:val="pl-PL"/>
        </w:rPr>
      </w:pPr>
      <w:r w:rsidRPr="003D74F3">
        <w:rPr>
          <w:noProof/>
          <w:lang w:val="pl-PL"/>
        </w:rPr>
        <w:t>131</w:t>
      </w:r>
      <w:r w:rsidRPr="003D74F3">
        <w:rPr>
          <w:lang w:val="pl-PL"/>
        </w:rPr>
        <w:t>.</w:t>
      </w:r>
      <w:r w:rsidR="009F3BFE">
        <w:rPr>
          <w:lang w:val="pl-PL"/>
        </w:rPr>
        <w:t xml:space="preserve"> </w:t>
      </w:r>
      <w:r w:rsidRPr="003D74F3">
        <w:rPr>
          <w:lang w:val="pl-PL"/>
        </w:rPr>
        <w:t>Trybunał zauważ</w:t>
      </w:r>
      <w:r w:rsidR="005532A4">
        <w:rPr>
          <w:lang w:val="pl-PL"/>
        </w:rPr>
        <w:t>a</w:t>
      </w:r>
      <w:r w:rsidRPr="003D74F3">
        <w:rPr>
          <w:lang w:val="pl-PL"/>
        </w:rPr>
        <w:t>, że przedmiotem skargi skarżących nie jest czyn jednorazowy, lecz sytuacja zanieczyszczenia środowiska, która trwa od</w:t>
      </w:r>
      <w:r w:rsidR="00F13BAC">
        <w:rPr>
          <w:lang w:val="pl-PL"/>
        </w:rPr>
        <w:t> </w:t>
      </w:r>
      <w:r w:rsidRPr="003D74F3">
        <w:rPr>
          <w:lang w:val="pl-PL"/>
        </w:rPr>
        <w:t xml:space="preserve">dziesięcioleci. Trybunał przypomina, że jeżeli </w:t>
      </w:r>
      <w:r w:rsidR="005532A4">
        <w:rPr>
          <w:lang w:val="pl-PL"/>
        </w:rPr>
        <w:t xml:space="preserve">zarzucane </w:t>
      </w:r>
      <w:r w:rsidRPr="003D74F3">
        <w:rPr>
          <w:lang w:val="pl-PL"/>
        </w:rPr>
        <w:t>naruszenie stanowi, jak w niniejszej sprawie, sytuację ciągłą, termin sześciu miesięcy nie zaczyna biec, dopóki sytuacja ciągła nie dobiegnie końca (zob.</w:t>
      </w:r>
      <w:r w:rsidR="00F13BAC">
        <w:rPr>
          <w:lang w:val="pl-PL"/>
        </w:rPr>
        <w:t> </w:t>
      </w:r>
      <w:r w:rsidRPr="003D74F3">
        <w:rPr>
          <w:lang w:val="pl-PL"/>
        </w:rPr>
        <w:t>m.in.</w:t>
      </w:r>
      <w:r w:rsidR="00F13BAC">
        <w:rPr>
          <w:lang w:val="pl-PL"/>
        </w:rPr>
        <w:t> </w:t>
      </w:r>
      <w:r w:rsidRPr="003D74F3">
        <w:rPr>
          <w:i/>
          <w:iCs/>
          <w:lang w:val="pl-PL"/>
        </w:rPr>
        <w:t>Çınar</w:t>
      </w:r>
      <w:r w:rsidR="009F3BFE">
        <w:rPr>
          <w:i/>
          <w:iCs/>
          <w:lang w:val="pl-PL"/>
        </w:rPr>
        <w:t xml:space="preserve"> </w:t>
      </w:r>
      <w:r w:rsidRPr="003D74F3">
        <w:rPr>
          <w:i/>
          <w:iCs/>
          <w:lang w:val="pl-PL"/>
        </w:rPr>
        <w:t>p. Turcji</w:t>
      </w:r>
      <w:r w:rsidRPr="003D74F3">
        <w:rPr>
          <w:lang w:val="pl-PL"/>
        </w:rPr>
        <w:t>, skarga nr</w:t>
      </w:r>
      <w:r w:rsidR="009F3BFE">
        <w:rPr>
          <w:lang w:val="pl-PL"/>
        </w:rPr>
        <w:t xml:space="preserve"> </w:t>
      </w:r>
      <w:r w:rsidRPr="003D74F3">
        <w:rPr>
          <w:lang w:val="pl-PL"/>
        </w:rPr>
        <w:t>17864/91, decyzja Komisji z dnia 5</w:t>
      </w:r>
      <w:r w:rsidR="00F13BAC">
        <w:rPr>
          <w:lang w:val="pl-PL"/>
        </w:rPr>
        <w:t> </w:t>
      </w:r>
      <w:r w:rsidRPr="003D74F3">
        <w:rPr>
          <w:lang w:val="pl-PL"/>
        </w:rPr>
        <w:t>września 1994 r.</w:t>
      </w:r>
      <w:r w:rsidR="00947F4E">
        <w:rPr>
          <w:lang w:val="pl-PL"/>
        </w:rPr>
        <w:t>,</w:t>
      </w:r>
      <w:r w:rsidRPr="003D74F3">
        <w:rPr>
          <w:lang w:val="pl-PL"/>
        </w:rPr>
        <w:t xml:space="preserve"> oraz </w:t>
      </w:r>
      <w:r w:rsidRPr="003D74F3">
        <w:rPr>
          <w:i/>
          <w:iCs/>
          <w:lang w:val="pl-PL"/>
        </w:rPr>
        <w:t>Ülke p. Turcji</w:t>
      </w:r>
      <w:r w:rsidRPr="003D74F3">
        <w:rPr>
          <w:lang w:val="pl-PL"/>
        </w:rPr>
        <w:t xml:space="preserve"> (déc.), skarga nr 39437/98, 1 czerwca 2004 r.).</w:t>
      </w:r>
    </w:p>
    <w:p w14:paraId="6706B46B" w14:textId="77777777" w:rsidR="00EE4B82" w:rsidRPr="003D74F3" w:rsidRDefault="00EE4B82" w:rsidP="00ED40FA">
      <w:pPr>
        <w:pStyle w:val="ECHRPara"/>
        <w:rPr>
          <w:lang w:val="pl-PL"/>
        </w:rPr>
      </w:pPr>
      <w:r w:rsidRPr="003D74F3">
        <w:rPr>
          <w:noProof/>
          <w:lang w:val="pl-PL"/>
        </w:rPr>
        <w:t>132</w:t>
      </w:r>
      <w:r w:rsidRPr="003D74F3">
        <w:rPr>
          <w:lang w:val="pl-PL"/>
        </w:rPr>
        <w:t>.</w:t>
      </w:r>
      <w:r w:rsidR="009F3BFE">
        <w:rPr>
          <w:lang w:val="pl-PL"/>
        </w:rPr>
        <w:t xml:space="preserve"> </w:t>
      </w:r>
      <w:r w:rsidRPr="003D74F3">
        <w:rPr>
          <w:lang w:val="pl-PL"/>
        </w:rPr>
        <w:t>Dlatego Trybunał uważa, że zastrzeżenie Rządu należy oddalić.</w:t>
      </w:r>
    </w:p>
    <w:p w14:paraId="07445ACB" w14:textId="77777777" w:rsidR="00EE4B82" w:rsidRPr="003D74F3" w:rsidRDefault="00EE4B82" w:rsidP="00ED40FA">
      <w:pPr>
        <w:pStyle w:val="ECHRHeading3"/>
        <w:rPr>
          <w:lang w:val="pl-PL"/>
        </w:rPr>
      </w:pPr>
      <w:r w:rsidRPr="003D74F3">
        <w:rPr>
          <w:lang w:val="pl-PL"/>
        </w:rPr>
        <w:t>4.</w:t>
      </w:r>
      <w:r w:rsidR="009F3BFE">
        <w:rPr>
          <w:lang w:val="pl-PL"/>
        </w:rPr>
        <w:t xml:space="preserve"> </w:t>
      </w:r>
      <w:r w:rsidRPr="003D74F3">
        <w:rPr>
          <w:lang w:val="pl-PL"/>
        </w:rPr>
        <w:t>W przedmiocie istnienia znaczącego uszczerbku</w:t>
      </w:r>
    </w:p>
    <w:p w14:paraId="645BE321" w14:textId="77777777" w:rsidR="00EE4B82" w:rsidRPr="003D74F3" w:rsidRDefault="00EE4B82" w:rsidP="00ED40FA">
      <w:pPr>
        <w:pStyle w:val="ECHRHeading4"/>
        <w:rPr>
          <w:lang w:val="pl-PL"/>
        </w:rPr>
      </w:pPr>
      <w:r w:rsidRPr="003D74F3">
        <w:rPr>
          <w:lang w:val="pl-PL"/>
        </w:rPr>
        <w:t>a)</w:t>
      </w:r>
      <w:r w:rsidR="009F3BFE">
        <w:rPr>
          <w:lang w:val="pl-PL"/>
        </w:rPr>
        <w:t xml:space="preserve"> </w:t>
      </w:r>
      <w:r w:rsidRPr="003D74F3">
        <w:rPr>
          <w:lang w:val="pl-PL"/>
        </w:rPr>
        <w:t>Stanowisko Rządu</w:t>
      </w:r>
    </w:p>
    <w:p w14:paraId="34254A79" w14:textId="5B5CAC60" w:rsidR="00EE4B82" w:rsidRPr="003D74F3" w:rsidRDefault="00EE4B82" w:rsidP="00ED40FA">
      <w:pPr>
        <w:pStyle w:val="ECHRPara"/>
        <w:rPr>
          <w:lang w:val="pl-PL"/>
        </w:rPr>
      </w:pPr>
      <w:r w:rsidRPr="003D74F3">
        <w:rPr>
          <w:noProof/>
          <w:lang w:val="pl-PL"/>
        </w:rPr>
        <w:t>133</w:t>
      </w:r>
      <w:r w:rsidRPr="003D74F3">
        <w:rPr>
          <w:lang w:val="pl-PL"/>
        </w:rPr>
        <w:t>.</w:t>
      </w:r>
      <w:r w:rsidR="009F3BFE">
        <w:rPr>
          <w:lang w:val="pl-PL"/>
        </w:rPr>
        <w:t xml:space="preserve"> </w:t>
      </w:r>
      <w:r w:rsidRPr="003D74F3">
        <w:rPr>
          <w:lang w:val="pl-PL"/>
        </w:rPr>
        <w:t>Wreszcie, Rząd podn</w:t>
      </w:r>
      <w:r w:rsidR="004E6011">
        <w:rPr>
          <w:lang w:val="pl-PL"/>
        </w:rPr>
        <w:t>osi</w:t>
      </w:r>
      <w:r w:rsidRPr="003D74F3">
        <w:rPr>
          <w:lang w:val="pl-PL"/>
        </w:rPr>
        <w:t>, na podstawie art. 35 ust. 3 lit. b Konwencji, że odniesienie się – jego zdaniem – w sposób ogólny do zanieczyszczenia i</w:t>
      </w:r>
      <w:r w:rsidR="00F13BAC">
        <w:rPr>
          <w:lang w:val="pl-PL"/>
        </w:rPr>
        <w:t> </w:t>
      </w:r>
      <w:r w:rsidRPr="003D74F3">
        <w:rPr>
          <w:lang w:val="pl-PL"/>
        </w:rPr>
        <w:t xml:space="preserve">jego wpływu na zdrowie skarżących, bez wskazania jakichkolwiek elementów faktycznych potwierdzających twierdzenie skarżących, nie jest </w:t>
      </w:r>
      <w:r w:rsidRPr="003D74F3">
        <w:rPr>
          <w:lang w:val="pl-PL"/>
        </w:rPr>
        <w:lastRenderedPageBreak/>
        <w:t xml:space="preserve">wystarczające, aby </w:t>
      </w:r>
      <w:r w:rsidR="00947F4E">
        <w:rPr>
          <w:lang w:val="pl-PL"/>
        </w:rPr>
        <w:t>zarzucany uszczerbek został zakwalifikowany jako znaczący</w:t>
      </w:r>
      <w:r w:rsidRPr="003D74F3">
        <w:rPr>
          <w:lang w:val="pl-PL"/>
        </w:rPr>
        <w:t>.</w:t>
      </w:r>
    </w:p>
    <w:p w14:paraId="15A6C380" w14:textId="77777777" w:rsidR="00EE4B82" w:rsidRPr="003D74F3" w:rsidRDefault="00EE4B82" w:rsidP="00ED40FA">
      <w:pPr>
        <w:pStyle w:val="ECHRHeading4"/>
        <w:rPr>
          <w:lang w:val="pl-PL"/>
        </w:rPr>
      </w:pPr>
      <w:r w:rsidRPr="003D74F3">
        <w:rPr>
          <w:lang w:val="pl-PL"/>
        </w:rPr>
        <w:t>b) Stanowisko skarżących</w:t>
      </w:r>
    </w:p>
    <w:p w14:paraId="39A6BA2D" w14:textId="77777777" w:rsidR="00EE4B82" w:rsidRPr="003D74F3" w:rsidRDefault="00EE4B82" w:rsidP="00ED40FA">
      <w:pPr>
        <w:pStyle w:val="ECHRPara"/>
        <w:rPr>
          <w:lang w:val="pl-PL"/>
        </w:rPr>
      </w:pPr>
      <w:r w:rsidRPr="003D74F3">
        <w:rPr>
          <w:noProof/>
          <w:lang w:val="pl-PL"/>
        </w:rPr>
        <w:t>134</w:t>
      </w:r>
      <w:r w:rsidRPr="003D74F3">
        <w:rPr>
          <w:lang w:val="pl-PL"/>
        </w:rPr>
        <w:t>.</w:t>
      </w:r>
      <w:r w:rsidR="009F3BFE">
        <w:rPr>
          <w:lang w:val="pl-PL"/>
        </w:rPr>
        <w:t xml:space="preserve"> </w:t>
      </w:r>
      <w:r w:rsidRPr="003D74F3">
        <w:rPr>
          <w:lang w:val="pl-PL"/>
        </w:rPr>
        <w:t>Skarżący kwestionują tę tezę.</w:t>
      </w:r>
    </w:p>
    <w:p w14:paraId="4C411E6C" w14:textId="77777777" w:rsidR="00EE4B82" w:rsidRPr="003D74F3" w:rsidRDefault="00EE4B82" w:rsidP="00ED40FA">
      <w:pPr>
        <w:pStyle w:val="ECHRHeading4"/>
        <w:rPr>
          <w:lang w:val="pl-PL"/>
        </w:rPr>
      </w:pPr>
      <w:r w:rsidRPr="003D74F3">
        <w:rPr>
          <w:lang w:val="pl-PL"/>
        </w:rPr>
        <w:t>c)</w:t>
      </w:r>
      <w:r w:rsidR="009F3BFE">
        <w:rPr>
          <w:lang w:val="pl-PL"/>
        </w:rPr>
        <w:t xml:space="preserve"> </w:t>
      </w:r>
      <w:r w:rsidRPr="003D74F3">
        <w:rPr>
          <w:lang w:val="pl-PL"/>
        </w:rPr>
        <w:t>Ocena Trybunału</w:t>
      </w:r>
    </w:p>
    <w:p w14:paraId="7938F969" w14:textId="0D4DBE69" w:rsidR="00EE4B82" w:rsidRPr="003D74F3" w:rsidRDefault="00EE4B82" w:rsidP="00ED40FA">
      <w:pPr>
        <w:pStyle w:val="ECHRPara"/>
        <w:rPr>
          <w:lang w:val="pl-PL"/>
        </w:rPr>
      </w:pPr>
      <w:r w:rsidRPr="003D74F3">
        <w:rPr>
          <w:noProof/>
          <w:lang w:val="pl-PL"/>
        </w:rPr>
        <w:t>135</w:t>
      </w:r>
      <w:r w:rsidRPr="003D74F3">
        <w:rPr>
          <w:lang w:val="pl-PL"/>
        </w:rPr>
        <w:t>.</w:t>
      </w:r>
      <w:r w:rsidR="009F3BFE">
        <w:rPr>
          <w:lang w:val="pl-PL"/>
        </w:rPr>
        <w:t xml:space="preserve"> </w:t>
      </w:r>
      <w:r w:rsidRPr="003D74F3">
        <w:rPr>
          <w:lang w:val="pl-PL"/>
        </w:rPr>
        <w:t>Trybunał przypom</w:t>
      </w:r>
      <w:r w:rsidR="004E6011">
        <w:rPr>
          <w:lang w:val="pl-PL"/>
        </w:rPr>
        <w:t>i</w:t>
      </w:r>
      <w:r w:rsidRPr="003D74F3">
        <w:rPr>
          <w:lang w:val="pl-PL"/>
        </w:rPr>
        <w:t>n</w:t>
      </w:r>
      <w:r w:rsidR="004E6011">
        <w:rPr>
          <w:lang w:val="pl-PL"/>
        </w:rPr>
        <w:t>a</w:t>
      </w:r>
      <w:r w:rsidRPr="003D74F3">
        <w:rPr>
          <w:lang w:val="pl-PL"/>
        </w:rPr>
        <w:t>, że kryterium braku znaczącego uszczerbku zostało opracowane w celu umożliwienia mu szybkiego rozpatrywania skarg o błahym charakterze, aby mógł skoncentrować się na swoim podstawowym zadaniu, jakim jest zapewnienie na poziomie europejskim ochrony prawnej praw gwarantowanych przez Konwencję i jej protokoły (</w:t>
      </w:r>
      <w:r w:rsidRPr="003D74F3">
        <w:rPr>
          <w:i/>
          <w:iCs/>
          <w:lang w:val="pl-PL"/>
        </w:rPr>
        <w:t>Stefanescu p.</w:t>
      </w:r>
      <w:r w:rsidR="00F13BAC">
        <w:rPr>
          <w:i/>
          <w:iCs/>
          <w:lang w:val="pl-PL"/>
        </w:rPr>
        <w:t> </w:t>
      </w:r>
      <w:r w:rsidRPr="003D74F3">
        <w:rPr>
          <w:i/>
          <w:iCs/>
          <w:lang w:val="pl-PL"/>
        </w:rPr>
        <w:t>Rumunii</w:t>
      </w:r>
      <w:r w:rsidRPr="003D74F3">
        <w:rPr>
          <w:lang w:val="pl-PL"/>
        </w:rPr>
        <w:t xml:space="preserve"> (déc.), skarga nr 11774/04, 12 kwietnia 2011 r., §</w:t>
      </w:r>
      <w:r w:rsidR="009F3BFE">
        <w:rPr>
          <w:lang w:val="pl-PL"/>
        </w:rPr>
        <w:t xml:space="preserve"> </w:t>
      </w:r>
      <w:r w:rsidRPr="003D74F3">
        <w:rPr>
          <w:lang w:val="pl-PL"/>
        </w:rPr>
        <w:t>35).</w:t>
      </w:r>
    </w:p>
    <w:p w14:paraId="19C52BBB" w14:textId="31FAA134" w:rsidR="00EE4B82" w:rsidRPr="003D74F3" w:rsidRDefault="00EE4B82" w:rsidP="00ED40FA">
      <w:pPr>
        <w:pStyle w:val="ECHRPara"/>
        <w:rPr>
          <w:lang w:val="pl-PL"/>
        </w:rPr>
      </w:pPr>
      <w:r w:rsidRPr="003D74F3">
        <w:rPr>
          <w:noProof/>
          <w:lang w:val="pl-PL"/>
        </w:rPr>
        <w:t>136</w:t>
      </w:r>
      <w:r w:rsidRPr="003D74F3">
        <w:rPr>
          <w:lang w:val="pl-PL"/>
        </w:rPr>
        <w:t>.</w:t>
      </w:r>
      <w:r w:rsidR="009F3BFE">
        <w:rPr>
          <w:lang w:val="pl-PL"/>
        </w:rPr>
        <w:t xml:space="preserve"> </w:t>
      </w:r>
      <w:r w:rsidRPr="003D74F3">
        <w:rPr>
          <w:lang w:val="pl-PL"/>
        </w:rPr>
        <w:t xml:space="preserve">Wywodzący się z zasady </w:t>
      </w:r>
      <w:r w:rsidRPr="003D74F3">
        <w:rPr>
          <w:i/>
          <w:iCs/>
          <w:lang w:val="pl-PL"/>
        </w:rPr>
        <w:t>de minimis non curat praetor</w:t>
      </w:r>
      <w:r w:rsidRPr="003D74F3">
        <w:rPr>
          <w:lang w:val="pl-PL"/>
        </w:rPr>
        <w:t xml:space="preserve"> warunek dopuszczalności odsyła do koncepcji, zgodnie z którą naruszenie prawa, niezależnie od jego real</w:t>
      </w:r>
      <w:r w:rsidR="004E6011">
        <w:rPr>
          <w:lang w:val="pl-PL"/>
        </w:rPr>
        <w:t>ności</w:t>
      </w:r>
      <w:r w:rsidRPr="003D74F3">
        <w:rPr>
          <w:lang w:val="pl-PL"/>
        </w:rPr>
        <w:t xml:space="preserve"> ze ściśle prawnego punktu widzenia, musi osiągnąć minimalny próg </w:t>
      </w:r>
      <w:r w:rsidR="004E6011">
        <w:rPr>
          <w:lang w:val="pl-PL"/>
        </w:rPr>
        <w:t>po</w:t>
      </w:r>
      <w:r w:rsidRPr="003D74F3">
        <w:rPr>
          <w:lang w:val="pl-PL"/>
        </w:rPr>
        <w:t>wagi, aby uzasadnić jego zbadanie przez międzynarodowy sąd lub trybunał (</w:t>
      </w:r>
      <w:r w:rsidRPr="003D74F3">
        <w:rPr>
          <w:i/>
          <w:iCs/>
          <w:lang w:val="pl-PL"/>
        </w:rPr>
        <w:t>Korolev p. Rosji</w:t>
      </w:r>
      <w:r w:rsidRPr="003D74F3">
        <w:rPr>
          <w:lang w:val="pl-PL"/>
        </w:rPr>
        <w:t xml:space="preserve"> (déc), nº 25551/05, 1</w:t>
      </w:r>
      <w:r w:rsidR="00F13BAC">
        <w:rPr>
          <w:lang w:val="pl-PL"/>
        </w:rPr>
        <w:t> </w:t>
      </w:r>
      <w:r w:rsidRPr="003D74F3">
        <w:rPr>
          <w:lang w:val="pl-PL"/>
        </w:rPr>
        <w:t>lipca 2010 r.). Ocena tego progu jest ze swej natury względna i zależy od</w:t>
      </w:r>
      <w:r w:rsidR="00F13BAC">
        <w:rPr>
          <w:lang w:val="pl-PL"/>
        </w:rPr>
        <w:t> </w:t>
      </w:r>
      <w:r w:rsidRPr="003D74F3">
        <w:rPr>
          <w:lang w:val="pl-PL"/>
        </w:rPr>
        <w:t>okoliczności sprawy (</w:t>
      </w:r>
      <w:r w:rsidRPr="003D74F3">
        <w:rPr>
          <w:i/>
          <w:iCs/>
          <w:lang w:val="pl-PL"/>
        </w:rPr>
        <w:t>Korolev</w:t>
      </w:r>
      <w:r w:rsidRPr="003D74F3">
        <w:rPr>
          <w:lang w:val="pl-PL"/>
        </w:rPr>
        <w:t xml:space="preserve">, </w:t>
      </w:r>
      <w:r w:rsidRPr="003D74F3">
        <w:rPr>
          <w:i/>
          <w:iCs/>
          <w:lang w:val="pl-PL"/>
        </w:rPr>
        <w:t>op. cit.</w:t>
      </w:r>
      <w:r w:rsidRPr="003D74F3">
        <w:rPr>
          <w:lang w:val="pl-PL"/>
        </w:rPr>
        <w:t xml:space="preserve">, oraz, odpowiednio, </w:t>
      </w:r>
      <w:r w:rsidRPr="003D74F3">
        <w:rPr>
          <w:i/>
          <w:iCs/>
          <w:lang w:val="pl-PL"/>
        </w:rPr>
        <w:t>Soering p.</w:t>
      </w:r>
      <w:r w:rsidR="00F13BAC">
        <w:rPr>
          <w:i/>
          <w:iCs/>
          <w:lang w:val="pl-PL"/>
        </w:rPr>
        <w:t> </w:t>
      </w:r>
      <w:r w:rsidRPr="003D74F3">
        <w:rPr>
          <w:i/>
          <w:iCs/>
          <w:lang w:val="pl-PL"/>
        </w:rPr>
        <w:t>Zjednoczonemu Królestwu</w:t>
      </w:r>
      <w:r w:rsidRPr="003D74F3">
        <w:rPr>
          <w:lang w:val="pl-PL"/>
        </w:rPr>
        <w:t>, 7 lipca 1989 r., § 100, seria A nr 161). Ocena ta powinna uwzględniać zarówno subiektywne odczucia skarżącego, jak</w:t>
      </w:r>
      <w:r w:rsidR="00F13BAC">
        <w:rPr>
          <w:lang w:val="pl-PL"/>
        </w:rPr>
        <w:t> </w:t>
      </w:r>
      <w:r w:rsidRPr="003D74F3">
        <w:rPr>
          <w:lang w:val="pl-PL"/>
        </w:rPr>
        <w:t>i</w:t>
      </w:r>
      <w:r w:rsidR="00F13BAC">
        <w:rPr>
          <w:lang w:val="pl-PL"/>
        </w:rPr>
        <w:t> </w:t>
      </w:r>
      <w:r w:rsidRPr="003D74F3">
        <w:rPr>
          <w:lang w:val="pl-PL"/>
        </w:rPr>
        <w:t>obiektywny przedmiot sporu.</w:t>
      </w:r>
    </w:p>
    <w:p w14:paraId="3C2B5EB4" w14:textId="77071E0E" w:rsidR="00EE4B82" w:rsidRPr="003D74F3" w:rsidRDefault="00EE4B82" w:rsidP="00ED40FA">
      <w:pPr>
        <w:pStyle w:val="ECHRPara"/>
        <w:rPr>
          <w:lang w:val="pl-PL"/>
        </w:rPr>
      </w:pPr>
      <w:r w:rsidRPr="003D74F3">
        <w:rPr>
          <w:noProof/>
          <w:lang w:val="pl-PL"/>
        </w:rPr>
        <w:t>137</w:t>
      </w:r>
      <w:r w:rsidRPr="003D74F3">
        <w:rPr>
          <w:lang w:val="pl-PL"/>
        </w:rPr>
        <w:t>.</w:t>
      </w:r>
      <w:r w:rsidR="009F3BFE">
        <w:rPr>
          <w:lang w:val="pl-PL"/>
        </w:rPr>
        <w:t xml:space="preserve"> </w:t>
      </w:r>
      <w:r w:rsidRPr="003D74F3">
        <w:rPr>
          <w:lang w:val="pl-PL"/>
        </w:rPr>
        <w:t xml:space="preserve">Trybunał przypomina, że w celu ustalenia, czy naruszenie prawa osiągnęło minimalny próg </w:t>
      </w:r>
      <w:r w:rsidR="00AE1BC6">
        <w:rPr>
          <w:lang w:val="pl-PL"/>
        </w:rPr>
        <w:t>po</w:t>
      </w:r>
      <w:r w:rsidRPr="003D74F3">
        <w:rPr>
          <w:lang w:val="pl-PL"/>
        </w:rPr>
        <w:t>wagi, należy wziąć pod uwagę między innymi następujące czynniki: charakter prawa, którego zarzuca się naruszenie, wagę wpływu domniemanego naruszenia na korzystanie z prawa lub możliwe konsekwencje naruszenia dla sytuacji osobistej skarżącego (</w:t>
      </w:r>
      <w:r w:rsidRPr="003D74F3">
        <w:rPr>
          <w:i/>
          <w:iCs/>
          <w:lang w:val="pl-PL"/>
        </w:rPr>
        <w:t>Giusti p.</w:t>
      </w:r>
      <w:r w:rsidR="00F13BAC">
        <w:rPr>
          <w:i/>
          <w:iCs/>
          <w:lang w:val="pl-PL"/>
        </w:rPr>
        <w:t> </w:t>
      </w:r>
      <w:r w:rsidRPr="003D74F3">
        <w:rPr>
          <w:i/>
          <w:iCs/>
          <w:lang w:val="pl-PL"/>
        </w:rPr>
        <w:t>Włochom</w:t>
      </w:r>
      <w:r w:rsidRPr="003D74F3">
        <w:rPr>
          <w:lang w:val="pl-PL"/>
        </w:rPr>
        <w:t>, skarga nr 13175/03</w:t>
      </w:r>
      <w:r w:rsidRPr="003D74F3">
        <w:rPr>
          <w:snapToGrid w:val="0"/>
          <w:lang w:val="pl-PL"/>
        </w:rPr>
        <w:t>, § 34, 1</w:t>
      </w:r>
      <w:r w:rsidRPr="003D74F3">
        <w:rPr>
          <w:lang w:val="pl-PL"/>
        </w:rPr>
        <w:t>8</w:t>
      </w:r>
      <w:r w:rsidRPr="003D74F3">
        <w:rPr>
          <w:snapToGrid w:val="0"/>
          <w:lang w:val="pl-PL"/>
        </w:rPr>
        <w:t xml:space="preserve"> </w:t>
      </w:r>
      <w:r w:rsidRPr="003D74F3">
        <w:rPr>
          <w:lang w:val="pl-PL"/>
        </w:rPr>
        <w:t>października</w:t>
      </w:r>
      <w:r w:rsidRPr="003D74F3">
        <w:rPr>
          <w:snapToGrid w:val="0"/>
          <w:lang w:val="pl-PL"/>
        </w:rPr>
        <w:t xml:space="preserve"> 2011 r.)</w:t>
      </w:r>
      <w:r w:rsidRPr="003D74F3">
        <w:rPr>
          <w:lang w:val="pl-PL"/>
        </w:rPr>
        <w:t>.</w:t>
      </w:r>
    </w:p>
    <w:p w14:paraId="66DCFAF3" w14:textId="6718FAF1" w:rsidR="00EE4B82" w:rsidRPr="003D74F3" w:rsidRDefault="00EE4B82" w:rsidP="00ED40FA">
      <w:pPr>
        <w:pStyle w:val="ECHRPara"/>
        <w:rPr>
          <w:lang w:val="pl-PL"/>
        </w:rPr>
      </w:pPr>
      <w:r w:rsidRPr="003D74F3">
        <w:rPr>
          <w:noProof/>
          <w:lang w:val="pl-PL"/>
        </w:rPr>
        <w:t>138</w:t>
      </w:r>
      <w:r w:rsidRPr="003D74F3">
        <w:rPr>
          <w:lang w:val="pl-PL"/>
        </w:rPr>
        <w:t>.</w:t>
      </w:r>
      <w:r w:rsidR="009F3BFE">
        <w:rPr>
          <w:lang w:val="pl-PL"/>
        </w:rPr>
        <w:t xml:space="preserve"> </w:t>
      </w:r>
      <w:r w:rsidRPr="003D74F3">
        <w:rPr>
          <w:lang w:val="pl-PL"/>
        </w:rPr>
        <w:t xml:space="preserve">W niniejszej sprawie, biorąc pod uwagę charakter </w:t>
      </w:r>
      <w:r w:rsidR="00AE1BC6">
        <w:rPr>
          <w:lang w:val="pl-PL"/>
        </w:rPr>
        <w:t xml:space="preserve">zarzutów </w:t>
      </w:r>
      <w:r w:rsidRPr="003D74F3">
        <w:rPr>
          <w:lang w:val="pl-PL"/>
        </w:rPr>
        <w:t>podnoszonych przez skarżących oraz liczne raporty naukowe poświadczające wpływ szkodliwych działań spółki Ilva na środowisko i</w:t>
      </w:r>
      <w:r w:rsidR="009F3BFE">
        <w:rPr>
          <w:lang w:val="pl-PL"/>
        </w:rPr>
        <w:t xml:space="preserve"> </w:t>
      </w:r>
      <w:r w:rsidRPr="003D74F3">
        <w:rPr>
          <w:lang w:val="pl-PL"/>
        </w:rPr>
        <w:t>zdrowie ludzkie, Trybunał uważa, że pierw</w:t>
      </w:r>
      <w:r w:rsidR="00AE1BC6">
        <w:rPr>
          <w:lang w:val="pl-PL"/>
        </w:rPr>
        <w:t>szy wymóg art. 35 ust. 3 lit. b</w:t>
      </w:r>
      <w:r w:rsidRPr="003D74F3">
        <w:rPr>
          <w:lang w:val="pl-PL"/>
        </w:rPr>
        <w:t xml:space="preserve"> Konwencji, a</w:t>
      </w:r>
      <w:r w:rsidR="00F13BAC">
        <w:rPr>
          <w:lang w:val="pl-PL"/>
        </w:rPr>
        <w:t> </w:t>
      </w:r>
      <w:r w:rsidRPr="003D74F3">
        <w:rPr>
          <w:lang w:val="pl-PL"/>
        </w:rPr>
        <w:t>mianowicie brak znaczącego uszczerbku, nie został spełniony.</w:t>
      </w:r>
    </w:p>
    <w:p w14:paraId="46943B22" w14:textId="77777777" w:rsidR="00EE4B82" w:rsidRPr="003D74F3" w:rsidRDefault="00EE4B82" w:rsidP="00ED40FA">
      <w:pPr>
        <w:pStyle w:val="ECHRPara"/>
        <w:rPr>
          <w:lang w:val="pl-PL"/>
        </w:rPr>
      </w:pPr>
      <w:r w:rsidRPr="003D74F3">
        <w:rPr>
          <w:noProof/>
          <w:lang w:val="pl-PL"/>
        </w:rPr>
        <w:t>139</w:t>
      </w:r>
      <w:r w:rsidRPr="003D74F3">
        <w:rPr>
          <w:lang w:val="pl-PL"/>
        </w:rPr>
        <w:t>.</w:t>
      </w:r>
      <w:r w:rsidR="009F3BFE">
        <w:rPr>
          <w:lang w:val="pl-PL"/>
        </w:rPr>
        <w:t xml:space="preserve"> </w:t>
      </w:r>
      <w:r w:rsidRPr="003D74F3">
        <w:rPr>
          <w:lang w:val="pl-PL"/>
        </w:rPr>
        <w:t>W świetle powyższego Trybunał uważa, że zastrzeżenie Rządu należy oddalić.</w:t>
      </w:r>
    </w:p>
    <w:p w14:paraId="3FAD4EAF" w14:textId="77777777" w:rsidR="00EE4B82" w:rsidRPr="003D74F3" w:rsidRDefault="00EE4B82" w:rsidP="00ED40FA">
      <w:pPr>
        <w:pStyle w:val="ECHRHeading2"/>
        <w:rPr>
          <w:lang w:val="pl-PL"/>
        </w:rPr>
      </w:pPr>
      <w:r w:rsidRPr="003D74F3">
        <w:rPr>
          <w:lang w:val="pl-PL"/>
        </w:rPr>
        <w:t>B.</w:t>
      </w:r>
      <w:r w:rsidR="009F3BFE">
        <w:rPr>
          <w:lang w:val="pl-PL"/>
        </w:rPr>
        <w:t xml:space="preserve"> </w:t>
      </w:r>
      <w:r w:rsidR="00853C12">
        <w:rPr>
          <w:lang w:val="pl-PL"/>
        </w:rPr>
        <w:t>Dopuszczalność</w:t>
      </w:r>
    </w:p>
    <w:p w14:paraId="76B0666A" w14:textId="445FD321" w:rsidR="00EE4B82" w:rsidRPr="003D74F3" w:rsidRDefault="00EE4B82" w:rsidP="00ED40FA">
      <w:pPr>
        <w:pStyle w:val="ECHRPara"/>
        <w:rPr>
          <w:lang w:val="pl-PL"/>
        </w:rPr>
      </w:pPr>
      <w:r w:rsidRPr="003D74F3">
        <w:rPr>
          <w:noProof/>
          <w:lang w:val="pl-PL"/>
        </w:rPr>
        <w:t>140</w:t>
      </w:r>
      <w:r w:rsidRPr="003D74F3">
        <w:rPr>
          <w:lang w:val="pl-PL"/>
        </w:rPr>
        <w:t>.</w:t>
      </w:r>
      <w:r w:rsidR="009F3BFE">
        <w:rPr>
          <w:lang w:val="pl-PL"/>
        </w:rPr>
        <w:t xml:space="preserve"> </w:t>
      </w:r>
      <w:r w:rsidRPr="003D74F3">
        <w:rPr>
          <w:lang w:val="pl-PL"/>
        </w:rPr>
        <w:t xml:space="preserve">Przywołując swoje ustalenia dotyczące niedopuszczalności jednej części skarg (paragraf </w:t>
      </w:r>
      <w:r w:rsidRPr="003D74F3">
        <w:rPr>
          <w:noProof/>
          <w:lang w:val="pl-PL"/>
        </w:rPr>
        <w:t>103</w:t>
      </w:r>
      <w:r w:rsidRPr="003D74F3">
        <w:rPr>
          <w:lang w:val="pl-PL"/>
        </w:rPr>
        <w:t xml:space="preserve"> powyżej), Trybunał stwierdza, że </w:t>
      </w:r>
      <w:r w:rsidR="00AE1BC6">
        <w:rPr>
          <w:lang w:val="pl-PL"/>
        </w:rPr>
        <w:t>pozostała</w:t>
      </w:r>
      <w:r w:rsidRPr="003D74F3">
        <w:rPr>
          <w:lang w:val="pl-PL"/>
        </w:rPr>
        <w:t xml:space="preserve"> część skarg nie jest w sposób oczywisty nieuzasadniona w rozumieniu art. 35 ust.</w:t>
      </w:r>
      <w:r w:rsidR="00F13BAC">
        <w:rPr>
          <w:lang w:val="pl-PL"/>
        </w:rPr>
        <w:t> </w:t>
      </w:r>
      <w:r w:rsidRPr="003D74F3">
        <w:rPr>
          <w:lang w:val="pl-PL"/>
        </w:rPr>
        <w:t>3 Konwencji oraz że nie ma w odniesieniu do niej żadnych innych podstaw niedopuszczalności. Należy ją zatem uznać za dopuszczalną.</w:t>
      </w:r>
    </w:p>
    <w:p w14:paraId="6855DE5A" w14:textId="77777777" w:rsidR="00EE4B82" w:rsidRPr="003D74F3" w:rsidRDefault="00EE4B82" w:rsidP="00ED40FA">
      <w:pPr>
        <w:pStyle w:val="ECHRHeading2"/>
        <w:rPr>
          <w:lang w:val="pl-PL"/>
        </w:rPr>
      </w:pPr>
      <w:r w:rsidRPr="003D74F3">
        <w:rPr>
          <w:lang w:val="pl-PL"/>
        </w:rPr>
        <w:lastRenderedPageBreak/>
        <w:t>C.</w:t>
      </w:r>
      <w:r w:rsidR="009F3BFE">
        <w:rPr>
          <w:lang w:val="pl-PL"/>
        </w:rPr>
        <w:t xml:space="preserve"> </w:t>
      </w:r>
      <w:r w:rsidR="00853C12">
        <w:rPr>
          <w:lang w:val="pl-PL"/>
        </w:rPr>
        <w:t>Przedmiot skargi</w:t>
      </w:r>
    </w:p>
    <w:p w14:paraId="414007A0" w14:textId="77777777" w:rsidR="00EE4B82" w:rsidRPr="003D74F3" w:rsidRDefault="00EE4B82" w:rsidP="00ED40FA">
      <w:pPr>
        <w:pStyle w:val="ECHRHeading3"/>
        <w:rPr>
          <w:lang w:val="pl-PL"/>
        </w:rPr>
      </w:pPr>
      <w:r w:rsidRPr="003D74F3">
        <w:rPr>
          <w:lang w:val="pl-PL"/>
        </w:rPr>
        <w:t>1.</w:t>
      </w:r>
      <w:r w:rsidR="009F3BFE">
        <w:rPr>
          <w:lang w:val="pl-PL"/>
        </w:rPr>
        <w:t xml:space="preserve"> </w:t>
      </w:r>
      <w:r w:rsidRPr="003D74F3">
        <w:rPr>
          <w:lang w:val="pl-PL"/>
        </w:rPr>
        <w:t>Art</w:t>
      </w:r>
      <w:r w:rsidR="00853C12">
        <w:rPr>
          <w:lang w:val="pl-PL"/>
        </w:rPr>
        <w:t>.</w:t>
      </w:r>
      <w:r w:rsidRPr="003D74F3">
        <w:rPr>
          <w:lang w:val="pl-PL"/>
        </w:rPr>
        <w:t xml:space="preserve"> 8 Konwencji</w:t>
      </w:r>
    </w:p>
    <w:p w14:paraId="5071524D" w14:textId="77777777" w:rsidR="00EE4B82" w:rsidRPr="003D74F3" w:rsidRDefault="00EE4B82" w:rsidP="00ED40FA">
      <w:pPr>
        <w:pStyle w:val="ECHRHeading4"/>
        <w:rPr>
          <w:lang w:val="pl-PL"/>
        </w:rPr>
      </w:pPr>
      <w:r w:rsidRPr="003D74F3">
        <w:rPr>
          <w:lang w:val="pl-PL"/>
        </w:rPr>
        <w:t>a)</w:t>
      </w:r>
      <w:r w:rsidR="009F3BFE">
        <w:rPr>
          <w:lang w:val="pl-PL"/>
        </w:rPr>
        <w:t xml:space="preserve"> </w:t>
      </w:r>
      <w:r w:rsidRPr="003D74F3">
        <w:rPr>
          <w:lang w:val="pl-PL"/>
        </w:rPr>
        <w:t>Stanowiska stron</w:t>
      </w:r>
    </w:p>
    <w:p w14:paraId="266F3143" w14:textId="77777777" w:rsidR="00EE4B82" w:rsidRPr="003D74F3" w:rsidRDefault="00EE4B82" w:rsidP="00ED40FA">
      <w:pPr>
        <w:pStyle w:val="ECHRHeading5"/>
        <w:rPr>
          <w:lang w:val="pl-PL"/>
        </w:rPr>
      </w:pPr>
      <w:r w:rsidRPr="003D74F3">
        <w:rPr>
          <w:lang w:val="pl-PL"/>
        </w:rPr>
        <w:t>i.</w:t>
      </w:r>
      <w:r w:rsidR="009F3BFE">
        <w:rPr>
          <w:lang w:val="pl-PL"/>
        </w:rPr>
        <w:t xml:space="preserve"> </w:t>
      </w:r>
      <w:r w:rsidRPr="003D74F3">
        <w:rPr>
          <w:lang w:val="pl-PL"/>
        </w:rPr>
        <w:t>Skarżący</w:t>
      </w:r>
    </w:p>
    <w:p w14:paraId="12C1904A" w14:textId="5AD95ADF" w:rsidR="00EE4B82" w:rsidRPr="003D74F3" w:rsidRDefault="00EE4B82" w:rsidP="00ED40FA">
      <w:pPr>
        <w:pStyle w:val="ECHRPara"/>
        <w:rPr>
          <w:lang w:val="pl-PL"/>
        </w:rPr>
      </w:pPr>
      <w:r w:rsidRPr="003D74F3">
        <w:rPr>
          <w:noProof/>
          <w:lang w:val="pl-PL"/>
        </w:rPr>
        <w:t>141</w:t>
      </w:r>
      <w:r w:rsidRPr="003D74F3">
        <w:rPr>
          <w:lang w:val="pl-PL"/>
        </w:rPr>
        <w:t>.</w:t>
      </w:r>
      <w:r w:rsidR="009F3BFE">
        <w:rPr>
          <w:lang w:val="pl-PL"/>
        </w:rPr>
        <w:t xml:space="preserve"> </w:t>
      </w:r>
      <w:r w:rsidRPr="003D74F3">
        <w:rPr>
          <w:lang w:val="pl-PL"/>
        </w:rPr>
        <w:t>Skarżący ponawiają swoje skargi i utrzymują, że władze włoskie nie</w:t>
      </w:r>
      <w:r w:rsidR="00F13BAC">
        <w:rPr>
          <w:lang w:val="pl-PL"/>
        </w:rPr>
        <w:t> </w:t>
      </w:r>
      <w:r w:rsidRPr="003D74F3">
        <w:rPr>
          <w:lang w:val="pl-PL"/>
        </w:rPr>
        <w:t>podjęły wszelkich właściwych środków w celu ochrony ich życia i</w:t>
      </w:r>
      <w:r w:rsidR="00F13BAC">
        <w:rPr>
          <w:lang w:val="pl-PL"/>
        </w:rPr>
        <w:t> </w:t>
      </w:r>
      <w:r w:rsidRPr="003D74F3">
        <w:rPr>
          <w:lang w:val="pl-PL"/>
        </w:rPr>
        <w:t xml:space="preserve">zdrowia. Twierdzą oni, że </w:t>
      </w:r>
      <w:r w:rsidRPr="003D74F3">
        <w:rPr>
          <w:lang w:val="pl-PL"/>
        </w:rPr>
        <w:t xml:space="preserve">odczuwają wpływ zanieczyszczenia i </w:t>
      </w:r>
      <w:r w:rsidRPr="003D74F3">
        <w:rPr>
          <w:lang w:val="pl-PL"/>
        </w:rPr>
        <w:t>są bardziej podatni na różne choroby, co zostało udowodnione w licznych raportach.</w:t>
      </w:r>
    </w:p>
    <w:p w14:paraId="26C91C29" w14:textId="41B383F6" w:rsidR="00EE4B82" w:rsidRPr="003D74F3" w:rsidRDefault="00EE4B82" w:rsidP="00ED40FA">
      <w:pPr>
        <w:pStyle w:val="ECHRPara"/>
        <w:rPr>
          <w:lang w:val="pl-PL"/>
        </w:rPr>
      </w:pPr>
      <w:r w:rsidRPr="003D74F3">
        <w:rPr>
          <w:noProof/>
          <w:lang w:val="pl-PL"/>
        </w:rPr>
        <w:t>142</w:t>
      </w:r>
      <w:r w:rsidRPr="003D74F3">
        <w:rPr>
          <w:lang w:val="pl-PL"/>
        </w:rPr>
        <w:t>.</w:t>
      </w:r>
      <w:r w:rsidR="009F3BFE">
        <w:rPr>
          <w:lang w:val="pl-PL"/>
        </w:rPr>
        <w:t xml:space="preserve"> </w:t>
      </w:r>
      <w:r w:rsidRPr="003D74F3">
        <w:rPr>
          <w:lang w:val="pl-PL"/>
        </w:rPr>
        <w:t xml:space="preserve">Skarżący wskazują również, że niniejsza sprawa różni się od sprawy </w:t>
      </w:r>
      <w:r w:rsidRPr="003D74F3">
        <w:rPr>
          <w:i/>
          <w:iCs/>
          <w:lang w:val="pl-PL"/>
        </w:rPr>
        <w:t>Smaltini p. Włochom</w:t>
      </w:r>
      <w:r w:rsidRPr="003D74F3">
        <w:rPr>
          <w:lang w:val="pl-PL"/>
        </w:rPr>
        <w:t xml:space="preserve"> ((déc.), skarga nr 43961/09, 24 marca 2015 r.) tym, że</w:t>
      </w:r>
      <w:r w:rsidR="00F13BAC">
        <w:rPr>
          <w:lang w:val="pl-PL"/>
        </w:rPr>
        <w:t> </w:t>
      </w:r>
      <w:r w:rsidRPr="003D74F3">
        <w:rPr>
          <w:lang w:val="pl-PL"/>
        </w:rPr>
        <w:t>w</w:t>
      </w:r>
      <w:r w:rsidR="00F13BAC">
        <w:rPr>
          <w:lang w:val="pl-PL"/>
        </w:rPr>
        <w:t> </w:t>
      </w:r>
      <w:r w:rsidRPr="003D74F3">
        <w:rPr>
          <w:lang w:val="pl-PL"/>
        </w:rPr>
        <w:t>tej ostatniej sprawie, w przeciwieństwie do niniejszej, skarżąca zarzucała, że zapadła na schorzenie w wyniku narażenia jej na</w:t>
      </w:r>
      <w:r w:rsidR="00F13BAC">
        <w:rPr>
          <w:lang w:val="pl-PL"/>
        </w:rPr>
        <w:t> </w:t>
      </w:r>
      <w:r w:rsidRPr="003D74F3">
        <w:rPr>
          <w:lang w:val="pl-PL"/>
        </w:rPr>
        <w:t>zanieczyszczenia spowodowane przez spółkę Ilva. Sprawa ta dotyczyła zatem związku przyczynowego między chorobą wspomnianej skarżącej a</w:t>
      </w:r>
      <w:r w:rsidR="00F13BAC">
        <w:rPr>
          <w:lang w:val="pl-PL"/>
        </w:rPr>
        <w:t> </w:t>
      </w:r>
      <w:r w:rsidRPr="003D74F3">
        <w:rPr>
          <w:lang w:val="pl-PL"/>
        </w:rPr>
        <w:t>szkodliwymi emisjami, a nie, jak w niniejszej sprawie, braku podjęcia przez państwo środków w celu ochrony zdrowia skarżących i ich środowiska naturalnego.</w:t>
      </w:r>
    </w:p>
    <w:p w14:paraId="0C4A09FE" w14:textId="77777777" w:rsidR="00EE4B82" w:rsidRPr="003D74F3" w:rsidRDefault="00EE4B82" w:rsidP="00ED40FA">
      <w:pPr>
        <w:pStyle w:val="ECHRHeading5"/>
        <w:rPr>
          <w:lang w:val="pl-PL"/>
        </w:rPr>
      </w:pPr>
      <w:r w:rsidRPr="003D74F3">
        <w:rPr>
          <w:lang w:val="pl-PL"/>
        </w:rPr>
        <w:t>ii.</w:t>
      </w:r>
      <w:r w:rsidR="009F3BFE">
        <w:rPr>
          <w:lang w:val="pl-PL"/>
        </w:rPr>
        <w:t xml:space="preserve"> </w:t>
      </w:r>
      <w:r w:rsidRPr="003D74F3">
        <w:rPr>
          <w:lang w:val="pl-PL"/>
        </w:rPr>
        <w:t>Rząd</w:t>
      </w:r>
    </w:p>
    <w:p w14:paraId="0F6E187D" w14:textId="77777777" w:rsidR="00EE4B82" w:rsidRPr="003D74F3" w:rsidRDefault="00EE4B82" w:rsidP="00ED40FA">
      <w:pPr>
        <w:pStyle w:val="ECHRPara"/>
        <w:rPr>
          <w:lang w:val="pl-PL"/>
        </w:rPr>
      </w:pPr>
      <w:r w:rsidRPr="003D74F3">
        <w:rPr>
          <w:noProof/>
          <w:lang w:val="pl-PL"/>
        </w:rPr>
        <w:t>143</w:t>
      </w:r>
      <w:r w:rsidRPr="003D74F3">
        <w:rPr>
          <w:lang w:val="pl-PL"/>
        </w:rPr>
        <w:t>.</w:t>
      </w:r>
      <w:r w:rsidR="009F3BFE">
        <w:rPr>
          <w:lang w:val="pl-PL"/>
        </w:rPr>
        <w:t xml:space="preserve"> </w:t>
      </w:r>
      <w:r w:rsidRPr="003D74F3">
        <w:rPr>
          <w:lang w:val="pl-PL"/>
        </w:rPr>
        <w:t>Rząd twierdzi, że sądy krajowe prowadziły bezstronne postępowania w zakresie ścigania osób odpowiedzialnych za działania przestępcze dotyczące środowiska i zdrowia ludzkiego.</w:t>
      </w:r>
    </w:p>
    <w:p w14:paraId="0DAE2444" w14:textId="1EDA3FE6" w:rsidR="00EE4B82" w:rsidRPr="003D74F3" w:rsidRDefault="00EE4B82" w:rsidP="00ED40FA">
      <w:pPr>
        <w:pStyle w:val="ECHRPara"/>
        <w:rPr>
          <w:lang w:val="pl-PL"/>
        </w:rPr>
      </w:pPr>
      <w:r w:rsidRPr="003D74F3">
        <w:rPr>
          <w:noProof/>
          <w:lang w:val="pl-PL"/>
        </w:rPr>
        <w:t>144</w:t>
      </w:r>
      <w:r w:rsidRPr="003D74F3">
        <w:rPr>
          <w:lang w:val="pl-PL"/>
        </w:rPr>
        <w:t>.</w:t>
      </w:r>
      <w:r w:rsidR="009F3BFE">
        <w:rPr>
          <w:lang w:val="pl-PL"/>
        </w:rPr>
        <w:t xml:space="preserve"> </w:t>
      </w:r>
      <w:r w:rsidRPr="003D74F3">
        <w:rPr>
          <w:lang w:val="pl-PL"/>
        </w:rPr>
        <w:t>Ponadto twierdzi, że zgodnie z raportem Ministerstwa Zdrowia z</w:t>
      </w:r>
      <w:r w:rsidR="00F13BAC">
        <w:rPr>
          <w:lang w:val="pl-PL"/>
        </w:rPr>
        <w:t> </w:t>
      </w:r>
      <w:r w:rsidRPr="003D74F3">
        <w:rPr>
          <w:lang w:val="pl-PL"/>
        </w:rPr>
        <w:t>2014 r. poziom PM10 zmniejszył się.</w:t>
      </w:r>
    </w:p>
    <w:p w14:paraId="6CB208A9" w14:textId="77777777" w:rsidR="00EE4B82" w:rsidRPr="003D74F3" w:rsidRDefault="00EE4B82" w:rsidP="00ED40FA">
      <w:pPr>
        <w:pStyle w:val="ECHRPara"/>
        <w:rPr>
          <w:lang w:val="pl-PL"/>
        </w:rPr>
      </w:pPr>
      <w:r w:rsidRPr="003D74F3">
        <w:rPr>
          <w:noProof/>
          <w:lang w:val="pl-PL"/>
        </w:rPr>
        <w:t>145</w:t>
      </w:r>
      <w:r w:rsidRPr="003D74F3">
        <w:rPr>
          <w:lang w:val="pl-PL"/>
        </w:rPr>
        <w:t>.</w:t>
      </w:r>
      <w:r w:rsidR="009F3BFE">
        <w:rPr>
          <w:lang w:val="pl-PL"/>
        </w:rPr>
        <w:t xml:space="preserve"> </w:t>
      </w:r>
      <w:r w:rsidRPr="003D74F3">
        <w:rPr>
          <w:lang w:val="pl-PL"/>
        </w:rPr>
        <w:t>Rząd wskaz</w:t>
      </w:r>
      <w:r w:rsidR="000832E5">
        <w:rPr>
          <w:lang w:val="pl-PL"/>
        </w:rPr>
        <w:t>uje</w:t>
      </w:r>
      <w:r w:rsidRPr="003D74F3">
        <w:rPr>
          <w:lang w:val="pl-PL"/>
        </w:rPr>
        <w:t xml:space="preserve"> ponadto, że w sprawie </w:t>
      </w:r>
      <w:r w:rsidRPr="003D74F3">
        <w:rPr>
          <w:i/>
          <w:iCs/>
          <w:lang w:val="pl-PL"/>
        </w:rPr>
        <w:t>Smaltini p. Włochom</w:t>
      </w:r>
      <w:r w:rsidRPr="003D74F3">
        <w:rPr>
          <w:lang w:val="pl-PL"/>
        </w:rPr>
        <w:t>, wymienionej powyżej, Trybunał stwierdził, że nie ma dowodów na istnienie związku przyczynowego między chorobą skarżącej a szkodliwymi emisjami z zakładu Ilva i w konsekwencji, że skarga jest w sposób oczywisty nieuzasadniona. Tym bardziej, zdaniem Rządu, wniosek ten powinien zachować ważność w sprawie obecnie rozpatrywanej przez Trybunał.</w:t>
      </w:r>
    </w:p>
    <w:p w14:paraId="050331EF" w14:textId="35D211A1" w:rsidR="00EE4B82" w:rsidRPr="003D74F3" w:rsidRDefault="00EE4B82" w:rsidP="00ED40FA">
      <w:pPr>
        <w:pStyle w:val="ECHRPara"/>
        <w:rPr>
          <w:lang w:val="pl-PL"/>
        </w:rPr>
      </w:pPr>
      <w:r w:rsidRPr="003D74F3">
        <w:rPr>
          <w:noProof/>
          <w:lang w:val="pl-PL"/>
        </w:rPr>
        <w:t>146</w:t>
      </w:r>
      <w:r w:rsidRPr="003D74F3">
        <w:rPr>
          <w:lang w:val="pl-PL"/>
        </w:rPr>
        <w:t>.</w:t>
      </w:r>
      <w:r w:rsidR="009F3BFE">
        <w:rPr>
          <w:lang w:val="pl-PL"/>
        </w:rPr>
        <w:t xml:space="preserve"> </w:t>
      </w:r>
      <w:r w:rsidRPr="003D74F3">
        <w:rPr>
          <w:lang w:val="pl-PL"/>
        </w:rPr>
        <w:t xml:space="preserve">Rząd utrzymuje również, że spółka Ilva zawsze prowadziła swoją działalność produkcyjną zgodnie z zezwoleniami udzielonymi przez </w:t>
      </w:r>
      <w:r w:rsidR="000832E5">
        <w:rPr>
          <w:lang w:val="pl-PL"/>
        </w:rPr>
        <w:t>gminę, region i prowincję. Dodaje</w:t>
      </w:r>
      <w:r w:rsidRPr="003D74F3">
        <w:rPr>
          <w:lang w:val="pl-PL"/>
        </w:rPr>
        <w:t xml:space="preserve">, że </w:t>
      </w:r>
      <w:r w:rsidRPr="002D1FBF">
        <w:rPr>
          <w:lang w:val="pl-PL"/>
        </w:rPr>
        <w:t>w</w:t>
      </w:r>
      <w:r w:rsidR="002D1FBF" w:rsidRPr="002D1FBF">
        <w:rPr>
          <w:lang w:val="pl-PL"/>
        </w:rPr>
        <w:t>prowadzono</w:t>
      </w:r>
      <w:r w:rsidRPr="003D74F3">
        <w:rPr>
          <w:lang w:val="pl-PL"/>
        </w:rPr>
        <w:t xml:space="preserve"> plany zapobiegania zanieczyszczeniom i przyjęcia środków zapewniających jakość powietrza w</w:t>
      </w:r>
      <w:r w:rsidR="00F13BAC">
        <w:rPr>
          <w:lang w:val="pl-PL"/>
        </w:rPr>
        <w:t> </w:t>
      </w:r>
      <w:r w:rsidRPr="003D74F3">
        <w:rPr>
          <w:lang w:val="pl-PL"/>
        </w:rPr>
        <w:t>dzielnicy Tamburi (Tarent). Przyjęto szereg środków, które doprowadziły do znacznej poprawy jakości powietrza.</w:t>
      </w:r>
    </w:p>
    <w:p w14:paraId="669F5F16" w14:textId="77777777" w:rsidR="00EE4B82" w:rsidRPr="003D74F3" w:rsidRDefault="00EE4B82" w:rsidP="00ED40FA">
      <w:pPr>
        <w:pStyle w:val="ECHRHeading4"/>
        <w:rPr>
          <w:lang w:val="pl-PL"/>
        </w:rPr>
      </w:pPr>
      <w:r w:rsidRPr="003D74F3">
        <w:rPr>
          <w:lang w:val="pl-PL"/>
        </w:rPr>
        <w:lastRenderedPageBreak/>
        <w:t xml:space="preserve">b) Uwagi interwenientów </w:t>
      </w:r>
    </w:p>
    <w:p w14:paraId="0B0FB0DA" w14:textId="77777777" w:rsidR="00EE4B82" w:rsidRPr="003D74F3" w:rsidRDefault="00EE4B82" w:rsidP="00ED40FA">
      <w:pPr>
        <w:pStyle w:val="ECHRHeading5"/>
        <w:rPr>
          <w:lang w:val="pl-PL"/>
        </w:rPr>
      </w:pPr>
      <w:r w:rsidRPr="003D74F3">
        <w:rPr>
          <w:lang w:val="pl-PL"/>
        </w:rPr>
        <w:t>i.</w:t>
      </w:r>
      <w:r w:rsidR="009F3BFE">
        <w:rPr>
          <w:lang w:val="pl-PL"/>
        </w:rPr>
        <w:t xml:space="preserve"> </w:t>
      </w:r>
      <w:r w:rsidRPr="003D74F3">
        <w:rPr>
          <w:i w:val="0"/>
          <w:iCs w:val="0"/>
          <w:lang w:val="pl-PL"/>
        </w:rPr>
        <w:t>Clinical program</w:t>
      </w:r>
    </w:p>
    <w:p w14:paraId="74005736" w14:textId="56FB145F" w:rsidR="00EE4B82" w:rsidRPr="003D74F3" w:rsidRDefault="00EE4B82" w:rsidP="00ED40FA">
      <w:pPr>
        <w:pStyle w:val="ECHRPara"/>
        <w:rPr>
          <w:lang w:val="pl-PL"/>
        </w:rPr>
      </w:pPr>
      <w:r w:rsidRPr="003D74F3">
        <w:rPr>
          <w:noProof/>
          <w:lang w:val="pl-PL"/>
        </w:rPr>
        <w:t>147</w:t>
      </w:r>
      <w:r w:rsidRPr="003D74F3">
        <w:rPr>
          <w:lang w:val="pl-PL"/>
        </w:rPr>
        <w:t>.</w:t>
      </w:r>
      <w:r w:rsidR="009F3BFE">
        <w:rPr>
          <w:lang w:val="pl-PL"/>
        </w:rPr>
        <w:t xml:space="preserve"> </w:t>
      </w:r>
      <w:r w:rsidRPr="003D74F3">
        <w:rPr>
          <w:i/>
          <w:iCs/>
          <w:lang w:val="pl-PL"/>
        </w:rPr>
        <w:t>Clinical program</w:t>
      </w:r>
      <w:r w:rsidRPr="003D74F3">
        <w:rPr>
          <w:lang w:val="pl-PL"/>
        </w:rPr>
        <w:t xml:space="preserve"> przedstawia chronologię zawartą w dekretach z</w:t>
      </w:r>
      <w:r w:rsidR="00F13BAC">
        <w:rPr>
          <w:lang w:val="pl-PL"/>
        </w:rPr>
        <w:t> </w:t>
      </w:r>
      <w:r w:rsidRPr="003D74F3">
        <w:rPr>
          <w:lang w:val="pl-PL"/>
        </w:rPr>
        <w:t xml:space="preserve">mocą ustawy „salva-Ilva” i wytyka </w:t>
      </w:r>
      <w:r w:rsidR="000832E5">
        <w:rPr>
          <w:lang w:val="pl-PL"/>
        </w:rPr>
        <w:t xml:space="preserve">przyznanie </w:t>
      </w:r>
      <w:r w:rsidRPr="003D74F3">
        <w:rPr>
          <w:lang w:val="pl-PL"/>
        </w:rPr>
        <w:t>immunitet</w:t>
      </w:r>
      <w:r w:rsidR="000832E5">
        <w:rPr>
          <w:lang w:val="pl-PL"/>
        </w:rPr>
        <w:t>u sądowego</w:t>
      </w:r>
      <w:r w:rsidRPr="003D74F3">
        <w:rPr>
          <w:lang w:val="pl-PL"/>
        </w:rPr>
        <w:t xml:space="preserve"> osobom odpowiedzialnym za zapewnienie zgodności z przepisami w zakresie ochrony środowiska, a także ciągłe przedłużanie terminów realizacji planu ochrony środowiska.</w:t>
      </w:r>
    </w:p>
    <w:p w14:paraId="4C1E9F6A" w14:textId="579F5CF1" w:rsidR="00EE4B82" w:rsidRPr="003D74F3" w:rsidRDefault="00EE4B82" w:rsidP="00ED40FA">
      <w:pPr>
        <w:pStyle w:val="ECHRPara"/>
        <w:rPr>
          <w:lang w:val="pl-PL"/>
        </w:rPr>
      </w:pPr>
      <w:r w:rsidRPr="003D74F3">
        <w:rPr>
          <w:noProof/>
          <w:lang w:val="pl-PL"/>
        </w:rPr>
        <w:t>148</w:t>
      </w:r>
      <w:r w:rsidRPr="003D74F3">
        <w:rPr>
          <w:lang w:val="pl-PL"/>
        </w:rPr>
        <w:t>.</w:t>
      </w:r>
      <w:r w:rsidR="009F3BFE">
        <w:rPr>
          <w:lang w:val="pl-PL"/>
        </w:rPr>
        <w:t xml:space="preserve"> </w:t>
      </w:r>
      <w:r w:rsidRPr="003D74F3">
        <w:rPr>
          <w:lang w:val="pl-PL"/>
        </w:rPr>
        <w:t>Według Rządu informacje dostarczone przez tę stronę trzecią nie</w:t>
      </w:r>
      <w:r w:rsidR="00F13BAC">
        <w:rPr>
          <w:lang w:val="pl-PL"/>
        </w:rPr>
        <w:t> </w:t>
      </w:r>
      <w:r w:rsidRPr="003D74F3">
        <w:rPr>
          <w:lang w:val="pl-PL"/>
        </w:rPr>
        <w:t>są</w:t>
      </w:r>
      <w:r w:rsidR="00F13BAC">
        <w:rPr>
          <w:lang w:val="pl-PL"/>
        </w:rPr>
        <w:t> </w:t>
      </w:r>
      <w:r w:rsidRPr="003D74F3">
        <w:rPr>
          <w:lang w:val="pl-PL"/>
        </w:rPr>
        <w:t>istotne i co najwyżej odnoszą się do działań zapobiegawczych i</w:t>
      </w:r>
      <w:r w:rsidR="00F13BAC">
        <w:rPr>
          <w:lang w:val="pl-PL"/>
        </w:rPr>
        <w:t> </w:t>
      </w:r>
      <w:r w:rsidRPr="003D74F3">
        <w:rPr>
          <w:lang w:val="pl-PL"/>
        </w:rPr>
        <w:t>naprawczych podjętych przez władze w związku z problemami środowiskowymi.</w:t>
      </w:r>
    </w:p>
    <w:p w14:paraId="4DD67575" w14:textId="77777777" w:rsidR="00EE4B82" w:rsidRPr="003D74F3" w:rsidRDefault="00EE4B82" w:rsidP="00ED40FA">
      <w:pPr>
        <w:pStyle w:val="ECHRPara"/>
        <w:rPr>
          <w:lang w:val="pl-PL"/>
        </w:rPr>
      </w:pPr>
      <w:r w:rsidRPr="003D74F3">
        <w:rPr>
          <w:noProof/>
          <w:lang w:val="pl-PL"/>
        </w:rPr>
        <w:t>149</w:t>
      </w:r>
      <w:r w:rsidRPr="003D74F3">
        <w:rPr>
          <w:lang w:val="pl-PL"/>
        </w:rPr>
        <w:t>.</w:t>
      </w:r>
      <w:r w:rsidR="009F3BFE">
        <w:rPr>
          <w:lang w:val="pl-PL"/>
        </w:rPr>
        <w:t xml:space="preserve"> </w:t>
      </w:r>
      <w:r w:rsidRPr="003D74F3">
        <w:rPr>
          <w:lang w:val="pl-PL"/>
        </w:rPr>
        <w:t xml:space="preserve">Skarżący podzielają stanowisko tej </w:t>
      </w:r>
      <w:r w:rsidR="009974F4">
        <w:rPr>
          <w:lang w:val="pl-PL"/>
        </w:rPr>
        <w:t xml:space="preserve">strony </w:t>
      </w:r>
      <w:r w:rsidRPr="003D74F3">
        <w:rPr>
          <w:lang w:val="pl-PL"/>
        </w:rPr>
        <w:t>trzeciej.</w:t>
      </w:r>
    </w:p>
    <w:p w14:paraId="3764DC13" w14:textId="77777777" w:rsidR="00EE4B82" w:rsidRPr="003D74F3" w:rsidRDefault="00EE4B82" w:rsidP="00ED40FA">
      <w:pPr>
        <w:pStyle w:val="ECHRHeading5"/>
        <w:rPr>
          <w:lang w:val="pl-PL"/>
        </w:rPr>
      </w:pPr>
      <w:r w:rsidRPr="003D74F3">
        <w:rPr>
          <w:lang w:val="pl-PL"/>
        </w:rPr>
        <w:t>ii.</w:t>
      </w:r>
      <w:r w:rsidR="009F3BFE">
        <w:rPr>
          <w:lang w:val="pl-PL"/>
        </w:rPr>
        <w:t xml:space="preserve"> </w:t>
      </w:r>
      <w:r w:rsidRPr="003D74F3">
        <w:rPr>
          <w:lang w:val="pl-PL"/>
        </w:rPr>
        <w:t>ISDE</w:t>
      </w:r>
    </w:p>
    <w:p w14:paraId="335BA530" w14:textId="17BD5DEC" w:rsidR="00EE4B82" w:rsidRPr="003D74F3" w:rsidRDefault="00EE4B82" w:rsidP="00ED40FA">
      <w:pPr>
        <w:pStyle w:val="ECHRPara"/>
        <w:rPr>
          <w:lang w:val="pl-PL"/>
        </w:rPr>
      </w:pPr>
      <w:r w:rsidRPr="003D74F3">
        <w:rPr>
          <w:noProof/>
          <w:lang w:val="pl-PL"/>
        </w:rPr>
        <w:t>150</w:t>
      </w:r>
      <w:r w:rsidRPr="003D74F3">
        <w:rPr>
          <w:lang w:val="pl-PL"/>
        </w:rPr>
        <w:t>.</w:t>
      </w:r>
      <w:r w:rsidR="009F3BFE">
        <w:rPr>
          <w:lang w:val="pl-PL"/>
        </w:rPr>
        <w:t xml:space="preserve"> </w:t>
      </w:r>
      <w:r w:rsidRPr="003D74F3">
        <w:rPr>
          <w:lang w:val="pl-PL"/>
        </w:rPr>
        <w:t>ISDE odnosi się do badań potwierdzających zanieczyszczenie na</w:t>
      </w:r>
      <w:r w:rsidR="00F13BAC">
        <w:rPr>
          <w:lang w:val="pl-PL"/>
        </w:rPr>
        <w:t> </w:t>
      </w:r>
      <w:r w:rsidRPr="003D74F3">
        <w:rPr>
          <w:lang w:val="pl-PL"/>
        </w:rPr>
        <w:t>obszarach położonych w pobliżu przedmiotowego regionu.</w:t>
      </w:r>
    </w:p>
    <w:p w14:paraId="5DDCE592" w14:textId="6D2F6DC0" w:rsidR="00EE4B82" w:rsidRPr="003D74F3" w:rsidRDefault="00EE4B82" w:rsidP="00ED40FA">
      <w:pPr>
        <w:pStyle w:val="ECHRPara"/>
        <w:rPr>
          <w:lang w:val="pl-PL"/>
        </w:rPr>
      </w:pPr>
      <w:r w:rsidRPr="003D74F3">
        <w:rPr>
          <w:noProof/>
          <w:lang w:val="pl-PL"/>
        </w:rPr>
        <w:t>151</w:t>
      </w:r>
      <w:r w:rsidRPr="003D74F3">
        <w:rPr>
          <w:lang w:val="pl-PL"/>
        </w:rPr>
        <w:t>.</w:t>
      </w:r>
      <w:r w:rsidR="009F3BFE">
        <w:rPr>
          <w:lang w:val="pl-PL"/>
        </w:rPr>
        <w:t xml:space="preserve"> </w:t>
      </w:r>
      <w:r w:rsidRPr="003D74F3">
        <w:rPr>
          <w:lang w:val="pl-PL"/>
        </w:rPr>
        <w:t>Ta strona trzecia odnosi się również do niektórych danych z raportu SENTIERI z 2014 r., który pokazuje wyższy wskaźnik śmiertelności niemowląt w regionie Tarentu w porównaniu z innymi regionami (o</w:t>
      </w:r>
      <w:r w:rsidR="00F13BAC">
        <w:rPr>
          <w:lang w:val="pl-PL"/>
        </w:rPr>
        <w:t> </w:t>
      </w:r>
      <w:r w:rsidRPr="003D74F3">
        <w:rPr>
          <w:lang w:val="pl-PL"/>
        </w:rPr>
        <w:t>20%</w:t>
      </w:r>
      <w:r w:rsidR="00F13BAC">
        <w:rPr>
          <w:lang w:val="pl-PL"/>
        </w:rPr>
        <w:t> </w:t>
      </w:r>
      <w:r w:rsidRPr="003D74F3">
        <w:rPr>
          <w:lang w:val="pl-PL"/>
        </w:rPr>
        <w:t xml:space="preserve">wyższy w przypadku zgonów w pierwszym roku życia i o 45% wyższy w przypadku zgonów </w:t>
      </w:r>
      <w:r w:rsidRPr="003D74F3">
        <w:rPr>
          <w:i/>
          <w:iCs/>
          <w:lang w:val="pl-PL"/>
        </w:rPr>
        <w:t>in utero</w:t>
      </w:r>
      <w:r w:rsidRPr="003D74F3">
        <w:rPr>
          <w:lang w:val="pl-PL"/>
        </w:rPr>
        <w:t>) oraz wyższe ryzyko zachorowania na</w:t>
      </w:r>
      <w:r w:rsidR="00F13BAC">
        <w:rPr>
          <w:lang w:val="pl-PL"/>
        </w:rPr>
        <w:t> </w:t>
      </w:r>
      <w:r w:rsidRPr="003D74F3">
        <w:rPr>
          <w:lang w:val="pl-PL"/>
        </w:rPr>
        <w:t>nowotwór w grupie wiekowej 0–14 lat.</w:t>
      </w:r>
    </w:p>
    <w:p w14:paraId="7E6008A6" w14:textId="06657B80" w:rsidR="00EE4B82" w:rsidRPr="003D74F3" w:rsidRDefault="00EE4B82" w:rsidP="00ED40FA">
      <w:pPr>
        <w:pStyle w:val="ECHRPara"/>
        <w:rPr>
          <w:lang w:val="pl-PL"/>
        </w:rPr>
      </w:pPr>
      <w:r w:rsidRPr="003D74F3">
        <w:rPr>
          <w:noProof/>
          <w:lang w:val="pl-PL"/>
        </w:rPr>
        <w:t>152</w:t>
      </w:r>
      <w:r w:rsidRPr="003D74F3">
        <w:rPr>
          <w:lang w:val="pl-PL"/>
        </w:rPr>
        <w:t>.</w:t>
      </w:r>
      <w:r w:rsidR="009F3BFE">
        <w:rPr>
          <w:lang w:val="pl-PL"/>
        </w:rPr>
        <w:t xml:space="preserve"> </w:t>
      </w:r>
      <w:r w:rsidRPr="003D74F3">
        <w:rPr>
          <w:lang w:val="pl-PL"/>
        </w:rPr>
        <w:t xml:space="preserve">ISDE odnosi się również do </w:t>
      </w:r>
      <w:r w:rsidRPr="002D1FBF">
        <w:rPr>
          <w:lang w:val="pl-PL"/>
        </w:rPr>
        <w:t>badania kohortowego</w:t>
      </w:r>
      <w:r w:rsidRPr="003D74F3">
        <w:rPr>
          <w:lang w:val="pl-PL"/>
        </w:rPr>
        <w:t xml:space="preserve"> dotyczącego związku przyczynowego między zanieczyszczeniem środowiska a</w:t>
      </w:r>
      <w:r w:rsidR="00F13BAC">
        <w:rPr>
          <w:lang w:val="pl-PL"/>
        </w:rPr>
        <w:t> </w:t>
      </w:r>
      <w:r w:rsidRPr="003D74F3">
        <w:rPr>
          <w:lang w:val="pl-PL"/>
        </w:rPr>
        <w:t xml:space="preserve">występowaniem licznych schorzeń (paragraf </w:t>
      </w:r>
      <w:r w:rsidRPr="003D74F3">
        <w:rPr>
          <w:noProof/>
          <w:lang w:val="pl-PL"/>
        </w:rPr>
        <w:t>25</w:t>
      </w:r>
      <w:r w:rsidRPr="003D74F3">
        <w:rPr>
          <w:lang w:val="pl-PL"/>
        </w:rPr>
        <w:t xml:space="preserve"> powyżej) i wskazuje, że</w:t>
      </w:r>
      <w:r w:rsidR="00F13BAC">
        <w:rPr>
          <w:lang w:val="pl-PL"/>
        </w:rPr>
        <w:t> </w:t>
      </w:r>
      <w:r w:rsidRPr="003D74F3">
        <w:rPr>
          <w:lang w:val="pl-PL"/>
        </w:rPr>
        <w:t>według danych z regionalnego rejestru wrodzonych wad rozwojowych, w</w:t>
      </w:r>
      <w:r w:rsidR="00F13BAC">
        <w:rPr>
          <w:lang w:val="pl-PL"/>
        </w:rPr>
        <w:t> </w:t>
      </w:r>
      <w:r w:rsidRPr="003D74F3">
        <w:rPr>
          <w:lang w:val="pl-PL"/>
        </w:rPr>
        <w:t>regionie Tarentu liczba tych wad jest o 10% wyższa od średniej regionalnej.</w:t>
      </w:r>
    </w:p>
    <w:p w14:paraId="4538B6C0" w14:textId="7E3F9B50" w:rsidR="00EE4B82" w:rsidRPr="003D74F3" w:rsidRDefault="00EE4B82" w:rsidP="00ED40FA">
      <w:pPr>
        <w:pStyle w:val="ECHRPara"/>
        <w:rPr>
          <w:lang w:val="pl-PL"/>
        </w:rPr>
      </w:pPr>
      <w:r w:rsidRPr="003D74F3">
        <w:rPr>
          <w:noProof/>
          <w:lang w:val="pl-PL"/>
        </w:rPr>
        <w:t>153</w:t>
      </w:r>
      <w:r w:rsidRPr="003D74F3">
        <w:rPr>
          <w:lang w:val="pl-PL"/>
        </w:rPr>
        <w:t>.</w:t>
      </w:r>
      <w:r w:rsidR="009F3BFE">
        <w:rPr>
          <w:lang w:val="pl-PL"/>
        </w:rPr>
        <w:t xml:space="preserve"> </w:t>
      </w:r>
      <w:r w:rsidRPr="003D74F3">
        <w:rPr>
          <w:lang w:val="pl-PL"/>
        </w:rPr>
        <w:t>ISDE wskazuje ponadto, że według badań przeprowadzonych na</w:t>
      </w:r>
      <w:r w:rsidR="00F13BAC">
        <w:rPr>
          <w:lang w:val="pl-PL"/>
        </w:rPr>
        <w:t> </w:t>
      </w:r>
      <w:r w:rsidRPr="003D74F3">
        <w:rPr>
          <w:lang w:val="pl-PL"/>
        </w:rPr>
        <w:t>kobietach zamieszkujących w pięciu miastach przemysłowych w Apulii, w</w:t>
      </w:r>
      <w:r w:rsidR="009F3BFE">
        <w:rPr>
          <w:lang w:val="pl-PL"/>
        </w:rPr>
        <w:t xml:space="preserve"> </w:t>
      </w:r>
      <w:r w:rsidRPr="003D74F3">
        <w:rPr>
          <w:lang w:val="pl-PL"/>
        </w:rPr>
        <w:t>tym w Tarencie, istnieje związek między obecnością PM10 i poziomami ozonu a częstością poronień.</w:t>
      </w:r>
    </w:p>
    <w:p w14:paraId="2BC7B3B3" w14:textId="693646A5" w:rsidR="00EE4B82" w:rsidRPr="003D74F3" w:rsidRDefault="00EE4B82" w:rsidP="00ED40FA">
      <w:pPr>
        <w:pStyle w:val="ECHRPara"/>
        <w:rPr>
          <w:lang w:val="pl-PL"/>
        </w:rPr>
      </w:pPr>
      <w:r w:rsidRPr="003D74F3">
        <w:rPr>
          <w:noProof/>
          <w:lang w:val="pl-PL"/>
        </w:rPr>
        <w:t>154</w:t>
      </w:r>
      <w:r w:rsidRPr="003D74F3">
        <w:rPr>
          <w:lang w:val="pl-PL"/>
        </w:rPr>
        <w:t>.</w:t>
      </w:r>
      <w:r w:rsidR="009F3BFE">
        <w:rPr>
          <w:lang w:val="pl-PL"/>
        </w:rPr>
        <w:t xml:space="preserve"> </w:t>
      </w:r>
      <w:r w:rsidRPr="003D74F3">
        <w:rPr>
          <w:lang w:val="pl-PL"/>
        </w:rPr>
        <w:t>ISDE wskazuje również, że regionalne obserwatorium zaburzeń autystycznych stwierdziło w 2016 r. wyższy wskaźnik zaburzeń w prowincji Tarentu w porównaniu ze średnim wskaźnikiem w regionie i wskaźnikiem w</w:t>
      </w:r>
      <w:r w:rsidR="00F13BAC">
        <w:rPr>
          <w:lang w:val="pl-PL"/>
        </w:rPr>
        <w:t> </w:t>
      </w:r>
      <w:r w:rsidRPr="003D74F3">
        <w:rPr>
          <w:lang w:val="pl-PL"/>
        </w:rPr>
        <w:t>innych prowincjach Apulii.</w:t>
      </w:r>
    </w:p>
    <w:p w14:paraId="2745AC9A" w14:textId="77777777" w:rsidR="00EE4B82" w:rsidRPr="003D74F3" w:rsidRDefault="00EE4B82" w:rsidP="00ED40FA">
      <w:pPr>
        <w:pStyle w:val="ECHRPara"/>
        <w:rPr>
          <w:lang w:val="pl-PL"/>
        </w:rPr>
      </w:pPr>
      <w:r w:rsidRPr="003D74F3">
        <w:rPr>
          <w:noProof/>
          <w:lang w:val="pl-PL"/>
        </w:rPr>
        <w:t>155</w:t>
      </w:r>
      <w:r w:rsidRPr="003D74F3">
        <w:rPr>
          <w:lang w:val="pl-PL"/>
        </w:rPr>
        <w:t>.</w:t>
      </w:r>
      <w:r w:rsidR="009F3BFE">
        <w:rPr>
          <w:lang w:val="pl-PL"/>
        </w:rPr>
        <w:t xml:space="preserve"> </w:t>
      </w:r>
      <w:r w:rsidRPr="003D74F3">
        <w:rPr>
          <w:lang w:val="pl-PL"/>
        </w:rPr>
        <w:t>ISDE odnosi się wreszcie do dekretów z mocą ustawy „salva-Ilva”, w szczególności dekretu z mocą ustawy nr</w:t>
      </w:r>
      <w:r w:rsidR="009F3BFE">
        <w:rPr>
          <w:lang w:val="pl-PL"/>
        </w:rPr>
        <w:t xml:space="preserve"> </w:t>
      </w:r>
      <w:r w:rsidRPr="003D74F3">
        <w:rPr>
          <w:lang w:val="pl-PL"/>
        </w:rPr>
        <w:t>98/2016, w którym zadecydowano o kolejnym odroczeniu terminu realizacji planu ochrony środowiska.</w:t>
      </w:r>
    </w:p>
    <w:p w14:paraId="36FB49DE" w14:textId="62410813" w:rsidR="00EE4B82" w:rsidRPr="003D74F3" w:rsidRDefault="00EE4B82" w:rsidP="00ED40FA">
      <w:pPr>
        <w:pStyle w:val="ECHRPara"/>
        <w:rPr>
          <w:lang w:val="pl-PL"/>
        </w:rPr>
      </w:pPr>
      <w:r w:rsidRPr="003D74F3">
        <w:rPr>
          <w:noProof/>
          <w:lang w:val="pl-PL"/>
        </w:rPr>
        <w:t>156</w:t>
      </w:r>
      <w:r w:rsidRPr="003D74F3">
        <w:rPr>
          <w:lang w:val="pl-PL"/>
        </w:rPr>
        <w:t>.</w:t>
      </w:r>
      <w:r w:rsidR="009F3BFE">
        <w:rPr>
          <w:lang w:val="pl-PL"/>
        </w:rPr>
        <w:t xml:space="preserve"> </w:t>
      </w:r>
      <w:r w:rsidRPr="003D74F3">
        <w:rPr>
          <w:lang w:val="pl-PL"/>
        </w:rPr>
        <w:t>Rząd uważa, że ISDE wysunęła zarzuty o charakterze ogólnym dotyczące związku przyczynowego między wskazanymi chorobami a</w:t>
      </w:r>
      <w:r w:rsidR="00F13BAC">
        <w:rPr>
          <w:lang w:val="pl-PL"/>
        </w:rPr>
        <w:t> </w:t>
      </w:r>
      <w:r w:rsidRPr="003D74F3">
        <w:rPr>
          <w:lang w:val="pl-PL"/>
        </w:rPr>
        <w:t>emisjami z zakładu Ilva, oraz że ta strona trzecia nie przedstawiła niepodważalnych dowodów naukowych.</w:t>
      </w:r>
    </w:p>
    <w:p w14:paraId="614D8CC8" w14:textId="77777777" w:rsidR="00EE4B82" w:rsidRPr="003D74F3" w:rsidRDefault="00EE4B82" w:rsidP="00ED40FA">
      <w:pPr>
        <w:pStyle w:val="ECHRHeading4"/>
        <w:rPr>
          <w:lang w:val="pl-PL"/>
        </w:rPr>
      </w:pPr>
      <w:r w:rsidRPr="002D1FBF">
        <w:rPr>
          <w:lang w:val="pl-PL"/>
        </w:rPr>
        <w:lastRenderedPageBreak/>
        <w:t>c)</w:t>
      </w:r>
      <w:r w:rsidR="009F3BFE" w:rsidRPr="002D1FBF">
        <w:rPr>
          <w:lang w:val="pl-PL"/>
        </w:rPr>
        <w:t xml:space="preserve"> </w:t>
      </w:r>
      <w:r w:rsidRPr="002D1FBF">
        <w:rPr>
          <w:lang w:val="pl-PL"/>
        </w:rPr>
        <w:t>Ocena Trybunału</w:t>
      </w:r>
    </w:p>
    <w:p w14:paraId="771ECB44" w14:textId="77777777" w:rsidR="00EE4B82" w:rsidRPr="003D74F3" w:rsidRDefault="00EE4B82" w:rsidP="00ED40FA">
      <w:pPr>
        <w:pStyle w:val="ECHRHeading5"/>
        <w:rPr>
          <w:lang w:val="pl-PL"/>
        </w:rPr>
      </w:pPr>
      <w:r w:rsidRPr="003D74F3">
        <w:rPr>
          <w:lang w:val="pl-PL"/>
        </w:rPr>
        <w:t>i.</w:t>
      </w:r>
      <w:r w:rsidR="009F3BFE">
        <w:rPr>
          <w:lang w:val="pl-PL"/>
        </w:rPr>
        <w:t xml:space="preserve"> </w:t>
      </w:r>
      <w:r w:rsidRPr="003D74F3">
        <w:rPr>
          <w:lang w:val="pl-PL"/>
        </w:rPr>
        <w:t>Zasady ogólne</w:t>
      </w:r>
    </w:p>
    <w:p w14:paraId="7368DE25" w14:textId="648259B8" w:rsidR="00EE4B82" w:rsidRPr="003D74F3" w:rsidRDefault="00EE4B82" w:rsidP="00ED40FA">
      <w:pPr>
        <w:pStyle w:val="ECHRPara"/>
        <w:rPr>
          <w:lang w:val="pl-PL"/>
        </w:rPr>
      </w:pPr>
      <w:r w:rsidRPr="003D74F3">
        <w:rPr>
          <w:noProof/>
          <w:lang w:val="pl-PL"/>
        </w:rPr>
        <w:t>157</w:t>
      </w:r>
      <w:r w:rsidRPr="003D74F3">
        <w:rPr>
          <w:lang w:val="pl-PL"/>
        </w:rPr>
        <w:t>.</w:t>
      </w:r>
      <w:r w:rsidR="009F3BFE">
        <w:rPr>
          <w:lang w:val="pl-PL"/>
        </w:rPr>
        <w:t xml:space="preserve"> </w:t>
      </w:r>
      <w:r w:rsidRPr="003D74F3">
        <w:rPr>
          <w:lang w:val="pl-PL"/>
        </w:rPr>
        <w:t>Trybunał przypom</w:t>
      </w:r>
      <w:r w:rsidR="002574AA">
        <w:rPr>
          <w:lang w:val="pl-PL"/>
        </w:rPr>
        <w:t>ina</w:t>
      </w:r>
      <w:r w:rsidRPr="003D74F3">
        <w:rPr>
          <w:lang w:val="pl-PL"/>
        </w:rPr>
        <w:t xml:space="preserve">, że poważna szkoda wyrządzona środowisku naturalnemu może naruszyć dobrostan jednostek i pozbawić je możliwości korzystania z </w:t>
      </w:r>
      <w:r w:rsidR="002574AA">
        <w:rPr>
          <w:lang w:val="pl-PL"/>
        </w:rPr>
        <w:t>mieszkania</w:t>
      </w:r>
      <w:r w:rsidRPr="003D74F3">
        <w:rPr>
          <w:lang w:val="pl-PL"/>
        </w:rPr>
        <w:t>, szkodząc ich życiu prywatnemu. (</w:t>
      </w:r>
      <w:r w:rsidRPr="003D74F3">
        <w:rPr>
          <w:i/>
          <w:iCs/>
          <w:lang w:val="pl-PL"/>
        </w:rPr>
        <w:t>L</w:t>
      </w:r>
      <w:r>
        <w:rPr>
          <w:i/>
          <w:iCs/>
        </w:rPr>
        <w:t>ό</w:t>
      </w:r>
      <w:r w:rsidRPr="003D74F3">
        <w:rPr>
          <w:i/>
          <w:iCs/>
          <w:lang w:val="pl-PL"/>
        </w:rPr>
        <w:t>pez Ostra p.</w:t>
      </w:r>
      <w:r w:rsidR="00F13BAC">
        <w:rPr>
          <w:i/>
          <w:iCs/>
          <w:lang w:val="pl-PL"/>
        </w:rPr>
        <w:t> </w:t>
      </w:r>
      <w:r w:rsidRPr="003D74F3">
        <w:rPr>
          <w:i/>
          <w:iCs/>
          <w:lang w:val="pl-PL"/>
        </w:rPr>
        <w:t>Hiszpanii</w:t>
      </w:r>
      <w:r w:rsidRPr="003D74F3">
        <w:rPr>
          <w:lang w:val="pl-PL"/>
        </w:rPr>
        <w:t>, 9 grudnia 1994 r., seria A nr 303-C, §</w:t>
      </w:r>
      <w:r w:rsidR="009F3BFE">
        <w:rPr>
          <w:lang w:val="pl-PL"/>
        </w:rPr>
        <w:t xml:space="preserve"> </w:t>
      </w:r>
      <w:r w:rsidRPr="003D74F3">
        <w:rPr>
          <w:lang w:val="pl-PL"/>
        </w:rPr>
        <w:t xml:space="preserve">51 oraz </w:t>
      </w:r>
      <w:r w:rsidRPr="003D74F3">
        <w:rPr>
          <w:i/>
          <w:iCs/>
          <w:lang w:val="pl-PL"/>
        </w:rPr>
        <w:t>Guerra i Inni p.</w:t>
      </w:r>
      <w:r w:rsidR="00F13BAC">
        <w:rPr>
          <w:i/>
          <w:iCs/>
          <w:lang w:val="pl-PL"/>
        </w:rPr>
        <w:t> </w:t>
      </w:r>
      <w:r w:rsidRPr="003D74F3">
        <w:rPr>
          <w:i/>
          <w:iCs/>
          <w:lang w:val="pl-PL"/>
        </w:rPr>
        <w:t>Włochom</w:t>
      </w:r>
      <w:r w:rsidRPr="003D74F3">
        <w:rPr>
          <w:lang w:val="pl-PL"/>
        </w:rPr>
        <w:t>, 19</w:t>
      </w:r>
      <w:r w:rsidR="009F3BFE">
        <w:rPr>
          <w:lang w:val="pl-PL"/>
        </w:rPr>
        <w:t xml:space="preserve"> </w:t>
      </w:r>
      <w:r w:rsidRPr="003D74F3">
        <w:rPr>
          <w:lang w:val="pl-PL"/>
        </w:rPr>
        <w:t xml:space="preserve">lutego 1998 r., § 60, </w:t>
      </w:r>
      <w:r w:rsidRPr="003D74F3">
        <w:rPr>
          <w:i/>
          <w:iCs/>
          <w:lang w:val="pl-PL"/>
        </w:rPr>
        <w:t xml:space="preserve">Zbiór </w:t>
      </w:r>
      <w:r w:rsidRPr="003D74F3">
        <w:rPr>
          <w:lang w:val="pl-PL"/>
        </w:rPr>
        <w:t>1998</w:t>
      </w:r>
      <w:r w:rsidRPr="003D74F3">
        <w:rPr>
          <w:lang w:val="pl-PL"/>
        </w:rPr>
        <w:noBreakHyphen/>
        <w:t>I).</w:t>
      </w:r>
    </w:p>
    <w:p w14:paraId="191F27C2" w14:textId="48A211F4" w:rsidR="00EE4B82" w:rsidRPr="003D74F3" w:rsidRDefault="00EE4B82" w:rsidP="00ED40FA">
      <w:pPr>
        <w:pStyle w:val="ECHRPara"/>
        <w:rPr>
          <w:lang w:val="pl-PL"/>
        </w:rPr>
      </w:pPr>
      <w:r w:rsidRPr="003D74F3">
        <w:rPr>
          <w:lang w:val="pl-PL"/>
        </w:rPr>
        <w:t>W tym względzie Trybunał przypom</w:t>
      </w:r>
      <w:r w:rsidR="002574AA">
        <w:rPr>
          <w:lang w:val="pl-PL"/>
        </w:rPr>
        <w:t>ina</w:t>
      </w:r>
      <w:r w:rsidRPr="003D74F3">
        <w:rPr>
          <w:lang w:val="pl-PL"/>
        </w:rPr>
        <w:t xml:space="preserve"> również, że w sprawach, w</w:t>
      </w:r>
      <w:r w:rsidR="00F13BAC">
        <w:rPr>
          <w:lang w:val="pl-PL"/>
        </w:rPr>
        <w:t> </w:t>
      </w:r>
      <w:r w:rsidRPr="003D74F3">
        <w:rPr>
          <w:lang w:val="pl-PL"/>
        </w:rPr>
        <w:t xml:space="preserve">których pojęcie progu </w:t>
      </w:r>
      <w:r w:rsidR="002574AA">
        <w:rPr>
          <w:lang w:val="pl-PL"/>
        </w:rPr>
        <w:t>po</w:t>
      </w:r>
      <w:r w:rsidRPr="003D74F3">
        <w:rPr>
          <w:lang w:val="pl-PL"/>
        </w:rPr>
        <w:t>wagi było konkretnie badane w odniesieniu do</w:t>
      </w:r>
      <w:r w:rsidR="00F13BAC">
        <w:rPr>
          <w:lang w:val="pl-PL"/>
        </w:rPr>
        <w:t> </w:t>
      </w:r>
      <w:r w:rsidRPr="003D74F3">
        <w:rPr>
          <w:lang w:val="pl-PL"/>
        </w:rPr>
        <w:t xml:space="preserve">środowiska naturalnego, Trybunał orzekł, że </w:t>
      </w:r>
      <w:r w:rsidR="002574AA">
        <w:rPr>
          <w:lang w:val="pl-PL"/>
        </w:rPr>
        <w:t>możliw</w:t>
      </w:r>
      <w:r w:rsidR="00BE2CB1">
        <w:rPr>
          <w:lang w:val="pl-PL"/>
        </w:rPr>
        <w:t>y</w:t>
      </w:r>
      <w:r w:rsidR="002574AA">
        <w:rPr>
          <w:lang w:val="pl-PL"/>
        </w:rPr>
        <w:t xml:space="preserve"> do uzasadnienia</w:t>
      </w:r>
      <w:r w:rsidRPr="003D74F3">
        <w:rPr>
          <w:lang w:val="pl-PL"/>
        </w:rPr>
        <w:t xml:space="preserve"> </w:t>
      </w:r>
      <w:r w:rsidR="00BE2CB1">
        <w:rPr>
          <w:lang w:val="pl-PL"/>
        </w:rPr>
        <w:t xml:space="preserve">zarzut </w:t>
      </w:r>
      <w:r w:rsidRPr="003D74F3">
        <w:rPr>
          <w:lang w:val="pl-PL"/>
        </w:rPr>
        <w:t xml:space="preserve">na podstawie art. 8 może powstać, jeżeli zagrożenie ekologiczne osiąga </w:t>
      </w:r>
      <w:r w:rsidR="00BE2CB1">
        <w:rPr>
          <w:lang w:val="pl-PL"/>
        </w:rPr>
        <w:t>po</w:t>
      </w:r>
      <w:r w:rsidRPr="003D74F3">
        <w:rPr>
          <w:lang w:val="pl-PL"/>
        </w:rPr>
        <w:t xml:space="preserve">wagę, która znacznie ogranicza zdolność skarżącego do korzystania z </w:t>
      </w:r>
      <w:r w:rsidR="00BE2CB1">
        <w:rPr>
          <w:lang w:val="pl-PL"/>
        </w:rPr>
        <w:t>mieszkania</w:t>
      </w:r>
      <w:r w:rsidRPr="003D74F3">
        <w:rPr>
          <w:lang w:val="pl-PL"/>
        </w:rPr>
        <w:t xml:space="preserve"> lub życia prywatnego czy rodzinnego. Ocena tego minimalnego poziomu w</w:t>
      </w:r>
      <w:r w:rsidR="009F3BFE">
        <w:rPr>
          <w:lang w:val="pl-PL"/>
        </w:rPr>
        <w:t xml:space="preserve"> </w:t>
      </w:r>
      <w:r w:rsidRPr="003D74F3">
        <w:rPr>
          <w:lang w:val="pl-PL"/>
        </w:rPr>
        <w:t>tego rodzaju sprawach jest względna i zależy od wszystkich okoliczności faktycznych sprawy, w szczególności od intensywności i czasu trwania uciążliwości oraz jej fizycznych lub psychologicznych skutków dla</w:t>
      </w:r>
      <w:r w:rsidR="00F13BAC">
        <w:rPr>
          <w:lang w:val="pl-PL"/>
        </w:rPr>
        <w:t> </w:t>
      </w:r>
      <w:r w:rsidRPr="003D74F3">
        <w:rPr>
          <w:lang w:val="pl-PL"/>
        </w:rPr>
        <w:t>zdrowia lub jakości życia danej osoby (</w:t>
      </w:r>
      <w:r w:rsidRPr="003D74F3">
        <w:rPr>
          <w:i/>
          <w:iCs/>
          <w:lang w:val="pl-PL"/>
        </w:rPr>
        <w:t>Fadeïeva</w:t>
      </w:r>
      <w:r w:rsidRPr="003D74F3">
        <w:rPr>
          <w:lang w:val="pl-PL"/>
        </w:rPr>
        <w:t xml:space="preserve">, </w:t>
      </w:r>
      <w:r w:rsidRPr="003D74F3">
        <w:rPr>
          <w:i/>
          <w:iCs/>
          <w:lang w:val="pl-PL"/>
        </w:rPr>
        <w:t>op. cit.</w:t>
      </w:r>
      <w:r w:rsidRPr="003D74F3">
        <w:rPr>
          <w:lang w:val="pl-PL"/>
        </w:rPr>
        <w:t xml:space="preserve">, §§ 68 i 69, </w:t>
      </w:r>
      <w:r w:rsidRPr="003D74F3">
        <w:rPr>
          <w:i/>
          <w:iCs/>
          <w:lang w:val="pl-PL"/>
        </w:rPr>
        <w:t>Dubetska i Inni p. Ukrainie</w:t>
      </w:r>
      <w:r w:rsidRPr="003D74F3">
        <w:rPr>
          <w:lang w:val="pl-PL"/>
        </w:rPr>
        <w:t>, skarga nr 30499/03, § 105, 10 lutego 2011 r. oraz</w:t>
      </w:r>
      <w:r w:rsidR="00F13BAC">
        <w:rPr>
          <w:lang w:val="pl-PL"/>
        </w:rPr>
        <w:t> </w:t>
      </w:r>
      <w:r w:rsidRPr="003D74F3">
        <w:rPr>
          <w:i/>
          <w:iCs/>
          <w:lang w:val="pl-PL"/>
        </w:rPr>
        <w:t>Grimkovskaya p. Ukrainie</w:t>
      </w:r>
      <w:r w:rsidRPr="003D74F3">
        <w:rPr>
          <w:lang w:val="pl-PL"/>
        </w:rPr>
        <w:t>, skarga nr</w:t>
      </w:r>
      <w:r w:rsidR="009F3BFE">
        <w:rPr>
          <w:lang w:val="pl-PL"/>
        </w:rPr>
        <w:t xml:space="preserve"> </w:t>
      </w:r>
      <w:r w:rsidRPr="003D74F3">
        <w:rPr>
          <w:lang w:val="pl-PL"/>
        </w:rPr>
        <w:t>38182/03, § 58, 21 lipca 2011 r.).</w:t>
      </w:r>
    </w:p>
    <w:p w14:paraId="5B44E9C2" w14:textId="71B6CB6B" w:rsidR="00EE4B82" w:rsidRPr="003D74F3" w:rsidRDefault="00EE4B82" w:rsidP="00ED40FA">
      <w:pPr>
        <w:pStyle w:val="ECHRPara"/>
        <w:rPr>
          <w:lang w:val="pl-PL"/>
        </w:rPr>
      </w:pPr>
      <w:r w:rsidRPr="003D74F3">
        <w:rPr>
          <w:noProof/>
          <w:lang w:val="pl-PL"/>
        </w:rPr>
        <w:t>158</w:t>
      </w:r>
      <w:r w:rsidRPr="003D74F3">
        <w:rPr>
          <w:lang w:val="pl-PL"/>
        </w:rPr>
        <w:t>.</w:t>
      </w:r>
      <w:r w:rsidR="009F3BFE">
        <w:rPr>
          <w:lang w:val="pl-PL"/>
        </w:rPr>
        <w:t xml:space="preserve"> </w:t>
      </w:r>
      <w:r w:rsidRPr="003D74F3">
        <w:rPr>
          <w:lang w:val="pl-PL"/>
        </w:rPr>
        <w:t>Art</w:t>
      </w:r>
      <w:r w:rsidR="00BE2CB1">
        <w:rPr>
          <w:lang w:val="pl-PL"/>
        </w:rPr>
        <w:t>ykuł</w:t>
      </w:r>
      <w:r w:rsidRPr="003D74F3">
        <w:rPr>
          <w:lang w:val="pl-PL"/>
        </w:rPr>
        <w:t xml:space="preserve"> 8 nie ogranicza się do nałożenia na państwo wymogu powstrzymania się od arbitralnej ingerencji: do tego raczej negatywnego zobowiązania można dodać </w:t>
      </w:r>
      <w:r w:rsidR="00BE2CB1">
        <w:rPr>
          <w:lang w:val="pl-PL"/>
        </w:rPr>
        <w:t>obowiązek pozytywny, nieodłącznie związany</w:t>
      </w:r>
      <w:r w:rsidRPr="003D74F3">
        <w:rPr>
          <w:lang w:val="pl-PL"/>
        </w:rPr>
        <w:t xml:space="preserve"> ze</w:t>
      </w:r>
      <w:r w:rsidR="00F13BAC">
        <w:rPr>
          <w:lang w:val="pl-PL"/>
        </w:rPr>
        <w:t> </w:t>
      </w:r>
      <w:r w:rsidRPr="003D74F3">
        <w:rPr>
          <w:lang w:val="pl-PL"/>
        </w:rPr>
        <w:t xml:space="preserve">skutecznym poszanowaniem </w:t>
      </w:r>
      <w:r w:rsidR="00BE2CB1">
        <w:rPr>
          <w:lang w:val="pl-PL"/>
        </w:rPr>
        <w:t>życia prywatnego</w:t>
      </w:r>
      <w:r w:rsidRPr="003D74F3">
        <w:rPr>
          <w:lang w:val="pl-PL"/>
        </w:rPr>
        <w:t>. W każdym razie i</w:t>
      </w:r>
      <w:r w:rsidR="00F13BAC">
        <w:rPr>
          <w:lang w:val="pl-PL"/>
        </w:rPr>
        <w:t> </w:t>
      </w:r>
      <w:r w:rsidRPr="003D74F3">
        <w:rPr>
          <w:lang w:val="pl-PL"/>
        </w:rPr>
        <w:t>niezależnie od tego, czy rozpatruje się tę kwestię z perspektywy nałożonego na państw pozytywnego obowiązku przyjęcia rozsądnych i</w:t>
      </w:r>
      <w:r w:rsidR="009F3BFE">
        <w:rPr>
          <w:lang w:val="pl-PL"/>
        </w:rPr>
        <w:t xml:space="preserve"> </w:t>
      </w:r>
      <w:r w:rsidRPr="003D74F3">
        <w:rPr>
          <w:lang w:val="pl-PL"/>
        </w:rPr>
        <w:t>odpowiednich środków w celu ochrony praw jednostki, zgodnie z</w:t>
      </w:r>
      <w:r w:rsidR="009F3BFE">
        <w:rPr>
          <w:lang w:val="pl-PL"/>
        </w:rPr>
        <w:t xml:space="preserve"> </w:t>
      </w:r>
      <w:r w:rsidRPr="003D74F3">
        <w:rPr>
          <w:lang w:val="pl-PL"/>
        </w:rPr>
        <w:t>pierwszym ustępem art.</w:t>
      </w:r>
      <w:r w:rsidR="00F13BAC">
        <w:rPr>
          <w:lang w:val="pl-PL"/>
        </w:rPr>
        <w:t> </w:t>
      </w:r>
      <w:r w:rsidRPr="003D74F3">
        <w:rPr>
          <w:lang w:val="pl-PL"/>
        </w:rPr>
        <w:t xml:space="preserve">8, czy z perspektywy ingerencji władzy publicznej, wymagającej uzasadnienia na podstawie drugiego ustępu, </w:t>
      </w:r>
      <w:r w:rsidR="000D640E">
        <w:rPr>
          <w:lang w:val="pl-PL"/>
        </w:rPr>
        <w:t xml:space="preserve">mające zastosowanie </w:t>
      </w:r>
      <w:r w:rsidRPr="003D74F3">
        <w:rPr>
          <w:lang w:val="pl-PL"/>
        </w:rPr>
        <w:t>zasady są dość podobne. W obu przypadkach należy znaleźć właściwą równowagę między konkurującymi ze sobą interesami jednostki i</w:t>
      </w:r>
      <w:r w:rsidR="009F3BFE">
        <w:rPr>
          <w:lang w:val="pl-PL"/>
        </w:rPr>
        <w:t xml:space="preserve"> </w:t>
      </w:r>
      <w:r w:rsidRPr="003D74F3">
        <w:rPr>
          <w:lang w:val="pl-PL"/>
        </w:rPr>
        <w:t>społeczeństwa jako całości, przy czym państwo w każdym przypadku dysponuje pewnym marginesem oceny (</w:t>
      </w:r>
      <w:r w:rsidRPr="003D74F3">
        <w:rPr>
          <w:i/>
          <w:iCs/>
          <w:lang w:val="pl-PL"/>
        </w:rPr>
        <w:t>López</w:t>
      </w:r>
      <w:r w:rsidR="009F3BFE">
        <w:rPr>
          <w:i/>
          <w:iCs/>
          <w:lang w:val="pl-PL"/>
        </w:rPr>
        <w:t xml:space="preserve"> </w:t>
      </w:r>
      <w:r w:rsidRPr="003D74F3">
        <w:rPr>
          <w:i/>
          <w:iCs/>
          <w:lang w:val="pl-PL"/>
        </w:rPr>
        <w:t>Ostra, op. cit.</w:t>
      </w:r>
      <w:r w:rsidRPr="003D74F3">
        <w:rPr>
          <w:lang w:val="pl-PL"/>
        </w:rPr>
        <w:t xml:space="preserve">, § 51 oraz </w:t>
      </w:r>
      <w:r w:rsidRPr="003D74F3">
        <w:rPr>
          <w:i/>
          <w:iCs/>
          <w:lang w:val="pl-PL"/>
        </w:rPr>
        <w:t>Guerra i Inni, op. cit.,</w:t>
      </w:r>
      <w:r w:rsidRPr="003D74F3">
        <w:rPr>
          <w:lang w:val="pl-PL"/>
        </w:rPr>
        <w:t xml:space="preserve"> §</w:t>
      </w:r>
      <w:r w:rsidR="009F3BFE">
        <w:rPr>
          <w:lang w:val="pl-PL"/>
        </w:rPr>
        <w:t xml:space="preserve"> </w:t>
      </w:r>
      <w:r w:rsidRPr="003D74F3">
        <w:rPr>
          <w:lang w:val="pl-PL"/>
        </w:rPr>
        <w:t>58).</w:t>
      </w:r>
    </w:p>
    <w:p w14:paraId="7DC89EB9" w14:textId="61F93D2F" w:rsidR="00EE4B82" w:rsidRPr="003D74F3" w:rsidRDefault="00EE4B82" w:rsidP="00ED40FA">
      <w:pPr>
        <w:pStyle w:val="ECHRPara"/>
        <w:rPr>
          <w:lang w:val="pl-PL"/>
        </w:rPr>
      </w:pPr>
      <w:r w:rsidRPr="003D74F3">
        <w:rPr>
          <w:noProof/>
          <w:lang w:val="pl-PL"/>
        </w:rPr>
        <w:t>159</w:t>
      </w:r>
      <w:r w:rsidRPr="003D74F3">
        <w:rPr>
          <w:lang w:val="pl-PL"/>
        </w:rPr>
        <w:t>.</w:t>
      </w:r>
      <w:r w:rsidR="009F3BFE">
        <w:rPr>
          <w:lang w:val="pl-PL"/>
        </w:rPr>
        <w:t xml:space="preserve"> </w:t>
      </w:r>
      <w:r w:rsidRPr="003D74F3">
        <w:rPr>
          <w:lang w:val="pl-PL"/>
        </w:rPr>
        <w:t>Przede wszystkim państwa mają pozytywny obowiązek, w</w:t>
      </w:r>
      <w:r w:rsidR="00F13BAC">
        <w:rPr>
          <w:lang w:val="pl-PL"/>
        </w:rPr>
        <w:t> </w:t>
      </w:r>
      <w:r w:rsidRPr="003D74F3">
        <w:rPr>
          <w:lang w:val="pl-PL"/>
        </w:rPr>
        <w:t>szczególności w przypadku działalności niebezpiecznej, wprowadzenia przepisów dostosowanych do szczególnych cech tej działalności, w</w:t>
      </w:r>
      <w:r w:rsidR="00F13BAC">
        <w:rPr>
          <w:lang w:val="pl-PL"/>
        </w:rPr>
        <w:t> </w:t>
      </w:r>
      <w:r w:rsidRPr="003D74F3">
        <w:rPr>
          <w:lang w:val="pl-PL"/>
        </w:rPr>
        <w:t>szczególności do poziomu ryzyka, które może z niej wynikać. Przepisy te</w:t>
      </w:r>
      <w:r w:rsidR="00F13BAC">
        <w:rPr>
          <w:lang w:val="pl-PL"/>
        </w:rPr>
        <w:t> </w:t>
      </w:r>
      <w:r w:rsidRPr="003D74F3">
        <w:rPr>
          <w:lang w:val="pl-PL"/>
        </w:rPr>
        <w:t xml:space="preserve">muszą regulować wydawanie zezwoleń, uruchamianie, funkcjonowanie, bezpieczeństwo i kontrolę danej działalności oraz nakładać na wszystkie osoby z nią związane obowiązek przyjęcia praktycznych środków w celu zapewnienia skutecznej ochrony obywateli, których życie może być narażone na niebezpieczeństwa związane z daną dziedziną (zob., odpowiednio, </w:t>
      </w:r>
      <w:r w:rsidRPr="003D74F3">
        <w:rPr>
          <w:i/>
          <w:iCs/>
          <w:lang w:val="pl-PL"/>
        </w:rPr>
        <w:t>Oneryildiz p. Turcji</w:t>
      </w:r>
      <w:r w:rsidRPr="003D74F3">
        <w:rPr>
          <w:lang w:val="pl-PL"/>
        </w:rPr>
        <w:t>, [WI], skarga nr</w:t>
      </w:r>
      <w:r w:rsidR="009F3BFE">
        <w:rPr>
          <w:lang w:val="pl-PL"/>
        </w:rPr>
        <w:t xml:space="preserve"> </w:t>
      </w:r>
      <w:r w:rsidRPr="003D74F3">
        <w:rPr>
          <w:lang w:val="pl-PL"/>
        </w:rPr>
        <w:t xml:space="preserve">48939/99, § 90, </w:t>
      </w:r>
      <w:r w:rsidR="009F3BFE">
        <w:rPr>
          <w:lang w:val="pl-PL"/>
        </w:rPr>
        <w:t>ETPC</w:t>
      </w:r>
      <w:r w:rsidRPr="003D74F3">
        <w:rPr>
          <w:lang w:val="pl-PL"/>
        </w:rPr>
        <w:t xml:space="preserve"> 2004-XII </w:t>
      </w:r>
      <w:r w:rsidRPr="003D74F3">
        <w:rPr>
          <w:lang w:val="pl-PL"/>
        </w:rPr>
        <w:lastRenderedPageBreak/>
        <w:t>oraz</w:t>
      </w:r>
      <w:r w:rsidR="00F13BAC">
        <w:rPr>
          <w:lang w:val="pl-PL"/>
        </w:rPr>
        <w:t> </w:t>
      </w:r>
      <w:r w:rsidRPr="003D74F3">
        <w:rPr>
          <w:i/>
          <w:iCs/>
          <w:lang w:val="pl-PL"/>
        </w:rPr>
        <w:t>Brincat i Inni p. Malcie</w:t>
      </w:r>
      <w:r w:rsidRPr="003D74F3">
        <w:rPr>
          <w:lang w:val="pl-PL"/>
        </w:rPr>
        <w:t>, skargi nr 60908/11 i 4 inne,</w:t>
      </w:r>
      <w:r w:rsidR="009F3BFE">
        <w:rPr>
          <w:lang w:val="pl-PL"/>
        </w:rPr>
        <w:t xml:space="preserve"> </w:t>
      </w:r>
      <w:r w:rsidRPr="003D74F3">
        <w:rPr>
          <w:snapToGrid w:val="0"/>
          <w:lang w:val="pl-PL"/>
        </w:rPr>
        <w:t>§§</w:t>
      </w:r>
      <w:r w:rsidR="009F3BFE">
        <w:rPr>
          <w:snapToGrid w:val="0"/>
          <w:lang w:val="pl-PL"/>
        </w:rPr>
        <w:t xml:space="preserve"> </w:t>
      </w:r>
      <w:r w:rsidRPr="003D74F3">
        <w:rPr>
          <w:snapToGrid w:val="0"/>
          <w:lang w:val="pl-PL"/>
        </w:rPr>
        <w:t>101–102,</w:t>
      </w:r>
      <w:r w:rsidR="009F3BFE">
        <w:rPr>
          <w:snapToGrid w:val="0"/>
          <w:lang w:val="pl-PL"/>
        </w:rPr>
        <w:t xml:space="preserve"> </w:t>
      </w:r>
      <w:r w:rsidRPr="003D74F3">
        <w:rPr>
          <w:snapToGrid w:val="0"/>
          <w:lang w:val="pl-PL"/>
        </w:rPr>
        <w:t>24</w:t>
      </w:r>
      <w:r w:rsidR="00F13BAC">
        <w:rPr>
          <w:snapToGrid w:val="0"/>
          <w:lang w:val="pl-PL"/>
        </w:rPr>
        <w:t> </w:t>
      </w:r>
      <w:r w:rsidRPr="003D74F3">
        <w:rPr>
          <w:lang w:val="pl-PL"/>
        </w:rPr>
        <w:t>lipca</w:t>
      </w:r>
      <w:r w:rsidRPr="003D74F3">
        <w:rPr>
          <w:snapToGrid w:val="0"/>
          <w:lang w:val="pl-PL"/>
        </w:rPr>
        <w:t xml:space="preserve"> 2014 r.</w:t>
      </w:r>
      <w:r w:rsidRPr="003D74F3">
        <w:rPr>
          <w:lang w:val="pl-PL"/>
        </w:rPr>
        <w:t>).</w:t>
      </w:r>
    </w:p>
    <w:p w14:paraId="147E2AF4" w14:textId="31AD1110" w:rsidR="00EE4B82" w:rsidRPr="003D74F3" w:rsidRDefault="00EE4B82" w:rsidP="00ED40FA">
      <w:pPr>
        <w:pStyle w:val="ECHRPara"/>
        <w:rPr>
          <w:i/>
          <w:iCs/>
          <w:lang w:val="pl-PL"/>
        </w:rPr>
      </w:pPr>
      <w:r w:rsidRPr="003D74F3">
        <w:rPr>
          <w:noProof/>
          <w:lang w:val="pl-PL"/>
        </w:rPr>
        <w:t>160</w:t>
      </w:r>
      <w:r w:rsidRPr="003D74F3">
        <w:rPr>
          <w:lang w:val="pl-PL"/>
        </w:rPr>
        <w:t>.</w:t>
      </w:r>
      <w:r w:rsidR="009F3BFE">
        <w:rPr>
          <w:lang w:val="pl-PL"/>
        </w:rPr>
        <w:t xml:space="preserve"> </w:t>
      </w:r>
      <w:r w:rsidRPr="003D74F3">
        <w:rPr>
          <w:lang w:val="pl-PL"/>
        </w:rPr>
        <w:t>Wreszcie, często niemożliwe jest ilościowe określenie skutków znaczącego zanieczyszczenia przemysłowego w każdej indywidualnej sytuacji i wyodrębnienie wpływu innych czynników, takich jak na przykład wiek i zawód. To samo dotyczy pogorszenia jakości życia wynikającego z</w:t>
      </w:r>
      <w:r w:rsidR="00F13BAC">
        <w:rPr>
          <w:lang w:val="pl-PL"/>
        </w:rPr>
        <w:t> </w:t>
      </w:r>
      <w:r w:rsidRPr="003D74F3">
        <w:rPr>
          <w:lang w:val="pl-PL"/>
        </w:rPr>
        <w:t>zanieczyszczeń przemysłowych. „Jakość życia” jest bardzo subiektywnym pojęciem, które nie poddaje się precyzyjnej definicji. Dlatego ustalając okoliczności faktyczne zawisłych przed nim spraw, Trybunał nie ma innego wyboru, jak oprzeć się przede wszystkim, choć nie wyłącznie, na ustaleniach sądów i innych właściwych organów krajowych (</w:t>
      </w:r>
      <w:r w:rsidRPr="003D74F3">
        <w:rPr>
          <w:i/>
          <w:iCs/>
          <w:lang w:val="pl-PL"/>
        </w:rPr>
        <w:t>Lediaïeva i</w:t>
      </w:r>
      <w:r w:rsidR="009F3BFE">
        <w:rPr>
          <w:i/>
          <w:iCs/>
          <w:lang w:val="pl-PL"/>
        </w:rPr>
        <w:t xml:space="preserve"> </w:t>
      </w:r>
      <w:r w:rsidRPr="003D74F3">
        <w:rPr>
          <w:i/>
          <w:iCs/>
          <w:lang w:val="pl-PL"/>
        </w:rPr>
        <w:t>Inni p. Rosji</w:t>
      </w:r>
      <w:r w:rsidRPr="003D74F3">
        <w:rPr>
          <w:lang w:val="pl-PL"/>
        </w:rPr>
        <w:t>, skargi nr</w:t>
      </w:r>
      <w:r w:rsidR="009F3BFE">
        <w:rPr>
          <w:lang w:val="pl-PL"/>
        </w:rPr>
        <w:t xml:space="preserve"> </w:t>
      </w:r>
      <w:r w:rsidRPr="003D74F3">
        <w:rPr>
          <w:lang w:val="pl-PL"/>
        </w:rPr>
        <w:t>53157/99 i 3</w:t>
      </w:r>
      <w:r w:rsidR="009F3BFE">
        <w:rPr>
          <w:lang w:val="pl-PL"/>
        </w:rPr>
        <w:t xml:space="preserve"> </w:t>
      </w:r>
      <w:r w:rsidRPr="003D74F3">
        <w:rPr>
          <w:lang w:val="pl-PL"/>
        </w:rPr>
        <w:t xml:space="preserve">inne, § 90, 26 października 2006 r. oraz </w:t>
      </w:r>
      <w:r w:rsidRPr="003D74F3">
        <w:rPr>
          <w:i/>
          <w:iCs/>
          <w:lang w:val="pl-PL"/>
        </w:rPr>
        <w:t>Jugheli i Inni p.</w:t>
      </w:r>
      <w:r w:rsidR="009F3BFE">
        <w:rPr>
          <w:i/>
          <w:iCs/>
          <w:lang w:val="pl-PL"/>
        </w:rPr>
        <w:t xml:space="preserve"> </w:t>
      </w:r>
      <w:r w:rsidRPr="003D74F3">
        <w:rPr>
          <w:i/>
          <w:iCs/>
          <w:lang w:val="pl-PL"/>
        </w:rPr>
        <w:t>Gruzji</w:t>
      </w:r>
      <w:r w:rsidRPr="003D74F3">
        <w:rPr>
          <w:lang w:val="pl-PL"/>
        </w:rPr>
        <w:t>, skarga nr 38342/05, § 63, 13 lipca 2017 r.).</w:t>
      </w:r>
    </w:p>
    <w:p w14:paraId="47427CFA" w14:textId="77777777" w:rsidR="00EE4B82" w:rsidRPr="003D74F3" w:rsidRDefault="00EE4B82" w:rsidP="00ED40FA">
      <w:pPr>
        <w:pStyle w:val="ECHRHeading5"/>
        <w:rPr>
          <w:lang w:val="pl-PL"/>
        </w:rPr>
      </w:pPr>
      <w:r w:rsidRPr="000A001A">
        <w:rPr>
          <w:lang w:val="pl-PL"/>
        </w:rPr>
        <w:t>ii.</w:t>
      </w:r>
      <w:r w:rsidR="009F3BFE" w:rsidRPr="000A001A">
        <w:rPr>
          <w:lang w:val="pl-PL"/>
        </w:rPr>
        <w:t xml:space="preserve"> </w:t>
      </w:r>
      <w:r w:rsidRPr="000A001A">
        <w:rPr>
          <w:lang w:val="pl-PL"/>
        </w:rPr>
        <w:t>Zastosowanie powyższych zasad do niniejszej sprawy</w:t>
      </w:r>
    </w:p>
    <w:p w14:paraId="5CC14E59" w14:textId="7BD079AF" w:rsidR="00EE4B82" w:rsidRPr="003D74F3" w:rsidRDefault="00EE4B82" w:rsidP="00ED40FA">
      <w:pPr>
        <w:pStyle w:val="ECHRPara"/>
        <w:rPr>
          <w:lang w:val="pl-PL"/>
        </w:rPr>
      </w:pPr>
      <w:bookmarkStart w:id="4" w:name="violation_8"/>
      <w:r w:rsidRPr="003D74F3">
        <w:rPr>
          <w:noProof/>
          <w:lang w:val="pl-PL"/>
        </w:rPr>
        <w:t>161</w:t>
      </w:r>
      <w:bookmarkEnd w:id="4"/>
      <w:r w:rsidRPr="003D74F3">
        <w:rPr>
          <w:lang w:val="pl-PL"/>
        </w:rPr>
        <w:t>.</w:t>
      </w:r>
      <w:r w:rsidR="009F3BFE">
        <w:rPr>
          <w:lang w:val="pl-PL"/>
        </w:rPr>
        <w:t xml:space="preserve"> </w:t>
      </w:r>
      <w:r w:rsidRPr="003D74F3">
        <w:rPr>
          <w:lang w:val="pl-PL"/>
        </w:rPr>
        <w:t>Trybunał zauważa, że o ile zadaniem Trybunału nie jest dokładne określenie środków, które należało podjąć w niniejszej sprawie w celu skuteczniejszego obniżenia poziomu zanieczyszczenia, to bez wątpienia do</w:t>
      </w:r>
      <w:r w:rsidR="00F13BAC">
        <w:rPr>
          <w:lang w:val="pl-PL"/>
        </w:rPr>
        <w:t> </w:t>
      </w:r>
      <w:r w:rsidRPr="003D74F3">
        <w:rPr>
          <w:lang w:val="pl-PL"/>
        </w:rPr>
        <w:t>Trybunału należy ustalenie, czy władze krajowe podeszły do tej kwestii z</w:t>
      </w:r>
      <w:r w:rsidR="00F13BAC">
        <w:rPr>
          <w:lang w:val="pl-PL"/>
        </w:rPr>
        <w:t> </w:t>
      </w:r>
      <w:r w:rsidRPr="003D74F3">
        <w:rPr>
          <w:lang w:val="pl-PL"/>
        </w:rPr>
        <w:t>należytą starannością i czy wzięły pod uwagę wszystkie konkurujące ze</w:t>
      </w:r>
      <w:r w:rsidR="00F13BAC">
        <w:rPr>
          <w:lang w:val="pl-PL"/>
        </w:rPr>
        <w:t> </w:t>
      </w:r>
      <w:r w:rsidRPr="003D74F3">
        <w:rPr>
          <w:lang w:val="pl-PL"/>
        </w:rPr>
        <w:t>sobą interesy. W tym względzie Trybunał przypom</w:t>
      </w:r>
      <w:r w:rsidR="000A001A">
        <w:rPr>
          <w:lang w:val="pl-PL"/>
        </w:rPr>
        <w:t>ina</w:t>
      </w:r>
      <w:r w:rsidRPr="003D74F3">
        <w:rPr>
          <w:lang w:val="pl-PL"/>
        </w:rPr>
        <w:t>, że to do państwa należy uzasadnienie za pomocą konkretnych i szczegółowych dowodów sytuacji, w których niektóre jednostki są zmuszone do ponoszenia wysokich obciążeń w interesie społeczeństwa. Analiza niniejszej sprawy pod tym kątem prowadzi Trybunał do przedstawienia następujących uwag (</w:t>
      </w:r>
      <w:r w:rsidRPr="003D74F3">
        <w:rPr>
          <w:i/>
          <w:iCs/>
          <w:lang w:val="pl-PL"/>
        </w:rPr>
        <w:t>Fadeïeva</w:t>
      </w:r>
      <w:r w:rsidRPr="003D74F3">
        <w:rPr>
          <w:lang w:val="pl-PL"/>
        </w:rPr>
        <w:t xml:space="preserve">, </w:t>
      </w:r>
      <w:r w:rsidRPr="003D74F3">
        <w:rPr>
          <w:i/>
          <w:iCs/>
          <w:lang w:val="pl-PL"/>
        </w:rPr>
        <w:t>op. cit.</w:t>
      </w:r>
      <w:r w:rsidRPr="003D74F3">
        <w:rPr>
          <w:lang w:val="pl-PL"/>
        </w:rPr>
        <w:t>, §</w:t>
      </w:r>
      <w:r w:rsidR="009F3BFE">
        <w:rPr>
          <w:lang w:val="pl-PL"/>
        </w:rPr>
        <w:t xml:space="preserve"> </w:t>
      </w:r>
      <w:r w:rsidRPr="003D74F3">
        <w:rPr>
          <w:lang w:val="pl-PL"/>
        </w:rPr>
        <w:t>128).</w:t>
      </w:r>
    </w:p>
    <w:p w14:paraId="7EE789C4" w14:textId="3B1F7346" w:rsidR="00EE4B82" w:rsidRPr="003D74F3" w:rsidRDefault="00EE4B82" w:rsidP="00ED40FA">
      <w:pPr>
        <w:pStyle w:val="ECHRPara"/>
        <w:rPr>
          <w:lang w:val="pl-PL"/>
        </w:rPr>
      </w:pPr>
      <w:r w:rsidRPr="003D74F3">
        <w:rPr>
          <w:noProof/>
          <w:lang w:val="pl-PL"/>
        </w:rPr>
        <w:t>162</w:t>
      </w:r>
      <w:r w:rsidRPr="003D74F3">
        <w:rPr>
          <w:lang w:val="pl-PL"/>
        </w:rPr>
        <w:t>.</w:t>
      </w:r>
      <w:r w:rsidR="009F3BFE">
        <w:rPr>
          <w:lang w:val="pl-PL"/>
        </w:rPr>
        <w:t xml:space="preserve"> </w:t>
      </w:r>
      <w:r w:rsidRPr="003D74F3">
        <w:rPr>
          <w:lang w:val="pl-PL"/>
        </w:rPr>
        <w:t xml:space="preserve">Na wstępie Trybunał zgadza się ze skarżącymi, że przedmiot niniejszej sprawy różni się od sprawy </w:t>
      </w:r>
      <w:r w:rsidRPr="003D74F3">
        <w:rPr>
          <w:i/>
          <w:iCs/>
          <w:lang w:val="pl-PL"/>
        </w:rPr>
        <w:t>Smaltini</w:t>
      </w:r>
      <w:r w:rsidRPr="003D74F3">
        <w:rPr>
          <w:lang w:val="pl-PL"/>
        </w:rPr>
        <w:t>, wymienionej powyżej, w</w:t>
      </w:r>
      <w:r w:rsidR="00F13BAC">
        <w:rPr>
          <w:lang w:val="pl-PL"/>
        </w:rPr>
        <w:t> </w:t>
      </w:r>
      <w:r w:rsidRPr="003D74F3">
        <w:rPr>
          <w:lang w:val="pl-PL"/>
        </w:rPr>
        <w:t xml:space="preserve">której skarżąca, która zmarła na białaczkę w trakcie toczącego się przed Trybunałem postępowania, zarzucała, iż władze krajowe nie uznały – </w:t>
      </w:r>
      <w:r w:rsidR="00815DAE">
        <w:rPr>
          <w:lang w:val="pl-PL"/>
        </w:rPr>
        <w:t>w</w:t>
      </w:r>
      <w:r w:rsidR="00F13BAC">
        <w:rPr>
          <w:lang w:val="pl-PL"/>
        </w:rPr>
        <w:t> </w:t>
      </w:r>
      <w:r w:rsidR="00815DAE">
        <w:rPr>
          <w:lang w:val="pl-PL"/>
        </w:rPr>
        <w:t xml:space="preserve">wyniku </w:t>
      </w:r>
      <w:r w:rsidRPr="003D74F3">
        <w:rPr>
          <w:lang w:val="pl-PL"/>
        </w:rPr>
        <w:t>wszczętego przez nią postępowania karnego – istnienia związku przyczynowego między emisjami z zakładu Ilva w Tarencie a jej chorobą. W</w:t>
      </w:r>
      <w:r w:rsidR="00F13BAC">
        <w:rPr>
          <w:lang w:val="pl-PL"/>
        </w:rPr>
        <w:t> </w:t>
      </w:r>
      <w:r w:rsidRPr="003D74F3">
        <w:rPr>
          <w:lang w:val="pl-PL"/>
        </w:rPr>
        <w:t>tej sprawie Trybunał podkreślił między innymi, że w świetle wiedzy naukowej dostępnej w momencie zaistnienia okoliczności faktycznych i</w:t>
      </w:r>
      <w:r w:rsidR="00F13BAC">
        <w:rPr>
          <w:lang w:val="pl-PL"/>
        </w:rPr>
        <w:t> </w:t>
      </w:r>
      <w:r w:rsidRPr="003D74F3">
        <w:rPr>
          <w:lang w:val="pl-PL"/>
        </w:rPr>
        <w:t>bez</w:t>
      </w:r>
      <w:r w:rsidR="00F13BAC">
        <w:rPr>
          <w:lang w:val="pl-PL"/>
        </w:rPr>
        <w:t> </w:t>
      </w:r>
      <w:r w:rsidRPr="003D74F3">
        <w:rPr>
          <w:lang w:val="pl-PL"/>
        </w:rPr>
        <w:t xml:space="preserve">uszczerbku dla wyników przyszłych badań naukowych, decyzje krajowe zostały należycie uzasadnione. Tymczasem w niniejszej sprawie skarżący zarzucają brak podjęcia przez państwo środków mających na celu ochronę ich zdrowia i środowiska. Jedynie w odniesieniu do tej ostatniej kwestii, która różni się od kwestii będącej przedmiotem sprawy </w:t>
      </w:r>
      <w:r w:rsidRPr="003D74F3">
        <w:rPr>
          <w:i/>
          <w:iCs/>
          <w:lang w:val="pl-PL"/>
        </w:rPr>
        <w:t>Smaltini</w:t>
      </w:r>
      <w:r w:rsidRPr="003D74F3">
        <w:rPr>
          <w:lang w:val="pl-PL"/>
        </w:rPr>
        <w:t>, o</w:t>
      </w:r>
      <w:r w:rsidR="00F13BAC">
        <w:rPr>
          <w:lang w:val="pl-PL"/>
        </w:rPr>
        <w:t> </w:t>
      </w:r>
      <w:r w:rsidRPr="003D74F3">
        <w:rPr>
          <w:lang w:val="pl-PL"/>
        </w:rPr>
        <w:t>której mowa powyżej, Trybunał jest zobowiązany do wydania orzeczenia.</w:t>
      </w:r>
    </w:p>
    <w:p w14:paraId="139D1174" w14:textId="296A6BFC" w:rsidR="00EE4B82" w:rsidRPr="003D74F3" w:rsidRDefault="00EE4B82" w:rsidP="00ED40FA">
      <w:pPr>
        <w:pStyle w:val="ECHRPara"/>
        <w:rPr>
          <w:lang w:val="pl-PL"/>
        </w:rPr>
      </w:pPr>
      <w:r w:rsidRPr="003D74F3">
        <w:rPr>
          <w:noProof/>
          <w:lang w:val="pl-PL"/>
        </w:rPr>
        <w:t>163</w:t>
      </w:r>
      <w:r w:rsidRPr="003D74F3">
        <w:rPr>
          <w:lang w:val="pl-PL"/>
        </w:rPr>
        <w:t>.</w:t>
      </w:r>
      <w:r w:rsidR="009F3BFE">
        <w:rPr>
          <w:lang w:val="pl-PL"/>
        </w:rPr>
        <w:t xml:space="preserve"> </w:t>
      </w:r>
      <w:r w:rsidRPr="003D74F3">
        <w:rPr>
          <w:lang w:val="pl-PL"/>
        </w:rPr>
        <w:t>Trybunał stwierdza, że od lat 70. XX w. badania naukowe wskazują na szkodliwy wpływ emisji z zakładu Ilva w Tarencie na środowisko i</w:t>
      </w:r>
      <w:r w:rsidR="00F13BAC">
        <w:rPr>
          <w:lang w:val="pl-PL"/>
        </w:rPr>
        <w:t> </w:t>
      </w:r>
      <w:r w:rsidRPr="003D74F3">
        <w:rPr>
          <w:lang w:val="pl-PL"/>
        </w:rPr>
        <w:t xml:space="preserve">zdrowie ludzkie (paragraf </w:t>
      </w:r>
      <w:r w:rsidRPr="003D74F3">
        <w:rPr>
          <w:noProof/>
          <w:lang w:val="pl-PL"/>
        </w:rPr>
        <w:t>15</w:t>
      </w:r>
      <w:r w:rsidRPr="003D74F3">
        <w:rPr>
          <w:lang w:val="pl-PL"/>
        </w:rPr>
        <w:t xml:space="preserve"> i kolejne powyżej). Wyniki tych raportów, </w:t>
      </w:r>
      <w:r w:rsidRPr="003D74F3">
        <w:rPr>
          <w:lang w:val="pl-PL"/>
        </w:rPr>
        <w:lastRenderedPageBreak/>
        <w:t>w</w:t>
      </w:r>
      <w:r w:rsidR="00F13BAC">
        <w:rPr>
          <w:lang w:val="pl-PL"/>
        </w:rPr>
        <w:t> </w:t>
      </w:r>
      <w:r w:rsidRPr="003D74F3">
        <w:rPr>
          <w:lang w:val="pl-PL"/>
        </w:rPr>
        <w:t>większości sporządzonych przez organizacje państwowe i</w:t>
      </w:r>
      <w:r w:rsidR="009F3BFE">
        <w:rPr>
          <w:lang w:val="pl-PL"/>
        </w:rPr>
        <w:t xml:space="preserve"> </w:t>
      </w:r>
      <w:r w:rsidRPr="003D74F3">
        <w:rPr>
          <w:lang w:val="pl-PL"/>
        </w:rPr>
        <w:t>regionalne, nie</w:t>
      </w:r>
      <w:r w:rsidR="00F13BAC">
        <w:rPr>
          <w:lang w:val="pl-PL"/>
        </w:rPr>
        <w:t> </w:t>
      </w:r>
      <w:r w:rsidRPr="003D74F3">
        <w:rPr>
          <w:lang w:val="pl-PL"/>
        </w:rPr>
        <w:t>są przedmiotem sporu między stronami.</w:t>
      </w:r>
    </w:p>
    <w:p w14:paraId="0BB33C53" w14:textId="77777777" w:rsidR="00EE4B82" w:rsidRPr="003D74F3" w:rsidRDefault="00EE4B82" w:rsidP="00ED40FA">
      <w:pPr>
        <w:pStyle w:val="ECHRPara"/>
        <w:rPr>
          <w:lang w:val="pl-PL"/>
        </w:rPr>
      </w:pPr>
      <w:r w:rsidRPr="003D74F3">
        <w:rPr>
          <w:noProof/>
          <w:lang w:val="pl-PL"/>
        </w:rPr>
        <w:t>164</w:t>
      </w:r>
      <w:r w:rsidRPr="003D74F3">
        <w:rPr>
          <w:lang w:val="pl-PL"/>
        </w:rPr>
        <w:t>.</w:t>
      </w:r>
      <w:r w:rsidR="009F3BFE">
        <w:rPr>
          <w:lang w:val="pl-PL"/>
        </w:rPr>
        <w:t xml:space="preserve"> </w:t>
      </w:r>
      <w:r w:rsidRPr="003D74F3">
        <w:rPr>
          <w:lang w:val="pl-PL"/>
        </w:rPr>
        <w:t>W tym kontekście należy w szczególności przypomnieć ustalenia raportu SENTIERI z 2012 r. poświadczające istnienie związku przyczynowego między narażeniem środowiskowym na wdychan</w:t>
      </w:r>
      <w:r w:rsidR="0027156B">
        <w:rPr>
          <w:lang w:val="pl-PL"/>
        </w:rPr>
        <w:t>ie substancji rakotwórczych generowanych</w:t>
      </w:r>
      <w:r w:rsidRPr="003D74F3">
        <w:rPr>
          <w:lang w:val="pl-PL"/>
        </w:rPr>
        <w:t xml:space="preserve"> przez zakład Ilva a rozwojem nowotworów płuc i opłucnej oraz zapadalnością na choroby układu krążenia u osób mieszkających na obszarach dotkniętych zanieczyszczeniem (paragraf </w:t>
      </w:r>
      <w:r w:rsidRPr="003D74F3">
        <w:rPr>
          <w:noProof/>
          <w:lang w:val="pl-PL"/>
        </w:rPr>
        <w:t>20</w:t>
      </w:r>
      <w:r w:rsidRPr="003D74F3">
        <w:rPr>
          <w:lang w:val="pl-PL"/>
        </w:rPr>
        <w:t xml:space="preserve"> i kolejne powyżej).</w:t>
      </w:r>
    </w:p>
    <w:p w14:paraId="761E03EE" w14:textId="72BD59B1" w:rsidR="00EE4B82" w:rsidRPr="003D74F3" w:rsidRDefault="00EE4B82" w:rsidP="00ED40FA">
      <w:pPr>
        <w:pStyle w:val="ECHRPara"/>
        <w:rPr>
          <w:lang w:val="pl-PL"/>
        </w:rPr>
      </w:pPr>
      <w:r w:rsidRPr="003D74F3">
        <w:rPr>
          <w:noProof/>
          <w:lang w:val="pl-PL"/>
        </w:rPr>
        <w:t>165</w:t>
      </w:r>
      <w:r w:rsidRPr="003D74F3">
        <w:rPr>
          <w:lang w:val="pl-PL"/>
        </w:rPr>
        <w:t>.</w:t>
      </w:r>
      <w:r w:rsidR="009F3BFE">
        <w:rPr>
          <w:lang w:val="pl-PL"/>
        </w:rPr>
        <w:t xml:space="preserve"> </w:t>
      </w:r>
      <w:r w:rsidRPr="003D74F3">
        <w:rPr>
          <w:lang w:val="pl-PL"/>
        </w:rPr>
        <w:t>Ponadto badanie kohortowe przeprowadzone w 2016 r. wykazało związek przyczynowy między narażeniem na PM10 i SO</w:t>
      </w:r>
      <w:r w:rsidRPr="003D74F3">
        <w:rPr>
          <w:vertAlign w:val="subscript"/>
          <w:lang w:val="pl-PL"/>
        </w:rPr>
        <w:t>2</w:t>
      </w:r>
      <w:r w:rsidRPr="003D74F3">
        <w:rPr>
          <w:lang w:val="pl-PL"/>
        </w:rPr>
        <w:t xml:space="preserve"> pochodzenia przemysłowego, związanym z działalnością produkcyjną przedsiębiorstwa Ilva, a wzrostem śmiertelności z przyczyn naturalnych, z powodu nowotworów, chorób nerek i układu krążenia wśród osób mieszkających w</w:t>
      </w:r>
      <w:r w:rsidR="00F13BAC">
        <w:rPr>
          <w:lang w:val="pl-PL"/>
        </w:rPr>
        <w:t> </w:t>
      </w:r>
      <w:r w:rsidRPr="003D74F3">
        <w:rPr>
          <w:lang w:val="pl-PL"/>
        </w:rPr>
        <w:t xml:space="preserve">Tarencie (paragrafy </w:t>
      </w:r>
      <w:r w:rsidRPr="003D74F3">
        <w:rPr>
          <w:noProof/>
          <w:lang w:val="pl-PL"/>
        </w:rPr>
        <w:t>25</w:t>
      </w:r>
      <w:r w:rsidRPr="003D74F3">
        <w:rPr>
          <w:lang w:val="pl-PL"/>
        </w:rPr>
        <w:t xml:space="preserve"> i</w:t>
      </w:r>
      <w:r w:rsidR="009F3BFE">
        <w:rPr>
          <w:lang w:val="pl-PL"/>
        </w:rPr>
        <w:t xml:space="preserve"> </w:t>
      </w:r>
      <w:r w:rsidRPr="003D74F3">
        <w:rPr>
          <w:noProof/>
          <w:lang w:val="pl-PL"/>
        </w:rPr>
        <w:t>26</w:t>
      </w:r>
      <w:r w:rsidRPr="003D74F3">
        <w:rPr>
          <w:lang w:val="pl-PL"/>
        </w:rPr>
        <w:t xml:space="preserve"> powyżej).</w:t>
      </w:r>
    </w:p>
    <w:p w14:paraId="7889C21C" w14:textId="6526CF83" w:rsidR="00EE4B82" w:rsidRPr="003D74F3" w:rsidRDefault="00EE4B82" w:rsidP="00ED40FA">
      <w:pPr>
        <w:pStyle w:val="ECHRPara"/>
        <w:rPr>
          <w:lang w:val="pl-PL"/>
        </w:rPr>
      </w:pPr>
      <w:r w:rsidRPr="003D74F3">
        <w:rPr>
          <w:noProof/>
          <w:lang w:val="pl-PL"/>
        </w:rPr>
        <w:t>166</w:t>
      </w:r>
      <w:r w:rsidRPr="003D74F3">
        <w:rPr>
          <w:lang w:val="pl-PL"/>
        </w:rPr>
        <w:t>.</w:t>
      </w:r>
      <w:r w:rsidR="009F3BFE">
        <w:rPr>
          <w:lang w:val="pl-PL"/>
        </w:rPr>
        <w:t xml:space="preserve"> </w:t>
      </w:r>
      <w:r w:rsidRPr="003D74F3">
        <w:rPr>
          <w:lang w:val="pl-PL"/>
        </w:rPr>
        <w:t xml:space="preserve">Wreszcie, ten sam związek między emisjami przemysłowymi przedsiębiorstwa Ilva a uszczerbkiem na zdrowiu w regionie Tarentu znajduje potwierdzenie w raporcie </w:t>
      </w:r>
      <w:r w:rsidR="00240EC8">
        <w:rPr>
          <w:lang w:val="pl-PL"/>
        </w:rPr>
        <w:t>Regionalnej</w:t>
      </w:r>
      <w:r w:rsidR="00240EC8" w:rsidRPr="00240EC8">
        <w:rPr>
          <w:lang w:val="pl-PL"/>
        </w:rPr>
        <w:t xml:space="preserve"> Agencj</w:t>
      </w:r>
      <w:r w:rsidR="00240EC8">
        <w:rPr>
          <w:lang w:val="pl-PL"/>
        </w:rPr>
        <w:t>i</w:t>
      </w:r>
      <w:r w:rsidR="00240EC8" w:rsidRPr="00240EC8">
        <w:rPr>
          <w:lang w:val="pl-PL"/>
        </w:rPr>
        <w:t xml:space="preserve"> ds. Ochrony Środowiska </w:t>
      </w:r>
      <w:r w:rsidR="00240EC8">
        <w:rPr>
          <w:lang w:val="pl-PL"/>
        </w:rPr>
        <w:t>(</w:t>
      </w:r>
      <w:r w:rsidRPr="003D74F3">
        <w:rPr>
          <w:lang w:val="pl-PL"/>
        </w:rPr>
        <w:t>ARPA</w:t>
      </w:r>
      <w:r w:rsidR="00240EC8">
        <w:rPr>
          <w:lang w:val="pl-PL"/>
        </w:rPr>
        <w:t>)</w:t>
      </w:r>
      <w:r w:rsidRPr="003D74F3">
        <w:rPr>
          <w:lang w:val="pl-PL"/>
        </w:rPr>
        <w:t xml:space="preserve"> z 2017 r. W tym ostatnim wykazano również utrzymywanie się krytycznej sytuacji sanitarnej w strefie „wysokiego ryzyka środowiskowego” i w SIN w Tarencie, gdzie wskaźnik śmiertelności i</w:t>
      </w:r>
      <w:r w:rsidR="00F13BAC">
        <w:rPr>
          <w:lang w:val="pl-PL"/>
        </w:rPr>
        <w:t> </w:t>
      </w:r>
      <w:r w:rsidRPr="003D74F3">
        <w:rPr>
          <w:lang w:val="pl-PL"/>
        </w:rPr>
        <w:t xml:space="preserve">hospitalizacji z powodu niektórych chorób onkologicznych, układu krążenia, układu oddechowego i pokarmowego był wyższy od średniej regionalnej (paragraf </w:t>
      </w:r>
      <w:r w:rsidRPr="003D74F3">
        <w:rPr>
          <w:noProof/>
          <w:lang w:val="pl-PL"/>
        </w:rPr>
        <w:t>29</w:t>
      </w:r>
      <w:r w:rsidRPr="003D74F3">
        <w:rPr>
          <w:lang w:val="pl-PL"/>
        </w:rPr>
        <w:t xml:space="preserve"> powyżej).</w:t>
      </w:r>
    </w:p>
    <w:p w14:paraId="57E8A7BA" w14:textId="77777777" w:rsidR="00EE4B82" w:rsidRPr="003D74F3" w:rsidRDefault="00EE4B82" w:rsidP="00ED40FA">
      <w:pPr>
        <w:pStyle w:val="ECHRPara"/>
        <w:rPr>
          <w:lang w:val="pl-PL"/>
        </w:rPr>
      </w:pPr>
      <w:r w:rsidRPr="003D74F3">
        <w:rPr>
          <w:noProof/>
          <w:lang w:val="pl-PL"/>
        </w:rPr>
        <w:t>167</w:t>
      </w:r>
      <w:r w:rsidRPr="003D74F3">
        <w:rPr>
          <w:lang w:val="pl-PL"/>
        </w:rPr>
        <w:t>.</w:t>
      </w:r>
      <w:r w:rsidR="009F3BFE">
        <w:rPr>
          <w:lang w:val="pl-PL"/>
        </w:rPr>
        <w:t xml:space="preserve"> </w:t>
      </w:r>
      <w:r w:rsidRPr="003D74F3">
        <w:rPr>
          <w:lang w:val="pl-PL"/>
        </w:rPr>
        <w:t xml:space="preserve">Należy zauważyć, że pomimo prób podejmowanych przez władze krajowe w celu doprowadzenia do oczyszczenia przedmiotowego regionu, </w:t>
      </w:r>
      <w:r w:rsidR="00EF7C04">
        <w:rPr>
          <w:lang w:val="pl-PL"/>
        </w:rPr>
        <w:t>wdrożone</w:t>
      </w:r>
      <w:r w:rsidRPr="003D74F3">
        <w:rPr>
          <w:lang w:val="pl-PL"/>
        </w:rPr>
        <w:t xml:space="preserve"> projekty nie przyniosły do tej pory oczekiwanych efektów.</w:t>
      </w:r>
    </w:p>
    <w:p w14:paraId="137778A5" w14:textId="1CF3CA4E" w:rsidR="00EE4B82" w:rsidRPr="003D74F3" w:rsidRDefault="00EE4B82" w:rsidP="00ED40FA">
      <w:pPr>
        <w:pStyle w:val="ECHRPara"/>
        <w:rPr>
          <w:lang w:val="pl-PL"/>
        </w:rPr>
      </w:pPr>
      <w:r w:rsidRPr="003D74F3">
        <w:rPr>
          <w:noProof/>
          <w:lang w:val="pl-PL"/>
        </w:rPr>
        <w:t>168</w:t>
      </w:r>
      <w:r w:rsidRPr="003D74F3">
        <w:rPr>
          <w:lang w:val="pl-PL"/>
        </w:rPr>
        <w:t>.</w:t>
      </w:r>
      <w:r w:rsidR="009F3BFE">
        <w:rPr>
          <w:lang w:val="pl-PL"/>
        </w:rPr>
        <w:t xml:space="preserve"> </w:t>
      </w:r>
      <w:r w:rsidRPr="003D74F3">
        <w:rPr>
          <w:lang w:val="pl-PL"/>
        </w:rPr>
        <w:t>Środki zalecane od 2012 r. w ramach AIA w celu poprawy oddziaływania zakładu na środowisko ostatecznie nie zostały wdrożone; zaniechanie to było również powodem wszczęcia postępowania w sprawie uchybienia zobowiązaniom państwa członkowskiego przed organami Unii</w:t>
      </w:r>
      <w:r w:rsidR="00F13BAC">
        <w:rPr>
          <w:lang w:val="pl-PL"/>
        </w:rPr>
        <w:t> </w:t>
      </w:r>
      <w:r w:rsidRPr="003D74F3">
        <w:rPr>
          <w:lang w:val="pl-PL"/>
        </w:rPr>
        <w:t xml:space="preserve">Europejskiej. Ponadto realizacja planu ochrony środowiska zatwierdzonego w 2014 r. została przesunięta na sierpień 2023 r. (paragraf </w:t>
      </w:r>
      <w:r w:rsidRPr="003D74F3">
        <w:rPr>
          <w:noProof/>
          <w:lang w:val="pl-PL"/>
        </w:rPr>
        <w:t>69</w:t>
      </w:r>
      <w:r w:rsidRPr="003D74F3">
        <w:rPr>
          <w:lang w:val="pl-PL"/>
        </w:rPr>
        <w:t xml:space="preserve"> powyżej). Procedura umożliwiająca osiągnięcie celów remediacji jest zatem niezwykle powolna (</w:t>
      </w:r>
      <w:r w:rsidRPr="003D74F3">
        <w:rPr>
          <w:i/>
          <w:iCs/>
          <w:lang w:val="pl-PL"/>
        </w:rPr>
        <w:t>Fadeïeva</w:t>
      </w:r>
      <w:r w:rsidRPr="003D74F3">
        <w:rPr>
          <w:lang w:val="pl-PL"/>
        </w:rPr>
        <w:t xml:space="preserve">, </w:t>
      </w:r>
      <w:r w:rsidRPr="003D74F3">
        <w:rPr>
          <w:i/>
          <w:iCs/>
          <w:lang w:val="pl-PL"/>
        </w:rPr>
        <w:t>op. cit.</w:t>
      </w:r>
      <w:r w:rsidRPr="003D74F3">
        <w:rPr>
          <w:lang w:val="pl-PL"/>
        </w:rPr>
        <w:t>, §§</w:t>
      </w:r>
      <w:r w:rsidR="009F3BFE">
        <w:rPr>
          <w:lang w:val="pl-PL"/>
        </w:rPr>
        <w:t xml:space="preserve"> </w:t>
      </w:r>
      <w:r w:rsidRPr="003D74F3">
        <w:rPr>
          <w:lang w:val="pl-PL"/>
        </w:rPr>
        <w:t>126–127).</w:t>
      </w:r>
    </w:p>
    <w:p w14:paraId="695BFEE5" w14:textId="44ECEDC5" w:rsidR="00EE4B82" w:rsidRPr="003D74F3" w:rsidRDefault="00EE4B82" w:rsidP="00ED40FA">
      <w:pPr>
        <w:pStyle w:val="ECHRPara"/>
        <w:rPr>
          <w:lang w:val="pl-PL"/>
        </w:rPr>
      </w:pPr>
      <w:r w:rsidRPr="003D74F3">
        <w:rPr>
          <w:noProof/>
          <w:lang w:val="pl-PL"/>
        </w:rPr>
        <w:t>169</w:t>
      </w:r>
      <w:r w:rsidRPr="003D74F3">
        <w:rPr>
          <w:lang w:val="pl-PL"/>
        </w:rPr>
        <w:t>.</w:t>
      </w:r>
      <w:r w:rsidR="009F3BFE">
        <w:rPr>
          <w:lang w:val="pl-PL"/>
        </w:rPr>
        <w:t xml:space="preserve"> </w:t>
      </w:r>
      <w:r w:rsidRPr="003D74F3">
        <w:rPr>
          <w:lang w:val="pl-PL"/>
        </w:rPr>
        <w:t xml:space="preserve">W międzyczasie rząd wielokrotnie interweniował za pomocą nadzwyczajnych środków (dekrety z mocą ustawy „salva-Ilva” – paragrafy </w:t>
      </w:r>
      <w:r w:rsidRPr="003D74F3">
        <w:rPr>
          <w:noProof/>
          <w:lang w:val="pl-PL"/>
        </w:rPr>
        <w:t>47</w:t>
      </w:r>
      <w:r w:rsidRPr="003D74F3">
        <w:rPr>
          <w:lang w:val="pl-PL"/>
        </w:rPr>
        <w:t xml:space="preserve"> i kolejne powyżej) w celu zagwarantowania kontynuacji działalności produkcyjnej huty, pomimo stwierdzenia przez właściwe organy sądowe, na</w:t>
      </w:r>
      <w:r w:rsidR="00F13BAC">
        <w:rPr>
          <w:lang w:val="pl-PL"/>
        </w:rPr>
        <w:t> </w:t>
      </w:r>
      <w:r w:rsidRPr="003D74F3">
        <w:rPr>
          <w:lang w:val="pl-PL"/>
        </w:rPr>
        <w:t xml:space="preserve">podstawie ekspertyz chemicznych i epidemiologicznych, istnienia poważnego ryzyka dla zdrowia i środowiska (paragraf </w:t>
      </w:r>
      <w:r w:rsidRPr="003D74F3">
        <w:rPr>
          <w:noProof/>
          <w:lang w:val="pl-PL"/>
        </w:rPr>
        <w:t>76</w:t>
      </w:r>
      <w:r>
        <w:rPr>
          <w:lang w:val="pl-PL"/>
        </w:rPr>
        <w:t xml:space="preserve"> powyżej,</w:t>
      </w:r>
      <w:r w:rsidR="009F3BFE">
        <w:rPr>
          <w:lang w:val="pl-PL"/>
        </w:rPr>
        <w:t xml:space="preserve"> </w:t>
      </w:r>
      <w:r w:rsidRPr="003D74F3">
        <w:rPr>
          <w:lang w:val="pl-PL"/>
        </w:rPr>
        <w:t>a</w:t>
      </w:r>
      <w:r w:rsidR="00F13BAC">
        <w:rPr>
          <w:lang w:val="pl-PL"/>
        </w:rPr>
        <w:t> </w:t>
      </w:r>
      <w:r w:rsidRPr="003D74F3">
        <w:rPr>
          <w:lang w:val="pl-PL"/>
        </w:rPr>
        <w:t>w</w:t>
      </w:r>
      <w:r w:rsidR="00F13BAC">
        <w:rPr>
          <w:lang w:val="pl-PL"/>
        </w:rPr>
        <w:t> </w:t>
      </w:r>
      <w:r w:rsidRPr="003D74F3">
        <w:rPr>
          <w:lang w:val="pl-PL"/>
        </w:rPr>
        <w:t xml:space="preserve">odniesieniu do oddalenia kwestii zgodności z konstytucją, paragraf </w:t>
      </w:r>
      <w:r w:rsidRPr="003D74F3">
        <w:rPr>
          <w:noProof/>
          <w:lang w:val="pl-PL"/>
        </w:rPr>
        <w:t>51</w:t>
      </w:r>
      <w:r w:rsidRPr="003D74F3">
        <w:rPr>
          <w:lang w:val="pl-PL"/>
        </w:rPr>
        <w:t xml:space="preserve"> powyżej). Ponadto osobom odpowiedzialnym za zapewnienie zgodności z</w:t>
      </w:r>
      <w:r w:rsidR="00F13BAC">
        <w:rPr>
          <w:lang w:val="pl-PL"/>
        </w:rPr>
        <w:t> </w:t>
      </w:r>
      <w:r w:rsidRPr="003D74F3">
        <w:rPr>
          <w:lang w:val="pl-PL"/>
        </w:rPr>
        <w:t xml:space="preserve">wymogami w zakresie ochrony środowiska, a mianowicie zarządcy </w:t>
      </w:r>
      <w:r w:rsidRPr="003D74F3">
        <w:rPr>
          <w:lang w:val="pl-PL"/>
        </w:rPr>
        <w:lastRenderedPageBreak/>
        <w:t xml:space="preserve">tymczasowemu i przyszłemu nabywcy przedsiębiorstwa, przyznano immunitet administracyjny i karny (paragrafy </w:t>
      </w:r>
      <w:r w:rsidRPr="003D74F3">
        <w:rPr>
          <w:noProof/>
          <w:lang w:val="pl-PL"/>
        </w:rPr>
        <w:t>59</w:t>
      </w:r>
      <w:r w:rsidRPr="003D74F3">
        <w:rPr>
          <w:lang w:val="pl-PL"/>
        </w:rPr>
        <w:t xml:space="preserve"> i </w:t>
      </w:r>
      <w:r w:rsidRPr="003D74F3">
        <w:rPr>
          <w:noProof/>
          <w:lang w:val="pl-PL"/>
        </w:rPr>
        <w:t>68</w:t>
      </w:r>
      <w:r w:rsidRPr="003D74F3">
        <w:rPr>
          <w:lang w:val="pl-PL"/>
        </w:rPr>
        <w:t xml:space="preserve"> powyżej).</w:t>
      </w:r>
    </w:p>
    <w:p w14:paraId="094E96CC" w14:textId="506A7DA6" w:rsidR="00EE4B82" w:rsidRPr="003D74F3" w:rsidRDefault="00EE4B82" w:rsidP="00ED40FA">
      <w:pPr>
        <w:pStyle w:val="ECHRPara"/>
        <w:rPr>
          <w:lang w:val="pl-PL"/>
        </w:rPr>
      </w:pPr>
      <w:r w:rsidRPr="003D74F3">
        <w:rPr>
          <w:noProof/>
          <w:lang w:val="pl-PL"/>
        </w:rPr>
        <w:t>170</w:t>
      </w:r>
      <w:r w:rsidRPr="003D74F3">
        <w:rPr>
          <w:lang w:val="pl-PL"/>
        </w:rPr>
        <w:t>.</w:t>
      </w:r>
      <w:r w:rsidR="009F3BFE">
        <w:rPr>
          <w:lang w:val="pl-PL"/>
        </w:rPr>
        <w:t xml:space="preserve"> </w:t>
      </w:r>
      <w:r w:rsidRPr="003D74F3">
        <w:rPr>
          <w:lang w:val="pl-PL"/>
        </w:rPr>
        <w:t>Ponadto mamy tu do czynienia z sytuacją niepewności wynikającą, z</w:t>
      </w:r>
      <w:r w:rsidR="00F13BAC">
        <w:rPr>
          <w:lang w:val="pl-PL"/>
        </w:rPr>
        <w:t> </w:t>
      </w:r>
      <w:r w:rsidRPr="003D74F3">
        <w:rPr>
          <w:lang w:val="pl-PL"/>
        </w:rPr>
        <w:t xml:space="preserve">jednej strony, z zapaści finansowej przedsiębiorstwa (paragraf </w:t>
      </w:r>
      <w:r w:rsidRPr="003D74F3">
        <w:rPr>
          <w:noProof/>
          <w:lang w:val="pl-PL"/>
        </w:rPr>
        <w:t>60</w:t>
      </w:r>
      <w:r w:rsidRPr="003D74F3">
        <w:rPr>
          <w:lang w:val="pl-PL"/>
        </w:rPr>
        <w:t xml:space="preserve"> powyżej), a z drugiej strony, z przyznanej przyszłemu nabywcy możliwości odroczenia zakończenia </w:t>
      </w:r>
      <w:r w:rsidR="00226DCF">
        <w:rPr>
          <w:lang w:val="pl-PL"/>
        </w:rPr>
        <w:t>remediacji</w:t>
      </w:r>
      <w:r w:rsidRPr="003D74F3">
        <w:rPr>
          <w:lang w:val="pl-PL"/>
        </w:rPr>
        <w:t xml:space="preserve"> zakładu (paragraf </w:t>
      </w:r>
      <w:r w:rsidRPr="003D74F3">
        <w:rPr>
          <w:noProof/>
          <w:lang w:val="pl-PL"/>
        </w:rPr>
        <w:t>67</w:t>
      </w:r>
      <w:r w:rsidRPr="003D74F3">
        <w:rPr>
          <w:lang w:val="pl-PL"/>
        </w:rPr>
        <w:t xml:space="preserve"> powyżej).</w:t>
      </w:r>
    </w:p>
    <w:p w14:paraId="26FBD066" w14:textId="20633667" w:rsidR="00EE4B82" w:rsidRPr="003D74F3" w:rsidRDefault="00EE4B82" w:rsidP="00ED40FA">
      <w:pPr>
        <w:pStyle w:val="ECHRPara"/>
        <w:rPr>
          <w:lang w:val="pl-PL"/>
        </w:rPr>
      </w:pPr>
      <w:r w:rsidRPr="003D74F3">
        <w:rPr>
          <w:noProof/>
          <w:lang w:val="pl-PL"/>
        </w:rPr>
        <w:t>171</w:t>
      </w:r>
      <w:r w:rsidRPr="003D74F3">
        <w:rPr>
          <w:lang w:val="pl-PL"/>
        </w:rPr>
        <w:t>.</w:t>
      </w:r>
      <w:r w:rsidR="009F3BFE">
        <w:rPr>
          <w:lang w:val="pl-PL"/>
        </w:rPr>
        <w:t xml:space="preserve"> </w:t>
      </w:r>
      <w:r w:rsidRPr="003D74F3">
        <w:rPr>
          <w:lang w:val="pl-PL"/>
        </w:rPr>
        <w:t>Faktem jest, że zarządzanie przez władze krajowe kwestiami środowiskowymi związanymi z działalnością produkcyjną spółki Ilva w</w:t>
      </w:r>
      <w:r w:rsidR="00F13BAC">
        <w:rPr>
          <w:lang w:val="pl-PL"/>
        </w:rPr>
        <w:t> </w:t>
      </w:r>
      <w:r w:rsidRPr="003D74F3">
        <w:rPr>
          <w:lang w:val="pl-PL"/>
        </w:rPr>
        <w:t>Taren</w:t>
      </w:r>
      <w:r w:rsidR="00226DCF">
        <w:rPr>
          <w:lang w:val="pl-PL"/>
        </w:rPr>
        <w:t>cie</w:t>
      </w:r>
      <w:r w:rsidRPr="003D74F3">
        <w:rPr>
          <w:lang w:val="pl-PL"/>
        </w:rPr>
        <w:t xml:space="preserve"> znajduje się obecnie w impasie.</w:t>
      </w:r>
    </w:p>
    <w:p w14:paraId="2576AD0D" w14:textId="77777777" w:rsidR="00EE4B82" w:rsidRPr="003D74F3" w:rsidRDefault="00EE4B82" w:rsidP="00ED40FA">
      <w:pPr>
        <w:pStyle w:val="ECHRPara"/>
        <w:rPr>
          <w:lang w:val="pl-PL"/>
        </w:rPr>
      </w:pPr>
      <w:r w:rsidRPr="003D74F3">
        <w:rPr>
          <w:noProof/>
          <w:lang w:val="pl-PL"/>
        </w:rPr>
        <w:t>172</w:t>
      </w:r>
      <w:r w:rsidRPr="003D74F3">
        <w:rPr>
          <w:lang w:val="pl-PL"/>
        </w:rPr>
        <w:t>.</w:t>
      </w:r>
      <w:r w:rsidR="009F3BFE">
        <w:rPr>
          <w:lang w:val="pl-PL"/>
        </w:rPr>
        <w:t xml:space="preserve"> </w:t>
      </w:r>
      <w:r w:rsidRPr="003D74F3">
        <w:rPr>
          <w:lang w:val="pl-PL"/>
        </w:rPr>
        <w:t>Trybunał może jedynie stwierdzić, że sytuacja zanieczyszczenia środowiska zagrażająca zdrowiu skarżących i, bardziej ogólnie, całej ludności zamieszkującej zagrożone obszary, przedłuża się i że w obecnym stanie rzeczy skarżący są nadal pozbawieni informacji o postępach remediacji przedmiotowego terenu, w szczególności w odniesieniu do terminów wykonania odpowiednich prac.</w:t>
      </w:r>
    </w:p>
    <w:p w14:paraId="54D996F3" w14:textId="192AD2E1" w:rsidR="00EE4B82" w:rsidRPr="003D74F3" w:rsidRDefault="00EE4B82" w:rsidP="00ED40FA">
      <w:pPr>
        <w:pStyle w:val="ECHRPara"/>
        <w:rPr>
          <w:lang w:val="pl-PL"/>
        </w:rPr>
      </w:pPr>
      <w:r w:rsidRPr="003D74F3">
        <w:rPr>
          <w:noProof/>
          <w:lang w:val="pl-PL"/>
        </w:rPr>
        <w:t>173</w:t>
      </w:r>
      <w:r w:rsidRPr="003D74F3">
        <w:rPr>
          <w:lang w:val="pl-PL"/>
        </w:rPr>
        <w:t>.</w:t>
      </w:r>
      <w:r w:rsidR="009F3BFE">
        <w:rPr>
          <w:lang w:val="pl-PL"/>
        </w:rPr>
        <w:t xml:space="preserve"> </w:t>
      </w:r>
      <w:r w:rsidRPr="003D74F3">
        <w:rPr>
          <w:lang w:val="pl-PL"/>
        </w:rPr>
        <w:t>W świetle powyższego Trybunał stwierdz</w:t>
      </w:r>
      <w:r w:rsidR="00226DCF">
        <w:rPr>
          <w:lang w:val="pl-PL"/>
        </w:rPr>
        <w:t>a</w:t>
      </w:r>
      <w:r w:rsidRPr="003D74F3">
        <w:rPr>
          <w:lang w:val="pl-PL"/>
        </w:rPr>
        <w:t>, że władze krajowe nie</w:t>
      </w:r>
      <w:r w:rsidR="00F13BAC">
        <w:rPr>
          <w:lang w:val="pl-PL"/>
        </w:rPr>
        <w:t> </w:t>
      </w:r>
      <w:r w:rsidRPr="003D74F3">
        <w:rPr>
          <w:lang w:val="pl-PL"/>
        </w:rPr>
        <w:t>podjęły wszelkich środków niezbędnych do zapewnienia skutecznej ochrony prawa zainteresowanych do poszanowania ich życia prywatnego.</w:t>
      </w:r>
    </w:p>
    <w:p w14:paraId="3A80D034" w14:textId="1AE8C3D4" w:rsidR="00EE4B82" w:rsidRPr="003D74F3" w:rsidRDefault="00EE4B82" w:rsidP="00ED40FA">
      <w:pPr>
        <w:pStyle w:val="ECHRPara"/>
        <w:rPr>
          <w:lang w:val="pl-PL"/>
        </w:rPr>
      </w:pPr>
      <w:r w:rsidRPr="003D74F3">
        <w:rPr>
          <w:noProof/>
          <w:lang w:val="pl-PL"/>
        </w:rPr>
        <w:t>174</w:t>
      </w:r>
      <w:r w:rsidRPr="003D74F3">
        <w:rPr>
          <w:lang w:val="pl-PL"/>
        </w:rPr>
        <w:t>.</w:t>
      </w:r>
      <w:r w:rsidR="009F3BFE">
        <w:rPr>
          <w:lang w:val="pl-PL"/>
        </w:rPr>
        <w:t xml:space="preserve"> </w:t>
      </w:r>
      <w:r w:rsidRPr="003D74F3">
        <w:rPr>
          <w:lang w:val="pl-PL"/>
        </w:rPr>
        <w:t>Nie została zatem zachowana właściwa równowaga pomiędzy interesem skarżących – polegającym na uniknięciu poważnych szkód w</w:t>
      </w:r>
      <w:r w:rsidR="00F13BAC">
        <w:rPr>
          <w:lang w:val="pl-PL"/>
        </w:rPr>
        <w:t> </w:t>
      </w:r>
      <w:r w:rsidR="00567FF0">
        <w:rPr>
          <w:lang w:val="pl-PL"/>
        </w:rPr>
        <w:t>środowisku naturalnym</w:t>
      </w:r>
      <w:r w:rsidRPr="003D74F3">
        <w:rPr>
          <w:lang w:val="pl-PL"/>
        </w:rPr>
        <w:t xml:space="preserve"> </w:t>
      </w:r>
      <w:r w:rsidR="00567FF0">
        <w:rPr>
          <w:lang w:val="pl-PL"/>
        </w:rPr>
        <w:t xml:space="preserve">mogących </w:t>
      </w:r>
      <w:r w:rsidRPr="003D74F3">
        <w:rPr>
          <w:lang w:val="pl-PL"/>
        </w:rPr>
        <w:t>naruszyć ich dobrostan i</w:t>
      </w:r>
      <w:r w:rsidR="009F3BFE">
        <w:rPr>
          <w:lang w:val="pl-PL"/>
        </w:rPr>
        <w:t xml:space="preserve"> </w:t>
      </w:r>
      <w:r w:rsidR="00567FF0">
        <w:rPr>
          <w:lang w:val="pl-PL"/>
        </w:rPr>
        <w:t xml:space="preserve">życie prywatne </w:t>
      </w:r>
      <w:r w:rsidRPr="003D74F3">
        <w:rPr>
          <w:lang w:val="pl-PL"/>
        </w:rPr>
        <w:t>– a interesem społeczeństwa jako całości. W związku z tym w</w:t>
      </w:r>
      <w:r w:rsidR="009F3BFE">
        <w:rPr>
          <w:lang w:val="pl-PL"/>
        </w:rPr>
        <w:t xml:space="preserve"> </w:t>
      </w:r>
      <w:r w:rsidRPr="003D74F3">
        <w:rPr>
          <w:lang w:val="pl-PL"/>
        </w:rPr>
        <w:t>niniejszej sprawie doszło do naruszenia art. 8 Konwencji.</w:t>
      </w:r>
    </w:p>
    <w:p w14:paraId="7AC03241" w14:textId="77777777" w:rsidR="00EE4B82" w:rsidRPr="003D74F3" w:rsidRDefault="00EE4B82" w:rsidP="00ED40FA">
      <w:pPr>
        <w:pStyle w:val="ECHRHeading3"/>
        <w:rPr>
          <w:lang w:val="pl-PL"/>
        </w:rPr>
      </w:pPr>
      <w:r w:rsidRPr="003D74F3">
        <w:rPr>
          <w:lang w:val="pl-PL"/>
        </w:rPr>
        <w:t>2.</w:t>
      </w:r>
      <w:r w:rsidR="009F3BFE">
        <w:rPr>
          <w:lang w:val="pl-PL"/>
        </w:rPr>
        <w:t xml:space="preserve"> </w:t>
      </w:r>
      <w:r w:rsidRPr="003D74F3">
        <w:rPr>
          <w:lang w:val="pl-PL"/>
        </w:rPr>
        <w:t>Art</w:t>
      </w:r>
      <w:r w:rsidR="00853C12">
        <w:rPr>
          <w:lang w:val="pl-PL"/>
        </w:rPr>
        <w:t>.</w:t>
      </w:r>
      <w:r w:rsidRPr="003D74F3">
        <w:rPr>
          <w:lang w:val="pl-PL"/>
        </w:rPr>
        <w:t xml:space="preserve"> 13 Konwencji</w:t>
      </w:r>
    </w:p>
    <w:p w14:paraId="3A54DFE0" w14:textId="1DC1D537" w:rsidR="00EE4B82" w:rsidRPr="003D74F3" w:rsidRDefault="00EE4B82" w:rsidP="00ED40FA">
      <w:pPr>
        <w:pStyle w:val="ECHRPara"/>
        <w:rPr>
          <w:lang w:val="pl-PL"/>
        </w:rPr>
      </w:pPr>
      <w:r w:rsidRPr="003D74F3">
        <w:rPr>
          <w:noProof/>
          <w:lang w:val="pl-PL"/>
        </w:rPr>
        <w:t>175</w:t>
      </w:r>
      <w:r w:rsidRPr="003D74F3">
        <w:rPr>
          <w:lang w:val="pl-PL"/>
        </w:rPr>
        <w:t>.</w:t>
      </w:r>
      <w:r w:rsidR="009F3BFE">
        <w:rPr>
          <w:lang w:val="pl-PL"/>
        </w:rPr>
        <w:t xml:space="preserve"> </w:t>
      </w:r>
      <w:r w:rsidRPr="003D74F3">
        <w:rPr>
          <w:lang w:val="pl-PL"/>
        </w:rPr>
        <w:t>Trybunał przypo</w:t>
      </w:r>
      <w:r w:rsidR="009258EE">
        <w:rPr>
          <w:lang w:val="pl-PL"/>
        </w:rPr>
        <w:t>mina</w:t>
      </w:r>
      <w:r w:rsidRPr="003D74F3">
        <w:rPr>
          <w:lang w:val="pl-PL"/>
        </w:rPr>
        <w:t>, że art. 13 Konwenc</w:t>
      </w:r>
      <w:r>
        <w:rPr>
          <w:lang w:val="pl-PL"/>
        </w:rPr>
        <w:t>ji gwarantuje istnienie</w:t>
      </w:r>
      <w:r w:rsidR="009F3BFE">
        <w:rPr>
          <w:lang w:val="pl-PL"/>
        </w:rPr>
        <w:t xml:space="preserve"> </w:t>
      </w:r>
      <w:r w:rsidRPr="003D74F3">
        <w:rPr>
          <w:lang w:val="pl-PL"/>
        </w:rPr>
        <w:t>w</w:t>
      </w:r>
      <w:r w:rsidR="00F13BAC">
        <w:rPr>
          <w:lang w:val="pl-PL"/>
        </w:rPr>
        <w:t> </w:t>
      </w:r>
      <w:r w:rsidRPr="003D74F3">
        <w:rPr>
          <w:lang w:val="pl-PL"/>
        </w:rPr>
        <w:t xml:space="preserve">prawie wewnętrznym środka odwoławczego umożliwiającego właściwemu organowi krajowemu </w:t>
      </w:r>
      <w:r w:rsidR="009258EE">
        <w:rPr>
          <w:lang w:val="pl-PL"/>
        </w:rPr>
        <w:t xml:space="preserve">rozpatrzenie </w:t>
      </w:r>
      <w:r w:rsidRPr="003D74F3">
        <w:rPr>
          <w:lang w:val="pl-PL"/>
        </w:rPr>
        <w:t>treści „</w:t>
      </w:r>
      <w:r w:rsidR="009258EE">
        <w:rPr>
          <w:lang w:val="pl-PL"/>
        </w:rPr>
        <w:t xml:space="preserve">dającej się </w:t>
      </w:r>
      <w:r w:rsidRPr="003D74F3">
        <w:rPr>
          <w:lang w:val="pl-PL"/>
        </w:rPr>
        <w:t>uzasadni</w:t>
      </w:r>
      <w:r w:rsidR="009258EE">
        <w:rPr>
          <w:lang w:val="pl-PL"/>
        </w:rPr>
        <w:t>ć</w:t>
      </w:r>
      <w:r w:rsidRPr="003D74F3">
        <w:rPr>
          <w:lang w:val="pl-PL"/>
        </w:rPr>
        <w:t xml:space="preserve"> skargi” opartej na Konwencji (</w:t>
      </w:r>
      <w:r w:rsidRPr="003D74F3">
        <w:rPr>
          <w:i/>
          <w:iCs/>
          <w:lang w:val="pl-PL"/>
        </w:rPr>
        <w:t xml:space="preserve">Z. i Inni p. Zjednoczonemu Królestwu </w:t>
      </w:r>
      <w:r w:rsidRPr="003D74F3">
        <w:rPr>
          <w:lang w:val="pl-PL"/>
        </w:rPr>
        <w:t>[WI], skarga nr</w:t>
      </w:r>
      <w:r w:rsidR="009F3BFE">
        <w:rPr>
          <w:lang w:val="pl-PL"/>
        </w:rPr>
        <w:t xml:space="preserve"> </w:t>
      </w:r>
      <w:r w:rsidRPr="003D74F3">
        <w:rPr>
          <w:lang w:val="pl-PL"/>
        </w:rPr>
        <w:t xml:space="preserve">29392/95, § 108, </w:t>
      </w:r>
      <w:r w:rsidR="009F3BFE">
        <w:rPr>
          <w:lang w:val="pl-PL"/>
        </w:rPr>
        <w:t>ETPC</w:t>
      </w:r>
      <w:r w:rsidRPr="003D74F3">
        <w:rPr>
          <w:lang w:val="pl-PL"/>
        </w:rPr>
        <w:t xml:space="preserve"> 2001</w:t>
      </w:r>
      <w:r w:rsidRPr="003D74F3">
        <w:rPr>
          <w:lang w:val="pl-PL"/>
        </w:rPr>
        <w:noBreakHyphen/>
        <w:t xml:space="preserve">V). Celem tego artykułu jest zapewnienie środków, dzięki którym jednostki mogą uzyskać </w:t>
      </w:r>
      <w:r w:rsidR="007537C7">
        <w:rPr>
          <w:lang w:val="pl-PL"/>
        </w:rPr>
        <w:t xml:space="preserve">na </w:t>
      </w:r>
      <w:r w:rsidRPr="003D74F3">
        <w:rPr>
          <w:lang w:val="pl-PL"/>
        </w:rPr>
        <w:t xml:space="preserve">poziomie krajowym </w:t>
      </w:r>
      <w:r w:rsidR="006E108A" w:rsidRPr="003D74F3">
        <w:rPr>
          <w:lang w:val="pl-PL"/>
        </w:rPr>
        <w:t xml:space="preserve">zadośćuczynienie </w:t>
      </w:r>
      <w:r w:rsidR="006E108A">
        <w:rPr>
          <w:lang w:val="pl-PL"/>
        </w:rPr>
        <w:t>naruszeniom</w:t>
      </w:r>
      <w:r w:rsidRPr="003D74F3">
        <w:rPr>
          <w:lang w:val="pl-PL"/>
        </w:rPr>
        <w:t xml:space="preserve"> ich praw wynikających z</w:t>
      </w:r>
      <w:r w:rsidR="00F13BAC">
        <w:rPr>
          <w:lang w:val="pl-PL"/>
        </w:rPr>
        <w:t> </w:t>
      </w:r>
      <w:r w:rsidRPr="003D74F3">
        <w:rPr>
          <w:lang w:val="pl-PL"/>
        </w:rPr>
        <w:t>Konwencji, zanim będą musiały skorzystać z międzynarodowego mechanizmu składania skarg do Trybunału (</w:t>
      </w:r>
      <w:r w:rsidRPr="003D74F3">
        <w:rPr>
          <w:i/>
          <w:iCs/>
          <w:lang w:val="pl-PL"/>
        </w:rPr>
        <w:t xml:space="preserve">Kudła p. Polsce </w:t>
      </w:r>
      <w:r w:rsidRPr="003D74F3">
        <w:rPr>
          <w:lang w:val="pl-PL"/>
        </w:rPr>
        <w:t>[WI</w:t>
      </w:r>
      <w:r w:rsidR="006E108A">
        <w:rPr>
          <w:lang w:val="pl-PL"/>
        </w:rPr>
        <w:t>]</w:t>
      </w:r>
      <w:r w:rsidRPr="003D74F3">
        <w:rPr>
          <w:lang w:val="pl-PL"/>
        </w:rPr>
        <w:t>, skarga nr</w:t>
      </w:r>
      <w:r w:rsidR="00F13BAC">
        <w:rPr>
          <w:lang w:val="pl-PL"/>
        </w:rPr>
        <w:t> </w:t>
      </w:r>
      <w:r w:rsidRPr="003D74F3">
        <w:rPr>
          <w:lang w:val="pl-PL"/>
        </w:rPr>
        <w:t>30210/96, §</w:t>
      </w:r>
      <w:r w:rsidR="009F3BFE">
        <w:rPr>
          <w:lang w:val="pl-PL"/>
        </w:rPr>
        <w:t xml:space="preserve"> </w:t>
      </w:r>
      <w:r w:rsidRPr="003D74F3">
        <w:rPr>
          <w:lang w:val="pl-PL"/>
        </w:rPr>
        <w:t xml:space="preserve">152, </w:t>
      </w:r>
      <w:r w:rsidR="009F3BFE">
        <w:rPr>
          <w:lang w:val="pl-PL"/>
        </w:rPr>
        <w:t>ETPC</w:t>
      </w:r>
      <w:r w:rsidRPr="003D74F3">
        <w:rPr>
          <w:lang w:val="pl-PL"/>
        </w:rPr>
        <w:t xml:space="preserve"> 2000</w:t>
      </w:r>
      <w:r w:rsidRPr="003D74F3">
        <w:rPr>
          <w:lang w:val="pl-PL"/>
        </w:rPr>
        <w:noBreakHyphen/>
        <w:t>XI).</w:t>
      </w:r>
    </w:p>
    <w:p w14:paraId="651D5C61" w14:textId="742713AD" w:rsidR="00EE4B82" w:rsidRPr="003D74F3" w:rsidRDefault="00EE4B82" w:rsidP="00ED40FA">
      <w:pPr>
        <w:pStyle w:val="ECHRPara"/>
        <w:rPr>
          <w:noProof/>
          <w:lang w:val="pl-PL"/>
        </w:rPr>
      </w:pPr>
      <w:r w:rsidRPr="003D74F3">
        <w:rPr>
          <w:noProof/>
          <w:lang w:val="pl-PL"/>
        </w:rPr>
        <w:t>176</w:t>
      </w:r>
      <w:r w:rsidRPr="003D74F3">
        <w:rPr>
          <w:lang w:val="pl-PL"/>
        </w:rPr>
        <w:t>.</w:t>
      </w:r>
      <w:r w:rsidR="009F3BFE">
        <w:rPr>
          <w:lang w:val="pl-PL"/>
        </w:rPr>
        <w:t xml:space="preserve"> </w:t>
      </w:r>
      <w:r w:rsidRPr="003D74F3">
        <w:rPr>
          <w:lang w:val="pl-PL"/>
        </w:rPr>
        <w:t>Uwzględniając wnioski, do których Trybunał doszedł w</w:t>
      </w:r>
      <w:r w:rsidR="009F3BFE">
        <w:rPr>
          <w:lang w:val="pl-PL"/>
        </w:rPr>
        <w:t xml:space="preserve"> </w:t>
      </w:r>
      <w:r w:rsidRPr="003D74F3">
        <w:rPr>
          <w:lang w:val="pl-PL"/>
        </w:rPr>
        <w:t xml:space="preserve">odniesieniu do istnienia </w:t>
      </w:r>
      <w:r w:rsidR="006E108A">
        <w:rPr>
          <w:lang w:val="pl-PL"/>
        </w:rPr>
        <w:t xml:space="preserve">odpowiednich </w:t>
      </w:r>
      <w:r w:rsidRPr="003D74F3">
        <w:rPr>
          <w:lang w:val="pl-PL"/>
        </w:rPr>
        <w:t>i skutecznych środków odwoławczych umożliwiających składanie do władz krajowych skarg dotyczących niemożności uzyskania środków zapewniających oczyszczenie z</w:t>
      </w:r>
      <w:r w:rsidR="00F13BAC">
        <w:rPr>
          <w:lang w:val="pl-PL"/>
        </w:rPr>
        <w:t> </w:t>
      </w:r>
      <w:r w:rsidRPr="003D74F3">
        <w:rPr>
          <w:lang w:val="pl-PL"/>
        </w:rPr>
        <w:t>zanieczyszczeń obszarów dotkniętych szkodliwymi emisjami z zakładu Ilva (paragrafy 110 i następne powyżej), Trybunał uważa, że w niniejszej sprawie doszło do naruszenia art. 13 Konwencji (</w:t>
      </w:r>
      <w:r w:rsidRPr="003D74F3">
        <w:rPr>
          <w:i/>
          <w:iCs/>
          <w:lang w:val="pl-PL"/>
        </w:rPr>
        <w:t>Di</w:t>
      </w:r>
      <w:r w:rsidR="009F3BFE">
        <w:rPr>
          <w:i/>
          <w:iCs/>
          <w:lang w:val="pl-PL"/>
        </w:rPr>
        <w:t xml:space="preserve"> </w:t>
      </w:r>
      <w:r w:rsidRPr="003D74F3">
        <w:rPr>
          <w:i/>
          <w:iCs/>
          <w:lang w:val="pl-PL"/>
        </w:rPr>
        <w:t>Sarno</w:t>
      </w:r>
      <w:r w:rsidRPr="003D74F3">
        <w:rPr>
          <w:lang w:val="pl-PL"/>
        </w:rPr>
        <w:t xml:space="preserve">, </w:t>
      </w:r>
      <w:r w:rsidRPr="003D74F3">
        <w:rPr>
          <w:i/>
          <w:iCs/>
          <w:lang w:val="pl-PL"/>
        </w:rPr>
        <w:t>op. cit.</w:t>
      </w:r>
      <w:r w:rsidRPr="003D74F3">
        <w:rPr>
          <w:lang w:val="pl-PL"/>
        </w:rPr>
        <w:t>, §§</w:t>
      </w:r>
      <w:r w:rsidR="009F3BFE">
        <w:rPr>
          <w:lang w:val="pl-PL"/>
        </w:rPr>
        <w:t xml:space="preserve"> </w:t>
      </w:r>
      <w:r w:rsidRPr="003D74F3">
        <w:rPr>
          <w:lang w:val="pl-PL"/>
        </w:rPr>
        <w:t>116</w:t>
      </w:r>
      <w:r w:rsidR="00F13BAC">
        <w:rPr>
          <w:lang w:val="pl-PL"/>
        </w:rPr>
        <w:t>-</w:t>
      </w:r>
      <w:r w:rsidRPr="003D74F3">
        <w:rPr>
          <w:lang w:val="pl-PL"/>
        </w:rPr>
        <w:t>118).</w:t>
      </w:r>
    </w:p>
    <w:p w14:paraId="326DE46F" w14:textId="77777777" w:rsidR="00EE4B82" w:rsidRPr="003D74F3" w:rsidRDefault="00EE4B82" w:rsidP="00ED40FA">
      <w:pPr>
        <w:pStyle w:val="ECHRHeading1"/>
        <w:rPr>
          <w:lang w:val="pl-PL"/>
        </w:rPr>
      </w:pPr>
      <w:r w:rsidRPr="003D74F3">
        <w:rPr>
          <w:lang w:val="pl-PL"/>
        </w:rPr>
        <w:lastRenderedPageBreak/>
        <w:t>III.</w:t>
      </w:r>
      <w:r w:rsidR="009F3BFE">
        <w:rPr>
          <w:lang w:val="pl-PL"/>
        </w:rPr>
        <w:t xml:space="preserve"> </w:t>
      </w:r>
      <w:r w:rsidR="00D859AE">
        <w:rPr>
          <w:lang w:val="pl-PL"/>
        </w:rPr>
        <w:t>ZA</w:t>
      </w:r>
      <w:r w:rsidRPr="003D74F3">
        <w:rPr>
          <w:lang w:val="pl-PL"/>
        </w:rPr>
        <w:t>STOSOWANIE ART. 46 KONWENCJI</w:t>
      </w:r>
    </w:p>
    <w:p w14:paraId="3CE13F15" w14:textId="1A2AC8BD" w:rsidR="00EE4B82" w:rsidRPr="003D74F3" w:rsidRDefault="00EE4B82" w:rsidP="00ED40FA">
      <w:pPr>
        <w:pStyle w:val="ECHRPara"/>
        <w:rPr>
          <w:lang w:val="pl-PL"/>
        </w:rPr>
      </w:pPr>
      <w:r w:rsidRPr="003D74F3">
        <w:rPr>
          <w:noProof/>
          <w:lang w:val="pl-PL"/>
        </w:rPr>
        <w:t>177</w:t>
      </w:r>
      <w:r w:rsidRPr="003D74F3">
        <w:rPr>
          <w:lang w:val="pl-PL"/>
        </w:rPr>
        <w:t>.</w:t>
      </w:r>
      <w:r w:rsidR="009F3BFE">
        <w:rPr>
          <w:lang w:val="pl-PL"/>
        </w:rPr>
        <w:t xml:space="preserve"> </w:t>
      </w:r>
      <w:r w:rsidRPr="003D74F3">
        <w:rPr>
          <w:lang w:val="pl-PL"/>
        </w:rPr>
        <w:t>Skarżący, którzy złożyli skargę nr 54264/15, wnoszą o</w:t>
      </w:r>
      <w:r w:rsidR="009F3BFE">
        <w:rPr>
          <w:lang w:val="pl-PL"/>
        </w:rPr>
        <w:t xml:space="preserve"> </w:t>
      </w:r>
      <w:r w:rsidRPr="003D74F3">
        <w:rPr>
          <w:lang w:val="pl-PL"/>
        </w:rPr>
        <w:t xml:space="preserve">zastosowanie procedury wyroku pilotażowego, z uwagi na liczbę osób, których potencjalnie może </w:t>
      </w:r>
      <w:r>
        <w:rPr>
          <w:lang w:val="pl-PL"/>
        </w:rPr>
        <w:t>dotyczyć przedmiotowa sytuacja.</w:t>
      </w:r>
      <w:r w:rsidR="009F3BFE">
        <w:rPr>
          <w:lang w:val="pl-PL"/>
        </w:rPr>
        <w:t xml:space="preserve"> </w:t>
      </w:r>
      <w:r w:rsidRPr="003D74F3">
        <w:rPr>
          <w:lang w:val="pl-PL"/>
        </w:rPr>
        <w:t>W szczególności wzywają on</w:t>
      </w:r>
      <w:r w:rsidR="003B735F">
        <w:rPr>
          <w:lang w:val="pl-PL"/>
        </w:rPr>
        <w:t>i</w:t>
      </w:r>
      <w:r w:rsidRPr="003D74F3">
        <w:rPr>
          <w:lang w:val="pl-PL"/>
        </w:rPr>
        <w:t xml:space="preserve"> władze włoskie do przyjęcia wszelkich środków ustawodawczych i administracyjnych w celu, z jednej strony, zaprzestania działań będących ź</w:t>
      </w:r>
      <w:r>
        <w:rPr>
          <w:lang w:val="pl-PL"/>
        </w:rPr>
        <w:t>ródłem zarzucanych im naruszeń,</w:t>
      </w:r>
      <w:r w:rsidR="009F3BFE">
        <w:rPr>
          <w:lang w:val="pl-PL"/>
        </w:rPr>
        <w:t xml:space="preserve"> </w:t>
      </w:r>
      <w:r w:rsidRPr="003D74F3">
        <w:rPr>
          <w:lang w:val="pl-PL"/>
        </w:rPr>
        <w:t>a z drugiej strony, wyeliminowania wy</w:t>
      </w:r>
      <w:r>
        <w:rPr>
          <w:lang w:val="pl-PL"/>
        </w:rPr>
        <w:t>nikających z nich konsekwencji.</w:t>
      </w:r>
      <w:r w:rsidR="009F3BFE">
        <w:rPr>
          <w:lang w:val="pl-PL"/>
        </w:rPr>
        <w:t xml:space="preserve"> </w:t>
      </w:r>
      <w:r w:rsidRPr="003D74F3">
        <w:rPr>
          <w:lang w:val="pl-PL"/>
        </w:rPr>
        <w:t>W szczególności skarżący żądają, aby władze krajowe natychmiast zawiesiły najbardziej zanieczyszczającą działalność (tj. działalność sześciu działów zakładu) i</w:t>
      </w:r>
      <w:r w:rsidR="00F13BAC">
        <w:rPr>
          <w:lang w:val="pl-PL"/>
        </w:rPr>
        <w:t> </w:t>
      </w:r>
      <w:r w:rsidRPr="003D74F3">
        <w:rPr>
          <w:lang w:val="pl-PL"/>
        </w:rPr>
        <w:t>wdrożyły plan odkażania zakładu i graniczącego z nim regionu.</w:t>
      </w:r>
    </w:p>
    <w:p w14:paraId="283DCA6B" w14:textId="77777777" w:rsidR="00EE4B82" w:rsidRPr="003D74F3" w:rsidRDefault="00EE4B82" w:rsidP="00ED40FA">
      <w:pPr>
        <w:pStyle w:val="ECHRPara"/>
        <w:rPr>
          <w:lang w:val="pl-PL"/>
        </w:rPr>
      </w:pPr>
      <w:r w:rsidRPr="003D74F3">
        <w:rPr>
          <w:noProof/>
          <w:lang w:val="pl-PL"/>
        </w:rPr>
        <w:t>178</w:t>
      </w:r>
      <w:r w:rsidRPr="003D74F3">
        <w:rPr>
          <w:lang w:val="pl-PL"/>
        </w:rPr>
        <w:t>.</w:t>
      </w:r>
      <w:r w:rsidR="009F3BFE">
        <w:rPr>
          <w:lang w:val="pl-PL"/>
        </w:rPr>
        <w:t xml:space="preserve"> </w:t>
      </w:r>
      <w:r w:rsidRPr="003D74F3">
        <w:rPr>
          <w:lang w:val="pl-PL"/>
        </w:rPr>
        <w:t>Rząd odrzuca to żądanie i twierdzi, że przyjął już wszystkie niezbędne środki, aby poradzić sobie z konsekwencjami środowiskowymi działalności zakładu Ilva. Przekonuje on również, że rozwiązanie tego problemu środowiskowego wymaga większej wiedzy na temat jego kontekstu i terytorium, którą może zapewnić jedynie samo państwo.</w:t>
      </w:r>
    </w:p>
    <w:p w14:paraId="658B30C7" w14:textId="3F613963" w:rsidR="00EE4B82" w:rsidRPr="003D74F3" w:rsidRDefault="00EE4B82" w:rsidP="00ED40FA">
      <w:pPr>
        <w:pStyle w:val="ECHRPara"/>
        <w:rPr>
          <w:lang w:val="pl-PL"/>
        </w:rPr>
      </w:pPr>
      <w:r w:rsidRPr="003D74F3">
        <w:rPr>
          <w:noProof/>
          <w:lang w:val="pl-PL"/>
        </w:rPr>
        <w:t>179</w:t>
      </w:r>
      <w:r w:rsidRPr="003D74F3">
        <w:rPr>
          <w:lang w:val="pl-PL"/>
        </w:rPr>
        <w:t>.</w:t>
      </w:r>
      <w:r w:rsidR="009F3BFE">
        <w:rPr>
          <w:lang w:val="pl-PL"/>
        </w:rPr>
        <w:t xml:space="preserve"> </w:t>
      </w:r>
      <w:r w:rsidRPr="003D74F3">
        <w:rPr>
          <w:lang w:val="pl-PL"/>
        </w:rPr>
        <w:t>Trybunał przypomina, że wyrok stwierdzający naruszenie Konwencji pociąga za sobą prawne zobowiązanie pozwanego państwa nie tylko do</w:t>
      </w:r>
      <w:r w:rsidR="00F13BAC">
        <w:rPr>
          <w:lang w:val="pl-PL"/>
        </w:rPr>
        <w:t> </w:t>
      </w:r>
      <w:r w:rsidRPr="003D74F3">
        <w:rPr>
          <w:lang w:val="pl-PL"/>
        </w:rPr>
        <w:t>zapłaty kwot zasądzonych tytułem słusznego zadośćuczynienia na rzecz osób zainteresowanych, ale także do wyboru – pod nadzorem Komitetu Ministrów –</w:t>
      </w:r>
      <w:r w:rsidR="007F4D60">
        <w:rPr>
          <w:lang w:val="pl-PL"/>
        </w:rPr>
        <w:t xml:space="preserve"> </w:t>
      </w:r>
      <w:r w:rsidRPr="003D74F3">
        <w:rPr>
          <w:lang w:val="pl-PL"/>
        </w:rPr>
        <w:t>środków</w:t>
      </w:r>
      <w:r w:rsidR="007F4D60">
        <w:rPr>
          <w:lang w:val="pl-PL"/>
        </w:rPr>
        <w:t xml:space="preserve"> generalnych</w:t>
      </w:r>
      <w:r w:rsidRPr="003D74F3">
        <w:rPr>
          <w:lang w:val="pl-PL"/>
        </w:rPr>
        <w:t>, które należy przyjąć w</w:t>
      </w:r>
      <w:r w:rsidR="009F3BFE">
        <w:rPr>
          <w:lang w:val="pl-PL"/>
        </w:rPr>
        <w:t xml:space="preserve"> </w:t>
      </w:r>
      <w:r w:rsidRPr="003D74F3">
        <w:rPr>
          <w:lang w:val="pl-PL"/>
        </w:rPr>
        <w:t xml:space="preserve">wewnętrznym porządku prawnym państwa w celu położenia kresu naruszeniu stwierdzonemu przez Trybunał i usunięcia, tak dalece jak to możliwe, jego konsekwencji. </w:t>
      </w:r>
      <w:r w:rsidR="007F4D60">
        <w:rPr>
          <w:lang w:val="pl-PL"/>
        </w:rPr>
        <w:t>P</w:t>
      </w:r>
      <w:r w:rsidR="007F4D60" w:rsidRPr="003D74F3">
        <w:rPr>
          <w:lang w:val="pl-PL"/>
        </w:rPr>
        <w:t xml:space="preserve">rzede wszystkim </w:t>
      </w:r>
      <w:r w:rsidR="007F4D60">
        <w:rPr>
          <w:lang w:val="pl-PL"/>
        </w:rPr>
        <w:t>d</w:t>
      </w:r>
      <w:r w:rsidRPr="003D74F3">
        <w:rPr>
          <w:lang w:val="pl-PL"/>
        </w:rPr>
        <w:t>o zainteresowanego państwa należy wybór, pod nadzorem Komitetu Ministrów, środków, które zostaną wykorzystane w jego wewnętrznym porządku prawnym w celu wypełnienia obowiązku wynikającego z art. 46 Konwencji. Jednakże, aby pomóc pozwanemu państwu w wypełnianiu jego obowiązków wynikających z</w:t>
      </w:r>
      <w:r w:rsidR="00F13BAC">
        <w:rPr>
          <w:lang w:val="pl-PL"/>
        </w:rPr>
        <w:t> </w:t>
      </w:r>
      <w:r w:rsidRPr="003D74F3">
        <w:rPr>
          <w:lang w:val="pl-PL"/>
        </w:rPr>
        <w:t>art.</w:t>
      </w:r>
      <w:r w:rsidR="00F13BAC">
        <w:rPr>
          <w:lang w:val="pl-PL"/>
        </w:rPr>
        <w:t> </w:t>
      </w:r>
      <w:r w:rsidRPr="003D74F3">
        <w:rPr>
          <w:lang w:val="pl-PL"/>
        </w:rPr>
        <w:t>46, Trybunał może starać się wskazać rodzaj środków</w:t>
      </w:r>
      <w:r w:rsidR="00CE2E58">
        <w:rPr>
          <w:lang w:val="pl-PL"/>
        </w:rPr>
        <w:t xml:space="preserve"> generalnych</w:t>
      </w:r>
      <w:r w:rsidRPr="003D74F3">
        <w:rPr>
          <w:lang w:val="pl-PL"/>
        </w:rPr>
        <w:t>, które mogłoby ono podjąć</w:t>
      </w:r>
      <w:r w:rsidR="00CE2E58">
        <w:rPr>
          <w:lang w:val="pl-PL"/>
        </w:rPr>
        <w:t>, aby położyć kres</w:t>
      </w:r>
      <w:r w:rsidRPr="003D74F3">
        <w:rPr>
          <w:lang w:val="pl-PL"/>
        </w:rPr>
        <w:t xml:space="preserve"> stwierdzonej sytuacji (</w:t>
      </w:r>
      <w:r w:rsidRPr="003D74F3">
        <w:rPr>
          <w:i/>
          <w:iCs/>
          <w:lang w:val="pl-PL"/>
        </w:rPr>
        <w:t>Broniowski p. Polsce</w:t>
      </w:r>
      <w:r w:rsidRPr="003D74F3">
        <w:rPr>
          <w:lang w:val="pl-PL"/>
        </w:rPr>
        <w:t xml:space="preserve"> [WI], skarga nr 31443/96, § 194, </w:t>
      </w:r>
      <w:r w:rsidR="009F3BFE">
        <w:rPr>
          <w:lang w:val="pl-PL"/>
        </w:rPr>
        <w:t>ETPC</w:t>
      </w:r>
      <w:r w:rsidRPr="003D74F3">
        <w:rPr>
          <w:lang w:val="pl-PL"/>
        </w:rPr>
        <w:t xml:space="preserve"> 2004</w:t>
      </w:r>
      <w:r w:rsidRPr="003D74F3">
        <w:rPr>
          <w:lang w:val="pl-PL"/>
        </w:rPr>
        <w:noBreakHyphen/>
        <w:t xml:space="preserve">V; </w:t>
      </w:r>
      <w:r w:rsidRPr="003D74F3">
        <w:rPr>
          <w:i/>
          <w:iCs/>
          <w:lang w:val="pl-PL"/>
        </w:rPr>
        <w:t>Scoppola p. Włochom (nr</w:t>
      </w:r>
      <w:r w:rsidR="009F3BFE">
        <w:rPr>
          <w:i/>
          <w:iCs/>
          <w:vertAlign w:val="superscript"/>
          <w:lang w:val="pl-PL"/>
        </w:rPr>
        <w:t xml:space="preserve"> </w:t>
      </w:r>
      <w:r w:rsidRPr="003D74F3">
        <w:rPr>
          <w:i/>
          <w:iCs/>
          <w:lang w:val="pl-PL"/>
        </w:rPr>
        <w:t>2)</w:t>
      </w:r>
      <w:r w:rsidRPr="003D74F3">
        <w:rPr>
          <w:lang w:val="pl-PL"/>
        </w:rPr>
        <w:t xml:space="preserve"> [WI], skarga nr 10249/03, § 148, 17 września 2009 r. i </w:t>
      </w:r>
      <w:r w:rsidRPr="003D74F3">
        <w:rPr>
          <w:i/>
          <w:iCs/>
          <w:lang w:val="pl-PL"/>
        </w:rPr>
        <w:t xml:space="preserve">Volokitin i Inni p. </w:t>
      </w:r>
      <w:r w:rsidR="00511313" w:rsidRPr="003D74F3">
        <w:rPr>
          <w:i/>
          <w:iCs/>
          <w:lang w:val="pl-PL"/>
        </w:rPr>
        <w:t>Rosji</w:t>
      </w:r>
      <w:r w:rsidRPr="003D74F3">
        <w:rPr>
          <w:lang w:val="pl-PL"/>
        </w:rPr>
        <w:t>, skargi nr 74087/10 i 13 innych, § 46, 3 lipca 2018 r.).</w:t>
      </w:r>
    </w:p>
    <w:p w14:paraId="27DB2E31" w14:textId="77777777" w:rsidR="00EE4B82" w:rsidRPr="003D74F3" w:rsidRDefault="00EE4B82" w:rsidP="00ED40FA">
      <w:pPr>
        <w:pStyle w:val="ECHRPara"/>
        <w:rPr>
          <w:lang w:val="pl-PL"/>
        </w:rPr>
      </w:pPr>
      <w:r w:rsidRPr="003D74F3">
        <w:rPr>
          <w:noProof/>
          <w:lang w:val="pl-PL"/>
        </w:rPr>
        <w:t>180</w:t>
      </w:r>
      <w:r w:rsidRPr="003D74F3">
        <w:rPr>
          <w:lang w:val="pl-PL"/>
        </w:rPr>
        <w:t>.</w:t>
      </w:r>
      <w:r w:rsidR="009F3BFE">
        <w:rPr>
          <w:lang w:val="pl-PL"/>
        </w:rPr>
        <w:t xml:space="preserve"> </w:t>
      </w:r>
      <w:r w:rsidRPr="003D74F3">
        <w:rPr>
          <w:lang w:val="pl-PL"/>
        </w:rPr>
        <w:t>Jednakże w świetle tych zasad, zważywszy na wszystkie o</w:t>
      </w:r>
      <w:r>
        <w:rPr>
          <w:lang w:val="pl-PL"/>
        </w:rPr>
        <w:t>koliczności niniejszej sprawy,</w:t>
      </w:r>
      <w:r w:rsidRPr="003D74F3">
        <w:rPr>
          <w:lang w:val="pl-PL"/>
        </w:rPr>
        <w:t xml:space="preserve"> w szczególności techniczną złożoność środków niezbędnych do remediacji danego obszaru, co należy do kompetencji władz krajowych, Trybunał uzna</w:t>
      </w:r>
      <w:r w:rsidR="00351F4F">
        <w:rPr>
          <w:lang w:val="pl-PL"/>
        </w:rPr>
        <w:t>je</w:t>
      </w:r>
      <w:r w:rsidRPr="003D74F3">
        <w:rPr>
          <w:lang w:val="pl-PL"/>
        </w:rPr>
        <w:t xml:space="preserve">, że zastosowanie procedury wyroku pilotażowego nie jest konieczne (zob., odpowiednio, </w:t>
      </w:r>
      <w:r w:rsidRPr="003D74F3">
        <w:rPr>
          <w:i/>
          <w:iCs/>
          <w:lang w:val="pl-PL"/>
        </w:rPr>
        <w:t>Lakatos p.</w:t>
      </w:r>
      <w:r w:rsidR="009F3BFE">
        <w:rPr>
          <w:i/>
          <w:iCs/>
          <w:lang w:val="pl-PL"/>
        </w:rPr>
        <w:t xml:space="preserve"> </w:t>
      </w:r>
      <w:r w:rsidRPr="003D74F3">
        <w:rPr>
          <w:i/>
          <w:iCs/>
          <w:lang w:val="pl-PL"/>
        </w:rPr>
        <w:t>Węgrom</w:t>
      </w:r>
      <w:r w:rsidRPr="003D74F3">
        <w:rPr>
          <w:lang w:val="pl-PL"/>
        </w:rPr>
        <w:t>, skarga nr 21786/15, §§ 89</w:t>
      </w:r>
      <w:r w:rsidR="00351F4F">
        <w:rPr>
          <w:lang w:val="pl-PL"/>
        </w:rPr>
        <w:t>-</w:t>
      </w:r>
      <w:r w:rsidRPr="003D74F3">
        <w:rPr>
          <w:lang w:val="pl-PL"/>
        </w:rPr>
        <w:t>91, 26 czerwca 2018 r.).</w:t>
      </w:r>
    </w:p>
    <w:p w14:paraId="1E87D6DC" w14:textId="0FE35F6A" w:rsidR="00EE4B82" w:rsidRPr="003D74F3" w:rsidRDefault="00EE4B82" w:rsidP="00ED40FA">
      <w:pPr>
        <w:pStyle w:val="ECHRPara"/>
        <w:rPr>
          <w:lang w:val="pl-PL"/>
        </w:rPr>
      </w:pPr>
      <w:r w:rsidRPr="003D74F3">
        <w:rPr>
          <w:noProof/>
          <w:lang w:val="pl-PL"/>
        </w:rPr>
        <w:t>181</w:t>
      </w:r>
      <w:r w:rsidRPr="003D74F3">
        <w:rPr>
          <w:lang w:val="pl-PL"/>
        </w:rPr>
        <w:t>.</w:t>
      </w:r>
      <w:r w:rsidR="009F3BFE">
        <w:rPr>
          <w:lang w:val="pl-PL"/>
        </w:rPr>
        <w:t xml:space="preserve"> </w:t>
      </w:r>
      <w:r w:rsidRPr="003D74F3">
        <w:rPr>
          <w:lang w:val="pl-PL"/>
        </w:rPr>
        <w:t>Nie jest bowiem zadaniem Trybunału formułowanie szczegółowych zaleceń dla Rządu o treści nakazowej, takich jak te wskazane przez skarżących. Do Komitetu Ministrów, działającego w</w:t>
      </w:r>
      <w:r w:rsidR="009F3BFE">
        <w:rPr>
          <w:lang w:val="pl-PL"/>
        </w:rPr>
        <w:t xml:space="preserve"> </w:t>
      </w:r>
      <w:r w:rsidRPr="003D74F3">
        <w:rPr>
          <w:lang w:val="pl-PL"/>
        </w:rPr>
        <w:t xml:space="preserve">rozumieniu art. 46 </w:t>
      </w:r>
      <w:r w:rsidRPr="003D74F3">
        <w:rPr>
          <w:lang w:val="pl-PL"/>
        </w:rPr>
        <w:lastRenderedPageBreak/>
        <w:t>Konwencji, należy wskazanie pozwanemu rządowi środków, które w</w:t>
      </w:r>
      <w:r w:rsidR="00F13BAC">
        <w:rPr>
          <w:lang w:val="pl-PL"/>
        </w:rPr>
        <w:t> </w:t>
      </w:r>
      <w:r w:rsidRPr="003D74F3">
        <w:rPr>
          <w:lang w:val="pl-PL"/>
        </w:rPr>
        <w:t>p</w:t>
      </w:r>
      <w:r w:rsidR="00351F4F">
        <w:rPr>
          <w:lang w:val="pl-PL"/>
        </w:rPr>
        <w:t>raktyce muszą być przez niego przy</w:t>
      </w:r>
      <w:r w:rsidRPr="003D74F3">
        <w:rPr>
          <w:lang w:val="pl-PL"/>
        </w:rPr>
        <w:t>jęte w celu zapewnienia wykonania niniejszego wyroku.</w:t>
      </w:r>
    </w:p>
    <w:p w14:paraId="5C4A6D38" w14:textId="20D00DD2" w:rsidR="00EE4B82" w:rsidRPr="003D74F3" w:rsidRDefault="00EE4B82" w:rsidP="00ED40FA">
      <w:pPr>
        <w:pStyle w:val="ECHRPara"/>
        <w:rPr>
          <w:i/>
          <w:iCs/>
          <w:lang w:val="pl-PL"/>
        </w:rPr>
      </w:pPr>
      <w:r w:rsidRPr="003D74F3">
        <w:rPr>
          <w:noProof/>
          <w:lang w:val="pl-PL"/>
        </w:rPr>
        <w:t>182</w:t>
      </w:r>
      <w:r w:rsidRPr="003D74F3">
        <w:rPr>
          <w:lang w:val="pl-PL"/>
        </w:rPr>
        <w:t>.</w:t>
      </w:r>
      <w:r w:rsidR="009F3BFE">
        <w:rPr>
          <w:lang w:val="pl-PL"/>
        </w:rPr>
        <w:t xml:space="preserve"> </w:t>
      </w:r>
      <w:r w:rsidRPr="003D74F3">
        <w:rPr>
          <w:lang w:val="pl-PL"/>
        </w:rPr>
        <w:t xml:space="preserve">W tym kontekście należy w każdym razie podkreślić, że prace mające na celu remediację zakładu i obszaru dotkniętego zanieczyszczeniem środowiska mają nadrzędne znaczenie i są pilne (zob., odpowiednio, </w:t>
      </w:r>
      <w:r w:rsidRPr="003D74F3">
        <w:rPr>
          <w:i/>
          <w:iCs/>
          <w:lang w:val="pl-PL"/>
        </w:rPr>
        <w:t>Torreggiani i Inni p. Włochom</w:t>
      </w:r>
      <w:r w:rsidRPr="003D74F3">
        <w:rPr>
          <w:lang w:val="pl-PL"/>
        </w:rPr>
        <w:t>, skargi nr 43517/09 i 6 innych</w:t>
      </w:r>
      <w:r w:rsidRPr="003D74F3">
        <w:rPr>
          <w:snapToGrid w:val="0"/>
          <w:lang w:val="pl-PL"/>
        </w:rPr>
        <w:t>, § 99, 8</w:t>
      </w:r>
      <w:r w:rsidR="009F3BFE">
        <w:rPr>
          <w:snapToGrid w:val="0"/>
          <w:lang w:val="pl-PL"/>
        </w:rPr>
        <w:t xml:space="preserve"> </w:t>
      </w:r>
      <w:r w:rsidRPr="003D74F3">
        <w:rPr>
          <w:lang w:val="pl-PL"/>
        </w:rPr>
        <w:t>stycznia</w:t>
      </w:r>
      <w:r w:rsidRPr="003D74F3">
        <w:rPr>
          <w:snapToGrid w:val="0"/>
          <w:lang w:val="pl-PL"/>
        </w:rPr>
        <w:t xml:space="preserve"> 2013 r.). Dlatego też plan ochrony środowiska zatwierdzony przez władze krajowe, zawierający wskazanie środków i</w:t>
      </w:r>
      <w:r w:rsidR="009F3BFE">
        <w:rPr>
          <w:snapToGrid w:val="0"/>
          <w:lang w:val="pl-PL"/>
        </w:rPr>
        <w:t xml:space="preserve"> </w:t>
      </w:r>
      <w:r w:rsidRPr="003D74F3">
        <w:rPr>
          <w:snapToGrid w:val="0"/>
          <w:lang w:val="pl-PL"/>
        </w:rPr>
        <w:t>działań niezbędnych do</w:t>
      </w:r>
      <w:r w:rsidR="00F13BAC">
        <w:rPr>
          <w:snapToGrid w:val="0"/>
          <w:lang w:val="pl-PL"/>
        </w:rPr>
        <w:t> </w:t>
      </w:r>
      <w:r w:rsidRPr="003D74F3">
        <w:rPr>
          <w:snapToGrid w:val="0"/>
          <w:lang w:val="pl-PL"/>
        </w:rPr>
        <w:t>zapewnienia ochrony środowiska i zdrowia ludności, musi zostać wdrożony tak szybko, jak to możliwe</w:t>
      </w:r>
      <w:r w:rsidRPr="003D74F3">
        <w:rPr>
          <w:lang w:val="pl-PL"/>
        </w:rPr>
        <w:t>.</w:t>
      </w:r>
    </w:p>
    <w:p w14:paraId="2E4CD922" w14:textId="77777777" w:rsidR="00EE4B82" w:rsidRPr="003D74F3" w:rsidRDefault="00EE4B82" w:rsidP="00ED40FA">
      <w:pPr>
        <w:pStyle w:val="ECHRHeading1"/>
        <w:rPr>
          <w:lang w:val="pl-PL"/>
        </w:rPr>
      </w:pPr>
      <w:r w:rsidRPr="003D74F3">
        <w:rPr>
          <w:lang w:val="pl-PL"/>
        </w:rPr>
        <w:t>IV.</w:t>
      </w:r>
      <w:r w:rsidR="009F3BFE">
        <w:rPr>
          <w:lang w:val="pl-PL"/>
        </w:rPr>
        <w:t xml:space="preserve"> </w:t>
      </w:r>
      <w:r w:rsidR="00D859AE">
        <w:rPr>
          <w:lang w:val="pl-PL"/>
        </w:rPr>
        <w:t>ZASTOSOWANIE</w:t>
      </w:r>
      <w:r w:rsidRPr="003D74F3">
        <w:rPr>
          <w:lang w:val="pl-PL"/>
        </w:rPr>
        <w:t xml:space="preserve"> ART. 41 KONWENCJI</w:t>
      </w:r>
    </w:p>
    <w:p w14:paraId="5532B462" w14:textId="77777777" w:rsidR="00EE4B82" w:rsidRPr="003D74F3" w:rsidRDefault="00EE4B82" w:rsidP="00ED40FA">
      <w:pPr>
        <w:pStyle w:val="ECHRPara"/>
        <w:rPr>
          <w:lang w:val="pl-PL"/>
        </w:rPr>
      </w:pPr>
      <w:r w:rsidRPr="003D74F3">
        <w:rPr>
          <w:noProof/>
          <w:lang w:val="pl-PL"/>
        </w:rPr>
        <w:t>183</w:t>
      </w:r>
      <w:r w:rsidRPr="003D74F3">
        <w:rPr>
          <w:lang w:val="pl-PL"/>
        </w:rPr>
        <w:t>.</w:t>
      </w:r>
      <w:r w:rsidR="009F3BFE">
        <w:rPr>
          <w:lang w:val="pl-PL"/>
        </w:rPr>
        <w:t xml:space="preserve"> </w:t>
      </w:r>
      <w:r w:rsidRPr="003D74F3">
        <w:rPr>
          <w:lang w:val="pl-PL"/>
        </w:rPr>
        <w:t>Zgodnie z art. 41 Konwencji,</w:t>
      </w:r>
    </w:p>
    <w:p w14:paraId="153EF4F0" w14:textId="1CB29507" w:rsidR="00EE4B82" w:rsidRPr="003D74F3" w:rsidRDefault="00EE4B82" w:rsidP="00ED40FA">
      <w:pPr>
        <w:pStyle w:val="ECHRParaQuote"/>
        <w:keepNext/>
        <w:keepLines/>
        <w:rPr>
          <w:lang w:val="pl-PL"/>
        </w:rPr>
      </w:pPr>
      <w:r w:rsidRPr="003D74F3">
        <w:rPr>
          <w:lang w:val="pl-PL"/>
        </w:rPr>
        <w:t>„</w:t>
      </w:r>
      <w:r w:rsidR="00D859AE" w:rsidRPr="00D859AE">
        <w:rPr>
          <w:lang w:val="pl-PL"/>
        </w:rPr>
        <w:t>Jeśli Trybunał stwierdzi, że nastąpiło naruszenie Konwencji lub jej Protokołów, oraz</w:t>
      </w:r>
      <w:r w:rsidR="00F13BAC">
        <w:rPr>
          <w:lang w:val="pl-PL"/>
        </w:rPr>
        <w:t> </w:t>
      </w:r>
      <w:r w:rsidR="00D859AE" w:rsidRPr="00D859AE">
        <w:rPr>
          <w:lang w:val="pl-PL"/>
        </w:rPr>
        <w:t>jeśli prawo wewnętrzne zainteresowanej Wysokiej Układającej się Strony pozwala tylko na częściowe usunięcie konsekwencji tego naruszenia, Trybunał orzeka, gdy</w:t>
      </w:r>
      <w:r w:rsidR="00F13BAC">
        <w:rPr>
          <w:lang w:val="pl-PL"/>
        </w:rPr>
        <w:t> </w:t>
      </w:r>
      <w:r w:rsidR="00D859AE" w:rsidRPr="00D859AE">
        <w:rPr>
          <w:lang w:val="pl-PL"/>
        </w:rPr>
        <w:t>zachodzi potrzeba, słuszne zadośćuczynienie pokrzywdzonej stronie</w:t>
      </w:r>
      <w:r w:rsidRPr="003D74F3">
        <w:rPr>
          <w:lang w:val="pl-PL"/>
        </w:rPr>
        <w:t>”.</w:t>
      </w:r>
    </w:p>
    <w:p w14:paraId="2B474CCB" w14:textId="77777777" w:rsidR="00EE4B82" w:rsidRPr="003D74F3" w:rsidRDefault="00EE4B82" w:rsidP="00ED40FA">
      <w:pPr>
        <w:pStyle w:val="ECHRHeading2"/>
        <w:rPr>
          <w:lang w:val="pl-PL"/>
        </w:rPr>
      </w:pPr>
      <w:r w:rsidRPr="00417B22">
        <w:rPr>
          <w:lang w:val="pl-PL"/>
        </w:rPr>
        <w:t>A.</w:t>
      </w:r>
      <w:r w:rsidR="009F3BFE" w:rsidRPr="00417B22">
        <w:rPr>
          <w:lang w:val="pl-PL"/>
        </w:rPr>
        <w:t xml:space="preserve"> </w:t>
      </w:r>
      <w:r w:rsidR="00D859AE" w:rsidRPr="00417B22">
        <w:rPr>
          <w:lang w:val="pl-PL"/>
        </w:rPr>
        <w:t>Szkoda</w:t>
      </w:r>
    </w:p>
    <w:p w14:paraId="6959C4A9" w14:textId="77777777" w:rsidR="00EE4B82" w:rsidRPr="003D74F3" w:rsidRDefault="00EE4B82" w:rsidP="00ED40FA">
      <w:pPr>
        <w:pStyle w:val="ECHRPara"/>
        <w:rPr>
          <w:lang w:val="pl-PL"/>
        </w:rPr>
      </w:pPr>
      <w:r w:rsidRPr="003D74F3">
        <w:rPr>
          <w:noProof/>
          <w:lang w:val="pl-PL"/>
        </w:rPr>
        <w:t>184</w:t>
      </w:r>
      <w:r w:rsidRPr="003D74F3">
        <w:rPr>
          <w:lang w:val="pl-PL"/>
        </w:rPr>
        <w:t>.</w:t>
      </w:r>
      <w:r w:rsidR="009F3BFE">
        <w:rPr>
          <w:lang w:val="pl-PL"/>
        </w:rPr>
        <w:t xml:space="preserve"> </w:t>
      </w:r>
      <w:r w:rsidRPr="003D74F3">
        <w:rPr>
          <w:lang w:val="pl-PL"/>
        </w:rPr>
        <w:t>Skarżący w skardze nr 54414/13 i skardze nr 54264/15 domagają się odpowiednio 100</w:t>
      </w:r>
      <w:r w:rsidR="009F3BFE">
        <w:rPr>
          <w:lang w:val="pl-PL"/>
        </w:rPr>
        <w:t xml:space="preserve"> </w:t>
      </w:r>
      <w:r w:rsidRPr="003D74F3">
        <w:rPr>
          <w:lang w:val="pl-PL"/>
        </w:rPr>
        <w:t>000 euro (EUR) i 20</w:t>
      </w:r>
      <w:r w:rsidR="009F3BFE">
        <w:rPr>
          <w:lang w:val="pl-PL"/>
        </w:rPr>
        <w:t xml:space="preserve"> </w:t>
      </w:r>
      <w:r w:rsidRPr="003D74F3">
        <w:rPr>
          <w:lang w:val="pl-PL"/>
        </w:rPr>
        <w:t>000 euro każdy, z tytułu szkody niemajątkowej.</w:t>
      </w:r>
    </w:p>
    <w:p w14:paraId="33DA7B16" w14:textId="77777777" w:rsidR="00EE4B82" w:rsidRPr="003D74F3" w:rsidRDefault="00EE4B82" w:rsidP="00ED40FA">
      <w:pPr>
        <w:pStyle w:val="ECHRPara"/>
        <w:rPr>
          <w:lang w:val="pl-PL"/>
        </w:rPr>
      </w:pPr>
      <w:r w:rsidRPr="003D74F3">
        <w:rPr>
          <w:noProof/>
          <w:lang w:val="pl-PL"/>
        </w:rPr>
        <w:t>185</w:t>
      </w:r>
      <w:r w:rsidRPr="003D74F3">
        <w:rPr>
          <w:lang w:val="pl-PL"/>
        </w:rPr>
        <w:t>.</w:t>
      </w:r>
      <w:r w:rsidR="009F3BFE">
        <w:rPr>
          <w:lang w:val="pl-PL"/>
        </w:rPr>
        <w:t xml:space="preserve"> </w:t>
      </w:r>
      <w:r w:rsidRPr="003D74F3">
        <w:rPr>
          <w:lang w:val="pl-PL"/>
        </w:rPr>
        <w:t>Ponadto skarżący w skardze nr 54264/15 domagają się dodatkowej kwoty 20</w:t>
      </w:r>
      <w:r w:rsidR="009F3BFE">
        <w:rPr>
          <w:lang w:val="pl-PL"/>
        </w:rPr>
        <w:t xml:space="preserve"> </w:t>
      </w:r>
      <w:r w:rsidRPr="003D74F3">
        <w:rPr>
          <w:lang w:val="pl-PL"/>
        </w:rPr>
        <w:t>000</w:t>
      </w:r>
      <w:r w:rsidR="009F3BFE">
        <w:rPr>
          <w:lang w:val="pl-PL"/>
        </w:rPr>
        <w:t xml:space="preserve"> </w:t>
      </w:r>
      <w:r w:rsidRPr="003D74F3">
        <w:rPr>
          <w:lang w:val="pl-PL"/>
        </w:rPr>
        <w:t>euro, również z tytułu szkody niemajątkowej, dla każdego z</w:t>
      </w:r>
      <w:r w:rsidR="009F3BFE">
        <w:rPr>
          <w:lang w:val="pl-PL"/>
        </w:rPr>
        <w:t xml:space="preserve"> </w:t>
      </w:r>
      <w:r w:rsidRPr="003D74F3">
        <w:rPr>
          <w:lang w:val="pl-PL"/>
        </w:rPr>
        <w:t>nich, kto cierpi na chorobę lub stracił bliską osobę w wyniku szkodliwych emisji z zakładu Ilva.</w:t>
      </w:r>
    </w:p>
    <w:p w14:paraId="5FB0BFDA" w14:textId="77777777" w:rsidR="00EE4B82" w:rsidRPr="003D74F3" w:rsidRDefault="00EE4B82" w:rsidP="00ED40FA">
      <w:pPr>
        <w:pStyle w:val="ECHRPara"/>
        <w:rPr>
          <w:lang w:val="pl-PL"/>
        </w:rPr>
      </w:pPr>
      <w:r w:rsidRPr="003D74F3">
        <w:rPr>
          <w:noProof/>
          <w:lang w:val="pl-PL"/>
        </w:rPr>
        <w:t>186</w:t>
      </w:r>
      <w:r w:rsidRPr="003D74F3">
        <w:rPr>
          <w:lang w:val="pl-PL"/>
        </w:rPr>
        <w:t>.</w:t>
      </w:r>
      <w:r w:rsidR="009F3BFE">
        <w:rPr>
          <w:lang w:val="pl-PL"/>
        </w:rPr>
        <w:t xml:space="preserve"> </w:t>
      </w:r>
      <w:r w:rsidRPr="003D74F3">
        <w:rPr>
          <w:lang w:val="pl-PL"/>
        </w:rPr>
        <w:t>Rząd kwestionuje te roszczenia.</w:t>
      </w:r>
    </w:p>
    <w:p w14:paraId="1ABCE544" w14:textId="77777777" w:rsidR="00EE4B82" w:rsidRPr="003D74F3" w:rsidRDefault="00EE4B82" w:rsidP="00ED40FA">
      <w:pPr>
        <w:pStyle w:val="ECHRPara"/>
        <w:rPr>
          <w:lang w:val="pl-PL"/>
        </w:rPr>
      </w:pPr>
      <w:r w:rsidRPr="003D74F3">
        <w:rPr>
          <w:noProof/>
          <w:lang w:val="pl-PL"/>
        </w:rPr>
        <w:t>187</w:t>
      </w:r>
      <w:r w:rsidRPr="003D74F3">
        <w:rPr>
          <w:lang w:val="pl-PL"/>
        </w:rPr>
        <w:t>.</w:t>
      </w:r>
      <w:r w:rsidR="009F3BFE">
        <w:rPr>
          <w:lang w:val="pl-PL"/>
        </w:rPr>
        <w:t xml:space="preserve"> </w:t>
      </w:r>
      <w:r w:rsidRPr="003D74F3">
        <w:rPr>
          <w:lang w:val="pl-PL"/>
        </w:rPr>
        <w:t>W obliczu okoliczności sprawy Trybunał uważa, że ustalenia dotyczące naruszenia Konwencji, których dokonał, stanowią wystarczające zadośćuczynienie za szkodę niemajątkową poniesioną przez skarżących.</w:t>
      </w:r>
    </w:p>
    <w:p w14:paraId="5BB417BA" w14:textId="77777777" w:rsidR="00EE4B82" w:rsidRPr="003D74F3" w:rsidRDefault="00EE4B82" w:rsidP="00ED40FA">
      <w:pPr>
        <w:pStyle w:val="ECHRHeading2"/>
        <w:rPr>
          <w:lang w:val="pl-PL"/>
        </w:rPr>
      </w:pPr>
      <w:r w:rsidRPr="003D74F3">
        <w:rPr>
          <w:lang w:val="pl-PL"/>
        </w:rPr>
        <w:t>B.</w:t>
      </w:r>
      <w:r w:rsidR="009F3BFE">
        <w:rPr>
          <w:lang w:val="pl-PL"/>
        </w:rPr>
        <w:t xml:space="preserve"> </w:t>
      </w:r>
      <w:r w:rsidRPr="003D74F3">
        <w:rPr>
          <w:lang w:val="pl-PL"/>
        </w:rPr>
        <w:t>Koszty i wydatki</w:t>
      </w:r>
    </w:p>
    <w:p w14:paraId="26FF12FD" w14:textId="77777777" w:rsidR="00EE4B82" w:rsidRPr="003D74F3" w:rsidRDefault="00EE4B82" w:rsidP="00ED40FA">
      <w:pPr>
        <w:pStyle w:val="ECHRPara"/>
        <w:rPr>
          <w:lang w:val="pl-PL"/>
        </w:rPr>
      </w:pPr>
      <w:r w:rsidRPr="003D74F3">
        <w:rPr>
          <w:noProof/>
          <w:lang w:val="pl-PL"/>
        </w:rPr>
        <w:t>188</w:t>
      </w:r>
      <w:r w:rsidRPr="003D74F3">
        <w:rPr>
          <w:lang w:val="pl-PL"/>
        </w:rPr>
        <w:t>.</w:t>
      </w:r>
      <w:r w:rsidR="009F3BFE">
        <w:rPr>
          <w:lang w:val="pl-PL"/>
        </w:rPr>
        <w:t xml:space="preserve"> </w:t>
      </w:r>
      <w:r w:rsidRPr="003D74F3">
        <w:rPr>
          <w:lang w:val="pl-PL"/>
        </w:rPr>
        <w:t>W ramach skargi nr 54414/13, panie</w:t>
      </w:r>
      <w:r w:rsidRPr="003D74F3">
        <w:rPr>
          <w:vertAlign w:val="superscript"/>
          <w:lang w:val="pl-PL"/>
        </w:rPr>
        <w:t xml:space="preserve"> </w:t>
      </w:r>
      <w:r w:rsidRPr="003D74F3">
        <w:rPr>
          <w:lang w:val="pl-PL"/>
        </w:rPr>
        <w:t>Maggio i La Porta wnoszą, odpowiednio, o przyznanie kwoty 96</w:t>
      </w:r>
      <w:r w:rsidR="009F3BFE">
        <w:rPr>
          <w:lang w:val="pl-PL"/>
        </w:rPr>
        <w:t xml:space="preserve"> </w:t>
      </w:r>
      <w:r w:rsidRPr="003D74F3">
        <w:rPr>
          <w:lang w:val="pl-PL"/>
        </w:rPr>
        <w:t>807,51 euro i 29</w:t>
      </w:r>
      <w:r w:rsidR="009F3BFE">
        <w:rPr>
          <w:lang w:val="pl-PL"/>
        </w:rPr>
        <w:t xml:space="preserve"> </w:t>
      </w:r>
      <w:r w:rsidRPr="003D74F3">
        <w:rPr>
          <w:lang w:val="pl-PL"/>
        </w:rPr>
        <w:t>335,61 euro z tytułu kosztów i wydatków poniesionych w postępowaniu przed Trybunałem.</w:t>
      </w:r>
    </w:p>
    <w:p w14:paraId="22883447" w14:textId="77777777" w:rsidR="00EE4B82" w:rsidRPr="003D74F3" w:rsidRDefault="00EE4B82" w:rsidP="00ED40FA">
      <w:pPr>
        <w:pStyle w:val="ECHRPara"/>
        <w:rPr>
          <w:lang w:val="pl-PL"/>
        </w:rPr>
      </w:pPr>
      <w:r w:rsidRPr="003D74F3">
        <w:rPr>
          <w:noProof/>
          <w:lang w:val="pl-PL"/>
        </w:rPr>
        <w:t>189</w:t>
      </w:r>
      <w:r w:rsidRPr="003D74F3">
        <w:rPr>
          <w:lang w:val="pl-PL"/>
        </w:rPr>
        <w:t>.</w:t>
      </w:r>
      <w:r w:rsidR="009F3BFE">
        <w:rPr>
          <w:lang w:val="pl-PL"/>
        </w:rPr>
        <w:t xml:space="preserve"> </w:t>
      </w:r>
      <w:r w:rsidRPr="003D74F3">
        <w:rPr>
          <w:lang w:val="pl-PL"/>
        </w:rPr>
        <w:t>Skarżący, którzy wnieśli skargę nr 54264/15</w:t>
      </w:r>
      <w:r w:rsidR="00417B22">
        <w:rPr>
          <w:lang w:val="pl-PL"/>
        </w:rPr>
        <w:t>,</w:t>
      </w:r>
      <w:r w:rsidRPr="003D74F3">
        <w:rPr>
          <w:lang w:val="pl-PL"/>
        </w:rPr>
        <w:t xml:space="preserve"> wnoszą o przyznanie kwoty 41</w:t>
      </w:r>
      <w:r w:rsidR="009F3BFE">
        <w:rPr>
          <w:lang w:val="pl-PL"/>
        </w:rPr>
        <w:t xml:space="preserve"> </w:t>
      </w:r>
      <w:r w:rsidRPr="003D74F3">
        <w:rPr>
          <w:lang w:val="pl-PL"/>
        </w:rPr>
        <w:t>535 euro z tego samego tytułu.</w:t>
      </w:r>
    </w:p>
    <w:p w14:paraId="5E4A3C64" w14:textId="77777777" w:rsidR="00EE4B82" w:rsidRPr="003D74F3" w:rsidRDefault="00EE4B82" w:rsidP="00ED40FA">
      <w:pPr>
        <w:pStyle w:val="ECHRPara"/>
        <w:rPr>
          <w:lang w:val="pl-PL"/>
        </w:rPr>
      </w:pPr>
      <w:r w:rsidRPr="003D74F3">
        <w:rPr>
          <w:noProof/>
          <w:lang w:val="pl-PL"/>
        </w:rPr>
        <w:t>190</w:t>
      </w:r>
      <w:r w:rsidRPr="003D74F3">
        <w:rPr>
          <w:lang w:val="pl-PL"/>
        </w:rPr>
        <w:t>.</w:t>
      </w:r>
      <w:r w:rsidR="009F3BFE">
        <w:rPr>
          <w:lang w:val="pl-PL"/>
        </w:rPr>
        <w:t xml:space="preserve"> </w:t>
      </w:r>
      <w:r w:rsidRPr="003D74F3">
        <w:rPr>
          <w:lang w:val="pl-PL"/>
        </w:rPr>
        <w:t>Rząd kwestionuje te roszczenia.</w:t>
      </w:r>
    </w:p>
    <w:p w14:paraId="60FBB5CC" w14:textId="0A0BEA50" w:rsidR="00EE4B82" w:rsidRPr="003D74F3" w:rsidRDefault="00EE4B82" w:rsidP="00ED40FA">
      <w:pPr>
        <w:pStyle w:val="ECHRPara"/>
        <w:rPr>
          <w:lang w:val="pl-PL"/>
        </w:rPr>
      </w:pPr>
      <w:r w:rsidRPr="003D74F3">
        <w:rPr>
          <w:noProof/>
          <w:lang w:val="pl-PL"/>
        </w:rPr>
        <w:t>191</w:t>
      </w:r>
      <w:r w:rsidRPr="003D74F3">
        <w:rPr>
          <w:lang w:val="pl-PL"/>
        </w:rPr>
        <w:t>.</w:t>
      </w:r>
      <w:r w:rsidR="009F3BFE">
        <w:rPr>
          <w:lang w:val="pl-PL"/>
        </w:rPr>
        <w:t xml:space="preserve"> </w:t>
      </w:r>
      <w:r w:rsidRPr="003D74F3">
        <w:rPr>
          <w:lang w:val="pl-PL"/>
        </w:rPr>
        <w:t>Zgodnie z orzecznictwem Trybunału skarżący może uzyskać zwrot poniesionych przez siebie kosztów i wydatków ty</w:t>
      </w:r>
      <w:r w:rsidR="00417B22">
        <w:rPr>
          <w:lang w:val="pl-PL"/>
        </w:rPr>
        <w:t xml:space="preserve">lko wtedy, gdy zostanie </w:t>
      </w:r>
      <w:r w:rsidR="00417B22">
        <w:rPr>
          <w:lang w:val="pl-PL"/>
        </w:rPr>
        <w:lastRenderedPageBreak/>
        <w:t>wykazane, że były one rzeczywiście poniesione</w:t>
      </w:r>
      <w:r w:rsidRPr="003D74F3">
        <w:rPr>
          <w:lang w:val="pl-PL"/>
        </w:rPr>
        <w:t xml:space="preserve">, </w:t>
      </w:r>
      <w:r w:rsidR="00417B22">
        <w:rPr>
          <w:lang w:val="pl-PL"/>
        </w:rPr>
        <w:t xml:space="preserve">konieczne i w uzasadnionej </w:t>
      </w:r>
      <w:r w:rsidRPr="003D74F3">
        <w:rPr>
          <w:lang w:val="pl-PL"/>
        </w:rPr>
        <w:t>wysokości. W</w:t>
      </w:r>
      <w:r w:rsidR="009F3BFE">
        <w:rPr>
          <w:lang w:val="pl-PL"/>
        </w:rPr>
        <w:t xml:space="preserve"> </w:t>
      </w:r>
      <w:r w:rsidRPr="003D74F3">
        <w:rPr>
          <w:lang w:val="pl-PL"/>
        </w:rPr>
        <w:t>niniejszej sprawie, biorąc pod uwagę dokumenty znajdujące się w</w:t>
      </w:r>
      <w:r w:rsidR="009F3BFE">
        <w:rPr>
          <w:lang w:val="pl-PL"/>
        </w:rPr>
        <w:t xml:space="preserve"> </w:t>
      </w:r>
      <w:r w:rsidRPr="003D74F3">
        <w:rPr>
          <w:lang w:val="pl-PL"/>
        </w:rPr>
        <w:t xml:space="preserve">posiadaniu Trybunału oraz </w:t>
      </w:r>
      <w:r w:rsidR="00417B22">
        <w:rPr>
          <w:lang w:val="pl-PL"/>
        </w:rPr>
        <w:t xml:space="preserve">swoje </w:t>
      </w:r>
      <w:r w:rsidRPr="003D74F3">
        <w:rPr>
          <w:lang w:val="pl-PL"/>
        </w:rPr>
        <w:t>orzecznictwo, Trybun</w:t>
      </w:r>
      <w:r w:rsidR="00417B22">
        <w:rPr>
          <w:lang w:val="pl-PL"/>
        </w:rPr>
        <w:t>ał uznaje</w:t>
      </w:r>
      <w:r w:rsidRPr="003D74F3">
        <w:rPr>
          <w:lang w:val="pl-PL"/>
        </w:rPr>
        <w:t>, że</w:t>
      </w:r>
      <w:r w:rsidR="00F13BAC">
        <w:rPr>
          <w:lang w:val="pl-PL"/>
        </w:rPr>
        <w:t> </w:t>
      </w:r>
      <w:r w:rsidR="0001181B">
        <w:rPr>
          <w:lang w:val="pl-PL"/>
        </w:rPr>
        <w:t xml:space="preserve">uzasadniona jest </w:t>
      </w:r>
      <w:r w:rsidRPr="003D74F3">
        <w:rPr>
          <w:lang w:val="pl-PL"/>
        </w:rPr>
        <w:t xml:space="preserve">kwota 5000 euro na skargę </w:t>
      </w:r>
      <w:r w:rsidR="00417B22">
        <w:rPr>
          <w:lang w:val="pl-PL"/>
        </w:rPr>
        <w:t>z tytułu postępowania</w:t>
      </w:r>
      <w:r w:rsidRPr="003D74F3">
        <w:rPr>
          <w:lang w:val="pl-PL"/>
        </w:rPr>
        <w:t xml:space="preserve"> przed</w:t>
      </w:r>
      <w:r w:rsidR="00417B22">
        <w:rPr>
          <w:lang w:val="pl-PL"/>
        </w:rPr>
        <w:t xml:space="preserve"> nim i przyznaje</w:t>
      </w:r>
      <w:r w:rsidRPr="003D74F3">
        <w:rPr>
          <w:lang w:val="pl-PL"/>
        </w:rPr>
        <w:t xml:space="preserve"> ją skarżącym.</w:t>
      </w:r>
    </w:p>
    <w:p w14:paraId="337A3B69" w14:textId="77777777" w:rsidR="00EE4B82" w:rsidRPr="003D74F3" w:rsidRDefault="00EE4B82" w:rsidP="00ED40FA">
      <w:pPr>
        <w:pStyle w:val="ECHRHeading2"/>
        <w:rPr>
          <w:lang w:val="pl-PL"/>
        </w:rPr>
      </w:pPr>
      <w:r w:rsidRPr="003D74F3">
        <w:rPr>
          <w:lang w:val="pl-PL"/>
        </w:rPr>
        <w:t>C.</w:t>
      </w:r>
      <w:r w:rsidR="009F3BFE">
        <w:rPr>
          <w:lang w:val="pl-PL"/>
        </w:rPr>
        <w:t xml:space="preserve"> </w:t>
      </w:r>
      <w:r w:rsidRPr="003D74F3">
        <w:rPr>
          <w:lang w:val="pl-PL"/>
        </w:rPr>
        <w:t>Odsetki za zwłokę</w:t>
      </w:r>
    </w:p>
    <w:p w14:paraId="7345FEFD" w14:textId="0628BE75" w:rsidR="00EE4B82" w:rsidRPr="003D74F3" w:rsidRDefault="00EE4B82" w:rsidP="00ED40FA">
      <w:pPr>
        <w:pStyle w:val="ECHRPara"/>
        <w:rPr>
          <w:lang w:val="pl-PL"/>
        </w:rPr>
      </w:pPr>
      <w:r w:rsidRPr="003D74F3">
        <w:rPr>
          <w:noProof/>
          <w:lang w:val="pl-PL"/>
        </w:rPr>
        <w:t>192</w:t>
      </w:r>
      <w:r w:rsidRPr="003D74F3">
        <w:rPr>
          <w:lang w:val="pl-PL"/>
        </w:rPr>
        <w:t>.</w:t>
      </w:r>
      <w:r w:rsidR="009F3BFE">
        <w:rPr>
          <w:lang w:val="pl-PL"/>
        </w:rPr>
        <w:t xml:space="preserve"> </w:t>
      </w:r>
      <w:r w:rsidRPr="003D74F3">
        <w:rPr>
          <w:lang w:val="pl-PL"/>
        </w:rPr>
        <w:t>Trybunał za słuszne uznaje obliczenie odsetek za zwłokę na</w:t>
      </w:r>
      <w:r w:rsidR="00F13BAC">
        <w:rPr>
          <w:lang w:val="pl-PL"/>
        </w:rPr>
        <w:t> </w:t>
      </w:r>
      <w:r w:rsidRPr="003D74F3">
        <w:rPr>
          <w:lang w:val="pl-PL"/>
        </w:rPr>
        <w:t>podstawie stopy procentowej kredytu Europejskiego Banku Centralnego powiększonej o trzy punkty procentowe.</w:t>
      </w:r>
    </w:p>
    <w:p w14:paraId="5F541390" w14:textId="77777777" w:rsidR="00EE4B82" w:rsidRPr="003D74F3" w:rsidRDefault="00EE4B82" w:rsidP="00ED40FA">
      <w:pPr>
        <w:pStyle w:val="ECHRTitle1"/>
        <w:rPr>
          <w:lang w:val="pl-PL"/>
        </w:rPr>
      </w:pPr>
      <w:r w:rsidRPr="003D74F3">
        <w:rPr>
          <w:lang w:val="pl-PL"/>
        </w:rPr>
        <w:t>Z POWYŻSZYCH WZGLĘDÓW, TRYBUNAŁ, JEDNO</w:t>
      </w:r>
      <w:r w:rsidR="00D859AE">
        <w:rPr>
          <w:lang w:val="pl-PL"/>
        </w:rPr>
        <w:t>GŁOŚNIE</w:t>
      </w:r>
      <w:r w:rsidRPr="003D74F3">
        <w:rPr>
          <w:lang w:val="pl-PL"/>
        </w:rPr>
        <w:t>,</w:t>
      </w:r>
    </w:p>
    <w:p w14:paraId="377F6BA1" w14:textId="77777777" w:rsidR="00EE4B82" w:rsidRPr="003D74F3" w:rsidRDefault="00EE4B82" w:rsidP="00ED40FA">
      <w:pPr>
        <w:pStyle w:val="JuList"/>
        <w:ind w:left="0" w:firstLine="0"/>
        <w:rPr>
          <w:lang w:val="pl-PL"/>
        </w:rPr>
      </w:pPr>
      <w:r w:rsidRPr="003D74F3">
        <w:rPr>
          <w:lang w:val="pl-PL"/>
        </w:rPr>
        <w:t>1.</w:t>
      </w:r>
      <w:r w:rsidR="009F3BFE">
        <w:rPr>
          <w:lang w:val="pl-PL"/>
        </w:rPr>
        <w:t xml:space="preserve"> </w:t>
      </w:r>
      <w:r w:rsidRPr="003D74F3">
        <w:rPr>
          <w:i/>
          <w:iCs/>
          <w:lang w:val="pl-PL"/>
        </w:rPr>
        <w:t>Postanawia</w:t>
      </w:r>
      <w:r w:rsidRPr="003D74F3">
        <w:rPr>
          <w:lang w:val="pl-PL"/>
        </w:rPr>
        <w:t xml:space="preserve"> połączyć skargi;</w:t>
      </w:r>
    </w:p>
    <w:p w14:paraId="2E50E40B" w14:textId="77777777" w:rsidR="00EE4B82" w:rsidRPr="003D74F3" w:rsidRDefault="00EE4B82" w:rsidP="00ED40FA">
      <w:pPr>
        <w:pStyle w:val="JuList"/>
        <w:rPr>
          <w:lang w:val="pl-PL"/>
        </w:rPr>
      </w:pPr>
    </w:p>
    <w:p w14:paraId="70494AB1" w14:textId="44A8A348" w:rsidR="00EE4B82" w:rsidRPr="003D74F3" w:rsidRDefault="00EE4B82" w:rsidP="00ED40FA">
      <w:pPr>
        <w:pStyle w:val="JuList"/>
        <w:rPr>
          <w:lang w:val="pl-PL"/>
        </w:rPr>
      </w:pPr>
      <w:r w:rsidRPr="003D74F3">
        <w:rPr>
          <w:lang w:val="pl-PL"/>
        </w:rPr>
        <w:t>2.</w:t>
      </w:r>
      <w:r w:rsidR="009F3BFE">
        <w:rPr>
          <w:lang w:val="pl-PL"/>
        </w:rPr>
        <w:t xml:space="preserve"> </w:t>
      </w:r>
      <w:r w:rsidRPr="003D74F3">
        <w:rPr>
          <w:i/>
          <w:iCs/>
          <w:lang w:val="pl-PL"/>
        </w:rPr>
        <w:t>Uznaje</w:t>
      </w:r>
      <w:r w:rsidRPr="003D74F3">
        <w:rPr>
          <w:lang w:val="pl-PL"/>
        </w:rPr>
        <w:t xml:space="preserve"> </w:t>
      </w:r>
      <w:r w:rsidR="002B0AD2">
        <w:rPr>
          <w:lang w:val="pl-PL"/>
        </w:rPr>
        <w:t>skargi</w:t>
      </w:r>
      <w:r w:rsidRPr="003D74F3">
        <w:rPr>
          <w:lang w:val="pl-PL"/>
        </w:rPr>
        <w:t xml:space="preserve"> </w:t>
      </w:r>
      <w:r w:rsidR="002B0AD2">
        <w:rPr>
          <w:lang w:val="pl-PL"/>
        </w:rPr>
        <w:t>za</w:t>
      </w:r>
      <w:r w:rsidR="002B0AD2" w:rsidRPr="003D74F3">
        <w:rPr>
          <w:lang w:val="pl-PL"/>
        </w:rPr>
        <w:t xml:space="preserve"> niedopuszczalne</w:t>
      </w:r>
      <w:r w:rsidR="002B0AD2">
        <w:rPr>
          <w:lang w:val="pl-PL"/>
        </w:rPr>
        <w:t xml:space="preserve"> w </w:t>
      </w:r>
      <w:r w:rsidRPr="003D74F3">
        <w:rPr>
          <w:lang w:val="pl-PL"/>
        </w:rPr>
        <w:t xml:space="preserve">części </w:t>
      </w:r>
      <w:r w:rsidR="002B0AD2">
        <w:rPr>
          <w:lang w:val="pl-PL"/>
        </w:rPr>
        <w:t>złożonej</w:t>
      </w:r>
      <w:r w:rsidRPr="003D74F3">
        <w:rPr>
          <w:lang w:val="pl-PL"/>
        </w:rPr>
        <w:t xml:space="preserve"> </w:t>
      </w:r>
      <w:r w:rsidR="0001181B" w:rsidRPr="003D74F3">
        <w:rPr>
          <w:lang w:val="pl-PL"/>
        </w:rPr>
        <w:t>przez skarżących</w:t>
      </w:r>
      <w:r w:rsidRPr="003D74F3">
        <w:rPr>
          <w:lang w:val="pl-PL"/>
        </w:rPr>
        <w:t xml:space="preserve"> oznaczonych numerami 23, 35, 43 i 45 </w:t>
      </w:r>
      <w:r w:rsidR="002B0AD2" w:rsidRPr="003D74F3">
        <w:rPr>
          <w:lang w:val="pl-PL"/>
        </w:rPr>
        <w:t>w ramach skargi nr 54414/13</w:t>
      </w:r>
      <w:r w:rsidR="002B0AD2">
        <w:rPr>
          <w:lang w:val="pl-PL"/>
        </w:rPr>
        <w:t xml:space="preserve"> </w:t>
      </w:r>
      <w:r w:rsidRPr="003D74F3">
        <w:rPr>
          <w:lang w:val="pl-PL"/>
        </w:rPr>
        <w:t>oraz</w:t>
      </w:r>
      <w:r w:rsidR="00F13BAC">
        <w:rPr>
          <w:lang w:val="pl-PL"/>
        </w:rPr>
        <w:t> </w:t>
      </w:r>
      <w:r w:rsidRPr="003D74F3">
        <w:rPr>
          <w:lang w:val="pl-PL"/>
        </w:rPr>
        <w:t>oznaczonych numerami 4, 9, 18, 24, 25, 34, 40, 41, 42, 56, 88, 107, 111, 113 i 128</w:t>
      </w:r>
      <w:r w:rsidR="002B0AD2" w:rsidRPr="002B0AD2">
        <w:rPr>
          <w:lang w:val="pl-PL"/>
        </w:rPr>
        <w:t xml:space="preserve"> </w:t>
      </w:r>
      <w:r w:rsidR="002B0AD2">
        <w:rPr>
          <w:lang w:val="pl-PL"/>
        </w:rPr>
        <w:t>w ramach skargi nr 54264/15</w:t>
      </w:r>
      <w:r w:rsidRPr="003D74F3">
        <w:rPr>
          <w:lang w:val="pl-PL"/>
        </w:rPr>
        <w:t>;</w:t>
      </w:r>
    </w:p>
    <w:p w14:paraId="46C35A31" w14:textId="77777777" w:rsidR="00EE4B82" w:rsidRPr="003D74F3" w:rsidRDefault="00EE4B82" w:rsidP="00ED40FA">
      <w:pPr>
        <w:pStyle w:val="JuList"/>
        <w:rPr>
          <w:lang w:val="pl-PL"/>
        </w:rPr>
      </w:pPr>
    </w:p>
    <w:p w14:paraId="4F67E73C" w14:textId="121097C2" w:rsidR="00EE4B82" w:rsidRPr="003D74F3" w:rsidRDefault="00EE4B82" w:rsidP="00ED40FA">
      <w:pPr>
        <w:pStyle w:val="JuList"/>
        <w:rPr>
          <w:lang w:val="pl-PL"/>
        </w:rPr>
      </w:pPr>
      <w:r w:rsidRPr="003D74F3">
        <w:rPr>
          <w:lang w:val="pl-PL"/>
        </w:rPr>
        <w:t>3.</w:t>
      </w:r>
      <w:r w:rsidR="009F3BFE">
        <w:rPr>
          <w:lang w:val="pl-PL"/>
        </w:rPr>
        <w:t xml:space="preserve"> </w:t>
      </w:r>
      <w:r w:rsidRPr="003D74F3">
        <w:rPr>
          <w:i/>
          <w:iCs/>
          <w:lang w:val="pl-PL"/>
        </w:rPr>
        <w:t>Uznaje</w:t>
      </w:r>
      <w:r w:rsidRPr="003D74F3">
        <w:rPr>
          <w:lang w:val="pl-PL"/>
        </w:rPr>
        <w:t xml:space="preserve"> skargi </w:t>
      </w:r>
      <w:r w:rsidR="00BA5054" w:rsidRPr="003D74F3">
        <w:rPr>
          <w:lang w:val="pl-PL"/>
        </w:rPr>
        <w:t xml:space="preserve">za dopuszczalne </w:t>
      </w:r>
      <w:r w:rsidRPr="003D74F3">
        <w:rPr>
          <w:lang w:val="pl-PL"/>
        </w:rPr>
        <w:t>w pozostałym zakresie;</w:t>
      </w:r>
    </w:p>
    <w:p w14:paraId="601ED60A" w14:textId="77777777" w:rsidR="00EE4B82" w:rsidRPr="003D74F3" w:rsidRDefault="00EE4B82" w:rsidP="00ED40FA">
      <w:pPr>
        <w:pStyle w:val="JuList"/>
        <w:rPr>
          <w:lang w:val="pl-PL"/>
        </w:rPr>
      </w:pPr>
    </w:p>
    <w:p w14:paraId="1A063765" w14:textId="77777777" w:rsidR="00EE4B82" w:rsidRPr="003D74F3" w:rsidRDefault="00EE4B82" w:rsidP="00ED40FA">
      <w:pPr>
        <w:pStyle w:val="JuList"/>
        <w:rPr>
          <w:lang w:val="pl-PL"/>
        </w:rPr>
      </w:pPr>
      <w:r w:rsidRPr="003D74F3">
        <w:rPr>
          <w:lang w:val="pl-PL"/>
        </w:rPr>
        <w:t>4.</w:t>
      </w:r>
      <w:r w:rsidR="009F3BFE">
        <w:rPr>
          <w:lang w:val="pl-PL"/>
        </w:rPr>
        <w:t xml:space="preserve"> </w:t>
      </w:r>
      <w:r w:rsidRPr="003D74F3">
        <w:rPr>
          <w:i/>
          <w:iCs/>
          <w:lang w:val="pl-PL"/>
        </w:rPr>
        <w:t>Orzeka</w:t>
      </w:r>
      <w:r w:rsidRPr="003D74F3">
        <w:rPr>
          <w:lang w:val="pl-PL"/>
        </w:rPr>
        <w:t>, że doszło do naruszenia art. 8 Konwencji;</w:t>
      </w:r>
    </w:p>
    <w:p w14:paraId="7B87D788" w14:textId="77777777" w:rsidR="00EE4B82" w:rsidRPr="003D74F3" w:rsidRDefault="00EE4B82" w:rsidP="00ED40FA">
      <w:pPr>
        <w:pStyle w:val="JuList"/>
        <w:rPr>
          <w:lang w:val="pl-PL"/>
        </w:rPr>
      </w:pPr>
    </w:p>
    <w:p w14:paraId="2564854D" w14:textId="77777777" w:rsidR="00EE4B82" w:rsidRPr="003D74F3" w:rsidRDefault="00EE4B82" w:rsidP="00ED40FA">
      <w:pPr>
        <w:pStyle w:val="JuList"/>
        <w:rPr>
          <w:lang w:val="pl-PL"/>
        </w:rPr>
      </w:pPr>
      <w:r w:rsidRPr="003D74F3">
        <w:rPr>
          <w:lang w:val="pl-PL"/>
        </w:rPr>
        <w:t>5.</w:t>
      </w:r>
      <w:r w:rsidR="009F3BFE">
        <w:rPr>
          <w:lang w:val="pl-PL"/>
        </w:rPr>
        <w:t xml:space="preserve"> </w:t>
      </w:r>
      <w:r w:rsidRPr="003D74F3">
        <w:rPr>
          <w:i/>
          <w:iCs/>
          <w:lang w:val="pl-PL"/>
        </w:rPr>
        <w:t>Orzeka</w:t>
      </w:r>
      <w:r w:rsidRPr="003D74F3">
        <w:rPr>
          <w:lang w:val="pl-PL"/>
        </w:rPr>
        <w:t>, że doszło do naruszenia art. 13 Konwencji;</w:t>
      </w:r>
    </w:p>
    <w:p w14:paraId="1C5AAF6B" w14:textId="77777777" w:rsidR="00EE4B82" w:rsidRPr="003D74F3" w:rsidRDefault="00EE4B82" w:rsidP="00ED40FA">
      <w:pPr>
        <w:pStyle w:val="JuList"/>
        <w:rPr>
          <w:lang w:val="pl-PL"/>
        </w:rPr>
      </w:pPr>
    </w:p>
    <w:p w14:paraId="5E086A8B" w14:textId="77777777" w:rsidR="00EE4B82" w:rsidRPr="003D74F3" w:rsidRDefault="00EE4B82" w:rsidP="00ED40FA">
      <w:pPr>
        <w:pStyle w:val="JuList"/>
        <w:rPr>
          <w:lang w:val="pl-PL"/>
        </w:rPr>
      </w:pPr>
      <w:r w:rsidRPr="003D74F3">
        <w:rPr>
          <w:lang w:val="pl-PL"/>
        </w:rPr>
        <w:t>6.</w:t>
      </w:r>
      <w:r w:rsidR="009F3BFE">
        <w:rPr>
          <w:lang w:val="pl-PL"/>
        </w:rPr>
        <w:t xml:space="preserve"> </w:t>
      </w:r>
      <w:r w:rsidRPr="003D74F3">
        <w:rPr>
          <w:i/>
          <w:iCs/>
          <w:lang w:val="pl-PL"/>
        </w:rPr>
        <w:t xml:space="preserve">Orzeka, </w:t>
      </w:r>
      <w:r w:rsidRPr="003D74F3">
        <w:rPr>
          <w:lang w:val="pl-PL"/>
        </w:rPr>
        <w:t>że stwierdzenie naruszenia samo w sobie stanowi wystarczające słuszne zadośćuczynienie za szkodę niemajątkową poniesioną przez zainteresowanych skarżących;</w:t>
      </w:r>
    </w:p>
    <w:p w14:paraId="03EC4C10" w14:textId="77777777" w:rsidR="00EE4B82" w:rsidRPr="003D74F3" w:rsidRDefault="00EE4B82" w:rsidP="00ED40FA">
      <w:pPr>
        <w:pStyle w:val="JuList"/>
        <w:rPr>
          <w:lang w:val="pl-PL"/>
        </w:rPr>
      </w:pPr>
    </w:p>
    <w:p w14:paraId="1B2EB511" w14:textId="77777777" w:rsidR="00EE4B82" w:rsidRPr="003D74F3" w:rsidRDefault="00EE4B82" w:rsidP="00ED40FA">
      <w:pPr>
        <w:pStyle w:val="JuList"/>
        <w:rPr>
          <w:lang w:val="pl-PL"/>
        </w:rPr>
      </w:pPr>
      <w:r w:rsidRPr="003D74F3">
        <w:rPr>
          <w:lang w:val="pl-PL"/>
        </w:rPr>
        <w:t>7.</w:t>
      </w:r>
      <w:r w:rsidR="009F3BFE">
        <w:rPr>
          <w:lang w:val="pl-PL"/>
        </w:rPr>
        <w:t xml:space="preserve"> </w:t>
      </w:r>
      <w:r w:rsidRPr="003D74F3">
        <w:rPr>
          <w:i/>
          <w:iCs/>
          <w:lang w:val="pl-PL"/>
        </w:rPr>
        <w:t>Orzeka</w:t>
      </w:r>
    </w:p>
    <w:p w14:paraId="69E509F1" w14:textId="5F9FFD8F" w:rsidR="00EE4B82" w:rsidRPr="003D74F3" w:rsidRDefault="00EE4B82" w:rsidP="00ED40FA">
      <w:pPr>
        <w:pStyle w:val="JuLista"/>
        <w:rPr>
          <w:lang w:val="pl-PL"/>
        </w:rPr>
      </w:pPr>
      <w:r w:rsidRPr="003D74F3">
        <w:rPr>
          <w:lang w:val="pl-PL"/>
        </w:rPr>
        <w:t>a) że pozwane państwo musi wypłacić</w:t>
      </w:r>
      <w:r w:rsidR="00BB2167" w:rsidRPr="003D74F3">
        <w:rPr>
          <w:lang w:val="pl-PL"/>
        </w:rPr>
        <w:t xml:space="preserve"> skarżącym</w:t>
      </w:r>
      <w:r w:rsidR="00BB2167">
        <w:rPr>
          <w:lang w:val="pl-PL"/>
        </w:rPr>
        <w:t xml:space="preserve"> z tytułu kosztów i</w:t>
      </w:r>
      <w:r w:rsidR="00F13BAC">
        <w:rPr>
          <w:lang w:val="pl-PL"/>
        </w:rPr>
        <w:t> </w:t>
      </w:r>
      <w:r w:rsidR="00BB2167">
        <w:rPr>
          <w:lang w:val="pl-PL"/>
        </w:rPr>
        <w:t>wydatków</w:t>
      </w:r>
      <w:r w:rsidRPr="003D74F3">
        <w:rPr>
          <w:lang w:val="pl-PL"/>
        </w:rPr>
        <w:t>, w terminie trzech miesięcy od daty</w:t>
      </w:r>
      <w:r w:rsidR="0001181B">
        <w:rPr>
          <w:lang w:val="pl-PL"/>
        </w:rPr>
        <w:t>, w której wyrok stanie się ostateczny</w:t>
      </w:r>
      <w:r w:rsidRPr="003D74F3">
        <w:rPr>
          <w:lang w:val="pl-PL"/>
        </w:rPr>
        <w:t xml:space="preserve"> zgodnie z art. 44 ust. 2 Konwencji, </w:t>
      </w:r>
      <w:r w:rsidR="0001181B">
        <w:rPr>
          <w:lang w:val="pl-PL"/>
        </w:rPr>
        <w:t xml:space="preserve">kwotę </w:t>
      </w:r>
      <w:r w:rsidRPr="003D74F3">
        <w:rPr>
          <w:lang w:val="pl-PL"/>
        </w:rPr>
        <w:t>5000 euro (pięć</w:t>
      </w:r>
      <w:r w:rsidR="00F13BAC">
        <w:rPr>
          <w:lang w:val="pl-PL"/>
        </w:rPr>
        <w:t> </w:t>
      </w:r>
      <w:r w:rsidRPr="003D74F3">
        <w:rPr>
          <w:lang w:val="pl-PL"/>
        </w:rPr>
        <w:t xml:space="preserve">tysięcy euro) na skargę, plus wszelkie kwoty, </w:t>
      </w:r>
      <w:r w:rsidR="00BB2167">
        <w:rPr>
          <w:lang w:val="pl-PL"/>
        </w:rPr>
        <w:t xml:space="preserve">jakie </w:t>
      </w:r>
      <w:r w:rsidRPr="003D74F3">
        <w:rPr>
          <w:lang w:val="pl-PL"/>
        </w:rPr>
        <w:t xml:space="preserve">mogą być </w:t>
      </w:r>
      <w:r w:rsidR="00BB2167">
        <w:rPr>
          <w:lang w:val="pl-PL"/>
        </w:rPr>
        <w:t>od</w:t>
      </w:r>
      <w:r w:rsidR="00F13BAC">
        <w:rPr>
          <w:lang w:val="pl-PL"/>
        </w:rPr>
        <w:t> </w:t>
      </w:r>
      <w:r w:rsidRPr="003D74F3">
        <w:rPr>
          <w:lang w:val="pl-PL"/>
        </w:rPr>
        <w:t>nich należne z tytułu podatku</w:t>
      </w:r>
      <w:r>
        <w:rPr>
          <w:lang w:val="pl-PL"/>
        </w:rPr>
        <w:t xml:space="preserve">, </w:t>
      </w:r>
    </w:p>
    <w:p w14:paraId="12BB484E" w14:textId="034A5EA7" w:rsidR="00EE4B82" w:rsidRPr="003D74F3" w:rsidRDefault="00EE4B82" w:rsidP="00ED40FA">
      <w:pPr>
        <w:pStyle w:val="JuLista"/>
        <w:rPr>
          <w:lang w:val="pl-PL"/>
        </w:rPr>
      </w:pPr>
      <w:r w:rsidRPr="003D74F3">
        <w:rPr>
          <w:lang w:val="pl-PL"/>
        </w:rPr>
        <w:t>b)</w:t>
      </w:r>
      <w:r w:rsidR="009F3BFE">
        <w:rPr>
          <w:lang w:val="pl-PL"/>
        </w:rPr>
        <w:t xml:space="preserve"> </w:t>
      </w:r>
      <w:r w:rsidRPr="003D74F3">
        <w:rPr>
          <w:lang w:val="pl-PL"/>
        </w:rPr>
        <w:t xml:space="preserve">że od upływu wspomnianego </w:t>
      </w:r>
      <w:r w:rsidR="009B06BC">
        <w:rPr>
          <w:lang w:val="pl-PL"/>
        </w:rPr>
        <w:t>terminu</w:t>
      </w:r>
      <w:r w:rsidR="009B06BC">
        <w:rPr>
          <w:lang w:val="pl-PL"/>
        </w:rPr>
        <w:t xml:space="preserve"> </w:t>
      </w:r>
      <w:r w:rsidRPr="003D74F3">
        <w:rPr>
          <w:lang w:val="pl-PL"/>
        </w:rPr>
        <w:t>do chwili zapłaty od kwoty tej</w:t>
      </w:r>
      <w:r w:rsidR="00F13BAC">
        <w:rPr>
          <w:lang w:val="pl-PL"/>
        </w:rPr>
        <w:t> </w:t>
      </w:r>
      <w:r w:rsidRPr="003D74F3">
        <w:rPr>
          <w:lang w:val="pl-PL"/>
        </w:rPr>
        <w:t>należne są odsetki proste według stopy równej stopie procentowej kredytu Europejskiego Banku Centralnego, obowiązującej w tym okresie, powiększonej o trzy punkty procentowe;</w:t>
      </w:r>
    </w:p>
    <w:p w14:paraId="35D1A570" w14:textId="77777777" w:rsidR="00EE4B82" w:rsidRPr="003D74F3" w:rsidRDefault="00EE4B82" w:rsidP="00ED40FA">
      <w:pPr>
        <w:pStyle w:val="JuList"/>
        <w:rPr>
          <w:lang w:val="pl-PL"/>
        </w:rPr>
      </w:pPr>
    </w:p>
    <w:p w14:paraId="46C49001" w14:textId="77777777" w:rsidR="00EE4B82" w:rsidRPr="003D74F3" w:rsidRDefault="00EE4B82" w:rsidP="00ED40FA">
      <w:pPr>
        <w:pStyle w:val="JuList"/>
        <w:rPr>
          <w:lang w:val="pl-PL"/>
        </w:rPr>
      </w:pPr>
      <w:r w:rsidRPr="003D74F3">
        <w:rPr>
          <w:lang w:val="pl-PL"/>
        </w:rPr>
        <w:t>8.</w:t>
      </w:r>
      <w:r w:rsidR="009F3BFE">
        <w:rPr>
          <w:lang w:val="pl-PL"/>
        </w:rPr>
        <w:t xml:space="preserve"> </w:t>
      </w:r>
      <w:r w:rsidRPr="003D74F3">
        <w:rPr>
          <w:i/>
          <w:iCs/>
          <w:lang w:val="pl-PL"/>
        </w:rPr>
        <w:t>Oddala</w:t>
      </w:r>
      <w:r w:rsidRPr="003D74F3">
        <w:rPr>
          <w:lang w:val="pl-PL"/>
        </w:rPr>
        <w:t xml:space="preserve"> żądanie słusznego zadośćuczynienia w pozostałym zakresie.</w:t>
      </w:r>
    </w:p>
    <w:p w14:paraId="7DD559CA" w14:textId="571DE05E" w:rsidR="00EE4B82" w:rsidRPr="003D74F3" w:rsidRDefault="00EE4B82" w:rsidP="00ED40FA">
      <w:pPr>
        <w:pStyle w:val="JuParaLast"/>
        <w:keepNext w:val="0"/>
        <w:keepLines w:val="0"/>
        <w:rPr>
          <w:lang w:val="pl-PL"/>
        </w:rPr>
      </w:pPr>
      <w:r w:rsidRPr="003D74F3">
        <w:rPr>
          <w:lang w:val="pl-PL"/>
        </w:rPr>
        <w:t xml:space="preserve">Sporządzono w języku francuskim i </w:t>
      </w:r>
      <w:r w:rsidR="00BB2167">
        <w:rPr>
          <w:lang w:val="pl-PL"/>
        </w:rPr>
        <w:t>obwieszczono</w:t>
      </w:r>
      <w:r w:rsidRPr="003D74F3">
        <w:rPr>
          <w:lang w:val="pl-PL"/>
        </w:rPr>
        <w:t xml:space="preserve"> w formie pisemnej w</w:t>
      </w:r>
      <w:r w:rsidR="00F13BAC">
        <w:rPr>
          <w:lang w:val="pl-PL"/>
        </w:rPr>
        <w:t> </w:t>
      </w:r>
      <w:r w:rsidRPr="003D74F3">
        <w:rPr>
          <w:lang w:val="pl-PL"/>
        </w:rPr>
        <w:t>dniu 24 stycznia 2019 r., zgodnie z Regułą 77 §§ 2 i 3 Regulaminu Trybunału.</w:t>
      </w:r>
    </w:p>
    <w:p w14:paraId="7CE29C01" w14:textId="77777777" w:rsidR="00EE4B82" w:rsidRPr="003D74F3" w:rsidRDefault="00EE4B82" w:rsidP="00ED40FA">
      <w:pPr>
        <w:pStyle w:val="JuSigned"/>
        <w:tabs>
          <w:tab w:val="clear" w:pos="6407"/>
          <w:tab w:val="center" w:pos="6096"/>
        </w:tabs>
        <w:rPr>
          <w:lang w:val="pl-PL"/>
        </w:rPr>
      </w:pPr>
      <w:r w:rsidRPr="003D74F3">
        <w:rPr>
          <w:lang w:val="pl-PL"/>
        </w:rPr>
        <w:tab/>
        <w:t>Renata Degener</w:t>
      </w:r>
      <w:r w:rsidRPr="003D74F3">
        <w:rPr>
          <w:lang w:val="pl-PL"/>
        </w:rPr>
        <w:tab/>
        <w:t>Linos-Alexandre Sicilianos</w:t>
      </w:r>
      <w:r w:rsidRPr="003D74F3">
        <w:rPr>
          <w:lang w:val="pl-PL"/>
        </w:rPr>
        <w:br/>
      </w:r>
      <w:r w:rsidRPr="003D74F3">
        <w:rPr>
          <w:lang w:val="pl-PL"/>
        </w:rPr>
        <w:tab/>
        <w:t>Zastępca Kanclerza</w:t>
      </w:r>
      <w:r w:rsidRPr="003D74F3">
        <w:rPr>
          <w:lang w:val="pl-PL"/>
        </w:rPr>
        <w:tab/>
        <w:t>Przewodniczący</w:t>
      </w:r>
    </w:p>
    <w:p w14:paraId="1C87DBDC" w14:textId="77777777" w:rsidR="00EE4B82" w:rsidRPr="003D74F3" w:rsidRDefault="00EE4B82" w:rsidP="00ED40FA">
      <w:pPr>
        <w:jc w:val="left"/>
        <w:rPr>
          <w:lang w:val="pl-PL"/>
        </w:rPr>
        <w:sectPr w:rsidR="00EE4B82" w:rsidRPr="003D74F3" w:rsidSect="00BF3784">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08" w:gutter="0"/>
          <w:pgNumType w:start="1"/>
          <w:cols w:space="708"/>
          <w:noEndnote/>
        </w:sectPr>
      </w:pPr>
    </w:p>
    <w:p w14:paraId="230A4663" w14:textId="77777777" w:rsidR="00EE4B82" w:rsidRPr="003D74F3" w:rsidRDefault="00EE4B82" w:rsidP="000D487F">
      <w:pPr>
        <w:pStyle w:val="JuTitle"/>
        <w:rPr>
          <w:lang w:val="pl-PL"/>
        </w:rPr>
      </w:pPr>
      <w:r w:rsidRPr="003D74F3">
        <w:rPr>
          <w:lang w:val="pl-PL"/>
        </w:rPr>
        <w:lastRenderedPageBreak/>
        <w:t>Z A Ł Ą CZ N I K</w:t>
      </w:r>
    </w:p>
    <w:p w14:paraId="5C3B1808" w14:textId="77777777" w:rsidR="00EE4B82" w:rsidRPr="003D74F3" w:rsidRDefault="00EE4B82" w:rsidP="000D487F">
      <w:pPr>
        <w:pStyle w:val="ECHRPara"/>
        <w:ind w:left="2160" w:firstLine="720"/>
        <w:rPr>
          <w:i/>
          <w:iCs/>
          <w:lang w:val="pl-PL"/>
        </w:rPr>
      </w:pPr>
      <w:r w:rsidRPr="003D74F3">
        <w:rPr>
          <w:i/>
          <w:iCs/>
          <w:lang w:val="pl-PL"/>
        </w:rPr>
        <w:t>[pominięto]</w:t>
      </w:r>
      <w:bookmarkEnd w:id="0"/>
    </w:p>
    <w:sectPr w:rsidR="00EE4B82" w:rsidRPr="003D74F3" w:rsidSect="001D00ED">
      <w:footnotePr>
        <w:numRestart w:val="eachSect"/>
      </w:footnotePr>
      <w:pgSz w:w="11906" w:h="16838" w:code="9"/>
      <w:pgMar w:top="2274" w:right="2274" w:bottom="2274" w:left="2274" w:header="1701"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70EF3" w14:textId="77777777" w:rsidR="00BA5054" w:rsidRPr="001D19C3" w:rsidRDefault="00BA5054" w:rsidP="002D2C99">
      <w:r>
        <w:separator/>
      </w:r>
    </w:p>
  </w:endnote>
  <w:endnote w:type="continuationSeparator" w:id="0">
    <w:p w14:paraId="14511F99" w14:textId="77777777" w:rsidR="00BA5054" w:rsidRPr="001D19C3" w:rsidRDefault="00BA5054" w:rsidP="002D2C99">
      <w:r>
        <w:continuationSeparator/>
      </w:r>
    </w:p>
  </w:endnote>
  <w:endnote w:type="continuationNotice" w:id="1">
    <w:p w14:paraId="3C74A2DA" w14:textId="77777777" w:rsidR="00BA5054" w:rsidRDefault="00BA5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EEBC9" w14:textId="77777777" w:rsidR="00C70FD8" w:rsidRDefault="00C70F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C5936" w14:textId="77777777" w:rsidR="00C70FD8" w:rsidRPr="00150BFA" w:rsidRDefault="00C70FD8" w:rsidP="0059426D">
    <w:pPr>
      <w:jc w:val="center"/>
    </w:pPr>
    <w:r>
      <w:rPr>
        <w:noProof/>
        <w:lang w:val="pl-PL" w:eastAsia="pl-PL"/>
      </w:rPr>
      <w:drawing>
        <wp:inline distT="0" distB="0" distL="0" distR="0">
          <wp:extent cx="762000" cy="616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6585"/>
                  </a:xfrm>
                  <a:prstGeom prst="rect">
                    <a:avLst/>
                  </a:prstGeom>
                  <a:noFill/>
                  <a:ln>
                    <a:noFill/>
                  </a:ln>
                </pic:spPr>
              </pic:pic>
            </a:graphicData>
          </a:graphic>
        </wp:inline>
      </w:drawing>
    </w:r>
  </w:p>
  <w:p w14:paraId="35A75AFD" w14:textId="77777777" w:rsidR="00C70FD8" w:rsidRPr="001D19C3" w:rsidRDefault="00C70FD8" w:rsidP="0059426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0BA86" w14:textId="77777777" w:rsidR="00C70FD8" w:rsidRDefault="00C70FD8">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4CE66" w14:textId="77777777" w:rsidR="00C70FD8" w:rsidRDefault="00C70FD8" w:rsidP="0059426D"/>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401D8" w14:textId="77777777" w:rsidR="00C70FD8" w:rsidRDefault="00C70FD8" w:rsidP="0059426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EA38E" w14:textId="77777777" w:rsidR="00BA5054" w:rsidRPr="001D19C3" w:rsidRDefault="00BA5054" w:rsidP="002D2C99">
      <w:r>
        <w:separator/>
      </w:r>
    </w:p>
  </w:footnote>
  <w:footnote w:type="continuationSeparator" w:id="0">
    <w:p w14:paraId="65782376" w14:textId="77777777" w:rsidR="00BA5054" w:rsidRPr="001D19C3" w:rsidRDefault="00BA5054" w:rsidP="002D2C99">
      <w:r>
        <w:continuationSeparator/>
      </w:r>
    </w:p>
  </w:footnote>
  <w:footnote w:type="continuationNotice" w:id="1">
    <w:p w14:paraId="7CBB7952" w14:textId="77777777" w:rsidR="00BA5054" w:rsidRDefault="00BA5054"/>
  </w:footnote>
  <w:footnote w:id="2">
    <w:p w14:paraId="6215E377" w14:textId="77777777" w:rsidR="00C70FD8" w:rsidRPr="00284309" w:rsidRDefault="00C70FD8" w:rsidP="00522C6E">
      <w:pPr>
        <w:pStyle w:val="s50c0b1c7"/>
        <w:jc w:val="both"/>
        <w:rPr>
          <w:lang w:val="pl-PL"/>
        </w:rPr>
      </w:pPr>
      <w:r w:rsidRPr="00DC153B">
        <w:rPr>
          <w:rStyle w:val="Odwoanieprzypisudolnego"/>
          <w:sz w:val="20"/>
          <w:szCs w:val="20"/>
        </w:rPr>
        <w:footnoteRef/>
      </w:r>
      <w:r w:rsidRPr="00DC153B">
        <w:rPr>
          <w:sz w:val="20"/>
          <w:szCs w:val="20"/>
          <w:lang w:val="pl-PL"/>
        </w:rPr>
        <w:t xml:space="preserve"> Źródło: Nota informacyjna na temat orzecznictwa Trybunału nr 225, styczeń 2019 r. (</w:t>
      </w:r>
      <w:r w:rsidRPr="00DC153B">
        <w:rPr>
          <w:rStyle w:val="s3aeeab2"/>
          <w:i/>
          <w:iCs/>
          <w:sz w:val="20"/>
          <w:szCs w:val="20"/>
          <w:lang w:val="pl-PL"/>
        </w:rPr>
        <w:t>Information Note.</w:t>
      </w:r>
      <w:r w:rsidRPr="00DC153B">
        <w:rPr>
          <w:rStyle w:val="s3aeeab2"/>
          <w:sz w:val="20"/>
          <w:szCs w:val="20"/>
          <w:lang w:val="pl-PL"/>
        </w:rPr>
        <w:t xml:space="preserve"> </w:t>
      </w:r>
      <w:r w:rsidRPr="00DC153B">
        <w:rPr>
          <w:rStyle w:val="s3aeeab2"/>
          <w:i/>
          <w:iCs/>
          <w:sz w:val="20"/>
          <w:szCs w:val="20"/>
          <w:lang w:val="pl-PL"/>
        </w:rPr>
        <w:t xml:space="preserve">Case-law of the European Court of Human Rights No. 225, January 2019 / </w:t>
      </w:r>
      <w:r w:rsidRPr="00DC153B">
        <w:rPr>
          <w:rStyle w:val="sfbbfee58"/>
          <w:i/>
          <w:iCs/>
          <w:sz w:val="20"/>
          <w:szCs w:val="20"/>
          <w:lang w:val="pl-PL"/>
        </w:rPr>
        <w:t xml:space="preserve">Nota informacyjna o orzecznictwie Trybunału 225 / </w:t>
      </w:r>
      <w:r w:rsidRPr="00DC153B">
        <w:rPr>
          <w:i/>
          <w:iCs/>
          <w:sz w:val="20"/>
          <w:szCs w:val="20"/>
          <w:lang w:val="pl-PL"/>
        </w:rPr>
        <w:t>styczeń</w:t>
      </w:r>
      <w:r w:rsidRPr="00DC153B">
        <w:rPr>
          <w:rStyle w:val="sfbbfee58"/>
          <w:i/>
          <w:iCs/>
          <w:sz w:val="20"/>
          <w:szCs w:val="20"/>
          <w:lang w:val="pl-PL"/>
        </w:rPr>
        <w:t xml:space="preserve"> 2019 r.</w:t>
      </w:r>
      <w:r w:rsidRPr="00DC153B">
        <w:rPr>
          <w:rStyle w:val="s3aeeab2"/>
          <w:sz w:val="20"/>
          <w:szCs w:val="20"/>
          <w:lang w:val="pl-PL"/>
        </w:rPr>
        <w:t>)</w:t>
      </w:r>
    </w:p>
  </w:footnote>
  <w:footnote w:id="3">
    <w:p w14:paraId="7CC43008" w14:textId="30355CBB" w:rsidR="00C70FD8" w:rsidRPr="00284309" w:rsidRDefault="00C70FD8" w:rsidP="0059426D">
      <w:pPr>
        <w:pStyle w:val="Tekstprzypisudolnego"/>
        <w:rPr>
          <w:lang w:val="pl-PL"/>
        </w:rPr>
      </w:pPr>
      <w:r>
        <w:footnoteRef/>
      </w:r>
      <w:r w:rsidRPr="003D74F3">
        <w:rPr>
          <w:lang w:val="pl-PL"/>
        </w:rPr>
        <w:t>.</w:t>
      </w:r>
      <w:r>
        <w:rPr>
          <w:lang w:val="pl-PL"/>
        </w:rPr>
        <w:t xml:space="preserve"> </w:t>
      </w:r>
      <w:r w:rsidRPr="003D74F3">
        <w:rPr>
          <w:lang w:val="pl-PL"/>
        </w:rPr>
        <w:t>Mianowicie skarżący, którzy wnieśli skargę nr 54414/13 pod nr 23, 35, 43 i 45 oraz</w:t>
      </w:r>
      <w:r w:rsidR="00F13BAC">
        <w:rPr>
          <w:lang w:val="pl-PL"/>
        </w:rPr>
        <w:t> </w:t>
      </w:r>
      <w:r w:rsidRPr="003D74F3">
        <w:rPr>
          <w:lang w:val="pl-PL"/>
        </w:rPr>
        <w:t>skarżący, którzy wnieśli skargę nr 54264/15 pod nr 4, 9, 18, 24, 25, 34, 40, 41, 42, 56, 88, 107, 111, 113 i 128.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3A104" w14:textId="77777777" w:rsidR="00C70FD8" w:rsidRDefault="00C70F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E94CA" w14:textId="77777777" w:rsidR="00C70FD8" w:rsidRPr="00A45145" w:rsidRDefault="00C70FD8" w:rsidP="0059426D">
    <w:pPr>
      <w:jc w:val="center"/>
    </w:pPr>
    <w:r>
      <w:rPr>
        <w:noProof/>
        <w:lang w:val="pl-PL" w:eastAsia="pl-PL"/>
      </w:rPr>
      <w:drawing>
        <wp:inline distT="0" distB="0" distL="0" distR="0">
          <wp:extent cx="2964815"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815" cy="1219200"/>
                  </a:xfrm>
                  <a:prstGeom prst="rect">
                    <a:avLst/>
                  </a:prstGeom>
                  <a:noFill/>
                  <a:ln>
                    <a:noFill/>
                  </a:ln>
                </pic:spPr>
              </pic:pic>
            </a:graphicData>
          </a:graphic>
        </wp:inline>
      </w:drawing>
    </w:r>
  </w:p>
  <w:p w14:paraId="42DEEF5C" w14:textId="77777777" w:rsidR="00C70FD8" w:rsidRPr="001D19C3" w:rsidRDefault="00C70FD8" w:rsidP="00F5432B">
    <w:pP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A75A6" w14:textId="77777777" w:rsidR="00C70FD8" w:rsidRDefault="00C70FD8">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CCE6E7" w14:textId="0AEDD035" w:rsidR="00C70FD8" w:rsidRPr="003D74F3" w:rsidRDefault="00C70FD8" w:rsidP="00F5432B">
    <w:pPr>
      <w:pStyle w:val="ECHRHeader"/>
      <w:rPr>
        <w:lang w:val="pl-PL"/>
      </w:rPr>
    </w:pPr>
    <w:r w:rsidRPr="003D74F3">
      <w:rPr>
        <w:rStyle w:val="Numerstrony"/>
        <w:lang w:val="pl-PL"/>
      </w:rPr>
      <w:fldChar w:fldCharType="begin"/>
    </w:r>
    <w:r w:rsidRPr="003D74F3">
      <w:rPr>
        <w:rStyle w:val="Numerstrony"/>
        <w:lang w:val="pl-PL"/>
      </w:rPr>
      <w:instrText xml:space="preserve"> PAGE </w:instrText>
    </w:r>
    <w:r w:rsidRPr="003D74F3">
      <w:rPr>
        <w:rStyle w:val="Numerstrony"/>
        <w:lang w:val="pl-PL"/>
      </w:rPr>
      <w:fldChar w:fldCharType="separate"/>
    </w:r>
    <w:r w:rsidR="00BA5054">
      <w:rPr>
        <w:rStyle w:val="Numerstrony"/>
        <w:noProof/>
        <w:lang w:val="pl-PL"/>
      </w:rPr>
      <w:t>20</w:t>
    </w:r>
    <w:r w:rsidRPr="003D74F3">
      <w:rPr>
        <w:rStyle w:val="Numerstrony"/>
        <w:lang w:val="pl-PL"/>
      </w:rPr>
      <w:fldChar w:fldCharType="end"/>
    </w:r>
    <w:r w:rsidRPr="003D74F3">
      <w:rPr>
        <w:lang w:val="pl-PL"/>
      </w:rPr>
      <w:tab/>
      <w:t>W</w:t>
    </w:r>
    <w:r>
      <w:rPr>
        <w:lang w:val="pl-PL"/>
      </w:rPr>
      <w:t>YROK W SPRAWIE CORDELLA I INNI PRZECIWKO</w:t>
    </w:r>
    <w:r w:rsidRPr="003D74F3">
      <w:rPr>
        <w:lang w:val="pl-PL"/>
      </w:rPr>
      <w:t xml:space="preserve"> WŁOCHOM</w:t>
    </w:r>
  </w:p>
  <w:p w14:paraId="28C2E517" w14:textId="77777777" w:rsidR="00C70FD8" w:rsidRPr="003D74F3" w:rsidRDefault="00C70FD8">
    <w:pPr>
      <w:rPr>
        <w:lang w:val="pl-PL"/>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5F3DE" w14:textId="59543B16" w:rsidR="00C70FD8" w:rsidRPr="003D74F3" w:rsidRDefault="00C70FD8" w:rsidP="00420F04">
    <w:pPr>
      <w:pStyle w:val="ECHRHeader"/>
      <w:rPr>
        <w:lang w:val="pl-PL"/>
      </w:rPr>
    </w:pPr>
    <w:r>
      <w:tab/>
    </w:r>
    <w:r w:rsidRPr="003D74F3">
      <w:rPr>
        <w:lang w:val="pl-PL"/>
      </w:rPr>
      <w:t xml:space="preserve">WYROK W SPRAWIE CORDELLA I INNI </w:t>
    </w:r>
    <w:r>
      <w:rPr>
        <w:lang w:val="pl-PL"/>
      </w:rPr>
      <w:t>PRZECIWKO</w:t>
    </w:r>
    <w:r w:rsidRPr="003D74F3">
      <w:rPr>
        <w:lang w:val="pl-PL"/>
      </w:rPr>
      <w:t xml:space="preserve"> WŁOCHOM</w:t>
    </w:r>
    <w:r w:rsidRPr="003D74F3">
      <w:rPr>
        <w:lang w:val="pl-PL"/>
      </w:rPr>
      <w:tab/>
    </w:r>
    <w:r w:rsidRPr="003D74F3">
      <w:rPr>
        <w:rStyle w:val="Numerstrony"/>
        <w:lang w:val="pl-PL"/>
      </w:rPr>
      <w:fldChar w:fldCharType="begin"/>
    </w:r>
    <w:r w:rsidRPr="003D74F3">
      <w:rPr>
        <w:rStyle w:val="Numerstrony"/>
        <w:lang w:val="pl-PL"/>
      </w:rPr>
      <w:instrText xml:space="preserve"> PAGE </w:instrText>
    </w:r>
    <w:r w:rsidRPr="003D74F3">
      <w:rPr>
        <w:rStyle w:val="Numerstrony"/>
        <w:lang w:val="pl-PL"/>
      </w:rPr>
      <w:fldChar w:fldCharType="separate"/>
    </w:r>
    <w:r w:rsidR="00BA5054">
      <w:rPr>
        <w:rStyle w:val="Numerstrony"/>
        <w:noProof/>
        <w:lang w:val="pl-PL"/>
      </w:rPr>
      <w:t>21</w:t>
    </w:r>
    <w:r w:rsidRPr="003D74F3">
      <w:rPr>
        <w:rStyle w:val="Numerstrony"/>
        <w:lang w:val="pl-PL"/>
      </w:rPr>
      <w:fldChar w:fldCharType="end"/>
    </w:r>
  </w:p>
  <w:p w14:paraId="37694FFC" w14:textId="77777777" w:rsidR="00C70FD8" w:rsidRPr="003D74F3" w:rsidRDefault="00C70FD8">
    <w:pPr>
      <w:rPr>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A08B0C2"/>
    <w:lvl w:ilvl="0">
      <w:start w:val="1"/>
      <w:numFmt w:val="decimal"/>
      <w:pStyle w:val="JuAppQuestion"/>
      <w:lvlText w:val="%1."/>
      <w:lvlJc w:val="left"/>
      <w:pPr>
        <w:tabs>
          <w:tab w:val="num" w:pos="1492"/>
        </w:tabs>
        <w:ind w:left="1492" w:hanging="360"/>
      </w:pPr>
    </w:lvl>
  </w:abstractNum>
  <w:abstractNum w:abstractNumId="1" w15:restartNumberingAfterBreak="0">
    <w:nsid w:val="FFFFFF7D"/>
    <w:multiLevelType w:val="singleLevel"/>
    <w:tmpl w:val="3CF25AF4"/>
    <w:lvl w:ilvl="0">
      <w:start w:val="1"/>
      <w:numFmt w:val="decimal"/>
      <w:pStyle w:val="Listanumerowana5"/>
      <w:lvlText w:val="%1."/>
      <w:lvlJc w:val="left"/>
      <w:pPr>
        <w:tabs>
          <w:tab w:val="num" w:pos="1209"/>
        </w:tabs>
        <w:ind w:left="1209" w:hanging="360"/>
      </w:pPr>
    </w:lvl>
  </w:abstractNum>
  <w:abstractNum w:abstractNumId="2" w15:restartNumberingAfterBreak="0">
    <w:nsid w:val="FFFFFF7E"/>
    <w:multiLevelType w:val="singleLevel"/>
    <w:tmpl w:val="5B02EDC2"/>
    <w:lvl w:ilvl="0">
      <w:start w:val="1"/>
      <w:numFmt w:val="decimal"/>
      <w:pStyle w:val="Listanumerowana4"/>
      <w:lvlText w:val="%1."/>
      <w:lvlJc w:val="left"/>
      <w:pPr>
        <w:tabs>
          <w:tab w:val="num" w:pos="926"/>
        </w:tabs>
        <w:ind w:left="926" w:hanging="360"/>
      </w:pPr>
    </w:lvl>
  </w:abstractNum>
  <w:abstractNum w:abstractNumId="3" w15:restartNumberingAfterBreak="0">
    <w:nsid w:val="FFFFFF7F"/>
    <w:multiLevelType w:val="singleLevel"/>
    <w:tmpl w:val="C1E60D70"/>
    <w:lvl w:ilvl="0">
      <w:start w:val="1"/>
      <w:numFmt w:val="decimal"/>
      <w:pStyle w:val="Listanumerowana3"/>
      <w:lvlText w:val="%1."/>
      <w:lvlJc w:val="left"/>
      <w:pPr>
        <w:tabs>
          <w:tab w:val="num" w:pos="643"/>
        </w:tabs>
        <w:ind w:left="643" w:hanging="360"/>
      </w:pPr>
    </w:lvl>
  </w:abstractNum>
  <w:abstractNum w:abstractNumId="4" w15:restartNumberingAfterBreak="0">
    <w:nsid w:val="FFFFFF80"/>
    <w:multiLevelType w:val="singleLevel"/>
    <w:tmpl w:val="D2AA4F54"/>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99E2214A"/>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0DDCF244"/>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1804BE7E"/>
    <w:lvl w:ilvl="0">
      <w:start w:val="1"/>
      <w:numFmt w:val="bullet"/>
      <w:pStyle w:val="Listapunktowana"/>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02A84908"/>
    <w:lvl w:ilvl="0">
      <w:start w:val="1"/>
      <w:numFmt w:val="decimal"/>
      <w:pStyle w:val="Listanumerowana2"/>
      <w:lvlText w:val="%1."/>
      <w:lvlJc w:val="left"/>
      <w:pPr>
        <w:tabs>
          <w:tab w:val="num" w:pos="360"/>
        </w:tabs>
        <w:ind w:left="360" w:hanging="360"/>
      </w:pPr>
    </w:lvl>
  </w:abstractNum>
  <w:abstractNum w:abstractNumId="9" w15:restartNumberingAfterBreak="0">
    <w:nsid w:val="FFFFFF89"/>
    <w:multiLevelType w:val="singleLevel"/>
    <w:tmpl w:val="88CC5F40"/>
    <w:lvl w:ilvl="0">
      <w:start w:val="1"/>
      <w:numFmt w:val="bullet"/>
      <w:pStyle w:val="Listapunktowana3"/>
      <w:lvlText w:val=""/>
      <w:lvlJc w:val="left"/>
      <w:pPr>
        <w:tabs>
          <w:tab w:val="num" w:pos="360"/>
        </w:tabs>
        <w:ind w:left="360" w:hanging="360"/>
      </w:pPr>
      <w:rPr>
        <w:rFonts w:ascii="Symbol" w:hAnsi="Symbol" w:cs="Symbol" w:hint="default"/>
      </w:rPr>
    </w:lvl>
  </w:abstractNum>
  <w:abstractNum w:abstractNumId="10" w15:restartNumberingAfterBreak="0">
    <w:nsid w:val="17363396"/>
    <w:multiLevelType w:val="multilevel"/>
    <w:tmpl w:val="040C0023"/>
    <w:styleLink w:val="Artykusekcja"/>
    <w:lvl w:ilvl="0">
      <w:start w:val="1"/>
      <w:numFmt w:val="upperRoman"/>
      <w:lvlText w:val="Artykuł %1."/>
      <w:lvlJc w:val="left"/>
    </w:lvl>
    <w:lvl w:ilvl="1">
      <w:start w:val="1"/>
      <w:numFmt w:val="decimalZero"/>
      <w:isLgl/>
      <w:lvlText w:val="Sekcja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B4233A6"/>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0152ADB"/>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9"/>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1"/>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removePersonalInformation/>
  <w:removeDateAndTime/>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LW_DocType" w:val="NORMAL"/>
    <w:docVar w:name="NBEMMDOC" w:val="0"/>
  </w:docVars>
  <w:rsids>
    <w:rsidRoot w:val="006D481B"/>
    <w:rsid w:val="000041F8"/>
    <w:rsid w:val="000042A8"/>
    <w:rsid w:val="00004308"/>
    <w:rsid w:val="00005BF0"/>
    <w:rsid w:val="00007154"/>
    <w:rsid w:val="000103AE"/>
    <w:rsid w:val="0001181B"/>
    <w:rsid w:val="00011D69"/>
    <w:rsid w:val="00012AD3"/>
    <w:rsid w:val="00015C2D"/>
    <w:rsid w:val="00015F00"/>
    <w:rsid w:val="00022C1D"/>
    <w:rsid w:val="00032401"/>
    <w:rsid w:val="00034987"/>
    <w:rsid w:val="000602DF"/>
    <w:rsid w:val="0006124F"/>
    <w:rsid w:val="00061B05"/>
    <w:rsid w:val="000632D5"/>
    <w:rsid w:val="000644EE"/>
    <w:rsid w:val="000674B1"/>
    <w:rsid w:val="000832E5"/>
    <w:rsid w:val="00087652"/>
    <w:rsid w:val="000925AD"/>
    <w:rsid w:val="000A001A"/>
    <w:rsid w:val="000A24EB"/>
    <w:rsid w:val="000B6923"/>
    <w:rsid w:val="000C0483"/>
    <w:rsid w:val="000C5F3C"/>
    <w:rsid w:val="000C6DCC"/>
    <w:rsid w:val="000D47AA"/>
    <w:rsid w:val="000D487F"/>
    <w:rsid w:val="000D640E"/>
    <w:rsid w:val="000D721F"/>
    <w:rsid w:val="000E069B"/>
    <w:rsid w:val="000E0E82"/>
    <w:rsid w:val="000E1DC5"/>
    <w:rsid w:val="000E223F"/>
    <w:rsid w:val="000E7D45"/>
    <w:rsid w:val="000F5665"/>
    <w:rsid w:val="000F7851"/>
    <w:rsid w:val="00101FBA"/>
    <w:rsid w:val="00102BFC"/>
    <w:rsid w:val="00104E23"/>
    <w:rsid w:val="00111B0C"/>
    <w:rsid w:val="001133E7"/>
    <w:rsid w:val="0011461C"/>
    <w:rsid w:val="00116D56"/>
    <w:rsid w:val="00120D6C"/>
    <w:rsid w:val="001257EC"/>
    <w:rsid w:val="00127B42"/>
    <w:rsid w:val="00133D33"/>
    <w:rsid w:val="00134C96"/>
    <w:rsid w:val="00134D64"/>
    <w:rsid w:val="00135A30"/>
    <w:rsid w:val="0013612C"/>
    <w:rsid w:val="00137FF6"/>
    <w:rsid w:val="0014054A"/>
    <w:rsid w:val="00141650"/>
    <w:rsid w:val="00150BFA"/>
    <w:rsid w:val="00162A12"/>
    <w:rsid w:val="00166530"/>
    <w:rsid w:val="001832BD"/>
    <w:rsid w:val="00190051"/>
    <w:rsid w:val="001943B5"/>
    <w:rsid w:val="00195134"/>
    <w:rsid w:val="001A145B"/>
    <w:rsid w:val="001A674C"/>
    <w:rsid w:val="001B3B24"/>
    <w:rsid w:val="001C0F98"/>
    <w:rsid w:val="001C2A42"/>
    <w:rsid w:val="001D00ED"/>
    <w:rsid w:val="001D19C3"/>
    <w:rsid w:val="001D63ED"/>
    <w:rsid w:val="001D7348"/>
    <w:rsid w:val="001E035B"/>
    <w:rsid w:val="001E0961"/>
    <w:rsid w:val="001E3EAE"/>
    <w:rsid w:val="001E6F32"/>
    <w:rsid w:val="001F2145"/>
    <w:rsid w:val="001F6262"/>
    <w:rsid w:val="001F67B0"/>
    <w:rsid w:val="001F7B3D"/>
    <w:rsid w:val="002001EB"/>
    <w:rsid w:val="00203BC8"/>
    <w:rsid w:val="00205F9F"/>
    <w:rsid w:val="00210338"/>
    <w:rsid w:val="002115FC"/>
    <w:rsid w:val="0021423C"/>
    <w:rsid w:val="002258CD"/>
    <w:rsid w:val="00226DCF"/>
    <w:rsid w:val="00230D00"/>
    <w:rsid w:val="00231DF7"/>
    <w:rsid w:val="00231FD1"/>
    <w:rsid w:val="002339E0"/>
    <w:rsid w:val="00233CF8"/>
    <w:rsid w:val="0023575D"/>
    <w:rsid w:val="00237148"/>
    <w:rsid w:val="002402BC"/>
    <w:rsid w:val="00240EC8"/>
    <w:rsid w:val="0024222D"/>
    <w:rsid w:val="00244B0E"/>
    <w:rsid w:val="00244F6C"/>
    <w:rsid w:val="002532C5"/>
    <w:rsid w:val="002574AA"/>
    <w:rsid w:val="00260C03"/>
    <w:rsid w:val="0026540E"/>
    <w:rsid w:val="0027156B"/>
    <w:rsid w:val="00271CD3"/>
    <w:rsid w:val="00275123"/>
    <w:rsid w:val="00276EC6"/>
    <w:rsid w:val="00276F4E"/>
    <w:rsid w:val="00277E53"/>
    <w:rsid w:val="00282240"/>
    <w:rsid w:val="00284309"/>
    <w:rsid w:val="002948AD"/>
    <w:rsid w:val="002A01CC"/>
    <w:rsid w:val="002A2912"/>
    <w:rsid w:val="002A3176"/>
    <w:rsid w:val="002A61B1"/>
    <w:rsid w:val="002A663C"/>
    <w:rsid w:val="002B0AD2"/>
    <w:rsid w:val="002B444B"/>
    <w:rsid w:val="002B5887"/>
    <w:rsid w:val="002C0E27"/>
    <w:rsid w:val="002C3040"/>
    <w:rsid w:val="002D022D"/>
    <w:rsid w:val="002D1FBF"/>
    <w:rsid w:val="002D24BB"/>
    <w:rsid w:val="002D2C99"/>
    <w:rsid w:val="002F2AF7"/>
    <w:rsid w:val="002F7E1C"/>
    <w:rsid w:val="00301A75"/>
    <w:rsid w:val="003020FD"/>
    <w:rsid w:val="00302F70"/>
    <w:rsid w:val="0030336F"/>
    <w:rsid w:val="0030375E"/>
    <w:rsid w:val="00312A30"/>
    <w:rsid w:val="00320F72"/>
    <w:rsid w:val="00322474"/>
    <w:rsid w:val="00324351"/>
    <w:rsid w:val="0032463E"/>
    <w:rsid w:val="00326224"/>
    <w:rsid w:val="00335EDC"/>
    <w:rsid w:val="00336456"/>
    <w:rsid w:val="00337EE4"/>
    <w:rsid w:val="00340FFD"/>
    <w:rsid w:val="00344E0B"/>
    <w:rsid w:val="003506B1"/>
    <w:rsid w:val="00351F4F"/>
    <w:rsid w:val="00356AC7"/>
    <w:rsid w:val="003609FA"/>
    <w:rsid w:val="003710C8"/>
    <w:rsid w:val="00373AF1"/>
    <w:rsid w:val="00374DB1"/>
    <w:rsid w:val="003750BE"/>
    <w:rsid w:val="003809BA"/>
    <w:rsid w:val="00387B9D"/>
    <w:rsid w:val="00387C04"/>
    <w:rsid w:val="0039364F"/>
    <w:rsid w:val="00396686"/>
    <w:rsid w:val="0039778E"/>
    <w:rsid w:val="003B4941"/>
    <w:rsid w:val="003B662A"/>
    <w:rsid w:val="003B735F"/>
    <w:rsid w:val="003C49C9"/>
    <w:rsid w:val="003C5714"/>
    <w:rsid w:val="003C6B9F"/>
    <w:rsid w:val="003C6E2A"/>
    <w:rsid w:val="003D0299"/>
    <w:rsid w:val="003D74F3"/>
    <w:rsid w:val="003E1EFF"/>
    <w:rsid w:val="003E6D80"/>
    <w:rsid w:val="003F05FA"/>
    <w:rsid w:val="003F244A"/>
    <w:rsid w:val="003F30B8"/>
    <w:rsid w:val="003F4C45"/>
    <w:rsid w:val="003F5F7B"/>
    <w:rsid w:val="003F69F5"/>
    <w:rsid w:val="003F7D64"/>
    <w:rsid w:val="00414300"/>
    <w:rsid w:val="00417B22"/>
    <w:rsid w:val="00420F04"/>
    <w:rsid w:val="00425C67"/>
    <w:rsid w:val="00427E7A"/>
    <w:rsid w:val="00436C49"/>
    <w:rsid w:val="00445366"/>
    <w:rsid w:val="00447434"/>
    <w:rsid w:val="00447F5B"/>
    <w:rsid w:val="00454265"/>
    <w:rsid w:val="00461DB0"/>
    <w:rsid w:val="00463926"/>
    <w:rsid w:val="00464C9A"/>
    <w:rsid w:val="00465296"/>
    <w:rsid w:val="00474565"/>
    <w:rsid w:val="00474F3D"/>
    <w:rsid w:val="00477E3A"/>
    <w:rsid w:val="00483E5F"/>
    <w:rsid w:val="00485FF9"/>
    <w:rsid w:val="004907F0"/>
    <w:rsid w:val="0049140B"/>
    <w:rsid w:val="004923A5"/>
    <w:rsid w:val="00496BFB"/>
    <w:rsid w:val="004A15C7"/>
    <w:rsid w:val="004A4DC4"/>
    <w:rsid w:val="004B013B"/>
    <w:rsid w:val="004B112B"/>
    <w:rsid w:val="004C01E4"/>
    <w:rsid w:val="004C086C"/>
    <w:rsid w:val="004C1F56"/>
    <w:rsid w:val="004C27BC"/>
    <w:rsid w:val="004C5484"/>
    <w:rsid w:val="004C6E36"/>
    <w:rsid w:val="004D15F3"/>
    <w:rsid w:val="004D5311"/>
    <w:rsid w:val="004D5DCC"/>
    <w:rsid w:val="004E1A99"/>
    <w:rsid w:val="004E6011"/>
    <w:rsid w:val="004E7B4F"/>
    <w:rsid w:val="004F10AF"/>
    <w:rsid w:val="004F11A4"/>
    <w:rsid w:val="004F2389"/>
    <w:rsid w:val="004F304D"/>
    <w:rsid w:val="004F30AD"/>
    <w:rsid w:val="004F61BE"/>
    <w:rsid w:val="004F66B1"/>
    <w:rsid w:val="00511313"/>
    <w:rsid w:val="00511C07"/>
    <w:rsid w:val="00512DEF"/>
    <w:rsid w:val="005173A6"/>
    <w:rsid w:val="00520BAA"/>
    <w:rsid w:val="00522C6E"/>
    <w:rsid w:val="005236D5"/>
    <w:rsid w:val="00525208"/>
    <w:rsid w:val="005257A5"/>
    <w:rsid w:val="005264C0"/>
    <w:rsid w:val="00526A8A"/>
    <w:rsid w:val="00527601"/>
    <w:rsid w:val="00531DF2"/>
    <w:rsid w:val="005442EE"/>
    <w:rsid w:val="00547353"/>
    <w:rsid w:val="005474E7"/>
    <w:rsid w:val="005512A3"/>
    <w:rsid w:val="00551C6F"/>
    <w:rsid w:val="005532A4"/>
    <w:rsid w:val="005578CE"/>
    <w:rsid w:val="00560898"/>
    <w:rsid w:val="00562781"/>
    <w:rsid w:val="00567D45"/>
    <w:rsid w:val="00567FF0"/>
    <w:rsid w:val="0057271C"/>
    <w:rsid w:val="00572845"/>
    <w:rsid w:val="0057549A"/>
    <w:rsid w:val="00592772"/>
    <w:rsid w:val="0059426D"/>
    <w:rsid w:val="005954D7"/>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5F661F"/>
    <w:rsid w:val="0061103A"/>
    <w:rsid w:val="00611C80"/>
    <w:rsid w:val="00620692"/>
    <w:rsid w:val="00620F60"/>
    <w:rsid w:val="0062235B"/>
    <w:rsid w:val="006238C3"/>
    <w:rsid w:val="006242CA"/>
    <w:rsid w:val="00627507"/>
    <w:rsid w:val="00633717"/>
    <w:rsid w:val="006344E1"/>
    <w:rsid w:val="00650998"/>
    <w:rsid w:val="006545C4"/>
    <w:rsid w:val="0065798D"/>
    <w:rsid w:val="00661971"/>
    <w:rsid w:val="00661CE8"/>
    <w:rsid w:val="006623D9"/>
    <w:rsid w:val="0066550C"/>
    <w:rsid w:val="006716F2"/>
    <w:rsid w:val="00682BF2"/>
    <w:rsid w:val="006859CE"/>
    <w:rsid w:val="00691270"/>
    <w:rsid w:val="00692651"/>
    <w:rsid w:val="00694BA8"/>
    <w:rsid w:val="006A037C"/>
    <w:rsid w:val="006A36F4"/>
    <w:rsid w:val="006A406F"/>
    <w:rsid w:val="006A5D3A"/>
    <w:rsid w:val="006B4278"/>
    <w:rsid w:val="006B510A"/>
    <w:rsid w:val="006B5704"/>
    <w:rsid w:val="006C135D"/>
    <w:rsid w:val="006C181B"/>
    <w:rsid w:val="006C23D4"/>
    <w:rsid w:val="006C7BB0"/>
    <w:rsid w:val="006D1BC3"/>
    <w:rsid w:val="006D3237"/>
    <w:rsid w:val="006D481B"/>
    <w:rsid w:val="006E108A"/>
    <w:rsid w:val="006E2E37"/>
    <w:rsid w:val="006E3CF1"/>
    <w:rsid w:val="006E44F7"/>
    <w:rsid w:val="006E7E80"/>
    <w:rsid w:val="006F48CA"/>
    <w:rsid w:val="006F64DD"/>
    <w:rsid w:val="00714878"/>
    <w:rsid w:val="00715127"/>
    <w:rsid w:val="00715E8E"/>
    <w:rsid w:val="00723580"/>
    <w:rsid w:val="00723755"/>
    <w:rsid w:val="0073136C"/>
    <w:rsid w:val="00731F0F"/>
    <w:rsid w:val="00733250"/>
    <w:rsid w:val="00740225"/>
    <w:rsid w:val="00741404"/>
    <w:rsid w:val="007449E5"/>
    <w:rsid w:val="00747FF0"/>
    <w:rsid w:val="007510AA"/>
    <w:rsid w:val="007537C7"/>
    <w:rsid w:val="00764D4E"/>
    <w:rsid w:val="00765A1F"/>
    <w:rsid w:val="00775B6D"/>
    <w:rsid w:val="00776D68"/>
    <w:rsid w:val="007850EE"/>
    <w:rsid w:val="00785B95"/>
    <w:rsid w:val="00790E96"/>
    <w:rsid w:val="00793366"/>
    <w:rsid w:val="007A48D0"/>
    <w:rsid w:val="007A5DA5"/>
    <w:rsid w:val="007A716F"/>
    <w:rsid w:val="007A7B75"/>
    <w:rsid w:val="007B270A"/>
    <w:rsid w:val="007B42D3"/>
    <w:rsid w:val="007B5F04"/>
    <w:rsid w:val="007C0695"/>
    <w:rsid w:val="007C419A"/>
    <w:rsid w:val="007C4CC8"/>
    <w:rsid w:val="007C5107"/>
    <w:rsid w:val="007C5426"/>
    <w:rsid w:val="007C5798"/>
    <w:rsid w:val="007D38BF"/>
    <w:rsid w:val="007D4832"/>
    <w:rsid w:val="007E21B2"/>
    <w:rsid w:val="007E2C4E"/>
    <w:rsid w:val="007F1905"/>
    <w:rsid w:val="007F40C3"/>
    <w:rsid w:val="007F4D60"/>
    <w:rsid w:val="00801300"/>
    <w:rsid w:val="00802C64"/>
    <w:rsid w:val="00805E52"/>
    <w:rsid w:val="008061D0"/>
    <w:rsid w:val="00810B38"/>
    <w:rsid w:val="00815DAE"/>
    <w:rsid w:val="008175BE"/>
    <w:rsid w:val="008204C7"/>
    <w:rsid w:val="00820992"/>
    <w:rsid w:val="00823602"/>
    <w:rsid w:val="008255F5"/>
    <w:rsid w:val="0083014E"/>
    <w:rsid w:val="0083062B"/>
    <w:rsid w:val="00831A90"/>
    <w:rsid w:val="0083214A"/>
    <w:rsid w:val="00834220"/>
    <w:rsid w:val="00834FCB"/>
    <w:rsid w:val="00845723"/>
    <w:rsid w:val="00851EF9"/>
    <w:rsid w:val="00853C12"/>
    <w:rsid w:val="008577FD"/>
    <w:rsid w:val="00860B03"/>
    <w:rsid w:val="00863C91"/>
    <w:rsid w:val="0086497A"/>
    <w:rsid w:val="008713A1"/>
    <w:rsid w:val="008754AB"/>
    <w:rsid w:val="008802A9"/>
    <w:rsid w:val="0088060C"/>
    <w:rsid w:val="00893576"/>
    <w:rsid w:val="00893E73"/>
    <w:rsid w:val="008B02DC"/>
    <w:rsid w:val="008B57CE"/>
    <w:rsid w:val="008C26DE"/>
    <w:rsid w:val="008D1EB6"/>
    <w:rsid w:val="008D2225"/>
    <w:rsid w:val="008D4752"/>
    <w:rsid w:val="008D56AB"/>
    <w:rsid w:val="008E271C"/>
    <w:rsid w:val="008E418E"/>
    <w:rsid w:val="008E5BC6"/>
    <w:rsid w:val="008E6A25"/>
    <w:rsid w:val="008E6EEF"/>
    <w:rsid w:val="008F5193"/>
    <w:rsid w:val="008F55F5"/>
    <w:rsid w:val="009013A7"/>
    <w:rsid w:val="009017FB"/>
    <w:rsid w:val="009017FC"/>
    <w:rsid w:val="0090506B"/>
    <w:rsid w:val="009050C9"/>
    <w:rsid w:val="009066FC"/>
    <w:rsid w:val="009076DD"/>
    <w:rsid w:val="009140A3"/>
    <w:rsid w:val="009144A2"/>
    <w:rsid w:val="0091510C"/>
    <w:rsid w:val="009258EE"/>
    <w:rsid w:val="009259AC"/>
    <w:rsid w:val="00926F38"/>
    <w:rsid w:val="00934301"/>
    <w:rsid w:val="00936CD1"/>
    <w:rsid w:val="00941747"/>
    <w:rsid w:val="00941EFB"/>
    <w:rsid w:val="00947AFB"/>
    <w:rsid w:val="00947F4E"/>
    <w:rsid w:val="00951D7D"/>
    <w:rsid w:val="009630C7"/>
    <w:rsid w:val="009639ED"/>
    <w:rsid w:val="00972B55"/>
    <w:rsid w:val="009743B7"/>
    <w:rsid w:val="0098228B"/>
    <w:rsid w:val="009828DA"/>
    <w:rsid w:val="00985BAB"/>
    <w:rsid w:val="00991053"/>
    <w:rsid w:val="009919CE"/>
    <w:rsid w:val="0099694B"/>
    <w:rsid w:val="009974F4"/>
    <w:rsid w:val="009B06BC"/>
    <w:rsid w:val="009B1B5F"/>
    <w:rsid w:val="009B1BF7"/>
    <w:rsid w:val="009B4FD3"/>
    <w:rsid w:val="009B6673"/>
    <w:rsid w:val="009C191B"/>
    <w:rsid w:val="009C2BD6"/>
    <w:rsid w:val="009C47CE"/>
    <w:rsid w:val="009C7BDE"/>
    <w:rsid w:val="009E1F32"/>
    <w:rsid w:val="009E776C"/>
    <w:rsid w:val="009F3BFE"/>
    <w:rsid w:val="009F65DC"/>
    <w:rsid w:val="00A059D8"/>
    <w:rsid w:val="00A1433F"/>
    <w:rsid w:val="00A1726E"/>
    <w:rsid w:val="00A204CF"/>
    <w:rsid w:val="00A23D49"/>
    <w:rsid w:val="00A242AC"/>
    <w:rsid w:val="00A27004"/>
    <w:rsid w:val="00A30C29"/>
    <w:rsid w:val="00A34DD6"/>
    <w:rsid w:val="00A36819"/>
    <w:rsid w:val="00A36989"/>
    <w:rsid w:val="00A43628"/>
    <w:rsid w:val="00A45145"/>
    <w:rsid w:val="00A54192"/>
    <w:rsid w:val="00A6035E"/>
    <w:rsid w:val="00A6144C"/>
    <w:rsid w:val="00A65E2A"/>
    <w:rsid w:val="00A66617"/>
    <w:rsid w:val="00A671F8"/>
    <w:rsid w:val="00A673A4"/>
    <w:rsid w:val="00A724AE"/>
    <w:rsid w:val="00A73329"/>
    <w:rsid w:val="00A7410D"/>
    <w:rsid w:val="00A75F0D"/>
    <w:rsid w:val="00A82359"/>
    <w:rsid w:val="00A865D2"/>
    <w:rsid w:val="00A91151"/>
    <w:rsid w:val="00A94C20"/>
    <w:rsid w:val="00A96514"/>
    <w:rsid w:val="00AA227F"/>
    <w:rsid w:val="00AA3BC7"/>
    <w:rsid w:val="00AA6A43"/>
    <w:rsid w:val="00AA754A"/>
    <w:rsid w:val="00AB099E"/>
    <w:rsid w:val="00AB0F9F"/>
    <w:rsid w:val="00AB4328"/>
    <w:rsid w:val="00AB795F"/>
    <w:rsid w:val="00AC3ABA"/>
    <w:rsid w:val="00AD4891"/>
    <w:rsid w:val="00AE0A2E"/>
    <w:rsid w:val="00AE1BC6"/>
    <w:rsid w:val="00AE354C"/>
    <w:rsid w:val="00AF4B07"/>
    <w:rsid w:val="00AF6186"/>
    <w:rsid w:val="00AF7A3A"/>
    <w:rsid w:val="00B05830"/>
    <w:rsid w:val="00B1292E"/>
    <w:rsid w:val="00B160DB"/>
    <w:rsid w:val="00B20836"/>
    <w:rsid w:val="00B235BB"/>
    <w:rsid w:val="00B27A44"/>
    <w:rsid w:val="00B30BBF"/>
    <w:rsid w:val="00B32EA1"/>
    <w:rsid w:val="00B33C03"/>
    <w:rsid w:val="00B34E46"/>
    <w:rsid w:val="00B3666B"/>
    <w:rsid w:val="00B41DB2"/>
    <w:rsid w:val="00B44E56"/>
    <w:rsid w:val="00B46543"/>
    <w:rsid w:val="00B47D33"/>
    <w:rsid w:val="00B52BE0"/>
    <w:rsid w:val="00B54133"/>
    <w:rsid w:val="00B6204E"/>
    <w:rsid w:val="00B701ED"/>
    <w:rsid w:val="00B8086C"/>
    <w:rsid w:val="00B861B4"/>
    <w:rsid w:val="00B86DFE"/>
    <w:rsid w:val="00B90990"/>
    <w:rsid w:val="00B922FF"/>
    <w:rsid w:val="00B9281E"/>
    <w:rsid w:val="00B93925"/>
    <w:rsid w:val="00B95187"/>
    <w:rsid w:val="00BA2D55"/>
    <w:rsid w:val="00BA5054"/>
    <w:rsid w:val="00BA71B1"/>
    <w:rsid w:val="00BB0637"/>
    <w:rsid w:val="00BB2167"/>
    <w:rsid w:val="00BB345F"/>
    <w:rsid w:val="00BB68EA"/>
    <w:rsid w:val="00BC1C27"/>
    <w:rsid w:val="00BC6BBF"/>
    <w:rsid w:val="00BD1572"/>
    <w:rsid w:val="00BE14E3"/>
    <w:rsid w:val="00BE2CB1"/>
    <w:rsid w:val="00BE3774"/>
    <w:rsid w:val="00BE41E5"/>
    <w:rsid w:val="00BE50F3"/>
    <w:rsid w:val="00BF3784"/>
    <w:rsid w:val="00BF4109"/>
    <w:rsid w:val="00BF4CC3"/>
    <w:rsid w:val="00C01450"/>
    <w:rsid w:val="00C054C7"/>
    <w:rsid w:val="00C057B5"/>
    <w:rsid w:val="00C0604D"/>
    <w:rsid w:val="00C07AB6"/>
    <w:rsid w:val="00C13DAC"/>
    <w:rsid w:val="00C149F6"/>
    <w:rsid w:val="00C22687"/>
    <w:rsid w:val="00C234B3"/>
    <w:rsid w:val="00C25A3E"/>
    <w:rsid w:val="00C32E4D"/>
    <w:rsid w:val="00C333A0"/>
    <w:rsid w:val="00C36408"/>
    <w:rsid w:val="00C36A81"/>
    <w:rsid w:val="00C41226"/>
    <w:rsid w:val="00C41974"/>
    <w:rsid w:val="00C41981"/>
    <w:rsid w:val="00C45D12"/>
    <w:rsid w:val="00C479EB"/>
    <w:rsid w:val="00C50837"/>
    <w:rsid w:val="00C535F5"/>
    <w:rsid w:val="00C53F4A"/>
    <w:rsid w:val="00C54125"/>
    <w:rsid w:val="00C54644"/>
    <w:rsid w:val="00C55B54"/>
    <w:rsid w:val="00C57A1D"/>
    <w:rsid w:val="00C6098E"/>
    <w:rsid w:val="00C60EDF"/>
    <w:rsid w:val="00C6152C"/>
    <w:rsid w:val="00C70FD8"/>
    <w:rsid w:val="00C74810"/>
    <w:rsid w:val="00C85F44"/>
    <w:rsid w:val="00C90D68"/>
    <w:rsid w:val="00C939FE"/>
    <w:rsid w:val="00CA3B04"/>
    <w:rsid w:val="00CA41B2"/>
    <w:rsid w:val="00CA4BDA"/>
    <w:rsid w:val="00CB1F66"/>
    <w:rsid w:val="00CB25E5"/>
    <w:rsid w:val="00CB2951"/>
    <w:rsid w:val="00CD282B"/>
    <w:rsid w:val="00CD4C35"/>
    <w:rsid w:val="00CD7369"/>
    <w:rsid w:val="00CD782E"/>
    <w:rsid w:val="00CE0B0E"/>
    <w:rsid w:val="00CE2E58"/>
    <w:rsid w:val="00CE36BD"/>
    <w:rsid w:val="00CE3831"/>
    <w:rsid w:val="00CE4A8C"/>
    <w:rsid w:val="00CF3FBD"/>
    <w:rsid w:val="00CF55EC"/>
    <w:rsid w:val="00D00163"/>
    <w:rsid w:val="00D00ABB"/>
    <w:rsid w:val="00D02EEC"/>
    <w:rsid w:val="00D03551"/>
    <w:rsid w:val="00D06A63"/>
    <w:rsid w:val="00D07E0E"/>
    <w:rsid w:val="00D11478"/>
    <w:rsid w:val="00D15ED0"/>
    <w:rsid w:val="00D20A92"/>
    <w:rsid w:val="00D21B3E"/>
    <w:rsid w:val="00D21FED"/>
    <w:rsid w:val="00D24251"/>
    <w:rsid w:val="00D33F8D"/>
    <w:rsid w:val="00D343E2"/>
    <w:rsid w:val="00D361A2"/>
    <w:rsid w:val="00D44C2E"/>
    <w:rsid w:val="00D45414"/>
    <w:rsid w:val="00D46DD6"/>
    <w:rsid w:val="00D47891"/>
    <w:rsid w:val="00D566BD"/>
    <w:rsid w:val="00D57A4D"/>
    <w:rsid w:val="00D60AA7"/>
    <w:rsid w:val="00D6435F"/>
    <w:rsid w:val="00D75E28"/>
    <w:rsid w:val="00D772C2"/>
    <w:rsid w:val="00D8008E"/>
    <w:rsid w:val="00D82C45"/>
    <w:rsid w:val="00D83BAA"/>
    <w:rsid w:val="00D859AE"/>
    <w:rsid w:val="00D90385"/>
    <w:rsid w:val="00D908A8"/>
    <w:rsid w:val="00D977B6"/>
    <w:rsid w:val="00DA4A31"/>
    <w:rsid w:val="00DA7B04"/>
    <w:rsid w:val="00DB36C2"/>
    <w:rsid w:val="00DC153B"/>
    <w:rsid w:val="00DC169B"/>
    <w:rsid w:val="00DC2AB9"/>
    <w:rsid w:val="00DC63F0"/>
    <w:rsid w:val="00DD6EE5"/>
    <w:rsid w:val="00DE2785"/>
    <w:rsid w:val="00DE386C"/>
    <w:rsid w:val="00DE4D35"/>
    <w:rsid w:val="00DE67CB"/>
    <w:rsid w:val="00DF098B"/>
    <w:rsid w:val="00DF11C4"/>
    <w:rsid w:val="00DF1FA0"/>
    <w:rsid w:val="00DF210C"/>
    <w:rsid w:val="00DF4B6A"/>
    <w:rsid w:val="00DF7A7A"/>
    <w:rsid w:val="00E02C09"/>
    <w:rsid w:val="00E04D59"/>
    <w:rsid w:val="00E07DA1"/>
    <w:rsid w:val="00E123CB"/>
    <w:rsid w:val="00E206E4"/>
    <w:rsid w:val="00E20E13"/>
    <w:rsid w:val="00E21DBC"/>
    <w:rsid w:val="00E275D7"/>
    <w:rsid w:val="00E27DBE"/>
    <w:rsid w:val="00E32AB1"/>
    <w:rsid w:val="00E36C71"/>
    <w:rsid w:val="00E37CB1"/>
    <w:rsid w:val="00E40404"/>
    <w:rsid w:val="00E459C6"/>
    <w:rsid w:val="00E47589"/>
    <w:rsid w:val="00E64915"/>
    <w:rsid w:val="00E661D4"/>
    <w:rsid w:val="00E70091"/>
    <w:rsid w:val="00E720F5"/>
    <w:rsid w:val="00E76D47"/>
    <w:rsid w:val="00E81E9B"/>
    <w:rsid w:val="00E849F7"/>
    <w:rsid w:val="00E85943"/>
    <w:rsid w:val="00E8621F"/>
    <w:rsid w:val="00E86849"/>
    <w:rsid w:val="00E90302"/>
    <w:rsid w:val="00E97396"/>
    <w:rsid w:val="00EA185E"/>
    <w:rsid w:val="00EA4BD7"/>
    <w:rsid w:val="00EA592A"/>
    <w:rsid w:val="00EB14E4"/>
    <w:rsid w:val="00EB280A"/>
    <w:rsid w:val="00EB32A5"/>
    <w:rsid w:val="00EB34ED"/>
    <w:rsid w:val="00EB7948"/>
    <w:rsid w:val="00EB7BE0"/>
    <w:rsid w:val="00EC315E"/>
    <w:rsid w:val="00EC69C0"/>
    <w:rsid w:val="00ED077C"/>
    <w:rsid w:val="00ED1190"/>
    <w:rsid w:val="00ED40FA"/>
    <w:rsid w:val="00ED6544"/>
    <w:rsid w:val="00EE0277"/>
    <w:rsid w:val="00EE3E00"/>
    <w:rsid w:val="00EE4B82"/>
    <w:rsid w:val="00EE5DD2"/>
    <w:rsid w:val="00EF7C04"/>
    <w:rsid w:val="00F00A79"/>
    <w:rsid w:val="00F00E86"/>
    <w:rsid w:val="00F07C1E"/>
    <w:rsid w:val="00F105DB"/>
    <w:rsid w:val="00F132BC"/>
    <w:rsid w:val="00F13BAC"/>
    <w:rsid w:val="00F13D80"/>
    <w:rsid w:val="00F16AAA"/>
    <w:rsid w:val="00F21161"/>
    <w:rsid w:val="00F218EF"/>
    <w:rsid w:val="00F21BC7"/>
    <w:rsid w:val="00F266A2"/>
    <w:rsid w:val="00F32269"/>
    <w:rsid w:val="00F54156"/>
    <w:rsid w:val="00F5432B"/>
    <w:rsid w:val="00F56A6F"/>
    <w:rsid w:val="00F5709C"/>
    <w:rsid w:val="00F60160"/>
    <w:rsid w:val="00F64EF1"/>
    <w:rsid w:val="00F72487"/>
    <w:rsid w:val="00F8765F"/>
    <w:rsid w:val="00F90767"/>
    <w:rsid w:val="00FA685B"/>
    <w:rsid w:val="00FB0C01"/>
    <w:rsid w:val="00FB2193"/>
    <w:rsid w:val="00FC18F2"/>
    <w:rsid w:val="00FC299F"/>
    <w:rsid w:val="00FC39E5"/>
    <w:rsid w:val="00FC3A78"/>
    <w:rsid w:val="00FD1005"/>
    <w:rsid w:val="00FD3FB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E67CB"/>
    <w:pPr>
      <w:jc w:val="both"/>
    </w:pPr>
    <w:rPr>
      <w:rFonts w:eastAsia="MS Mincho"/>
      <w:sz w:val="24"/>
      <w:szCs w:val="24"/>
      <w:lang w:val="en-GB" w:eastAsia="en-US"/>
    </w:rPr>
  </w:style>
  <w:style w:type="paragraph" w:styleId="Nagwek1">
    <w:name w:val="heading 1"/>
    <w:basedOn w:val="Normalny"/>
    <w:next w:val="Normalny"/>
    <w:link w:val="Nagwek1Znak"/>
    <w:uiPriority w:val="99"/>
    <w:qFormat/>
    <w:rsid w:val="00DE67CB"/>
    <w:pPr>
      <w:spacing w:before="480"/>
      <w:outlineLvl w:val="0"/>
    </w:pPr>
    <w:rPr>
      <w:rFonts w:eastAsia="MS Gothic"/>
      <w:b/>
      <w:bCs/>
      <w:color w:val="333333"/>
      <w:sz w:val="28"/>
      <w:szCs w:val="28"/>
    </w:rPr>
  </w:style>
  <w:style w:type="paragraph" w:styleId="Nagwek2">
    <w:name w:val="heading 2"/>
    <w:basedOn w:val="Normalny"/>
    <w:next w:val="Normalny"/>
    <w:link w:val="Nagwek2Znak"/>
    <w:uiPriority w:val="99"/>
    <w:qFormat/>
    <w:rsid w:val="00DE67CB"/>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qFormat/>
    <w:rsid w:val="00DE67CB"/>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qFormat/>
    <w:rsid w:val="00DE67CB"/>
    <w:pPr>
      <w:spacing w:before="200"/>
      <w:outlineLvl w:val="3"/>
    </w:pPr>
    <w:rPr>
      <w:rFonts w:eastAsia="MS Gothic"/>
      <w:b/>
      <w:bCs/>
      <w:i/>
      <w:iCs/>
      <w:color w:val="777777"/>
    </w:rPr>
  </w:style>
  <w:style w:type="paragraph" w:styleId="Nagwek5">
    <w:name w:val="heading 5"/>
    <w:basedOn w:val="Normalny"/>
    <w:next w:val="Normalny"/>
    <w:link w:val="Nagwek5Znak"/>
    <w:uiPriority w:val="99"/>
    <w:qFormat/>
    <w:rsid w:val="00DE67CB"/>
    <w:pPr>
      <w:spacing w:before="200"/>
      <w:outlineLvl w:val="4"/>
    </w:pPr>
    <w:rPr>
      <w:rFonts w:eastAsia="MS Gothic"/>
      <w:b/>
      <w:bCs/>
      <w:color w:val="808080"/>
      <w:sz w:val="22"/>
      <w:szCs w:val="22"/>
      <w:lang w:val="en-US"/>
    </w:rPr>
  </w:style>
  <w:style w:type="paragraph" w:styleId="Nagwek6">
    <w:name w:val="heading 6"/>
    <w:basedOn w:val="Normalny"/>
    <w:next w:val="Normalny"/>
    <w:link w:val="Nagwek6Znak"/>
    <w:uiPriority w:val="99"/>
    <w:qFormat/>
    <w:rsid w:val="00DE67CB"/>
    <w:pPr>
      <w:spacing w:line="271" w:lineRule="auto"/>
      <w:outlineLvl w:val="5"/>
    </w:pPr>
    <w:rPr>
      <w:rFonts w:eastAsia="MS Gothic"/>
      <w:b/>
      <w:bCs/>
      <w:i/>
      <w:iCs/>
      <w:color w:val="7F7F7F"/>
    </w:rPr>
  </w:style>
  <w:style w:type="paragraph" w:styleId="Nagwek7">
    <w:name w:val="heading 7"/>
    <w:basedOn w:val="Normalny"/>
    <w:next w:val="Normalny"/>
    <w:link w:val="Nagwek7Znak"/>
    <w:uiPriority w:val="99"/>
    <w:qFormat/>
    <w:rsid w:val="00DE67CB"/>
    <w:pPr>
      <w:outlineLvl w:val="6"/>
    </w:pPr>
    <w:rPr>
      <w:rFonts w:eastAsia="MS Gothic"/>
      <w:i/>
      <w:iCs/>
      <w:sz w:val="22"/>
      <w:szCs w:val="22"/>
      <w:lang w:val="en-US"/>
    </w:rPr>
  </w:style>
  <w:style w:type="paragraph" w:styleId="Nagwek8">
    <w:name w:val="heading 8"/>
    <w:basedOn w:val="Normalny"/>
    <w:next w:val="Normalny"/>
    <w:link w:val="Nagwek8Znak"/>
    <w:uiPriority w:val="99"/>
    <w:qFormat/>
    <w:rsid w:val="00DE67CB"/>
    <w:pPr>
      <w:outlineLvl w:val="7"/>
    </w:pPr>
    <w:rPr>
      <w:rFonts w:eastAsia="MS Gothic"/>
      <w:sz w:val="20"/>
      <w:szCs w:val="20"/>
      <w:lang w:val="en-US"/>
    </w:rPr>
  </w:style>
  <w:style w:type="paragraph" w:styleId="Nagwek9">
    <w:name w:val="heading 9"/>
    <w:basedOn w:val="Normalny"/>
    <w:next w:val="Normalny"/>
    <w:link w:val="Nagwek9Znak"/>
    <w:uiPriority w:val="99"/>
    <w:qFormat/>
    <w:rsid w:val="00DE67CB"/>
    <w:pPr>
      <w:outlineLvl w:val="8"/>
    </w:pPr>
    <w:rPr>
      <w:rFonts w:eastAsia="MS Gothic"/>
      <w:i/>
      <w:iCs/>
      <w:spacing w:val="5"/>
      <w:sz w:val="20"/>
      <w:szCs w:val="20"/>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DE67CB"/>
    <w:rPr>
      <w:rFonts w:ascii="Times New Roman" w:eastAsia="MS Gothic" w:hAnsi="Times New Roman" w:cs="Times New Roman"/>
      <w:b/>
      <w:bCs/>
      <w:color w:val="333333"/>
      <w:sz w:val="28"/>
      <w:szCs w:val="28"/>
      <w:lang w:val="en-GB"/>
    </w:rPr>
  </w:style>
  <w:style w:type="character" w:customStyle="1" w:styleId="Nagwek2Znak">
    <w:name w:val="Nagłówek 2 Znak"/>
    <w:basedOn w:val="Domylnaczcionkaakapitu"/>
    <w:link w:val="Nagwek2"/>
    <w:uiPriority w:val="99"/>
    <w:semiHidden/>
    <w:locked/>
    <w:rsid w:val="00DE67CB"/>
    <w:rPr>
      <w:rFonts w:ascii="Times New Roman" w:eastAsia="MS Gothic" w:hAnsi="Times New Roman" w:cs="Times New Roman"/>
      <w:b/>
      <w:bCs/>
      <w:color w:val="4D4D4D"/>
      <w:sz w:val="26"/>
      <w:szCs w:val="26"/>
      <w:lang w:val="en-GB"/>
    </w:rPr>
  </w:style>
  <w:style w:type="character" w:customStyle="1" w:styleId="Nagwek3Znak">
    <w:name w:val="Nagłówek 3 Znak"/>
    <w:basedOn w:val="Domylnaczcionkaakapitu"/>
    <w:link w:val="Nagwek3"/>
    <w:uiPriority w:val="99"/>
    <w:semiHidden/>
    <w:locked/>
    <w:rsid w:val="00DE67CB"/>
    <w:rPr>
      <w:rFonts w:ascii="Times New Roman" w:eastAsia="MS Gothic" w:hAnsi="Times New Roman" w:cs="Times New Roman"/>
      <w:b/>
      <w:bCs/>
      <w:color w:val="5F5F5F"/>
      <w:sz w:val="24"/>
      <w:szCs w:val="24"/>
      <w:lang w:val="en-GB"/>
    </w:rPr>
  </w:style>
  <w:style w:type="character" w:customStyle="1" w:styleId="Nagwek4Znak">
    <w:name w:val="Nagłówek 4 Znak"/>
    <w:basedOn w:val="Domylnaczcionkaakapitu"/>
    <w:link w:val="Nagwek4"/>
    <w:uiPriority w:val="99"/>
    <w:semiHidden/>
    <w:locked/>
    <w:rsid w:val="00DE67CB"/>
    <w:rPr>
      <w:rFonts w:ascii="Times New Roman" w:eastAsia="MS Gothic" w:hAnsi="Times New Roman" w:cs="Times New Roman"/>
      <w:b/>
      <w:bCs/>
      <w:i/>
      <w:iCs/>
      <w:color w:val="777777"/>
      <w:sz w:val="24"/>
      <w:szCs w:val="24"/>
      <w:lang w:val="en-GB"/>
    </w:rPr>
  </w:style>
  <w:style w:type="character" w:customStyle="1" w:styleId="Nagwek5Znak">
    <w:name w:val="Nagłówek 5 Znak"/>
    <w:basedOn w:val="Domylnaczcionkaakapitu"/>
    <w:link w:val="Nagwek5"/>
    <w:uiPriority w:val="99"/>
    <w:semiHidden/>
    <w:locked/>
    <w:rsid w:val="00DE67CB"/>
    <w:rPr>
      <w:rFonts w:ascii="Times New Roman" w:eastAsia="MS Gothic" w:hAnsi="Times New Roman" w:cs="Times New Roman"/>
      <w:b/>
      <w:bCs/>
      <w:color w:val="808080"/>
    </w:rPr>
  </w:style>
  <w:style w:type="character" w:customStyle="1" w:styleId="Nagwek6Znak">
    <w:name w:val="Nagłówek 6 Znak"/>
    <w:basedOn w:val="Domylnaczcionkaakapitu"/>
    <w:link w:val="Nagwek6"/>
    <w:uiPriority w:val="99"/>
    <w:semiHidden/>
    <w:locked/>
    <w:rsid w:val="00DE67CB"/>
    <w:rPr>
      <w:rFonts w:ascii="Times New Roman" w:eastAsia="MS Gothic" w:hAnsi="Times New Roman" w:cs="Times New Roman"/>
      <w:b/>
      <w:bCs/>
      <w:i/>
      <w:iCs/>
      <w:color w:val="7F7F7F"/>
      <w:sz w:val="24"/>
      <w:szCs w:val="24"/>
      <w:lang w:val="en-GB"/>
    </w:rPr>
  </w:style>
  <w:style w:type="character" w:customStyle="1" w:styleId="Nagwek7Znak">
    <w:name w:val="Nagłówek 7 Znak"/>
    <w:basedOn w:val="Domylnaczcionkaakapitu"/>
    <w:link w:val="Nagwek7"/>
    <w:uiPriority w:val="99"/>
    <w:semiHidden/>
    <w:locked/>
    <w:rsid w:val="00DE67CB"/>
    <w:rPr>
      <w:rFonts w:ascii="Times New Roman" w:eastAsia="MS Gothic" w:hAnsi="Times New Roman" w:cs="Times New Roman"/>
      <w:i/>
      <w:iCs/>
    </w:rPr>
  </w:style>
  <w:style w:type="character" w:customStyle="1" w:styleId="Nagwek8Znak">
    <w:name w:val="Nagłówek 8 Znak"/>
    <w:basedOn w:val="Domylnaczcionkaakapitu"/>
    <w:link w:val="Nagwek8"/>
    <w:uiPriority w:val="99"/>
    <w:semiHidden/>
    <w:locked/>
    <w:rsid w:val="00DE67CB"/>
    <w:rPr>
      <w:rFonts w:ascii="Times New Roman" w:eastAsia="MS Gothic" w:hAnsi="Times New Roman" w:cs="Times New Roman"/>
      <w:sz w:val="20"/>
      <w:szCs w:val="20"/>
    </w:rPr>
  </w:style>
  <w:style w:type="character" w:customStyle="1" w:styleId="Nagwek9Znak">
    <w:name w:val="Nagłówek 9 Znak"/>
    <w:basedOn w:val="Domylnaczcionkaakapitu"/>
    <w:link w:val="Nagwek9"/>
    <w:uiPriority w:val="99"/>
    <w:semiHidden/>
    <w:locked/>
    <w:rsid w:val="00DE67CB"/>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DE67CB"/>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E67CB"/>
    <w:rPr>
      <w:rFonts w:ascii="Tahoma" w:eastAsia="MS Mincho" w:hAnsi="Tahoma" w:cs="Tahoma"/>
      <w:sz w:val="16"/>
      <w:szCs w:val="16"/>
      <w:lang w:val="en-GB"/>
    </w:rPr>
  </w:style>
  <w:style w:type="character" w:styleId="Tytuksiki">
    <w:name w:val="Book Title"/>
    <w:basedOn w:val="Domylnaczcionkaakapitu"/>
    <w:uiPriority w:val="99"/>
    <w:qFormat/>
    <w:rsid w:val="00DE67CB"/>
    <w:rPr>
      <w:i/>
      <w:iCs/>
      <w:smallCaps/>
      <w:spacing w:val="5"/>
    </w:rPr>
  </w:style>
  <w:style w:type="paragraph" w:customStyle="1" w:styleId="ECHRHeader">
    <w:name w:val="ECHR_Header"/>
    <w:aliases w:val="Ju_Header"/>
    <w:basedOn w:val="Nagwek"/>
    <w:uiPriority w:val="99"/>
    <w:rsid w:val="00DE67CB"/>
    <w:pPr>
      <w:tabs>
        <w:tab w:val="clear" w:pos="4536"/>
        <w:tab w:val="clear" w:pos="9072"/>
        <w:tab w:val="center" w:pos="3686"/>
        <w:tab w:val="right" w:pos="7371"/>
      </w:tabs>
      <w:jc w:val="left"/>
    </w:pPr>
    <w:rPr>
      <w:sz w:val="18"/>
      <w:szCs w:val="18"/>
    </w:rPr>
  </w:style>
  <w:style w:type="paragraph" w:customStyle="1" w:styleId="DecHTitle">
    <w:name w:val="Dec_H_Title"/>
    <w:basedOn w:val="ECHRTitleCentre1"/>
    <w:uiPriority w:val="99"/>
    <w:semiHidden/>
    <w:rsid w:val="00DE67CB"/>
  </w:style>
  <w:style w:type="character" w:styleId="Pogrubienie">
    <w:name w:val="Strong"/>
    <w:basedOn w:val="Domylnaczcionkaakapitu"/>
    <w:uiPriority w:val="99"/>
    <w:qFormat/>
    <w:rsid w:val="00DE67CB"/>
    <w:rPr>
      <w:b/>
      <w:bCs/>
    </w:rPr>
  </w:style>
  <w:style w:type="paragraph" w:styleId="Bezodstpw">
    <w:name w:val="No Spacing"/>
    <w:basedOn w:val="Normalny"/>
    <w:link w:val="BezodstpwZnak"/>
    <w:uiPriority w:val="99"/>
    <w:qFormat/>
    <w:rsid w:val="00DE67CB"/>
    <w:rPr>
      <w:sz w:val="22"/>
      <w:szCs w:val="22"/>
      <w:lang w:val="en-US"/>
    </w:rPr>
  </w:style>
  <w:style w:type="character" w:customStyle="1" w:styleId="BezodstpwZnak">
    <w:name w:val="Bez odstępów Znak"/>
    <w:basedOn w:val="Domylnaczcionkaakapitu"/>
    <w:link w:val="Bezodstpw"/>
    <w:uiPriority w:val="99"/>
    <w:semiHidden/>
    <w:locked/>
    <w:rsid w:val="00DE67CB"/>
    <w:rPr>
      <w:rFonts w:eastAsia="MS Mincho"/>
    </w:rPr>
  </w:style>
  <w:style w:type="paragraph" w:customStyle="1" w:styleId="ECHRParaQuote">
    <w:name w:val="ECHR_Para_Quote"/>
    <w:aliases w:val="Ju_Quot"/>
    <w:basedOn w:val="Normalny"/>
    <w:uiPriority w:val="99"/>
    <w:rsid w:val="00DE67CB"/>
    <w:pPr>
      <w:spacing w:before="120" w:after="120"/>
      <w:ind w:left="425" w:firstLine="142"/>
    </w:pPr>
    <w:rPr>
      <w:sz w:val="20"/>
      <w:szCs w:val="20"/>
    </w:rPr>
  </w:style>
  <w:style w:type="paragraph" w:customStyle="1" w:styleId="JuParaSub">
    <w:name w:val="Ju_Para_Sub"/>
    <w:basedOn w:val="ECHRPara"/>
    <w:uiPriority w:val="99"/>
    <w:rsid w:val="00DE67CB"/>
    <w:pPr>
      <w:ind w:left="284"/>
    </w:pPr>
  </w:style>
  <w:style w:type="paragraph" w:customStyle="1" w:styleId="DecList">
    <w:name w:val="Dec_List"/>
    <w:basedOn w:val="Normalny"/>
    <w:uiPriority w:val="99"/>
    <w:semiHidden/>
    <w:rsid w:val="00DE67CB"/>
    <w:pPr>
      <w:spacing w:before="240"/>
      <w:ind w:left="284"/>
    </w:pPr>
  </w:style>
  <w:style w:type="paragraph" w:customStyle="1" w:styleId="DummyStyle">
    <w:name w:val="Dummy_Style"/>
    <w:basedOn w:val="Normalny"/>
    <w:uiPriority w:val="99"/>
    <w:semiHidden/>
    <w:rsid w:val="00DE67CB"/>
    <w:rPr>
      <w:color w:val="00B050"/>
    </w:rPr>
  </w:style>
  <w:style w:type="paragraph" w:customStyle="1" w:styleId="JuAppQuestion">
    <w:name w:val="Ju_App_Question"/>
    <w:basedOn w:val="Normalny"/>
    <w:uiPriority w:val="99"/>
    <w:semiHidden/>
    <w:rsid w:val="00DE67CB"/>
    <w:pPr>
      <w:numPr>
        <w:numId w:val="10"/>
      </w:numPr>
      <w:tabs>
        <w:tab w:val="clear" w:pos="1492"/>
        <w:tab w:val="num" w:pos="720"/>
      </w:tabs>
      <w:ind w:left="720"/>
      <w:jc w:val="left"/>
    </w:pPr>
    <w:rPr>
      <w:b/>
      <w:bCs/>
    </w:rPr>
  </w:style>
  <w:style w:type="paragraph" w:customStyle="1" w:styleId="ECHRTitleCentre3">
    <w:name w:val="ECHR_Title_Centre_3"/>
    <w:aliases w:val="Ju_H_Article"/>
    <w:basedOn w:val="Normalny"/>
    <w:next w:val="ECHRParaQuote"/>
    <w:uiPriority w:val="99"/>
    <w:rsid w:val="00DE67CB"/>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DE67CB"/>
    <w:pPr>
      <w:keepNext/>
      <w:keepLines/>
      <w:spacing w:after="240"/>
      <w:jc w:val="center"/>
      <w:outlineLvl w:val="0"/>
    </w:pPr>
    <w:rPr>
      <w:sz w:val="28"/>
      <w:szCs w:val="28"/>
    </w:rPr>
  </w:style>
  <w:style w:type="paragraph" w:customStyle="1" w:styleId="JuCourt">
    <w:name w:val="Ju_Court"/>
    <w:basedOn w:val="Normalny"/>
    <w:next w:val="Normalny"/>
    <w:uiPriority w:val="99"/>
    <w:rsid w:val="00DE67CB"/>
    <w:pPr>
      <w:tabs>
        <w:tab w:val="left" w:pos="907"/>
        <w:tab w:val="left" w:pos="1701"/>
        <w:tab w:val="right" w:pos="7371"/>
      </w:tabs>
      <w:spacing w:before="240"/>
      <w:ind w:left="397" w:hanging="397"/>
      <w:jc w:val="left"/>
    </w:pPr>
  </w:style>
  <w:style w:type="paragraph" w:customStyle="1" w:styleId="ECHRTitle1">
    <w:name w:val="ECHR_Title_1"/>
    <w:aliases w:val="Ju_H_Head"/>
    <w:basedOn w:val="Normalny"/>
    <w:next w:val="ECHRPara"/>
    <w:uiPriority w:val="99"/>
    <w:rsid w:val="00DE67CB"/>
    <w:pPr>
      <w:keepNext/>
      <w:keepLines/>
      <w:spacing w:before="720" w:after="240"/>
      <w:outlineLvl w:val="0"/>
    </w:pPr>
    <w:rPr>
      <w:sz w:val="28"/>
      <w:szCs w:val="28"/>
    </w:rPr>
  </w:style>
  <w:style w:type="paragraph" w:customStyle="1" w:styleId="JuInitialled">
    <w:name w:val="Ju_Initialled"/>
    <w:basedOn w:val="Normalny"/>
    <w:uiPriority w:val="99"/>
    <w:rsid w:val="00DE67CB"/>
    <w:pPr>
      <w:tabs>
        <w:tab w:val="center" w:pos="6407"/>
      </w:tabs>
      <w:spacing w:before="720"/>
      <w:jc w:val="right"/>
    </w:pPr>
  </w:style>
  <w:style w:type="paragraph" w:customStyle="1" w:styleId="JuSigned">
    <w:name w:val="Ju_Signed"/>
    <w:basedOn w:val="Normalny"/>
    <w:next w:val="JuParaLast"/>
    <w:uiPriority w:val="99"/>
    <w:rsid w:val="00DE67CB"/>
    <w:pPr>
      <w:tabs>
        <w:tab w:val="center" w:pos="851"/>
        <w:tab w:val="center" w:pos="6407"/>
      </w:tabs>
      <w:spacing w:before="720"/>
      <w:jc w:val="left"/>
    </w:pPr>
  </w:style>
  <w:style w:type="paragraph" w:styleId="Tytu">
    <w:name w:val="Title"/>
    <w:basedOn w:val="Normalny"/>
    <w:next w:val="Normalny"/>
    <w:link w:val="TytuZnak"/>
    <w:uiPriority w:val="99"/>
    <w:qFormat/>
    <w:rsid w:val="00DE67CB"/>
    <w:pPr>
      <w:pBdr>
        <w:bottom w:val="single" w:sz="4" w:space="1" w:color="auto"/>
      </w:pBdr>
    </w:pPr>
    <w:rPr>
      <w:rFonts w:eastAsia="MS Gothic"/>
      <w:spacing w:val="5"/>
      <w:sz w:val="52"/>
      <w:szCs w:val="52"/>
      <w:lang w:val="en-US"/>
    </w:rPr>
  </w:style>
  <w:style w:type="character" w:customStyle="1" w:styleId="TytuZnak">
    <w:name w:val="Tytuł Znak"/>
    <w:basedOn w:val="Domylnaczcionkaakapitu"/>
    <w:link w:val="Tytu"/>
    <w:uiPriority w:val="99"/>
    <w:semiHidden/>
    <w:locked/>
    <w:rsid w:val="00DE67CB"/>
    <w:rPr>
      <w:rFonts w:ascii="Times New Roman" w:eastAsia="MS Gothic" w:hAnsi="Times New Roman" w:cs="Times New Roman"/>
      <w:spacing w:val="5"/>
      <w:sz w:val="52"/>
      <w:szCs w:val="52"/>
    </w:rPr>
  </w:style>
  <w:style w:type="paragraph" w:customStyle="1" w:styleId="JuListi">
    <w:name w:val="Ju_List_i"/>
    <w:basedOn w:val="Normalny"/>
    <w:next w:val="JuLista"/>
    <w:uiPriority w:val="99"/>
    <w:rsid w:val="00DE67CB"/>
    <w:pPr>
      <w:ind w:left="794"/>
    </w:pPr>
  </w:style>
  <w:style w:type="character" w:customStyle="1" w:styleId="JUNAMES">
    <w:name w:val="JU_NAMES"/>
    <w:uiPriority w:val="99"/>
    <w:rsid w:val="00DE67CB"/>
    <w:rPr>
      <w:smallCaps/>
    </w:rPr>
  </w:style>
  <w:style w:type="character" w:customStyle="1" w:styleId="JuITMark">
    <w:name w:val="Ju_ITMark"/>
    <w:basedOn w:val="Domylnaczcionkaakapitu"/>
    <w:uiPriority w:val="99"/>
    <w:rsid w:val="00DE67CB"/>
    <w:rPr>
      <w:color w:val="auto"/>
      <w:sz w:val="14"/>
      <w:szCs w:val="14"/>
      <w:shd w:val="clear" w:color="auto" w:fill="BEE5FF"/>
    </w:rPr>
  </w:style>
  <w:style w:type="paragraph" w:customStyle="1" w:styleId="JuQuotSub">
    <w:name w:val="Ju_Quot_Sub"/>
    <w:basedOn w:val="ECHRParaQuote"/>
    <w:uiPriority w:val="99"/>
    <w:rsid w:val="00DE67CB"/>
    <w:pPr>
      <w:ind w:left="567"/>
    </w:pPr>
  </w:style>
  <w:style w:type="paragraph" w:customStyle="1" w:styleId="OpiH1">
    <w:name w:val="Opi_H_1"/>
    <w:basedOn w:val="ECHRHeading2"/>
    <w:uiPriority w:val="99"/>
    <w:rsid w:val="00DE67CB"/>
    <w:pPr>
      <w:ind w:left="635" w:hanging="357"/>
      <w:outlineLvl w:val="2"/>
    </w:pPr>
  </w:style>
  <w:style w:type="paragraph" w:customStyle="1" w:styleId="ECHRHeading1">
    <w:name w:val="ECHR_Heading_1"/>
    <w:aliases w:val="Ju_H_I_Roman"/>
    <w:basedOn w:val="Nagwek1"/>
    <w:next w:val="ECHRPara"/>
    <w:link w:val="JuHIRomanChar"/>
    <w:uiPriority w:val="99"/>
    <w:rsid w:val="00DE67CB"/>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DE67CB"/>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DE67CB"/>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DE67CB"/>
    <w:pPr>
      <w:tabs>
        <w:tab w:val="center" w:pos="4536"/>
        <w:tab w:val="right" w:pos="9072"/>
      </w:tabs>
    </w:pPr>
    <w:rPr>
      <w:rFonts w:eastAsia="Times New Roman"/>
    </w:rPr>
  </w:style>
  <w:style w:type="character" w:customStyle="1" w:styleId="NagwekZnak">
    <w:name w:val="Nagłówek Znak"/>
    <w:basedOn w:val="Domylnaczcionkaakapitu"/>
    <w:link w:val="Nagwek"/>
    <w:uiPriority w:val="99"/>
    <w:semiHidden/>
    <w:locked/>
    <w:rsid w:val="00DE67CB"/>
    <w:rPr>
      <w:sz w:val="24"/>
      <w:szCs w:val="24"/>
      <w:lang w:val="en-GB"/>
    </w:rPr>
  </w:style>
  <w:style w:type="paragraph" w:customStyle="1" w:styleId="ECHRHeading4">
    <w:name w:val="ECHR_Heading_4"/>
    <w:aliases w:val="Ju_H_a"/>
    <w:basedOn w:val="Nagwek4"/>
    <w:next w:val="ECHRPara"/>
    <w:uiPriority w:val="99"/>
    <w:rsid w:val="00DE67CB"/>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DE67CB"/>
    <w:pPr>
      <w:keepNext/>
      <w:keepLines/>
      <w:tabs>
        <w:tab w:val="left" w:pos="1191"/>
      </w:tabs>
      <w:spacing w:before="240" w:after="120"/>
      <w:ind w:left="1190" w:hanging="357"/>
    </w:pPr>
    <w:rPr>
      <w:b w:val="0"/>
      <w:bCs w:val="0"/>
      <w:i/>
      <w:iCs/>
      <w:color w:val="auto"/>
      <w:sz w:val="20"/>
      <w:szCs w:val="20"/>
      <w:lang w:val="en-GB"/>
    </w:rPr>
  </w:style>
  <w:style w:type="paragraph" w:customStyle="1" w:styleId="ECHRHeading6">
    <w:name w:val="ECHR_Heading_6"/>
    <w:aliases w:val="Ju_H_alpha"/>
    <w:basedOn w:val="Nagwek6"/>
    <w:next w:val="ECHRPara"/>
    <w:uiPriority w:val="99"/>
    <w:rsid w:val="00DE67CB"/>
    <w:pPr>
      <w:keepNext/>
      <w:keepLines/>
      <w:tabs>
        <w:tab w:val="left" w:pos="1372"/>
      </w:tabs>
      <w:spacing w:before="240" w:after="120" w:line="240" w:lineRule="auto"/>
      <w:ind w:left="1373" w:hanging="335"/>
    </w:pPr>
    <w:rPr>
      <w:b w:val="0"/>
      <w:bCs w:val="0"/>
      <w:i w:val="0"/>
      <w:iCs w:val="0"/>
      <w:color w:val="auto"/>
      <w:sz w:val="20"/>
      <w:szCs w:val="20"/>
    </w:rPr>
  </w:style>
  <w:style w:type="paragraph" w:customStyle="1" w:styleId="ECHRHeading7">
    <w:name w:val="ECHR_Heading_7"/>
    <w:aliases w:val="Ju_H_–"/>
    <w:basedOn w:val="Nagwek7"/>
    <w:next w:val="ECHRPara"/>
    <w:uiPriority w:val="99"/>
    <w:rsid w:val="00DE67CB"/>
    <w:pPr>
      <w:keepNext/>
      <w:keepLines/>
      <w:spacing w:before="240" w:after="120"/>
      <w:ind w:left="1236"/>
    </w:pPr>
    <w:rPr>
      <w:sz w:val="20"/>
      <w:szCs w:val="20"/>
      <w:lang w:val="en-GB"/>
    </w:rPr>
  </w:style>
  <w:style w:type="paragraph" w:customStyle="1" w:styleId="JuParaLast">
    <w:name w:val="Ju_Para_Last"/>
    <w:basedOn w:val="Normalny"/>
    <w:next w:val="ECHRPara"/>
    <w:uiPriority w:val="99"/>
    <w:rsid w:val="00DE67CB"/>
    <w:pPr>
      <w:keepNext/>
      <w:keepLines/>
      <w:spacing w:before="240"/>
      <w:ind w:firstLine="284"/>
    </w:pPr>
  </w:style>
  <w:style w:type="paragraph" w:customStyle="1" w:styleId="JuList">
    <w:name w:val="Ju_List"/>
    <w:basedOn w:val="Normalny"/>
    <w:uiPriority w:val="99"/>
    <w:rsid w:val="00DE67CB"/>
    <w:pPr>
      <w:ind w:left="340" w:hanging="340"/>
    </w:pPr>
  </w:style>
  <w:style w:type="paragraph" w:customStyle="1" w:styleId="JuLista">
    <w:name w:val="Ju_List_a"/>
    <w:basedOn w:val="JuList"/>
    <w:uiPriority w:val="99"/>
    <w:rsid w:val="00DE67CB"/>
    <w:pPr>
      <w:ind w:left="346" w:firstLine="0"/>
    </w:pPr>
  </w:style>
  <w:style w:type="paragraph" w:customStyle="1" w:styleId="OpiHa">
    <w:name w:val="Opi_H_a"/>
    <w:basedOn w:val="ECHRHeading3"/>
    <w:uiPriority w:val="99"/>
    <w:rsid w:val="00DE67CB"/>
    <w:pPr>
      <w:ind w:left="833" w:hanging="357"/>
      <w:outlineLvl w:val="3"/>
    </w:pPr>
    <w:rPr>
      <w:b/>
      <w:bCs/>
      <w:i w:val="0"/>
      <w:iCs w:val="0"/>
      <w:sz w:val="20"/>
      <w:szCs w:val="20"/>
    </w:rPr>
  </w:style>
  <w:style w:type="paragraph" w:customStyle="1" w:styleId="OpiHA0">
    <w:name w:val="Opi_H_A"/>
    <w:basedOn w:val="ECHRHeading1"/>
    <w:next w:val="OpiPara"/>
    <w:uiPriority w:val="99"/>
    <w:rsid w:val="00DE67CB"/>
    <w:pPr>
      <w:tabs>
        <w:tab w:val="clear" w:pos="357"/>
      </w:tabs>
      <w:outlineLvl w:val="1"/>
    </w:pPr>
    <w:rPr>
      <w:b/>
      <w:bCs/>
    </w:rPr>
  </w:style>
  <w:style w:type="character" w:styleId="Wyrnieniedelikatne">
    <w:name w:val="Subtle Emphasis"/>
    <w:basedOn w:val="Domylnaczcionkaakapitu"/>
    <w:uiPriority w:val="99"/>
    <w:qFormat/>
    <w:rsid w:val="00DE67CB"/>
    <w:rPr>
      <w:i/>
      <w:iCs/>
    </w:rPr>
  </w:style>
  <w:style w:type="paragraph" w:customStyle="1" w:styleId="OpiHi">
    <w:name w:val="Opi_H_i"/>
    <w:basedOn w:val="ECHRHeading4"/>
    <w:uiPriority w:val="99"/>
    <w:rsid w:val="00DE67CB"/>
    <w:pPr>
      <w:ind w:left="1037" w:hanging="357"/>
      <w:outlineLvl w:val="4"/>
    </w:pPr>
    <w:rPr>
      <w:b w:val="0"/>
      <w:bCs w:val="0"/>
      <w:i/>
      <w:iCs/>
    </w:rPr>
  </w:style>
  <w:style w:type="table" w:customStyle="1" w:styleId="ECHRTable">
    <w:name w:val="ECHR_Table"/>
    <w:uiPriority w:val="99"/>
    <w:rsid w:val="00860B03"/>
    <w:rPr>
      <w:sz w:val="20"/>
      <w:szCs w:val="20"/>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sz w:val="20"/>
      <w:szCs w:val="20"/>
      <w:lang w:val="en-GB"/>
    </w:rPr>
    <w:tblPr>
      <w:tblCellMar>
        <w:top w:w="57" w:type="dxa"/>
        <w:left w:w="57" w:type="dxa"/>
        <w:bottom w:w="57" w:type="dxa"/>
        <w:right w:w="57" w:type="dxa"/>
      </w:tblCellMar>
    </w:tblPr>
    <w:tcPr>
      <w:shd w:val="clear" w:color="auto" w:fill="F8F8F8"/>
    </w:tcPr>
  </w:style>
  <w:style w:type="paragraph" w:customStyle="1" w:styleId="OpiPara">
    <w:name w:val="Opi_Para"/>
    <w:basedOn w:val="ECHRPara"/>
    <w:uiPriority w:val="99"/>
    <w:rsid w:val="00DE67CB"/>
  </w:style>
  <w:style w:type="paragraph" w:customStyle="1" w:styleId="OpiParaSub">
    <w:name w:val="Opi_Para_Sub"/>
    <w:basedOn w:val="JuParaSub"/>
    <w:uiPriority w:val="99"/>
    <w:rsid w:val="00DE67CB"/>
  </w:style>
  <w:style w:type="paragraph" w:styleId="Podtytu">
    <w:name w:val="Subtitle"/>
    <w:basedOn w:val="Normalny"/>
    <w:next w:val="Normalny"/>
    <w:link w:val="PodtytuZnak"/>
    <w:uiPriority w:val="99"/>
    <w:qFormat/>
    <w:rsid w:val="00DE67CB"/>
    <w:pPr>
      <w:spacing w:after="600"/>
    </w:pPr>
    <w:rPr>
      <w:rFonts w:eastAsia="MS Gothic"/>
      <w:i/>
      <w:iCs/>
      <w:spacing w:val="13"/>
      <w:lang w:val="en-US"/>
    </w:rPr>
  </w:style>
  <w:style w:type="character" w:customStyle="1" w:styleId="PodtytuZnak">
    <w:name w:val="Podtytuł Znak"/>
    <w:basedOn w:val="Domylnaczcionkaakapitu"/>
    <w:link w:val="Podtytu"/>
    <w:uiPriority w:val="99"/>
    <w:semiHidden/>
    <w:locked/>
    <w:rsid w:val="00DE67CB"/>
    <w:rPr>
      <w:rFonts w:ascii="Times New Roman" w:eastAsia="MS Gothic" w:hAnsi="Times New Roman" w:cs="Times New Roman"/>
      <w:i/>
      <w:iCs/>
      <w:spacing w:val="13"/>
      <w:sz w:val="24"/>
      <w:szCs w:val="24"/>
    </w:rPr>
  </w:style>
  <w:style w:type="character" w:styleId="Uwydatnienie">
    <w:name w:val="Emphasis"/>
    <w:basedOn w:val="Domylnaczcionkaakapitu"/>
    <w:uiPriority w:val="99"/>
    <w:qFormat/>
    <w:rsid w:val="00DE67CB"/>
    <w:rPr>
      <w:b/>
      <w:bCs/>
      <w:i/>
      <w:iCs/>
      <w:spacing w:val="10"/>
      <w:shd w:val="clear" w:color="auto" w:fill="auto"/>
    </w:rPr>
  </w:style>
  <w:style w:type="paragraph" w:styleId="Stopka">
    <w:name w:val="footer"/>
    <w:basedOn w:val="Normalny"/>
    <w:link w:val="StopkaZnak"/>
    <w:uiPriority w:val="99"/>
    <w:semiHidden/>
    <w:rsid w:val="00DE67CB"/>
    <w:pPr>
      <w:tabs>
        <w:tab w:val="center" w:pos="4536"/>
        <w:tab w:val="right" w:pos="9696"/>
      </w:tabs>
      <w:ind w:left="-680" w:right="-680"/>
    </w:pPr>
    <w:rPr>
      <w:rFonts w:eastAsia="Times New Roman"/>
    </w:rPr>
  </w:style>
  <w:style w:type="character" w:customStyle="1" w:styleId="StopkaZnak">
    <w:name w:val="Stopka Znak"/>
    <w:basedOn w:val="Domylnaczcionkaakapitu"/>
    <w:link w:val="Stopka"/>
    <w:uiPriority w:val="99"/>
    <w:semiHidden/>
    <w:locked/>
    <w:rsid w:val="00DE67CB"/>
    <w:rPr>
      <w:sz w:val="24"/>
      <w:szCs w:val="24"/>
      <w:lang w:val="en-GB"/>
    </w:rPr>
  </w:style>
  <w:style w:type="character" w:styleId="Odwoanieprzypisudolnego">
    <w:name w:val="footnote reference"/>
    <w:basedOn w:val="Domylnaczcionkaakapitu"/>
    <w:uiPriority w:val="99"/>
    <w:semiHidden/>
    <w:rsid w:val="00DE67CB"/>
    <w:rPr>
      <w:vertAlign w:val="superscript"/>
    </w:rPr>
  </w:style>
  <w:style w:type="paragraph" w:styleId="Tekstprzypisudolnego">
    <w:name w:val="footnote text"/>
    <w:basedOn w:val="Normalny"/>
    <w:link w:val="TekstprzypisudolnegoZnak"/>
    <w:uiPriority w:val="99"/>
    <w:semiHidden/>
    <w:rsid w:val="00DE67CB"/>
    <w:rPr>
      <w:sz w:val="20"/>
      <w:szCs w:val="20"/>
    </w:rPr>
  </w:style>
  <w:style w:type="character" w:customStyle="1" w:styleId="TekstprzypisudolnegoZnak">
    <w:name w:val="Tekst przypisu dolnego Znak"/>
    <w:basedOn w:val="Domylnaczcionkaakapitu"/>
    <w:link w:val="Tekstprzypisudolnego"/>
    <w:uiPriority w:val="99"/>
    <w:semiHidden/>
    <w:locked/>
    <w:rsid w:val="00DE67CB"/>
    <w:rPr>
      <w:rFonts w:eastAsia="MS Mincho"/>
      <w:sz w:val="20"/>
      <w:szCs w:val="20"/>
      <w:lang w:val="en-GB"/>
    </w:rPr>
  </w:style>
  <w:style w:type="character" w:styleId="Hipercze">
    <w:name w:val="Hyperlink"/>
    <w:basedOn w:val="Domylnaczcionkaakapitu"/>
    <w:uiPriority w:val="99"/>
    <w:semiHidden/>
    <w:rsid w:val="00DE67CB"/>
    <w:rPr>
      <w:color w:val="0072BC"/>
      <w:u w:val="single"/>
    </w:rPr>
  </w:style>
  <w:style w:type="character" w:styleId="Wyrnienieintensywne">
    <w:name w:val="Intense Emphasis"/>
    <w:basedOn w:val="Domylnaczcionkaakapitu"/>
    <w:uiPriority w:val="99"/>
    <w:qFormat/>
    <w:rsid w:val="00DE67CB"/>
    <w:rPr>
      <w:b/>
      <w:bCs/>
    </w:rPr>
  </w:style>
  <w:style w:type="paragraph" w:styleId="Cytatintensywny">
    <w:name w:val="Intense Quote"/>
    <w:basedOn w:val="Normalny"/>
    <w:next w:val="Normalny"/>
    <w:link w:val="CytatintensywnyZnak"/>
    <w:uiPriority w:val="99"/>
    <w:qFormat/>
    <w:rsid w:val="00DE67CB"/>
    <w:pPr>
      <w:pBdr>
        <w:bottom w:val="single" w:sz="4" w:space="1" w:color="auto"/>
      </w:pBdr>
      <w:spacing w:before="200" w:after="280"/>
      <w:ind w:left="1008" w:right="1152"/>
    </w:pPr>
    <w:rPr>
      <w:b/>
      <w:bCs/>
      <w:i/>
      <w:iCs/>
      <w:sz w:val="22"/>
      <w:szCs w:val="22"/>
      <w:lang w:val="en-US"/>
    </w:rPr>
  </w:style>
  <w:style w:type="character" w:customStyle="1" w:styleId="CytatintensywnyZnak">
    <w:name w:val="Cytat intensywny Znak"/>
    <w:basedOn w:val="Domylnaczcionkaakapitu"/>
    <w:link w:val="Cytatintensywny"/>
    <w:uiPriority w:val="99"/>
    <w:semiHidden/>
    <w:locked/>
    <w:rsid w:val="00DE67CB"/>
    <w:rPr>
      <w:rFonts w:eastAsia="MS Mincho"/>
      <w:b/>
      <w:bCs/>
      <w:i/>
      <w:iCs/>
    </w:rPr>
  </w:style>
  <w:style w:type="character" w:styleId="Odwoanieintensywne">
    <w:name w:val="Intense Reference"/>
    <w:basedOn w:val="Domylnaczcionkaakapitu"/>
    <w:uiPriority w:val="99"/>
    <w:qFormat/>
    <w:rsid w:val="00DE67CB"/>
    <w:rPr>
      <w:smallCaps/>
      <w:spacing w:val="5"/>
      <w:u w:val="single"/>
    </w:rPr>
  </w:style>
  <w:style w:type="paragraph" w:styleId="Akapitzlist">
    <w:name w:val="List Paragraph"/>
    <w:basedOn w:val="Normalny"/>
    <w:uiPriority w:val="99"/>
    <w:qFormat/>
    <w:rsid w:val="00DE67CB"/>
    <w:pPr>
      <w:ind w:left="720"/>
    </w:pPr>
  </w:style>
  <w:style w:type="table" w:customStyle="1" w:styleId="LtrTableAddress">
    <w:name w:val="Ltr_Table_Address"/>
    <w:uiPriority w:val="99"/>
    <w:rsid w:val="001E6F32"/>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DE67CB"/>
    <w:pPr>
      <w:spacing w:before="200"/>
      <w:ind w:left="360" w:right="360"/>
    </w:pPr>
    <w:rPr>
      <w:i/>
      <w:iCs/>
      <w:sz w:val="22"/>
      <w:szCs w:val="22"/>
      <w:lang w:val="en-US"/>
    </w:rPr>
  </w:style>
  <w:style w:type="character" w:customStyle="1" w:styleId="CytatZnak">
    <w:name w:val="Cytat Znak"/>
    <w:basedOn w:val="Domylnaczcionkaakapitu"/>
    <w:link w:val="Cytat"/>
    <w:uiPriority w:val="99"/>
    <w:semiHidden/>
    <w:locked/>
    <w:rsid w:val="00DE67CB"/>
    <w:rPr>
      <w:rFonts w:eastAsia="MS Mincho"/>
      <w:i/>
      <w:iCs/>
    </w:rPr>
  </w:style>
  <w:style w:type="character" w:styleId="Odwoaniedelikatne">
    <w:name w:val="Subtle Reference"/>
    <w:basedOn w:val="Domylnaczcionkaakapitu"/>
    <w:uiPriority w:val="99"/>
    <w:qFormat/>
    <w:rsid w:val="00DE67CB"/>
    <w:rPr>
      <w:smallCaps/>
    </w:rPr>
  </w:style>
  <w:style w:type="table" w:styleId="Tabela-Siatka">
    <w:name w:val="Table Grid"/>
    <w:basedOn w:val="Standardowy"/>
    <w:uiPriority w:val="99"/>
    <w:semiHidden/>
    <w:rsid w:val="00DE67CB"/>
    <w:rPr>
      <w:rFonts w:eastAsia="MS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E67CB"/>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DE67CB"/>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DE67CB"/>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DE67CB"/>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DE67CB"/>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DE67CB"/>
    <w:pPr>
      <w:keepNext/>
      <w:keepLines/>
      <w:spacing w:before="240"/>
      <w:jc w:val="center"/>
    </w:pPr>
    <w:rPr>
      <w:rFonts w:eastAsia="Times New Roman"/>
      <w:b/>
      <w:bCs/>
      <w:color w:val="474747"/>
      <w:sz w:val="28"/>
      <w:szCs w:val="28"/>
    </w:rPr>
  </w:style>
  <w:style w:type="table" w:customStyle="1" w:styleId="UGTable">
    <w:name w:val="UG_Table"/>
    <w:uiPriority w:val="99"/>
    <w:rsid w:val="00801300"/>
    <w:rPr>
      <w:rFonts w:eastAsia="MS Mincho"/>
      <w:sz w:val="20"/>
      <w:szCs w:val="20"/>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rFonts w:eastAsia="MS Mincho"/>
      <w:sz w:val="20"/>
      <w:szCs w:val="20"/>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DE67CB"/>
    <w:pPr>
      <w:keepNext/>
      <w:keepLines/>
      <w:spacing w:before="240"/>
      <w:jc w:val="center"/>
    </w:pPr>
    <w:rPr>
      <w:rFonts w:eastAsia="MS Gothic"/>
      <w:b/>
      <w:bCs/>
      <w:color w:val="474747"/>
      <w:sz w:val="28"/>
      <w:szCs w:val="28"/>
    </w:rPr>
  </w:style>
  <w:style w:type="paragraph" w:customStyle="1" w:styleId="ECHRPara">
    <w:name w:val="ECHR_Para"/>
    <w:aliases w:val="Ju_Para,_Para,Left,First line:  0 cm,Para,N_Para,Ju_Para + Interligne : Double"/>
    <w:basedOn w:val="Normalny"/>
    <w:link w:val="ECHRParaChar"/>
    <w:uiPriority w:val="99"/>
    <w:rsid w:val="00DE67CB"/>
    <w:pPr>
      <w:ind w:firstLine="284"/>
    </w:pPr>
    <w:rPr>
      <w:lang w:eastAsia="pl-PL"/>
    </w:rPr>
  </w:style>
  <w:style w:type="table" w:customStyle="1" w:styleId="ECHRTableSimpleBox">
    <w:name w:val="ECHR_Table_Simple_Box"/>
    <w:uiPriority w:val="99"/>
    <w:rsid w:val="00AE354C"/>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rPr>
      <w:sz w:val="20"/>
      <w:szCs w:val="20"/>
    </w:rPr>
    <w:tblPr>
      <w:tblCellMar>
        <w:top w:w="85" w:type="dxa"/>
        <w:left w:w="142" w:type="dxa"/>
        <w:bottom w:w="28" w:type="dxa"/>
        <w:right w:w="142" w:type="dxa"/>
      </w:tblCellMar>
    </w:tblPr>
  </w:style>
  <w:style w:type="paragraph" w:styleId="Bibliografia">
    <w:name w:val="Bibliography"/>
    <w:basedOn w:val="Normalny"/>
    <w:next w:val="Normalny"/>
    <w:uiPriority w:val="99"/>
    <w:semiHidden/>
    <w:rsid w:val="002D2C99"/>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DE67CB"/>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blokowy">
    <w:name w:val="Block Text"/>
    <w:basedOn w:val="Normalny"/>
    <w:uiPriority w:val="99"/>
    <w:semiHidden/>
    <w:rsid w:val="002D2C99"/>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rPr>
  </w:style>
  <w:style w:type="paragraph" w:styleId="Tekstpodstawowy">
    <w:name w:val="Body Text"/>
    <w:basedOn w:val="Normalny"/>
    <w:link w:val="TekstpodstawowyZnak"/>
    <w:uiPriority w:val="99"/>
    <w:semiHidden/>
    <w:rsid w:val="002D2C99"/>
    <w:pPr>
      <w:spacing w:after="120"/>
    </w:pPr>
  </w:style>
  <w:style w:type="character" w:customStyle="1" w:styleId="TekstpodstawowyZnak">
    <w:name w:val="Tekst podstawowy Znak"/>
    <w:basedOn w:val="Domylnaczcionkaakapitu"/>
    <w:link w:val="Tekstpodstawowy"/>
    <w:uiPriority w:val="99"/>
    <w:semiHidden/>
    <w:locked/>
    <w:rsid w:val="002D2C99"/>
    <w:rPr>
      <w:rFonts w:eastAsia="MS Mincho"/>
      <w:sz w:val="24"/>
      <w:szCs w:val="24"/>
    </w:rPr>
  </w:style>
  <w:style w:type="table" w:customStyle="1" w:styleId="ECHRHeaderTable">
    <w:name w:val="ECHR_Header_Table"/>
    <w:uiPriority w:val="99"/>
    <w:rsid w:val="00661971"/>
    <w:rPr>
      <w:sz w:val="20"/>
      <w:szCs w:val="20"/>
    </w:rPr>
    <w:tblPr>
      <w:tblBorders>
        <w:bottom w:val="single" w:sz="6" w:space="0" w:color="949494"/>
      </w:tblBorders>
      <w:tblCellMar>
        <w:top w:w="0" w:type="dxa"/>
        <w:left w:w="0" w:type="dxa"/>
        <w:bottom w:w="28" w:type="dxa"/>
        <w:right w:w="0" w:type="dxa"/>
      </w:tblCellMar>
    </w:tblPr>
  </w:style>
  <w:style w:type="paragraph" w:styleId="Tekstpodstawowy2">
    <w:name w:val="Body Text 2"/>
    <w:basedOn w:val="Normalny"/>
    <w:link w:val="Tekstpodstawowy2Znak"/>
    <w:uiPriority w:val="99"/>
    <w:semiHidden/>
    <w:rsid w:val="002D2C99"/>
    <w:pPr>
      <w:spacing w:after="120" w:line="480" w:lineRule="auto"/>
    </w:pPr>
  </w:style>
  <w:style w:type="character" w:customStyle="1" w:styleId="Tekstpodstawowy2Znak">
    <w:name w:val="Tekst podstawowy 2 Znak"/>
    <w:basedOn w:val="Domylnaczcionkaakapitu"/>
    <w:link w:val="Tekstpodstawowy2"/>
    <w:uiPriority w:val="99"/>
    <w:semiHidden/>
    <w:locked/>
    <w:rsid w:val="002D2C99"/>
    <w:rPr>
      <w:rFonts w:eastAsia="MS Mincho"/>
      <w:sz w:val="24"/>
      <w:szCs w:val="24"/>
    </w:rPr>
  </w:style>
  <w:style w:type="table" w:customStyle="1" w:styleId="ECHRTableOddBanded">
    <w:name w:val="ECHR_Table_Odd_Banded"/>
    <w:uiPriority w:val="99"/>
    <w:rsid w:val="00860B03"/>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customStyle="1" w:styleId="ECHRDecisionBody">
    <w:name w:val="ECHR_Decision_Body"/>
    <w:aliases w:val="Ju_Judges"/>
    <w:basedOn w:val="Normalny"/>
    <w:uiPriority w:val="99"/>
    <w:rsid w:val="00DE67CB"/>
    <w:pPr>
      <w:tabs>
        <w:tab w:val="left" w:pos="567"/>
        <w:tab w:val="left" w:pos="1134"/>
      </w:tabs>
      <w:jc w:val="left"/>
    </w:pPr>
  </w:style>
  <w:style w:type="table" w:customStyle="1" w:styleId="ECHRHeaderTableReduced">
    <w:name w:val="ECHR_Header_Table_Reduced"/>
    <w:uiPriority w:val="99"/>
    <w:rsid w:val="00B52BE0"/>
    <w:rPr>
      <w:sz w:val="20"/>
      <w:szCs w:val="20"/>
    </w:rPr>
    <w:tblPr>
      <w:tblCellMar>
        <w:top w:w="0" w:type="dxa"/>
        <w:left w:w="0" w:type="dxa"/>
        <w:bottom w:w="0" w:type="dxa"/>
        <w:right w:w="0" w:type="dxa"/>
      </w:tblCellMar>
    </w:tblPr>
  </w:style>
  <w:style w:type="paragraph" w:customStyle="1" w:styleId="JuCase">
    <w:name w:val="Ju_Case"/>
    <w:basedOn w:val="Normalny"/>
    <w:next w:val="ECHRPara"/>
    <w:uiPriority w:val="99"/>
    <w:rsid w:val="00DE67CB"/>
    <w:pPr>
      <w:ind w:firstLine="284"/>
    </w:pPr>
    <w:rPr>
      <w:b/>
      <w:bCs/>
    </w:rPr>
  </w:style>
  <w:style w:type="character" w:styleId="Numerstrony">
    <w:name w:val="page number"/>
    <w:basedOn w:val="Domylnaczcionkaakapitu"/>
    <w:uiPriority w:val="99"/>
    <w:semiHidden/>
    <w:rsid w:val="002D2C99"/>
    <w:rPr>
      <w:rFonts w:ascii="Times New Roman" w:hAnsi="Times New Roman" w:cs="Times New Roman"/>
      <w:sz w:val="18"/>
      <w:szCs w:val="18"/>
    </w:rPr>
  </w:style>
  <w:style w:type="paragraph" w:styleId="Listapunktowana2">
    <w:name w:val="List Bullet 2"/>
    <w:basedOn w:val="Normalny"/>
    <w:uiPriority w:val="99"/>
    <w:semiHidden/>
    <w:rsid w:val="002D2C99"/>
    <w:pPr>
      <w:tabs>
        <w:tab w:val="num" w:pos="643"/>
      </w:tabs>
      <w:ind w:left="643" w:hanging="360"/>
    </w:pPr>
  </w:style>
  <w:style w:type="paragraph" w:styleId="Tekstpodstawowy3">
    <w:name w:val="Body Text 3"/>
    <w:basedOn w:val="Normalny"/>
    <w:link w:val="Tekstpodstawowy3Znak"/>
    <w:uiPriority w:val="99"/>
    <w:semiHidden/>
    <w:rsid w:val="002D2C99"/>
    <w:pPr>
      <w:spacing w:after="120"/>
    </w:pPr>
    <w:rPr>
      <w:sz w:val="16"/>
      <w:szCs w:val="16"/>
    </w:rPr>
  </w:style>
  <w:style w:type="character" w:customStyle="1" w:styleId="Tekstpodstawowy3Znak">
    <w:name w:val="Tekst podstawowy 3 Znak"/>
    <w:basedOn w:val="Domylnaczcionkaakapitu"/>
    <w:link w:val="Tekstpodstawowy3"/>
    <w:uiPriority w:val="99"/>
    <w:semiHidden/>
    <w:locked/>
    <w:rsid w:val="002D2C99"/>
    <w:rPr>
      <w:rFonts w:eastAsia="MS Mincho"/>
      <w:sz w:val="16"/>
      <w:szCs w:val="16"/>
    </w:rPr>
  </w:style>
  <w:style w:type="paragraph" w:styleId="Tekstpodstawowyzwciciem">
    <w:name w:val="Body Text First Indent"/>
    <w:basedOn w:val="Tekstpodstawowy"/>
    <w:link w:val="TekstpodstawowyzwciciemZnak"/>
    <w:uiPriority w:val="99"/>
    <w:semiHidden/>
    <w:rsid w:val="002D2C99"/>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2D2C99"/>
    <w:rPr>
      <w:rFonts w:eastAsia="MS Mincho"/>
      <w:sz w:val="24"/>
      <w:szCs w:val="24"/>
    </w:rPr>
  </w:style>
  <w:style w:type="paragraph" w:styleId="Tekstpodstawowywcity">
    <w:name w:val="Body Text Indent"/>
    <w:basedOn w:val="Normalny"/>
    <w:link w:val="TekstpodstawowywcityZnak"/>
    <w:uiPriority w:val="99"/>
    <w:semiHidden/>
    <w:rsid w:val="002D2C99"/>
    <w:pPr>
      <w:spacing w:after="120"/>
      <w:ind w:left="283"/>
    </w:pPr>
  </w:style>
  <w:style w:type="character" w:customStyle="1" w:styleId="TekstpodstawowywcityZnak">
    <w:name w:val="Tekst podstawowy wcięty Znak"/>
    <w:basedOn w:val="Domylnaczcionkaakapitu"/>
    <w:link w:val="Tekstpodstawowywcity"/>
    <w:uiPriority w:val="99"/>
    <w:semiHidden/>
    <w:locked/>
    <w:rsid w:val="002D2C99"/>
    <w:rPr>
      <w:rFonts w:eastAsia="MS Mincho"/>
      <w:sz w:val="24"/>
      <w:szCs w:val="24"/>
    </w:rPr>
  </w:style>
  <w:style w:type="paragraph" w:styleId="Tekstpodstawowyzwciciem2">
    <w:name w:val="Body Text First Indent 2"/>
    <w:basedOn w:val="Tekstpodstawowywcity"/>
    <w:link w:val="Tekstpodstawowyzwciciem2Znak"/>
    <w:uiPriority w:val="99"/>
    <w:semiHidden/>
    <w:rsid w:val="002D2C99"/>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2D2C99"/>
    <w:rPr>
      <w:rFonts w:eastAsia="MS Mincho"/>
      <w:sz w:val="24"/>
      <w:szCs w:val="24"/>
    </w:rPr>
  </w:style>
  <w:style w:type="paragraph" w:styleId="Tekstpodstawowywcity2">
    <w:name w:val="Body Text Indent 2"/>
    <w:basedOn w:val="Normalny"/>
    <w:link w:val="Tekstpodstawowywcity2Znak"/>
    <w:uiPriority w:val="99"/>
    <w:semiHidden/>
    <w:rsid w:val="002D2C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2D2C99"/>
    <w:rPr>
      <w:rFonts w:eastAsia="MS Mincho"/>
      <w:sz w:val="24"/>
      <w:szCs w:val="24"/>
    </w:rPr>
  </w:style>
  <w:style w:type="paragraph" w:styleId="Tekstpodstawowywcity3">
    <w:name w:val="Body Text Indent 3"/>
    <w:basedOn w:val="Normalny"/>
    <w:link w:val="Tekstpodstawowywcity3Znak"/>
    <w:uiPriority w:val="99"/>
    <w:semiHidden/>
    <w:rsid w:val="002D2C9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2D2C99"/>
    <w:rPr>
      <w:rFonts w:eastAsia="MS Mincho"/>
      <w:sz w:val="16"/>
      <w:szCs w:val="16"/>
    </w:rPr>
  </w:style>
  <w:style w:type="paragraph" w:styleId="Legenda">
    <w:name w:val="caption"/>
    <w:basedOn w:val="Normalny"/>
    <w:next w:val="Normalny"/>
    <w:uiPriority w:val="99"/>
    <w:qFormat/>
    <w:rsid w:val="002D2C99"/>
    <w:pPr>
      <w:spacing w:after="200"/>
    </w:pPr>
    <w:rPr>
      <w:b/>
      <w:bCs/>
      <w:color w:val="0072BC"/>
      <w:sz w:val="18"/>
      <w:szCs w:val="18"/>
    </w:rPr>
  </w:style>
  <w:style w:type="paragraph" w:styleId="Zwrotpoegnalny">
    <w:name w:val="Closing"/>
    <w:basedOn w:val="Normalny"/>
    <w:link w:val="ZwrotpoegnalnyZnak"/>
    <w:uiPriority w:val="99"/>
    <w:semiHidden/>
    <w:rsid w:val="002D2C99"/>
    <w:pPr>
      <w:ind w:left="4252"/>
    </w:pPr>
  </w:style>
  <w:style w:type="character" w:customStyle="1" w:styleId="ZwrotpoegnalnyZnak">
    <w:name w:val="Zwrot pożegnalny Znak"/>
    <w:basedOn w:val="Domylnaczcionkaakapitu"/>
    <w:link w:val="Zwrotpoegnalny"/>
    <w:uiPriority w:val="99"/>
    <w:semiHidden/>
    <w:locked/>
    <w:rsid w:val="002D2C99"/>
    <w:rPr>
      <w:rFonts w:eastAsia="MS Mincho"/>
      <w:sz w:val="24"/>
      <w:szCs w:val="24"/>
    </w:rPr>
  </w:style>
  <w:style w:type="table" w:styleId="Kolorowasiatka">
    <w:name w:val="Colorful Grid"/>
    <w:basedOn w:val="Standardowy"/>
    <w:uiPriority w:val="99"/>
    <w:semiHidden/>
    <w:rsid w:val="002D2C99"/>
    <w:rPr>
      <w:color w:val="000000"/>
      <w:sz w:val="20"/>
      <w:szCs w:val="2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2D2C99"/>
    <w:rPr>
      <w:color w:val="000000"/>
      <w:sz w:val="20"/>
      <w:szCs w:val="2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2D2C99"/>
    <w:rPr>
      <w:color w:val="000000"/>
      <w:sz w:val="20"/>
      <w:szCs w:val="2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2D2C99"/>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2D2C99"/>
    <w:rPr>
      <w:color w:val="000000"/>
      <w:sz w:val="20"/>
      <w:szCs w:val="2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2D2C99"/>
    <w:rPr>
      <w:color w:val="000000"/>
      <w:sz w:val="20"/>
      <w:szCs w:val="2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2D2C99"/>
    <w:rPr>
      <w:color w:val="000000"/>
      <w:sz w:val="20"/>
      <w:szCs w:val="2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2D2C99"/>
    <w:rPr>
      <w:color w:val="000000"/>
      <w:sz w:val="20"/>
      <w:szCs w:val="2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2D2C99"/>
    <w:rPr>
      <w:color w:val="000000"/>
      <w:sz w:val="20"/>
      <w:szCs w:val="2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2D2C99"/>
    <w:rPr>
      <w:color w:val="000000"/>
      <w:sz w:val="20"/>
      <w:szCs w:val="2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2D2C99"/>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2D2C99"/>
    <w:rPr>
      <w:color w:val="000000"/>
      <w:sz w:val="20"/>
      <w:szCs w:val="2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2D2C99"/>
    <w:rPr>
      <w:color w:val="000000"/>
      <w:sz w:val="20"/>
      <w:szCs w:val="2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2D2C99"/>
    <w:rPr>
      <w:color w:val="000000"/>
      <w:sz w:val="20"/>
      <w:szCs w:val="2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2D2C99"/>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2D2C99"/>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2D2C99"/>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2D2C99"/>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2D2C99"/>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2D2C99"/>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2D2C99"/>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basedOn w:val="Domylnaczcionkaakapitu"/>
    <w:uiPriority w:val="99"/>
    <w:semiHidden/>
    <w:rsid w:val="002D2C99"/>
    <w:rPr>
      <w:sz w:val="16"/>
      <w:szCs w:val="16"/>
    </w:rPr>
  </w:style>
  <w:style w:type="paragraph" w:styleId="Tekstkomentarza">
    <w:name w:val="annotation text"/>
    <w:basedOn w:val="Normalny"/>
    <w:link w:val="TekstkomentarzaZnak"/>
    <w:uiPriority w:val="99"/>
    <w:semiHidden/>
    <w:rsid w:val="002D2C99"/>
    <w:rPr>
      <w:sz w:val="20"/>
      <w:szCs w:val="20"/>
    </w:rPr>
  </w:style>
  <w:style w:type="character" w:customStyle="1" w:styleId="TekstkomentarzaZnak">
    <w:name w:val="Tekst komentarza Znak"/>
    <w:basedOn w:val="Domylnaczcionkaakapitu"/>
    <w:link w:val="Tekstkomentarza"/>
    <w:uiPriority w:val="99"/>
    <w:semiHidden/>
    <w:locked/>
    <w:rsid w:val="002D2C99"/>
    <w:rPr>
      <w:rFonts w:eastAsia="MS Mincho"/>
      <w:sz w:val="20"/>
      <w:szCs w:val="20"/>
    </w:rPr>
  </w:style>
  <w:style w:type="paragraph" w:styleId="Tematkomentarza">
    <w:name w:val="annotation subject"/>
    <w:basedOn w:val="Tekstkomentarza"/>
    <w:next w:val="Tekstkomentarza"/>
    <w:link w:val="TematkomentarzaZnak"/>
    <w:uiPriority w:val="99"/>
    <w:semiHidden/>
    <w:rsid w:val="002D2C99"/>
    <w:rPr>
      <w:b/>
      <w:bCs/>
    </w:rPr>
  </w:style>
  <w:style w:type="character" w:customStyle="1" w:styleId="TematkomentarzaZnak">
    <w:name w:val="Temat komentarza Znak"/>
    <w:basedOn w:val="TekstkomentarzaZnak"/>
    <w:link w:val="Tematkomentarza"/>
    <w:uiPriority w:val="99"/>
    <w:semiHidden/>
    <w:locked/>
    <w:rsid w:val="002D2C99"/>
    <w:rPr>
      <w:rFonts w:eastAsia="MS Mincho"/>
      <w:b/>
      <w:bCs/>
      <w:sz w:val="20"/>
      <w:szCs w:val="20"/>
    </w:rPr>
  </w:style>
  <w:style w:type="table" w:styleId="Ciemnalista">
    <w:name w:val="Dark List"/>
    <w:basedOn w:val="Standardowy"/>
    <w:uiPriority w:val="99"/>
    <w:semiHidden/>
    <w:rsid w:val="002D2C99"/>
    <w:rPr>
      <w:color w:val="0072BC"/>
      <w:sz w:val="20"/>
      <w:szCs w:val="20"/>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2D2C99"/>
    <w:rPr>
      <w:color w:val="0072BC"/>
      <w:sz w:val="20"/>
      <w:szCs w:val="20"/>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2D2C99"/>
    <w:rPr>
      <w:color w:val="0072BC"/>
      <w:sz w:val="20"/>
      <w:szCs w:val="20"/>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2D2C99"/>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2D2C99"/>
    <w:rPr>
      <w:color w:val="0072BC"/>
      <w:sz w:val="20"/>
      <w:szCs w:val="20"/>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2D2C99"/>
    <w:rPr>
      <w:color w:val="0072BC"/>
      <w:sz w:val="20"/>
      <w:szCs w:val="20"/>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2D2C99"/>
    <w:rPr>
      <w:color w:val="0072BC"/>
      <w:sz w:val="20"/>
      <w:szCs w:val="20"/>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2D2C99"/>
  </w:style>
  <w:style w:type="character" w:customStyle="1" w:styleId="DataZnak">
    <w:name w:val="Data Znak"/>
    <w:basedOn w:val="Domylnaczcionkaakapitu"/>
    <w:link w:val="Data"/>
    <w:uiPriority w:val="99"/>
    <w:semiHidden/>
    <w:locked/>
    <w:rsid w:val="002D2C99"/>
    <w:rPr>
      <w:rFonts w:eastAsia="MS Mincho"/>
      <w:sz w:val="24"/>
      <w:szCs w:val="24"/>
    </w:rPr>
  </w:style>
  <w:style w:type="paragraph" w:styleId="Mapadokumentu">
    <w:name w:val="Document Map"/>
    <w:basedOn w:val="Normalny"/>
    <w:link w:val="MapadokumentuZnak"/>
    <w:uiPriority w:val="99"/>
    <w:semiHidden/>
    <w:rsid w:val="002D2C99"/>
    <w:rPr>
      <w:rFonts w:ascii="Tahoma" w:hAnsi="Tahoma" w:cs="Tahoma"/>
      <w:sz w:val="16"/>
      <w:szCs w:val="16"/>
    </w:rPr>
  </w:style>
  <w:style w:type="character" w:customStyle="1" w:styleId="MapadokumentuZnak">
    <w:name w:val="Mapa dokumentu Znak"/>
    <w:basedOn w:val="Domylnaczcionkaakapitu"/>
    <w:link w:val="Mapadokumentu"/>
    <w:uiPriority w:val="99"/>
    <w:semiHidden/>
    <w:locked/>
    <w:rsid w:val="002D2C99"/>
    <w:rPr>
      <w:rFonts w:ascii="Tahoma" w:eastAsia="MS Mincho" w:hAnsi="Tahoma" w:cs="Tahoma"/>
      <w:sz w:val="16"/>
      <w:szCs w:val="16"/>
    </w:rPr>
  </w:style>
  <w:style w:type="paragraph" w:styleId="Podpise-mail">
    <w:name w:val="E-mail Signature"/>
    <w:basedOn w:val="Normalny"/>
    <w:link w:val="Podpise-mailZnak"/>
    <w:uiPriority w:val="99"/>
    <w:semiHidden/>
    <w:rsid w:val="002D2C99"/>
  </w:style>
  <w:style w:type="character" w:customStyle="1" w:styleId="Podpise-mailZnak">
    <w:name w:val="Podpis e-mail Znak"/>
    <w:basedOn w:val="Domylnaczcionkaakapitu"/>
    <w:link w:val="Podpise-mail"/>
    <w:uiPriority w:val="99"/>
    <w:semiHidden/>
    <w:locked/>
    <w:rsid w:val="002D2C99"/>
    <w:rPr>
      <w:rFonts w:eastAsia="MS Mincho"/>
      <w:sz w:val="24"/>
      <w:szCs w:val="24"/>
    </w:rPr>
  </w:style>
  <w:style w:type="character" w:styleId="Odwoanieprzypisukocowego">
    <w:name w:val="endnote reference"/>
    <w:basedOn w:val="Domylnaczcionkaakapitu"/>
    <w:uiPriority w:val="99"/>
    <w:semiHidden/>
    <w:rsid w:val="00DE67CB"/>
    <w:rPr>
      <w:vertAlign w:val="superscript"/>
    </w:rPr>
  </w:style>
  <w:style w:type="paragraph" w:styleId="Tekstprzypisukocowego">
    <w:name w:val="endnote text"/>
    <w:basedOn w:val="Normalny"/>
    <w:link w:val="TekstprzypisukocowegoZnak"/>
    <w:uiPriority w:val="99"/>
    <w:semiHidden/>
    <w:rsid w:val="00DE67CB"/>
    <w:rPr>
      <w:sz w:val="20"/>
      <w:szCs w:val="20"/>
    </w:rPr>
  </w:style>
  <w:style w:type="character" w:customStyle="1" w:styleId="TekstprzypisukocowegoZnak">
    <w:name w:val="Tekst przypisu końcowego Znak"/>
    <w:basedOn w:val="Domylnaczcionkaakapitu"/>
    <w:link w:val="Tekstprzypisukocowego"/>
    <w:uiPriority w:val="99"/>
    <w:semiHidden/>
    <w:locked/>
    <w:rsid w:val="00DE67CB"/>
    <w:rPr>
      <w:rFonts w:eastAsia="MS Mincho"/>
      <w:sz w:val="20"/>
      <w:szCs w:val="20"/>
      <w:lang w:val="en-GB"/>
    </w:rPr>
  </w:style>
  <w:style w:type="paragraph" w:styleId="Adresnakopercie">
    <w:name w:val="envelope address"/>
    <w:basedOn w:val="Normalny"/>
    <w:uiPriority w:val="99"/>
    <w:semiHidden/>
    <w:rsid w:val="002D2C99"/>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2D2C99"/>
    <w:rPr>
      <w:rFonts w:eastAsia="MS Gothic"/>
      <w:sz w:val="20"/>
      <w:szCs w:val="20"/>
    </w:rPr>
  </w:style>
  <w:style w:type="character" w:styleId="UyteHipercze">
    <w:name w:val="FollowedHyperlink"/>
    <w:basedOn w:val="Domylnaczcionkaakapitu"/>
    <w:uiPriority w:val="99"/>
    <w:semiHidden/>
    <w:rsid w:val="002D2C99"/>
    <w:rPr>
      <w:color w:val="auto"/>
      <w:u w:val="single"/>
    </w:rPr>
  </w:style>
  <w:style w:type="character" w:styleId="HTML-akronim">
    <w:name w:val="HTML Acronym"/>
    <w:basedOn w:val="Domylnaczcionkaakapitu"/>
    <w:uiPriority w:val="99"/>
    <w:semiHidden/>
    <w:rsid w:val="002D2C99"/>
  </w:style>
  <w:style w:type="paragraph" w:styleId="HTML-adres">
    <w:name w:val="HTML Address"/>
    <w:basedOn w:val="Normalny"/>
    <w:link w:val="HTML-adresZnak"/>
    <w:uiPriority w:val="99"/>
    <w:semiHidden/>
    <w:rsid w:val="002D2C99"/>
    <w:rPr>
      <w:i/>
      <w:iCs/>
    </w:rPr>
  </w:style>
  <w:style w:type="character" w:customStyle="1" w:styleId="HTML-adresZnak">
    <w:name w:val="HTML - adres Znak"/>
    <w:basedOn w:val="Domylnaczcionkaakapitu"/>
    <w:link w:val="HTML-adres"/>
    <w:uiPriority w:val="99"/>
    <w:semiHidden/>
    <w:locked/>
    <w:rsid w:val="002D2C99"/>
    <w:rPr>
      <w:rFonts w:eastAsia="MS Mincho"/>
      <w:i/>
      <w:iCs/>
      <w:sz w:val="24"/>
      <w:szCs w:val="24"/>
    </w:rPr>
  </w:style>
  <w:style w:type="character" w:styleId="HTML-cytat">
    <w:name w:val="HTML Cite"/>
    <w:basedOn w:val="Domylnaczcionkaakapitu"/>
    <w:uiPriority w:val="99"/>
    <w:semiHidden/>
    <w:rsid w:val="002D2C99"/>
    <w:rPr>
      <w:i/>
      <w:iCs/>
    </w:rPr>
  </w:style>
  <w:style w:type="character" w:styleId="HTML-kod">
    <w:name w:val="HTML Code"/>
    <w:basedOn w:val="Domylnaczcionkaakapitu"/>
    <w:uiPriority w:val="99"/>
    <w:semiHidden/>
    <w:rsid w:val="002D2C99"/>
    <w:rPr>
      <w:rFonts w:ascii="Consolas" w:hAnsi="Consolas" w:cs="Consolas"/>
      <w:sz w:val="20"/>
      <w:szCs w:val="20"/>
    </w:rPr>
  </w:style>
  <w:style w:type="character" w:styleId="HTML-definicja">
    <w:name w:val="HTML Definition"/>
    <w:basedOn w:val="Domylnaczcionkaakapitu"/>
    <w:uiPriority w:val="99"/>
    <w:semiHidden/>
    <w:rsid w:val="002D2C99"/>
    <w:rPr>
      <w:i/>
      <w:iCs/>
    </w:rPr>
  </w:style>
  <w:style w:type="character" w:styleId="HTML-klawiatura">
    <w:name w:val="HTML Keyboard"/>
    <w:basedOn w:val="Domylnaczcionkaakapitu"/>
    <w:uiPriority w:val="99"/>
    <w:semiHidden/>
    <w:rsid w:val="002D2C99"/>
    <w:rPr>
      <w:rFonts w:ascii="Consolas" w:hAnsi="Consolas" w:cs="Consolas"/>
      <w:sz w:val="20"/>
      <w:szCs w:val="20"/>
    </w:rPr>
  </w:style>
  <w:style w:type="paragraph" w:styleId="HTML-wstpniesformatowany">
    <w:name w:val="HTML Preformatted"/>
    <w:basedOn w:val="Normalny"/>
    <w:link w:val="HTML-wstpniesformatowanyZnak"/>
    <w:uiPriority w:val="99"/>
    <w:semiHidden/>
    <w:rsid w:val="002D2C9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locked/>
    <w:rsid w:val="002D2C99"/>
    <w:rPr>
      <w:rFonts w:ascii="Consolas" w:eastAsia="MS Mincho" w:hAnsi="Consolas" w:cs="Consolas"/>
      <w:sz w:val="20"/>
      <w:szCs w:val="20"/>
    </w:rPr>
  </w:style>
  <w:style w:type="character" w:styleId="HTML-przykad">
    <w:name w:val="HTML Sample"/>
    <w:basedOn w:val="Domylnaczcionkaakapitu"/>
    <w:uiPriority w:val="99"/>
    <w:semiHidden/>
    <w:rsid w:val="002D2C99"/>
    <w:rPr>
      <w:rFonts w:ascii="Consolas" w:hAnsi="Consolas" w:cs="Consolas"/>
      <w:sz w:val="24"/>
      <w:szCs w:val="24"/>
    </w:rPr>
  </w:style>
  <w:style w:type="character" w:styleId="HTML-staaszeroko">
    <w:name w:val="HTML Typewriter"/>
    <w:basedOn w:val="Domylnaczcionkaakapitu"/>
    <w:uiPriority w:val="99"/>
    <w:semiHidden/>
    <w:rsid w:val="002D2C99"/>
    <w:rPr>
      <w:rFonts w:ascii="Consolas" w:hAnsi="Consolas" w:cs="Consolas"/>
      <w:sz w:val="20"/>
      <w:szCs w:val="20"/>
    </w:rPr>
  </w:style>
  <w:style w:type="character" w:styleId="HTML-zmienna">
    <w:name w:val="HTML Variable"/>
    <w:basedOn w:val="Domylnaczcionkaakapitu"/>
    <w:uiPriority w:val="99"/>
    <w:semiHidden/>
    <w:rsid w:val="002D2C99"/>
    <w:rPr>
      <w:i/>
      <w:iCs/>
    </w:rPr>
  </w:style>
  <w:style w:type="paragraph" w:styleId="Indeks1">
    <w:name w:val="index 1"/>
    <w:basedOn w:val="Normalny"/>
    <w:next w:val="Normalny"/>
    <w:autoRedefine/>
    <w:uiPriority w:val="99"/>
    <w:semiHidden/>
    <w:rsid w:val="002D2C99"/>
    <w:pPr>
      <w:ind w:left="240" w:hanging="240"/>
    </w:pPr>
  </w:style>
  <w:style w:type="paragraph" w:styleId="Indeks2">
    <w:name w:val="index 2"/>
    <w:basedOn w:val="Normalny"/>
    <w:next w:val="Normalny"/>
    <w:autoRedefine/>
    <w:uiPriority w:val="99"/>
    <w:semiHidden/>
    <w:rsid w:val="002D2C99"/>
    <w:pPr>
      <w:ind w:left="480" w:hanging="240"/>
    </w:pPr>
  </w:style>
  <w:style w:type="paragraph" w:styleId="Indeks3">
    <w:name w:val="index 3"/>
    <w:basedOn w:val="Normalny"/>
    <w:next w:val="Normalny"/>
    <w:autoRedefine/>
    <w:uiPriority w:val="99"/>
    <w:semiHidden/>
    <w:rsid w:val="002D2C99"/>
    <w:pPr>
      <w:ind w:left="720" w:hanging="240"/>
    </w:pPr>
  </w:style>
  <w:style w:type="paragraph" w:styleId="Indeks4">
    <w:name w:val="index 4"/>
    <w:basedOn w:val="Normalny"/>
    <w:next w:val="Normalny"/>
    <w:autoRedefine/>
    <w:uiPriority w:val="99"/>
    <w:semiHidden/>
    <w:rsid w:val="002D2C99"/>
    <w:pPr>
      <w:ind w:left="960" w:hanging="240"/>
    </w:pPr>
  </w:style>
  <w:style w:type="paragraph" w:styleId="Indeks5">
    <w:name w:val="index 5"/>
    <w:basedOn w:val="Normalny"/>
    <w:next w:val="Normalny"/>
    <w:autoRedefine/>
    <w:uiPriority w:val="99"/>
    <w:semiHidden/>
    <w:rsid w:val="002D2C99"/>
    <w:pPr>
      <w:ind w:left="1200" w:hanging="240"/>
    </w:pPr>
  </w:style>
  <w:style w:type="paragraph" w:styleId="Indeks6">
    <w:name w:val="index 6"/>
    <w:basedOn w:val="Normalny"/>
    <w:next w:val="Normalny"/>
    <w:autoRedefine/>
    <w:uiPriority w:val="99"/>
    <w:semiHidden/>
    <w:rsid w:val="002D2C99"/>
    <w:pPr>
      <w:ind w:left="1440" w:hanging="240"/>
    </w:pPr>
  </w:style>
  <w:style w:type="paragraph" w:styleId="Indeks7">
    <w:name w:val="index 7"/>
    <w:basedOn w:val="Normalny"/>
    <w:next w:val="Normalny"/>
    <w:autoRedefine/>
    <w:uiPriority w:val="99"/>
    <w:semiHidden/>
    <w:rsid w:val="002D2C99"/>
    <w:pPr>
      <w:ind w:left="1680" w:hanging="240"/>
    </w:pPr>
  </w:style>
  <w:style w:type="paragraph" w:styleId="Indeks8">
    <w:name w:val="index 8"/>
    <w:basedOn w:val="Normalny"/>
    <w:next w:val="Normalny"/>
    <w:autoRedefine/>
    <w:uiPriority w:val="99"/>
    <w:semiHidden/>
    <w:rsid w:val="002D2C99"/>
    <w:pPr>
      <w:ind w:left="1920" w:hanging="240"/>
    </w:pPr>
  </w:style>
  <w:style w:type="paragraph" w:styleId="Indeks9">
    <w:name w:val="index 9"/>
    <w:basedOn w:val="Normalny"/>
    <w:next w:val="Normalny"/>
    <w:autoRedefine/>
    <w:uiPriority w:val="99"/>
    <w:semiHidden/>
    <w:rsid w:val="002D2C99"/>
    <w:pPr>
      <w:ind w:left="2160" w:hanging="240"/>
    </w:pPr>
  </w:style>
  <w:style w:type="paragraph" w:styleId="Nagwekindeksu">
    <w:name w:val="index heading"/>
    <w:basedOn w:val="Normalny"/>
    <w:next w:val="Indeks1"/>
    <w:uiPriority w:val="99"/>
    <w:semiHidden/>
    <w:rsid w:val="002D2C99"/>
    <w:rPr>
      <w:rFonts w:eastAsia="MS Gothic"/>
      <w:b/>
      <w:bCs/>
    </w:rPr>
  </w:style>
  <w:style w:type="table" w:styleId="Jasnasiatka">
    <w:name w:val="Light Grid"/>
    <w:basedOn w:val="Standardowy"/>
    <w:uiPriority w:val="99"/>
    <w:semiHidden/>
    <w:rsid w:val="002D2C99"/>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2D2C99"/>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2D2C99"/>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2D2C99"/>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2D2C99"/>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2D2C99"/>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2D2C99"/>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2D2C99"/>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2D2C99"/>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2D2C99"/>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2D2C99"/>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2D2C99"/>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2D2C99"/>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2D2C99"/>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2D2C99"/>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2D2C99"/>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2D2C99"/>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2D2C99"/>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2D2C99"/>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2D2C99"/>
  </w:style>
  <w:style w:type="paragraph" w:styleId="Lista">
    <w:name w:val="List"/>
    <w:basedOn w:val="Normalny"/>
    <w:uiPriority w:val="99"/>
    <w:semiHidden/>
    <w:rsid w:val="002D2C99"/>
    <w:pPr>
      <w:ind w:left="283" w:hanging="283"/>
    </w:pPr>
  </w:style>
  <w:style w:type="paragraph" w:styleId="Lista2">
    <w:name w:val="List 2"/>
    <w:basedOn w:val="Normalny"/>
    <w:uiPriority w:val="99"/>
    <w:semiHidden/>
    <w:rsid w:val="002D2C99"/>
    <w:pPr>
      <w:ind w:left="566" w:hanging="283"/>
    </w:pPr>
  </w:style>
  <w:style w:type="paragraph" w:styleId="Lista3">
    <w:name w:val="List 3"/>
    <w:basedOn w:val="Normalny"/>
    <w:uiPriority w:val="99"/>
    <w:semiHidden/>
    <w:rsid w:val="002D2C99"/>
    <w:pPr>
      <w:ind w:left="849" w:hanging="283"/>
    </w:pPr>
  </w:style>
  <w:style w:type="paragraph" w:styleId="Lista4">
    <w:name w:val="List 4"/>
    <w:basedOn w:val="Normalny"/>
    <w:uiPriority w:val="99"/>
    <w:semiHidden/>
    <w:rsid w:val="002D2C99"/>
    <w:pPr>
      <w:ind w:left="1132" w:hanging="283"/>
    </w:pPr>
  </w:style>
  <w:style w:type="paragraph" w:styleId="Lista5">
    <w:name w:val="List 5"/>
    <w:basedOn w:val="Normalny"/>
    <w:uiPriority w:val="99"/>
    <w:semiHidden/>
    <w:rsid w:val="002D2C99"/>
    <w:pPr>
      <w:ind w:left="1415" w:hanging="283"/>
    </w:pPr>
  </w:style>
  <w:style w:type="paragraph" w:styleId="Listapunktowana">
    <w:name w:val="List Bullet"/>
    <w:basedOn w:val="Normalny"/>
    <w:uiPriority w:val="99"/>
    <w:semiHidden/>
    <w:rsid w:val="002D2C99"/>
    <w:pPr>
      <w:numPr>
        <w:numId w:val="1"/>
      </w:numPr>
      <w:tabs>
        <w:tab w:val="clear" w:pos="643"/>
        <w:tab w:val="num" w:pos="360"/>
      </w:tabs>
      <w:ind w:left="360"/>
    </w:pPr>
  </w:style>
  <w:style w:type="paragraph" w:styleId="Listapunktowana3">
    <w:name w:val="List Bullet 3"/>
    <w:basedOn w:val="Normalny"/>
    <w:uiPriority w:val="99"/>
    <w:semiHidden/>
    <w:rsid w:val="002D2C99"/>
    <w:pPr>
      <w:numPr>
        <w:numId w:val="2"/>
      </w:numPr>
      <w:tabs>
        <w:tab w:val="clear" w:pos="360"/>
        <w:tab w:val="num" w:pos="926"/>
      </w:tabs>
      <w:ind w:left="926"/>
    </w:pPr>
  </w:style>
  <w:style w:type="paragraph" w:styleId="Listapunktowana4">
    <w:name w:val="List Bullet 4"/>
    <w:basedOn w:val="Normalny"/>
    <w:uiPriority w:val="99"/>
    <w:semiHidden/>
    <w:rsid w:val="002D2C99"/>
    <w:pPr>
      <w:numPr>
        <w:numId w:val="3"/>
      </w:numPr>
      <w:tabs>
        <w:tab w:val="clear" w:pos="926"/>
        <w:tab w:val="num" w:pos="1209"/>
      </w:tabs>
      <w:ind w:left="1209"/>
    </w:pPr>
  </w:style>
  <w:style w:type="paragraph" w:styleId="Listapunktowana5">
    <w:name w:val="List Bullet 5"/>
    <w:basedOn w:val="Normalny"/>
    <w:uiPriority w:val="99"/>
    <w:semiHidden/>
    <w:rsid w:val="002D2C99"/>
    <w:pPr>
      <w:numPr>
        <w:numId w:val="4"/>
      </w:numPr>
      <w:tabs>
        <w:tab w:val="clear" w:pos="1209"/>
        <w:tab w:val="num" w:pos="1492"/>
      </w:tabs>
      <w:ind w:left="1492"/>
    </w:pPr>
  </w:style>
  <w:style w:type="paragraph" w:styleId="Lista-kontynuacja">
    <w:name w:val="List Continue"/>
    <w:basedOn w:val="Normalny"/>
    <w:uiPriority w:val="99"/>
    <w:semiHidden/>
    <w:rsid w:val="002D2C99"/>
    <w:pPr>
      <w:spacing w:after="120"/>
      <w:ind w:left="283"/>
    </w:pPr>
  </w:style>
  <w:style w:type="paragraph" w:styleId="Lista-kontynuacja2">
    <w:name w:val="List Continue 2"/>
    <w:basedOn w:val="Normalny"/>
    <w:uiPriority w:val="99"/>
    <w:semiHidden/>
    <w:rsid w:val="002D2C99"/>
    <w:pPr>
      <w:spacing w:after="120"/>
      <w:ind w:left="566"/>
    </w:pPr>
  </w:style>
  <w:style w:type="paragraph" w:styleId="Lista-kontynuacja3">
    <w:name w:val="List Continue 3"/>
    <w:basedOn w:val="Normalny"/>
    <w:uiPriority w:val="99"/>
    <w:semiHidden/>
    <w:rsid w:val="002D2C99"/>
    <w:pPr>
      <w:spacing w:after="120"/>
      <w:ind w:left="849"/>
    </w:pPr>
  </w:style>
  <w:style w:type="paragraph" w:styleId="Lista-kontynuacja4">
    <w:name w:val="List Continue 4"/>
    <w:basedOn w:val="Normalny"/>
    <w:uiPriority w:val="99"/>
    <w:semiHidden/>
    <w:rsid w:val="002D2C99"/>
    <w:pPr>
      <w:spacing w:after="120"/>
      <w:ind w:left="1132"/>
    </w:pPr>
  </w:style>
  <w:style w:type="paragraph" w:styleId="Lista-kontynuacja5">
    <w:name w:val="List Continue 5"/>
    <w:basedOn w:val="Normalny"/>
    <w:uiPriority w:val="99"/>
    <w:semiHidden/>
    <w:rsid w:val="002D2C99"/>
    <w:pPr>
      <w:spacing w:after="120"/>
      <w:ind w:left="1415"/>
    </w:pPr>
  </w:style>
  <w:style w:type="paragraph" w:styleId="Listanumerowana">
    <w:name w:val="List Number"/>
    <w:basedOn w:val="Normalny"/>
    <w:uiPriority w:val="99"/>
    <w:semiHidden/>
    <w:rsid w:val="002D2C99"/>
    <w:pPr>
      <w:numPr>
        <w:numId w:val="5"/>
      </w:numPr>
      <w:tabs>
        <w:tab w:val="clear" w:pos="1492"/>
        <w:tab w:val="num" w:pos="360"/>
      </w:tabs>
      <w:ind w:left="360"/>
    </w:pPr>
  </w:style>
  <w:style w:type="paragraph" w:styleId="Listanumerowana2">
    <w:name w:val="List Number 2"/>
    <w:basedOn w:val="Normalny"/>
    <w:uiPriority w:val="99"/>
    <w:semiHidden/>
    <w:rsid w:val="002D2C99"/>
    <w:pPr>
      <w:numPr>
        <w:numId w:val="6"/>
      </w:numPr>
      <w:tabs>
        <w:tab w:val="clear" w:pos="360"/>
        <w:tab w:val="num" w:pos="643"/>
      </w:tabs>
      <w:ind w:left="643"/>
    </w:pPr>
  </w:style>
  <w:style w:type="paragraph" w:styleId="Listanumerowana3">
    <w:name w:val="List Number 3"/>
    <w:basedOn w:val="Normalny"/>
    <w:uiPriority w:val="99"/>
    <w:semiHidden/>
    <w:rsid w:val="002D2C99"/>
    <w:pPr>
      <w:numPr>
        <w:numId w:val="7"/>
      </w:numPr>
      <w:tabs>
        <w:tab w:val="clear" w:pos="643"/>
        <w:tab w:val="num" w:pos="926"/>
      </w:tabs>
      <w:ind w:left="926"/>
    </w:pPr>
  </w:style>
  <w:style w:type="paragraph" w:styleId="Listanumerowana4">
    <w:name w:val="List Number 4"/>
    <w:basedOn w:val="Normalny"/>
    <w:uiPriority w:val="99"/>
    <w:semiHidden/>
    <w:rsid w:val="002D2C99"/>
    <w:pPr>
      <w:numPr>
        <w:numId w:val="8"/>
      </w:numPr>
      <w:tabs>
        <w:tab w:val="clear" w:pos="926"/>
        <w:tab w:val="num" w:pos="1209"/>
      </w:tabs>
      <w:ind w:left="1209"/>
    </w:pPr>
  </w:style>
  <w:style w:type="paragraph" w:styleId="Listanumerowana5">
    <w:name w:val="List Number 5"/>
    <w:basedOn w:val="Normalny"/>
    <w:uiPriority w:val="99"/>
    <w:semiHidden/>
    <w:rsid w:val="002D2C99"/>
    <w:pPr>
      <w:numPr>
        <w:numId w:val="9"/>
      </w:numPr>
      <w:tabs>
        <w:tab w:val="clear" w:pos="1209"/>
        <w:tab w:val="num" w:pos="1492"/>
      </w:tabs>
      <w:ind w:left="1492"/>
    </w:pPr>
  </w:style>
  <w:style w:type="paragraph" w:styleId="Tekstmakra">
    <w:name w:val="macro"/>
    <w:link w:val="TekstmakraZnak"/>
    <w:uiPriority w:val="99"/>
    <w:semiHidden/>
    <w:rsid w:val="002D2C99"/>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TekstmakraZnak">
    <w:name w:val="Tekst makra Znak"/>
    <w:basedOn w:val="Domylnaczcionkaakapitu"/>
    <w:link w:val="Tekstmakra"/>
    <w:uiPriority w:val="99"/>
    <w:semiHidden/>
    <w:locked/>
    <w:rsid w:val="002D2C99"/>
    <w:rPr>
      <w:rFonts w:ascii="Consolas" w:eastAsia="MS Mincho" w:hAnsi="Consolas" w:cs="Consolas"/>
      <w:lang w:val="en-US" w:eastAsia="en-US"/>
    </w:rPr>
  </w:style>
  <w:style w:type="table" w:styleId="redniasiatka1">
    <w:name w:val="Medium Grid 1"/>
    <w:basedOn w:val="Standardowy"/>
    <w:uiPriority w:val="99"/>
    <w:semiHidden/>
    <w:rsid w:val="002D2C99"/>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2D2C99"/>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2D2C99"/>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2D2C99"/>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2D2C99"/>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2D2C99"/>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2D2C99"/>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2D2C99"/>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2D2C99"/>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2D2C99"/>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2D2C99"/>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2D2C99"/>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2D2C99"/>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2D2C99"/>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2D2C99"/>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2D2C99"/>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2D2C99"/>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2D2C99"/>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2D2C99"/>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2D2C99"/>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2D2C99"/>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2D2C99"/>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2D2C99"/>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2D2C99"/>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2D2C99"/>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2D2C99"/>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2D2C99"/>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2D2C99"/>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2D2C99"/>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2D2C99"/>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2D2C99"/>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2D2C99"/>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2D2C99"/>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2D2C99"/>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2D2C99"/>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2D2C99"/>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2D2C99"/>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2D2C99"/>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2D2C99"/>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2D2C99"/>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2D2C99"/>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2D2C99"/>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2D2C99"/>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2D2C99"/>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rPr>
  </w:style>
  <w:style w:type="character" w:customStyle="1" w:styleId="NagwekwiadomociZnak">
    <w:name w:val="Nagłówek wiadomości Znak"/>
    <w:basedOn w:val="Domylnaczcionkaakapitu"/>
    <w:link w:val="Nagwekwiadomoci"/>
    <w:uiPriority w:val="99"/>
    <w:semiHidden/>
    <w:locked/>
    <w:rsid w:val="002D2C99"/>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2D2C99"/>
  </w:style>
  <w:style w:type="paragraph" w:styleId="Wcicienormalne">
    <w:name w:val="Normal Indent"/>
    <w:basedOn w:val="Normalny"/>
    <w:uiPriority w:val="99"/>
    <w:semiHidden/>
    <w:rsid w:val="002D2C99"/>
    <w:pPr>
      <w:ind w:left="720"/>
    </w:pPr>
  </w:style>
  <w:style w:type="paragraph" w:styleId="Nagweknotatki">
    <w:name w:val="Note Heading"/>
    <w:basedOn w:val="Normalny"/>
    <w:next w:val="Normalny"/>
    <w:link w:val="NagweknotatkiZnak"/>
    <w:uiPriority w:val="99"/>
    <w:semiHidden/>
    <w:rsid w:val="002D2C99"/>
  </w:style>
  <w:style w:type="character" w:customStyle="1" w:styleId="NagweknotatkiZnak">
    <w:name w:val="Nagłówek notatki Znak"/>
    <w:basedOn w:val="Domylnaczcionkaakapitu"/>
    <w:link w:val="Nagweknotatki"/>
    <w:uiPriority w:val="99"/>
    <w:semiHidden/>
    <w:locked/>
    <w:rsid w:val="002D2C99"/>
    <w:rPr>
      <w:rFonts w:eastAsia="MS Mincho"/>
      <w:sz w:val="24"/>
      <w:szCs w:val="24"/>
    </w:rPr>
  </w:style>
  <w:style w:type="character" w:styleId="Tekstzastpczy">
    <w:name w:val="Placeholder Text"/>
    <w:basedOn w:val="Domylnaczcionkaakapitu"/>
    <w:uiPriority w:val="99"/>
    <w:semiHidden/>
    <w:rsid w:val="00DE67CB"/>
    <w:rPr>
      <w:color w:val="auto"/>
      <w:shd w:val="clear" w:color="auto" w:fill="DFDFDF"/>
    </w:rPr>
  </w:style>
  <w:style w:type="paragraph" w:styleId="Zwykytekst">
    <w:name w:val="Plain Text"/>
    <w:basedOn w:val="Normalny"/>
    <w:link w:val="ZwykytekstZnak"/>
    <w:uiPriority w:val="99"/>
    <w:semiHidden/>
    <w:rsid w:val="002D2C99"/>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2D2C99"/>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2D2C99"/>
  </w:style>
  <w:style w:type="character" w:customStyle="1" w:styleId="ZwrotgrzecznociowyZnak">
    <w:name w:val="Zwrot grzecznościowy Znak"/>
    <w:basedOn w:val="Domylnaczcionkaakapitu"/>
    <w:link w:val="Zwrotgrzecznociowy"/>
    <w:uiPriority w:val="99"/>
    <w:semiHidden/>
    <w:locked/>
    <w:rsid w:val="002D2C99"/>
    <w:rPr>
      <w:rFonts w:eastAsia="MS Mincho"/>
      <w:sz w:val="24"/>
      <w:szCs w:val="24"/>
    </w:rPr>
  </w:style>
  <w:style w:type="paragraph" w:styleId="Podpis">
    <w:name w:val="Signature"/>
    <w:basedOn w:val="Normalny"/>
    <w:link w:val="PodpisZnak"/>
    <w:uiPriority w:val="99"/>
    <w:semiHidden/>
    <w:rsid w:val="002D2C99"/>
    <w:pPr>
      <w:ind w:left="4252"/>
    </w:pPr>
  </w:style>
  <w:style w:type="character" w:customStyle="1" w:styleId="PodpisZnak">
    <w:name w:val="Podpis Znak"/>
    <w:basedOn w:val="Domylnaczcionkaakapitu"/>
    <w:link w:val="Podpis"/>
    <w:uiPriority w:val="99"/>
    <w:semiHidden/>
    <w:locked/>
    <w:rsid w:val="002D2C99"/>
    <w:rPr>
      <w:rFonts w:eastAsia="MS Mincho"/>
      <w:sz w:val="24"/>
      <w:szCs w:val="24"/>
    </w:rPr>
  </w:style>
  <w:style w:type="table" w:styleId="Tabela-Efekty3W1">
    <w:name w:val="Table 3D effects 1"/>
    <w:basedOn w:val="Standardowy"/>
    <w:uiPriority w:val="99"/>
    <w:semiHidden/>
    <w:rsid w:val="002D2C99"/>
    <w:pPr>
      <w:jc w:val="both"/>
    </w:pPr>
    <w:rPr>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2D2C99"/>
    <w:pPr>
      <w:jc w:val="both"/>
    </w:pPr>
    <w:rPr>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2D2C99"/>
    <w:pPr>
      <w:jc w:val="both"/>
    </w:pPr>
    <w:rPr>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2D2C99"/>
    <w:pPr>
      <w:jc w:val="both"/>
    </w:pPr>
    <w:rPr>
      <w:sz w:val="20"/>
      <w:szCs w:val="20"/>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2D2C99"/>
    <w:pPr>
      <w:jc w:val="both"/>
    </w:pPr>
    <w:rPr>
      <w:sz w:val="20"/>
      <w:szCs w:val="20"/>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2D2C99"/>
    <w:pPr>
      <w:jc w:val="both"/>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2D2C99"/>
    <w:pPr>
      <w:jc w:val="both"/>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2D2C99"/>
    <w:pPr>
      <w:jc w:val="both"/>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2D2C99"/>
    <w:pPr>
      <w:jc w:val="both"/>
    </w:pPr>
    <w:rPr>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2D2C99"/>
    <w:pPr>
      <w:jc w:val="both"/>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2D2C99"/>
    <w:pPr>
      <w:jc w:val="both"/>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2D2C99"/>
    <w:pPr>
      <w:jc w:val="both"/>
    </w:pPr>
    <w:rPr>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2D2C99"/>
    <w:pPr>
      <w:jc w:val="both"/>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2D2C99"/>
    <w:pPr>
      <w:jc w:val="both"/>
    </w:pPr>
    <w:rPr>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2D2C99"/>
    <w:pPr>
      <w:jc w:val="both"/>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2D2C99"/>
    <w:pPr>
      <w:jc w:val="both"/>
    </w:pPr>
    <w:rPr>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2D2C99"/>
    <w:pPr>
      <w:jc w:val="both"/>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2D2C99"/>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2D2C99"/>
    <w:pPr>
      <w:jc w:val="both"/>
    </w:pPr>
    <w:rPr>
      <w:sz w:val="20"/>
      <w:szCs w:val="20"/>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2D2C99"/>
    <w:pPr>
      <w:jc w:val="both"/>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2D2C99"/>
    <w:pPr>
      <w:jc w:val="both"/>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2D2C99"/>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2D2C99"/>
    <w:pPr>
      <w:jc w:val="both"/>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2D2C99"/>
    <w:pPr>
      <w:jc w:val="both"/>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2D2C99"/>
    <w:pPr>
      <w:jc w:val="both"/>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2D2C99"/>
    <w:pPr>
      <w:jc w:val="both"/>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2D2C99"/>
    <w:pPr>
      <w:jc w:val="both"/>
    </w:pPr>
    <w:rPr>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2D2C99"/>
    <w:pPr>
      <w:jc w:val="both"/>
    </w:pPr>
    <w:rPr>
      <w:sz w:val="20"/>
      <w:szCs w:val="20"/>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2D2C99"/>
    <w:pPr>
      <w:jc w:val="both"/>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2D2C99"/>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2D2C99"/>
    <w:pPr>
      <w:jc w:val="both"/>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2D2C99"/>
    <w:pPr>
      <w:jc w:val="both"/>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2D2C99"/>
    <w:pPr>
      <w:jc w:val="both"/>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2D2C99"/>
    <w:pPr>
      <w:ind w:left="240" w:hanging="240"/>
    </w:pPr>
  </w:style>
  <w:style w:type="paragraph" w:styleId="Spisilustracji">
    <w:name w:val="table of figures"/>
    <w:basedOn w:val="Normalny"/>
    <w:next w:val="Normalny"/>
    <w:uiPriority w:val="99"/>
    <w:semiHidden/>
    <w:rsid w:val="002D2C99"/>
  </w:style>
  <w:style w:type="table" w:styleId="Tabela-Profesjonalny">
    <w:name w:val="Table Professional"/>
    <w:basedOn w:val="Standardowy"/>
    <w:uiPriority w:val="99"/>
    <w:semiHidden/>
    <w:rsid w:val="002D2C99"/>
    <w:pPr>
      <w:jc w:val="both"/>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2D2C99"/>
    <w:pPr>
      <w:jc w:val="both"/>
    </w:pPr>
    <w:rPr>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2D2C99"/>
    <w:pPr>
      <w:jc w:val="both"/>
    </w:pPr>
    <w:rPr>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2D2C99"/>
    <w:pPr>
      <w:jc w:val="both"/>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2D2C99"/>
    <w:pPr>
      <w:jc w:val="both"/>
    </w:pPr>
    <w:rPr>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2D2C99"/>
    <w:pPr>
      <w:jc w:val="both"/>
    </w:pPr>
    <w:rPr>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2D2C99"/>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2D2C99"/>
    <w:pPr>
      <w:jc w:val="both"/>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2D2C99"/>
    <w:pPr>
      <w:jc w:val="both"/>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2D2C99"/>
    <w:pPr>
      <w:jc w:val="both"/>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E67CB"/>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DE67CB"/>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2D2C99"/>
    <w:pPr>
      <w:spacing w:after="100"/>
      <w:ind w:left="1680"/>
    </w:pPr>
  </w:style>
  <w:style w:type="paragraph" w:styleId="Spistreci9">
    <w:name w:val="toc 9"/>
    <w:basedOn w:val="Normalny"/>
    <w:next w:val="Normalny"/>
    <w:autoRedefine/>
    <w:uiPriority w:val="99"/>
    <w:semiHidden/>
    <w:rsid w:val="002D2C99"/>
    <w:pPr>
      <w:spacing w:after="100"/>
      <w:ind w:left="1920"/>
    </w:pPr>
  </w:style>
  <w:style w:type="paragraph" w:customStyle="1" w:styleId="OpiQuot">
    <w:name w:val="Opi_Quot"/>
    <w:basedOn w:val="ECHRParaQuote"/>
    <w:uiPriority w:val="99"/>
    <w:rsid w:val="00DE67CB"/>
  </w:style>
  <w:style w:type="paragraph" w:customStyle="1" w:styleId="OpiQuotSub">
    <w:name w:val="Opi_Quot_Sub"/>
    <w:basedOn w:val="JuQuotSub"/>
    <w:uiPriority w:val="99"/>
    <w:rsid w:val="00DE67CB"/>
  </w:style>
  <w:style w:type="paragraph" w:customStyle="1" w:styleId="ECHRFooter">
    <w:name w:val="ECHR_Footer"/>
    <w:aliases w:val="Footer_ECHR"/>
    <w:basedOn w:val="Stopka"/>
    <w:uiPriority w:val="99"/>
    <w:semiHidden/>
    <w:rsid w:val="00DE67CB"/>
    <w:pPr>
      <w:jc w:val="left"/>
    </w:pPr>
    <w:rPr>
      <w:sz w:val="8"/>
      <w:szCs w:val="8"/>
    </w:rPr>
  </w:style>
  <w:style w:type="paragraph" w:customStyle="1" w:styleId="ECHRFooterLine">
    <w:name w:val="ECHR_Footer_Line"/>
    <w:aliases w:val="Footer_Line"/>
    <w:basedOn w:val="Normalny"/>
    <w:next w:val="ECHRFooter"/>
    <w:uiPriority w:val="99"/>
    <w:semiHidden/>
    <w:rsid w:val="00DE67C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DE67CB"/>
    <w:pPr>
      <w:spacing w:after="240"/>
      <w:jc w:val="center"/>
      <w:outlineLvl w:val="0"/>
    </w:pPr>
  </w:style>
  <w:style w:type="paragraph" w:customStyle="1" w:styleId="OpiTranslation">
    <w:name w:val="Opi_Translation"/>
    <w:basedOn w:val="Normalny"/>
    <w:next w:val="OpiPara"/>
    <w:uiPriority w:val="99"/>
    <w:rsid w:val="00DE67CB"/>
    <w:pPr>
      <w:jc w:val="center"/>
      <w:outlineLvl w:val="0"/>
    </w:pPr>
    <w:rPr>
      <w:i/>
      <w:iCs/>
    </w:rPr>
  </w:style>
  <w:style w:type="paragraph" w:customStyle="1" w:styleId="JuHeaderLandscape">
    <w:name w:val="Ju_Header_Landscape"/>
    <w:basedOn w:val="ECHRHeader"/>
    <w:uiPriority w:val="99"/>
    <w:rsid w:val="00DE67CB"/>
    <w:pPr>
      <w:tabs>
        <w:tab w:val="clear" w:pos="3686"/>
        <w:tab w:val="clear" w:pos="7371"/>
        <w:tab w:val="center" w:pos="6146"/>
        <w:tab w:val="right" w:pos="12293"/>
      </w:tabs>
    </w:pPr>
  </w:style>
  <w:style w:type="paragraph" w:customStyle="1" w:styleId="JuTitle">
    <w:name w:val="Ju_Title"/>
    <w:basedOn w:val="Normalny"/>
    <w:next w:val="ECHRPara"/>
    <w:uiPriority w:val="99"/>
    <w:rsid w:val="00DE67CB"/>
    <w:pPr>
      <w:spacing w:before="720" w:after="240"/>
      <w:jc w:val="center"/>
      <w:outlineLvl w:val="0"/>
    </w:pPr>
    <w:rPr>
      <w:b/>
      <w:bCs/>
      <w:caps/>
    </w:rPr>
  </w:style>
  <w:style w:type="paragraph" w:customStyle="1" w:styleId="ECHRSpacer">
    <w:name w:val="ECHR_Spacer"/>
    <w:basedOn w:val="Normalny"/>
    <w:uiPriority w:val="99"/>
    <w:rsid w:val="0059426D"/>
    <w:pPr>
      <w:jc w:val="left"/>
    </w:pPr>
    <w:rPr>
      <w:rFonts w:eastAsia="Times New Roman"/>
      <w:sz w:val="4"/>
      <w:szCs w:val="4"/>
    </w:rPr>
  </w:style>
  <w:style w:type="character" w:customStyle="1" w:styleId="ECHRParaChar">
    <w:name w:val="ECHR_Para Char"/>
    <w:aliases w:val="Ju_Para Char"/>
    <w:link w:val="ECHRPara"/>
    <w:uiPriority w:val="99"/>
    <w:locked/>
    <w:rsid w:val="0059426D"/>
    <w:rPr>
      <w:rFonts w:eastAsia="MS Mincho"/>
      <w:sz w:val="24"/>
      <w:szCs w:val="24"/>
      <w:lang w:val="en-GB"/>
    </w:rPr>
  </w:style>
  <w:style w:type="paragraph" w:styleId="Poprawka">
    <w:name w:val="Revision"/>
    <w:hidden/>
    <w:uiPriority w:val="99"/>
    <w:semiHidden/>
    <w:rsid w:val="0059426D"/>
    <w:rPr>
      <w:rFonts w:eastAsia="MS Mincho"/>
      <w:sz w:val="24"/>
      <w:szCs w:val="24"/>
      <w:lang w:val="en-US" w:eastAsia="en-US"/>
    </w:rPr>
  </w:style>
  <w:style w:type="character" w:customStyle="1" w:styleId="JuHIRomanChar">
    <w:name w:val="Ju_H_I_Roman Char"/>
    <w:basedOn w:val="Domylnaczcionkaakapitu"/>
    <w:link w:val="ECHRHeading1"/>
    <w:uiPriority w:val="99"/>
    <w:locked/>
    <w:rsid w:val="0059426D"/>
    <w:rPr>
      <w:rFonts w:ascii="Times New Roman" w:eastAsia="MS Gothic" w:hAnsi="Times New Roman" w:cs="Times New Roman"/>
      <w:sz w:val="28"/>
      <w:szCs w:val="28"/>
      <w:lang w:val="en-GB"/>
    </w:rPr>
  </w:style>
  <w:style w:type="paragraph" w:customStyle="1" w:styleId="jupara">
    <w:name w:val="jupara"/>
    <w:basedOn w:val="Normalny"/>
    <w:uiPriority w:val="99"/>
    <w:rsid w:val="00387C04"/>
    <w:pPr>
      <w:ind w:firstLine="284"/>
    </w:pPr>
    <w:rPr>
      <w:rFonts w:eastAsia="Times New Roman"/>
      <w:lang w:eastAsia="en-GB"/>
    </w:rPr>
  </w:style>
  <w:style w:type="paragraph" w:customStyle="1" w:styleId="jucase0">
    <w:name w:val="jucase"/>
    <w:basedOn w:val="Normalny"/>
    <w:uiPriority w:val="99"/>
    <w:rsid w:val="00387C04"/>
    <w:pPr>
      <w:ind w:firstLine="284"/>
    </w:pPr>
    <w:rPr>
      <w:rFonts w:eastAsia="Times New Roman"/>
      <w:b/>
      <w:bCs/>
      <w:lang w:eastAsia="en-GB"/>
    </w:rPr>
  </w:style>
  <w:style w:type="character" w:customStyle="1" w:styleId="JuParaCar">
    <w:name w:val="Ju_Para Car"/>
    <w:basedOn w:val="Domylnaczcionkaakapitu"/>
    <w:uiPriority w:val="99"/>
    <w:locked/>
    <w:rsid w:val="00522C6E"/>
    <w:rPr>
      <w:rFonts w:eastAsia="MS Mincho"/>
      <w:sz w:val="24"/>
      <w:szCs w:val="24"/>
      <w:lang w:val="fr-FR"/>
    </w:rPr>
  </w:style>
  <w:style w:type="paragraph" w:customStyle="1" w:styleId="s50c0b1c7">
    <w:name w:val="s50c0b1c7"/>
    <w:basedOn w:val="Normalny"/>
    <w:uiPriority w:val="99"/>
    <w:rsid w:val="00522C6E"/>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522C6E"/>
  </w:style>
  <w:style w:type="character" w:customStyle="1" w:styleId="sfbbfee58">
    <w:name w:val="sfbbfee58"/>
    <w:basedOn w:val="Domylnaczcionkaakapitu"/>
    <w:uiPriority w:val="99"/>
    <w:rsid w:val="00522C6E"/>
  </w:style>
  <w:style w:type="paragraph" w:customStyle="1" w:styleId="s6c429373">
    <w:name w:val="s6c429373"/>
    <w:basedOn w:val="Normalny"/>
    <w:uiPriority w:val="99"/>
    <w:rsid w:val="00522C6E"/>
    <w:pPr>
      <w:spacing w:before="100" w:beforeAutospacing="1" w:after="100" w:afterAutospacing="1"/>
      <w:jc w:val="left"/>
    </w:pPr>
    <w:rPr>
      <w:rFonts w:eastAsia="Times New Roman"/>
      <w:lang w:val="pl-PL" w:eastAsia="pl-PL"/>
    </w:rPr>
  </w:style>
  <w:style w:type="character" w:customStyle="1" w:styleId="acopre">
    <w:name w:val="acopre"/>
    <w:basedOn w:val="Domylnaczcionkaakapitu"/>
    <w:uiPriority w:val="99"/>
    <w:rsid w:val="006E44F7"/>
  </w:style>
  <w:style w:type="character" w:customStyle="1" w:styleId="s4f807e54">
    <w:name w:val="s4f807e54"/>
    <w:uiPriority w:val="99"/>
    <w:rsid w:val="00C45D12"/>
  </w:style>
  <w:style w:type="numbering" w:styleId="Artykusekcja">
    <w:name w:val="Outline List 3"/>
    <w:basedOn w:val="Bezlisty"/>
    <w:uiPriority w:val="99"/>
    <w:semiHidden/>
    <w:unhideWhenUsed/>
    <w:locked/>
    <w:rsid w:val="00F10AE5"/>
    <w:pPr>
      <w:numPr>
        <w:numId w:val="13"/>
      </w:numPr>
    </w:pPr>
  </w:style>
  <w:style w:type="numbering" w:styleId="1ai">
    <w:name w:val="Outline List 1"/>
    <w:basedOn w:val="Bezlisty"/>
    <w:uiPriority w:val="99"/>
    <w:semiHidden/>
    <w:unhideWhenUsed/>
    <w:locked/>
    <w:rsid w:val="00F10AE5"/>
    <w:pPr>
      <w:numPr>
        <w:numId w:val="12"/>
      </w:numPr>
    </w:pPr>
  </w:style>
  <w:style w:type="numbering" w:styleId="111111">
    <w:name w:val="Outline List 2"/>
    <w:basedOn w:val="Bezlisty"/>
    <w:uiPriority w:val="99"/>
    <w:semiHidden/>
    <w:unhideWhenUsed/>
    <w:locked/>
    <w:rsid w:val="00F10AE5"/>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883131">
      <w:marLeft w:val="0"/>
      <w:marRight w:val="0"/>
      <w:marTop w:val="0"/>
      <w:marBottom w:val="0"/>
      <w:divBdr>
        <w:top w:val="none" w:sz="0" w:space="0" w:color="auto"/>
        <w:left w:val="none" w:sz="0" w:space="0" w:color="auto"/>
        <w:bottom w:val="none" w:sz="0" w:space="0" w:color="auto"/>
        <w:right w:val="none" w:sz="0" w:space="0" w:color="auto"/>
      </w:divBdr>
    </w:div>
    <w:div w:id="2818831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6416</Words>
  <Characters>39890</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2021-08-27T11:12:00Z</dcterms:created>
  <dcterms:modified xsi:type="dcterms:W3CDTF">2021-08-27T13:12:00Z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54414/13</vt:lpwstr>
  </property>
  <property fmtid="{D5CDD505-2E9C-101B-9397-08002B2CF9AE}" pid="4" name="CASEID">
    <vt:lpwstr>905145</vt:lpwstr>
  </property>
  <property fmtid="{D5CDD505-2E9C-101B-9397-08002B2CF9AE}" pid="5" name="ContentTypeId">
    <vt:lpwstr>0x010100558EB02BDB9E204AB350EDD385B68E10</vt:lpwstr>
  </property>
</Properties>
</file>