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77A" w:rsidRDefault="0027377A" w:rsidP="0027377A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 w:rsidR="009C6ED9" w:rsidRPr="001C66D1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</w:p>
    <w:p w:rsidR="0027377A" w:rsidRDefault="0027377A" w:rsidP="0027377A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584120" w:rsidRPr="00BC4C35" w:rsidRDefault="0027377A" w:rsidP="0027377A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BC4C35">
        <w:rPr>
          <w:lang w:val="pl-PL"/>
        </w:rPr>
        <w:t xml:space="preserve"> </w:t>
      </w:r>
      <w:r w:rsidR="00EB42E0" w:rsidRPr="00BC4C35">
        <w:rPr>
          <w:lang w:val="pl-PL"/>
        </w:rPr>
        <w:t>225</w:t>
      </w:r>
    </w:p>
    <w:p w:rsidR="00584120" w:rsidRPr="00BC4C35" w:rsidRDefault="00BC4C35">
      <w:pPr>
        <w:pStyle w:val="ClinEditionMonth"/>
        <w:rPr>
          <w:lang w:val="pl-PL"/>
        </w:rPr>
      </w:pPr>
      <w:r w:rsidRPr="00BC4C35">
        <w:rPr>
          <w:lang w:val="pl-PL"/>
        </w:rPr>
        <w:t xml:space="preserve">Styczeń </w:t>
      </w:r>
      <w:r w:rsidR="00EB42E0" w:rsidRPr="00BC4C35">
        <w:rPr>
          <w:lang w:val="pl-PL"/>
        </w:rPr>
        <w:t>2019</w:t>
      </w:r>
      <w:r w:rsidRPr="00BC4C35">
        <w:rPr>
          <w:lang w:val="pl-PL"/>
        </w:rPr>
        <w:t xml:space="preserve"> r.</w:t>
      </w:r>
    </w:p>
    <w:p w:rsidR="00584120" w:rsidRPr="00BC4C35" w:rsidRDefault="00EB42E0">
      <w:pPr>
        <w:rPr>
          <w:lang w:val="pl-PL"/>
        </w:rPr>
      </w:pPr>
      <w:proofErr w:type="spellStart"/>
      <w:r w:rsidRPr="00BC4C35">
        <w:rPr>
          <w:rStyle w:val="ClinCaseTitle"/>
          <w:lang w:val="pl-PL"/>
        </w:rPr>
        <w:t>Mifsud</w:t>
      </w:r>
      <w:proofErr w:type="spellEnd"/>
      <w:r w:rsidRPr="00BC4C35">
        <w:rPr>
          <w:rStyle w:val="ClinCaseTitle"/>
          <w:lang w:val="pl-PL"/>
        </w:rPr>
        <w:t xml:space="preserve"> </w:t>
      </w:r>
      <w:r w:rsidR="00BC4C35" w:rsidRPr="00BC4C35">
        <w:rPr>
          <w:rStyle w:val="ClinCaseTitle"/>
          <w:lang w:val="pl-PL"/>
        </w:rPr>
        <w:t>p</w:t>
      </w:r>
      <w:r w:rsidRPr="00BC4C35">
        <w:rPr>
          <w:rStyle w:val="ClinCaseTitle"/>
          <w:lang w:val="pl-PL"/>
        </w:rPr>
        <w:t>. Mal</w:t>
      </w:r>
      <w:r w:rsidR="00BC4C35">
        <w:rPr>
          <w:rStyle w:val="ClinCaseTitle"/>
          <w:lang w:val="pl-PL"/>
        </w:rPr>
        <w:t xml:space="preserve">cie, </w:t>
      </w:r>
      <w:r w:rsidR="00BC4C35">
        <w:rPr>
          <w:rStyle w:val="ClinCaseTitle"/>
          <w:i w:val="0"/>
          <w:lang w:val="pl-PL"/>
        </w:rPr>
        <w:t>skarga nr</w:t>
      </w:r>
      <w:r w:rsidRPr="00BC4C35">
        <w:rPr>
          <w:rStyle w:val="ClinApplicationNumber"/>
          <w:lang w:val="pl-PL"/>
        </w:rPr>
        <w:t xml:space="preserve"> 62257/15</w:t>
      </w:r>
    </w:p>
    <w:p w:rsidR="00584120" w:rsidRPr="00BC4C35" w:rsidRDefault="00BC4C35">
      <w:pPr>
        <w:rPr>
          <w:lang w:val="pl-PL"/>
        </w:rPr>
      </w:pPr>
      <w:r w:rsidRPr="00BC4C35">
        <w:rPr>
          <w:rStyle w:val="ClinHudocDocumentTitle"/>
          <w:lang w:val="pl-PL"/>
        </w:rPr>
        <w:t xml:space="preserve">Wyrok z </w:t>
      </w:r>
      <w:r w:rsidR="00EB42E0" w:rsidRPr="00BC4C35">
        <w:rPr>
          <w:rStyle w:val="ClinHudocDocumentTitle"/>
          <w:lang w:val="pl-PL"/>
        </w:rPr>
        <w:t>29.</w:t>
      </w:r>
      <w:r w:rsidRPr="00BC4C35">
        <w:rPr>
          <w:rStyle w:val="ClinHudocDocumentTitle"/>
          <w:lang w:val="pl-PL"/>
        </w:rPr>
        <w:t>0</w:t>
      </w:r>
      <w:r w:rsidR="00EB42E0" w:rsidRPr="00BC4C35">
        <w:rPr>
          <w:rStyle w:val="ClinHudocDocumentTitle"/>
          <w:lang w:val="pl-PL"/>
        </w:rPr>
        <w:t>1.2019</w:t>
      </w:r>
      <w:r w:rsidRPr="00BC4C35">
        <w:rPr>
          <w:rStyle w:val="ClinHudocDocumentTitle"/>
          <w:lang w:val="pl-PL"/>
        </w:rPr>
        <w:t xml:space="preserve"> r.</w:t>
      </w:r>
      <w:r w:rsidR="00EB42E0" w:rsidRPr="00BC4C35">
        <w:rPr>
          <w:rStyle w:val="ClinSectionName"/>
          <w:lang w:val="pl-PL"/>
        </w:rPr>
        <w:t xml:space="preserve"> [</w:t>
      </w:r>
      <w:r>
        <w:rPr>
          <w:rStyle w:val="ClinSectionName"/>
          <w:lang w:val="pl-PL"/>
        </w:rPr>
        <w:t>Trzecia Sekcja</w:t>
      </w:r>
      <w:r w:rsidR="00EB42E0" w:rsidRPr="00BC4C35">
        <w:rPr>
          <w:rStyle w:val="ClinSectionName"/>
          <w:lang w:val="pl-PL"/>
        </w:rPr>
        <w:t>]</w:t>
      </w:r>
    </w:p>
    <w:p w:rsidR="00584120" w:rsidRPr="00E84EF7" w:rsidRDefault="00BC4C35">
      <w:pPr>
        <w:pStyle w:val="ClinMainKeywordCode"/>
        <w:rPr>
          <w:lang w:val="pl-PL"/>
        </w:rPr>
      </w:pPr>
      <w:r w:rsidRPr="00E84EF7">
        <w:rPr>
          <w:lang w:val="pl-PL"/>
        </w:rPr>
        <w:t>Art.</w:t>
      </w:r>
      <w:r w:rsidR="00EB42E0" w:rsidRPr="00E84EF7">
        <w:rPr>
          <w:lang w:val="pl-PL"/>
        </w:rPr>
        <w:t xml:space="preserve"> 8</w:t>
      </w:r>
    </w:p>
    <w:p w:rsidR="00584120" w:rsidRPr="00E84EF7" w:rsidRDefault="00EB42E0">
      <w:pPr>
        <w:pStyle w:val="ClinChildKeywordCode"/>
        <w:rPr>
          <w:lang w:val="pl-PL"/>
        </w:rPr>
      </w:pPr>
      <w:r w:rsidRPr="00E84EF7">
        <w:rPr>
          <w:lang w:val="pl-PL"/>
        </w:rPr>
        <w:t>Art</w:t>
      </w:r>
      <w:r w:rsidR="00BC4C35" w:rsidRPr="00E84EF7">
        <w:rPr>
          <w:lang w:val="pl-PL"/>
        </w:rPr>
        <w:t>.</w:t>
      </w:r>
      <w:r w:rsidRPr="00E84EF7">
        <w:rPr>
          <w:lang w:val="pl-PL"/>
        </w:rPr>
        <w:t xml:space="preserve"> 8</w:t>
      </w:r>
      <w:r w:rsidR="00BC4C35" w:rsidRPr="00E84EF7">
        <w:rPr>
          <w:lang w:val="pl-PL"/>
        </w:rPr>
        <w:t xml:space="preserve"> ust. </w:t>
      </w:r>
      <w:r w:rsidRPr="00E84EF7">
        <w:rPr>
          <w:lang w:val="pl-PL"/>
        </w:rPr>
        <w:t>1</w:t>
      </w:r>
    </w:p>
    <w:p w:rsidR="00584120" w:rsidRPr="00E84EF7" w:rsidRDefault="00BC4C35">
      <w:pPr>
        <w:pStyle w:val="ClinKeyword"/>
        <w:rPr>
          <w:lang w:val="pl-PL"/>
        </w:rPr>
      </w:pPr>
      <w:r w:rsidRPr="00E84EF7">
        <w:rPr>
          <w:lang w:val="pl-PL"/>
        </w:rPr>
        <w:t xml:space="preserve">Poszanowanie życia prywatnego </w:t>
      </w:r>
    </w:p>
    <w:p w:rsidR="00BC4C35" w:rsidRPr="00BC4C35" w:rsidRDefault="00BC4C35" w:rsidP="00120559">
      <w:pPr>
        <w:jc w:val="both"/>
        <w:rPr>
          <w:lang w:val="pl-PL"/>
        </w:rPr>
      </w:pPr>
      <w:r w:rsidRPr="00BC4C35">
        <w:rPr>
          <w:rStyle w:val="ClinConclusions"/>
          <w:i w:val="0"/>
          <w:lang w:val="pl-PL"/>
        </w:rPr>
        <w:t>Naka</w:t>
      </w:r>
      <w:r>
        <w:rPr>
          <w:rStyle w:val="ClinConclusions"/>
          <w:i w:val="0"/>
          <w:lang w:val="pl-PL"/>
        </w:rPr>
        <w:t>z</w:t>
      </w:r>
      <w:r w:rsidR="007B198B">
        <w:rPr>
          <w:rStyle w:val="ClinConclusions"/>
          <w:i w:val="0"/>
          <w:lang w:val="pl-PL"/>
        </w:rPr>
        <w:t>anie</w:t>
      </w:r>
      <w:r w:rsidRPr="00BC4C35">
        <w:rPr>
          <w:rStyle w:val="ClinConclusions"/>
          <w:i w:val="0"/>
          <w:lang w:val="pl-PL"/>
        </w:rPr>
        <w:t xml:space="preserve"> dostarczenia próbki </w:t>
      </w:r>
      <w:r w:rsidR="00120559">
        <w:rPr>
          <w:rStyle w:val="ClinConclusions"/>
          <w:i w:val="0"/>
          <w:lang w:val="pl-PL"/>
        </w:rPr>
        <w:t>materiału genetycznego</w:t>
      </w:r>
      <w:r w:rsidRPr="00BC4C35">
        <w:rPr>
          <w:rStyle w:val="ClinConclusions"/>
          <w:i w:val="0"/>
          <w:lang w:val="pl-PL"/>
        </w:rPr>
        <w:t xml:space="preserve"> w kontekście postępowania dotyczącego </w:t>
      </w:r>
      <w:r w:rsidR="00682CFF">
        <w:rPr>
          <w:rStyle w:val="ClinConclusions"/>
          <w:i w:val="0"/>
          <w:lang w:val="pl-PL"/>
        </w:rPr>
        <w:t xml:space="preserve">ustalenia </w:t>
      </w:r>
      <w:r w:rsidRPr="00BC4C35">
        <w:rPr>
          <w:rStyle w:val="ClinConclusions"/>
          <w:i w:val="0"/>
          <w:lang w:val="pl-PL"/>
        </w:rPr>
        <w:t xml:space="preserve">ojcostwa: </w:t>
      </w:r>
      <w:r>
        <w:rPr>
          <w:rStyle w:val="ClinConclusions"/>
          <w:lang w:val="pl-PL"/>
        </w:rPr>
        <w:t>brak naruszenia</w:t>
      </w:r>
    </w:p>
    <w:p w:rsidR="00120559" w:rsidRPr="00120559" w:rsidRDefault="00120559">
      <w:pPr>
        <w:pStyle w:val="ClinContent"/>
        <w:rPr>
          <w:lang w:val="pl-PL"/>
        </w:rPr>
      </w:pPr>
      <w:r w:rsidRPr="00120559">
        <w:rPr>
          <w:lang w:val="pl-PL"/>
        </w:rPr>
        <w:t xml:space="preserve">Fakty – Skarżący skarżył się na prawo maltańskie, które przewidywało obowiązek </w:t>
      </w:r>
      <w:r>
        <w:rPr>
          <w:lang w:val="pl-PL"/>
        </w:rPr>
        <w:t>dostarczenia próbki materiału genetyc</w:t>
      </w:r>
      <w:r w:rsidR="00DE596C">
        <w:rPr>
          <w:lang w:val="pl-PL"/>
        </w:rPr>
        <w:t>z</w:t>
      </w:r>
      <w:r>
        <w:rPr>
          <w:lang w:val="pl-PL"/>
        </w:rPr>
        <w:t xml:space="preserve">nego w postępowaniu </w:t>
      </w:r>
      <w:r w:rsidR="000537D5">
        <w:rPr>
          <w:lang w:val="pl-PL"/>
        </w:rPr>
        <w:t>dotycząc</w:t>
      </w:r>
      <w:r w:rsidR="00E84EF7">
        <w:rPr>
          <w:lang w:val="pl-PL"/>
        </w:rPr>
        <w:t>ym</w:t>
      </w:r>
      <w:r w:rsidR="000537D5">
        <w:rPr>
          <w:lang w:val="pl-PL"/>
        </w:rPr>
        <w:t xml:space="preserve"> </w:t>
      </w:r>
      <w:r w:rsidR="00682CFF">
        <w:rPr>
          <w:lang w:val="pl-PL"/>
        </w:rPr>
        <w:t xml:space="preserve">ustalenia </w:t>
      </w:r>
      <w:r w:rsidR="000537D5">
        <w:rPr>
          <w:lang w:val="pl-PL"/>
        </w:rPr>
        <w:t>ojcostwa</w:t>
      </w:r>
      <w:r w:rsidR="00E84EF7">
        <w:rPr>
          <w:lang w:val="pl-PL"/>
        </w:rPr>
        <w:t>, oraz na fakt,</w:t>
      </w:r>
      <w:r w:rsidR="000537D5">
        <w:rPr>
          <w:lang w:val="pl-PL"/>
        </w:rPr>
        <w:t xml:space="preserve"> że wydano taki nakaz wobec niego wbrew jego woli. </w:t>
      </w:r>
    </w:p>
    <w:p w:rsidR="000537D5" w:rsidRPr="000537D5" w:rsidRDefault="000537D5">
      <w:pPr>
        <w:pStyle w:val="ClinContent"/>
        <w:rPr>
          <w:i/>
          <w:lang w:val="pl-PL"/>
        </w:rPr>
      </w:pPr>
      <w:r w:rsidRPr="000537D5">
        <w:rPr>
          <w:i/>
          <w:lang w:val="pl-PL"/>
        </w:rPr>
        <w:t xml:space="preserve">Prawo </w:t>
      </w:r>
      <w:r w:rsidRPr="000537D5">
        <w:rPr>
          <w:lang w:val="pl-PL"/>
        </w:rPr>
        <w:t>– Art. 8</w:t>
      </w:r>
      <w:r w:rsidR="007E7CD7">
        <w:rPr>
          <w:lang w:val="pl-PL"/>
        </w:rPr>
        <w:t xml:space="preserve"> </w:t>
      </w:r>
      <w:r w:rsidR="007E7CD7">
        <w:rPr>
          <w:lang w:val="pl-PL"/>
        </w:rPr>
        <w:t>[Konwencji o ochronie praw człowieka i podstawowych wolności]</w:t>
      </w:r>
      <w:r w:rsidRPr="000537D5">
        <w:rPr>
          <w:lang w:val="pl-PL"/>
        </w:rPr>
        <w:t xml:space="preserve">: </w:t>
      </w:r>
      <w:r w:rsidR="007B198B">
        <w:rPr>
          <w:lang w:val="pl-PL"/>
        </w:rPr>
        <w:t>Badanie</w:t>
      </w:r>
      <w:r w:rsidRPr="000537D5">
        <w:rPr>
          <w:lang w:val="pl-PL"/>
        </w:rPr>
        <w:t xml:space="preserve"> DNA stanowi metodę naukową </w:t>
      </w:r>
      <w:r w:rsidR="00E84EF7" w:rsidRPr="000537D5">
        <w:rPr>
          <w:lang w:val="pl-PL"/>
        </w:rPr>
        <w:t xml:space="preserve">dostępną </w:t>
      </w:r>
      <w:r w:rsidR="00E84EF7">
        <w:rPr>
          <w:lang w:val="pl-PL"/>
        </w:rPr>
        <w:t>w celu</w:t>
      </w:r>
      <w:r>
        <w:rPr>
          <w:lang w:val="pl-PL"/>
        </w:rPr>
        <w:t xml:space="preserve"> dokładnego określenia ojcostwa dziecka, a jego wartość dowodowa znacząco przewyższa wszelkie inne dowody przedstawiane przez strony celem udowodnienia lub zaprzeczenia ojcostwa biologicznego. To samo w</w:t>
      </w:r>
      <w:r w:rsidR="00576A04">
        <w:rPr>
          <w:lang w:val="pl-PL"/>
        </w:rPr>
        <w:t> </w:t>
      </w:r>
      <w:r>
        <w:rPr>
          <w:lang w:val="pl-PL"/>
        </w:rPr>
        <w:t xml:space="preserve">sobie nie podważa praw stron postępowania. Istotne jest, by </w:t>
      </w:r>
      <w:r w:rsidR="00682CFF">
        <w:rPr>
          <w:lang w:val="pl-PL"/>
        </w:rPr>
        <w:t>miały</w:t>
      </w:r>
      <w:r>
        <w:rPr>
          <w:lang w:val="pl-PL"/>
        </w:rPr>
        <w:t xml:space="preserve"> one możliwość osobistego uczestniczenia w postępowaniu sądowym. W obszarze prawa karnego art. 8 sam w sobie nie zakazuje </w:t>
      </w:r>
      <w:r w:rsidR="00E84EF7">
        <w:rPr>
          <w:lang w:val="pl-PL"/>
        </w:rPr>
        <w:t xml:space="preserve">stosowania </w:t>
      </w:r>
      <w:r w:rsidR="00304D15">
        <w:rPr>
          <w:lang w:val="pl-PL"/>
        </w:rPr>
        <w:t xml:space="preserve">wbrew woli podejrzanego lub świadka </w:t>
      </w:r>
      <w:r>
        <w:rPr>
          <w:lang w:val="pl-PL"/>
        </w:rPr>
        <w:t xml:space="preserve">procedur medycznych </w:t>
      </w:r>
      <w:r w:rsidR="00C9022B">
        <w:rPr>
          <w:lang w:val="pl-PL"/>
        </w:rPr>
        <w:t xml:space="preserve">w celu uzyskania dowodu. </w:t>
      </w:r>
      <w:r w:rsidR="007B198B">
        <w:rPr>
          <w:lang w:val="pl-PL"/>
        </w:rPr>
        <w:t>N</w:t>
      </w:r>
      <w:r w:rsidR="00E84EF7">
        <w:rPr>
          <w:lang w:val="pl-PL"/>
        </w:rPr>
        <w:t>ajważniejsze</w:t>
      </w:r>
      <w:r w:rsidR="00C9022B">
        <w:rPr>
          <w:lang w:val="pl-PL"/>
        </w:rPr>
        <w:t xml:space="preserve"> znaczenie</w:t>
      </w:r>
      <w:r w:rsidR="007B198B">
        <w:rPr>
          <w:lang w:val="pl-PL"/>
        </w:rPr>
        <w:t xml:space="preserve"> ma </w:t>
      </w:r>
      <w:r w:rsidR="00E84EF7">
        <w:rPr>
          <w:lang w:val="pl-PL"/>
        </w:rPr>
        <w:t>kwestia</w:t>
      </w:r>
      <w:r w:rsidR="00C9022B">
        <w:rPr>
          <w:lang w:val="pl-PL"/>
        </w:rPr>
        <w:t xml:space="preserve">, czy środek </w:t>
      </w:r>
      <w:r w:rsidR="00CC5D2F">
        <w:rPr>
          <w:lang w:val="pl-PL"/>
        </w:rPr>
        <w:t>jest</w:t>
      </w:r>
      <w:r w:rsidR="00C9022B">
        <w:rPr>
          <w:lang w:val="pl-PL"/>
        </w:rPr>
        <w:t xml:space="preserve"> zgodny z istotn</w:t>
      </w:r>
      <w:r w:rsidR="00682CFF">
        <w:rPr>
          <w:lang w:val="pl-PL"/>
        </w:rPr>
        <w:t>ymi wymogami Konwencji. A zatem</w:t>
      </w:r>
      <w:r w:rsidR="00C9022B">
        <w:rPr>
          <w:lang w:val="pl-PL"/>
        </w:rPr>
        <w:t xml:space="preserve"> takie metody, również w sferze prawa cywilnego, nie </w:t>
      </w:r>
      <w:r w:rsidR="00E84EF7">
        <w:rPr>
          <w:lang w:val="pl-PL"/>
        </w:rPr>
        <w:t xml:space="preserve">są </w:t>
      </w:r>
      <w:r w:rsidR="00C9022B">
        <w:rPr>
          <w:lang w:val="pl-PL"/>
        </w:rPr>
        <w:t xml:space="preserve">same w sobie sprzeczne z zasadą praworządności i naturalnym poczuciem sprawiedliwości. Przy ocenie, czy środek </w:t>
      </w:r>
      <w:r w:rsidR="00CC5D2F">
        <w:rPr>
          <w:lang w:val="pl-PL"/>
        </w:rPr>
        <w:t>jest</w:t>
      </w:r>
      <w:r w:rsidR="00C9022B">
        <w:rPr>
          <w:lang w:val="pl-PL"/>
        </w:rPr>
        <w:t xml:space="preserve"> zgodny z istotnymi wymogami Konwencji, szczególne znaczenie ma uprawniony cel</w:t>
      </w:r>
      <w:r w:rsidR="007B198B">
        <w:rPr>
          <w:lang w:val="pl-PL"/>
        </w:rPr>
        <w:t xml:space="preserve"> [jego stosowania]</w:t>
      </w:r>
      <w:r w:rsidR="00C9022B">
        <w:rPr>
          <w:lang w:val="pl-PL"/>
        </w:rPr>
        <w:t>. W sprawie skarżącego przedmiotowy środek miał na celu zapewnienie realizacji przez państwo obowiązku pozytywnego</w:t>
      </w:r>
      <w:r w:rsidR="005537A1">
        <w:rPr>
          <w:lang w:val="pl-PL"/>
        </w:rPr>
        <w:t xml:space="preserve"> wynikającego z </w:t>
      </w:r>
      <w:r w:rsidR="00C9022B">
        <w:rPr>
          <w:lang w:val="pl-PL"/>
        </w:rPr>
        <w:t xml:space="preserve">art. 8 względem domniemanej córki skarżącego. </w:t>
      </w:r>
    </w:p>
    <w:p w:rsidR="005537A1" w:rsidRPr="005537A1" w:rsidRDefault="005537A1">
      <w:pPr>
        <w:pStyle w:val="ClinContent"/>
        <w:rPr>
          <w:lang w:val="pl-PL"/>
        </w:rPr>
      </w:pPr>
      <w:r w:rsidRPr="005537A1">
        <w:rPr>
          <w:lang w:val="pl-PL"/>
        </w:rPr>
        <w:t xml:space="preserve">Teoretycznie środek wydawał się obowiązkowy. </w:t>
      </w:r>
      <w:r>
        <w:rPr>
          <w:lang w:val="pl-PL"/>
        </w:rPr>
        <w:t>Trybunał nie był jednak przekonany, że</w:t>
      </w:r>
      <w:r w:rsidR="00493C30">
        <w:rPr>
          <w:lang w:val="pl-PL"/>
        </w:rPr>
        <w:t> </w:t>
      </w:r>
      <w:r>
        <w:rPr>
          <w:lang w:val="pl-PL"/>
        </w:rPr>
        <w:t>w praktyce nakaz takiego testu zostałby zarządzony</w:t>
      </w:r>
      <w:r w:rsidR="00682CFF">
        <w:rPr>
          <w:lang w:val="pl-PL"/>
        </w:rPr>
        <w:t xml:space="preserve"> </w:t>
      </w:r>
      <w:r w:rsidR="007B198B">
        <w:rPr>
          <w:lang w:val="pl-PL"/>
        </w:rPr>
        <w:t xml:space="preserve">bez istnienia </w:t>
      </w:r>
      <w:r>
        <w:rPr>
          <w:lang w:val="pl-PL"/>
        </w:rPr>
        <w:t>jaki</w:t>
      </w:r>
      <w:r w:rsidR="00682CFF">
        <w:rPr>
          <w:lang w:val="pl-PL"/>
        </w:rPr>
        <w:t>chkolwiek innych</w:t>
      </w:r>
      <w:r>
        <w:rPr>
          <w:lang w:val="pl-PL"/>
        </w:rPr>
        <w:t xml:space="preserve"> przesłan</w:t>
      </w:r>
      <w:r w:rsidR="00682CFF">
        <w:rPr>
          <w:lang w:val="pl-PL"/>
        </w:rPr>
        <w:t>e</w:t>
      </w:r>
      <w:r>
        <w:rPr>
          <w:lang w:val="pl-PL"/>
        </w:rPr>
        <w:t>k</w:t>
      </w:r>
      <w:r w:rsidR="00682CFF">
        <w:rPr>
          <w:lang w:val="pl-PL"/>
        </w:rPr>
        <w:t>, takich</w:t>
      </w:r>
      <w:r>
        <w:rPr>
          <w:lang w:val="pl-PL"/>
        </w:rPr>
        <w:t xml:space="preserve"> jak na przykład wykazanie sprawy </w:t>
      </w:r>
      <w:r>
        <w:rPr>
          <w:i/>
          <w:lang w:val="pl-PL"/>
        </w:rPr>
        <w:t xml:space="preserve">prima facie. </w:t>
      </w:r>
      <w:r w:rsidR="00E84EF7" w:rsidRPr="00E84EF7">
        <w:rPr>
          <w:lang w:val="pl-PL"/>
        </w:rPr>
        <w:t>P</w:t>
      </w:r>
      <w:r w:rsidRPr="00E84EF7">
        <w:rPr>
          <w:lang w:val="pl-PL"/>
        </w:rPr>
        <w:t>o</w:t>
      </w:r>
      <w:r>
        <w:rPr>
          <w:lang w:val="pl-PL"/>
        </w:rPr>
        <w:t xml:space="preserve"> wydaniu takiego nakazu zainteresowana osoba mogła </w:t>
      </w:r>
      <w:r w:rsidR="00E84EF7">
        <w:rPr>
          <w:lang w:val="pl-PL"/>
        </w:rPr>
        <w:t xml:space="preserve">również </w:t>
      </w:r>
      <w:r>
        <w:rPr>
          <w:lang w:val="pl-PL"/>
        </w:rPr>
        <w:t>złożyć przeciwko niemu zażalenie. W</w:t>
      </w:r>
      <w:r w:rsidR="00493C30">
        <w:rPr>
          <w:lang w:val="pl-PL"/>
        </w:rPr>
        <w:t> </w:t>
      </w:r>
      <w:r>
        <w:rPr>
          <w:lang w:val="pl-PL"/>
        </w:rPr>
        <w:t>sprawie skarżącego sąd cywilny powstrzymał się od nakazywania</w:t>
      </w:r>
      <w:r w:rsidR="007B198B">
        <w:rPr>
          <w:lang w:val="pl-PL"/>
        </w:rPr>
        <w:t xml:space="preserve"> badania</w:t>
      </w:r>
      <w:r>
        <w:rPr>
          <w:lang w:val="pl-PL"/>
        </w:rPr>
        <w:t>, gdy złożono taki wniosek. Zamiast tego zorganizował rozprawę w celu zbadania zastrzeżeń skarżącego. Po wysłuchaniu stanowisk uzna</w:t>
      </w:r>
      <w:r w:rsidR="007B198B">
        <w:rPr>
          <w:lang w:val="pl-PL"/>
        </w:rPr>
        <w:t>ł, że obawy skarżącego nie mają</w:t>
      </w:r>
      <w:r>
        <w:rPr>
          <w:lang w:val="pl-PL"/>
        </w:rPr>
        <w:t xml:space="preserve"> charakteru błahego ani pieniaczego</w:t>
      </w:r>
      <w:r w:rsidR="00E84EF7">
        <w:rPr>
          <w:lang w:val="pl-PL"/>
        </w:rPr>
        <w:t>,</w:t>
      </w:r>
      <w:r>
        <w:rPr>
          <w:lang w:val="pl-PL"/>
        </w:rPr>
        <w:t xml:space="preserve"> i skierował </w:t>
      </w:r>
      <w:r w:rsidR="00E84EF7">
        <w:rPr>
          <w:lang w:val="pl-PL"/>
        </w:rPr>
        <w:t xml:space="preserve">podnoszone przez </w:t>
      </w:r>
      <w:r w:rsidR="007B198B">
        <w:rPr>
          <w:lang w:val="pl-PL"/>
        </w:rPr>
        <w:t xml:space="preserve">niego </w:t>
      </w:r>
      <w:r w:rsidR="00682CFF">
        <w:rPr>
          <w:lang w:val="pl-PL"/>
        </w:rPr>
        <w:t xml:space="preserve">kwestie </w:t>
      </w:r>
      <w:r>
        <w:rPr>
          <w:lang w:val="pl-PL"/>
        </w:rPr>
        <w:t xml:space="preserve">do organów </w:t>
      </w:r>
      <w:r w:rsidR="00E84EF7">
        <w:rPr>
          <w:lang w:val="pl-PL"/>
        </w:rPr>
        <w:t>zajmujących się sprawami konstytucyjnymi</w:t>
      </w:r>
      <w:r>
        <w:rPr>
          <w:lang w:val="pl-PL"/>
        </w:rPr>
        <w:t xml:space="preserve">, które w dwóch instancjach przeprowadziły ocenę wchodzących w grę interesów. </w:t>
      </w:r>
      <w:r w:rsidR="007B198B">
        <w:rPr>
          <w:lang w:val="pl-PL"/>
        </w:rPr>
        <w:t>Organy te s</w:t>
      </w:r>
      <w:r>
        <w:rPr>
          <w:lang w:val="pl-PL"/>
        </w:rPr>
        <w:t xml:space="preserve">twierdziły, że </w:t>
      </w:r>
      <w:r w:rsidR="00682CFF">
        <w:rPr>
          <w:lang w:val="pl-PL"/>
        </w:rPr>
        <w:t xml:space="preserve">w okolicznościach tej sprawy </w:t>
      </w:r>
      <w:r>
        <w:rPr>
          <w:lang w:val="pl-PL"/>
        </w:rPr>
        <w:t>interesy domniemanej córki skarżącego w ustaleniu, kto jest jej ojcem, przeważały nad interesami skarżącego. W decyzjach tych, które zostały podjęte w</w:t>
      </w:r>
      <w:r w:rsidR="00493C30">
        <w:rPr>
          <w:lang w:val="pl-PL"/>
        </w:rPr>
        <w:t> </w:t>
      </w:r>
      <w:r>
        <w:rPr>
          <w:lang w:val="pl-PL"/>
        </w:rPr>
        <w:t xml:space="preserve">świetle orzecznictwa Trybunału, brak </w:t>
      </w:r>
      <w:r w:rsidR="00E84EF7">
        <w:rPr>
          <w:lang w:val="pl-PL"/>
        </w:rPr>
        <w:t xml:space="preserve">było </w:t>
      </w:r>
      <w:r>
        <w:rPr>
          <w:lang w:val="pl-PL"/>
        </w:rPr>
        <w:t xml:space="preserve">arbitralności. Wykonanie </w:t>
      </w:r>
      <w:r w:rsidR="007B198B">
        <w:rPr>
          <w:lang w:val="pl-PL"/>
        </w:rPr>
        <w:t xml:space="preserve">badania </w:t>
      </w:r>
      <w:r>
        <w:rPr>
          <w:lang w:val="pl-PL"/>
        </w:rPr>
        <w:t xml:space="preserve">zostało </w:t>
      </w:r>
      <w:r>
        <w:rPr>
          <w:lang w:val="pl-PL"/>
        </w:rPr>
        <w:lastRenderedPageBreak/>
        <w:t xml:space="preserve">zarządzone dopiero po przeprowadzeniu na wniosek skarżącego pełnoprawnego postępowania w sprawie konstytucyjności. Była to droga sądowa </w:t>
      </w:r>
      <w:r w:rsidR="00E84EF7">
        <w:rPr>
          <w:lang w:val="pl-PL"/>
        </w:rPr>
        <w:t xml:space="preserve">dostępna </w:t>
      </w:r>
      <w:r>
        <w:rPr>
          <w:lang w:val="pl-PL"/>
        </w:rPr>
        <w:t>dla</w:t>
      </w:r>
      <w:r w:rsidR="00493C30">
        <w:rPr>
          <w:lang w:val="pl-PL"/>
        </w:rPr>
        <w:t> </w:t>
      </w:r>
      <w:r>
        <w:rPr>
          <w:lang w:val="pl-PL"/>
        </w:rPr>
        <w:t>skarżącego, z której skorzystał z pełną świadomością swych praw proceduralnych i</w:t>
      </w:r>
      <w:r w:rsidR="00493C30">
        <w:rPr>
          <w:lang w:val="pl-PL"/>
        </w:rPr>
        <w:t> </w:t>
      </w:r>
      <w:r>
        <w:rPr>
          <w:lang w:val="pl-PL"/>
        </w:rPr>
        <w:t xml:space="preserve">gwarancji </w:t>
      </w:r>
      <w:r w:rsidR="007B198B">
        <w:rPr>
          <w:lang w:val="pl-PL"/>
        </w:rPr>
        <w:t xml:space="preserve">dostępnych </w:t>
      </w:r>
      <w:r>
        <w:rPr>
          <w:lang w:val="pl-PL"/>
        </w:rPr>
        <w:t>na poziomie krajowym. Nie można twierdzić, że procedura ta nie</w:t>
      </w:r>
      <w:r w:rsidR="00493C30">
        <w:rPr>
          <w:lang w:val="pl-PL"/>
        </w:rPr>
        <w:t> </w:t>
      </w:r>
      <w:r>
        <w:rPr>
          <w:lang w:val="pl-PL"/>
        </w:rPr>
        <w:t xml:space="preserve">służyła </w:t>
      </w:r>
      <w:r w:rsidR="007B198B">
        <w:rPr>
          <w:lang w:val="pl-PL"/>
        </w:rPr>
        <w:t>zbadaniu</w:t>
      </w:r>
      <w:r>
        <w:rPr>
          <w:lang w:val="pl-PL"/>
        </w:rPr>
        <w:t xml:space="preserve"> wchodząc</w:t>
      </w:r>
      <w:r w:rsidR="007B198B">
        <w:rPr>
          <w:lang w:val="pl-PL"/>
        </w:rPr>
        <w:t>ych w grę interesów i określeniu</w:t>
      </w:r>
      <w:r>
        <w:rPr>
          <w:lang w:val="pl-PL"/>
        </w:rPr>
        <w:t xml:space="preserve">, czy nakazanie </w:t>
      </w:r>
      <w:r w:rsidR="007B198B">
        <w:rPr>
          <w:lang w:val="pl-PL"/>
        </w:rPr>
        <w:t xml:space="preserve">badania DNA </w:t>
      </w:r>
      <w:r>
        <w:rPr>
          <w:lang w:val="pl-PL"/>
        </w:rPr>
        <w:t xml:space="preserve">naruszałoby prawa skarżącego na podstawie art. 8. </w:t>
      </w:r>
      <w:r w:rsidR="00DA2734">
        <w:rPr>
          <w:lang w:val="pl-PL"/>
        </w:rPr>
        <w:t xml:space="preserve">Wynika stąd, że nakaz poddania się </w:t>
      </w:r>
      <w:r w:rsidR="007B198B">
        <w:rPr>
          <w:lang w:val="pl-PL"/>
        </w:rPr>
        <w:t xml:space="preserve">badaniu </w:t>
      </w:r>
      <w:r w:rsidR="00DA2734">
        <w:rPr>
          <w:lang w:val="pl-PL"/>
        </w:rPr>
        <w:t xml:space="preserve">nie został wydany w oparciu o jego obowiązkowy charakter. </w:t>
      </w:r>
    </w:p>
    <w:p w:rsidR="00DA2734" w:rsidRPr="00DA2734" w:rsidRDefault="00DA2734">
      <w:pPr>
        <w:pStyle w:val="ClinContent"/>
        <w:rPr>
          <w:lang w:val="pl-PL"/>
        </w:rPr>
      </w:pPr>
      <w:r w:rsidRPr="00DA2734">
        <w:rPr>
          <w:lang w:val="pl-PL"/>
        </w:rPr>
        <w:t>Proces decyzyjny oceniany jako całość był rzet</w:t>
      </w:r>
      <w:r>
        <w:rPr>
          <w:lang w:val="pl-PL"/>
        </w:rPr>
        <w:t>elny i zapewnił</w:t>
      </w:r>
      <w:r w:rsidR="00E84EF7">
        <w:rPr>
          <w:lang w:val="pl-PL"/>
        </w:rPr>
        <w:t xml:space="preserve"> skarżącemu niezbędną ochronę</w:t>
      </w:r>
      <w:r w:rsidRPr="00DA2734">
        <w:rPr>
          <w:lang w:val="pl-PL"/>
        </w:rPr>
        <w:t xml:space="preserve"> jego interesów gwarantowanych przez art. </w:t>
      </w:r>
      <w:r w:rsidR="00E84EF7">
        <w:rPr>
          <w:lang w:val="pl-PL"/>
        </w:rPr>
        <w:t xml:space="preserve">8. </w:t>
      </w:r>
      <w:r w:rsidR="00682CFF">
        <w:rPr>
          <w:lang w:val="pl-PL"/>
        </w:rPr>
        <w:t>N</w:t>
      </w:r>
      <w:r>
        <w:rPr>
          <w:lang w:val="pl-PL"/>
        </w:rPr>
        <w:t>akaz</w:t>
      </w:r>
      <w:r w:rsidR="00682CFF">
        <w:rPr>
          <w:lang w:val="pl-PL"/>
        </w:rPr>
        <w:t>ując skarżącemu poddanie</w:t>
      </w:r>
      <w:r>
        <w:rPr>
          <w:lang w:val="pl-PL"/>
        </w:rPr>
        <w:t xml:space="preserve"> się badaniu DNA</w:t>
      </w:r>
      <w:r w:rsidR="00682CFF">
        <w:rPr>
          <w:lang w:val="pl-PL"/>
        </w:rPr>
        <w:t xml:space="preserve"> –</w:t>
      </w:r>
      <w:r>
        <w:rPr>
          <w:lang w:val="pl-PL"/>
        </w:rPr>
        <w:t xml:space="preserve"> p</w:t>
      </w:r>
      <w:r w:rsidR="00BF74B4">
        <w:rPr>
          <w:lang w:val="pl-PL"/>
        </w:rPr>
        <w:t>o</w:t>
      </w:r>
      <w:r>
        <w:rPr>
          <w:lang w:val="pl-PL"/>
        </w:rPr>
        <w:t xml:space="preserve"> </w:t>
      </w:r>
      <w:r w:rsidR="00E84EF7">
        <w:rPr>
          <w:lang w:val="pl-PL"/>
        </w:rPr>
        <w:t xml:space="preserve">uprzednim </w:t>
      </w:r>
      <w:r>
        <w:rPr>
          <w:lang w:val="pl-PL"/>
        </w:rPr>
        <w:t>przeprowadzeniu niezbędnego procesu wyważe</w:t>
      </w:r>
      <w:r w:rsidR="00682CFF">
        <w:rPr>
          <w:lang w:val="pl-PL"/>
        </w:rPr>
        <w:t>nia wchodzących w grę interesów –</w:t>
      </w:r>
      <w:r>
        <w:rPr>
          <w:lang w:val="pl-PL"/>
        </w:rPr>
        <w:t xml:space="preserve"> w</w:t>
      </w:r>
      <w:r w:rsidR="00682CFF">
        <w:rPr>
          <w:lang w:val="pl-PL"/>
        </w:rPr>
        <w:t xml:space="preserve"> </w:t>
      </w:r>
      <w:r>
        <w:rPr>
          <w:lang w:val="pl-PL"/>
        </w:rPr>
        <w:t xml:space="preserve">postępowaniu sądowym, w którym skarżący uczestniczył reprezentowany przez prawnika z wyboru i w którym jego prawa do obrony były poszanowane na równi z prawami jego przeciwnika procesowego, sądy </w:t>
      </w:r>
      <w:r w:rsidR="007B198B">
        <w:rPr>
          <w:lang w:val="pl-PL"/>
        </w:rPr>
        <w:t xml:space="preserve">krajowe </w:t>
      </w:r>
      <w:r>
        <w:rPr>
          <w:lang w:val="pl-PL"/>
        </w:rPr>
        <w:t>zachowały sprawiedliwą równowagę między interesami domniemanej córki skarżącego w</w:t>
      </w:r>
      <w:r w:rsidR="00493C30">
        <w:rPr>
          <w:lang w:val="pl-PL"/>
        </w:rPr>
        <w:t> </w:t>
      </w:r>
      <w:bookmarkStart w:id="0" w:name="_GoBack"/>
      <w:bookmarkEnd w:id="0"/>
      <w:r>
        <w:rPr>
          <w:lang w:val="pl-PL"/>
        </w:rPr>
        <w:t xml:space="preserve">ustaleniu ojcostwa a interesami skarżącego w niepodleganiu badaniu DNA. </w:t>
      </w:r>
    </w:p>
    <w:p w:rsidR="00DA2734" w:rsidRPr="00E84EF7" w:rsidRDefault="00DA2734">
      <w:pPr>
        <w:pStyle w:val="ClinContent"/>
        <w:rPr>
          <w:lang w:val="pl-PL"/>
        </w:rPr>
      </w:pPr>
      <w:r w:rsidRPr="00E84EF7">
        <w:rPr>
          <w:i/>
          <w:lang w:val="pl-PL"/>
        </w:rPr>
        <w:t>Rozstrzygnięcie</w:t>
      </w:r>
      <w:r w:rsidRPr="00E84EF7">
        <w:rPr>
          <w:lang w:val="pl-PL"/>
        </w:rPr>
        <w:t>: brak naruszenia (jednogłośnie).</w:t>
      </w:r>
    </w:p>
    <w:p w:rsidR="00584120" w:rsidRPr="00E84EF7" w:rsidRDefault="00EB42E0">
      <w:pPr>
        <w:pStyle w:val="ClinContent"/>
        <w:rPr>
          <w:lang w:val="pl-PL"/>
        </w:rPr>
      </w:pPr>
      <w:r w:rsidRPr="00E84EF7">
        <w:rPr>
          <w:lang w:val="pl-PL"/>
        </w:rPr>
        <w:t>(</w:t>
      </w:r>
      <w:r w:rsidR="00DA2734" w:rsidRPr="00E84EF7">
        <w:rPr>
          <w:lang w:val="pl-PL"/>
        </w:rPr>
        <w:t xml:space="preserve">Zobacz także </w:t>
      </w:r>
      <w:proofErr w:type="spellStart"/>
      <w:r w:rsidRPr="00E84EF7">
        <w:rPr>
          <w:i/>
          <w:lang w:val="pl-PL"/>
        </w:rPr>
        <w:t>Mikulić</w:t>
      </w:r>
      <w:proofErr w:type="spellEnd"/>
      <w:r w:rsidRPr="00E84EF7">
        <w:rPr>
          <w:i/>
          <w:lang w:val="pl-PL"/>
        </w:rPr>
        <w:t xml:space="preserve"> </w:t>
      </w:r>
      <w:r w:rsidR="00DA2734" w:rsidRPr="00E84EF7">
        <w:rPr>
          <w:i/>
          <w:lang w:val="pl-PL"/>
        </w:rPr>
        <w:t>p</w:t>
      </w:r>
      <w:r w:rsidRPr="00E84EF7">
        <w:rPr>
          <w:i/>
          <w:lang w:val="pl-PL"/>
        </w:rPr>
        <w:t>. C</w:t>
      </w:r>
      <w:r w:rsidR="00DA2734" w:rsidRPr="00E84EF7">
        <w:rPr>
          <w:i/>
          <w:lang w:val="pl-PL"/>
        </w:rPr>
        <w:t>horwacji</w:t>
      </w:r>
      <w:r w:rsidRPr="00E84EF7">
        <w:rPr>
          <w:lang w:val="pl-PL"/>
        </w:rPr>
        <w:t xml:space="preserve">, </w:t>
      </w:r>
      <w:r w:rsidR="00DA2734" w:rsidRPr="00E84EF7">
        <w:rPr>
          <w:lang w:val="pl-PL"/>
        </w:rPr>
        <w:t xml:space="preserve">nr </w:t>
      </w:r>
      <w:r w:rsidRPr="00E84EF7">
        <w:rPr>
          <w:lang w:val="pl-PL"/>
        </w:rPr>
        <w:t>53176/99, 7 </w:t>
      </w:r>
      <w:r w:rsidR="00DA2734" w:rsidRPr="00E84EF7">
        <w:rPr>
          <w:lang w:val="pl-PL"/>
        </w:rPr>
        <w:t>lutego</w:t>
      </w:r>
      <w:r w:rsidRPr="00E84EF7">
        <w:rPr>
          <w:lang w:val="pl-PL"/>
        </w:rPr>
        <w:t xml:space="preserve"> 2002</w:t>
      </w:r>
      <w:r w:rsidR="00DA2734" w:rsidRPr="00E84EF7">
        <w:rPr>
          <w:lang w:val="pl-PL"/>
        </w:rPr>
        <w:t xml:space="preserve"> r.</w:t>
      </w:r>
      <w:r w:rsidRPr="00E84EF7">
        <w:rPr>
          <w:lang w:val="pl-PL"/>
        </w:rPr>
        <w:t xml:space="preserve">, </w:t>
      </w:r>
      <w:hyperlink r:id="rId8" w:history="1">
        <w:r w:rsidRPr="00E84EF7">
          <w:rPr>
            <w:rStyle w:val="Hipercze"/>
            <w:lang w:val="pl-PL"/>
          </w:rPr>
          <w:t>Not</w:t>
        </w:r>
        <w:r w:rsidR="00DA2734" w:rsidRPr="00E84EF7">
          <w:rPr>
            <w:rStyle w:val="Hipercze"/>
            <w:lang w:val="pl-PL"/>
          </w:rPr>
          <w:t>a informacyjna nr</w:t>
        </w:r>
        <w:r w:rsidRPr="00E84EF7">
          <w:rPr>
            <w:rStyle w:val="Hipercze"/>
            <w:lang w:val="pl-PL"/>
          </w:rPr>
          <w:t> 39</w:t>
        </w:r>
      </w:hyperlink>
      <w:r w:rsidRPr="00E84EF7">
        <w:rPr>
          <w:lang w:val="pl-PL"/>
        </w:rPr>
        <w:t xml:space="preserve">; </w:t>
      </w:r>
      <w:r w:rsidR="00DA2734" w:rsidRPr="00E84EF7">
        <w:rPr>
          <w:lang w:val="pl-PL"/>
        </w:rPr>
        <w:t xml:space="preserve">oraz </w:t>
      </w:r>
      <w:proofErr w:type="spellStart"/>
      <w:r w:rsidRPr="00E84EF7">
        <w:rPr>
          <w:i/>
          <w:lang w:val="pl-PL"/>
        </w:rPr>
        <w:t>Tsvetelin</w:t>
      </w:r>
      <w:proofErr w:type="spellEnd"/>
      <w:r w:rsidRPr="00E84EF7">
        <w:rPr>
          <w:i/>
          <w:lang w:val="pl-PL"/>
        </w:rPr>
        <w:t xml:space="preserve"> </w:t>
      </w:r>
      <w:proofErr w:type="spellStart"/>
      <w:r w:rsidRPr="00E84EF7">
        <w:rPr>
          <w:i/>
          <w:lang w:val="pl-PL"/>
        </w:rPr>
        <w:t>Petkov</w:t>
      </w:r>
      <w:proofErr w:type="spellEnd"/>
      <w:r w:rsidRPr="00E84EF7">
        <w:rPr>
          <w:i/>
          <w:lang w:val="pl-PL"/>
        </w:rPr>
        <w:t xml:space="preserve"> </w:t>
      </w:r>
      <w:r w:rsidR="00DA2734" w:rsidRPr="00E84EF7">
        <w:rPr>
          <w:i/>
          <w:lang w:val="pl-PL"/>
        </w:rPr>
        <w:t>p</w:t>
      </w:r>
      <w:r w:rsidRPr="00E84EF7">
        <w:rPr>
          <w:i/>
          <w:lang w:val="pl-PL"/>
        </w:rPr>
        <w:t>. Bu</w:t>
      </w:r>
      <w:r w:rsidR="00DA2734" w:rsidRPr="00E84EF7">
        <w:rPr>
          <w:i/>
          <w:lang w:val="pl-PL"/>
        </w:rPr>
        <w:t>łgarii</w:t>
      </w:r>
      <w:r w:rsidRPr="00E84EF7">
        <w:rPr>
          <w:lang w:val="pl-PL"/>
        </w:rPr>
        <w:t xml:space="preserve">, </w:t>
      </w:r>
      <w:r w:rsidR="00DA2734" w:rsidRPr="00E84EF7">
        <w:rPr>
          <w:lang w:val="pl-PL"/>
        </w:rPr>
        <w:t xml:space="preserve">nr </w:t>
      </w:r>
      <w:r w:rsidRPr="00E84EF7">
        <w:rPr>
          <w:lang w:val="pl-PL"/>
        </w:rPr>
        <w:t>2641/06, 15 </w:t>
      </w:r>
      <w:r w:rsidR="00DA2734" w:rsidRPr="00E84EF7">
        <w:rPr>
          <w:lang w:val="pl-PL"/>
        </w:rPr>
        <w:t>lipca</w:t>
      </w:r>
      <w:r w:rsidRPr="00E84EF7">
        <w:rPr>
          <w:lang w:val="pl-PL"/>
        </w:rPr>
        <w:t xml:space="preserve"> 2014</w:t>
      </w:r>
      <w:r w:rsidR="00DA2734" w:rsidRPr="00E84EF7">
        <w:rPr>
          <w:lang w:val="pl-PL"/>
        </w:rPr>
        <w:t xml:space="preserve"> r.</w:t>
      </w:r>
      <w:r w:rsidRPr="00E84EF7">
        <w:rPr>
          <w:lang w:val="pl-PL"/>
        </w:rPr>
        <w:t xml:space="preserve">, </w:t>
      </w:r>
      <w:hyperlink r:id="rId9" w:history="1">
        <w:r w:rsidRPr="00E84EF7">
          <w:rPr>
            <w:rStyle w:val="Hipercze"/>
            <w:lang w:val="pl-PL"/>
          </w:rPr>
          <w:t>Not</w:t>
        </w:r>
        <w:r w:rsidR="00DA2734" w:rsidRPr="00E84EF7">
          <w:rPr>
            <w:rStyle w:val="Hipercze"/>
            <w:lang w:val="pl-PL"/>
          </w:rPr>
          <w:t>a informacyjna nr</w:t>
        </w:r>
        <w:r w:rsidRPr="00E84EF7">
          <w:rPr>
            <w:rStyle w:val="Hipercze"/>
            <w:lang w:val="pl-PL"/>
          </w:rPr>
          <w:t> 176</w:t>
        </w:r>
      </w:hyperlink>
      <w:r w:rsidRPr="00E84EF7">
        <w:rPr>
          <w:lang w:val="pl-PL"/>
        </w:rPr>
        <w:t>)</w:t>
      </w:r>
    </w:p>
    <w:p w:rsidR="00584120" w:rsidRPr="00E84EF7" w:rsidRDefault="00584120">
      <w:pPr>
        <w:pBdr>
          <w:bottom w:val="single" w:sz="8" w:space="1" w:color="auto"/>
        </w:pBdr>
        <w:rPr>
          <w:lang w:val="pl-PL"/>
        </w:rPr>
      </w:pPr>
    </w:p>
    <w:p w:rsidR="004B4D6D" w:rsidRPr="00E84EF7" w:rsidRDefault="004B4D6D" w:rsidP="004B4D6D">
      <w:pPr>
        <w:pStyle w:val="ClinFooter"/>
        <w:rPr>
          <w:lang w:val="pl-PL"/>
        </w:rPr>
      </w:pPr>
      <w:r w:rsidRPr="00E84EF7">
        <w:rPr>
          <w:lang w:val="pl-PL"/>
        </w:rPr>
        <w:t xml:space="preserve">© </w:t>
      </w:r>
      <w:proofErr w:type="spellStart"/>
      <w:r w:rsidRPr="00E84EF7">
        <w:rPr>
          <w:lang w:val="pl-PL"/>
        </w:rPr>
        <w:t>Council</w:t>
      </w:r>
      <w:proofErr w:type="spellEnd"/>
      <w:r w:rsidRPr="00E84EF7">
        <w:rPr>
          <w:lang w:val="pl-PL"/>
        </w:rPr>
        <w:t xml:space="preserve"> of Europe/European Court of Human Rights</w:t>
      </w:r>
      <w:r w:rsidRPr="00E84EF7">
        <w:rPr>
          <w:lang w:val="pl-PL"/>
        </w:rPr>
        <w:br/>
        <w:t xml:space="preserve">Niniejsze streszczenie przygotowane przez Kancelarię nie wiąże Trybunału.  </w:t>
      </w:r>
    </w:p>
    <w:p w:rsidR="00584120" w:rsidRDefault="004B4D6D" w:rsidP="004B4D6D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0" w:history="1">
        <w:r>
          <w:rPr>
            <w:rStyle w:val="Hipercze"/>
            <w:lang w:val="pl-PL"/>
          </w:rPr>
          <w:t>Not informacyjnych nt. orzecznictwa</w:t>
        </w:r>
      </w:hyperlink>
    </w:p>
    <w:p w:rsidR="001C0CCA" w:rsidRPr="00BC4C35" w:rsidRDefault="001C0CCA" w:rsidP="001C0CCA">
      <w:pPr>
        <w:pStyle w:val="ClinFooter"/>
        <w:jc w:val="left"/>
        <w:rPr>
          <w:lang w:val="pl-PL"/>
        </w:rPr>
      </w:pPr>
    </w:p>
    <w:sectPr w:rsidR="001C0CCA" w:rsidRPr="00BC4C35" w:rsidSect="004A5B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863" w:rsidRDefault="00A16863" w:rsidP="00C63262">
      <w:r>
        <w:separator/>
      </w:r>
    </w:p>
  </w:endnote>
  <w:endnote w:type="continuationSeparator" w:id="0">
    <w:p w:rsidR="00A16863" w:rsidRDefault="00A16863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35" w:rsidRDefault="002C5C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35" w:rsidRDefault="002C5C3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863" w:rsidRDefault="00A16863" w:rsidP="00C63262">
      <w:r>
        <w:separator/>
      </w:r>
    </w:p>
  </w:footnote>
  <w:footnote w:type="continuationSeparator" w:id="0">
    <w:p w:rsidR="00A16863" w:rsidRDefault="00A16863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35" w:rsidRDefault="002C5C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493C30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537D5"/>
    <w:rsid w:val="000963B5"/>
    <w:rsid w:val="00097888"/>
    <w:rsid w:val="000F13B5"/>
    <w:rsid w:val="00107377"/>
    <w:rsid w:val="00120559"/>
    <w:rsid w:val="001419FB"/>
    <w:rsid w:val="00143602"/>
    <w:rsid w:val="001769E4"/>
    <w:rsid w:val="00186560"/>
    <w:rsid w:val="001C0CCA"/>
    <w:rsid w:val="00212E83"/>
    <w:rsid w:val="0027377A"/>
    <w:rsid w:val="002966E7"/>
    <w:rsid w:val="002C5C35"/>
    <w:rsid w:val="002E088D"/>
    <w:rsid w:val="0030264F"/>
    <w:rsid w:val="00304D15"/>
    <w:rsid w:val="003450B3"/>
    <w:rsid w:val="00386958"/>
    <w:rsid w:val="003A64A6"/>
    <w:rsid w:val="003D7BB3"/>
    <w:rsid w:val="0046453F"/>
    <w:rsid w:val="00493C30"/>
    <w:rsid w:val="004A5B52"/>
    <w:rsid w:val="004B4D6D"/>
    <w:rsid w:val="004D568D"/>
    <w:rsid w:val="004E1037"/>
    <w:rsid w:val="0052092D"/>
    <w:rsid w:val="00540D75"/>
    <w:rsid w:val="005514E5"/>
    <w:rsid w:val="005537A1"/>
    <w:rsid w:val="00576A04"/>
    <w:rsid w:val="00584120"/>
    <w:rsid w:val="006028A1"/>
    <w:rsid w:val="00631A28"/>
    <w:rsid w:val="00682CFF"/>
    <w:rsid w:val="006A36AD"/>
    <w:rsid w:val="006C1D96"/>
    <w:rsid w:val="0071773F"/>
    <w:rsid w:val="00774515"/>
    <w:rsid w:val="007B198B"/>
    <w:rsid w:val="007E7CD7"/>
    <w:rsid w:val="0081625C"/>
    <w:rsid w:val="00895EF3"/>
    <w:rsid w:val="008C64D5"/>
    <w:rsid w:val="00903D38"/>
    <w:rsid w:val="009228C2"/>
    <w:rsid w:val="009B3B2C"/>
    <w:rsid w:val="009C6ED9"/>
    <w:rsid w:val="009E3EF0"/>
    <w:rsid w:val="00A01052"/>
    <w:rsid w:val="00A04D9C"/>
    <w:rsid w:val="00A16863"/>
    <w:rsid w:val="00A258BB"/>
    <w:rsid w:val="00A33541"/>
    <w:rsid w:val="00A45616"/>
    <w:rsid w:val="00A5061E"/>
    <w:rsid w:val="00AC7726"/>
    <w:rsid w:val="00B80CA0"/>
    <w:rsid w:val="00B85770"/>
    <w:rsid w:val="00BC4C35"/>
    <w:rsid w:val="00BF1CD9"/>
    <w:rsid w:val="00BF74B4"/>
    <w:rsid w:val="00C37433"/>
    <w:rsid w:val="00C54E0A"/>
    <w:rsid w:val="00C63262"/>
    <w:rsid w:val="00C72355"/>
    <w:rsid w:val="00C9022B"/>
    <w:rsid w:val="00C93CFB"/>
    <w:rsid w:val="00CC5D2F"/>
    <w:rsid w:val="00CF7BA6"/>
    <w:rsid w:val="00D42086"/>
    <w:rsid w:val="00D425B3"/>
    <w:rsid w:val="00DA2734"/>
    <w:rsid w:val="00DE596C"/>
    <w:rsid w:val="00E55491"/>
    <w:rsid w:val="00E83DB6"/>
    <w:rsid w:val="00E84EF7"/>
    <w:rsid w:val="00EA53E7"/>
    <w:rsid w:val="00EB42E0"/>
    <w:rsid w:val="00F508C9"/>
    <w:rsid w:val="00F50CCD"/>
    <w:rsid w:val="00F5247C"/>
    <w:rsid w:val="00FA29ED"/>
    <w:rsid w:val="00FA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27377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2737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27377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273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5560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pl/dyplomacja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9595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666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2020-07-31T10:38:00Z</dcterms:created>
  <dcterms:modified xsi:type="dcterms:W3CDTF">2020-07-31T16:28:00Z</dcterms:modified>
</cp:coreProperties>
</file>