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7A" w:rsidRPr="0000634B" w:rsidRDefault="002246B1">
      <w:pPr>
        <w:pStyle w:val="Standard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00634B">
        <w:rPr>
          <w:rFonts w:ascii="Times New Roman" w:hAnsi="Times New Roman" w:cs="Times New Roman"/>
          <w:noProof/>
          <w:lang w:eastAsia="pl-PL" w:bidi="ar-SA"/>
        </w:rPr>
        <w:drawing>
          <wp:inline distT="0" distB="0" distL="0" distR="0">
            <wp:extent cx="2962271" cy="1219196"/>
            <wp:effectExtent l="0" t="0" r="0" b="4"/>
            <wp:docPr id="1" name="Picture 1" descr="R:\1_Graphics&amp;Web\Court_Graphic_Charter\2013\ECHR_Stationery\Documents_and_Letters\Cover_Pages_And_Docs\White_600_dpi\ECHR_CoverpageCS61_ECHR_Coverpage_Header_Blac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2271" cy="1219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2157A" w:rsidRPr="0000634B" w:rsidRDefault="00E2157A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DF385B" w:rsidRPr="007B37E6" w:rsidRDefault="00DF385B" w:rsidP="00DF385B">
      <w:pPr>
        <w:jc w:val="center"/>
        <w:rPr>
          <w:rFonts w:ascii="Times New Roman" w:eastAsia="CIDFont+F1" w:hAnsi="Times New Roman"/>
          <w:sz w:val="20"/>
          <w:lang w:val="en-GB" w:eastAsia="pl-PL"/>
        </w:rPr>
      </w:pPr>
      <w:r w:rsidRPr="007B37E6">
        <w:rPr>
          <w:rFonts w:ascii="Times New Roman" w:eastAsia="CIDFont+F1" w:hAnsi="Times New Roman"/>
          <w:sz w:val="20"/>
          <w:lang w:val="en-GB" w:eastAsia="pl-PL"/>
        </w:rPr>
        <w:t>© Trybunał Konstytucyjny</w:t>
      </w:r>
    </w:p>
    <w:p w:rsidR="00DF385B" w:rsidRPr="007B37E6" w:rsidRDefault="00DF385B" w:rsidP="00DF385B">
      <w:pPr>
        <w:jc w:val="center"/>
        <w:rPr>
          <w:rFonts w:ascii="Times New Roman" w:eastAsia="CIDFont+F1" w:hAnsi="Times New Roman"/>
          <w:sz w:val="20"/>
          <w:lang w:val="en-GB" w:eastAsia="pl-PL"/>
        </w:rPr>
      </w:pPr>
      <w:r w:rsidRPr="007B37E6">
        <w:rPr>
          <w:rFonts w:ascii="Times New Roman" w:eastAsia="CIDFont+F1" w:hAnsi="Times New Roman"/>
          <w:sz w:val="20"/>
          <w:lang w:val="en-GB" w:eastAsia="pl-PL"/>
        </w:rPr>
        <w:t>© Copyright for the Polish translation by the Polish Constitutional Tribunal</w:t>
      </w:r>
    </w:p>
    <w:p w:rsidR="00DF385B" w:rsidRDefault="00DF385B" w:rsidP="00DF385B">
      <w:pPr>
        <w:jc w:val="center"/>
        <w:rPr>
          <w:rFonts w:ascii="Times New Roman" w:eastAsia="CIDFont+F1" w:hAnsi="Times New Roman"/>
          <w:sz w:val="20"/>
          <w:lang w:eastAsia="pl-PL"/>
        </w:rPr>
      </w:pPr>
      <w:r w:rsidRPr="000C7A65">
        <w:rPr>
          <w:rFonts w:ascii="Times New Roman" w:eastAsia="CIDFont+F1" w:hAnsi="Times New Roman"/>
          <w:sz w:val="20"/>
          <w:lang w:eastAsia="pl-PL"/>
        </w:rPr>
        <w:t>Warszawa 20</w:t>
      </w:r>
      <w:r>
        <w:rPr>
          <w:rFonts w:ascii="Times New Roman" w:eastAsia="CIDFont+F1" w:hAnsi="Times New Roman"/>
          <w:sz w:val="20"/>
          <w:lang w:eastAsia="pl-PL"/>
        </w:rPr>
        <w:t>21</w:t>
      </w:r>
    </w:p>
    <w:p w:rsidR="00FA1588" w:rsidRPr="0000634B" w:rsidRDefault="00FA1588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E2157A" w:rsidRPr="0000634B" w:rsidRDefault="00FA1588" w:rsidP="00610D42">
      <w:pPr>
        <w:pStyle w:val="DecHTitle"/>
        <w:rPr>
          <w:rFonts w:ascii="Times New Roman" w:hAnsi="Times New Roman" w:cs="Times New Roman"/>
          <w:szCs w:val="24"/>
          <w:lang w:val="pl-PL"/>
        </w:rPr>
      </w:pPr>
      <w:r w:rsidRPr="0000634B">
        <w:rPr>
          <w:rFonts w:ascii="Times New Roman" w:hAnsi="Times New Roman" w:cs="Times New Roman"/>
          <w:szCs w:val="24"/>
          <w:lang w:val="pl-PL"/>
        </w:rPr>
        <w:t>EUROPEJSKI TRYBUNAŁ PRAW CZŁOWIEKA</w:t>
      </w:r>
    </w:p>
    <w:p w:rsidR="00E2157A" w:rsidRPr="0000634B" w:rsidRDefault="002246B1" w:rsidP="00610D42">
      <w:pPr>
        <w:pStyle w:val="DecHTitle"/>
        <w:rPr>
          <w:rFonts w:ascii="Times New Roman" w:hAnsi="Times New Roman" w:cs="Times New Roman"/>
          <w:szCs w:val="24"/>
          <w:lang w:val="pl-PL"/>
        </w:rPr>
      </w:pPr>
      <w:r w:rsidRPr="0000634B">
        <w:rPr>
          <w:rFonts w:ascii="Times New Roman" w:hAnsi="Times New Roman" w:cs="Times New Roman"/>
          <w:szCs w:val="24"/>
          <w:lang w:val="pl-PL"/>
        </w:rPr>
        <w:t>SEKCJA PIĄTA</w:t>
      </w:r>
    </w:p>
    <w:p w:rsidR="00E2157A" w:rsidRPr="0000634B" w:rsidRDefault="002246B1" w:rsidP="00610D42">
      <w:pPr>
        <w:pStyle w:val="DecHTitle"/>
        <w:rPr>
          <w:rFonts w:ascii="Times New Roman" w:hAnsi="Times New Roman" w:cs="Times New Roman"/>
          <w:lang w:val="pl-PL"/>
        </w:rPr>
      </w:pPr>
      <w:r w:rsidRPr="0000634B">
        <w:rPr>
          <w:rFonts w:ascii="Times New Roman" w:hAnsi="Times New Roman" w:cs="Times New Roman"/>
          <w:lang w:val="pl-PL"/>
        </w:rPr>
        <w:t>DECYZJA</w:t>
      </w:r>
    </w:p>
    <w:p w:rsidR="00E2157A" w:rsidRPr="0000634B" w:rsidRDefault="002246B1" w:rsidP="0000634B">
      <w:pPr>
        <w:pStyle w:val="DecHCase"/>
        <w:rPr>
          <w:rFonts w:ascii="Times New Roman" w:hAnsi="Times New Roman" w:cs="Times New Roman"/>
          <w:lang w:val="pl-PL"/>
        </w:rPr>
      </w:pPr>
      <w:r w:rsidRPr="005B329B">
        <w:rPr>
          <w:rFonts w:ascii="Times New Roman" w:hAnsi="Times New Roman" w:cs="Times New Roman"/>
          <w:lang w:val="pl-PL"/>
        </w:rPr>
        <w:t>Skarga nr 23038/19</w:t>
      </w:r>
      <w:r w:rsidR="0000634B" w:rsidRPr="005B329B">
        <w:rPr>
          <w:rFonts w:ascii="Times New Roman" w:hAnsi="Times New Roman" w:cs="Times New Roman"/>
          <w:lang w:val="pl-PL"/>
        </w:rPr>
        <w:br/>
      </w:r>
      <w:r w:rsidRPr="005B329B">
        <w:rPr>
          <w:rFonts w:ascii="Times New Roman" w:hAnsi="Times New Roman" w:cs="Times New Roman"/>
          <w:lang w:val="pl-PL"/>
        </w:rPr>
        <w:t>Dominique PETITHORY LANZMANN</w:t>
      </w:r>
      <w:r w:rsidR="0000634B" w:rsidRPr="005B329B">
        <w:rPr>
          <w:rFonts w:ascii="Times New Roman" w:hAnsi="Times New Roman" w:cs="Times New Roman"/>
          <w:lang w:val="pl-PL"/>
        </w:rPr>
        <w:br/>
      </w:r>
      <w:r w:rsidRPr="0000634B">
        <w:rPr>
          <w:rFonts w:ascii="Times New Roman" w:hAnsi="Times New Roman" w:cs="Times New Roman"/>
          <w:lang w:val="pl-PL"/>
        </w:rPr>
        <w:t>przeciwko Francji</w:t>
      </w:r>
    </w:p>
    <w:p w:rsidR="00E2157A" w:rsidRPr="00E2770B" w:rsidRDefault="00CD1906" w:rsidP="0000634B">
      <w:pPr>
        <w:pStyle w:val="JuPara"/>
        <w:rPr>
          <w:rFonts w:ascii="Times New Roman" w:hAnsi="Times New Roman" w:cs="Times New Roman"/>
          <w:lang w:val="pl-PL"/>
        </w:rPr>
      </w:pPr>
      <w:r w:rsidRPr="0000634B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2246B1" w:rsidRPr="00E2770B">
        <w:rPr>
          <w:rFonts w:ascii="Times New Roman" w:hAnsi="Times New Roman" w:cs="Times New Roman"/>
          <w:lang w:val="pl-PL"/>
        </w:rPr>
        <w:t>Europejski Trybunał Praw Człowieka (Sekcja Piąta), zasiadając</w:t>
      </w:r>
      <w:r w:rsidRPr="00E2770B">
        <w:rPr>
          <w:rFonts w:ascii="Times New Roman" w:hAnsi="Times New Roman" w:cs="Times New Roman"/>
          <w:lang w:val="pl-PL"/>
        </w:rPr>
        <w:t xml:space="preserve"> </w:t>
      </w:r>
      <w:r w:rsidR="002246B1" w:rsidRPr="00E2770B">
        <w:rPr>
          <w:rFonts w:ascii="Times New Roman" w:hAnsi="Times New Roman" w:cs="Times New Roman"/>
          <w:lang w:val="pl-PL"/>
        </w:rPr>
        <w:t>w dniu 12 listopada 2019</w:t>
      </w:r>
      <w:r w:rsidR="006430D2" w:rsidRPr="00E2770B">
        <w:rPr>
          <w:rFonts w:ascii="Times New Roman" w:hAnsi="Times New Roman" w:cs="Times New Roman"/>
          <w:lang w:val="pl-PL"/>
        </w:rPr>
        <w:t xml:space="preserve"> r.</w:t>
      </w:r>
      <w:r w:rsidR="002246B1" w:rsidRPr="00E2770B">
        <w:rPr>
          <w:rFonts w:ascii="Times New Roman" w:hAnsi="Times New Roman" w:cs="Times New Roman"/>
          <w:lang w:val="pl-PL"/>
        </w:rPr>
        <w:t>,</w:t>
      </w:r>
      <w:r w:rsidRPr="00E2770B">
        <w:rPr>
          <w:rFonts w:ascii="Times New Roman" w:hAnsi="Times New Roman" w:cs="Times New Roman"/>
          <w:lang w:val="pl-PL"/>
        </w:rPr>
        <w:t xml:space="preserve"> </w:t>
      </w:r>
      <w:r w:rsidR="002246B1" w:rsidRPr="00E2770B">
        <w:rPr>
          <w:rFonts w:ascii="Times New Roman" w:hAnsi="Times New Roman" w:cs="Times New Roman"/>
          <w:lang w:val="pl-PL"/>
        </w:rPr>
        <w:t>jako Izba składająca się z następujących sędziów:</w:t>
      </w:r>
    </w:p>
    <w:p w:rsidR="00E2157A" w:rsidRPr="0000634B" w:rsidRDefault="0000634B" w:rsidP="0000634B">
      <w:pPr>
        <w:pStyle w:val="JuJudges"/>
        <w:rPr>
          <w:rFonts w:ascii="Times New Roman" w:hAnsi="Times New Roman" w:cs="Times New Roman"/>
          <w:lang w:val="pl-PL"/>
        </w:rPr>
      </w:pPr>
      <w:r w:rsidRPr="00E2770B">
        <w:rPr>
          <w:lang w:val="pl-PL"/>
        </w:rPr>
        <w:tab/>
      </w:r>
      <w:proofErr w:type="spellStart"/>
      <w:r w:rsidR="002246B1" w:rsidRPr="0000634B">
        <w:rPr>
          <w:rFonts w:ascii="Times New Roman" w:hAnsi="Times New Roman" w:cs="Times New Roman"/>
          <w:lang w:val="pl-PL"/>
        </w:rPr>
        <w:t>Mārtiņš</w:t>
      </w:r>
      <w:proofErr w:type="spellEnd"/>
      <w:r w:rsidR="002246B1" w:rsidRPr="0000634B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2246B1" w:rsidRPr="0000634B">
        <w:rPr>
          <w:rFonts w:ascii="Times New Roman" w:hAnsi="Times New Roman" w:cs="Times New Roman"/>
          <w:lang w:val="pl-PL"/>
        </w:rPr>
        <w:t>Mits</w:t>
      </w:r>
      <w:proofErr w:type="spellEnd"/>
      <w:r w:rsidR="002246B1" w:rsidRPr="0000634B">
        <w:rPr>
          <w:rFonts w:ascii="Times New Roman" w:hAnsi="Times New Roman" w:cs="Times New Roman"/>
          <w:lang w:val="pl-PL"/>
        </w:rPr>
        <w:t xml:space="preserve">, </w:t>
      </w:r>
      <w:r w:rsidR="002246B1" w:rsidRPr="0000634B">
        <w:rPr>
          <w:rFonts w:ascii="Times New Roman" w:hAnsi="Times New Roman" w:cs="Times New Roman"/>
          <w:i/>
          <w:lang w:val="pl-PL"/>
        </w:rPr>
        <w:t>przewodniczący</w:t>
      </w:r>
      <w:r w:rsidR="002246B1" w:rsidRPr="0000634B">
        <w:rPr>
          <w:rFonts w:ascii="Times New Roman" w:hAnsi="Times New Roman" w:cs="Times New Roman"/>
          <w:lang w:val="pl-PL"/>
        </w:rPr>
        <w:t>,</w:t>
      </w:r>
    </w:p>
    <w:p w:rsidR="00E2157A" w:rsidRPr="0000634B" w:rsidRDefault="0000634B" w:rsidP="0000634B">
      <w:pPr>
        <w:pStyle w:val="JuJudges"/>
        <w:rPr>
          <w:rFonts w:ascii="Times New Roman" w:hAnsi="Times New Roman" w:cs="Times New Roman"/>
          <w:lang w:val="pl-PL"/>
        </w:rPr>
      </w:pPr>
      <w:r w:rsidRPr="00E2770B">
        <w:rPr>
          <w:lang w:val="pl-PL"/>
        </w:rPr>
        <w:tab/>
      </w:r>
      <w:proofErr w:type="spellStart"/>
      <w:r w:rsidR="002246B1" w:rsidRPr="0000634B">
        <w:rPr>
          <w:rFonts w:ascii="Times New Roman" w:hAnsi="Times New Roman" w:cs="Times New Roman"/>
          <w:lang w:val="pl-PL"/>
        </w:rPr>
        <w:t>André</w:t>
      </w:r>
      <w:proofErr w:type="spellEnd"/>
      <w:r w:rsidR="002246B1" w:rsidRPr="0000634B">
        <w:rPr>
          <w:rFonts w:ascii="Times New Roman" w:hAnsi="Times New Roman" w:cs="Times New Roman"/>
          <w:lang w:val="pl-PL"/>
        </w:rPr>
        <w:t xml:space="preserve"> Potocki,</w:t>
      </w:r>
    </w:p>
    <w:p w:rsidR="00E2157A" w:rsidRPr="00E2770B" w:rsidRDefault="0000634B" w:rsidP="0000634B">
      <w:pPr>
        <w:pStyle w:val="JuJudges"/>
        <w:rPr>
          <w:rFonts w:ascii="Times New Roman" w:hAnsi="Times New Roman" w:cs="Times New Roman"/>
          <w:lang w:val="pl-PL"/>
        </w:rPr>
      </w:pPr>
      <w:r w:rsidRPr="00E2770B">
        <w:rPr>
          <w:lang w:val="pl-PL"/>
        </w:rPr>
        <w:tab/>
      </w:r>
      <w:proofErr w:type="spellStart"/>
      <w:r w:rsidR="002246B1" w:rsidRPr="00E2770B">
        <w:rPr>
          <w:rFonts w:ascii="Times New Roman" w:hAnsi="Times New Roman" w:cs="Times New Roman"/>
          <w:lang w:val="pl-PL"/>
        </w:rPr>
        <w:t>Lətif</w:t>
      </w:r>
      <w:proofErr w:type="spellEnd"/>
      <w:r w:rsidR="002246B1" w:rsidRPr="00E2770B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2246B1" w:rsidRPr="00E2770B">
        <w:rPr>
          <w:rFonts w:ascii="Times New Roman" w:hAnsi="Times New Roman" w:cs="Times New Roman"/>
          <w:lang w:val="pl-PL"/>
        </w:rPr>
        <w:t>Hüseynow</w:t>
      </w:r>
      <w:proofErr w:type="spellEnd"/>
      <w:r w:rsidR="002246B1" w:rsidRPr="00E2770B">
        <w:rPr>
          <w:rFonts w:ascii="Times New Roman" w:hAnsi="Times New Roman" w:cs="Times New Roman"/>
          <w:lang w:val="pl-PL"/>
        </w:rPr>
        <w:t xml:space="preserve">, </w:t>
      </w:r>
      <w:r w:rsidR="002246B1" w:rsidRPr="00E2770B">
        <w:rPr>
          <w:rFonts w:ascii="Times New Roman" w:hAnsi="Times New Roman" w:cs="Times New Roman"/>
          <w:i/>
          <w:lang w:val="pl-PL"/>
        </w:rPr>
        <w:t>sędziowie</w:t>
      </w:r>
      <w:r w:rsidR="002246B1" w:rsidRPr="00E2770B">
        <w:rPr>
          <w:rFonts w:ascii="Times New Roman" w:hAnsi="Times New Roman" w:cs="Times New Roman"/>
          <w:lang w:val="pl-PL"/>
        </w:rPr>
        <w:t>,</w:t>
      </w:r>
    </w:p>
    <w:p w:rsidR="00E2157A" w:rsidRPr="0000634B" w:rsidRDefault="00610D42" w:rsidP="00610D42">
      <w:pPr>
        <w:pStyle w:val="JuPara"/>
        <w:ind w:firstLine="0"/>
        <w:rPr>
          <w:rFonts w:ascii="Times New Roman" w:hAnsi="Times New Roman" w:cs="Times New Roman"/>
          <w:lang w:val="pl-PL"/>
        </w:rPr>
      </w:pPr>
      <w:r w:rsidRPr="0000634B">
        <w:rPr>
          <w:rFonts w:ascii="Times New Roman" w:hAnsi="Times New Roman" w:cs="Times New Roman"/>
          <w:lang w:val="pl-PL"/>
        </w:rPr>
        <w:t xml:space="preserve">a także </w:t>
      </w:r>
      <w:r w:rsidR="002246B1" w:rsidRPr="0000634B">
        <w:rPr>
          <w:rFonts w:ascii="Times New Roman" w:hAnsi="Times New Roman" w:cs="Times New Roman"/>
          <w:lang w:val="pl-PL"/>
        </w:rPr>
        <w:t xml:space="preserve">Milan </w:t>
      </w:r>
      <w:proofErr w:type="spellStart"/>
      <w:r w:rsidR="002246B1" w:rsidRPr="0000634B">
        <w:rPr>
          <w:rFonts w:ascii="Times New Roman" w:hAnsi="Times New Roman" w:cs="Times New Roman"/>
          <w:lang w:val="pl-PL"/>
        </w:rPr>
        <w:t>Blaško</w:t>
      </w:r>
      <w:proofErr w:type="spellEnd"/>
      <w:r w:rsidR="002246B1" w:rsidRPr="0000634B">
        <w:rPr>
          <w:rFonts w:ascii="Times New Roman" w:hAnsi="Times New Roman" w:cs="Times New Roman"/>
          <w:lang w:val="pl-PL"/>
        </w:rPr>
        <w:t xml:space="preserve">, </w:t>
      </w:r>
      <w:r w:rsidR="002246B1" w:rsidRPr="0000634B">
        <w:rPr>
          <w:rFonts w:ascii="Times New Roman" w:hAnsi="Times New Roman" w:cs="Times New Roman"/>
          <w:i/>
          <w:lang w:val="pl-PL"/>
        </w:rPr>
        <w:t>Kanclerz</w:t>
      </w:r>
      <w:r w:rsidR="002246B1" w:rsidRPr="0000634B">
        <w:rPr>
          <w:rFonts w:ascii="Times New Roman" w:hAnsi="Times New Roman" w:cs="Times New Roman"/>
          <w:lang w:val="pl-PL"/>
        </w:rPr>
        <w:t>,</w:t>
      </w:r>
    </w:p>
    <w:p w:rsidR="00E2157A" w:rsidRPr="00E2770B" w:rsidRDefault="002246B1" w:rsidP="0000634B">
      <w:pPr>
        <w:pStyle w:val="JuPara"/>
        <w:rPr>
          <w:rFonts w:ascii="Times New Roman" w:hAnsi="Times New Roman" w:cs="Times New Roman"/>
          <w:lang w:val="pl-PL"/>
        </w:rPr>
      </w:pPr>
      <w:r w:rsidRPr="00E2770B">
        <w:rPr>
          <w:rFonts w:ascii="Times New Roman" w:hAnsi="Times New Roman" w:cs="Times New Roman"/>
          <w:lang w:val="pl-PL"/>
        </w:rPr>
        <w:t>Po rozważeniu powyższej skargi złożonej w dniu</w:t>
      </w:r>
      <w:r w:rsidR="00CD1906" w:rsidRPr="00E2770B">
        <w:rPr>
          <w:rFonts w:ascii="Times New Roman" w:hAnsi="Times New Roman" w:cs="Times New Roman"/>
          <w:lang w:val="pl-PL"/>
        </w:rPr>
        <w:t xml:space="preserve"> </w:t>
      </w:r>
      <w:r w:rsidRPr="00E2770B">
        <w:rPr>
          <w:rFonts w:ascii="Times New Roman" w:hAnsi="Times New Roman" w:cs="Times New Roman"/>
          <w:lang w:val="pl-PL"/>
        </w:rPr>
        <w:t>25 kwietnia 2019</w:t>
      </w:r>
      <w:r w:rsidR="00CD1906" w:rsidRPr="00E2770B">
        <w:rPr>
          <w:rFonts w:ascii="Times New Roman" w:hAnsi="Times New Roman" w:cs="Times New Roman"/>
          <w:lang w:val="pl-PL"/>
        </w:rPr>
        <w:t xml:space="preserve"> </w:t>
      </w:r>
      <w:r w:rsidR="006430D2" w:rsidRPr="00E2770B">
        <w:rPr>
          <w:rFonts w:ascii="Times New Roman" w:hAnsi="Times New Roman" w:cs="Times New Roman"/>
          <w:lang w:val="pl-PL"/>
        </w:rPr>
        <w:t>r.</w:t>
      </w:r>
      <w:r w:rsidRPr="00E2770B">
        <w:rPr>
          <w:rFonts w:ascii="Times New Roman" w:hAnsi="Times New Roman" w:cs="Times New Roman"/>
          <w:lang w:val="pl-PL"/>
        </w:rPr>
        <w:t>,</w:t>
      </w:r>
    </w:p>
    <w:p w:rsidR="00E2157A" w:rsidRPr="000B6EBC" w:rsidRDefault="002246B1" w:rsidP="0000634B">
      <w:pPr>
        <w:pStyle w:val="JuPara"/>
        <w:rPr>
          <w:rFonts w:ascii="Times New Roman" w:hAnsi="Times New Roman" w:cs="Times New Roman"/>
          <w:lang w:val="pl-PL"/>
        </w:rPr>
      </w:pPr>
      <w:r w:rsidRPr="000B6EBC">
        <w:rPr>
          <w:rFonts w:ascii="Times New Roman" w:hAnsi="Times New Roman" w:cs="Times New Roman"/>
          <w:lang w:val="pl-PL"/>
        </w:rPr>
        <w:t xml:space="preserve">Po rozważeniu </w:t>
      </w:r>
      <w:r w:rsidRPr="000C3D2F">
        <w:rPr>
          <w:rFonts w:ascii="Times New Roman" w:hAnsi="Times New Roman" w:cs="Times New Roman"/>
          <w:lang w:val="pl-PL"/>
        </w:rPr>
        <w:t xml:space="preserve">decyzji </w:t>
      </w:r>
      <w:r w:rsidR="00A5140E" w:rsidRPr="00E2770B">
        <w:rPr>
          <w:rFonts w:ascii="Times New Roman" w:hAnsi="Times New Roman" w:cs="Times New Roman"/>
          <w:lang w:val="pl-PL"/>
        </w:rPr>
        <w:t>w dniu</w:t>
      </w:r>
      <w:r w:rsidRPr="000C3D2F">
        <w:rPr>
          <w:rFonts w:ascii="Times New Roman" w:hAnsi="Times New Roman" w:cs="Times New Roman"/>
          <w:lang w:val="pl-PL"/>
        </w:rPr>
        <w:t xml:space="preserve"> 12</w:t>
      </w:r>
      <w:r w:rsidRPr="000B6EBC">
        <w:rPr>
          <w:rFonts w:ascii="Times New Roman" w:hAnsi="Times New Roman" w:cs="Times New Roman"/>
          <w:lang w:val="pl-PL"/>
        </w:rPr>
        <w:t xml:space="preserve"> listopada 2019</w:t>
      </w:r>
      <w:r w:rsidR="00CD1906" w:rsidRPr="000B6EBC">
        <w:rPr>
          <w:rFonts w:ascii="Times New Roman" w:hAnsi="Times New Roman" w:cs="Times New Roman"/>
          <w:lang w:val="pl-PL"/>
        </w:rPr>
        <w:t xml:space="preserve"> </w:t>
      </w:r>
      <w:r w:rsidR="006430D2" w:rsidRPr="000B6EBC">
        <w:rPr>
          <w:rFonts w:ascii="Times New Roman" w:hAnsi="Times New Roman" w:cs="Times New Roman"/>
          <w:lang w:val="pl-PL"/>
        </w:rPr>
        <w:t>r.</w:t>
      </w:r>
      <w:r w:rsidRPr="000B6EBC">
        <w:rPr>
          <w:rFonts w:ascii="Times New Roman" w:hAnsi="Times New Roman" w:cs="Times New Roman"/>
          <w:lang w:val="pl-PL"/>
        </w:rPr>
        <w:t>,</w:t>
      </w:r>
    </w:p>
    <w:p w:rsidR="00E2157A" w:rsidRPr="00E2770B" w:rsidRDefault="002246B1" w:rsidP="0000634B">
      <w:pPr>
        <w:pStyle w:val="JuPara"/>
        <w:rPr>
          <w:rFonts w:ascii="Times New Roman" w:hAnsi="Times New Roman" w:cs="Times New Roman"/>
          <w:lang w:val="pl-PL"/>
        </w:rPr>
      </w:pPr>
      <w:r w:rsidRPr="00E2770B">
        <w:rPr>
          <w:rFonts w:ascii="Times New Roman" w:hAnsi="Times New Roman" w:cs="Times New Roman"/>
          <w:lang w:val="pl-PL"/>
        </w:rPr>
        <w:t>Po naradzie postanawia co następuje:</w:t>
      </w:r>
    </w:p>
    <w:p w:rsidR="00E2157A" w:rsidRPr="00E2770B" w:rsidRDefault="002246B1" w:rsidP="0000634B">
      <w:pPr>
        <w:pStyle w:val="JuHHead"/>
        <w:rPr>
          <w:rFonts w:ascii="Times New Roman" w:hAnsi="Times New Roman" w:cs="Times New Roman"/>
          <w:lang w:val="pl-PL"/>
        </w:rPr>
      </w:pPr>
      <w:r w:rsidRPr="005B329B">
        <w:rPr>
          <w:rFonts w:ascii="Times New Roman" w:hAnsi="Times New Roman" w:cs="Times New Roman"/>
          <w:i/>
          <w:sz w:val="21"/>
          <w:lang w:val="pl-PL"/>
        </w:rPr>
        <w:t xml:space="preserve"> </w:t>
      </w:r>
      <w:r w:rsidRPr="00E2770B">
        <w:rPr>
          <w:rFonts w:ascii="Times New Roman" w:hAnsi="Times New Roman" w:cs="Times New Roman"/>
          <w:lang w:val="pl-PL"/>
        </w:rPr>
        <w:t>FAKTY</w:t>
      </w:r>
    </w:p>
    <w:p w:rsidR="00E2157A" w:rsidRPr="000B6EBC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1. Skarżąca, Pani Dominique Petithory Lanzmann, jest obywatelką francuską urodzoną w 1957 r</w:t>
      </w:r>
      <w:r w:rsidR="006430D2" w:rsidRP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.</w:t>
      </w:r>
      <w:r w:rsidRP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i mieszkającą w Paryżu. </w:t>
      </w:r>
      <w:r w:rsidR="000B6EBC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B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yła reprezentowana przed Trybunałem przez Pana D. Simhon</w:t>
      </w:r>
      <w:r w:rsid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a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adwokata praktykującego w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Paryżu.</w:t>
      </w:r>
    </w:p>
    <w:p w:rsidR="00E2157A" w:rsidRPr="00E2770B" w:rsidRDefault="002246B1" w:rsidP="00610D42">
      <w:pPr>
        <w:keepNext/>
        <w:keepLines/>
        <w:suppressAutoHyphens w:val="0"/>
        <w:autoSpaceDN/>
        <w:spacing w:before="100" w:beforeAutospacing="1" w:after="240"/>
        <w:ind w:left="584" w:hanging="352"/>
        <w:textAlignment w:val="auto"/>
        <w:outlineLvl w:val="2"/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</w:pPr>
      <w:r w:rsidRPr="00E2770B"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  <w:t>A. Okoliczności niniejszej sprawy</w:t>
      </w:r>
    </w:p>
    <w:p w:rsidR="00E2157A" w:rsidRPr="000B6EBC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2. Fakty sprawy, tak jak zostały przedstawione przez skarżącą, można </w:t>
      </w:r>
      <w:r w:rsidR="000B6EBC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podsumować 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następująco.</w:t>
      </w:r>
    </w:p>
    <w:p w:rsidR="00E2157A" w:rsidRPr="000B6EBC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lastRenderedPageBreak/>
        <w:t xml:space="preserve">3. Skarżąca </w:t>
      </w:r>
      <w:r w:rsid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była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żoną Pana Claude</w:t>
      </w:r>
      <w:r w:rsidR="000B6EBC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’a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Lanzmann</w:t>
      </w:r>
      <w:r w:rsid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a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dziennikarza, pisarza i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reżysera filmu „Shoah”, zmarłego w 2018</w:t>
      </w:r>
      <w:r w:rsidR="006430D2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</w:p>
    <w:p w:rsidR="00E2157A" w:rsidRPr="004C1DE9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4. Ich jedyny syn F. zmarł 13 stycznia 2017</w:t>
      </w:r>
      <w:r w:rsidR="006430D2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w wieku dwudziestu trzech lat</w:t>
      </w:r>
      <w:r w:rsid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w następstwie guza</w:t>
      </w:r>
      <w:r w:rsidR="00CD1906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nowotworowego, zdiagnozowanego w dniu 21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listopada 2014</w:t>
      </w:r>
      <w:r w:rsidR="006430D2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Od momentu oznajmienia choroby wyrażał on wobec swoich bliskich i lekarzy, 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jak to wynika z zeznań złożonych przez skarżącą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życzenie posiadania potomka, nawet</w:t>
      </w:r>
      <w:r w:rsidR="00CD1906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uwzględniając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że nastąpiłoby to po </w:t>
      </w:r>
      <w:r w:rsidR="00E2770B"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jego </w:t>
      </w:r>
      <w:r w:rsidRPr="000B6EBC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śmierci.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 dniu 25 listopada 2014</w:t>
      </w:r>
      <w:r w:rsidR="006430D2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="00CD1906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złożył w depozyt gamety w Centrum Badań i Przechowywania 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komórek jajowych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i spermy (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dalej zwan</w:t>
      </w:r>
      <w:r w:rsid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ym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„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CECOS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”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) w szpitalu Cochin w Paryżu. Nawiązał również kontakt z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="004C1DE9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ośrodkiem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w Szwajcarii w celu złożenia tam gamet i rozważał </w:t>
      </w:r>
      <w:r w:rsidR="004C1DE9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dokonanie 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innych depozytów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za granicą, szczególnie w Brukseli, Walencji i Barcelonie. </w:t>
      </w:r>
      <w:r w:rsidRPr="00E2770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Te zamiary nie mogły się urzeczywistnić z powodu choroby.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 dniu 22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listopada 2016</w:t>
      </w:r>
      <w:r w:rsidR="006430D2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F. zwrócił się do szpitala</w:t>
      </w:r>
      <w:r w:rsidR="00CD1906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Cochin o przedłużenie przechowywania gamet.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5. W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iosną</w:t>
      </w:r>
      <w:r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2017</w:t>
      </w:r>
      <w:r w:rsidR="006430D2"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="00CD1906"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przewodniczący CECOS ustnie odmówił przekazania Agencji </w:t>
      </w:r>
      <w:r w:rsidR="00E2770B"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Biomedycznej 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wniosku </w:t>
      </w:r>
      <w:r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skarżącej o przeniesienie gamet jej syna do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00634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placówki medycznej znajdującej się w Izraelu.</w:t>
      </w:r>
    </w:p>
    <w:p w:rsidR="00E2157A" w:rsidRPr="00583314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6.</w:t>
      </w:r>
      <w:r w:rsidR="00CD1906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 dniu 29 października 2018</w:t>
      </w:r>
      <w:r w:rsidR="006430D2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skarżąca</w:t>
      </w:r>
      <w:r w:rsidR="00CD1906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złożyła </w:t>
      </w:r>
      <w:r w:rsidR="004C1DE9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do Trybunału </w:t>
      </w:r>
      <w:r w:rsid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A</w:t>
      </w:r>
      <w:r w:rsidR="004C1DE9"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dministracyjnego w Paryżu 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wniosek o zarządzenie tymczasowe na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4C1DE9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podstawie art.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L. 521-2 Kodeksu Sądownictwa Administracyjnego (paragraf 10, poniżej), wnosząc o podjęcie wszystkich niezbędnych środków, aby umożliwić wysłanie gamet jej syna do placówki medycznej w Izraelu </w:t>
      </w:r>
      <w:r w:rsidR="00583314"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upoważnionej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do praktykowania wspomaganej medycznie p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rokreacji (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dalej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zwan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ej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„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PMA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”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). Skarżąca podnosiła, że </w:t>
      </w:r>
      <w:r w:rsidR="00583314"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zaskarżona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odmowa jest sprzeczna z art. 8 Konwencji, pozbawiając 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ją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prawa do 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korzystania z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życia prywatnego i rodzinnego, 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o które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go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byłaby uprawniona</w:t>
      </w:r>
      <w:r w:rsid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="00CD1906"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stając się babcią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i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do 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zapewni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enia</w:t>
      </w:r>
      <w:r w:rsidRPr="00583314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poszanowanie woli syna.</w:t>
      </w:r>
    </w:p>
    <w:p w:rsidR="00E2157A" w:rsidRPr="00426A2E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7.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Postanowieniem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z dnia 2 listopada 2018</w:t>
      </w:r>
      <w:r w:rsidR="006430D2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sędzia doraźny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oddalił 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wniosek. Sędzia argumentował przede wszystkim, że zakaz</w:t>
      </w:r>
      <w:r w:rsidR="00CD1906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367D42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dokonania inseminacji z wykorzystaniem gamet osoby zmarłej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="00367D42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oparty na art. L.2141-2 Kodeksu zdrowia publicznego (dalej 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zwanego „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CSP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”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, paragraf 11, poniżej), nie jest niezgodny z art. 8 Konwencji. </w:t>
      </w:r>
      <w:r w:rsidR="00426A2E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Stwierdził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w tej kwestii, że zakaz </w:t>
      </w:r>
      <w:r w:rsidR="00426A2E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ten 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mieści się w zakresie 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marginesu oceny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, którym 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dysponuje 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każde Państwo przy wdrażaniu Konwencji. Do</w:t>
      </w:r>
      <w:r w:rsidR="00426A2E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dał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że zakaz eksportowania gamet ustanowiony w art. L.2141-11 CSP (ibidem), jeżeli są one przeznaczone do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użycia za</w:t>
      </w:r>
      <w:r w:rsidR="00426A2E"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granicą do celów zakazanych na terytorium</w:t>
      </w:r>
      <w:r w:rsid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krajowym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ma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na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426A2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celu uniknięcie obejścia prawa.</w:t>
      </w:r>
    </w:p>
    <w:p w:rsidR="00E2157A" w:rsidRPr="00FF18C3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Dokonując ponadto konkretnej kontroli zgodności 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przedmiotowego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prawa</w:t>
      </w:r>
      <w:r w:rsidR="00FF18C3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z Konwencją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, sędzia stwierdził, że odmowa 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zgody na wywiezienie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2966F7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za granicę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gamet zmarłego syna skarżącej nie narusza w istotny i</w:t>
      </w:r>
      <w:r w:rsidR="00CD1906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oczywiście </w:t>
      </w:r>
      <w:r w:rsidR="00B91CAB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bezprawny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sposób</w:t>
      </w:r>
      <w:r w:rsidR="00B10091" w:rsidRP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B10091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podstawowych wolności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.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Uznał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że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nawet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jeżeli syn skarżącej regularnie wyrażał życzenie stania się ojcem, 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z akt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sprawy nie 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wynikało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po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pierwsze, </w:t>
      </w:r>
      <w:r w:rsidR="002966F7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że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był zapisany do konkretnego projektu rodzicielskiego,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lastRenderedPageBreak/>
        <w:t>po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drugie, </w:t>
      </w:r>
      <w:r w:rsidR="002966F7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że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wyraził wolę, by jego gamety były użyte w drodze sztucznej inseminacji po jego śmierci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, zwłaszcza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w procedurze </w:t>
      </w:r>
      <w:r w:rsidR="00BE37E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macierzyństwa zastępczego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, i po trzecie, </w:t>
      </w:r>
      <w:r w:rsidR="002966F7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że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upoważnił matkę do użycia 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jego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gamet w tym celu. Sędzia dodał, że podważana decyzja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pozbawiająca skarżącą</w:t>
      </w:r>
      <w:r w:rsidR="00CD1906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możliwości bycia babcią, nie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stanowi</w:t>
      </w:r>
      <w:r w:rsidR="00FF18C3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–</w:t>
      </w:r>
      <w:r w:rsidR="00CD1906"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</w:t>
      </w:r>
      <w:r w:rsid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kontekście uprawnionych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interesów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leżących u podstaw ustawodawstwa francuskiego –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nadmiernej ingerencji w jej prawo</w:t>
      </w:r>
      <w:r w:rsidRPr="00FF18C3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do poszanowania życia prywatnego i rodzinnego.</w:t>
      </w:r>
    </w:p>
    <w:p w:rsidR="00E2157A" w:rsidRPr="00367D42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8. Skarżąca wniosła odwołanie od postanowienia do Rady Stanu.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odkreśliła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w szczególności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, że ustawodawstwo izraelskie pozwala na PMA po śmierci donatora, w tym na prośbę jego rodziców.</w:t>
      </w:r>
    </w:p>
    <w:p w:rsidR="00E2157A" w:rsidRPr="00367D42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</w:pP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9. 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Postanowieniem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z dnia 4 grudnia 2018</w:t>
      </w:r>
      <w:r w:rsidR="006430D2"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r.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Rada Stanu od</w:t>
      </w:r>
      <w:r w:rsid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daliła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jej skargę, podtrzymując uzasadnienie sędziego 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pierwszej instancji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i dodając do tego, że</w:t>
      </w:r>
      <w:r w:rsidR="00580D1E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 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w aktach sprawy nie było dowodów, że sztuczne zapłodnienie mogłob</w:t>
      </w:r>
      <w:r w:rsidR="00B10091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>y zostać zrealizowane w Izraelu</w:t>
      </w:r>
      <w:r w:rsidRPr="00367D42">
        <w:rPr>
          <w:rFonts w:ascii="Times New Roman" w:eastAsiaTheme="minorEastAsia" w:hAnsi="Times New Roman" w:cs="Times New Roman"/>
          <w:noProof/>
          <w:kern w:val="0"/>
          <w:szCs w:val="22"/>
          <w:lang w:eastAsia="en-US" w:bidi="ar-SA"/>
        </w:rPr>
        <w:t xml:space="preserve"> na prośbę skarżącej.</w:t>
      </w:r>
    </w:p>
    <w:p w:rsidR="00E2157A" w:rsidRPr="0000634B" w:rsidRDefault="002246B1" w:rsidP="00610D42">
      <w:pPr>
        <w:keepNext/>
        <w:keepLines/>
        <w:suppressAutoHyphens w:val="0"/>
        <w:autoSpaceDN/>
        <w:spacing w:before="100" w:beforeAutospacing="1" w:after="240"/>
        <w:ind w:left="584" w:hanging="352"/>
        <w:textAlignment w:val="auto"/>
        <w:outlineLvl w:val="2"/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</w:pPr>
      <w:r w:rsidRPr="0000634B"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  <w:t xml:space="preserve">B. </w:t>
      </w:r>
      <w:r w:rsidR="00F32FD9"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  <w:t>Właściwe p</w:t>
      </w:r>
      <w:r w:rsidRPr="0000634B">
        <w:rPr>
          <w:rFonts w:ascii="Times New Roman" w:eastAsiaTheme="minorEastAsia" w:hAnsi="Times New Roman" w:cs="Times New Roman"/>
          <w:b/>
          <w:kern w:val="0"/>
          <w:szCs w:val="22"/>
          <w:lang w:eastAsia="en-US" w:bidi="ar-SA"/>
        </w:rPr>
        <w:t>rawo i praktyka krajowa</w:t>
      </w:r>
    </w:p>
    <w:p w:rsidR="00E2157A" w:rsidRPr="00E2770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eastAsia="Times New Roman" w:hAnsi="Times New Roman" w:cs="Times New Roman"/>
          <w:kern w:val="0"/>
          <w:lang w:eastAsia="fr-FR" w:bidi="ar-SA"/>
        </w:rPr>
      </w:pPr>
      <w:r w:rsidRPr="00E2770B">
        <w:rPr>
          <w:rFonts w:ascii="Times New Roman" w:eastAsia="Times New Roman" w:hAnsi="Times New Roman" w:cs="Times New Roman"/>
          <w:kern w:val="0"/>
          <w:lang w:eastAsia="fr-FR" w:bidi="ar-SA"/>
        </w:rPr>
        <w:t>10. Art. L.521-2 Kodeksu Sądownictwa Administracyjnego stanowi, co</w:t>
      </w:r>
      <w:r w:rsidR="00580D1E">
        <w:rPr>
          <w:rFonts w:ascii="Times New Roman" w:eastAsia="Times New Roman" w:hAnsi="Times New Roman" w:cs="Times New Roman"/>
          <w:kern w:val="0"/>
          <w:lang w:eastAsia="fr-FR" w:bidi="ar-SA"/>
        </w:rPr>
        <w:t> </w:t>
      </w:r>
      <w:r w:rsidRPr="00E2770B">
        <w:rPr>
          <w:rFonts w:ascii="Times New Roman" w:eastAsia="Times New Roman" w:hAnsi="Times New Roman" w:cs="Times New Roman"/>
          <w:kern w:val="0"/>
          <w:lang w:eastAsia="fr-FR" w:bidi="ar-SA"/>
        </w:rPr>
        <w:t>następuje:</w:t>
      </w:r>
    </w:p>
    <w:p w:rsidR="00E2157A" w:rsidRPr="00B91CAB" w:rsidRDefault="002246B1" w:rsidP="00610D42">
      <w:pPr>
        <w:suppressAutoHyphens w:val="0"/>
        <w:autoSpaceDN/>
        <w:spacing w:before="120" w:after="120"/>
        <w:ind w:left="425" w:firstLine="142"/>
        <w:jc w:val="both"/>
        <w:textAlignment w:val="auto"/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</w:pPr>
      <w:r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„Sędzia doraźny, na wniosek uzasadniony pilnością, może zarządzić wszelkie środki niezbędne do ochrony </w:t>
      </w:r>
      <w:r w:rsidR="00B91CAB"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podstawowej </w:t>
      </w:r>
      <w:r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wolności, </w:t>
      </w:r>
      <w:r w:rsidR="00BE37EE" w:rsidRPr="00BE37EE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która mogłaby zostać </w:t>
      </w:r>
      <w:r w:rsid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naruszon</w:t>
      </w:r>
      <w:r w:rsidR="00BE37EE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a</w:t>
      </w:r>
      <w:r w:rsid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 w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 </w:t>
      </w:r>
      <w:r w:rsid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sposób poważny i oczywiście bezprawny przez osobę</w:t>
      </w:r>
      <w:r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 prawa publicznego lub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 </w:t>
      </w:r>
      <w:r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podmiot prawa prywatnego odpowiedzialny za zarządzanie usługą publiczną.</w:t>
      </w:r>
      <w:r w:rsidR="000B6EBC" w:rsidRPr="000B6EBC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 </w:t>
      </w:r>
      <w:r w:rsidRP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Sędzia </w:t>
      </w:r>
      <w:r w:rsid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 xml:space="preserve">doraźny </w:t>
      </w:r>
      <w:r w:rsidRP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rozstrzyga w ciągu czterdziestu ośmiu godzin”</w:t>
      </w:r>
      <w:r w:rsidR="00B91CAB">
        <w:rPr>
          <w:rFonts w:ascii="Times New Roman" w:eastAsiaTheme="minorEastAsia" w:hAnsi="Times New Roman" w:cs="Times New Roman"/>
          <w:kern w:val="0"/>
          <w:sz w:val="20"/>
          <w:szCs w:val="22"/>
          <w:lang w:eastAsia="fr-FR" w:bidi="ar-SA"/>
        </w:rPr>
        <w:t>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>11.Odpowiednie przepisy Kodeksu zdrowia publicznego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został</w:t>
      </w:r>
      <w:r w:rsidR="0078575F">
        <w:rPr>
          <w:rFonts w:ascii="Times New Roman" w:hAnsi="Times New Roman" w:cs="Times New Roman"/>
        </w:rPr>
        <w:t>y</w:t>
      </w:r>
      <w:r w:rsidRPr="0000634B">
        <w:rPr>
          <w:rFonts w:ascii="Times New Roman" w:hAnsi="Times New Roman" w:cs="Times New Roman"/>
        </w:rPr>
        <w:t xml:space="preserve"> zacytowane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 xml:space="preserve">w sprawie </w:t>
      </w:r>
      <w:proofErr w:type="spellStart"/>
      <w:r w:rsidRPr="0000634B">
        <w:rPr>
          <w:rFonts w:ascii="Times New Roman" w:hAnsi="Times New Roman" w:cs="Times New Roman"/>
          <w:i/>
          <w:iCs/>
        </w:rPr>
        <w:t>Dalleau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przeciwko Francji </w:t>
      </w:r>
      <w:r w:rsidRPr="0000634B">
        <w:rPr>
          <w:rFonts w:ascii="Times New Roman" w:hAnsi="Times New Roman" w:cs="Times New Roman"/>
        </w:rPr>
        <w:t>(nr 57307/18,</w:t>
      </w:r>
      <w:r w:rsidR="0078575F">
        <w:rPr>
          <w:rFonts w:ascii="Times New Roman" w:hAnsi="Times New Roman" w:cs="Times New Roman"/>
        </w:rPr>
        <w:t xml:space="preserve"> skarga zakomunikowana</w:t>
      </w:r>
      <w:r w:rsidRPr="0000634B">
        <w:rPr>
          <w:rFonts w:ascii="Times New Roman" w:hAnsi="Times New Roman" w:cs="Times New Roman"/>
        </w:rPr>
        <w:t xml:space="preserve"> w dniu 29 maja 2018</w:t>
      </w:r>
      <w:r w:rsidR="006430D2" w:rsidRPr="0000634B">
        <w:rPr>
          <w:rFonts w:ascii="Times New Roman" w:hAnsi="Times New Roman" w:cs="Times New Roman"/>
        </w:rPr>
        <w:t xml:space="preserve"> r.</w:t>
      </w:r>
      <w:r w:rsidRPr="0000634B">
        <w:rPr>
          <w:rFonts w:ascii="Times New Roman" w:hAnsi="Times New Roman" w:cs="Times New Roman"/>
        </w:rPr>
        <w:t>). Podsumowując, należy przypomnieć, że ustawa nr 94-654 z dnia 29 lipca 1994</w:t>
      </w:r>
      <w:r w:rsidR="006430D2" w:rsidRPr="0000634B">
        <w:rPr>
          <w:rFonts w:ascii="Times New Roman" w:hAnsi="Times New Roman" w:cs="Times New Roman"/>
        </w:rPr>
        <w:t xml:space="preserve"> r.</w:t>
      </w:r>
      <w:r w:rsidRPr="0000634B">
        <w:rPr>
          <w:rFonts w:ascii="Times New Roman" w:hAnsi="Times New Roman" w:cs="Times New Roman"/>
        </w:rPr>
        <w:t>, odnosząc się do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 xml:space="preserve">donacji i użycia elementów i produktów ciała ludzkiego do wspomaganej medycznie prokreacji i diagnostyki prenatalnej, zabrania prokreacji </w:t>
      </w:r>
      <w:r w:rsidRPr="0000634B">
        <w:rPr>
          <w:rFonts w:ascii="Times New Roman" w:hAnsi="Times New Roman" w:cs="Times New Roman"/>
          <w:i/>
          <w:iCs/>
        </w:rPr>
        <w:t>post</w:t>
      </w:r>
      <w:r w:rsidR="00580D1E">
        <w:rPr>
          <w:rFonts w:ascii="Times New Roman" w:hAnsi="Times New Roman" w:cs="Times New Roman"/>
          <w:i/>
          <w:iCs/>
        </w:rPr>
        <w:t> </w:t>
      </w:r>
      <w:proofErr w:type="spellStart"/>
      <w:r w:rsidRPr="0000634B">
        <w:rPr>
          <w:rFonts w:ascii="Times New Roman" w:hAnsi="Times New Roman" w:cs="Times New Roman"/>
          <w:i/>
          <w:iCs/>
        </w:rPr>
        <w:t>mortem</w:t>
      </w:r>
      <w:proofErr w:type="spellEnd"/>
      <w:r w:rsidRPr="0000634B">
        <w:rPr>
          <w:rFonts w:ascii="Times New Roman" w:hAnsi="Times New Roman" w:cs="Times New Roman"/>
          <w:i/>
          <w:iCs/>
        </w:rPr>
        <w:t>.</w:t>
      </w:r>
      <w:r w:rsidRPr="0000634B">
        <w:rPr>
          <w:rFonts w:ascii="Times New Roman" w:hAnsi="Times New Roman" w:cs="Times New Roman"/>
        </w:rPr>
        <w:t xml:space="preserve"> Zgodnie z art. L.2141-2 CSP, dostęp do PMA jest zastrzeżony dla par mężczyzny i kobiety, którzy muszą być żywi i w odpowiednim wieku do prokreacji. </w:t>
      </w:r>
      <w:r w:rsidR="0078575F">
        <w:rPr>
          <w:rFonts w:ascii="Times New Roman" w:hAnsi="Times New Roman" w:cs="Times New Roman"/>
        </w:rPr>
        <w:t>M</w:t>
      </w:r>
      <w:r w:rsidRPr="0000634B">
        <w:rPr>
          <w:rFonts w:ascii="Times New Roman" w:hAnsi="Times New Roman" w:cs="Times New Roman"/>
        </w:rPr>
        <w:t xml:space="preserve">a </w:t>
      </w:r>
      <w:r w:rsidR="0078575F">
        <w:rPr>
          <w:rFonts w:ascii="Times New Roman" w:hAnsi="Times New Roman" w:cs="Times New Roman"/>
        </w:rPr>
        <w:t>ona na celu zaradzenie</w:t>
      </w:r>
      <w:r w:rsidRPr="0000634B">
        <w:rPr>
          <w:rFonts w:ascii="Times New Roman" w:hAnsi="Times New Roman" w:cs="Times New Roman"/>
        </w:rPr>
        <w:t xml:space="preserve"> bezpłodności pary lub uniknięcie przekazania szczególnie groźnej choroby. Zgodnie z tym przepisem „śmierć jednego członka pary”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stwarza „przeszkodę</w:t>
      </w:r>
      <w:r w:rsidR="00CD1906" w:rsidRPr="0000634B">
        <w:rPr>
          <w:rFonts w:ascii="Times New Roman" w:hAnsi="Times New Roman" w:cs="Times New Roman"/>
        </w:rPr>
        <w:t xml:space="preserve"> </w:t>
      </w:r>
      <w:r w:rsidR="0078575F">
        <w:rPr>
          <w:rFonts w:ascii="Times New Roman" w:hAnsi="Times New Roman" w:cs="Times New Roman"/>
        </w:rPr>
        <w:t>dla inseminacji lub przekazania</w:t>
      </w:r>
      <w:r w:rsidRPr="0000634B">
        <w:rPr>
          <w:rFonts w:ascii="Times New Roman" w:hAnsi="Times New Roman" w:cs="Times New Roman"/>
        </w:rPr>
        <w:t xml:space="preserve"> embrionów”.</w:t>
      </w:r>
    </w:p>
    <w:p w:rsidR="00E2157A" w:rsidRPr="0086667D" w:rsidRDefault="002246B1" w:rsidP="0000634B">
      <w:pPr>
        <w:suppressAutoHyphens w:val="0"/>
        <w:autoSpaceDN/>
        <w:ind w:firstLine="284"/>
        <w:jc w:val="both"/>
        <w:textAlignment w:val="auto"/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</w:pPr>
      <w:r w:rsidRP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Art. L. 2141-11 CSP przewiduje, że każda osoba, której </w:t>
      </w:r>
      <w:r w:rsidR="0078575F" w:rsidRP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płodność może ulec zmianie na skutek </w:t>
      </w:r>
      <w:r w:rsid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opieki medycznej</w:t>
      </w:r>
      <w:r w:rsidRP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, może skorzystać z przechowania swoich gamet, z zastrzeżeniem swojej</w:t>
      </w:r>
      <w:r w:rsidR="00CD1906" w:rsidRP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 </w:t>
      </w:r>
      <w:r w:rsidRPr="0078575F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zgody, w celu późniejszego zrealizowania PMA. </w:t>
      </w:r>
      <w:r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Zgodnie z art. </w:t>
      </w:r>
      <w:r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L. 2141-11-1 CSP, wywóz gamet </w:t>
      </w:r>
      <w:r w:rsidR="00DA674A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za</w:t>
      </w:r>
      <w:r w:rsidR="00580D1E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 </w:t>
      </w:r>
      <w:r w:rsidR="00DA674A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granicę </w:t>
      </w:r>
      <w:r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jest możliwy po uzyskaniu pozwolenia Agencji </w:t>
      </w:r>
      <w:r w:rsidR="0086667D"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Biomedycznej</w:t>
      </w:r>
      <w:r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. </w:t>
      </w:r>
      <w:r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Jedynie gamety przeznaczone do użycia zgodnie z zasadami wskazanymi szczególnie w art. L. 2141-2, wyżej cytowanym, mogą</w:t>
      </w:r>
      <w:r w:rsidR="00CD1906"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 </w:t>
      </w:r>
      <w:r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dostać pozwolenie </w:t>
      </w:r>
      <w:r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lastRenderedPageBreak/>
        <w:t>na</w:t>
      </w:r>
      <w:r w:rsidR="00580D1E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 </w:t>
      </w:r>
      <w:r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wywóz. Wreszcie, art.</w:t>
      </w:r>
      <w:r w:rsidR="00CD1906" w:rsidRPr="00E2770B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 </w:t>
      </w:r>
      <w:r w:rsidR="006430D2"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R.</w:t>
      </w:r>
      <w:r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 2141-17 CSP stanowi, że </w:t>
      </w:r>
      <w:r w:rsidR="0086667D"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przechowywania gamet </w:t>
      </w:r>
      <w:r w:rsid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 xml:space="preserve">zostaje zakończone </w:t>
      </w:r>
      <w:r w:rsidRPr="0086667D">
        <w:rPr>
          <w:rFonts w:ascii="Times New Roman" w:eastAsiaTheme="minorEastAsia" w:hAnsi="Times New Roman" w:cs="Times New Roman"/>
          <w:kern w:val="0"/>
          <w:szCs w:val="22"/>
          <w:lang w:eastAsia="en-US" w:bidi="ar-SA"/>
        </w:rPr>
        <w:t>w przypadku śmierci osoby.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>12. W ramach okresowego przeglądu prawa bioetycznego</w:t>
      </w:r>
      <w:r w:rsidR="0086667D">
        <w:rPr>
          <w:rFonts w:ascii="Times New Roman" w:hAnsi="Times New Roman" w:cs="Times New Roman"/>
        </w:rPr>
        <w:t xml:space="preserve"> </w:t>
      </w:r>
      <w:r w:rsidR="0086667D" w:rsidRPr="0000634B">
        <w:rPr>
          <w:rFonts w:ascii="Times New Roman" w:hAnsi="Times New Roman" w:cs="Times New Roman"/>
        </w:rPr>
        <w:t>w dniu 24 lipca 2019 r.</w:t>
      </w:r>
      <w:r w:rsidR="0086667D">
        <w:rPr>
          <w:rFonts w:ascii="Times New Roman" w:hAnsi="Times New Roman" w:cs="Times New Roman"/>
        </w:rPr>
        <w:t xml:space="preserve"> został</w:t>
      </w:r>
      <w:r w:rsidRPr="0000634B">
        <w:rPr>
          <w:rFonts w:ascii="Times New Roman" w:hAnsi="Times New Roman" w:cs="Times New Roman"/>
        </w:rPr>
        <w:t xml:space="preserve"> </w:t>
      </w:r>
      <w:r w:rsidR="0086667D" w:rsidRPr="0000634B">
        <w:rPr>
          <w:rFonts w:ascii="Times New Roman" w:hAnsi="Times New Roman" w:cs="Times New Roman"/>
        </w:rPr>
        <w:t xml:space="preserve">wniesiony do Zgromadzenia Narodowego </w:t>
      </w:r>
      <w:r w:rsidRPr="0000634B">
        <w:rPr>
          <w:rFonts w:ascii="Times New Roman" w:hAnsi="Times New Roman" w:cs="Times New Roman"/>
        </w:rPr>
        <w:t xml:space="preserve">projekt ustawy bioetycznej, </w:t>
      </w:r>
      <w:r w:rsidR="0086667D">
        <w:rPr>
          <w:rFonts w:ascii="Times New Roman" w:hAnsi="Times New Roman" w:cs="Times New Roman"/>
        </w:rPr>
        <w:t>który podlega debacie.</w:t>
      </w:r>
      <w:r w:rsidRPr="0000634B">
        <w:rPr>
          <w:rFonts w:ascii="Times New Roman" w:hAnsi="Times New Roman" w:cs="Times New Roman"/>
        </w:rPr>
        <w:t xml:space="preserve"> Zawiera on ważne zmiany warunków przystąpienia do P</w:t>
      </w:r>
      <w:r w:rsidR="00A447E4">
        <w:rPr>
          <w:rFonts w:ascii="Times New Roman" w:hAnsi="Times New Roman" w:cs="Times New Roman"/>
        </w:rPr>
        <w:t>MA</w:t>
      </w:r>
      <w:r w:rsidRPr="0000634B">
        <w:rPr>
          <w:rFonts w:ascii="Times New Roman" w:hAnsi="Times New Roman" w:cs="Times New Roman"/>
        </w:rPr>
        <w:t>, proponuj</w:t>
      </w:r>
      <w:r w:rsidR="0022056B">
        <w:rPr>
          <w:rFonts w:ascii="Times New Roman" w:hAnsi="Times New Roman" w:cs="Times New Roman"/>
        </w:rPr>
        <w:t>ąc</w:t>
      </w:r>
      <w:r w:rsidRPr="0000634B">
        <w:rPr>
          <w:rFonts w:ascii="Times New Roman" w:hAnsi="Times New Roman" w:cs="Times New Roman"/>
        </w:rPr>
        <w:t xml:space="preserve"> rozszerzenie tej procedury </w:t>
      </w:r>
      <w:r w:rsidR="00A447E4">
        <w:rPr>
          <w:rFonts w:ascii="Times New Roman" w:hAnsi="Times New Roman" w:cs="Times New Roman"/>
        </w:rPr>
        <w:t xml:space="preserve">na </w:t>
      </w:r>
      <w:r w:rsidRPr="0000634B">
        <w:rPr>
          <w:rFonts w:ascii="Times New Roman" w:hAnsi="Times New Roman" w:cs="Times New Roman"/>
        </w:rPr>
        <w:t>pary kobiet i kobiet</w:t>
      </w:r>
      <w:r w:rsidR="00A447E4">
        <w:rPr>
          <w:rFonts w:ascii="Times New Roman" w:hAnsi="Times New Roman" w:cs="Times New Roman"/>
        </w:rPr>
        <w:t>y niezamężne</w:t>
      </w:r>
      <w:r w:rsidRPr="0000634B">
        <w:rPr>
          <w:rFonts w:ascii="Times New Roman" w:hAnsi="Times New Roman" w:cs="Times New Roman"/>
        </w:rPr>
        <w:t xml:space="preserve">, </w:t>
      </w:r>
      <w:r w:rsidR="00A447E4">
        <w:rPr>
          <w:rFonts w:ascii="Times New Roman" w:hAnsi="Times New Roman" w:cs="Times New Roman"/>
        </w:rPr>
        <w:t>skreślając</w:t>
      </w:r>
      <w:r w:rsidRPr="0000634B">
        <w:rPr>
          <w:rFonts w:ascii="Times New Roman" w:hAnsi="Times New Roman" w:cs="Times New Roman"/>
        </w:rPr>
        <w:t xml:space="preserve"> medyczne kryterium niepłodności. Projekt przewiduje również utrzymanie zasady zakazu inseminacji i transferu embrionów w przypadku śmierci jednej osoby z pary.</w:t>
      </w:r>
    </w:p>
    <w:p w:rsidR="00E2157A" w:rsidRPr="00A447E4" w:rsidRDefault="002246B1" w:rsidP="00610D42">
      <w:pPr>
        <w:keepNext/>
        <w:keepLines/>
        <w:suppressAutoHyphens w:val="0"/>
        <w:autoSpaceDN/>
        <w:spacing w:before="100" w:beforeAutospacing="1" w:after="240"/>
        <w:jc w:val="both"/>
        <w:textAlignment w:val="auto"/>
        <w:outlineLvl w:val="0"/>
        <w:rPr>
          <w:rFonts w:ascii="Times New Roman" w:eastAsiaTheme="minorEastAsia" w:hAnsi="Times New Roman" w:cs="Times New Roman"/>
          <w:caps/>
          <w:kern w:val="0"/>
          <w:sz w:val="28"/>
          <w:szCs w:val="22"/>
          <w:lang w:eastAsia="en-US" w:bidi="ar-SA"/>
        </w:rPr>
      </w:pPr>
      <w:r w:rsidRPr="00A447E4">
        <w:rPr>
          <w:rFonts w:ascii="Times New Roman" w:eastAsiaTheme="minorEastAsia" w:hAnsi="Times New Roman" w:cs="Times New Roman"/>
          <w:caps/>
          <w:kern w:val="0"/>
          <w:sz w:val="28"/>
          <w:szCs w:val="22"/>
          <w:lang w:eastAsia="en-US" w:bidi="ar-SA"/>
        </w:rPr>
        <w:t>ZARZUT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>Przywołując art. 8 Konwencji, skarżąca zarzuca niemożność dysponowania gametami swojego zmarłego syna zgodnie z jego ostatnią wolą,</w:t>
      </w:r>
      <w:r w:rsidRPr="0000634B">
        <w:rPr>
          <w:rFonts w:ascii="Times New Roman" w:hAnsi="Times New Roman" w:cs="Times New Roman"/>
          <w:i/>
          <w:iCs/>
        </w:rPr>
        <w:t xml:space="preserve"> </w:t>
      </w:r>
      <w:r w:rsidRPr="0000634B">
        <w:rPr>
          <w:rFonts w:ascii="Times New Roman" w:hAnsi="Times New Roman" w:cs="Times New Roman"/>
        </w:rPr>
        <w:t xml:space="preserve">w celu </w:t>
      </w:r>
      <w:r w:rsidR="00A447E4">
        <w:rPr>
          <w:rFonts w:ascii="Times New Roman" w:hAnsi="Times New Roman" w:cs="Times New Roman"/>
        </w:rPr>
        <w:t xml:space="preserve">przeprowadzenia </w:t>
      </w:r>
      <w:r w:rsidRPr="0000634B">
        <w:rPr>
          <w:rFonts w:ascii="Times New Roman" w:hAnsi="Times New Roman" w:cs="Times New Roman"/>
        </w:rPr>
        <w:t>PMA</w:t>
      </w:r>
      <w:r w:rsidRPr="0000634B">
        <w:rPr>
          <w:rFonts w:ascii="Times New Roman" w:hAnsi="Times New Roman" w:cs="Times New Roman"/>
          <w:i/>
          <w:iCs/>
        </w:rPr>
        <w:t xml:space="preserve"> </w:t>
      </w:r>
      <w:r w:rsidR="00A447E4" w:rsidRPr="00A447E4">
        <w:rPr>
          <w:rFonts w:ascii="Times New Roman" w:hAnsi="Times New Roman" w:cs="Times New Roman"/>
          <w:iCs/>
        </w:rPr>
        <w:t>poprzez</w:t>
      </w:r>
      <w:r w:rsidR="00A447E4">
        <w:rPr>
          <w:rFonts w:ascii="Times New Roman" w:hAnsi="Times New Roman" w:cs="Times New Roman"/>
          <w:i/>
          <w:iCs/>
        </w:rPr>
        <w:t xml:space="preserve"> </w:t>
      </w:r>
      <w:r w:rsidR="00A447E4">
        <w:rPr>
          <w:rFonts w:ascii="Times New Roman" w:hAnsi="Times New Roman" w:cs="Times New Roman"/>
        </w:rPr>
        <w:t xml:space="preserve">w szczególności przekazanie </w:t>
      </w:r>
      <w:r w:rsidRPr="0000634B">
        <w:rPr>
          <w:rFonts w:ascii="Times New Roman" w:hAnsi="Times New Roman" w:cs="Times New Roman"/>
        </w:rPr>
        <w:t>jako dar dla</w:t>
      </w:r>
      <w:r w:rsidR="00A447E4">
        <w:rPr>
          <w:rFonts w:ascii="Times New Roman" w:hAnsi="Times New Roman" w:cs="Times New Roman"/>
        </w:rPr>
        <w:t xml:space="preserve"> bezpłodnej pary lub  macierzyństwo</w:t>
      </w:r>
      <w:r w:rsidR="00DA674A">
        <w:rPr>
          <w:rFonts w:ascii="Times New Roman" w:hAnsi="Times New Roman" w:cs="Times New Roman"/>
        </w:rPr>
        <w:t xml:space="preserve"> zastępcze</w:t>
      </w:r>
      <w:r w:rsidRPr="0000634B">
        <w:rPr>
          <w:rFonts w:ascii="Times New Roman" w:hAnsi="Times New Roman" w:cs="Times New Roman"/>
        </w:rPr>
        <w:t xml:space="preserve">, czyli </w:t>
      </w:r>
      <w:r w:rsidR="00A447E4">
        <w:rPr>
          <w:rFonts w:ascii="Times New Roman" w:hAnsi="Times New Roman" w:cs="Times New Roman"/>
        </w:rPr>
        <w:t xml:space="preserve">w drodze </w:t>
      </w:r>
      <w:r w:rsidRPr="0000634B">
        <w:rPr>
          <w:rFonts w:ascii="Times New Roman" w:hAnsi="Times New Roman" w:cs="Times New Roman"/>
        </w:rPr>
        <w:t>proc</w:t>
      </w:r>
      <w:r w:rsidR="00A447E4">
        <w:rPr>
          <w:rFonts w:ascii="Times New Roman" w:hAnsi="Times New Roman" w:cs="Times New Roman"/>
        </w:rPr>
        <w:t>edur</w:t>
      </w:r>
      <w:r w:rsidRPr="0000634B">
        <w:rPr>
          <w:rFonts w:ascii="Times New Roman" w:hAnsi="Times New Roman" w:cs="Times New Roman"/>
        </w:rPr>
        <w:t xml:space="preserve">, które są dozwolone w Izraelu lub Stanach Zjednoczonych. Przywołując wyrok </w:t>
      </w:r>
      <w:r w:rsidR="00A447E4">
        <w:rPr>
          <w:rFonts w:ascii="Times New Roman" w:hAnsi="Times New Roman" w:cs="Times New Roman"/>
        </w:rPr>
        <w:t xml:space="preserve">w sprawie </w:t>
      </w:r>
      <w:r w:rsidRPr="0000634B">
        <w:rPr>
          <w:rFonts w:ascii="Times New Roman" w:hAnsi="Times New Roman" w:cs="Times New Roman"/>
          <w:i/>
          <w:iCs/>
        </w:rPr>
        <w:t>Evans przeciwko Zjednoczonemu Królestwu</w:t>
      </w:r>
      <w:r w:rsidR="00CD1906" w:rsidRPr="0000634B">
        <w:rPr>
          <w:rFonts w:ascii="Times New Roman" w:hAnsi="Times New Roman" w:cs="Times New Roman"/>
          <w:i/>
          <w:iCs/>
        </w:rPr>
        <w:t xml:space="preserve"> </w:t>
      </w:r>
      <w:r w:rsidRPr="00A447E4">
        <w:rPr>
          <w:rFonts w:ascii="Times New Roman" w:hAnsi="Times New Roman" w:cs="Times New Roman"/>
          <w:iCs/>
        </w:rPr>
        <w:t>(</w:t>
      </w:r>
      <w:r w:rsidRPr="0000634B">
        <w:rPr>
          <w:rFonts w:ascii="Times New Roman" w:hAnsi="Times New Roman" w:cs="Times New Roman"/>
        </w:rPr>
        <w:t xml:space="preserve">[Wielka Izba], nr 6339/05, </w:t>
      </w:r>
      <w:r w:rsidR="00CD1906" w:rsidRPr="0000634B">
        <w:rPr>
          <w:rFonts w:ascii="Times New Roman" w:hAnsi="Times New Roman" w:cs="Times New Roman"/>
        </w:rPr>
        <w:t>ETPC</w:t>
      </w:r>
      <w:r w:rsidRPr="0000634B">
        <w:rPr>
          <w:rFonts w:ascii="Times New Roman" w:hAnsi="Times New Roman" w:cs="Times New Roman"/>
        </w:rPr>
        <w:t xml:space="preserve"> 2007</w:t>
      </w:r>
      <w:r w:rsidR="00A447E4">
        <w:rPr>
          <w:rFonts w:ascii="Times New Roman" w:hAnsi="Times New Roman" w:cs="Times New Roman"/>
        </w:rPr>
        <w:t>-</w:t>
      </w:r>
      <w:r w:rsidRPr="0000634B">
        <w:rPr>
          <w:rFonts w:ascii="Times New Roman" w:hAnsi="Times New Roman" w:cs="Times New Roman"/>
        </w:rPr>
        <w:t>I),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skarżąca uznaje</w:t>
      </w:r>
      <w:r w:rsidR="00A447E4">
        <w:rPr>
          <w:rFonts w:ascii="Times New Roman" w:hAnsi="Times New Roman" w:cs="Times New Roman"/>
        </w:rPr>
        <w:t>, że</w:t>
      </w:r>
      <w:r w:rsidRPr="0000634B">
        <w:rPr>
          <w:rFonts w:ascii="Times New Roman" w:hAnsi="Times New Roman" w:cs="Times New Roman"/>
        </w:rPr>
        <w:t xml:space="preserve"> art. 8 Konwencji </w:t>
      </w:r>
      <w:r w:rsidR="00A447E4">
        <w:rPr>
          <w:rFonts w:ascii="Times New Roman" w:hAnsi="Times New Roman" w:cs="Times New Roman"/>
        </w:rPr>
        <w:t xml:space="preserve">ma zastosowanie w sprawie, </w:t>
      </w:r>
      <w:r w:rsidRPr="0000634B">
        <w:rPr>
          <w:rFonts w:ascii="Times New Roman" w:hAnsi="Times New Roman" w:cs="Times New Roman"/>
        </w:rPr>
        <w:t>i</w:t>
      </w:r>
      <w:r w:rsidR="00A447E4">
        <w:rPr>
          <w:rFonts w:ascii="Times New Roman" w:hAnsi="Times New Roman" w:cs="Times New Roman"/>
        </w:rPr>
        <w:t xml:space="preserve"> twierdzi</w:t>
      </w:r>
      <w:r w:rsidRPr="0000634B">
        <w:rPr>
          <w:rFonts w:ascii="Times New Roman" w:hAnsi="Times New Roman" w:cs="Times New Roman"/>
        </w:rPr>
        <w:t>, że sporny zakaz nie jest u</w:t>
      </w:r>
      <w:r w:rsidR="00570191">
        <w:rPr>
          <w:rFonts w:ascii="Times New Roman" w:hAnsi="Times New Roman" w:cs="Times New Roman"/>
        </w:rPr>
        <w:t>zasadniony</w:t>
      </w:r>
      <w:r w:rsidRPr="0000634B">
        <w:rPr>
          <w:rFonts w:ascii="Times New Roman" w:hAnsi="Times New Roman" w:cs="Times New Roman"/>
        </w:rPr>
        <w:t xml:space="preserve"> ani w świetle rozwoju społecznego i rodziny</w:t>
      </w:r>
      <w:r w:rsidR="00570191">
        <w:rPr>
          <w:rFonts w:ascii="Times New Roman" w:hAnsi="Times New Roman" w:cs="Times New Roman"/>
        </w:rPr>
        <w:t>,</w:t>
      </w:r>
      <w:r w:rsidRPr="0000634B">
        <w:rPr>
          <w:rFonts w:ascii="Times New Roman" w:hAnsi="Times New Roman" w:cs="Times New Roman"/>
        </w:rPr>
        <w:t xml:space="preserve"> ani </w:t>
      </w:r>
      <w:r w:rsidR="00570191">
        <w:rPr>
          <w:rFonts w:ascii="Times New Roman" w:hAnsi="Times New Roman" w:cs="Times New Roman"/>
        </w:rPr>
        <w:t>ze względu na</w:t>
      </w:r>
      <w:r w:rsidR="00580D1E">
        <w:rPr>
          <w:rFonts w:ascii="Times New Roman" w:hAnsi="Times New Roman" w:cs="Times New Roman"/>
        </w:rPr>
        <w:t> </w:t>
      </w:r>
      <w:r w:rsidR="00570191">
        <w:rPr>
          <w:rFonts w:ascii="Times New Roman" w:hAnsi="Times New Roman" w:cs="Times New Roman"/>
        </w:rPr>
        <w:t>interes</w:t>
      </w:r>
      <w:r w:rsidRPr="0000634B">
        <w:rPr>
          <w:rFonts w:ascii="Times New Roman" w:hAnsi="Times New Roman" w:cs="Times New Roman"/>
        </w:rPr>
        <w:t xml:space="preserve"> dziecka, które miałoby się urodzić</w:t>
      </w:r>
      <w:r w:rsidR="00570191">
        <w:rPr>
          <w:rFonts w:ascii="Times New Roman" w:hAnsi="Times New Roman" w:cs="Times New Roman"/>
        </w:rPr>
        <w:t>, a które</w:t>
      </w:r>
      <w:r w:rsidRPr="0000634B">
        <w:rPr>
          <w:rFonts w:ascii="Times New Roman" w:hAnsi="Times New Roman" w:cs="Times New Roman"/>
        </w:rPr>
        <w:t xml:space="preserve"> miał</w:t>
      </w:r>
      <w:r w:rsidR="00570191">
        <w:rPr>
          <w:rFonts w:ascii="Times New Roman" w:hAnsi="Times New Roman" w:cs="Times New Roman"/>
        </w:rPr>
        <w:t>o</w:t>
      </w:r>
      <w:r w:rsidRPr="0000634B">
        <w:rPr>
          <w:rFonts w:ascii="Times New Roman" w:hAnsi="Times New Roman" w:cs="Times New Roman"/>
        </w:rPr>
        <w:t>by jednego lub więcej rodziców</w:t>
      </w:r>
      <w:r w:rsidR="00570191">
        <w:rPr>
          <w:rFonts w:ascii="Times New Roman" w:hAnsi="Times New Roman" w:cs="Times New Roman"/>
        </w:rPr>
        <w:t xml:space="preserve"> opiekujących się nim i przekazujących mu </w:t>
      </w:r>
      <w:r w:rsidRPr="0000634B">
        <w:rPr>
          <w:rFonts w:ascii="Times New Roman" w:hAnsi="Times New Roman" w:cs="Times New Roman"/>
        </w:rPr>
        <w:t xml:space="preserve">szczególną pamięć o rodzinie </w:t>
      </w:r>
      <w:proofErr w:type="spellStart"/>
      <w:r w:rsidRPr="0000634B">
        <w:rPr>
          <w:rFonts w:ascii="Times New Roman" w:hAnsi="Times New Roman" w:cs="Times New Roman"/>
        </w:rPr>
        <w:t>Lanzmann</w:t>
      </w:r>
      <w:r w:rsidR="00570191">
        <w:rPr>
          <w:rFonts w:ascii="Times New Roman" w:hAnsi="Times New Roman" w:cs="Times New Roman"/>
        </w:rPr>
        <w:t>ów</w:t>
      </w:r>
      <w:proofErr w:type="spellEnd"/>
      <w:r w:rsidRPr="0000634B">
        <w:rPr>
          <w:rFonts w:ascii="Times New Roman" w:hAnsi="Times New Roman" w:cs="Times New Roman"/>
        </w:rPr>
        <w:t>.</w:t>
      </w:r>
    </w:p>
    <w:p w:rsidR="00E2157A" w:rsidRPr="00570191" w:rsidRDefault="002246B1" w:rsidP="00610D42">
      <w:pPr>
        <w:keepNext/>
        <w:keepLines/>
        <w:suppressAutoHyphens w:val="0"/>
        <w:autoSpaceDN/>
        <w:spacing w:before="100" w:beforeAutospacing="1" w:after="240"/>
        <w:jc w:val="both"/>
        <w:textAlignment w:val="auto"/>
        <w:outlineLvl w:val="0"/>
        <w:rPr>
          <w:rFonts w:ascii="Times New Roman" w:eastAsiaTheme="minorEastAsia" w:hAnsi="Times New Roman" w:cs="Times New Roman"/>
          <w:caps/>
          <w:kern w:val="0"/>
          <w:sz w:val="28"/>
          <w:szCs w:val="22"/>
          <w:lang w:eastAsia="en-US" w:bidi="ar-SA"/>
        </w:rPr>
      </w:pPr>
      <w:r w:rsidRPr="00570191">
        <w:rPr>
          <w:rFonts w:ascii="Times New Roman" w:eastAsiaTheme="minorEastAsia" w:hAnsi="Times New Roman" w:cs="Times New Roman"/>
          <w:caps/>
          <w:kern w:val="0"/>
          <w:sz w:val="28"/>
          <w:szCs w:val="22"/>
          <w:lang w:eastAsia="en-US" w:bidi="ar-SA"/>
        </w:rPr>
        <w:t>PRAWO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>13.Skarżąca zarzuca, że odmowa prze</w:t>
      </w:r>
      <w:r w:rsidR="00570191">
        <w:rPr>
          <w:rFonts w:ascii="Times New Roman" w:hAnsi="Times New Roman" w:cs="Times New Roman"/>
        </w:rPr>
        <w:t>kazania</w:t>
      </w:r>
      <w:r w:rsidRPr="0000634B">
        <w:rPr>
          <w:rFonts w:ascii="Times New Roman" w:hAnsi="Times New Roman" w:cs="Times New Roman"/>
        </w:rPr>
        <w:t xml:space="preserve"> gamet jej zmarłego syna jest sprzeczna z art. 8 Konwencji, który brzmi następująco:</w:t>
      </w:r>
    </w:p>
    <w:p w:rsidR="00E2157A" w:rsidRPr="00E2770B" w:rsidRDefault="002246B1" w:rsidP="0000634B">
      <w:pPr>
        <w:suppressAutoHyphens w:val="0"/>
        <w:autoSpaceDN/>
        <w:spacing w:before="120" w:after="120"/>
        <w:ind w:left="425" w:firstLine="142"/>
        <w:jc w:val="both"/>
        <w:textAlignment w:val="auto"/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</w:pPr>
      <w:r w:rsidRPr="00E2770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„1. Każdy ma prawo do poszanowania swojego życia prywatnego i rodzinnego (…)</w:t>
      </w:r>
    </w:p>
    <w:p w:rsidR="00E2157A" w:rsidRPr="0000634B" w:rsidRDefault="002246B1" w:rsidP="0000634B">
      <w:pPr>
        <w:suppressAutoHyphens w:val="0"/>
        <w:autoSpaceDN/>
        <w:spacing w:before="120" w:after="120"/>
        <w:ind w:left="425" w:firstLine="142"/>
        <w:jc w:val="both"/>
        <w:textAlignment w:val="auto"/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</w:pPr>
      <w:r w:rsidRPr="0000634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2. Niedopuszczalna jest ingerencja władzy publicznej w korzystanie z tego prawa, z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 </w:t>
      </w:r>
      <w:r w:rsidRPr="0000634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wyjątkiem przypadków przewidzianych przez ustawę i koniecznych w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 </w:t>
      </w:r>
      <w:r w:rsidRPr="0000634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demokratycznym społeczeństwie z uwagi na bezpieczeństwo państwowe, bezpieczeństwo publiczne lub dobrobyt gospodarczy kraju, ochronę porządku i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 </w:t>
      </w:r>
      <w:r w:rsidRPr="0000634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zapobieganie przestępstwom, ochronę zdrowia i moralności lub ochronę praw i</w:t>
      </w:r>
      <w:r w:rsidR="00580D1E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 </w:t>
      </w:r>
      <w:r w:rsidRPr="0000634B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wolności innych osób”</w:t>
      </w:r>
      <w:r w:rsidR="00570191">
        <w:rPr>
          <w:rFonts w:ascii="Times New Roman" w:eastAsiaTheme="minorEastAsia" w:hAnsi="Times New Roman" w:cs="Times New Roman"/>
          <w:kern w:val="0"/>
          <w:sz w:val="20"/>
          <w:szCs w:val="22"/>
          <w:lang w:eastAsia="en-US" w:bidi="ar-SA"/>
        </w:rPr>
        <w:t>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 xml:space="preserve">14. Trybunał zauważa, że zarzut skarżącej dotyczy niemożności wysłania </w:t>
      </w:r>
      <w:r w:rsidR="006B4830">
        <w:rPr>
          <w:rFonts w:ascii="Times New Roman" w:hAnsi="Times New Roman" w:cs="Times New Roman"/>
        </w:rPr>
        <w:t xml:space="preserve">za granicę </w:t>
      </w:r>
      <w:r w:rsidRPr="0000634B">
        <w:rPr>
          <w:rFonts w:ascii="Times New Roman" w:hAnsi="Times New Roman" w:cs="Times New Roman"/>
        </w:rPr>
        <w:t xml:space="preserve">gamet jej zmarłego syna </w:t>
      </w:r>
      <w:r w:rsidR="006B4830">
        <w:rPr>
          <w:rFonts w:ascii="Times New Roman" w:hAnsi="Times New Roman" w:cs="Times New Roman"/>
        </w:rPr>
        <w:t xml:space="preserve">i przeprowadzenia </w:t>
      </w:r>
      <w:r w:rsidRPr="0000634B">
        <w:rPr>
          <w:rFonts w:ascii="Times New Roman" w:hAnsi="Times New Roman" w:cs="Times New Roman"/>
        </w:rPr>
        <w:t xml:space="preserve">zgodnie z </w:t>
      </w:r>
      <w:r w:rsidR="006B4830">
        <w:rPr>
          <w:rFonts w:ascii="Times New Roman" w:hAnsi="Times New Roman" w:cs="Times New Roman"/>
        </w:rPr>
        <w:t xml:space="preserve">jego </w:t>
      </w:r>
      <w:r w:rsidRPr="0000634B">
        <w:rPr>
          <w:rFonts w:ascii="Times New Roman" w:hAnsi="Times New Roman" w:cs="Times New Roman"/>
        </w:rPr>
        <w:t xml:space="preserve">wolą inseminacji </w:t>
      </w:r>
      <w:r w:rsidRPr="0000634B">
        <w:rPr>
          <w:rFonts w:ascii="Times New Roman" w:hAnsi="Times New Roman" w:cs="Times New Roman"/>
          <w:i/>
          <w:iCs/>
        </w:rPr>
        <w:t xml:space="preserve">post </w:t>
      </w:r>
      <w:proofErr w:type="spellStart"/>
      <w:r w:rsidRPr="0000634B">
        <w:rPr>
          <w:rFonts w:ascii="Times New Roman" w:hAnsi="Times New Roman" w:cs="Times New Roman"/>
          <w:i/>
          <w:iCs/>
        </w:rPr>
        <w:t>mortem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</w:t>
      </w:r>
      <w:r w:rsidRPr="0000634B">
        <w:rPr>
          <w:rFonts w:ascii="Times New Roman" w:hAnsi="Times New Roman" w:cs="Times New Roman"/>
        </w:rPr>
        <w:t xml:space="preserve">w </w:t>
      </w:r>
      <w:r w:rsidR="006B4830">
        <w:rPr>
          <w:rFonts w:ascii="Times New Roman" w:hAnsi="Times New Roman" w:cs="Times New Roman"/>
        </w:rPr>
        <w:t>p</w:t>
      </w:r>
      <w:r w:rsidRPr="0000634B">
        <w:rPr>
          <w:rFonts w:ascii="Times New Roman" w:hAnsi="Times New Roman" w:cs="Times New Roman"/>
        </w:rPr>
        <w:t xml:space="preserve">aństwie, które na to zezwala, w celu utrwalenia pamięci o rodzinie </w:t>
      </w:r>
      <w:proofErr w:type="spellStart"/>
      <w:r w:rsidRPr="0000634B">
        <w:rPr>
          <w:rFonts w:ascii="Times New Roman" w:hAnsi="Times New Roman" w:cs="Times New Roman"/>
        </w:rPr>
        <w:t>Lanzmann</w:t>
      </w:r>
      <w:r w:rsidR="006B4830">
        <w:rPr>
          <w:rFonts w:ascii="Times New Roman" w:hAnsi="Times New Roman" w:cs="Times New Roman"/>
        </w:rPr>
        <w:t>ów</w:t>
      </w:r>
      <w:proofErr w:type="spellEnd"/>
      <w:r w:rsidRPr="0000634B">
        <w:rPr>
          <w:rFonts w:ascii="Times New Roman" w:hAnsi="Times New Roman" w:cs="Times New Roman"/>
        </w:rPr>
        <w:t>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6B4830">
        <w:rPr>
          <w:rFonts w:ascii="Times New Roman" w:eastAsia="Times New Roman" w:hAnsi="Times New Roman" w:cs="Times New Roman"/>
          <w:kern w:val="0"/>
          <w:lang w:eastAsia="fr-FR" w:bidi="ar-SA"/>
        </w:rPr>
        <w:t>15</w:t>
      </w:r>
      <w:r w:rsidRPr="0000634B">
        <w:rPr>
          <w:rFonts w:ascii="Times New Roman" w:hAnsi="Times New Roman" w:cs="Times New Roman"/>
        </w:rPr>
        <w:t>. Trybunał</w:t>
      </w:r>
      <w:r w:rsidR="00D6596F">
        <w:rPr>
          <w:rFonts w:ascii="Times New Roman" w:hAnsi="Times New Roman" w:cs="Times New Roman"/>
        </w:rPr>
        <w:t xml:space="preserve"> uważa</w:t>
      </w:r>
      <w:r w:rsidRPr="0000634B">
        <w:rPr>
          <w:rFonts w:ascii="Times New Roman" w:hAnsi="Times New Roman" w:cs="Times New Roman"/>
        </w:rPr>
        <w:t xml:space="preserve">, że </w:t>
      </w:r>
      <w:r w:rsidR="006B4830">
        <w:rPr>
          <w:rFonts w:ascii="Times New Roman" w:hAnsi="Times New Roman" w:cs="Times New Roman"/>
        </w:rPr>
        <w:t xml:space="preserve">należy podzielić </w:t>
      </w:r>
      <w:r w:rsidRPr="0000634B">
        <w:rPr>
          <w:rFonts w:ascii="Times New Roman" w:hAnsi="Times New Roman" w:cs="Times New Roman"/>
        </w:rPr>
        <w:t xml:space="preserve">zarzut skarżącej </w:t>
      </w:r>
      <w:r w:rsidR="006B4830">
        <w:rPr>
          <w:rFonts w:ascii="Times New Roman" w:hAnsi="Times New Roman" w:cs="Times New Roman"/>
        </w:rPr>
        <w:t>na dwa w</w:t>
      </w:r>
      <w:r w:rsidR="00580D1E">
        <w:rPr>
          <w:rFonts w:ascii="Times New Roman" w:hAnsi="Times New Roman" w:cs="Times New Roman"/>
        </w:rPr>
        <w:t> </w:t>
      </w:r>
      <w:r w:rsidR="006B4830">
        <w:rPr>
          <w:rFonts w:ascii="Times New Roman" w:hAnsi="Times New Roman" w:cs="Times New Roman"/>
        </w:rPr>
        <w:t xml:space="preserve">zależności od tego, czy </w:t>
      </w:r>
      <w:r w:rsidRPr="0000634B">
        <w:rPr>
          <w:rFonts w:ascii="Times New Roman" w:hAnsi="Times New Roman" w:cs="Times New Roman"/>
        </w:rPr>
        <w:t xml:space="preserve">skarżąca występuje </w:t>
      </w:r>
      <w:r w:rsidR="006B4830">
        <w:rPr>
          <w:rFonts w:ascii="Times New Roman" w:hAnsi="Times New Roman" w:cs="Times New Roman"/>
        </w:rPr>
        <w:t xml:space="preserve">jako ofiara pośrednia naruszenia art. 8 Konwencji w imieniu swego </w:t>
      </w:r>
      <w:r w:rsidRPr="0000634B">
        <w:rPr>
          <w:rFonts w:ascii="Times New Roman" w:hAnsi="Times New Roman" w:cs="Times New Roman"/>
        </w:rPr>
        <w:t>zmarłego syna</w:t>
      </w:r>
      <w:r w:rsidR="006B4830">
        <w:rPr>
          <w:rFonts w:ascii="Times New Roman" w:hAnsi="Times New Roman" w:cs="Times New Roman"/>
        </w:rPr>
        <w:t xml:space="preserve">, czy jako </w:t>
      </w:r>
      <w:r w:rsidRPr="0000634B">
        <w:rPr>
          <w:rFonts w:ascii="Times New Roman" w:hAnsi="Times New Roman" w:cs="Times New Roman"/>
        </w:rPr>
        <w:t>ofiar</w:t>
      </w:r>
      <w:r w:rsidR="002C7C7C">
        <w:rPr>
          <w:rFonts w:ascii="Times New Roman" w:hAnsi="Times New Roman" w:cs="Times New Roman"/>
        </w:rPr>
        <w:t>a</w:t>
      </w:r>
      <w:r w:rsidRPr="0000634B">
        <w:rPr>
          <w:rFonts w:ascii="Times New Roman" w:hAnsi="Times New Roman" w:cs="Times New Roman"/>
        </w:rPr>
        <w:t xml:space="preserve"> </w:t>
      </w:r>
      <w:r w:rsidR="002C7C7C">
        <w:rPr>
          <w:rFonts w:ascii="Times New Roman" w:hAnsi="Times New Roman" w:cs="Times New Roman"/>
        </w:rPr>
        <w:t>bezpośrednia</w:t>
      </w:r>
      <w:r w:rsidR="002C7C7C">
        <w:rPr>
          <w:rFonts w:ascii="Arial" w:hAnsi="Arial"/>
          <w:color w:val="000000"/>
        </w:rPr>
        <w:t xml:space="preserve"> </w:t>
      </w:r>
      <w:r w:rsidR="006B4830">
        <w:rPr>
          <w:rFonts w:ascii="Times New Roman" w:hAnsi="Times New Roman" w:cs="Times New Roman"/>
        </w:rPr>
        <w:t>pozbawiona</w:t>
      </w:r>
      <w:r w:rsidRPr="0000634B">
        <w:rPr>
          <w:rFonts w:ascii="Times New Roman" w:hAnsi="Times New Roman" w:cs="Times New Roman"/>
        </w:rPr>
        <w:t xml:space="preserve"> prawa do potomka.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lastRenderedPageBreak/>
        <w:t xml:space="preserve">16. Odnosząc się do pierwszej </w:t>
      </w:r>
      <w:r w:rsidR="00D6596F">
        <w:rPr>
          <w:rFonts w:ascii="Times New Roman" w:hAnsi="Times New Roman" w:cs="Times New Roman"/>
        </w:rPr>
        <w:t>części zarzutu</w:t>
      </w:r>
      <w:r w:rsidRPr="0000634B">
        <w:rPr>
          <w:rFonts w:ascii="Times New Roman" w:hAnsi="Times New Roman" w:cs="Times New Roman"/>
        </w:rPr>
        <w:t xml:space="preserve">, Trybunał </w:t>
      </w:r>
      <w:r w:rsidR="00D6596F">
        <w:rPr>
          <w:rFonts w:ascii="Times New Roman" w:hAnsi="Times New Roman" w:cs="Times New Roman"/>
        </w:rPr>
        <w:t>przypomina swoje podejście</w:t>
      </w:r>
      <w:r w:rsidRPr="0000634B">
        <w:rPr>
          <w:rFonts w:ascii="Times New Roman" w:hAnsi="Times New Roman" w:cs="Times New Roman"/>
        </w:rPr>
        <w:t xml:space="preserve"> </w:t>
      </w:r>
      <w:r w:rsidR="00D6596F">
        <w:rPr>
          <w:rFonts w:ascii="Times New Roman" w:hAnsi="Times New Roman" w:cs="Times New Roman"/>
        </w:rPr>
        <w:t>dotyczące</w:t>
      </w:r>
      <w:r w:rsidRPr="0000634B">
        <w:rPr>
          <w:rFonts w:ascii="Times New Roman" w:hAnsi="Times New Roman" w:cs="Times New Roman"/>
        </w:rPr>
        <w:t xml:space="preserve"> ofiar bezpośrednich i pośrednich, </w:t>
      </w:r>
      <w:r w:rsidR="00D6596F">
        <w:rPr>
          <w:rFonts w:ascii="Times New Roman" w:hAnsi="Times New Roman" w:cs="Times New Roman"/>
        </w:rPr>
        <w:t xml:space="preserve">które zostało </w:t>
      </w:r>
      <w:r w:rsidRPr="0000634B">
        <w:rPr>
          <w:rFonts w:ascii="Times New Roman" w:hAnsi="Times New Roman" w:cs="Times New Roman"/>
        </w:rPr>
        <w:t>podsumowane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 xml:space="preserve">w wyroku </w:t>
      </w:r>
      <w:r w:rsidR="00D6596F">
        <w:rPr>
          <w:rFonts w:ascii="Times New Roman" w:hAnsi="Times New Roman" w:cs="Times New Roman"/>
        </w:rPr>
        <w:t xml:space="preserve">w sprawie </w:t>
      </w:r>
      <w:r w:rsidRPr="0000634B">
        <w:rPr>
          <w:rFonts w:ascii="Times New Roman" w:hAnsi="Times New Roman" w:cs="Times New Roman"/>
          <w:i/>
          <w:iCs/>
        </w:rPr>
        <w:t xml:space="preserve">Centrum Zasobów Prawnych w imieniu Valentina </w:t>
      </w:r>
      <w:proofErr w:type="spellStart"/>
      <w:r w:rsidRPr="0000634B">
        <w:rPr>
          <w:rFonts w:ascii="Times New Roman" w:hAnsi="Times New Roman" w:cs="Times New Roman"/>
          <w:i/>
          <w:iCs/>
        </w:rPr>
        <w:t>Câmpeanu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przeciwko Rumunii </w:t>
      </w:r>
      <w:r w:rsidRPr="0000634B">
        <w:rPr>
          <w:rFonts w:ascii="Times New Roman" w:hAnsi="Times New Roman" w:cs="Times New Roman"/>
        </w:rPr>
        <w:t xml:space="preserve">([Wielka Izba], nr 47848/08, § 96-100, </w:t>
      </w:r>
      <w:r w:rsidR="00CD1906" w:rsidRPr="0000634B">
        <w:rPr>
          <w:rFonts w:ascii="Times New Roman" w:hAnsi="Times New Roman" w:cs="Times New Roman"/>
        </w:rPr>
        <w:t>ETPC</w:t>
      </w:r>
      <w:r w:rsidRPr="0000634B">
        <w:rPr>
          <w:rFonts w:ascii="Times New Roman" w:hAnsi="Times New Roman" w:cs="Times New Roman"/>
        </w:rPr>
        <w:t xml:space="preserve"> 2014). Stosując </w:t>
      </w:r>
      <w:r w:rsidR="00D6596F">
        <w:rPr>
          <w:rFonts w:ascii="Times New Roman" w:hAnsi="Times New Roman" w:cs="Times New Roman"/>
        </w:rPr>
        <w:t>to podejście</w:t>
      </w:r>
      <w:r w:rsidRPr="0000634B">
        <w:rPr>
          <w:rFonts w:ascii="Times New Roman" w:hAnsi="Times New Roman" w:cs="Times New Roman"/>
        </w:rPr>
        <w:t xml:space="preserve">, Trybunał </w:t>
      </w:r>
      <w:r w:rsidR="00D6596F">
        <w:rPr>
          <w:rFonts w:ascii="Times New Roman" w:hAnsi="Times New Roman" w:cs="Times New Roman"/>
        </w:rPr>
        <w:t>uważa</w:t>
      </w:r>
      <w:r w:rsidRPr="0000634B">
        <w:rPr>
          <w:rFonts w:ascii="Times New Roman" w:hAnsi="Times New Roman" w:cs="Times New Roman"/>
        </w:rPr>
        <w:t>, że prawa</w:t>
      </w:r>
      <w:r w:rsidR="00D6596F">
        <w:rPr>
          <w:rFonts w:ascii="Times New Roman" w:hAnsi="Times New Roman" w:cs="Times New Roman"/>
        </w:rPr>
        <w:t>, których dochodzi skarżąca,</w:t>
      </w:r>
      <w:r w:rsidRPr="0000634B">
        <w:rPr>
          <w:rFonts w:ascii="Times New Roman" w:hAnsi="Times New Roman" w:cs="Times New Roman"/>
        </w:rPr>
        <w:t xml:space="preserve"> dotyczą praw jej zmarłego syna. Los gamet z</w:t>
      </w:r>
      <w:r w:rsidR="00D6596F">
        <w:rPr>
          <w:rFonts w:ascii="Times New Roman" w:hAnsi="Times New Roman" w:cs="Times New Roman"/>
        </w:rPr>
        <w:t>deponowanych</w:t>
      </w:r>
      <w:r w:rsidRPr="0000634B">
        <w:rPr>
          <w:rFonts w:ascii="Times New Roman" w:hAnsi="Times New Roman" w:cs="Times New Roman"/>
        </w:rPr>
        <w:t xml:space="preserve"> przez osobę </w:t>
      </w:r>
      <w:r w:rsidR="00052467">
        <w:rPr>
          <w:rFonts w:ascii="Times New Roman" w:hAnsi="Times New Roman" w:cs="Times New Roman"/>
        </w:rPr>
        <w:t>oraz</w:t>
      </w:r>
      <w:r w:rsidRPr="0000634B">
        <w:rPr>
          <w:rFonts w:ascii="Times New Roman" w:hAnsi="Times New Roman" w:cs="Times New Roman"/>
        </w:rPr>
        <w:t xml:space="preserve"> kwestia poszanowania jej woli</w:t>
      </w:r>
      <w:r w:rsidR="00D6596F">
        <w:rPr>
          <w:rFonts w:ascii="Times New Roman" w:hAnsi="Times New Roman" w:cs="Times New Roman"/>
        </w:rPr>
        <w:t xml:space="preserve">, by zostały użyte po jej śmierci, </w:t>
      </w:r>
      <w:r w:rsidRPr="0000634B">
        <w:rPr>
          <w:rFonts w:ascii="Times New Roman" w:hAnsi="Times New Roman" w:cs="Times New Roman"/>
        </w:rPr>
        <w:t>dotyczą praw</w:t>
      </w:r>
      <w:r w:rsidR="00052467">
        <w:rPr>
          <w:rFonts w:ascii="Times New Roman" w:hAnsi="Times New Roman" w:cs="Times New Roman"/>
        </w:rPr>
        <w:t>a</w:t>
      </w:r>
      <w:r w:rsidRPr="0000634B">
        <w:rPr>
          <w:rFonts w:ascii="Times New Roman" w:hAnsi="Times New Roman" w:cs="Times New Roman"/>
        </w:rPr>
        <w:t xml:space="preserve"> osoby do decydowania</w:t>
      </w:r>
      <w:r w:rsidR="00052467">
        <w:rPr>
          <w:rFonts w:ascii="Times New Roman" w:hAnsi="Times New Roman" w:cs="Times New Roman"/>
        </w:rPr>
        <w:t>,</w:t>
      </w:r>
      <w:r w:rsidRPr="0000634B">
        <w:rPr>
          <w:rFonts w:ascii="Times New Roman" w:hAnsi="Times New Roman" w:cs="Times New Roman"/>
        </w:rPr>
        <w:t xml:space="preserve"> w jaki sposób i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>w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 xml:space="preserve">jakim momencie życzy sobie stać się rodzicem, </w:t>
      </w:r>
      <w:r w:rsidR="00052467">
        <w:rPr>
          <w:rFonts w:ascii="Times New Roman" w:hAnsi="Times New Roman" w:cs="Times New Roman"/>
        </w:rPr>
        <w:t>które należy do kategorii praw, których nie</w:t>
      </w:r>
      <w:r w:rsidRPr="0000634B">
        <w:rPr>
          <w:rFonts w:ascii="Times New Roman" w:hAnsi="Times New Roman" w:cs="Times New Roman"/>
        </w:rPr>
        <w:t xml:space="preserve"> można przekazać (</w:t>
      </w:r>
      <w:r w:rsidR="00052467">
        <w:rPr>
          <w:rFonts w:ascii="Times New Roman" w:hAnsi="Times New Roman" w:cs="Times New Roman"/>
        </w:rPr>
        <w:t xml:space="preserve">zob. </w:t>
      </w:r>
      <w:proofErr w:type="spellStart"/>
      <w:r w:rsidRPr="0000634B">
        <w:rPr>
          <w:rFonts w:ascii="Times New Roman" w:hAnsi="Times New Roman" w:cs="Times New Roman"/>
          <w:i/>
          <w:iCs/>
        </w:rPr>
        <w:t>Sanles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przeciwko Hiszpanii </w:t>
      </w:r>
      <w:r w:rsidRPr="0000634B">
        <w:rPr>
          <w:rFonts w:ascii="Times New Roman" w:hAnsi="Times New Roman" w:cs="Times New Roman"/>
        </w:rPr>
        <w:t xml:space="preserve">(dec.), nr 48335/99, </w:t>
      </w:r>
      <w:r w:rsidR="00CD1906" w:rsidRPr="0000634B">
        <w:rPr>
          <w:rFonts w:ascii="Times New Roman" w:hAnsi="Times New Roman" w:cs="Times New Roman"/>
        </w:rPr>
        <w:t>ETPC</w:t>
      </w:r>
      <w:r w:rsidRPr="0000634B">
        <w:rPr>
          <w:rFonts w:ascii="Times New Roman" w:hAnsi="Times New Roman" w:cs="Times New Roman"/>
        </w:rPr>
        <w:t xml:space="preserve"> 2000XI, </w:t>
      </w:r>
      <w:r w:rsidRPr="0000634B">
        <w:rPr>
          <w:rFonts w:ascii="Times New Roman" w:hAnsi="Times New Roman" w:cs="Times New Roman"/>
          <w:i/>
          <w:iCs/>
        </w:rPr>
        <w:t xml:space="preserve">Centrum Zasobów Prawnych w imieniu Valentina </w:t>
      </w:r>
      <w:proofErr w:type="spellStart"/>
      <w:r w:rsidRPr="0000634B">
        <w:rPr>
          <w:rFonts w:ascii="Times New Roman" w:hAnsi="Times New Roman" w:cs="Times New Roman"/>
          <w:i/>
          <w:iCs/>
        </w:rPr>
        <w:t>Câmpeanu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przeciwko Rumunii</w:t>
      </w:r>
      <w:r w:rsidRPr="0000634B">
        <w:rPr>
          <w:rFonts w:ascii="Times New Roman" w:hAnsi="Times New Roman" w:cs="Times New Roman"/>
        </w:rPr>
        <w:t>, wyżej cytowany,</w:t>
      </w:r>
      <w:r w:rsidR="00052467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 xml:space="preserve">§ 100, </w:t>
      </w:r>
      <w:proofErr w:type="spellStart"/>
      <w:r w:rsidRPr="0000634B">
        <w:rPr>
          <w:rFonts w:ascii="Times New Roman" w:hAnsi="Times New Roman" w:cs="Times New Roman"/>
          <w:i/>
          <w:iCs/>
        </w:rPr>
        <w:t>Rõigas</w:t>
      </w:r>
      <w:proofErr w:type="spellEnd"/>
      <w:r w:rsidRPr="0000634B">
        <w:rPr>
          <w:rFonts w:ascii="Times New Roman" w:hAnsi="Times New Roman" w:cs="Times New Roman"/>
          <w:i/>
          <w:iCs/>
        </w:rPr>
        <w:t xml:space="preserve"> przeciwko Estonii, </w:t>
      </w:r>
      <w:r w:rsidRPr="0000634B">
        <w:rPr>
          <w:rFonts w:ascii="Times New Roman" w:hAnsi="Times New Roman" w:cs="Times New Roman"/>
        </w:rPr>
        <w:t>nr 49045/13, § 127, 12 września 2017</w:t>
      </w:r>
      <w:r w:rsidR="006430D2" w:rsidRPr="0000634B">
        <w:rPr>
          <w:rFonts w:ascii="Times New Roman" w:hAnsi="Times New Roman" w:cs="Times New Roman"/>
        </w:rPr>
        <w:t xml:space="preserve"> r.</w:t>
      </w:r>
      <w:r w:rsidRPr="0000634B">
        <w:rPr>
          <w:rFonts w:ascii="Times New Roman" w:hAnsi="Times New Roman" w:cs="Times New Roman"/>
        </w:rPr>
        <w:t>). W konsekwencji skarżąca nie może uznawać się za ofiarę naruszenia art. 8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 xml:space="preserve">w imieniu swojego zmarłego syna. Ta część zarzutu jest niezgodna </w:t>
      </w:r>
      <w:r w:rsidRPr="0000634B">
        <w:rPr>
          <w:rFonts w:ascii="Times New Roman" w:hAnsi="Times New Roman" w:cs="Times New Roman"/>
          <w:i/>
          <w:iCs/>
        </w:rPr>
        <w:t xml:space="preserve">ratione personae </w:t>
      </w:r>
      <w:r w:rsidRPr="0000634B">
        <w:rPr>
          <w:rFonts w:ascii="Times New Roman" w:hAnsi="Times New Roman" w:cs="Times New Roman"/>
        </w:rPr>
        <w:t>z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>postanowieniami Konwencji i musi zostać odrzucona na podstawie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art. 35 ust. 3</w:t>
      </w:r>
      <w:r w:rsidR="00052467">
        <w:rPr>
          <w:rFonts w:ascii="Times New Roman" w:hAnsi="Times New Roman" w:cs="Times New Roman"/>
        </w:rPr>
        <w:t xml:space="preserve"> lit. a </w:t>
      </w:r>
      <w:r w:rsidRPr="0000634B">
        <w:rPr>
          <w:rFonts w:ascii="Times New Roman" w:hAnsi="Times New Roman" w:cs="Times New Roman"/>
        </w:rPr>
        <w:t xml:space="preserve">i </w:t>
      </w:r>
      <w:r w:rsidR="00052467">
        <w:rPr>
          <w:rFonts w:ascii="Times New Roman" w:hAnsi="Times New Roman" w:cs="Times New Roman"/>
        </w:rPr>
        <w:t xml:space="preserve">ust. </w:t>
      </w:r>
      <w:r w:rsidRPr="0000634B">
        <w:rPr>
          <w:rFonts w:ascii="Times New Roman" w:hAnsi="Times New Roman" w:cs="Times New Roman"/>
        </w:rPr>
        <w:t>4 Konwencji.</w:t>
      </w:r>
    </w:p>
    <w:p w:rsidR="00E2157A" w:rsidRPr="0000634B" w:rsidRDefault="00052467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Odnosząc się do drugiej części</w:t>
      </w:r>
      <w:r w:rsidR="002246B1" w:rsidRPr="0000634B">
        <w:rPr>
          <w:rFonts w:ascii="Times New Roman" w:hAnsi="Times New Roman" w:cs="Times New Roman"/>
        </w:rPr>
        <w:t xml:space="preserve"> zarzutu, Trybunał</w:t>
      </w:r>
      <w:r>
        <w:rPr>
          <w:rFonts w:ascii="Times New Roman" w:hAnsi="Times New Roman" w:cs="Times New Roman"/>
        </w:rPr>
        <w:t xml:space="preserve"> uważa</w:t>
      </w:r>
      <w:r w:rsidR="002246B1" w:rsidRPr="0000634B">
        <w:rPr>
          <w:rFonts w:ascii="Times New Roman" w:hAnsi="Times New Roman" w:cs="Times New Roman"/>
        </w:rPr>
        <w:t>, że przede wszystkim po</w:t>
      </w:r>
      <w:r>
        <w:rPr>
          <w:rFonts w:ascii="Times New Roman" w:hAnsi="Times New Roman" w:cs="Times New Roman"/>
        </w:rPr>
        <w:t>jawia się</w:t>
      </w:r>
      <w:r w:rsidR="002C7C7C">
        <w:rPr>
          <w:rFonts w:ascii="Times New Roman" w:hAnsi="Times New Roman" w:cs="Times New Roman"/>
        </w:rPr>
        <w:t xml:space="preserve"> pytanie o</w:t>
      </w:r>
      <w:r>
        <w:rPr>
          <w:rFonts w:ascii="Times New Roman" w:hAnsi="Times New Roman" w:cs="Times New Roman"/>
        </w:rPr>
        <w:t xml:space="preserve"> </w:t>
      </w:r>
      <w:r w:rsidR="002C7C7C">
        <w:rPr>
          <w:rFonts w:ascii="Times New Roman" w:hAnsi="Times New Roman" w:cs="Times New Roman"/>
        </w:rPr>
        <w:t>jego kompetencję</w:t>
      </w:r>
      <w:r w:rsidR="002246B1" w:rsidRPr="0000634B">
        <w:rPr>
          <w:rFonts w:ascii="Times New Roman" w:hAnsi="Times New Roman" w:cs="Times New Roman"/>
        </w:rPr>
        <w:t xml:space="preserve"> </w:t>
      </w:r>
      <w:r w:rsidR="002246B1" w:rsidRPr="0000634B">
        <w:rPr>
          <w:rFonts w:ascii="Times New Roman" w:hAnsi="Times New Roman" w:cs="Times New Roman"/>
          <w:i/>
          <w:iCs/>
        </w:rPr>
        <w:t xml:space="preserve">ratione materiae, </w:t>
      </w:r>
      <w:r w:rsidR="002246B1" w:rsidRPr="0000634B">
        <w:rPr>
          <w:rFonts w:ascii="Times New Roman" w:hAnsi="Times New Roman" w:cs="Times New Roman"/>
        </w:rPr>
        <w:t>a</w:t>
      </w:r>
      <w:r w:rsidR="00580D1E">
        <w:rPr>
          <w:rFonts w:ascii="Times New Roman" w:hAnsi="Times New Roman" w:cs="Times New Roman"/>
        </w:rPr>
        <w:t> </w:t>
      </w:r>
      <w:r w:rsidR="002246B1" w:rsidRPr="0000634B">
        <w:rPr>
          <w:rFonts w:ascii="Times New Roman" w:hAnsi="Times New Roman" w:cs="Times New Roman"/>
        </w:rPr>
        <w:t xml:space="preserve">dokładniej </w:t>
      </w:r>
      <w:r>
        <w:rPr>
          <w:rFonts w:ascii="Times New Roman" w:hAnsi="Times New Roman" w:cs="Times New Roman"/>
        </w:rPr>
        <w:t>kwestia,</w:t>
      </w:r>
      <w:r w:rsidR="002246B1" w:rsidRPr="0000634B">
        <w:rPr>
          <w:rFonts w:ascii="Times New Roman" w:hAnsi="Times New Roman" w:cs="Times New Roman"/>
        </w:rPr>
        <w:t xml:space="preserve"> czy </w:t>
      </w:r>
      <w:r w:rsidR="00DD604F">
        <w:rPr>
          <w:rFonts w:ascii="Times New Roman" w:hAnsi="Times New Roman" w:cs="Times New Roman"/>
        </w:rPr>
        <w:t xml:space="preserve">zaskarżone </w:t>
      </w:r>
      <w:r w:rsidR="002246B1" w:rsidRPr="0000634B">
        <w:rPr>
          <w:rFonts w:ascii="Times New Roman" w:hAnsi="Times New Roman" w:cs="Times New Roman"/>
        </w:rPr>
        <w:t>odmowne rozpatrzenie spornej sprawy dotyczy „życia prywatnego” lub „rodzinnego” skarżącej.</w:t>
      </w:r>
    </w:p>
    <w:p w:rsidR="00E2157A" w:rsidRPr="0000634B" w:rsidRDefault="002246B1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DD604F">
        <w:rPr>
          <w:rFonts w:ascii="Times New Roman" w:eastAsia="Times New Roman" w:hAnsi="Times New Roman" w:cs="Times New Roman"/>
          <w:kern w:val="0"/>
          <w:lang w:eastAsia="fr-FR" w:bidi="ar-SA"/>
        </w:rPr>
        <w:t>18</w:t>
      </w:r>
      <w:r w:rsidRPr="0000634B">
        <w:rPr>
          <w:rFonts w:ascii="Times New Roman" w:hAnsi="Times New Roman" w:cs="Times New Roman"/>
        </w:rPr>
        <w:t xml:space="preserve">. Trybunał przypomina, że </w:t>
      </w:r>
      <w:r w:rsidR="00DD604F">
        <w:rPr>
          <w:rFonts w:ascii="Times New Roman" w:hAnsi="Times New Roman" w:cs="Times New Roman"/>
        </w:rPr>
        <w:t xml:space="preserve">chociaż </w:t>
      </w:r>
      <w:r w:rsidRPr="0000634B">
        <w:rPr>
          <w:rFonts w:ascii="Times New Roman" w:hAnsi="Times New Roman" w:cs="Times New Roman"/>
        </w:rPr>
        <w:t>pojęcie życia prywatnego</w:t>
      </w:r>
      <w:r w:rsidR="00DD604F">
        <w:rPr>
          <w:rFonts w:ascii="Times New Roman" w:hAnsi="Times New Roman" w:cs="Times New Roman"/>
        </w:rPr>
        <w:t>,</w:t>
      </w:r>
      <w:r w:rsidRPr="0000634B">
        <w:rPr>
          <w:rFonts w:ascii="Times New Roman" w:hAnsi="Times New Roman" w:cs="Times New Roman"/>
        </w:rPr>
        <w:t xml:space="preserve"> jak też życia rodzinnego obejmuje prawo do poszanowania decyzji stania się rodzicem w sensie genetycznym tego terminu (</w:t>
      </w:r>
      <w:r w:rsidR="00DD604F">
        <w:rPr>
          <w:rFonts w:ascii="Times New Roman" w:hAnsi="Times New Roman" w:cs="Times New Roman"/>
        </w:rPr>
        <w:t xml:space="preserve">zob. </w:t>
      </w:r>
      <w:r w:rsidRPr="0000634B">
        <w:rPr>
          <w:rFonts w:ascii="Times New Roman" w:hAnsi="Times New Roman" w:cs="Times New Roman"/>
          <w:i/>
          <w:iCs/>
        </w:rPr>
        <w:t xml:space="preserve">Evans przeciwko Zjednoczonemu Królestwu </w:t>
      </w:r>
      <w:r w:rsidRPr="0000634B">
        <w:rPr>
          <w:rFonts w:ascii="Times New Roman" w:hAnsi="Times New Roman" w:cs="Times New Roman"/>
        </w:rPr>
        <w:t xml:space="preserve">[Wielka Izba], nr 6339/05, § 72, </w:t>
      </w:r>
      <w:r w:rsidR="00CD1906" w:rsidRPr="0000634B">
        <w:rPr>
          <w:rFonts w:ascii="Times New Roman" w:hAnsi="Times New Roman" w:cs="Times New Roman"/>
        </w:rPr>
        <w:t>ETPC</w:t>
      </w:r>
      <w:r w:rsidRPr="0000634B">
        <w:rPr>
          <w:rFonts w:ascii="Times New Roman" w:hAnsi="Times New Roman" w:cs="Times New Roman"/>
        </w:rPr>
        <w:t xml:space="preserve"> 2007I), i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 xml:space="preserve">że prawo par do </w:t>
      </w:r>
      <w:r w:rsidR="00DD604F">
        <w:rPr>
          <w:rFonts w:ascii="Times New Roman" w:hAnsi="Times New Roman" w:cs="Times New Roman"/>
        </w:rPr>
        <w:t xml:space="preserve">skorzystania z </w:t>
      </w:r>
      <w:r w:rsidRPr="0000634B">
        <w:rPr>
          <w:rFonts w:ascii="Times New Roman" w:hAnsi="Times New Roman" w:cs="Times New Roman"/>
        </w:rPr>
        <w:t>PMA stanowi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formę wyrażenia tych pojęć (</w:t>
      </w:r>
      <w:r w:rsidR="00DD604F">
        <w:rPr>
          <w:rFonts w:ascii="Times New Roman" w:hAnsi="Times New Roman" w:cs="Times New Roman"/>
        </w:rPr>
        <w:t xml:space="preserve">zob. </w:t>
      </w:r>
      <w:r w:rsidRPr="0000634B">
        <w:rPr>
          <w:rFonts w:ascii="Times New Roman" w:hAnsi="Times New Roman" w:cs="Times New Roman"/>
          <w:i/>
          <w:iCs/>
        </w:rPr>
        <w:t xml:space="preserve">S.H. i </w:t>
      </w:r>
      <w:r w:rsidR="00CD1906" w:rsidRPr="0000634B">
        <w:rPr>
          <w:rFonts w:ascii="Times New Roman" w:hAnsi="Times New Roman" w:cs="Times New Roman"/>
          <w:i/>
          <w:iCs/>
        </w:rPr>
        <w:t xml:space="preserve">Inni </w:t>
      </w:r>
      <w:r w:rsidRPr="0000634B">
        <w:rPr>
          <w:rFonts w:ascii="Times New Roman" w:hAnsi="Times New Roman" w:cs="Times New Roman"/>
          <w:i/>
          <w:iCs/>
        </w:rPr>
        <w:t xml:space="preserve">przeciwko Austrii </w:t>
      </w:r>
      <w:r w:rsidRPr="0000634B">
        <w:rPr>
          <w:rFonts w:ascii="Times New Roman" w:hAnsi="Times New Roman" w:cs="Times New Roman"/>
        </w:rPr>
        <w:t>[Wielka Izba], nr</w:t>
      </w:r>
      <w:r w:rsidR="00DD604F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 xml:space="preserve">57813/00, § 82, </w:t>
      </w:r>
      <w:r w:rsidR="00CD1906" w:rsidRPr="0000634B">
        <w:rPr>
          <w:rFonts w:ascii="Times New Roman" w:hAnsi="Times New Roman" w:cs="Times New Roman"/>
        </w:rPr>
        <w:t>ETPC</w:t>
      </w:r>
      <w:r w:rsidRPr="0000634B">
        <w:rPr>
          <w:rFonts w:ascii="Times New Roman" w:hAnsi="Times New Roman" w:cs="Times New Roman"/>
        </w:rPr>
        <w:t xml:space="preserve"> 2011),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to art. 8 Konwencji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nie gwarantuje prawa do założenia rodziny (</w:t>
      </w:r>
      <w:r w:rsidR="00DD604F">
        <w:rPr>
          <w:rFonts w:ascii="Times New Roman" w:hAnsi="Times New Roman" w:cs="Times New Roman"/>
        </w:rPr>
        <w:t>zob.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  <w:i/>
          <w:iCs/>
        </w:rPr>
        <w:t xml:space="preserve">E.B. przeciwko Francji </w:t>
      </w:r>
      <w:r w:rsidRPr="0000634B">
        <w:rPr>
          <w:rFonts w:ascii="Times New Roman" w:hAnsi="Times New Roman" w:cs="Times New Roman"/>
        </w:rPr>
        <w:t>[Wielka Izba], nr 43546/02, § 41, 22 stycznia 2008</w:t>
      </w:r>
      <w:r w:rsidR="006430D2" w:rsidRPr="0000634B">
        <w:rPr>
          <w:rFonts w:ascii="Times New Roman" w:hAnsi="Times New Roman" w:cs="Times New Roman"/>
        </w:rPr>
        <w:t xml:space="preserve"> r.</w:t>
      </w:r>
      <w:r w:rsidRPr="0000634B">
        <w:rPr>
          <w:rFonts w:ascii="Times New Roman" w:hAnsi="Times New Roman" w:cs="Times New Roman"/>
        </w:rPr>
        <w:t>).</w:t>
      </w:r>
    </w:p>
    <w:p w:rsidR="00E2157A" w:rsidRPr="0000634B" w:rsidRDefault="00DD604F" w:rsidP="00610D42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 W niniejszej sprawie</w:t>
      </w:r>
      <w:r w:rsidR="002246B1" w:rsidRPr="0000634B">
        <w:rPr>
          <w:rFonts w:ascii="Times New Roman" w:hAnsi="Times New Roman" w:cs="Times New Roman"/>
        </w:rPr>
        <w:t xml:space="preserve"> Trybunał zauważa, że sądy krajowe </w:t>
      </w:r>
      <w:r>
        <w:rPr>
          <w:rFonts w:ascii="Times New Roman" w:hAnsi="Times New Roman" w:cs="Times New Roman"/>
        </w:rPr>
        <w:t xml:space="preserve">uznały </w:t>
      </w:r>
      <w:r w:rsidR="00CF77DB" w:rsidRPr="0000634B">
        <w:rPr>
          <w:rFonts w:ascii="Times New Roman" w:hAnsi="Times New Roman" w:cs="Times New Roman"/>
        </w:rPr>
        <w:t>z</w:t>
      </w:r>
      <w:r w:rsidR="00580D1E">
        <w:rPr>
          <w:rFonts w:ascii="Times New Roman" w:hAnsi="Times New Roman" w:cs="Times New Roman"/>
        </w:rPr>
        <w:t> </w:t>
      </w:r>
      <w:r w:rsidR="00CF77DB" w:rsidRPr="0000634B">
        <w:rPr>
          <w:rFonts w:ascii="Times New Roman" w:hAnsi="Times New Roman" w:cs="Times New Roman"/>
        </w:rPr>
        <w:t xml:space="preserve">jednej strony prawny </w:t>
      </w:r>
      <w:r w:rsidR="002246B1" w:rsidRPr="0000634B">
        <w:rPr>
          <w:rFonts w:ascii="Times New Roman" w:hAnsi="Times New Roman" w:cs="Times New Roman"/>
        </w:rPr>
        <w:t xml:space="preserve">zakaz prokreacji </w:t>
      </w:r>
      <w:r w:rsidR="002246B1" w:rsidRPr="0000634B">
        <w:rPr>
          <w:rFonts w:ascii="Times New Roman" w:hAnsi="Times New Roman" w:cs="Times New Roman"/>
          <w:i/>
          <w:iCs/>
        </w:rPr>
        <w:t xml:space="preserve">post </w:t>
      </w:r>
      <w:proofErr w:type="spellStart"/>
      <w:r w:rsidR="002246B1" w:rsidRPr="0000634B">
        <w:rPr>
          <w:rFonts w:ascii="Times New Roman" w:hAnsi="Times New Roman" w:cs="Times New Roman"/>
          <w:i/>
          <w:iCs/>
        </w:rPr>
        <w:t>mortem</w:t>
      </w:r>
      <w:proofErr w:type="spellEnd"/>
      <w:r w:rsidR="002246B1" w:rsidRPr="0000634B">
        <w:rPr>
          <w:rFonts w:ascii="Times New Roman" w:hAnsi="Times New Roman" w:cs="Times New Roman"/>
          <w:i/>
          <w:iCs/>
        </w:rPr>
        <w:t xml:space="preserve"> </w:t>
      </w:r>
      <w:r w:rsidRPr="00DD604F">
        <w:rPr>
          <w:rFonts w:ascii="Times New Roman" w:hAnsi="Times New Roman" w:cs="Times New Roman"/>
          <w:iCs/>
        </w:rPr>
        <w:t>za</w:t>
      </w:r>
      <w:r>
        <w:rPr>
          <w:rFonts w:ascii="Times New Roman" w:hAnsi="Times New Roman" w:cs="Times New Roman"/>
          <w:i/>
          <w:iCs/>
        </w:rPr>
        <w:t xml:space="preserve"> </w:t>
      </w:r>
      <w:r w:rsidR="002246B1" w:rsidRPr="0000634B">
        <w:rPr>
          <w:rFonts w:ascii="Times New Roman" w:hAnsi="Times New Roman" w:cs="Times New Roman"/>
        </w:rPr>
        <w:t xml:space="preserve">zgodny z Konwencją, </w:t>
      </w:r>
      <w:r>
        <w:rPr>
          <w:rFonts w:ascii="Times New Roman" w:hAnsi="Times New Roman" w:cs="Times New Roman"/>
        </w:rPr>
        <w:t xml:space="preserve">a </w:t>
      </w:r>
      <w:r w:rsidR="002246B1" w:rsidRPr="0000634B">
        <w:rPr>
          <w:rFonts w:ascii="Times New Roman" w:hAnsi="Times New Roman" w:cs="Times New Roman"/>
        </w:rPr>
        <w:t>z drugiej strony</w:t>
      </w:r>
      <w:r>
        <w:rPr>
          <w:rFonts w:ascii="Times New Roman" w:hAnsi="Times New Roman" w:cs="Times New Roman"/>
        </w:rPr>
        <w:t>,</w:t>
      </w:r>
      <w:r w:rsidR="002246B1" w:rsidRPr="0000634B">
        <w:rPr>
          <w:rFonts w:ascii="Times New Roman" w:hAnsi="Times New Roman" w:cs="Times New Roman"/>
        </w:rPr>
        <w:t xml:space="preserve"> że odmowa wywozu </w:t>
      </w:r>
      <w:r>
        <w:rPr>
          <w:rFonts w:ascii="Times New Roman" w:hAnsi="Times New Roman" w:cs="Times New Roman"/>
        </w:rPr>
        <w:t xml:space="preserve">za granicę </w:t>
      </w:r>
      <w:r w:rsidR="002246B1" w:rsidRPr="0000634B">
        <w:rPr>
          <w:rFonts w:ascii="Times New Roman" w:hAnsi="Times New Roman" w:cs="Times New Roman"/>
        </w:rPr>
        <w:t xml:space="preserve">gamet zmarłego syna skarżącej nie </w:t>
      </w:r>
      <w:r>
        <w:rPr>
          <w:rFonts w:ascii="Times New Roman" w:hAnsi="Times New Roman" w:cs="Times New Roman"/>
        </w:rPr>
        <w:t>stanowiła naruszenia jej życia</w:t>
      </w:r>
      <w:r w:rsidR="002246B1" w:rsidRPr="0000634B">
        <w:rPr>
          <w:rFonts w:ascii="Times New Roman" w:hAnsi="Times New Roman" w:cs="Times New Roman"/>
        </w:rPr>
        <w:t xml:space="preserve"> prywatne</w:t>
      </w:r>
      <w:r>
        <w:rPr>
          <w:rFonts w:ascii="Times New Roman" w:hAnsi="Times New Roman" w:cs="Times New Roman"/>
        </w:rPr>
        <w:t>go</w:t>
      </w:r>
      <w:r w:rsidR="002246B1" w:rsidRPr="0000634B">
        <w:rPr>
          <w:rFonts w:ascii="Times New Roman" w:hAnsi="Times New Roman" w:cs="Times New Roman"/>
        </w:rPr>
        <w:t xml:space="preserve"> i rodzinne</w:t>
      </w:r>
      <w:r>
        <w:rPr>
          <w:rFonts w:ascii="Times New Roman" w:hAnsi="Times New Roman" w:cs="Times New Roman"/>
        </w:rPr>
        <w:t>go</w:t>
      </w:r>
      <w:r w:rsidR="002246B1" w:rsidRPr="0000634B">
        <w:rPr>
          <w:rFonts w:ascii="Times New Roman" w:hAnsi="Times New Roman" w:cs="Times New Roman"/>
        </w:rPr>
        <w:t>. W</w:t>
      </w:r>
      <w:r w:rsidR="00580D1E">
        <w:rPr>
          <w:rFonts w:ascii="Times New Roman" w:hAnsi="Times New Roman" w:cs="Times New Roman"/>
        </w:rPr>
        <w:t> </w:t>
      </w:r>
      <w:r w:rsidR="002246B1" w:rsidRPr="0000634B">
        <w:rPr>
          <w:rFonts w:ascii="Times New Roman" w:hAnsi="Times New Roman" w:cs="Times New Roman"/>
        </w:rPr>
        <w:t>szczególności sędzia doraźny</w:t>
      </w:r>
      <w:r w:rsidR="00F84584">
        <w:rPr>
          <w:rFonts w:ascii="Times New Roman" w:hAnsi="Times New Roman" w:cs="Times New Roman"/>
        </w:rPr>
        <w:t xml:space="preserve"> zauważył</w:t>
      </w:r>
      <w:r w:rsidR="002246B1" w:rsidRPr="0000634B">
        <w:rPr>
          <w:rFonts w:ascii="Times New Roman" w:hAnsi="Times New Roman" w:cs="Times New Roman"/>
        </w:rPr>
        <w:t xml:space="preserve">, że </w:t>
      </w:r>
      <w:r w:rsidR="00F84584">
        <w:rPr>
          <w:rFonts w:ascii="Times New Roman" w:hAnsi="Times New Roman" w:cs="Times New Roman"/>
        </w:rPr>
        <w:t xml:space="preserve">z </w:t>
      </w:r>
      <w:r w:rsidR="002246B1" w:rsidRPr="0000634B">
        <w:rPr>
          <w:rFonts w:ascii="Times New Roman" w:hAnsi="Times New Roman" w:cs="Times New Roman"/>
        </w:rPr>
        <w:t xml:space="preserve">akta sprawy nie </w:t>
      </w:r>
      <w:r w:rsidR="00F84584">
        <w:rPr>
          <w:rFonts w:ascii="Times New Roman" w:hAnsi="Times New Roman" w:cs="Times New Roman"/>
        </w:rPr>
        <w:t>wynikało</w:t>
      </w:r>
      <w:r w:rsidR="002246B1" w:rsidRPr="0000634B">
        <w:rPr>
          <w:rFonts w:ascii="Times New Roman" w:hAnsi="Times New Roman" w:cs="Times New Roman"/>
        </w:rPr>
        <w:t xml:space="preserve">, aby Pan F. upoważnił swoją matkę do użycia jego gamet w celu inseminacji </w:t>
      </w:r>
      <w:r w:rsidR="002246B1" w:rsidRPr="0000634B">
        <w:rPr>
          <w:rFonts w:ascii="Times New Roman" w:hAnsi="Times New Roman" w:cs="Times New Roman"/>
          <w:i/>
          <w:iCs/>
        </w:rPr>
        <w:t xml:space="preserve">post </w:t>
      </w:r>
      <w:proofErr w:type="spellStart"/>
      <w:r w:rsidR="002246B1" w:rsidRPr="0000634B">
        <w:rPr>
          <w:rFonts w:ascii="Times New Roman" w:hAnsi="Times New Roman" w:cs="Times New Roman"/>
          <w:i/>
          <w:iCs/>
        </w:rPr>
        <w:t>mortem</w:t>
      </w:r>
      <w:proofErr w:type="spellEnd"/>
      <w:r w:rsidR="002246B1" w:rsidRPr="0000634B">
        <w:rPr>
          <w:rFonts w:ascii="Times New Roman" w:hAnsi="Times New Roman" w:cs="Times New Roman"/>
          <w:i/>
          <w:iCs/>
        </w:rPr>
        <w:t xml:space="preserve">. </w:t>
      </w:r>
      <w:r w:rsidR="002246B1" w:rsidRPr="0000634B">
        <w:rPr>
          <w:rFonts w:ascii="Times New Roman" w:hAnsi="Times New Roman" w:cs="Times New Roman"/>
        </w:rPr>
        <w:t>Ponadto sędzia utrzymywał, że niemożność zostania babcią</w:t>
      </w:r>
      <w:r w:rsidR="00CD1906" w:rsidRPr="0000634B">
        <w:rPr>
          <w:rFonts w:ascii="Times New Roman" w:hAnsi="Times New Roman" w:cs="Times New Roman"/>
        </w:rPr>
        <w:t xml:space="preserve"> </w:t>
      </w:r>
      <w:r w:rsidR="00F84584">
        <w:rPr>
          <w:rFonts w:ascii="Times New Roman" w:hAnsi="Times New Roman" w:cs="Times New Roman"/>
        </w:rPr>
        <w:t xml:space="preserve">przez skarżącą </w:t>
      </w:r>
      <w:r w:rsidR="002246B1" w:rsidRPr="0000634B">
        <w:rPr>
          <w:rFonts w:ascii="Times New Roman" w:hAnsi="Times New Roman" w:cs="Times New Roman"/>
        </w:rPr>
        <w:t>nie nar</w:t>
      </w:r>
      <w:r w:rsidR="00F84584">
        <w:rPr>
          <w:rFonts w:ascii="Times New Roman" w:hAnsi="Times New Roman" w:cs="Times New Roman"/>
        </w:rPr>
        <w:t>uszała</w:t>
      </w:r>
      <w:r w:rsidR="002246B1" w:rsidRPr="0000634B">
        <w:rPr>
          <w:rFonts w:ascii="Times New Roman" w:hAnsi="Times New Roman" w:cs="Times New Roman"/>
        </w:rPr>
        <w:t xml:space="preserve"> praw gwarantowanych przez art. 8 Konwencji, uwzględniając </w:t>
      </w:r>
      <w:r w:rsidR="00F84584">
        <w:rPr>
          <w:rFonts w:ascii="Times New Roman" w:hAnsi="Times New Roman" w:cs="Times New Roman"/>
        </w:rPr>
        <w:t>interesy leżące u podstaw</w:t>
      </w:r>
      <w:r w:rsidR="002246B1" w:rsidRPr="0000634B">
        <w:rPr>
          <w:rFonts w:ascii="Times New Roman" w:hAnsi="Times New Roman" w:cs="Times New Roman"/>
        </w:rPr>
        <w:t xml:space="preserve"> prawa francuskiego, tzn.</w:t>
      </w:r>
      <w:r w:rsidR="00580D1E">
        <w:rPr>
          <w:rFonts w:ascii="Times New Roman" w:hAnsi="Times New Roman" w:cs="Times New Roman"/>
        </w:rPr>
        <w:t> </w:t>
      </w:r>
      <w:r w:rsidR="002246B1" w:rsidRPr="0000634B">
        <w:rPr>
          <w:rFonts w:ascii="Times New Roman" w:hAnsi="Times New Roman" w:cs="Times New Roman"/>
        </w:rPr>
        <w:t>w</w:t>
      </w:r>
      <w:r w:rsidR="00580D1E">
        <w:rPr>
          <w:rFonts w:ascii="Times New Roman" w:hAnsi="Times New Roman" w:cs="Times New Roman"/>
        </w:rPr>
        <w:t> </w:t>
      </w:r>
      <w:r w:rsidR="002246B1" w:rsidRPr="0000634B">
        <w:rPr>
          <w:rFonts w:ascii="Times New Roman" w:hAnsi="Times New Roman" w:cs="Times New Roman"/>
        </w:rPr>
        <w:t xml:space="preserve">odniesieniu do </w:t>
      </w:r>
      <w:r w:rsidR="00F84584">
        <w:rPr>
          <w:rFonts w:ascii="Times New Roman" w:hAnsi="Times New Roman" w:cs="Times New Roman"/>
        </w:rPr>
        <w:t>dotychczas</w:t>
      </w:r>
      <w:r w:rsidR="00CF77DB">
        <w:rPr>
          <w:rFonts w:ascii="Times New Roman" w:hAnsi="Times New Roman" w:cs="Times New Roman"/>
        </w:rPr>
        <w:t xml:space="preserve"> przewidzianego</w:t>
      </w:r>
      <w:r w:rsidR="00F84584">
        <w:rPr>
          <w:rFonts w:ascii="Times New Roman" w:hAnsi="Times New Roman" w:cs="Times New Roman"/>
        </w:rPr>
        <w:t xml:space="preserve"> </w:t>
      </w:r>
      <w:r w:rsidR="002246B1" w:rsidRPr="0000634B">
        <w:rPr>
          <w:rFonts w:ascii="Times New Roman" w:hAnsi="Times New Roman" w:cs="Times New Roman"/>
        </w:rPr>
        <w:t xml:space="preserve">celu wspomaganej medycznie prokreacji we Francji, </w:t>
      </w:r>
      <w:r w:rsidR="00F84584">
        <w:rPr>
          <w:rFonts w:ascii="Times New Roman" w:hAnsi="Times New Roman" w:cs="Times New Roman"/>
        </w:rPr>
        <w:t>jakim jest zaradzenie</w:t>
      </w:r>
      <w:r w:rsidR="002246B1" w:rsidRPr="0000634B">
        <w:rPr>
          <w:rFonts w:ascii="Times New Roman" w:hAnsi="Times New Roman" w:cs="Times New Roman"/>
        </w:rPr>
        <w:t xml:space="preserve"> patologicznej bezpłodności pary. Innymi słowami, sędzia krajowy stwierdził, że</w:t>
      </w:r>
      <w:r w:rsidR="00580D1E">
        <w:rPr>
          <w:rFonts w:ascii="Times New Roman" w:hAnsi="Times New Roman" w:cs="Times New Roman"/>
        </w:rPr>
        <w:t> </w:t>
      </w:r>
      <w:r w:rsidR="002246B1" w:rsidRPr="0000634B">
        <w:rPr>
          <w:rFonts w:ascii="Times New Roman" w:hAnsi="Times New Roman" w:cs="Times New Roman"/>
        </w:rPr>
        <w:t xml:space="preserve">niemożność przyzwolenia na życzenie zmarłego syna na uwiecznienie się </w:t>
      </w:r>
      <w:r w:rsidR="00F84584">
        <w:rPr>
          <w:rFonts w:ascii="Times New Roman" w:hAnsi="Times New Roman" w:cs="Times New Roman"/>
        </w:rPr>
        <w:t>po</w:t>
      </w:r>
      <w:r w:rsidR="002246B1" w:rsidRPr="0000634B">
        <w:rPr>
          <w:rFonts w:ascii="Times New Roman" w:hAnsi="Times New Roman" w:cs="Times New Roman"/>
        </w:rPr>
        <w:t xml:space="preserve">przez dziecko nie stanowi </w:t>
      </w:r>
      <w:r w:rsidR="00F84584">
        <w:rPr>
          <w:rFonts w:ascii="Times New Roman" w:hAnsi="Times New Roman" w:cs="Times New Roman"/>
        </w:rPr>
        <w:t>naruszenia prawa</w:t>
      </w:r>
      <w:r w:rsidR="002246B1" w:rsidRPr="0000634B">
        <w:rPr>
          <w:rFonts w:ascii="Times New Roman" w:hAnsi="Times New Roman" w:cs="Times New Roman"/>
        </w:rPr>
        <w:t xml:space="preserve"> do poszanowania życia </w:t>
      </w:r>
      <w:r w:rsidR="002246B1" w:rsidRPr="0000634B">
        <w:rPr>
          <w:rFonts w:ascii="Times New Roman" w:hAnsi="Times New Roman" w:cs="Times New Roman"/>
        </w:rPr>
        <w:lastRenderedPageBreak/>
        <w:t>prywatnego i rodzinnego skarżącej. Trybunał nie zamierza dystansować się od tego stanowiska.</w:t>
      </w:r>
    </w:p>
    <w:p w:rsidR="00E2157A" w:rsidRPr="0000634B" w:rsidRDefault="002246B1" w:rsidP="00F84584">
      <w:pPr>
        <w:suppressAutoHyphens w:val="0"/>
        <w:autoSpaceDN/>
        <w:ind w:firstLine="284"/>
        <w:jc w:val="both"/>
        <w:textAlignment w:val="auto"/>
        <w:rPr>
          <w:rFonts w:ascii="Times New Roman" w:hAnsi="Times New Roman" w:cs="Times New Roman"/>
        </w:rPr>
      </w:pPr>
      <w:r w:rsidRPr="0000634B">
        <w:rPr>
          <w:rFonts w:ascii="Times New Roman" w:hAnsi="Times New Roman" w:cs="Times New Roman"/>
        </w:rPr>
        <w:t xml:space="preserve">20. Przed </w:t>
      </w:r>
      <w:r w:rsidR="00F84584">
        <w:rPr>
          <w:rFonts w:ascii="Times New Roman" w:hAnsi="Times New Roman" w:cs="Times New Roman"/>
        </w:rPr>
        <w:t>Trybunałem</w:t>
      </w:r>
      <w:r w:rsidRPr="0000634B">
        <w:rPr>
          <w:rFonts w:ascii="Times New Roman" w:hAnsi="Times New Roman" w:cs="Times New Roman"/>
        </w:rPr>
        <w:t xml:space="preserve"> skarżąca podkreśla bardziej konsekwencje spornej odmowy </w:t>
      </w:r>
      <w:r w:rsidR="00F84584">
        <w:rPr>
          <w:rFonts w:ascii="Times New Roman" w:hAnsi="Times New Roman" w:cs="Times New Roman"/>
        </w:rPr>
        <w:t xml:space="preserve">odnośnie </w:t>
      </w:r>
      <w:r w:rsidRPr="0000634B">
        <w:rPr>
          <w:rFonts w:ascii="Times New Roman" w:hAnsi="Times New Roman" w:cs="Times New Roman"/>
        </w:rPr>
        <w:t xml:space="preserve">do </w:t>
      </w:r>
      <w:r w:rsidR="00F84584">
        <w:rPr>
          <w:rFonts w:ascii="Times New Roman" w:hAnsi="Times New Roman" w:cs="Times New Roman"/>
        </w:rPr>
        <w:t>u</w:t>
      </w:r>
      <w:r w:rsidRPr="0000634B">
        <w:rPr>
          <w:rFonts w:ascii="Times New Roman" w:hAnsi="Times New Roman" w:cs="Times New Roman"/>
        </w:rPr>
        <w:t xml:space="preserve">traty pamięci o rodzinie </w:t>
      </w:r>
      <w:proofErr w:type="spellStart"/>
      <w:r w:rsidRPr="0000634B">
        <w:rPr>
          <w:rFonts w:ascii="Times New Roman" w:hAnsi="Times New Roman" w:cs="Times New Roman"/>
        </w:rPr>
        <w:t>Lanzmann</w:t>
      </w:r>
      <w:r w:rsidR="00F84584">
        <w:rPr>
          <w:rFonts w:ascii="Times New Roman" w:hAnsi="Times New Roman" w:cs="Times New Roman"/>
        </w:rPr>
        <w:t>ów</w:t>
      </w:r>
      <w:proofErr w:type="spellEnd"/>
      <w:r w:rsidRPr="0000634B">
        <w:rPr>
          <w:rFonts w:ascii="Times New Roman" w:hAnsi="Times New Roman" w:cs="Times New Roman"/>
        </w:rPr>
        <w:t xml:space="preserve">. </w:t>
      </w:r>
      <w:r w:rsidR="00833763">
        <w:rPr>
          <w:rFonts w:ascii="Times New Roman" w:hAnsi="Times New Roman" w:cs="Times New Roman"/>
        </w:rPr>
        <w:t>Szanując tę</w:t>
      </w:r>
      <w:r w:rsidR="00580D1E">
        <w:rPr>
          <w:rFonts w:ascii="Times New Roman" w:hAnsi="Times New Roman" w:cs="Times New Roman"/>
        </w:rPr>
        <w:t> </w:t>
      </w:r>
      <w:r w:rsidR="00833763">
        <w:rPr>
          <w:rFonts w:ascii="Times New Roman" w:hAnsi="Times New Roman" w:cs="Times New Roman"/>
        </w:rPr>
        <w:t>osobistą aspirację</w:t>
      </w:r>
      <w:r w:rsidRPr="0000634B">
        <w:rPr>
          <w:rFonts w:ascii="Times New Roman" w:hAnsi="Times New Roman" w:cs="Times New Roman"/>
        </w:rPr>
        <w:t xml:space="preserve"> kontynuowania linii genetycznej, Trybunał nie</w:t>
      </w:r>
      <w:r w:rsidR="00833763">
        <w:rPr>
          <w:rFonts w:ascii="Times New Roman" w:hAnsi="Times New Roman" w:cs="Times New Roman"/>
        </w:rPr>
        <w:t xml:space="preserve"> może</w:t>
      </w:r>
      <w:r w:rsidRPr="0000634B">
        <w:rPr>
          <w:rFonts w:ascii="Times New Roman" w:hAnsi="Times New Roman" w:cs="Times New Roman"/>
        </w:rPr>
        <w:t xml:space="preserve"> uznać, że wchodzi ona w zakres zastosowania art. 8 Konwencji. </w:t>
      </w:r>
      <w:r w:rsidR="005B329B" w:rsidRPr="005B329B">
        <w:rPr>
          <w:rFonts w:ascii="Times New Roman" w:hAnsi="Times New Roman" w:cs="Times New Roman"/>
        </w:rPr>
        <w:t xml:space="preserve"> Artykuł ten n</w:t>
      </w:r>
      <w:r w:rsidRPr="0000634B">
        <w:rPr>
          <w:rFonts w:ascii="Times New Roman" w:hAnsi="Times New Roman" w:cs="Times New Roman"/>
        </w:rPr>
        <w:t>ie obejmuje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prawa do założenia rodziny</w:t>
      </w:r>
      <w:r w:rsidR="00CD1906" w:rsidRPr="0000634B">
        <w:rPr>
          <w:rFonts w:ascii="Times New Roman" w:hAnsi="Times New Roman" w:cs="Times New Roman"/>
        </w:rPr>
        <w:t xml:space="preserve"> </w:t>
      </w:r>
      <w:r w:rsidRPr="0000634B">
        <w:rPr>
          <w:rFonts w:ascii="Times New Roman" w:hAnsi="Times New Roman" w:cs="Times New Roman"/>
        </w:rPr>
        <w:t>i nie mógłby obejmować, w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>obecnym stanie</w:t>
      </w:r>
      <w:r w:rsidR="00E866E3">
        <w:rPr>
          <w:rFonts w:ascii="Times New Roman" w:hAnsi="Times New Roman" w:cs="Times New Roman"/>
        </w:rPr>
        <w:t xml:space="preserve"> orzecznictwa</w:t>
      </w:r>
      <w:r w:rsidRPr="0000634B">
        <w:rPr>
          <w:rFonts w:ascii="Times New Roman" w:hAnsi="Times New Roman" w:cs="Times New Roman"/>
        </w:rPr>
        <w:t xml:space="preserve">, prawa </w:t>
      </w:r>
      <w:r w:rsidR="00833763">
        <w:rPr>
          <w:rFonts w:ascii="Times New Roman" w:hAnsi="Times New Roman" w:cs="Times New Roman"/>
        </w:rPr>
        <w:t xml:space="preserve">dziadków </w:t>
      </w:r>
      <w:r w:rsidRPr="0000634B">
        <w:rPr>
          <w:rFonts w:ascii="Times New Roman" w:hAnsi="Times New Roman" w:cs="Times New Roman"/>
        </w:rPr>
        <w:t>do potomka. W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>konsekwencji ta część zarzutu musi zostać odrzucona ze względu na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 xml:space="preserve">niezgodność </w:t>
      </w:r>
      <w:r w:rsidRPr="0000634B">
        <w:rPr>
          <w:rFonts w:ascii="Times New Roman" w:hAnsi="Times New Roman" w:cs="Times New Roman"/>
          <w:i/>
          <w:iCs/>
        </w:rPr>
        <w:t xml:space="preserve">ratione materiae </w:t>
      </w:r>
      <w:r w:rsidRPr="0000634B">
        <w:rPr>
          <w:rFonts w:ascii="Times New Roman" w:hAnsi="Times New Roman" w:cs="Times New Roman"/>
        </w:rPr>
        <w:t>z postanowieniami Konwencji, zgodnie z</w:t>
      </w:r>
      <w:r w:rsidR="00580D1E">
        <w:rPr>
          <w:rFonts w:ascii="Times New Roman" w:hAnsi="Times New Roman" w:cs="Times New Roman"/>
        </w:rPr>
        <w:t> </w:t>
      </w:r>
      <w:r w:rsidRPr="0000634B">
        <w:rPr>
          <w:rFonts w:ascii="Times New Roman" w:hAnsi="Times New Roman" w:cs="Times New Roman"/>
        </w:rPr>
        <w:t>art. 35 ust. 3</w:t>
      </w:r>
      <w:r w:rsidR="00833763">
        <w:rPr>
          <w:rFonts w:ascii="Times New Roman" w:hAnsi="Times New Roman" w:cs="Times New Roman"/>
        </w:rPr>
        <w:t xml:space="preserve"> lit. </w:t>
      </w:r>
      <w:r w:rsidRPr="0000634B">
        <w:rPr>
          <w:rFonts w:ascii="Times New Roman" w:hAnsi="Times New Roman" w:cs="Times New Roman"/>
        </w:rPr>
        <w:t xml:space="preserve">a i </w:t>
      </w:r>
      <w:r w:rsidR="00833763">
        <w:rPr>
          <w:rFonts w:ascii="Times New Roman" w:hAnsi="Times New Roman" w:cs="Times New Roman"/>
        </w:rPr>
        <w:t xml:space="preserve">ust. </w:t>
      </w:r>
      <w:r w:rsidRPr="0000634B">
        <w:rPr>
          <w:rFonts w:ascii="Times New Roman" w:hAnsi="Times New Roman" w:cs="Times New Roman"/>
        </w:rPr>
        <w:t>4 Konwencji.</w:t>
      </w:r>
    </w:p>
    <w:p w:rsidR="00E2157A" w:rsidRPr="00E2770B" w:rsidRDefault="002246B1" w:rsidP="0000634B">
      <w:pPr>
        <w:keepNext/>
        <w:keepLines/>
        <w:suppressAutoHyphens w:val="0"/>
        <w:autoSpaceDN/>
        <w:spacing w:before="240" w:after="240"/>
        <w:ind w:firstLine="284"/>
        <w:jc w:val="both"/>
        <w:textAlignment w:val="auto"/>
        <w:rPr>
          <w:rFonts w:ascii="Times New Roman" w:eastAsiaTheme="minorHAnsi" w:hAnsi="Times New Roman" w:cs="Times New Roman"/>
          <w:kern w:val="0"/>
          <w:szCs w:val="22"/>
          <w:lang w:eastAsia="en-US" w:bidi="ar-SA"/>
        </w:rPr>
      </w:pPr>
      <w:r w:rsidRPr="00833763">
        <w:rPr>
          <w:rFonts w:ascii="Times New Roman" w:eastAsiaTheme="minorHAnsi" w:hAnsi="Times New Roman" w:cs="Times New Roman"/>
          <w:kern w:val="0"/>
          <w:szCs w:val="22"/>
          <w:lang w:eastAsia="en-US" w:bidi="ar-SA"/>
        </w:rPr>
        <w:t xml:space="preserve"> </w:t>
      </w:r>
      <w:r w:rsidRPr="00E2770B">
        <w:rPr>
          <w:rFonts w:ascii="Times New Roman" w:eastAsiaTheme="minorHAnsi" w:hAnsi="Times New Roman" w:cs="Times New Roman"/>
          <w:kern w:val="0"/>
          <w:szCs w:val="22"/>
          <w:lang w:eastAsia="en-US" w:bidi="ar-SA"/>
        </w:rPr>
        <w:t>Z tych względów, Trybunał, jednogłośnie,</w:t>
      </w:r>
    </w:p>
    <w:p w:rsidR="00E2157A" w:rsidRPr="0000634B" w:rsidRDefault="00CD1906" w:rsidP="0000634B">
      <w:pPr>
        <w:suppressAutoHyphens w:val="0"/>
        <w:autoSpaceDN/>
        <w:spacing w:before="280" w:after="60"/>
        <w:ind w:left="340"/>
        <w:jc w:val="both"/>
        <w:textAlignment w:val="auto"/>
        <w:rPr>
          <w:rFonts w:ascii="Times New Roman" w:eastAsiaTheme="minorHAnsi" w:hAnsi="Times New Roman" w:cs="Times New Roman"/>
          <w:i/>
          <w:kern w:val="0"/>
          <w:szCs w:val="22"/>
          <w:lang w:eastAsia="en-US" w:bidi="ar-SA"/>
        </w:rPr>
      </w:pPr>
      <w:r w:rsidRPr="0000634B">
        <w:rPr>
          <w:rFonts w:ascii="Times New Roman" w:eastAsiaTheme="minorHAnsi" w:hAnsi="Times New Roman" w:cs="Times New Roman"/>
          <w:i/>
          <w:kern w:val="0"/>
          <w:szCs w:val="22"/>
          <w:lang w:eastAsia="en-US" w:bidi="ar-SA"/>
        </w:rPr>
        <w:t xml:space="preserve"> </w:t>
      </w:r>
      <w:r w:rsidR="002246B1" w:rsidRPr="0000634B">
        <w:rPr>
          <w:rFonts w:ascii="Times New Roman" w:eastAsiaTheme="minorHAnsi" w:hAnsi="Times New Roman" w:cs="Times New Roman"/>
          <w:i/>
          <w:kern w:val="0"/>
          <w:szCs w:val="22"/>
          <w:lang w:eastAsia="en-US" w:bidi="ar-SA"/>
        </w:rPr>
        <w:t xml:space="preserve">Uznaje </w:t>
      </w:r>
      <w:r w:rsidR="002246B1" w:rsidRPr="0000634B">
        <w:rPr>
          <w:rFonts w:ascii="Times New Roman" w:eastAsiaTheme="minorHAnsi" w:hAnsi="Times New Roman" w:cs="Times New Roman"/>
          <w:kern w:val="0"/>
          <w:szCs w:val="22"/>
          <w:lang w:eastAsia="en-US" w:bidi="ar-SA"/>
        </w:rPr>
        <w:t>skargę za niedopuszczalną.</w:t>
      </w:r>
    </w:p>
    <w:p w:rsidR="00E2157A" w:rsidRPr="00E2770B" w:rsidRDefault="002246B1" w:rsidP="0000634B">
      <w:pPr>
        <w:pStyle w:val="JuParaLast"/>
        <w:rPr>
          <w:rFonts w:ascii="Times New Roman" w:hAnsi="Times New Roman" w:cs="Times New Roman"/>
          <w:szCs w:val="24"/>
          <w:lang w:val="pl-PL"/>
        </w:rPr>
      </w:pPr>
      <w:r w:rsidRPr="00E2770B">
        <w:rPr>
          <w:rFonts w:ascii="Times New Roman" w:hAnsi="Times New Roman" w:cs="Times New Roman"/>
          <w:szCs w:val="24"/>
          <w:lang w:val="pl-PL"/>
        </w:rPr>
        <w:t>Sporządzono w języku francuskim i notyfikowano na piśmie w dniu 5</w:t>
      </w:r>
      <w:r w:rsidR="00580D1E">
        <w:rPr>
          <w:rFonts w:ascii="Times New Roman" w:hAnsi="Times New Roman" w:cs="Times New Roman"/>
          <w:szCs w:val="24"/>
          <w:lang w:val="pl-PL"/>
        </w:rPr>
        <w:t> </w:t>
      </w:r>
      <w:r w:rsidRPr="00E2770B">
        <w:rPr>
          <w:rFonts w:ascii="Times New Roman" w:hAnsi="Times New Roman" w:cs="Times New Roman"/>
          <w:szCs w:val="24"/>
          <w:lang w:val="pl-PL"/>
        </w:rPr>
        <w:t>grudnia 2019</w:t>
      </w:r>
      <w:r w:rsidR="006430D2" w:rsidRPr="00E2770B">
        <w:rPr>
          <w:rFonts w:ascii="Times New Roman" w:hAnsi="Times New Roman" w:cs="Times New Roman"/>
          <w:szCs w:val="24"/>
          <w:lang w:val="pl-PL"/>
        </w:rPr>
        <w:t xml:space="preserve"> r.</w:t>
      </w:r>
    </w:p>
    <w:p w:rsidR="0000634B" w:rsidRPr="0000634B" w:rsidRDefault="0000634B" w:rsidP="0000634B">
      <w:pPr>
        <w:pStyle w:val="JuSigned"/>
        <w:keepNext/>
        <w:keepLines/>
        <w:rPr>
          <w:rFonts w:ascii="Times New Roman" w:hAnsi="Times New Roman" w:cs="Times New Roman"/>
          <w:szCs w:val="24"/>
          <w:lang w:val="pl-PL"/>
        </w:rPr>
      </w:pPr>
      <w:r w:rsidRPr="005B329B">
        <w:rPr>
          <w:rFonts w:ascii="Times New Roman" w:hAnsi="Times New Roman" w:cs="Times New Roman"/>
          <w:lang w:val="pl-PL"/>
        </w:rPr>
        <w:tab/>
      </w:r>
      <w:r w:rsidRPr="0000634B">
        <w:rPr>
          <w:rFonts w:ascii="Times New Roman" w:hAnsi="Times New Roman" w:cs="Times New Roman"/>
          <w:lang w:val="pl-PL"/>
        </w:rPr>
        <w:t xml:space="preserve">Milan </w:t>
      </w:r>
      <w:proofErr w:type="spellStart"/>
      <w:r w:rsidRPr="0000634B">
        <w:rPr>
          <w:rFonts w:ascii="Times New Roman" w:hAnsi="Times New Roman" w:cs="Times New Roman"/>
          <w:lang w:val="pl-PL"/>
        </w:rPr>
        <w:t>Blaško</w:t>
      </w:r>
      <w:proofErr w:type="spellEnd"/>
      <w:r w:rsidRPr="0000634B">
        <w:rPr>
          <w:rFonts w:ascii="Times New Roman" w:hAnsi="Times New Roman" w:cs="Times New Roman"/>
          <w:lang w:val="pl-PL"/>
        </w:rPr>
        <w:tab/>
      </w:r>
      <w:proofErr w:type="spellStart"/>
      <w:r w:rsidRPr="0000634B">
        <w:rPr>
          <w:rFonts w:ascii="Times New Roman" w:hAnsi="Times New Roman" w:cs="Times New Roman"/>
          <w:szCs w:val="24"/>
          <w:lang w:val="pl-PL"/>
        </w:rPr>
        <w:t>Mārtiņš</w:t>
      </w:r>
      <w:proofErr w:type="spellEnd"/>
      <w:r w:rsidRPr="0000634B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00634B">
        <w:rPr>
          <w:rFonts w:ascii="Times New Roman" w:hAnsi="Times New Roman" w:cs="Times New Roman"/>
          <w:szCs w:val="24"/>
          <w:lang w:val="pl-PL"/>
        </w:rPr>
        <w:t>Mits</w:t>
      </w:r>
      <w:proofErr w:type="spellEnd"/>
      <w:r w:rsidRPr="0000634B">
        <w:rPr>
          <w:rFonts w:ascii="Times New Roman" w:hAnsi="Times New Roman" w:cs="Times New Roman"/>
          <w:szCs w:val="24"/>
          <w:lang w:val="pl-PL"/>
        </w:rPr>
        <w:t xml:space="preserve"> </w:t>
      </w:r>
      <w:r w:rsidRPr="0000634B">
        <w:rPr>
          <w:rFonts w:ascii="Times New Roman" w:hAnsi="Times New Roman" w:cs="Times New Roman"/>
          <w:lang w:val="pl-PL"/>
        </w:rPr>
        <w:br/>
      </w:r>
      <w:r w:rsidRPr="0000634B">
        <w:rPr>
          <w:rFonts w:ascii="Times New Roman" w:hAnsi="Times New Roman" w:cs="Times New Roman"/>
          <w:lang w:val="pl-PL"/>
        </w:rPr>
        <w:tab/>
      </w:r>
      <w:r w:rsidRPr="0000634B">
        <w:rPr>
          <w:rFonts w:ascii="Times New Roman" w:hAnsi="Times New Roman" w:cs="Times New Roman"/>
          <w:szCs w:val="24"/>
          <w:lang w:val="pl-PL"/>
        </w:rPr>
        <w:t>Zastępca Kanclerza</w:t>
      </w:r>
      <w:r w:rsidRPr="0000634B">
        <w:rPr>
          <w:rFonts w:ascii="Times New Roman" w:hAnsi="Times New Roman" w:cs="Times New Roman"/>
          <w:lang w:val="pl-PL"/>
        </w:rPr>
        <w:tab/>
      </w:r>
      <w:r w:rsidRPr="0000634B">
        <w:rPr>
          <w:rFonts w:ascii="Times New Roman" w:hAnsi="Times New Roman" w:cs="Times New Roman"/>
          <w:szCs w:val="24"/>
          <w:lang w:val="pl-PL"/>
        </w:rPr>
        <w:t>Przewodniczący</w:t>
      </w:r>
    </w:p>
    <w:sectPr w:rsidR="0000634B" w:rsidRPr="0000634B" w:rsidSect="006430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74" w:right="2274" w:bottom="2274" w:left="227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4CF" w:rsidRDefault="00F424CF">
      <w:pPr>
        <w:rPr>
          <w:rFonts w:hint="eastAsia"/>
        </w:rPr>
      </w:pPr>
      <w:r>
        <w:separator/>
      </w:r>
    </w:p>
  </w:endnote>
  <w:endnote w:type="continuationSeparator" w:id="0">
    <w:p w:rsidR="00F424CF" w:rsidRDefault="00F424CF">
      <w:pPr>
        <w:rPr>
          <w:rFonts w:hint="eastAsia"/>
        </w:rPr>
      </w:pPr>
      <w:r>
        <w:continuationSeparator/>
      </w:r>
    </w:p>
  </w:endnote>
  <w:endnote w:type="continuationNotice" w:id="1">
    <w:p w:rsidR="00F424CF" w:rsidRDefault="00F424CF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1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7D" w:rsidRDefault="00A3747D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3673313"/>
      <w:docPartObj>
        <w:docPartGallery w:val="Page Numbers (Bottom of Page)"/>
        <w:docPartUnique/>
      </w:docPartObj>
    </w:sdtPr>
    <w:sdtEndPr/>
    <w:sdtContent>
      <w:p w:rsidR="006430D2" w:rsidRDefault="006430D2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85B">
          <w:rPr>
            <w:rFonts w:hint="eastAsia"/>
            <w:noProof/>
          </w:rPr>
          <w:t>6</w:t>
        </w:r>
        <w:r>
          <w:fldChar w:fldCharType="end"/>
        </w:r>
      </w:p>
    </w:sdtContent>
  </w:sdt>
  <w:p w:rsidR="006430D2" w:rsidRDefault="006430D2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D2" w:rsidRDefault="006430D2" w:rsidP="006430D2">
    <w:pPr>
      <w:pStyle w:val="Stopka"/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494249A1" wp14:editId="0F0F8686">
          <wp:extent cx="771525" cy="619125"/>
          <wp:effectExtent l="0" t="0" r="9525" b="9525"/>
          <wp:docPr id="5" name="Picture 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4CF" w:rsidRDefault="00F424C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424CF" w:rsidRDefault="00F424CF">
      <w:pPr>
        <w:rPr>
          <w:rFonts w:hint="eastAsia"/>
        </w:rPr>
      </w:pPr>
      <w:r>
        <w:continuationSeparator/>
      </w:r>
    </w:p>
  </w:footnote>
  <w:footnote w:type="continuationNotice" w:id="1">
    <w:p w:rsidR="00F424CF" w:rsidRDefault="00F424CF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7D" w:rsidRDefault="00A3747D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0D2" w:rsidRDefault="006430D2" w:rsidP="006430D2">
    <w:pPr>
      <w:pStyle w:val="Nagwek"/>
      <w:jc w:val="center"/>
      <w:rPr>
        <w:rFonts w:ascii="Times New Roman" w:hAnsi="Times New Roman" w:cs="Times New Roman"/>
        <w:sz w:val="18"/>
        <w:szCs w:val="18"/>
      </w:rPr>
    </w:pPr>
  </w:p>
  <w:p w:rsidR="006430D2" w:rsidRDefault="006430D2" w:rsidP="006430D2">
    <w:pPr>
      <w:pStyle w:val="Nagwek"/>
      <w:jc w:val="center"/>
      <w:rPr>
        <w:rFonts w:ascii="Times New Roman" w:hAnsi="Times New Roman" w:cs="Times New Roman"/>
        <w:sz w:val="18"/>
        <w:szCs w:val="18"/>
      </w:rPr>
    </w:pPr>
  </w:p>
  <w:p w:rsidR="006430D2" w:rsidRDefault="006430D2" w:rsidP="006430D2">
    <w:pPr>
      <w:pStyle w:val="Nagwek"/>
      <w:jc w:val="center"/>
      <w:rPr>
        <w:rFonts w:ascii="Times New Roman" w:hAnsi="Times New Roman" w:cs="Times New Roman"/>
        <w:sz w:val="18"/>
        <w:szCs w:val="18"/>
      </w:rPr>
    </w:pPr>
  </w:p>
  <w:p w:rsidR="006430D2" w:rsidRDefault="006430D2" w:rsidP="006430D2">
    <w:pPr>
      <w:pStyle w:val="Nagwek"/>
      <w:jc w:val="center"/>
      <w:rPr>
        <w:rFonts w:ascii="Times New Roman" w:hAnsi="Times New Roman" w:cs="Times New Roman"/>
        <w:sz w:val="18"/>
        <w:szCs w:val="18"/>
      </w:rPr>
    </w:pPr>
  </w:p>
  <w:p w:rsidR="006430D2" w:rsidRPr="006430D2" w:rsidRDefault="006430D2" w:rsidP="006430D2">
    <w:pPr>
      <w:pStyle w:val="Nagwek"/>
      <w:jc w:val="center"/>
      <w:rPr>
        <w:rFonts w:ascii="Times New Roman" w:hAnsi="Times New Roman" w:cs="Times New Roman"/>
        <w:sz w:val="18"/>
        <w:szCs w:val="18"/>
      </w:rPr>
    </w:pPr>
    <w:r w:rsidRPr="006430D2">
      <w:rPr>
        <w:rFonts w:ascii="Times New Roman" w:hAnsi="Times New Roman" w:cs="Times New Roman"/>
        <w:sz w:val="18"/>
        <w:szCs w:val="18"/>
      </w:rPr>
      <w:t>DECYZJA W SPRAWIE PETITHORY LANZMANN PRZECIWKO FRANCJI</w:t>
    </w:r>
  </w:p>
  <w:p w:rsidR="006430D2" w:rsidRPr="006430D2" w:rsidRDefault="006430D2" w:rsidP="006430D2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7D" w:rsidRDefault="00A3747D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7A"/>
    <w:rsid w:val="0000634B"/>
    <w:rsid w:val="00052467"/>
    <w:rsid w:val="000B6EBC"/>
    <w:rsid w:val="000C3D2F"/>
    <w:rsid w:val="000C69C1"/>
    <w:rsid w:val="0022056B"/>
    <w:rsid w:val="002246B1"/>
    <w:rsid w:val="002966F7"/>
    <w:rsid w:val="002A4ABE"/>
    <w:rsid w:val="002C7C7C"/>
    <w:rsid w:val="00367D42"/>
    <w:rsid w:val="00426A2E"/>
    <w:rsid w:val="004C1DE9"/>
    <w:rsid w:val="00570191"/>
    <w:rsid w:val="00580D1E"/>
    <w:rsid w:val="00583314"/>
    <w:rsid w:val="005B329B"/>
    <w:rsid w:val="00610D42"/>
    <w:rsid w:val="006430D2"/>
    <w:rsid w:val="006B4830"/>
    <w:rsid w:val="006D03A6"/>
    <w:rsid w:val="006D5F16"/>
    <w:rsid w:val="0078575F"/>
    <w:rsid w:val="007975C6"/>
    <w:rsid w:val="00833763"/>
    <w:rsid w:val="0086667D"/>
    <w:rsid w:val="00A3747D"/>
    <w:rsid w:val="00A447E4"/>
    <w:rsid w:val="00A5140E"/>
    <w:rsid w:val="00A56261"/>
    <w:rsid w:val="00B10091"/>
    <w:rsid w:val="00B826F6"/>
    <w:rsid w:val="00B91CAB"/>
    <w:rsid w:val="00BD65F6"/>
    <w:rsid w:val="00BE37EE"/>
    <w:rsid w:val="00C17A61"/>
    <w:rsid w:val="00CD1906"/>
    <w:rsid w:val="00CF77DB"/>
    <w:rsid w:val="00D350EA"/>
    <w:rsid w:val="00D6596F"/>
    <w:rsid w:val="00DA674A"/>
    <w:rsid w:val="00DD604F"/>
    <w:rsid w:val="00DF385B"/>
    <w:rsid w:val="00E04AE2"/>
    <w:rsid w:val="00E2157A"/>
    <w:rsid w:val="00E2770B"/>
    <w:rsid w:val="00E866E3"/>
    <w:rsid w:val="00F01ADF"/>
    <w:rsid w:val="00F32FD9"/>
    <w:rsid w:val="00F424CF"/>
    <w:rsid w:val="00F84584"/>
    <w:rsid w:val="00FA1588"/>
    <w:rsid w:val="00FF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30D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30D2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430D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30D2"/>
    <w:rPr>
      <w:rFonts w:cs="Mangal"/>
      <w:szCs w:val="21"/>
    </w:rPr>
  </w:style>
  <w:style w:type="paragraph" w:customStyle="1" w:styleId="DecHTitle">
    <w:name w:val="Dec_H_Title"/>
    <w:aliases w:val="_Title_1"/>
    <w:basedOn w:val="Normalny"/>
    <w:next w:val="Normalny"/>
    <w:uiPriority w:val="35"/>
    <w:qFormat/>
    <w:rsid w:val="00610D42"/>
    <w:pPr>
      <w:keepNext/>
      <w:keepLines/>
      <w:suppressAutoHyphens w:val="0"/>
      <w:autoSpaceDN/>
      <w:spacing w:after="240"/>
      <w:jc w:val="center"/>
      <w:textAlignment w:val="auto"/>
      <w:outlineLvl w:val="0"/>
    </w:pPr>
    <w:rPr>
      <w:rFonts w:asciiTheme="majorHAnsi" w:eastAsiaTheme="minorEastAsia" w:hAnsiTheme="majorHAnsi" w:cstheme="minorBidi"/>
      <w:kern w:val="0"/>
      <w:sz w:val="28"/>
      <w:szCs w:val="22"/>
      <w:lang w:val="fr-FR" w:eastAsia="en-US" w:bidi="ar-SA"/>
    </w:rPr>
  </w:style>
  <w:style w:type="paragraph" w:customStyle="1" w:styleId="DecHCase">
    <w:name w:val="Dec_H_Case"/>
    <w:aliases w:val="_Title_3"/>
    <w:basedOn w:val="Normalny"/>
    <w:next w:val="Normalny"/>
    <w:uiPriority w:val="35"/>
    <w:qFormat/>
    <w:rsid w:val="00610D42"/>
    <w:pPr>
      <w:keepNext/>
      <w:keepLines/>
      <w:suppressAutoHyphens w:val="0"/>
      <w:autoSpaceDN/>
      <w:spacing w:after="280"/>
      <w:jc w:val="center"/>
      <w:textAlignment w:val="auto"/>
    </w:pPr>
    <w:rPr>
      <w:rFonts w:asciiTheme="majorHAnsi" w:eastAsiaTheme="minorEastAsia" w:hAnsiTheme="majorHAnsi" w:cstheme="minorBidi"/>
      <w:kern w:val="0"/>
      <w:szCs w:val="22"/>
      <w:lang w:val="fr-FR" w:eastAsia="en-US" w:bidi="ar-SA"/>
    </w:rPr>
  </w:style>
  <w:style w:type="paragraph" w:customStyle="1" w:styleId="JuPara">
    <w:name w:val="Ju_Para"/>
    <w:aliases w:val="_Para"/>
    <w:basedOn w:val="Normalny"/>
    <w:link w:val="JuParaChar"/>
    <w:uiPriority w:val="8"/>
    <w:qFormat/>
    <w:rsid w:val="00610D42"/>
    <w:pPr>
      <w:suppressAutoHyphens w:val="0"/>
      <w:autoSpaceDN/>
      <w:ind w:firstLine="284"/>
      <w:jc w:val="both"/>
      <w:textAlignment w:val="auto"/>
    </w:pPr>
    <w:rPr>
      <w:rFonts w:asciiTheme="minorHAnsi" w:eastAsiaTheme="minorEastAsia" w:hAnsiTheme="minorHAnsi" w:cstheme="minorBidi"/>
      <w:kern w:val="0"/>
      <w:szCs w:val="22"/>
      <w:lang w:val="fr-FR" w:eastAsia="en-US" w:bidi="ar-SA"/>
    </w:rPr>
  </w:style>
  <w:style w:type="character" w:customStyle="1" w:styleId="JuParaChar">
    <w:name w:val="Ju_Para Char"/>
    <w:aliases w:val="_Para Char,ECHR_Para Char"/>
    <w:link w:val="JuPara"/>
    <w:uiPriority w:val="8"/>
    <w:rsid w:val="00610D42"/>
    <w:rPr>
      <w:rFonts w:asciiTheme="minorHAnsi" w:eastAsiaTheme="minorEastAsia" w:hAnsiTheme="minorHAnsi" w:cstheme="minorBidi"/>
      <w:kern w:val="0"/>
      <w:szCs w:val="22"/>
      <w:lang w:val="fr-FR" w:eastAsia="en-US" w:bidi="ar-SA"/>
    </w:rPr>
  </w:style>
  <w:style w:type="paragraph" w:customStyle="1" w:styleId="JuJudges">
    <w:name w:val="Ju_Judges"/>
    <w:basedOn w:val="Normalny"/>
    <w:link w:val="JuJudgesChar"/>
    <w:uiPriority w:val="31"/>
    <w:qFormat/>
    <w:rsid w:val="00610D42"/>
    <w:pPr>
      <w:tabs>
        <w:tab w:val="left" w:pos="567"/>
        <w:tab w:val="left" w:pos="1134"/>
      </w:tabs>
      <w:suppressAutoHyphens w:val="0"/>
      <w:autoSpaceDN/>
      <w:textAlignment w:val="auto"/>
    </w:pPr>
    <w:rPr>
      <w:rFonts w:asciiTheme="minorHAnsi" w:eastAsiaTheme="minorEastAsia" w:hAnsiTheme="minorHAnsi" w:cstheme="minorBidi"/>
      <w:kern w:val="0"/>
      <w:szCs w:val="22"/>
      <w:lang w:val="fr-FR" w:eastAsia="en-US" w:bidi="ar-SA"/>
    </w:rPr>
  </w:style>
  <w:style w:type="character" w:customStyle="1" w:styleId="JuJudgesChar">
    <w:name w:val="Ju_Judges Char"/>
    <w:basedOn w:val="Domylnaczcionkaakapitu"/>
    <w:link w:val="JuJudges"/>
    <w:uiPriority w:val="31"/>
    <w:rsid w:val="00610D42"/>
    <w:rPr>
      <w:rFonts w:asciiTheme="minorHAnsi" w:eastAsiaTheme="minorEastAsia" w:hAnsiTheme="minorHAnsi" w:cstheme="minorBidi"/>
      <w:kern w:val="0"/>
      <w:szCs w:val="22"/>
      <w:lang w:val="fr-FR" w:eastAsia="en-US" w:bidi="ar-SA"/>
    </w:r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610D42"/>
    <w:pPr>
      <w:keepNext/>
      <w:keepLines/>
      <w:suppressAutoHyphens w:val="0"/>
      <w:autoSpaceDN/>
      <w:spacing w:before="100" w:beforeAutospacing="1" w:after="240"/>
      <w:jc w:val="both"/>
      <w:textAlignment w:val="auto"/>
      <w:outlineLvl w:val="0"/>
    </w:pPr>
    <w:rPr>
      <w:rFonts w:asciiTheme="minorHAnsi" w:eastAsiaTheme="minorEastAsia" w:hAnsiTheme="minorHAnsi" w:cstheme="minorBidi"/>
      <w:caps/>
      <w:kern w:val="0"/>
      <w:sz w:val="28"/>
      <w:szCs w:val="22"/>
      <w:lang w:val="fr-FR" w:eastAsia="en-US" w:bidi="ar-SA"/>
    </w:rPr>
  </w:style>
  <w:style w:type="paragraph" w:customStyle="1" w:styleId="JuParaLast">
    <w:name w:val="Ju_Para_Last"/>
    <w:aliases w:val="_Para_Spaced"/>
    <w:basedOn w:val="Normalny"/>
    <w:uiPriority w:val="9"/>
    <w:qFormat/>
    <w:rsid w:val="0000634B"/>
    <w:pPr>
      <w:keepNext/>
      <w:keepLines/>
      <w:suppressAutoHyphens w:val="0"/>
      <w:autoSpaceDN/>
      <w:spacing w:before="240" w:after="240"/>
      <w:ind w:firstLine="284"/>
      <w:jc w:val="both"/>
      <w:textAlignment w:val="auto"/>
    </w:pPr>
    <w:rPr>
      <w:rFonts w:asciiTheme="minorHAnsi" w:eastAsiaTheme="minorHAnsi" w:hAnsiTheme="minorHAnsi" w:cstheme="minorBidi"/>
      <w:kern w:val="0"/>
      <w:szCs w:val="22"/>
      <w:lang w:val="fr-FR" w:eastAsia="en-US" w:bidi="ar-SA"/>
    </w:rPr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00634B"/>
    <w:pPr>
      <w:tabs>
        <w:tab w:val="center" w:pos="851"/>
        <w:tab w:val="center" w:pos="6407"/>
      </w:tabs>
      <w:suppressAutoHyphens w:val="0"/>
      <w:autoSpaceDN/>
      <w:spacing w:before="720"/>
      <w:textAlignment w:val="auto"/>
    </w:pPr>
    <w:rPr>
      <w:rFonts w:asciiTheme="minorHAnsi" w:eastAsiaTheme="minorEastAsia" w:hAnsiTheme="minorHAnsi" w:cstheme="minorBidi"/>
      <w:kern w:val="0"/>
      <w:szCs w:val="22"/>
      <w:lang w:val="fr-F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00EAC-5816-4673-BA38-0AD4AF7FB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1845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2021-07-16T13:33:00Z</dcterms:created>
  <dcterms:modified xsi:type="dcterms:W3CDTF">2021-08-10T17:50:00Z</dcterms:modified>
</cp:coreProperties>
</file>