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66232" w:rsidR="00A71632" w:rsidP="00266232" w:rsidRDefault="00FE5AB7">
      <w:pPr>
        <w:pStyle w:val="DecHTitle"/>
      </w:pPr>
      <w:bookmarkStart w:name="_GoBack" w:id="0"/>
      <w:bookmarkEnd w:id="0"/>
      <w:r w:rsidRPr="00266232">
        <w:rPr>
          <w:szCs w:val="24"/>
        </w:rPr>
        <w:t>CINQUIÈME SECTION</w:t>
      </w:r>
    </w:p>
    <w:p w:rsidRPr="00266232" w:rsidR="00A71632" w:rsidP="00266232" w:rsidRDefault="00982E7A">
      <w:pPr>
        <w:pStyle w:val="DecHTitle"/>
        <w:rPr>
          <w:caps/>
          <w:sz w:val="32"/>
        </w:rPr>
      </w:pPr>
      <w:r w:rsidRPr="00266232">
        <w:t>DÉCISION</w:t>
      </w:r>
    </w:p>
    <w:p w:rsidRPr="00266232" w:rsidR="00A71632" w:rsidP="00266232" w:rsidRDefault="00FE5AB7">
      <w:pPr>
        <w:pStyle w:val="DecHCase"/>
      </w:pPr>
      <w:r w:rsidRPr="00266232">
        <w:t>Requête n</w:t>
      </w:r>
      <w:r w:rsidRPr="00266232">
        <w:rPr>
          <w:vertAlign w:val="superscript"/>
        </w:rPr>
        <w:t>o</w:t>
      </w:r>
      <w:r w:rsidRPr="00266232" w:rsidR="00982E7A">
        <w:t xml:space="preserve"> </w:t>
      </w:r>
      <w:r w:rsidRPr="00266232">
        <w:t>23038/19</w:t>
      </w:r>
      <w:r w:rsidRPr="00266232" w:rsidR="00982E7A">
        <w:br/>
      </w:r>
      <w:r w:rsidRPr="00266232">
        <w:t>Dominique</w:t>
      </w:r>
      <w:r w:rsidRPr="00266232" w:rsidR="00982E7A">
        <w:t xml:space="preserve"> </w:t>
      </w:r>
      <w:r w:rsidRPr="00266232">
        <w:t>PETITHORY LANZMANN</w:t>
      </w:r>
      <w:r w:rsidRPr="00266232">
        <w:br/>
      </w:r>
      <w:r w:rsidRPr="00266232" w:rsidR="00982E7A">
        <w:t xml:space="preserve">contre </w:t>
      </w:r>
      <w:r w:rsidRPr="00266232">
        <w:t>la France</w:t>
      </w:r>
    </w:p>
    <w:p w:rsidRPr="00266232" w:rsidR="00FE5AB7" w:rsidP="00266232" w:rsidRDefault="00982E7A">
      <w:pPr>
        <w:pStyle w:val="JuPara"/>
      </w:pPr>
      <w:r w:rsidRPr="00266232">
        <w:t xml:space="preserve">La Cour européenne </w:t>
      </w:r>
      <w:r w:rsidRPr="00266232" w:rsidR="00FE5AB7">
        <w:t>des droits de l</w:t>
      </w:r>
      <w:r w:rsidRPr="00266232" w:rsidR="00266232">
        <w:t>’</w:t>
      </w:r>
      <w:r w:rsidRPr="00266232" w:rsidR="00FE5AB7">
        <w:t>homme (cinquième section), siégeant le 12 novembre 2019 en un comité composé de :</w:t>
      </w:r>
    </w:p>
    <w:p w:rsidRPr="00266232" w:rsidR="00FE5AB7" w:rsidP="00266232" w:rsidRDefault="00FE5AB7">
      <w:pPr>
        <w:pStyle w:val="JuJudges"/>
      </w:pPr>
      <w:r w:rsidRPr="00266232">
        <w:tab/>
        <w:t>Mārtiņš Mits,</w:t>
      </w:r>
      <w:r w:rsidRPr="00266232">
        <w:rPr>
          <w:i/>
        </w:rPr>
        <w:t xml:space="preserve"> président,</w:t>
      </w:r>
      <w:r w:rsidRPr="00266232">
        <w:rPr>
          <w:i/>
        </w:rPr>
        <w:br/>
      </w:r>
      <w:r w:rsidRPr="00266232">
        <w:tab/>
        <w:t>André Potocki,</w:t>
      </w:r>
      <w:r w:rsidRPr="00266232">
        <w:rPr>
          <w:i/>
        </w:rPr>
        <w:br/>
      </w:r>
      <w:r w:rsidRPr="00266232">
        <w:tab/>
        <w:t>L</w:t>
      </w:r>
      <w:r w:rsidRPr="00266232">
        <w:rPr>
          <w:lang w:val="en-GB"/>
        </w:rPr>
        <w:t>ә</w:t>
      </w:r>
      <w:r w:rsidRPr="00266232">
        <w:t>tif Hüseynov,</w:t>
      </w:r>
      <w:r w:rsidRPr="00266232">
        <w:rPr>
          <w:i/>
        </w:rPr>
        <w:t xml:space="preserve"> juges,</w:t>
      </w:r>
    </w:p>
    <w:p w:rsidRPr="00266232" w:rsidR="00FE5AB7" w:rsidP="00266232" w:rsidRDefault="00FE5AB7">
      <w:pPr>
        <w:pStyle w:val="JuPara"/>
        <w:ind w:firstLine="0"/>
      </w:pPr>
      <w:r w:rsidRPr="00266232">
        <w:t xml:space="preserve">et de Milan Blaško, </w:t>
      </w:r>
      <w:r w:rsidRPr="00266232">
        <w:rPr>
          <w:i/>
        </w:rPr>
        <w:t>greffier adjoint</w:t>
      </w:r>
      <w:r w:rsidRPr="00266232">
        <w:rPr>
          <w:i/>
          <w:iCs/>
        </w:rPr>
        <w:t xml:space="preserve"> d</w:t>
      </w:r>
      <w:r w:rsidRPr="00266232">
        <w:rPr>
          <w:i/>
        </w:rPr>
        <w:t>e section,</w:t>
      </w:r>
    </w:p>
    <w:p w:rsidRPr="00266232" w:rsidR="00FE5AB7" w:rsidP="00266232" w:rsidRDefault="00FE5AB7">
      <w:pPr>
        <w:pStyle w:val="JuPara"/>
      </w:pPr>
      <w:r w:rsidRPr="00266232">
        <w:t>Vu la requête susmentionnée introduite le 25 avril 2019,</w:t>
      </w:r>
    </w:p>
    <w:p w:rsidRPr="00266232" w:rsidR="00FE5AB7" w:rsidP="00266232" w:rsidRDefault="00FE5AB7">
      <w:pPr>
        <w:pStyle w:val="JuPara"/>
      </w:pPr>
      <w:r w:rsidRPr="00266232">
        <w:t>Vu la décision du 12 novembre 2019,</w:t>
      </w:r>
    </w:p>
    <w:p w:rsidRPr="00266232" w:rsidR="00FE5AB7" w:rsidP="00266232" w:rsidRDefault="00FE5AB7">
      <w:pPr>
        <w:pStyle w:val="JuPara"/>
        <w:rPr>
          <w:color w:val="000000"/>
        </w:rPr>
      </w:pPr>
      <w:r w:rsidRPr="00266232">
        <w:t>Après en avoir délibéré, rend la décision suivante :</w:t>
      </w:r>
    </w:p>
    <w:p w:rsidRPr="00266232" w:rsidR="00A71632" w:rsidP="00266232" w:rsidRDefault="00982E7A">
      <w:pPr>
        <w:pStyle w:val="JuHHead"/>
      </w:pPr>
      <w:r w:rsidRPr="00266232">
        <w:t>EN FAIT</w:t>
      </w:r>
    </w:p>
    <w:p w:rsidRPr="00266232" w:rsidR="00FE5AB7" w:rsidP="00266232" w:rsidRDefault="00FE5AB7">
      <w:pPr>
        <w:ind w:firstLine="284"/>
      </w:pPr>
      <w:r w:rsidRPr="00266232">
        <w:rPr>
          <w:lang w:val="en-GB"/>
        </w:rPr>
        <w:fldChar w:fldCharType="begin"/>
      </w:r>
      <w:r w:rsidRPr="00266232">
        <w:instrText xml:space="preserve"> SEQ level0 \*arabic </w:instrText>
      </w:r>
      <w:r w:rsidRPr="00266232">
        <w:rPr>
          <w:lang w:val="en-GB"/>
        </w:rPr>
        <w:fldChar w:fldCharType="separate"/>
      </w:r>
      <w:r w:rsidR="00266232">
        <w:rPr>
          <w:noProof/>
        </w:rPr>
        <w:t>1</w:t>
      </w:r>
      <w:r w:rsidRPr="00266232">
        <w:rPr>
          <w:lang w:val="en-GB"/>
        </w:rPr>
        <w:fldChar w:fldCharType="end"/>
      </w:r>
      <w:r w:rsidRPr="00266232">
        <w:t>.  La requérante, M</w:t>
      </w:r>
      <w:r w:rsidRPr="00266232">
        <w:rPr>
          <w:vertAlign w:val="superscript"/>
        </w:rPr>
        <w:t>me</w:t>
      </w:r>
      <w:r w:rsidRPr="00266232">
        <w:t xml:space="preserve"> Dominique Petithory Lanzmann, est une ressortissante française née en 1957 et résidant à Paris. Elle a été représentée devant la Cour par M</w:t>
      </w:r>
      <w:r w:rsidRPr="00266232">
        <w:rPr>
          <w:vertAlign w:val="superscript"/>
        </w:rPr>
        <w:t>e</w:t>
      </w:r>
      <w:r w:rsidRPr="00266232">
        <w:t> D. Simhon, avocat exerçant à Paris.</w:t>
      </w:r>
    </w:p>
    <w:p w:rsidRPr="00266232" w:rsidR="00FE5AB7" w:rsidP="00266232" w:rsidRDefault="00FE5AB7">
      <w:pPr>
        <w:keepNext/>
        <w:keepLines/>
        <w:numPr>
          <w:ilvl w:val="2"/>
          <w:numId w:val="1"/>
        </w:numPr>
        <w:spacing w:before="100" w:beforeAutospacing="1" w:after="240"/>
        <w:jc w:val="left"/>
        <w:outlineLvl w:val="2"/>
        <w:rPr>
          <w:b/>
        </w:rPr>
      </w:pPr>
      <w:r w:rsidRPr="00266232">
        <w:rPr>
          <w:b/>
        </w:rPr>
        <w:t>Les circonstances de l</w:t>
      </w:r>
      <w:r w:rsidRPr="00266232" w:rsidR="00266232">
        <w:rPr>
          <w:b/>
        </w:rPr>
        <w:t>’</w:t>
      </w:r>
      <w:r w:rsidRPr="00266232">
        <w:rPr>
          <w:b/>
        </w:rPr>
        <w:t>espèce</w:t>
      </w:r>
    </w:p>
    <w:p w:rsidRPr="00266232" w:rsidR="00FE5AB7" w:rsidP="00266232" w:rsidRDefault="00FE5AB7">
      <w:pPr>
        <w:ind w:firstLine="284"/>
      </w:pPr>
      <w:r w:rsidRPr="00266232">
        <w:rPr>
          <w:lang w:val="en-GB"/>
        </w:rPr>
        <w:fldChar w:fldCharType="begin"/>
      </w:r>
      <w:r w:rsidRPr="00266232">
        <w:instrText xml:space="preserve"> SEQ level0 \*arabic </w:instrText>
      </w:r>
      <w:r w:rsidRPr="00266232">
        <w:rPr>
          <w:lang w:val="en-GB"/>
        </w:rPr>
        <w:fldChar w:fldCharType="separate"/>
      </w:r>
      <w:r w:rsidR="00266232">
        <w:rPr>
          <w:noProof/>
        </w:rPr>
        <w:t>2</w:t>
      </w:r>
      <w:r w:rsidRPr="00266232">
        <w:rPr>
          <w:lang w:val="en-GB"/>
        </w:rPr>
        <w:fldChar w:fldCharType="end"/>
      </w:r>
      <w:r w:rsidRPr="00266232">
        <w:t>.  Les faits de la cause, tels qu</w:t>
      </w:r>
      <w:r w:rsidRPr="00266232" w:rsidR="00266232">
        <w:t>’</w:t>
      </w:r>
      <w:r w:rsidRPr="00266232">
        <w:t>ils ont été exposés par la requérante, peuvent se résumer comme suit.</w:t>
      </w:r>
    </w:p>
    <w:p w:rsidRPr="00266232" w:rsidR="00FE5AB7" w:rsidP="00266232" w:rsidRDefault="00FE5AB7">
      <w:pPr>
        <w:ind w:firstLine="284"/>
      </w:pPr>
      <w:r w:rsidRPr="00266232">
        <w:rPr>
          <w:lang w:val="en-GB"/>
        </w:rPr>
        <w:fldChar w:fldCharType="begin"/>
      </w:r>
      <w:r w:rsidRPr="00266232">
        <w:instrText xml:space="preserve"> SEQ level0 \*arabic </w:instrText>
      </w:r>
      <w:r w:rsidRPr="00266232">
        <w:rPr>
          <w:lang w:val="en-GB"/>
        </w:rPr>
        <w:fldChar w:fldCharType="separate"/>
      </w:r>
      <w:r w:rsidR="00266232">
        <w:rPr>
          <w:noProof/>
        </w:rPr>
        <w:t>3</w:t>
      </w:r>
      <w:r w:rsidRPr="00266232">
        <w:rPr>
          <w:lang w:val="en-GB"/>
        </w:rPr>
        <w:fldChar w:fldCharType="end"/>
      </w:r>
      <w:r w:rsidRPr="00266232">
        <w:t>.  La requérante est l</w:t>
      </w:r>
      <w:r w:rsidRPr="00266232" w:rsidR="00266232">
        <w:t>’</w:t>
      </w:r>
      <w:r w:rsidRPr="00266232">
        <w:t>épouse de M. Claude Lanzmann, journaliste, écrivain et réalisateur du film « Shoah » décédé en 2018.</w:t>
      </w:r>
    </w:p>
    <w:p w:rsidRPr="00266232" w:rsidR="00FE5AB7" w:rsidP="00266232" w:rsidRDefault="00FE5AB7">
      <w:pPr>
        <w:ind w:firstLine="284"/>
      </w:pPr>
      <w:r w:rsidRPr="00266232">
        <w:rPr>
          <w:lang w:val="en-GB"/>
        </w:rPr>
        <w:fldChar w:fldCharType="begin"/>
      </w:r>
      <w:r w:rsidRPr="00266232">
        <w:instrText xml:space="preserve"> SEQ level0 \*arabic </w:instrText>
      </w:r>
      <w:r w:rsidRPr="00266232">
        <w:rPr>
          <w:lang w:val="en-GB"/>
        </w:rPr>
        <w:fldChar w:fldCharType="separate"/>
      </w:r>
      <w:r w:rsidR="00266232">
        <w:rPr>
          <w:noProof/>
        </w:rPr>
        <w:t>4</w:t>
      </w:r>
      <w:r w:rsidRPr="00266232">
        <w:rPr>
          <w:lang w:val="en-GB"/>
        </w:rPr>
        <w:fldChar w:fldCharType="end"/>
      </w:r>
      <w:r w:rsidRPr="00266232">
        <w:t>.  Leur fils unique, F., est décédé le 13 janvier 2017 à l</w:t>
      </w:r>
      <w:r w:rsidRPr="00266232" w:rsidR="00266232">
        <w:t>’</w:t>
      </w:r>
      <w:r w:rsidRPr="00266232">
        <w:t>âge de vingt</w:t>
      </w:r>
      <w:r w:rsidRPr="00266232">
        <w:noBreakHyphen/>
        <w:t>trois ans des suites d</w:t>
      </w:r>
      <w:r w:rsidRPr="00266232" w:rsidR="00266232">
        <w:t>’</w:t>
      </w:r>
      <w:r w:rsidRPr="00266232">
        <w:t>une tumeur cancéreuse, diagnostiquée le 21 novembre 2014. Dès l</w:t>
      </w:r>
      <w:r w:rsidRPr="00266232" w:rsidR="00266232">
        <w:t>’</w:t>
      </w:r>
      <w:r w:rsidRPr="00266232">
        <w:t>annonce de sa maladie, il avait exprimé auprès de ses proches et de ses médecins, tel que cela ressort des témoignages produits par la requérante, son désir d</w:t>
      </w:r>
      <w:r w:rsidRPr="00266232" w:rsidR="00266232">
        <w:t>’</w:t>
      </w:r>
      <w:r w:rsidRPr="00266232">
        <w:t>être père et d</w:t>
      </w:r>
      <w:r w:rsidRPr="00266232" w:rsidR="00266232">
        <w:t>’</w:t>
      </w:r>
      <w:r w:rsidRPr="00266232">
        <w:t>avoir une descendance, y compris en cas de décès. Il avait procédé, dès le 25 novembre 2014, à un dépôt de gamètes au centre d</w:t>
      </w:r>
      <w:r w:rsidRPr="00266232" w:rsidR="00266232">
        <w:t>’</w:t>
      </w:r>
      <w:r w:rsidRPr="00266232">
        <w:t>études et de conservation des œufs et du sperme humain (CECOS) de l</w:t>
      </w:r>
      <w:r w:rsidRPr="00266232" w:rsidR="00266232">
        <w:t>’</w:t>
      </w:r>
      <w:r w:rsidRPr="00266232">
        <w:t>hôpital Cochin à Paris. Il avait également pris contact avec un centre en Suisse en vue d</w:t>
      </w:r>
      <w:r w:rsidRPr="00266232" w:rsidR="00266232">
        <w:t>’</w:t>
      </w:r>
      <w:r w:rsidRPr="00266232">
        <w:t>y déposer des gamètes et envisagé d</w:t>
      </w:r>
      <w:r w:rsidRPr="00266232" w:rsidR="00266232">
        <w:t>’</w:t>
      </w:r>
      <w:r w:rsidRPr="00266232">
        <w:t>autres dépôts à l</w:t>
      </w:r>
      <w:r w:rsidRPr="00266232" w:rsidR="00266232">
        <w:t>’</w:t>
      </w:r>
      <w:r w:rsidRPr="00266232">
        <w:t>étranger, notamment à Bruxelles, Valence ou Barcelone. Ces démarches n</w:t>
      </w:r>
      <w:r w:rsidRPr="00266232" w:rsidR="00266232">
        <w:t>’</w:t>
      </w:r>
      <w:r w:rsidRPr="00266232">
        <w:t>ont pas pu se concrétiser à cause de la maladie. Le 22 novembre 2016, F. avait demandé à l</w:t>
      </w:r>
      <w:r w:rsidRPr="00266232" w:rsidR="00266232">
        <w:t>’</w:t>
      </w:r>
      <w:r w:rsidRPr="00266232">
        <w:t>hôpital Cochin que la conservation des gamètes soit prolongée.</w:t>
      </w:r>
    </w:p>
    <w:p w:rsidRPr="00266232" w:rsidR="00FE5AB7" w:rsidP="00266232" w:rsidRDefault="00FE5AB7">
      <w:pPr>
        <w:ind w:firstLine="284"/>
      </w:pPr>
      <w:r w:rsidRPr="00266232">
        <w:rPr>
          <w:lang w:val="en-GB"/>
        </w:rPr>
        <w:fldChar w:fldCharType="begin"/>
      </w:r>
      <w:r w:rsidRPr="00266232">
        <w:instrText xml:space="preserve"> SEQ level0 \*arabic </w:instrText>
      </w:r>
      <w:r w:rsidRPr="00266232">
        <w:rPr>
          <w:lang w:val="en-GB"/>
        </w:rPr>
        <w:fldChar w:fldCharType="separate"/>
      </w:r>
      <w:r w:rsidR="00266232">
        <w:rPr>
          <w:noProof/>
        </w:rPr>
        <w:t>5</w:t>
      </w:r>
      <w:r w:rsidRPr="00266232">
        <w:rPr>
          <w:lang w:val="en-GB"/>
        </w:rPr>
        <w:fldChar w:fldCharType="end"/>
      </w:r>
      <w:r w:rsidRPr="00266232">
        <w:t>.  Au cours du printemps 2017, le président du CECOS refusa verbalement de transmettre à l</w:t>
      </w:r>
      <w:r w:rsidRPr="00266232" w:rsidR="00266232">
        <w:t>’</w:t>
      </w:r>
      <w:r w:rsidRPr="00266232">
        <w:t>Agence de la biomédecine la demande de la requérante tendant au transfert des gamètes de son fils vers un établissement de santé situé en Israël.</w:t>
      </w:r>
    </w:p>
    <w:p w:rsidRPr="00266232" w:rsidR="00FE5AB7" w:rsidP="00266232" w:rsidRDefault="00FE5AB7">
      <w:pPr>
        <w:ind w:firstLine="284"/>
      </w:pPr>
      <w:r w:rsidRPr="00266232">
        <w:rPr>
          <w:lang w:val="en-GB"/>
        </w:rPr>
        <w:fldChar w:fldCharType="begin"/>
      </w:r>
      <w:r w:rsidRPr="00266232">
        <w:instrText xml:space="preserve"> SEQ level0 \*arabic </w:instrText>
      </w:r>
      <w:r w:rsidRPr="00266232">
        <w:rPr>
          <w:lang w:val="en-GB"/>
        </w:rPr>
        <w:fldChar w:fldCharType="separate"/>
      </w:r>
      <w:r w:rsidR="00266232">
        <w:rPr>
          <w:noProof/>
        </w:rPr>
        <w:t>6</w:t>
      </w:r>
      <w:r w:rsidRPr="00266232">
        <w:rPr>
          <w:lang w:val="en-GB"/>
        </w:rPr>
        <w:fldChar w:fldCharType="end"/>
      </w:r>
      <w:r w:rsidRPr="00266232">
        <w:t>.  Par une requête du 29 octobre 2018, la requérante initia devant le tribunal administratif de Paris un recours en référé, sur le fondement de l</w:t>
      </w:r>
      <w:r w:rsidRPr="00266232" w:rsidR="00266232">
        <w:t>’</w:t>
      </w:r>
      <w:r w:rsidRPr="00266232">
        <w:t>article L. 521-2 du code de justice administrative (paragraphe 10 ci</w:t>
      </w:r>
      <w:r w:rsidRPr="00266232">
        <w:noBreakHyphen/>
        <w:t>dessous), et demanda au juge de prendre toutes mesures utiles afin de permettre l</w:t>
      </w:r>
      <w:r w:rsidRPr="00266232" w:rsidR="00266232">
        <w:t>’</w:t>
      </w:r>
      <w:r w:rsidRPr="00266232">
        <w:t>exportation des gamètes de son fils vers un établissement de santé israélien valablement autorisé à pratiquer les procréations médicalement assistées (ci-après PMA). Elle fit valoir que le refus litigieux portait atteinte à l</w:t>
      </w:r>
      <w:r w:rsidRPr="00266232" w:rsidR="00266232">
        <w:t>’</w:t>
      </w:r>
      <w:r w:rsidRPr="00266232">
        <w:t>article 8 de la Convention, la privant du droit d</w:t>
      </w:r>
      <w:r w:rsidRPr="00266232" w:rsidR="00266232">
        <w:t>’</w:t>
      </w:r>
      <w:r w:rsidRPr="00266232">
        <w:t>exercer la vie privée et familiale auquel elle pourrait normalement prétendre en devenant grand-mère et d</w:t>
      </w:r>
      <w:r w:rsidRPr="00266232" w:rsidR="00266232">
        <w:t>’</w:t>
      </w:r>
      <w:r w:rsidRPr="00266232">
        <w:t>assurer le respect de la volonté de son fils.</w:t>
      </w:r>
    </w:p>
    <w:p w:rsidRPr="00266232" w:rsidR="00FE5AB7" w:rsidP="00266232" w:rsidRDefault="00FE5AB7">
      <w:pPr>
        <w:ind w:firstLine="284"/>
      </w:pPr>
      <w:r w:rsidRPr="00266232">
        <w:rPr>
          <w:lang w:val="en-GB"/>
        </w:rPr>
        <w:fldChar w:fldCharType="begin"/>
      </w:r>
      <w:r w:rsidRPr="00266232">
        <w:instrText xml:space="preserve"> SEQ level0 \*arabic </w:instrText>
      </w:r>
      <w:r w:rsidRPr="00266232">
        <w:rPr>
          <w:lang w:val="en-GB"/>
        </w:rPr>
        <w:fldChar w:fldCharType="separate"/>
      </w:r>
      <w:r w:rsidR="00266232">
        <w:rPr>
          <w:noProof/>
        </w:rPr>
        <w:t>7</w:t>
      </w:r>
      <w:r w:rsidRPr="00266232">
        <w:rPr>
          <w:lang w:val="en-GB"/>
        </w:rPr>
        <w:fldChar w:fldCharType="end"/>
      </w:r>
      <w:r w:rsidRPr="00266232">
        <w:t>.  Par une ordonnance du 2 novembre 2018, le juge du référé rejeta la requête. Il fit valoir tout d</w:t>
      </w:r>
      <w:r w:rsidRPr="00266232" w:rsidR="00266232">
        <w:t>’</w:t>
      </w:r>
      <w:r w:rsidRPr="00266232">
        <w:t>abord que l</w:t>
      </w:r>
      <w:r w:rsidRPr="00266232" w:rsidR="00266232">
        <w:t>’</w:t>
      </w:r>
      <w:r w:rsidRPr="00266232">
        <w:t>interdiction posée par l</w:t>
      </w:r>
      <w:r w:rsidRPr="00266232" w:rsidR="00266232">
        <w:t>’</w:t>
      </w:r>
      <w:r w:rsidRPr="00266232" w:rsidR="0073027C">
        <w:t>article </w:t>
      </w:r>
      <w:r w:rsidRPr="00266232">
        <w:t>L. 2141-2 du code de la santé pub</w:t>
      </w:r>
      <w:r w:rsidRPr="00266232" w:rsidR="0073027C">
        <w:t>lique (ci-après CSP, paragraphe </w:t>
      </w:r>
      <w:r w:rsidRPr="00266232">
        <w:t>11 ci</w:t>
      </w:r>
      <w:r w:rsidRPr="00266232">
        <w:noBreakHyphen/>
        <w:t>dessous) d</w:t>
      </w:r>
      <w:r w:rsidRPr="00266232" w:rsidR="00266232">
        <w:t>’</w:t>
      </w:r>
      <w:r w:rsidRPr="00266232">
        <w:t>utiliser les gamètes d</w:t>
      </w:r>
      <w:r w:rsidRPr="00266232" w:rsidR="00266232">
        <w:t>’</w:t>
      </w:r>
      <w:r w:rsidRPr="00266232">
        <w:t>une personne après son décès pour réaliser une insémination n</w:t>
      </w:r>
      <w:r w:rsidRPr="00266232" w:rsidR="00266232">
        <w:t>’</w:t>
      </w:r>
      <w:r w:rsidRPr="00266232">
        <w:t>était pas incompatible avec l</w:t>
      </w:r>
      <w:r w:rsidRPr="00266232" w:rsidR="00266232">
        <w:t>’</w:t>
      </w:r>
      <w:r w:rsidRPr="00266232">
        <w:t>article 8 de la Convention. Il considéra à cet égard qu</w:t>
      </w:r>
      <w:r w:rsidRPr="00266232" w:rsidR="00266232">
        <w:t>’</w:t>
      </w:r>
      <w:r w:rsidRPr="00266232">
        <w:t>une telle prohibition relevait de la marge d</w:t>
      </w:r>
      <w:r w:rsidRPr="00266232" w:rsidR="00266232">
        <w:t>’</w:t>
      </w:r>
      <w:r w:rsidRPr="00266232">
        <w:t>appréciation dont chaque État dispose pour l</w:t>
      </w:r>
      <w:r w:rsidRPr="00266232" w:rsidR="00266232">
        <w:t>’</w:t>
      </w:r>
      <w:r w:rsidRPr="00266232">
        <w:t>application de la Convention. Il ajouta que l</w:t>
      </w:r>
      <w:r w:rsidRPr="00266232" w:rsidR="00266232">
        <w:t>’</w:t>
      </w:r>
      <w:r w:rsidRPr="00266232">
        <w:t>interdiction de l</w:t>
      </w:r>
      <w:r w:rsidRPr="00266232" w:rsidR="00266232">
        <w:t>’</w:t>
      </w:r>
      <w:r w:rsidRPr="00266232">
        <w:t>exportation des gamètes posée par l</w:t>
      </w:r>
      <w:r w:rsidRPr="00266232" w:rsidR="00266232">
        <w:t>’</w:t>
      </w:r>
      <w:r w:rsidRPr="00266232">
        <w:t>article L. 2141-11 du CSP (</w:t>
      </w:r>
      <w:r w:rsidRPr="00266232">
        <w:rPr>
          <w:i/>
        </w:rPr>
        <w:t>idem</w:t>
      </w:r>
      <w:r w:rsidRPr="00266232">
        <w:t>), s</w:t>
      </w:r>
      <w:r w:rsidRPr="00266232" w:rsidR="00266232">
        <w:t>’</w:t>
      </w:r>
      <w:r w:rsidRPr="00266232">
        <w:t>ils sont destinés à être utilisés à l</w:t>
      </w:r>
      <w:r w:rsidRPr="00266232" w:rsidR="00266232">
        <w:t>’</w:t>
      </w:r>
      <w:r w:rsidRPr="00266232">
        <w:t>étranger à des fins prohibées sur le territoire national, visait à éviter tout contournement de la loi nationale.</w:t>
      </w:r>
    </w:p>
    <w:p w:rsidRPr="00266232" w:rsidR="00FE5AB7" w:rsidP="00266232" w:rsidRDefault="00FE5AB7">
      <w:pPr>
        <w:ind w:firstLine="284"/>
      </w:pPr>
      <w:r w:rsidRPr="00266232">
        <w:t>Effectuant par ailleurs un contrôle concret de conventionalité de la loi en cause, le juge considéra que le refus d</w:t>
      </w:r>
      <w:r w:rsidRPr="00266232" w:rsidR="00266232">
        <w:t>’</w:t>
      </w:r>
      <w:r w:rsidRPr="00266232">
        <w:t>exporter les gamètes du fils défunt de la requérante ne portait pas une atteinte grave et manifestement illégale à une liberté fondamentale. Il retint que si le fils de la requérante avait régulièrement exprimé son souhait de devenir père, les pièces du dossier n</w:t>
      </w:r>
      <w:r w:rsidRPr="00266232" w:rsidR="00266232">
        <w:t>’</w:t>
      </w:r>
      <w:r w:rsidRPr="00266232">
        <w:t>avaient cependant pas établi, premièrement, qu</w:t>
      </w:r>
      <w:r w:rsidRPr="00266232" w:rsidR="00266232">
        <w:t>’</w:t>
      </w:r>
      <w:r w:rsidRPr="00266232">
        <w:t>il était inscrit dans un projet parental précis, deuxièmement qu</w:t>
      </w:r>
      <w:r w:rsidRPr="00266232" w:rsidR="00266232">
        <w:t>’</w:t>
      </w:r>
      <w:r w:rsidRPr="00266232">
        <w:t>il avait exprimé la volonté que ses gamètes soient utilisés en vue d</w:t>
      </w:r>
      <w:r w:rsidRPr="00266232" w:rsidR="00266232">
        <w:t>’</w:t>
      </w:r>
      <w:r w:rsidRPr="00266232">
        <w:t>une insémination artificielle postérieurement à son décès notamment via une procédure de gestation pour autrui, et, troisièmement, qu</w:t>
      </w:r>
      <w:r w:rsidRPr="00266232" w:rsidR="00266232">
        <w:t>’</w:t>
      </w:r>
      <w:r w:rsidRPr="00266232">
        <w:t>il avait autorisé sa mère à utiliser ses gamètes à cette fin. Le juge ajouta que la décision contestée privant la requérante de la possibilité d</w:t>
      </w:r>
      <w:r w:rsidRPr="00266232" w:rsidR="00266232">
        <w:t>’</w:t>
      </w:r>
      <w:r w:rsidRPr="00266232">
        <w:t>être grand-mère ne portait pas, au regard des intérêts légitimes qui fondent la législation française, une atteinte excessive à son droit au respect de sa vie privée et familiale.</w:t>
      </w:r>
    </w:p>
    <w:p w:rsidRPr="00266232" w:rsidR="00FE5AB7" w:rsidP="00266232" w:rsidRDefault="00FE5AB7">
      <w:pPr>
        <w:ind w:firstLine="284"/>
      </w:pPr>
      <w:r w:rsidRPr="00266232">
        <w:rPr>
          <w:lang w:val="en-GB"/>
        </w:rPr>
        <w:fldChar w:fldCharType="begin"/>
      </w:r>
      <w:r w:rsidRPr="00266232">
        <w:instrText xml:space="preserve"> SEQ level0 \*arabic </w:instrText>
      </w:r>
      <w:r w:rsidRPr="00266232">
        <w:rPr>
          <w:lang w:val="en-GB"/>
        </w:rPr>
        <w:fldChar w:fldCharType="separate"/>
      </w:r>
      <w:r w:rsidR="00266232">
        <w:rPr>
          <w:noProof/>
        </w:rPr>
        <w:t>8</w:t>
      </w:r>
      <w:r w:rsidRPr="00266232">
        <w:rPr>
          <w:lang w:val="en-GB"/>
        </w:rPr>
        <w:fldChar w:fldCharType="end"/>
      </w:r>
      <w:r w:rsidRPr="00266232">
        <w:t>.  La requérante interjeta appel de l</w:t>
      </w:r>
      <w:r w:rsidRPr="00266232" w:rsidR="00266232">
        <w:t>’</w:t>
      </w:r>
      <w:r w:rsidRPr="00266232">
        <w:t>ordonnance devant le Conseil d</w:t>
      </w:r>
      <w:r w:rsidRPr="00266232" w:rsidR="00266232">
        <w:t>’</w:t>
      </w:r>
      <w:r w:rsidRPr="00266232">
        <w:t>État. Elle fit notamment valoir que la législation israélienne autorisait la PMA après le décès d</w:t>
      </w:r>
      <w:r w:rsidRPr="00266232" w:rsidR="00266232">
        <w:t>’</w:t>
      </w:r>
      <w:r w:rsidRPr="00266232">
        <w:t>un donneur, y compris à la demande de ses parents.</w:t>
      </w:r>
    </w:p>
    <w:p w:rsidRPr="00266232" w:rsidR="00FE5AB7" w:rsidP="00266232" w:rsidRDefault="00FE5AB7">
      <w:pPr>
        <w:ind w:firstLine="284"/>
      </w:pPr>
      <w:r w:rsidRPr="00266232">
        <w:rPr>
          <w:lang w:val="en-GB"/>
        </w:rPr>
        <w:fldChar w:fldCharType="begin"/>
      </w:r>
      <w:r w:rsidRPr="00266232">
        <w:instrText xml:space="preserve"> SEQ level0 \*arabic </w:instrText>
      </w:r>
      <w:r w:rsidRPr="00266232">
        <w:rPr>
          <w:lang w:val="en-GB"/>
        </w:rPr>
        <w:fldChar w:fldCharType="separate"/>
      </w:r>
      <w:r w:rsidR="00266232">
        <w:rPr>
          <w:noProof/>
        </w:rPr>
        <w:t>9</w:t>
      </w:r>
      <w:r w:rsidRPr="00266232">
        <w:rPr>
          <w:lang w:val="en-GB"/>
        </w:rPr>
        <w:fldChar w:fldCharType="end"/>
      </w:r>
      <w:r w:rsidRPr="00266232">
        <w:t>.  Par une ordonnance du 4 décembre 2018, le Conseil d</w:t>
      </w:r>
      <w:r w:rsidRPr="00266232" w:rsidR="00266232">
        <w:t>’</w:t>
      </w:r>
      <w:r w:rsidRPr="00266232">
        <w:t>État rejeta sa requête, en reprenant les motifs du juge de première instance, y ajoutant que les pièces versées au dossier n</w:t>
      </w:r>
      <w:r w:rsidRPr="00266232" w:rsidR="00266232">
        <w:t>’</w:t>
      </w:r>
      <w:r w:rsidRPr="00266232">
        <w:t>avaient pas montré qu</w:t>
      </w:r>
      <w:r w:rsidRPr="00266232" w:rsidR="00266232">
        <w:t>’</w:t>
      </w:r>
      <w:r w:rsidRPr="00266232">
        <w:t>une insémination artificielle pourrait être réalisée en Israël à la demande de la requérante.</w:t>
      </w:r>
    </w:p>
    <w:p w:rsidRPr="00266232" w:rsidR="00FE5AB7" w:rsidP="00266232" w:rsidRDefault="00FE5AB7">
      <w:pPr>
        <w:keepNext/>
        <w:keepLines/>
        <w:numPr>
          <w:ilvl w:val="2"/>
          <w:numId w:val="1"/>
        </w:numPr>
        <w:spacing w:before="100" w:beforeAutospacing="1" w:after="240"/>
        <w:jc w:val="left"/>
        <w:outlineLvl w:val="2"/>
        <w:rPr>
          <w:b/>
        </w:rPr>
      </w:pPr>
      <w:r w:rsidRPr="00266232">
        <w:rPr>
          <w:b/>
        </w:rPr>
        <w:t>Le droit et la pratique internes pertinents</w:t>
      </w:r>
    </w:p>
    <w:p w:rsidRPr="00266232" w:rsidR="00FE5AB7" w:rsidP="00266232" w:rsidRDefault="00FE5AB7">
      <w:pPr>
        <w:ind w:firstLine="284"/>
        <w:rPr>
          <w:rFonts w:eastAsia="Times New Roman"/>
          <w:szCs w:val="24"/>
          <w:lang w:eastAsia="fr-FR"/>
        </w:rPr>
      </w:pPr>
      <w:r w:rsidRPr="00266232">
        <w:rPr>
          <w:rFonts w:eastAsia="Times New Roman"/>
          <w:szCs w:val="24"/>
          <w:lang w:eastAsia="fr-FR"/>
        </w:rPr>
        <w:fldChar w:fldCharType="begin"/>
      </w:r>
      <w:r w:rsidRPr="00266232">
        <w:rPr>
          <w:rFonts w:eastAsia="Times New Roman"/>
          <w:szCs w:val="24"/>
          <w:lang w:eastAsia="fr-FR"/>
        </w:rPr>
        <w:instrText xml:space="preserve"> SEQ level0 \*arabic </w:instrText>
      </w:r>
      <w:r w:rsidRPr="00266232">
        <w:rPr>
          <w:rFonts w:eastAsia="Times New Roman"/>
          <w:szCs w:val="24"/>
          <w:lang w:eastAsia="fr-FR"/>
        </w:rPr>
        <w:fldChar w:fldCharType="separate"/>
      </w:r>
      <w:r w:rsidR="00266232">
        <w:rPr>
          <w:rFonts w:eastAsia="Times New Roman"/>
          <w:noProof/>
          <w:szCs w:val="24"/>
          <w:lang w:eastAsia="fr-FR"/>
        </w:rPr>
        <w:t>10</w:t>
      </w:r>
      <w:r w:rsidRPr="00266232">
        <w:rPr>
          <w:rFonts w:eastAsia="Times New Roman"/>
          <w:szCs w:val="24"/>
          <w:lang w:eastAsia="fr-FR"/>
        </w:rPr>
        <w:fldChar w:fldCharType="end"/>
      </w:r>
      <w:r w:rsidRPr="00266232">
        <w:rPr>
          <w:rFonts w:eastAsia="Times New Roman"/>
          <w:szCs w:val="24"/>
          <w:lang w:eastAsia="fr-FR"/>
        </w:rPr>
        <w:t>.  L</w:t>
      </w:r>
      <w:r w:rsidRPr="00266232" w:rsidR="00266232">
        <w:rPr>
          <w:rFonts w:eastAsia="Times New Roman"/>
          <w:szCs w:val="24"/>
          <w:lang w:eastAsia="fr-FR"/>
        </w:rPr>
        <w:t>’</w:t>
      </w:r>
      <w:r w:rsidRPr="00266232">
        <w:rPr>
          <w:rFonts w:eastAsia="Times New Roman"/>
          <w:szCs w:val="24"/>
          <w:lang w:eastAsia="fr-FR"/>
        </w:rPr>
        <w:t xml:space="preserve">article L. 521-2 du code </w:t>
      </w:r>
      <w:r w:rsidRPr="00266232" w:rsidR="0073027C">
        <w:rPr>
          <w:rFonts w:eastAsia="Times New Roman"/>
          <w:szCs w:val="24"/>
          <w:lang w:eastAsia="fr-FR"/>
        </w:rPr>
        <w:t xml:space="preserve">de </w:t>
      </w:r>
      <w:r w:rsidRPr="00266232">
        <w:rPr>
          <w:rFonts w:eastAsia="Times New Roman"/>
          <w:szCs w:val="24"/>
          <w:lang w:eastAsia="fr-FR"/>
        </w:rPr>
        <w:t>justice administrative est ainsi libellé :</w:t>
      </w:r>
    </w:p>
    <w:p w:rsidRPr="00266232" w:rsidR="00FE5AB7" w:rsidP="00266232" w:rsidRDefault="00FE5AB7">
      <w:pPr>
        <w:spacing w:before="120" w:after="120"/>
        <w:ind w:left="425" w:firstLine="142"/>
        <w:rPr>
          <w:sz w:val="20"/>
          <w:lang w:eastAsia="fr-FR"/>
        </w:rPr>
      </w:pPr>
      <w:r w:rsidRPr="00266232">
        <w:rPr>
          <w:sz w:val="20"/>
          <w:lang w:eastAsia="fr-FR"/>
        </w:rPr>
        <w:t>« Saisi d</w:t>
      </w:r>
      <w:r w:rsidRPr="00266232" w:rsidR="00266232">
        <w:rPr>
          <w:sz w:val="20"/>
          <w:lang w:eastAsia="fr-FR"/>
        </w:rPr>
        <w:t>’</w:t>
      </w:r>
      <w:r w:rsidRPr="00266232">
        <w:rPr>
          <w:sz w:val="20"/>
          <w:lang w:eastAsia="fr-FR"/>
        </w:rPr>
        <w:t>une demande en ce sens justifiée par l</w:t>
      </w:r>
      <w:r w:rsidRPr="00266232" w:rsidR="00266232">
        <w:rPr>
          <w:sz w:val="20"/>
          <w:lang w:eastAsia="fr-FR"/>
        </w:rPr>
        <w:t>’</w:t>
      </w:r>
      <w:r w:rsidRPr="00266232">
        <w:rPr>
          <w:sz w:val="20"/>
          <w:lang w:eastAsia="fr-FR"/>
        </w:rPr>
        <w:t>urgence, le juge des référés peut ordonner toutes mesures nécessaires à la sauvegarde d</w:t>
      </w:r>
      <w:r w:rsidRPr="00266232" w:rsidR="00266232">
        <w:rPr>
          <w:sz w:val="20"/>
          <w:lang w:eastAsia="fr-FR"/>
        </w:rPr>
        <w:t>’</w:t>
      </w:r>
      <w:r w:rsidRPr="00266232">
        <w:rPr>
          <w:sz w:val="20"/>
          <w:lang w:eastAsia="fr-FR"/>
        </w:rPr>
        <w:t>une liberté fondamentale à laquelle une personne morale de droit public ou un organisme de droit privé chargé de la gestion d</w:t>
      </w:r>
      <w:r w:rsidRPr="00266232" w:rsidR="00266232">
        <w:rPr>
          <w:sz w:val="20"/>
          <w:lang w:eastAsia="fr-FR"/>
        </w:rPr>
        <w:t>’</w:t>
      </w:r>
      <w:r w:rsidRPr="00266232">
        <w:rPr>
          <w:sz w:val="20"/>
          <w:lang w:eastAsia="fr-FR"/>
        </w:rPr>
        <w:t>un service public aurait porté, dans l</w:t>
      </w:r>
      <w:r w:rsidRPr="00266232" w:rsidR="00266232">
        <w:rPr>
          <w:sz w:val="20"/>
          <w:lang w:eastAsia="fr-FR"/>
        </w:rPr>
        <w:t>’</w:t>
      </w:r>
      <w:r w:rsidRPr="00266232">
        <w:rPr>
          <w:sz w:val="20"/>
          <w:lang w:eastAsia="fr-FR"/>
        </w:rPr>
        <w:t>exercice d</w:t>
      </w:r>
      <w:r w:rsidRPr="00266232" w:rsidR="00266232">
        <w:rPr>
          <w:sz w:val="20"/>
          <w:lang w:eastAsia="fr-FR"/>
        </w:rPr>
        <w:t>’</w:t>
      </w:r>
      <w:r w:rsidRPr="00266232">
        <w:rPr>
          <w:sz w:val="20"/>
          <w:lang w:eastAsia="fr-FR"/>
        </w:rPr>
        <w:t>un de ses pouvoirs, une atteinte grave et manifestement illégale. Le juge des référés se prononce dans un délai de quarante-huit heures ».</w:t>
      </w:r>
    </w:p>
    <w:p w:rsidRPr="00266232" w:rsidR="00FE5AB7" w:rsidP="00266232" w:rsidRDefault="00FE5AB7">
      <w:pPr>
        <w:ind w:firstLine="284"/>
      </w:pPr>
      <w:r w:rsidRPr="00266232">
        <w:rPr>
          <w:rFonts w:eastAsia="Times New Roman"/>
          <w:szCs w:val="24"/>
          <w:lang w:eastAsia="fr-FR"/>
        </w:rPr>
        <w:fldChar w:fldCharType="begin"/>
      </w:r>
      <w:r w:rsidRPr="00266232">
        <w:rPr>
          <w:rFonts w:eastAsia="Times New Roman"/>
          <w:szCs w:val="24"/>
          <w:lang w:eastAsia="fr-FR"/>
        </w:rPr>
        <w:instrText xml:space="preserve"> SEQ level0 \*arabic </w:instrText>
      </w:r>
      <w:r w:rsidRPr="00266232">
        <w:rPr>
          <w:rFonts w:eastAsia="Times New Roman"/>
          <w:szCs w:val="24"/>
          <w:lang w:eastAsia="fr-FR"/>
        </w:rPr>
        <w:fldChar w:fldCharType="separate"/>
      </w:r>
      <w:r w:rsidR="00266232">
        <w:rPr>
          <w:rFonts w:eastAsia="Times New Roman"/>
          <w:noProof/>
          <w:szCs w:val="24"/>
          <w:lang w:eastAsia="fr-FR"/>
        </w:rPr>
        <w:t>11</w:t>
      </w:r>
      <w:r w:rsidRPr="00266232">
        <w:rPr>
          <w:rFonts w:eastAsia="Times New Roman"/>
          <w:szCs w:val="24"/>
          <w:lang w:eastAsia="fr-FR"/>
        </w:rPr>
        <w:fldChar w:fldCharType="end"/>
      </w:r>
      <w:r w:rsidRPr="00266232">
        <w:rPr>
          <w:rFonts w:eastAsia="Times New Roman"/>
          <w:szCs w:val="24"/>
          <w:lang w:eastAsia="fr-FR"/>
        </w:rPr>
        <w:t>.  Les dispositions pertinentes du code de la santé publique sont citées dans l</w:t>
      </w:r>
      <w:r w:rsidRPr="00266232" w:rsidR="00266232">
        <w:rPr>
          <w:rFonts w:eastAsia="Times New Roman"/>
          <w:szCs w:val="24"/>
          <w:lang w:eastAsia="fr-FR"/>
        </w:rPr>
        <w:t>’</w:t>
      </w:r>
      <w:r w:rsidRPr="00266232">
        <w:rPr>
          <w:rFonts w:eastAsia="Times New Roman"/>
          <w:szCs w:val="24"/>
          <w:lang w:eastAsia="fr-FR"/>
        </w:rPr>
        <w:t xml:space="preserve">affaire </w:t>
      </w:r>
      <w:r w:rsidRPr="00266232">
        <w:rPr>
          <w:rFonts w:eastAsia="Times New Roman"/>
          <w:i/>
          <w:szCs w:val="24"/>
          <w:lang w:eastAsia="fr-FR"/>
        </w:rPr>
        <w:t xml:space="preserve">Dalleau c. France </w:t>
      </w:r>
      <w:r w:rsidRPr="00266232">
        <w:rPr>
          <w:rFonts w:eastAsia="Times New Roman"/>
          <w:szCs w:val="24"/>
          <w:lang w:eastAsia="fr-FR"/>
        </w:rPr>
        <w:t>(n</w:t>
      </w:r>
      <w:r w:rsidRPr="00266232">
        <w:rPr>
          <w:rFonts w:eastAsia="Times New Roman"/>
          <w:szCs w:val="24"/>
          <w:vertAlign w:val="superscript"/>
          <w:lang w:eastAsia="fr-FR"/>
        </w:rPr>
        <w:t>o</w:t>
      </w:r>
      <w:r w:rsidRPr="00266232">
        <w:rPr>
          <w:rFonts w:eastAsia="Times New Roman"/>
          <w:szCs w:val="24"/>
          <w:lang w:eastAsia="fr-FR"/>
        </w:rPr>
        <w:t xml:space="preserve"> 57307/18, communiquée le 29 mai 2018). Pour les résumer, il est rappelé que </w:t>
      </w:r>
      <w:r w:rsidRPr="00266232">
        <w:t>la loi n</w:t>
      </w:r>
      <w:r w:rsidRPr="00266232">
        <w:rPr>
          <w:vertAlign w:val="superscript"/>
        </w:rPr>
        <w:t>o</w:t>
      </w:r>
      <w:r w:rsidRPr="00266232">
        <w:t xml:space="preserve"> 94-654 du 29 juillet 1994 relative au don et à l</w:t>
      </w:r>
      <w:r w:rsidRPr="00266232" w:rsidR="00266232">
        <w:t>’</w:t>
      </w:r>
      <w:r w:rsidRPr="00266232">
        <w:t>utilisation des éléments et produits du corps humain, à l</w:t>
      </w:r>
      <w:r w:rsidRPr="00266232" w:rsidR="00266232">
        <w:t>’</w:t>
      </w:r>
      <w:r w:rsidRPr="00266232">
        <w:t xml:space="preserve">assistance médicale à la procréation et au diagnostic prénatal a interdit la procréation </w:t>
      </w:r>
      <w:r w:rsidRPr="00266232">
        <w:rPr>
          <w:i/>
        </w:rPr>
        <w:t>post mortem</w:t>
      </w:r>
      <w:r w:rsidRPr="00266232">
        <w:t>. Selon l</w:t>
      </w:r>
      <w:r w:rsidRPr="00266232" w:rsidR="00266232">
        <w:t>’</w:t>
      </w:r>
      <w:r w:rsidRPr="00266232">
        <w:t>article L. 2141-2 du CSP, l</w:t>
      </w:r>
      <w:r w:rsidRPr="00266232" w:rsidR="00266232">
        <w:t>’</w:t>
      </w:r>
      <w:r w:rsidRPr="00266232">
        <w:t>accès à la PMA est réservé aux couples d</w:t>
      </w:r>
      <w:r w:rsidRPr="00266232" w:rsidR="00266232">
        <w:t>’</w:t>
      </w:r>
      <w:r w:rsidRPr="00266232">
        <w:t>un homme et d</w:t>
      </w:r>
      <w:r w:rsidRPr="00266232" w:rsidR="00266232">
        <w:t>’</w:t>
      </w:r>
      <w:r w:rsidRPr="00266232">
        <w:t>une femme qui doivent être vivants et en âge de procréer. Elle a pour objet de remédier à l</w:t>
      </w:r>
      <w:r w:rsidRPr="00266232" w:rsidR="00266232">
        <w:t>’</w:t>
      </w:r>
      <w:r w:rsidRPr="00266232">
        <w:t>infertilité d</w:t>
      </w:r>
      <w:r w:rsidRPr="00266232" w:rsidR="00266232">
        <w:t>’</w:t>
      </w:r>
      <w:r w:rsidRPr="00266232">
        <w:t>un couple ou d</w:t>
      </w:r>
      <w:r w:rsidRPr="00266232" w:rsidR="00266232">
        <w:t>’</w:t>
      </w:r>
      <w:r w:rsidRPr="00266232">
        <w:t>éviter la transmission d</w:t>
      </w:r>
      <w:r w:rsidRPr="00266232" w:rsidR="00266232">
        <w:t>’</w:t>
      </w:r>
      <w:r w:rsidRPr="00266232">
        <w:t>une maladie d</w:t>
      </w:r>
      <w:r w:rsidRPr="00266232" w:rsidR="00266232">
        <w:t>’</w:t>
      </w:r>
      <w:r w:rsidRPr="00266232">
        <w:t>une particulière gravité. Selon cette disposition, « le décès d</w:t>
      </w:r>
      <w:r w:rsidRPr="00266232" w:rsidR="00266232">
        <w:t>’</w:t>
      </w:r>
      <w:r w:rsidRPr="00266232">
        <w:t>un des membres du couple » fait « obstacle à l</w:t>
      </w:r>
      <w:r w:rsidRPr="00266232" w:rsidR="00266232">
        <w:t>’</w:t>
      </w:r>
      <w:r w:rsidRPr="00266232">
        <w:t>insémination ou au transfert des embryons ».</w:t>
      </w:r>
    </w:p>
    <w:p w:rsidRPr="00266232" w:rsidR="00FE5AB7" w:rsidP="00266232" w:rsidRDefault="00FE5AB7">
      <w:pPr>
        <w:ind w:firstLine="284"/>
      </w:pPr>
      <w:r w:rsidRPr="00266232">
        <w:t>L</w:t>
      </w:r>
      <w:r w:rsidRPr="00266232" w:rsidR="00266232">
        <w:t>’</w:t>
      </w:r>
      <w:r w:rsidRPr="00266232">
        <w:t>article L. 2141-11 du CSP prévoit que toute personne dont la prise en charge médicale est susceptible d</w:t>
      </w:r>
      <w:r w:rsidRPr="00266232" w:rsidR="00266232">
        <w:t>’</w:t>
      </w:r>
      <w:r w:rsidRPr="00266232">
        <w:t>altérer la fertilité peut bénéficier du recueil de ses gamètes, sous réserve de son consentement, en vue de la réalisation ultérieure d</w:t>
      </w:r>
      <w:r w:rsidRPr="00266232" w:rsidR="00266232">
        <w:t>’</w:t>
      </w:r>
      <w:r w:rsidRPr="00266232">
        <w:t>une PMA. Selon l</w:t>
      </w:r>
      <w:r w:rsidRPr="00266232" w:rsidR="00266232">
        <w:t>’</w:t>
      </w:r>
      <w:r w:rsidRPr="00266232">
        <w:t>article L. 2141-11-1 du CSP, l</w:t>
      </w:r>
      <w:r w:rsidRPr="00266232" w:rsidR="00266232">
        <w:t>’</w:t>
      </w:r>
      <w:r w:rsidRPr="00266232">
        <w:t>exportation de gamètes est soumise à une autorisation délivrée par l</w:t>
      </w:r>
      <w:r w:rsidRPr="00266232" w:rsidR="00266232">
        <w:t>’</w:t>
      </w:r>
      <w:r w:rsidRPr="00266232">
        <w:t>Agence de la biomédecine. Seuls les gamètes destinés à être utilisés conformément aux principes mentionnés notamment à l</w:t>
      </w:r>
      <w:r w:rsidRPr="00266232" w:rsidR="00266232">
        <w:t>’</w:t>
      </w:r>
      <w:r w:rsidRPr="00266232">
        <w:t>article L. 2141-2 précité peuvent faire l</w:t>
      </w:r>
      <w:r w:rsidRPr="00266232" w:rsidR="00266232">
        <w:t>’</w:t>
      </w:r>
      <w:r w:rsidRPr="00266232">
        <w:t>objet d</w:t>
      </w:r>
      <w:r w:rsidRPr="00266232" w:rsidR="00266232">
        <w:t>’</w:t>
      </w:r>
      <w:r w:rsidRPr="00266232">
        <w:t>une autorisation d</w:t>
      </w:r>
      <w:r w:rsidRPr="00266232" w:rsidR="00266232">
        <w:t>’</w:t>
      </w:r>
      <w:r w:rsidRPr="00266232">
        <w:t>exportation. Enfin, l</w:t>
      </w:r>
      <w:r w:rsidRPr="00266232" w:rsidR="00266232">
        <w:t>’</w:t>
      </w:r>
      <w:r w:rsidRPr="00266232">
        <w:t>article R. 2141-17 du CSP dispose qu</w:t>
      </w:r>
      <w:r w:rsidRPr="00266232" w:rsidR="00266232">
        <w:t>’</w:t>
      </w:r>
      <w:r w:rsidRPr="00266232">
        <w:t>il est mis fin à la conservation des gamètes en cas de décès de la personne.</w:t>
      </w:r>
    </w:p>
    <w:p w:rsidRPr="00266232" w:rsidR="00FE5AB7" w:rsidP="00266232" w:rsidRDefault="00FE5AB7">
      <w:pPr>
        <w:ind w:firstLine="284"/>
      </w:pPr>
      <w:r w:rsidRPr="00266232">
        <w:fldChar w:fldCharType="begin"/>
      </w:r>
      <w:r w:rsidRPr="00266232">
        <w:instrText xml:space="preserve"> SEQ level0 \*arabic </w:instrText>
      </w:r>
      <w:r w:rsidRPr="00266232">
        <w:fldChar w:fldCharType="separate"/>
      </w:r>
      <w:r w:rsidR="00266232">
        <w:rPr>
          <w:noProof/>
        </w:rPr>
        <w:t>12</w:t>
      </w:r>
      <w:r w:rsidRPr="00266232">
        <w:fldChar w:fldCharType="end"/>
      </w:r>
      <w:r w:rsidRPr="00266232">
        <w:t>.  Dans le cadre de la révision périodique des lois de bioéthique, le projet de loi bioéthique déposé à l</w:t>
      </w:r>
      <w:r w:rsidRPr="00266232" w:rsidR="00266232">
        <w:t>’</w:t>
      </w:r>
      <w:r w:rsidRPr="00266232">
        <w:t>Assemblée nationale le 24 juillet 2019 est en cours de discussion. Il comporte une importante évolution des conditions d</w:t>
      </w:r>
      <w:r w:rsidRPr="00266232" w:rsidR="00266232">
        <w:t>’</w:t>
      </w:r>
      <w:r w:rsidRPr="00266232">
        <w:t>accès à l</w:t>
      </w:r>
      <w:r w:rsidRPr="00266232" w:rsidR="00266232">
        <w:t>’</w:t>
      </w:r>
      <w:r w:rsidRPr="00266232">
        <w:t>AMP qu</w:t>
      </w:r>
      <w:r w:rsidRPr="00266232" w:rsidR="00266232">
        <w:t>’</w:t>
      </w:r>
      <w:r w:rsidRPr="00266232">
        <w:t>il est proposé d</w:t>
      </w:r>
      <w:r w:rsidRPr="00266232" w:rsidR="00266232">
        <w:t>’</w:t>
      </w:r>
      <w:r w:rsidRPr="00266232">
        <w:t>élargir aux couples de femmes et aux femmes non mariées en supprimant le critère médical d</w:t>
      </w:r>
      <w:r w:rsidRPr="00266232" w:rsidR="00266232">
        <w:t>’</w:t>
      </w:r>
      <w:r w:rsidRPr="00266232">
        <w:t>infertilité. Il prévoit également le maintien du principe de prohibition de l</w:t>
      </w:r>
      <w:r w:rsidRPr="00266232" w:rsidR="00266232">
        <w:t>’</w:t>
      </w:r>
      <w:r w:rsidRPr="00266232">
        <w:t>insémination et du transfert d</w:t>
      </w:r>
      <w:r w:rsidRPr="00266232" w:rsidR="00266232">
        <w:t>’</w:t>
      </w:r>
      <w:r w:rsidRPr="00266232">
        <w:t>embryons en cas de décès d</w:t>
      </w:r>
      <w:r w:rsidRPr="00266232" w:rsidR="00266232">
        <w:t>’</w:t>
      </w:r>
      <w:r w:rsidRPr="00266232">
        <w:t>un des membres du couple.</w:t>
      </w:r>
    </w:p>
    <w:p w:rsidRPr="00266232" w:rsidR="00FE5AB7" w:rsidP="00266232" w:rsidRDefault="00FE5AB7">
      <w:pPr>
        <w:keepNext/>
        <w:keepLines/>
        <w:spacing w:before="100" w:beforeAutospacing="1" w:after="240"/>
        <w:outlineLvl w:val="0"/>
        <w:rPr>
          <w:caps/>
          <w:sz w:val="28"/>
        </w:rPr>
      </w:pPr>
      <w:r w:rsidRPr="00266232">
        <w:rPr>
          <w:caps/>
          <w:sz w:val="28"/>
        </w:rPr>
        <w:t>GRIEF</w:t>
      </w:r>
    </w:p>
    <w:p w:rsidRPr="00266232" w:rsidR="00FE5AB7" w:rsidP="00266232" w:rsidRDefault="00FE5AB7">
      <w:pPr>
        <w:ind w:firstLine="284"/>
      </w:pPr>
      <w:r w:rsidRPr="00266232">
        <w:t>Invoquant l</w:t>
      </w:r>
      <w:r w:rsidRPr="00266232" w:rsidR="00266232">
        <w:t>’</w:t>
      </w:r>
      <w:r w:rsidRPr="00266232">
        <w:t>article 8 de la Convention, la requérante se plaint de l</w:t>
      </w:r>
      <w:r w:rsidRPr="00266232" w:rsidR="00266232">
        <w:t>’</w:t>
      </w:r>
      <w:r w:rsidRPr="00266232">
        <w:t xml:space="preserve">impossibilité de disposer des gamètes de son fils décédé en vue de procéder, dans le respect des dernières volontés de celui-ci, à une PMA </w:t>
      </w:r>
      <w:r w:rsidRPr="00266232">
        <w:rPr>
          <w:i/>
        </w:rPr>
        <w:t>via</w:t>
      </w:r>
      <w:r w:rsidRPr="00266232">
        <w:t xml:space="preserve"> notamment un don à un couple stérile ou une gestation pour autrui, procédures qui seraient autorisées notamment en Israël ou aux États-Unis. Invoquant l</w:t>
      </w:r>
      <w:r w:rsidRPr="00266232" w:rsidR="00266232">
        <w:t>’</w:t>
      </w:r>
      <w:r w:rsidRPr="00266232">
        <w:t xml:space="preserve">arrêt </w:t>
      </w:r>
      <w:r w:rsidRPr="00266232">
        <w:rPr>
          <w:i/>
        </w:rPr>
        <w:t>Evans c. Royaume-Uni</w:t>
      </w:r>
      <w:r w:rsidRPr="00266232">
        <w:t xml:space="preserve"> [GC], n</w:t>
      </w:r>
      <w:r w:rsidRPr="00266232">
        <w:rPr>
          <w:vertAlign w:val="superscript"/>
        </w:rPr>
        <w:t>o</w:t>
      </w:r>
      <w:r w:rsidRPr="00266232">
        <w:t xml:space="preserve"> 6339/05, CEDH 2007</w:t>
      </w:r>
      <w:r w:rsidRPr="00266232">
        <w:noBreakHyphen/>
        <w:t>I), elle considère l</w:t>
      </w:r>
      <w:r w:rsidRPr="00266232" w:rsidR="00266232">
        <w:t>’</w:t>
      </w:r>
      <w:r w:rsidRPr="00266232">
        <w:t>article 8 de la Convention applicable en la cause et soutient que l</w:t>
      </w:r>
      <w:r w:rsidRPr="00266232" w:rsidR="00266232">
        <w:t>’</w:t>
      </w:r>
      <w:r w:rsidRPr="00266232">
        <w:t>interdiction litigieuse ne se justifie ni au regard de l</w:t>
      </w:r>
      <w:r w:rsidRPr="00266232" w:rsidR="00266232">
        <w:t>’</w:t>
      </w:r>
      <w:r w:rsidRPr="00266232">
        <w:t>évolution de la société et de la famille, ni au regard de l</w:t>
      </w:r>
      <w:r w:rsidRPr="00266232" w:rsidR="00266232">
        <w:t>’</w:t>
      </w:r>
      <w:r w:rsidRPr="00266232">
        <w:t>intérêt de l</w:t>
      </w:r>
      <w:r w:rsidRPr="00266232" w:rsidR="00266232">
        <w:t>’</w:t>
      </w:r>
      <w:r w:rsidRPr="00266232">
        <w:t>enfant à naître qui aurait un ou plusieurs parents à même de s</w:t>
      </w:r>
      <w:r w:rsidRPr="00266232" w:rsidR="00266232">
        <w:t>’</w:t>
      </w:r>
      <w:r w:rsidRPr="00266232">
        <w:t>occuper de lui et de lui transmettre la mémoire particulière de la famille Lanzmann.</w:t>
      </w:r>
    </w:p>
    <w:p w:rsidRPr="00266232" w:rsidR="00FE5AB7" w:rsidP="00266232" w:rsidRDefault="00FE5AB7">
      <w:pPr>
        <w:keepNext/>
        <w:keepLines/>
        <w:spacing w:before="100" w:beforeAutospacing="1" w:after="240"/>
        <w:outlineLvl w:val="0"/>
        <w:rPr>
          <w:caps/>
          <w:sz w:val="28"/>
        </w:rPr>
      </w:pPr>
      <w:r w:rsidRPr="00266232">
        <w:rPr>
          <w:caps/>
          <w:sz w:val="28"/>
        </w:rPr>
        <w:t>EN DROIT</w:t>
      </w:r>
    </w:p>
    <w:p w:rsidRPr="00266232" w:rsidR="00FE5AB7" w:rsidP="00266232" w:rsidRDefault="00FE5AB7">
      <w:pPr>
        <w:ind w:firstLine="284"/>
      </w:pPr>
      <w:r w:rsidRPr="00266232">
        <w:rPr>
          <w:lang w:val="en-GB"/>
        </w:rPr>
        <w:fldChar w:fldCharType="begin"/>
      </w:r>
      <w:r w:rsidRPr="00266232">
        <w:instrText xml:space="preserve"> SEQ level0 \*arabic </w:instrText>
      </w:r>
      <w:r w:rsidRPr="00266232">
        <w:rPr>
          <w:lang w:val="en-GB"/>
        </w:rPr>
        <w:fldChar w:fldCharType="separate"/>
      </w:r>
      <w:r w:rsidR="00266232">
        <w:rPr>
          <w:noProof/>
        </w:rPr>
        <w:t>13</w:t>
      </w:r>
      <w:r w:rsidRPr="00266232">
        <w:rPr>
          <w:lang w:val="en-GB"/>
        </w:rPr>
        <w:fldChar w:fldCharType="end"/>
      </w:r>
      <w:r w:rsidRPr="00266232">
        <w:t>.  La requérante allègue que le refus de transfert des gamètes de son fils décédé est contraire à l</w:t>
      </w:r>
      <w:r w:rsidRPr="00266232" w:rsidR="00266232">
        <w:t>’</w:t>
      </w:r>
      <w:r w:rsidRPr="00266232">
        <w:t>article 8 de la Convention, qui est ainsi libellé :</w:t>
      </w:r>
    </w:p>
    <w:p w:rsidRPr="00266232" w:rsidR="00FE5AB7" w:rsidP="00266232" w:rsidRDefault="00FE5AB7">
      <w:pPr>
        <w:spacing w:before="120" w:after="120"/>
        <w:ind w:left="425" w:firstLine="142"/>
        <w:rPr>
          <w:sz w:val="20"/>
        </w:rPr>
      </w:pPr>
      <w:r w:rsidRPr="00266232">
        <w:rPr>
          <w:sz w:val="20"/>
        </w:rPr>
        <w:t>« 1.  Toute personne a droit au respect de sa vie privée et familiale (...).</w:t>
      </w:r>
    </w:p>
    <w:p w:rsidRPr="00266232" w:rsidR="00FE5AB7" w:rsidP="00266232" w:rsidRDefault="00FE5AB7">
      <w:pPr>
        <w:spacing w:before="120" w:after="120"/>
        <w:ind w:left="425" w:firstLine="142"/>
        <w:rPr>
          <w:sz w:val="20"/>
        </w:rPr>
      </w:pPr>
      <w:r w:rsidRPr="00266232">
        <w:rPr>
          <w:sz w:val="20"/>
        </w:rPr>
        <w:t>2.  Il ne peut y avoir ingérence d</w:t>
      </w:r>
      <w:r w:rsidRPr="00266232" w:rsidR="00266232">
        <w:rPr>
          <w:sz w:val="20"/>
        </w:rPr>
        <w:t>’</w:t>
      </w:r>
      <w:r w:rsidRPr="00266232">
        <w:rPr>
          <w:sz w:val="20"/>
        </w:rPr>
        <w:t>une autorité publique dans l</w:t>
      </w:r>
      <w:r w:rsidRPr="00266232" w:rsidR="00266232">
        <w:rPr>
          <w:sz w:val="20"/>
        </w:rPr>
        <w:t>’</w:t>
      </w:r>
      <w:r w:rsidRPr="00266232">
        <w:rPr>
          <w:sz w:val="20"/>
        </w:rPr>
        <w:t>exercice de ce droit que pour autant que cette ingérence est prévue par la loi et qu</w:t>
      </w:r>
      <w:r w:rsidRPr="00266232" w:rsidR="00266232">
        <w:rPr>
          <w:sz w:val="20"/>
        </w:rPr>
        <w:t>’</w:t>
      </w:r>
      <w:r w:rsidRPr="00266232">
        <w:rPr>
          <w:sz w:val="20"/>
        </w:rPr>
        <w:t>elle constitue une mesure qui, dans une société démocratique, est nécessaire à la sécurité nationale, à la sûreté publique, au bien</w:t>
      </w:r>
      <w:r w:rsidRPr="00266232">
        <w:rPr>
          <w:sz w:val="20"/>
        </w:rPr>
        <w:noBreakHyphen/>
        <w:t>être économique du pays, à la défense de l</w:t>
      </w:r>
      <w:r w:rsidRPr="00266232" w:rsidR="00266232">
        <w:rPr>
          <w:sz w:val="20"/>
        </w:rPr>
        <w:t>’</w:t>
      </w:r>
      <w:r w:rsidRPr="00266232">
        <w:rPr>
          <w:sz w:val="20"/>
        </w:rPr>
        <w:t>ordre et à la prévention des infractions pénales, à la protection de la santé ou de la morale, ou à la protection des droits et libertés d</w:t>
      </w:r>
      <w:r w:rsidRPr="00266232" w:rsidR="00266232">
        <w:rPr>
          <w:sz w:val="20"/>
        </w:rPr>
        <w:t>’</w:t>
      </w:r>
      <w:r w:rsidRPr="00266232">
        <w:rPr>
          <w:sz w:val="20"/>
        </w:rPr>
        <w:t>autrui. »</w:t>
      </w:r>
    </w:p>
    <w:p w:rsidRPr="00266232" w:rsidR="00FE5AB7" w:rsidP="00266232" w:rsidRDefault="00FE5AB7">
      <w:pPr>
        <w:ind w:firstLine="284"/>
      </w:pPr>
      <w:r w:rsidRPr="00266232">
        <w:fldChar w:fldCharType="begin"/>
      </w:r>
      <w:r w:rsidRPr="00266232">
        <w:instrText xml:space="preserve"> SEQ level0 \*arabic </w:instrText>
      </w:r>
      <w:r w:rsidRPr="00266232">
        <w:fldChar w:fldCharType="separate"/>
      </w:r>
      <w:r w:rsidR="00266232">
        <w:rPr>
          <w:noProof/>
        </w:rPr>
        <w:t>14</w:t>
      </w:r>
      <w:r w:rsidRPr="00266232">
        <w:fldChar w:fldCharType="end"/>
      </w:r>
      <w:r w:rsidRPr="00266232">
        <w:t>.  La Cour observe que le grief de la requérante tient à l</w:t>
      </w:r>
      <w:r w:rsidRPr="00266232" w:rsidR="00266232">
        <w:t>’</w:t>
      </w:r>
      <w:r w:rsidRPr="00266232">
        <w:t>impossibilité d</w:t>
      </w:r>
      <w:r w:rsidRPr="00266232" w:rsidR="00266232">
        <w:t>’</w:t>
      </w:r>
      <w:r w:rsidRPr="00266232">
        <w:t>exporter les gamètes de son fils décédé et de faire pratiquer, conformément à la volonté qu</w:t>
      </w:r>
      <w:r w:rsidRPr="00266232" w:rsidR="00266232">
        <w:t>’</w:t>
      </w:r>
      <w:r w:rsidRPr="00266232">
        <w:t xml:space="preserve">il avait exprimé, une insémination </w:t>
      </w:r>
      <w:r w:rsidRPr="00266232">
        <w:rPr>
          <w:i/>
        </w:rPr>
        <w:t>post mortem</w:t>
      </w:r>
      <w:r w:rsidRPr="00266232">
        <w:t xml:space="preserve"> dans un État qui l</w:t>
      </w:r>
      <w:r w:rsidRPr="00266232" w:rsidR="00266232">
        <w:t>’</w:t>
      </w:r>
      <w:r w:rsidRPr="00266232">
        <w:t>autorise, aux fins de perpétuer la mémoire de la famille Lanzmann.</w:t>
      </w:r>
    </w:p>
    <w:p w:rsidRPr="00266232" w:rsidR="00FE5AB7" w:rsidP="00266232" w:rsidRDefault="00FE5AB7">
      <w:pPr>
        <w:ind w:firstLine="284"/>
      </w:pPr>
      <w:r w:rsidRPr="00266232">
        <w:fldChar w:fldCharType="begin"/>
      </w:r>
      <w:r w:rsidRPr="00266232">
        <w:instrText xml:space="preserve"> SEQ level0 \*arabic </w:instrText>
      </w:r>
      <w:r w:rsidRPr="00266232">
        <w:fldChar w:fldCharType="separate"/>
      </w:r>
      <w:r w:rsidR="00266232">
        <w:rPr>
          <w:noProof/>
        </w:rPr>
        <w:t>15</w:t>
      </w:r>
      <w:r w:rsidRPr="00266232">
        <w:fldChar w:fldCharType="end"/>
      </w:r>
      <w:r w:rsidRPr="00266232">
        <w:t>.  La Cour estime qu</w:t>
      </w:r>
      <w:r w:rsidRPr="00266232" w:rsidR="00266232">
        <w:t>’</w:t>
      </w:r>
      <w:r w:rsidRPr="00266232">
        <w:t>il y a lieu de scinder le grief de la requérante en deux branches selon qu</w:t>
      </w:r>
      <w:r w:rsidRPr="00266232" w:rsidR="00266232">
        <w:t>’</w:t>
      </w:r>
      <w:r w:rsidRPr="00266232">
        <w:t>elle le formule en tant que victime indirecte d</w:t>
      </w:r>
      <w:r w:rsidRPr="00266232" w:rsidR="00266232">
        <w:t>’</w:t>
      </w:r>
      <w:r w:rsidRPr="00266232">
        <w:t>une violation de l</w:t>
      </w:r>
      <w:r w:rsidRPr="00266232" w:rsidR="00266232">
        <w:t>’</w:t>
      </w:r>
      <w:r w:rsidRPr="00266232">
        <w:t>article 8 de la Convention au nom de son fils défunt ou en tant que victime directe privée de descendance.</w:t>
      </w:r>
    </w:p>
    <w:p w:rsidRPr="00266232" w:rsidR="00FE5AB7" w:rsidP="00266232" w:rsidRDefault="00FE5AB7">
      <w:pPr>
        <w:ind w:firstLine="284"/>
      </w:pPr>
      <w:r w:rsidRPr="00266232">
        <w:fldChar w:fldCharType="begin"/>
      </w:r>
      <w:r w:rsidRPr="00266232">
        <w:instrText xml:space="preserve"> SEQ level0 \*arabic </w:instrText>
      </w:r>
      <w:r w:rsidRPr="00266232">
        <w:fldChar w:fldCharType="separate"/>
      </w:r>
      <w:r w:rsidR="00266232">
        <w:rPr>
          <w:noProof/>
        </w:rPr>
        <w:t>16</w:t>
      </w:r>
      <w:r w:rsidRPr="00266232">
        <w:fldChar w:fldCharType="end"/>
      </w:r>
      <w:r w:rsidRPr="00266232">
        <w:t>.  S</w:t>
      </w:r>
      <w:r w:rsidRPr="00266232" w:rsidR="00266232">
        <w:t>’</w:t>
      </w:r>
      <w:r w:rsidRPr="00266232">
        <w:t>agissant de la première branche du grief, la Cour renvoie à son approche concernant les victimes directes et indirectes telle que résumée dans l</w:t>
      </w:r>
      <w:r w:rsidRPr="00266232" w:rsidR="00266232">
        <w:t>’</w:t>
      </w:r>
      <w:r w:rsidRPr="00266232">
        <w:t xml:space="preserve">arrêt </w:t>
      </w:r>
      <w:r w:rsidRPr="00266232">
        <w:rPr>
          <w:i/>
        </w:rPr>
        <w:t>Centre de ressources juridiques au nom de Valentin Câmpeanu c. Roumanie</w:t>
      </w:r>
      <w:r w:rsidRPr="00266232">
        <w:t xml:space="preserve"> [GC], n</w:t>
      </w:r>
      <w:r w:rsidRPr="00266232">
        <w:rPr>
          <w:vertAlign w:val="superscript"/>
        </w:rPr>
        <w:t>o</w:t>
      </w:r>
      <w:r w:rsidRPr="00266232">
        <w:t xml:space="preserve"> 47848/08, §§ 96-100, CEDH 2014). Faisant application de celle-ci, elle estime que les droits revendiqués par la requérante concernent les droits de son fils défunt. Le sort des gamètes déposés par un individu et la question du respect de sa volonté qu</w:t>
      </w:r>
      <w:r w:rsidRPr="00266232" w:rsidR="00266232">
        <w:t>’</w:t>
      </w:r>
      <w:r w:rsidRPr="00266232">
        <w:t>elles soient mises en œuvre après sa mort concernent le droit d</w:t>
      </w:r>
      <w:r w:rsidRPr="00266232" w:rsidR="00266232">
        <w:t>’</w:t>
      </w:r>
      <w:r w:rsidRPr="00266232">
        <w:t>un individu de décider de quelle manière et à quel moment il souhaite devenir parent qui relève de la catégorie des droits non transférables (</w:t>
      </w:r>
      <w:r w:rsidRPr="00266232">
        <w:rPr>
          <w:i/>
        </w:rPr>
        <w:t>Sanles Sanles c. Espagne</w:t>
      </w:r>
      <w:r w:rsidRPr="00266232">
        <w:t xml:space="preserve"> (déc.), n</w:t>
      </w:r>
      <w:r w:rsidRPr="00266232">
        <w:rPr>
          <w:vertAlign w:val="superscript"/>
        </w:rPr>
        <w:t>o</w:t>
      </w:r>
      <w:r w:rsidRPr="00266232">
        <w:t xml:space="preserve"> 48335/99, CEDH 2000</w:t>
      </w:r>
      <w:r w:rsidRPr="00266232">
        <w:noBreakHyphen/>
        <w:t xml:space="preserve">XI, </w:t>
      </w:r>
      <w:r w:rsidRPr="00266232">
        <w:rPr>
          <w:i/>
        </w:rPr>
        <w:t>Centre de ressources juridiques au nom de Valentin Câmpeanu</w:t>
      </w:r>
      <w:r w:rsidRPr="00266232">
        <w:t xml:space="preserve">, précité, § 100, </w:t>
      </w:r>
      <w:r w:rsidRPr="00266232">
        <w:rPr>
          <w:i/>
        </w:rPr>
        <w:t>Rõigas c. Estonie</w:t>
      </w:r>
      <w:r w:rsidRPr="00266232">
        <w:rPr>
          <w:lang w:eastAsia="en-GB"/>
        </w:rPr>
        <w:t>, n</w:t>
      </w:r>
      <w:r w:rsidRPr="00266232">
        <w:rPr>
          <w:vertAlign w:val="superscript"/>
          <w:lang w:eastAsia="en-GB"/>
        </w:rPr>
        <w:t>o</w:t>
      </w:r>
      <w:r w:rsidRPr="00266232">
        <w:rPr>
          <w:lang w:eastAsia="en-GB"/>
        </w:rPr>
        <w:t xml:space="preserve"> </w:t>
      </w:r>
      <w:r w:rsidRPr="00266232">
        <w:t>49045/13</w:t>
      </w:r>
      <w:r w:rsidRPr="00266232">
        <w:rPr>
          <w:lang w:eastAsia="en-GB"/>
        </w:rPr>
        <w:t xml:space="preserve">, </w:t>
      </w:r>
      <w:r w:rsidRPr="00266232">
        <w:t>§ 127, 12 septembre 2017). En conséquence, la requérante ne peut se prétendre victime d</w:t>
      </w:r>
      <w:r w:rsidRPr="00266232" w:rsidR="00266232">
        <w:t>’</w:t>
      </w:r>
      <w:r w:rsidRPr="00266232">
        <w:t>une violation de l</w:t>
      </w:r>
      <w:r w:rsidRPr="00266232" w:rsidR="00266232">
        <w:t>’</w:t>
      </w:r>
      <w:r w:rsidRPr="00266232">
        <w:t xml:space="preserve">article 8 au nom de son fils défunt. Cette partie de son grief est incompatible </w:t>
      </w:r>
      <w:r w:rsidRPr="00266232">
        <w:rPr>
          <w:i/>
        </w:rPr>
        <w:t>ratione personae</w:t>
      </w:r>
      <w:r w:rsidRPr="00266232">
        <w:t xml:space="preserve"> avec les dispositions de la Convention et doit être rejetée en application de l</w:t>
      </w:r>
      <w:r w:rsidRPr="00266232" w:rsidR="00266232">
        <w:t>’</w:t>
      </w:r>
      <w:r w:rsidRPr="00266232">
        <w:t>article</w:t>
      </w:r>
      <w:r w:rsidRPr="00266232" w:rsidR="008249DB">
        <w:t> </w:t>
      </w:r>
      <w:r w:rsidRPr="00266232">
        <w:t>35 §§ 3 a) et 4 de la Convention.</w:t>
      </w:r>
    </w:p>
    <w:p w:rsidRPr="00266232" w:rsidR="00FE5AB7" w:rsidP="00266232" w:rsidRDefault="00FE5AB7">
      <w:pPr>
        <w:tabs>
          <w:tab w:val="left" w:pos="2977"/>
        </w:tabs>
        <w:ind w:firstLine="284"/>
      </w:pPr>
      <w:r w:rsidRPr="00266232">
        <w:fldChar w:fldCharType="begin"/>
      </w:r>
      <w:r w:rsidRPr="00266232">
        <w:instrText xml:space="preserve"> SEQ level0 \*arabic </w:instrText>
      </w:r>
      <w:r w:rsidRPr="00266232">
        <w:fldChar w:fldCharType="separate"/>
      </w:r>
      <w:r w:rsidR="00266232">
        <w:rPr>
          <w:noProof/>
        </w:rPr>
        <w:t>17</w:t>
      </w:r>
      <w:r w:rsidRPr="00266232">
        <w:fldChar w:fldCharType="end"/>
      </w:r>
      <w:r w:rsidRPr="00266232">
        <w:t>.  S</w:t>
      </w:r>
      <w:r w:rsidRPr="00266232" w:rsidR="00266232">
        <w:t>’</w:t>
      </w:r>
      <w:r w:rsidRPr="00266232">
        <w:t>agissant de la seconde branche du grief, la Cour estime qu</w:t>
      </w:r>
      <w:r w:rsidRPr="00266232" w:rsidR="00266232">
        <w:t>’</w:t>
      </w:r>
      <w:r w:rsidRPr="00266232">
        <w:t xml:space="preserve">elle pose avant tout la question de sa compétence </w:t>
      </w:r>
      <w:r w:rsidRPr="00266232">
        <w:rPr>
          <w:i/>
        </w:rPr>
        <w:t>ratione materiae</w:t>
      </w:r>
      <w:r w:rsidRPr="00266232">
        <w:t xml:space="preserve"> et plus précisément celle de savoir si le refus litigieux opposé à la requérante concerne sa « vie privée » ou « familiale ».</w:t>
      </w:r>
    </w:p>
    <w:p w:rsidRPr="00266232" w:rsidR="00FE5AB7" w:rsidP="00266232" w:rsidRDefault="00FE5AB7">
      <w:pPr>
        <w:tabs>
          <w:tab w:val="left" w:pos="2977"/>
        </w:tabs>
        <w:ind w:firstLine="284"/>
      </w:pPr>
      <w:r w:rsidRPr="00266232">
        <w:fldChar w:fldCharType="begin"/>
      </w:r>
      <w:r w:rsidRPr="00266232">
        <w:instrText xml:space="preserve"> SEQ level0 \*arabic </w:instrText>
      </w:r>
      <w:r w:rsidRPr="00266232">
        <w:fldChar w:fldCharType="separate"/>
      </w:r>
      <w:r w:rsidR="00266232">
        <w:rPr>
          <w:noProof/>
        </w:rPr>
        <w:t>18</w:t>
      </w:r>
      <w:r w:rsidRPr="00266232">
        <w:fldChar w:fldCharType="end"/>
      </w:r>
      <w:r w:rsidRPr="00266232">
        <w:t>.  La Cour rappelle que si la notion de vie privée aussi bien que celle de vie familiale recouvre le droit au respect des décisions de devenir parent au sens génétique du terme (</w:t>
      </w:r>
      <w:r w:rsidRPr="00266232">
        <w:rPr>
          <w:i/>
        </w:rPr>
        <w:t>Evans c. Royaume-Uni</w:t>
      </w:r>
      <w:r w:rsidRPr="00266232">
        <w:t xml:space="preserve"> [GC], n</w:t>
      </w:r>
      <w:r w:rsidRPr="00266232">
        <w:rPr>
          <w:vertAlign w:val="superscript"/>
        </w:rPr>
        <w:t>o</w:t>
      </w:r>
      <w:r w:rsidRPr="00266232">
        <w:t xml:space="preserve"> 6339/05, § 72, CEDH 2007</w:t>
      </w:r>
      <w:r w:rsidRPr="00266232">
        <w:noBreakHyphen/>
        <w:t>I) et que le droit des couples de recourir à la PMA constitue une forme d</w:t>
      </w:r>
      <w:r w:rsidRPr="00266232" w:rsidR="00266232">
        <w:t>’</w:t>
      </w:r>
      <w:r w:rsidRPr="00266232">
        <w:t>expression de ces notions (</w:t>
      </w:r>
      <w:r w:rsidRPr="00266232">
        <w:rPr>
          <w:i/>
        </w:rPr>
        <w:t>S.H. et autres c. Autriche</w:t>
      </w:r>
      <w:r w:rsidRPr="00266232">
        <w:t xml:space="preserve"> [GC], n</w:t>
      </w:r>
      <w:r w:rsidRPr="00266232">
        <w:rPr>
          <w:vertAlign w:val="superscript"/>
        </w:rPr>
        <w:t>o</w:t>
      </w:r>
      <w:r w:rsidRPr="00266232">
        <w:t> 57813/00, § 82, CEDH 2011), l</w:t>
      </w:r>
      <w:r w:rsidRPr="00266232" w:rsidR="00266232">
        <w:t>’</w:t>
      </w:r>
      <w:r w:rsidRPr="00266232">
        <w:t>article 8 de la Convention ne garantit pas le droit de fonder une famille (</w:t>
      </w:r>
      <w:r w:rsidRPr="00266232">
        <w:rPr>
          <w:i/>
        </w:rPr>
        <w:t>E.B. c. France</w:t>
      </w:r>
      <w:r w:rsidRPr="00266232">
        <w:t xml:space="preserve"> [GC], n</w:t>
      </w:r>
      <w:r w:rsidRPr="00266232">
        <w:rPr>
          <w:vertAlign w:val="superscript"/>
        </w:rPr>
        <w:t>o</w:t>
      </w:r>
      <w:r w:rsidRPr="00266232">
        <w:t xml:space="preserve"> 43546/02, § 41, 22 janvier 2008).</w:t>
      </w:r>
    </w:p>
    <w:p w:rsidRPr="00266232" w:rsidR="00FE5AB7" w:rsidP="00266232" w:rsidRDefault="00FE5AB7">
      <w:pPr>
        <w:tabs>
          <w:tab w:val="left" w:pos="1843"/>
          <w:tab w:val="left" w:pos="2977"/>
        </w:tabs>
        <w:ind w:firstLine="284"/>
      </w:pPr>
      <w:r w:rsidRPr="00266232">
        <w:fldChar w:fldCharType="begin"/>
      </w:r>
      <w:r w:rsidRPr="00266232">
        <w:instrText xml:space="preserve"> SEQ level0 \*arabic </w:instrText>
      </w:r>
      <w:r w:rsidRPr="00266232">
        <w:fldChar w:fldCharType="separate"/>
      </w:r>
      <w:r w:rsidR="00266232">
        <w:rPr>
          <w:noProof/>
        </w:rPr>
        <w:t>19</w:t>
      </w:r>
      <w:r w:rsidRPr="00266232">
        <w:fldChar w:fldCharType="end"/>
      </w:r>
      <w:r w:rsidRPr="00266232">
        <w:t>.  En l</w:t>
      </w:r>
      <w:r w:rsidRPr="00266232" w:rsidR="00266232">
        <w:t>’</w:t>
      </w:r>
      <w:r w:rsidRPr="00266232">
        <w:t>espèce, la Cour note que les juridictions nationales ont estimé, d</w:t>
      </w:r>
      <w:r w:rsidRPr="00266232" w:rsidR="00266232">
        <w:t>’</w:t>
      </w:r>
      <w:r w:rsidRPr="00266232">
        <w:t>une part, que l</w:t>
      </w:r>
      <w:r w:rsidRPr="00266232" w:rsidR="00266232">
        <w:t>’</w:t>
      </w:r>
      <w:r w:rsidRPr="00266232">
        <w:t xml:space="preserve">interdiction légale de procréation </w:t>
      </w:r>
      <w:r w:rsidRPr="00266232">
        <w:rPr>
          <w:i/>
        </w:rPr>
        <w:t>post mortem</w:t>
      </w:r>
      <w:r w:rsidRPr="00266232">
        <w:t xml:space="preserve"> était conforme à la Convention et, d</w:t>
      </w:r>
      <w:r w:rsidRPr="00266232" w:rsidR="00266232">
        <w:t>’</w:t>
      </w:r>
      <w:r w:rsidRPr="00266232">
        <w:t>autre part,</w:t>
      </w:r>
      <w:r w:rsidRPr="00266232">
        <w:rPr>
          <w:i/>
        </w:rPr>
        <w:t xml:space="preserve"> </w:t>
      </w:r>
      <w:r w:rsidRPr="00266232">
        <w:t>que le refus d</w:t>
      </w:r>
      <w:r w:rsidRPr="00266232" w:rsidR="00266232">
        <w:t>’</w:t>
      </w:r>
      <w:r w:rsidRPr="00266232">
        <w:t>exportation des gamètes du fils défunt de la requérante ne portait pas atteinte à la vie privée et familiale de cette dernière. En particulier, le juge des référés a relevé que les éléments du dossier ne montraient pas que F. avait autorisé sa mère à utiliser ses gamètes aux fins d</w:t>
      </w:r>
      <w:r w:rsidRPr="00266232" w:rsidR="00266232">
        <w:t>’</w:t>
      </w:r>
      <w:r w:rsidRPr="00266232">
        <w:t xml:space="preserve">une insémination </w:t>
      </w:r>
      <w:r w:rsidRPr="00266232">
        <w:rPr>
          <w:i/>
        </w:rPr>
        <w:t xml:space="preserve">post mortem. </w:t>
      </w:r>
      <w:r w:rsidRPr="00266232">
        <w:t>Il a également retenu que l</w:t>
      </w:r>
      <w:r w:rsidRPr="00266232" w:rsidR="00266232">
        <w:t>’</w:t>
      </w:r>
      <w:r w:rsidRPr="00266232">
        <w:t>impossibilité pour la requérante d</w:t>
      </w:r>
      <w:r w:rsidRPr="00266232" w:rsidR="00266232">
        <w:t>’</w:t>
      </w:r>
      <w:r w:rsidRPr="00266232">
        <w:t>être grand-mère ne portait pas atteinte aux droits garantis par l</w:t>
      </w:r>
      <w:r w:rsidRPr="00266232" w:rsidR="00266232">
        <w:t>’</w:t>
      </w:r>
      <w:r w:rsidRPr="00266232">
        <w:t>article 8 de la Convention compte tenu des intérêts qui fondent la loi française, à savoir, au regard de l</w:t>
      </w:r>
      <w:r w:rsidRPr="00266232" w:rsidR="00266232">
        <w:t>’</w:t>
      </w:r>
      <w:r w:rsidRPr="00266232">
        <w:t>objectif jusque-là assigné à la procréation médicalement assistée en France, remédier à l</w:t>
      </w:r>
      <w:r w:rsidRPr="00266232" w:rsidR="00266232">
        <w:t>’</w:t>
      </w:r>
      <w:r w:rsidRPr="00266232">
        <w:t>infertilité pathologique d</w:t>
      </w:r>
      <w:r w:rsidRPr="00266232" w:rsidR="00266232">
        <w:t>’</w:t>
      </w:r>
      <w:r w:rsidRPr="00266232">
        <w:t>un couple. En d</w:t>
      </w:r>
      <w:r w:rsidRPr="00266232" w:rsidR="00266232">
        <w:t>’</w:t>
      </w:r>
      <w:r w:rsidRPr="00266232">
        <w:t>autres termes, le juge interne a considéré que l</w:t>
      </w:r>
      <w:r w:rsidRPr="00266232" w:rsidR="00266232">
        <w:t>’</w:t>
      </w:r>
      <w:r w:rsidRPr="00266232">
        <w:t>impossibilité d</w:t>
      </w:r>
      <w:r w:rsidRPr="00266232" w:rsidR="00266232">
        <w:t>’</w:t>
      </w:r>
      <w:r w:rsidRPr="00266232">
        <w:t>accéder au souhait de son fils défunt de se perpétuer par un enfant ne portait pas atteinte au droit au respect de la vie privée et familiale de la requérante.</w:t>
      </w:r>
      <w:r w:rsidRPr="00266232">
        <w:rPr>
          <w:b/>
        </w:rPr>
        <w:t xml:space="preserve"> </w:t>
      </w:r>
      <w:r w:rsidRPr="00266232">
        <w:t>La Cour n</w:t>
      </w:r>
      <w:r w:rsidRPr="00266232" w:rsidR="00266232">
        <w:t>’</w:t>
      </w:r>
      <w:r w:rsidRPr="00266232">
        <w:t>entend pas se démarquer de cette position.</w:t>
      </w:r>
    </w:p>
    <w:p w:rsidRPr="00266232" w:rsidR="00FE5AB7" w:rsidP="00266232" w:rsidRDefault="00FE5AB7">
      <w:pPr>
        <w:tabs>
          <w:tab w:val="left" w:pos="2977"/>
        </w:tabs>
        <w:ind w:firstLine="284"/>
      </w:pPr>
      <w:r w:rsidRPr="00266232">
        <w:fldChar w:fldCharType="begin"/>
      </w:r>
      <w:r w:rsidRPr="00266232">
        <w:instrText xml:space="preserve"> SEQ level0 \*arabic </w:instrText>
      </w:r>
      <w:r w:rsidRPr="00266232">
        <w:fldChar w:fldCharType="separate"/>
      </w:r>
      <w:r w:rsidR="00266232">
        <w:rPr>
          <w:noProof/>
        </w:rPr>
        <w:t>20</w:t>
      </w:r>
      <w:r w:rsidRPr="00266232">
        <w:fldChar w:fldCharType="end"/>
      </w:r>
      <w:r w:rsidRPr="00266232">
        <w:t>.  Devant elle, la requérante souligne davantage les conséquences du refus litigieux quant à la perte de la mémoire de la famille Lanzmann. Aussi respectable que soit cette aspiration personnelle à la continuité de la parenté génétique, la Cour ne saurait considérer qu</w:t>
      </w:r>
      <w:r w:rsidRPr="00266232" w:rsidR="00266232">
        <w:t>’</w:t>
      </w:r>
      <w:r w:rsidRPr="00266232">
        <w:t>elle entre dans le champ d</w:t>
      </w:r>
      <w:r w:rsidRPr="00266232" w:rsidR="00266232">
        <w:t>’</w:t>
      </w:r>
      <w:r w:rsidRPr="00266232">
        <w:t>application de l</w:t>
      </w:r>
      <w:r w:rsidRPr="00266232" w:rsidR="00266232">
        <w:t>’</w:t>
      </w:r>
      <w:r w:rsidRPr="00266232">
        <w:t>article 8 de la Convention. Celui-ci ne comprend pas le droit de fonder une famille et ne saurait englober, en l</w:t>
      </w:r>
      <w:r w:rsidRPr="00266232" w:rsidR="00266232">
        <w:t>’</w:t>
      </w:r>
      <w:r w:rsidRPr="00266232">
        <w:t xml:space="preserve">état de sa jurisprudence, le droit à une descendance pour des grands-parents. En conséquence, cette partie du grief doit être rejetée comme étant incompatible </w:t>
      </w:r>
      <w:r w:rsidRPr="00266232">
        <w:rPr>
          <w:i/>
        </w:rPr>
        <w:t>ratione materiae</w:t>
      </w:r>
      <w:r w:rsidRPr="00266232">
        <w:t xml:space="preserve"> avec les dispositions de la Convention, conformément à l</w:t>
      </w:r>
      <w:r w:rsidRPr="00266232" w:rsidR="00266232">
        <w:t>’</w:t>
      </w:r>
      <w:r w:rsidRPr="00266232">
        <w:t>article 35 §§ 3 a) et 4 de la Convention.</w:t>
      </w:r>
    </w:p>
    <w:p w:rsidRPr="00266232" w:rsidR="00FE5AB7" w:rsidP="00266232" w:rsidRDefault="00FE5AB7">
      <w:pPr>
        <w:keepNext/>
        <w:keepLines/>
        <w:spacing w:before="240" w:after="240"/>
        <w:ind w:firstLine="284"/>
        <w:rPr>
          <w:rFonts w:eastAsiaTheme="minorHAnsi"/>
        </w:rPr>
      </w:pPr>
      <w:r w:rsidRPr="00266232">
        <w:rPr>
          <w:rFonts w:eastAsiaTheme="minorHAnsi"/>
        </w:rPr>
        <w:t>Par ces motifs, la Cour, à l</w:t>
      </w:r>
      <w:r w:rsidRPr="00266232" w:rsidR="00266232">
        <w:rPr>
          <w:rFonts w:eastAsiaTheme="minorHAnsi"/>
        </w:rPr>
        <w:t>’</w:t>
      </w:r>
      <w:r w:rsidRPr="00266232">
        <w:rPr>
          <w:rFonts w:eastAsiaTheme="minorHAnsi"/>
        </w:rPr>
        <w:t>unanimité,</w:t>
      </w:r>
    </w:p>
    <w:p w:rsidRPr="00266232" w:rsidR="00FE5AB7" w:rsidP="00266232" w:rsidRDefault="00FE5AB7">
      <w:pPr>
        <w:spacing w:before="280" w:after="60"/>
        <w:ind w:left="340"/>
        <w:rPr>
          <w:rFonts w:eastAsiaTheme="minorHAnsi"/>
        </w:rPr>
      </w:pPr>
      <w:r w:rsidRPr="00266232">
        <w:rPr>
          <w:rFonts w:eastAsiaTheme="minorHAnsi"/>
          <w:i/>
        </w:rPr>
        <w:t>Déclare</w:t>
      </w:r>
      <w:r w:rsidRPr="00266232">
        <w:rPr>
          <w:rFonts w:eastAsiaTheme="minorHAnsi"/>
        </w:rPr>
        <w:t xml:space="preserve"> la requête irrecevable.</w:t>
      </w:r>
    </w:p>
    <w:p w:rsidRPr="00266232" w:rsidR="00023AD3" w:rsidP="00266232" w:rsidRDefault="00982E7A">
      <w:pPr>
        <w:pStyle w:val="JuParaLast"/>
      </w:pPr>
      <w:r w:rsidRPr="00266232">
        <w:rPr>
          <w:szCs w:val="24"/>
        </w:rPr>
        <w:t xml:space="preserve">Fait en français puis communiqué par écrit le </w:t>
      </w:r>
      <w:r w:rsidRPr="00266232" w:rsidR="00FE5AB7">
        <w:rPr>
          <w:szCs w:val="24"/>
        </w:rPr>
        <w:t>5 décembre 2019</w:t>
      </w:r>
      <w:r w:rsidRPr="00266232">
        <w:t>.</w:t>
      </w:r>
    </w:p>
    <w:p w:rsidRPr="00266232" w:rsidR="00023AD3" w:rsidP="00266232" w:rsidRDefault="00FE5AB7">
      <w:pPr>
        <w:pStyle w:val="JuSigned"/>
        <w:keepNext/>
        <w:keepLines/>
        <w:rPr>
          <w:szCs w:val="24"/>
        </w:rPr>
      </w:pPr>
      <w:r w:rsidRPr="00266232">
        <w:tab/>
        <w:t>Milan Blaško</w:t>
      </w:r>
      <w:r w:rsidRPr="00266232" w:rsidR="00982E7A">
        <w:tab/>
      </w:r>
      <w:r w:rsidRPr="00266232">
        <w:rPr>
          <w:szCs w:val="24"/>
        </w:rPr>
        <w:t xml:space="preserve">Mārtiņš Mits </w:t>
      </w:r>
      <w:r w:rsidRPr="00266232" w:rsidR="00982E7A">
        <w:br/>
      </w:r>
      <w:r w:rsidRPr="00266232" w:rsidR="00982E7A">
        <w:tab/>
      </w:r>
      <w:r w:rsidRPr="00266232">
        <w:rPr>
          <w:szCs w:val="24"/>
        </w:rPr>
        <w:t>Greffier adjoint</w:t>
      </w:r>
      <w:r w:rsidRPr="00266232" w:rsidR="00982E7A">
        <w:tab/>
      </w:r>
      <w:r w:rsidRPr="00266232">
        <w:rPr>
          <w:szCs w:val="24"/>
        </w:rPr>
        <w:t>Président</w:t>
      </w:r>
    </w:p>
    <w:sectPr w:rsidRPr="00266232" w:rsidR="00023AD3" w:rsidSect="00A4477A">
      <w:headerReference w:type="even" r:id="rId8"/>
      <w:headerReference w:type="default" r:id="rId9"/>
      <w:headerReference w:type="first" r:id="rId10"/>
      <w:footerReference w:type="first" r:id="rId11"/>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5AB7" w:rsidRDefault="00FE5AB7">
      <w:r>
        <w:separator/>
      </w:r>
    </w:p>
  </w:endnote>
  <w:endnote w:type="continuationSeparator" w:id="0">
    <w:p w:rsidR="00FE5AB7" w:rsidRDefault="00FE5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AB7" w:rsidRPr="00150BFA" w:rsidRDefault="00FE5AB7" w:rsidP="0020718E">
    <w:pPr>
      <w:jc w:val="center"/>
    </w:pPr>
    <w:r>
      <w:rPr>
        <w:noProof/>
        <w:lang w:val="en-US" w:eastAsia="ja-JP"/>
      </w:rPr>
      <w:drawing>
        <wp:inline distT="0" distB="0" distL="0" distR="0" wp14:anchorId="7177F70A" wp14:editId="224D3D03">
          <wp:extent cx="771525" cy="619125"/>
          <wp:effectExtent l="0" t="0" r="9525" b="9525"/>
          <wp:docPr id="5" name="Picture 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23AD3" w:rsidRPr="00E77EC0" w:rsidRDefault="00AE0022" w:rsidP="00023AD3">
    <w:pP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5AB7" w:rsidRDefault="00FE5AB7">
      <w:r>
        <w:separator/>
      </w:r>
    </w:p>
  </w:footnote>
  <w:footnote w:type="continuationSeparator" w:id="0">
    <w:p w:rsidR="00FE5AB7" w:rsidRDefault="00FE5A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AD3" w:rsidRPr="00E77EC0" w:rsidRDefault="00FE5AB7" w:rsidP="00A4477A">
    <w:pPr>
      <w:pStyle w:val="JuHeade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266232">
      <w:rPr>
        <w:rStyle w:val="PageNumber"/>
        <w:noProof/>
        <w:lang w:val="en-GB"/>
      </w:rPr>
      <w:t>2</w:t>
    </w:r>
    <w:r>
      <w:rPr>
        <w:rStyle w:val="PageNumber"/>
        <w:lang w:val="en-GB"/>
      </w:rPr>
      <w:fldChar w:fldCharType="end"/>
    </w:r>
    <w:r w:rsidR="00982E7A" w:rsidRPr="0059591B">
      <w:rPr>
        <w:lang w:val="en-GB"/>
      </w:rPr>
      <w:tab/>
      <w:t xml:space="preserve">DÉCISION </w:t>
    </w:r>
    <w:r>
      <w:rPr>
        <w:lang w:val="en-GB"/>
      </w:rPr>
      <w:t>PETITHORY LANZMANN c. FRANCE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AD3" w:rsidRPr="0059591B" w:rsidRDefault="00982E7A" w:rsidP="00404F6E">
    <w:pPr>
      <w:pStyle w:val="JuHeader"/>
      <w:rPr>
        <w:lang w:val="en-GB"/>
      </w:rPr>
    </w:pPr>
    <w:r w:rsidRPr="00E77EC0">
      <w:tab/>
    </w:r>
    <w:r w:rsidRPr="0059591B">
      <w:rPr>
        <w:lang w:val="en-GB"/>
      </w:rPr>
      <w:t xml:space="preserve">DÉCISION </w:t>
    </w:r>
    <w:r w:rsidR="00FE5AB7">
      <w:rPr>
        <w:lang w:val="en-GB"/>
      </w:rPr>
      <w:t>PETITHORY LANZMANN c. FRANCE</w:t>
    </w:r>
    <w:r w:rsidRPr="0059591B">
      <w:rPr>
        <w:lang w:val="en-GB"/>
      </w:rPr>
      <w:tab/>
    </w:r>
    <w:r w:rsidR="00FE5AB7">
      <w:rPr>
        <w:rStyle w:val="PageNumber"/>
        <w:lang w:val="en-GB"/>
      </w:rPr>
      <w:fldChar w:fldCharType="begin"/>
    </w:r>
    <w:r w:rsidR="00FE5AB7">
      <w:rPr>
        <w:rStyle w:val="PageNumber"/>
        <w:lang w:val="en-GB"/>
      </w:rPr>
      <w:instrText xml:space="preserve"> PAGE </w:instrText>
    </w:r>
    <w:r w:rsidR="00FE5AB7">
      <w:rPr>
        <w:rStyle w:val="PageNumber"/>
        <w:lang w:val="en-GB"/>
      </w:rPr>
      <w:fldChar w:fldCharType="separate"/>
    </w:r>
    <w:r w:rsidR="00266232">
      <w:rPr>
        <w:rStyle w:val="PageNumber"/>
        <w:noProof/>
        <w:lang w:val="en-GB"/>
      </w:rPr>
      <w:t>5</w:t>
    </w:r>
    <w:r w:rsidR="00FE5AB7">
      <w:rPr>
        <w:rStyle w:val="PageNumber"/>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AB7" w:rsidRDefault="00FE5AB7" w:rsidP="00A45145">
    <w:pPr>
      <w:jc w:val="center"/>
    </w:pPr>
    <w:r>
      <w:rPr>
        <w:noProof/>
        <w:lang w:val="en-US" w:eastAsia="ja-JP"/>
      </w:rPr>
      <w:drawing>
        <wp:inline distT="0" distB="0" distL="0" distR="0" wp14:anchorId="18E747E2" wp14:editId="7BBD6A1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249DB" w:rsidRPr="00A45145" w:rsidRDefault="008249DB" w:rsidP="00A45145">
    <w:pPr>
      <w:jc w:val="center"/>
    </w:pPr>
  </w:p>
  <w:p w:rsidR="00023AD3" w:rsidRPr="00E77EC0" w:rsidRDefault="00AE0022" w:rsidP="00023AD3">
    <w:pPr>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3704F6F0"/>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4CD28D7E"/>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tplc="ECB817CA">
      <w:start w:val="1"/>
      <w:numFmt w:val="bullet"/>
      <w:pStyle w:val="ListBullet"/>
      <w:lvlText w:val=""/>
      <w:lvlJc w:val="left"/>
      <w:pPr>
        <w:tabs>
          <w:tab w:val="num" w:pos="851"/>
        </w:tabs>
        <w:ind w:left="568" w:firstLine="0"/>
      </w:pPr>
      <w:rPr>
        <w:rFonts w:ascii="Wingdings" w:hAnsi="Wingdings" w:hint="default"/>
        <w:color w:val="808080"/>
        <w:sz w:val="16"/>
      </w:rPr>
    </w:lvl>
    <w:lvl w:ilvl="1" w:tplc="F552DFB8" w:tentative="1">
      <w:start w:val="1"/>
      <w:numFmt w:val="bullet"/>
      <w:lvlText w:val="o"/>
      <w:lvlJc w:val="left"/>
      <w:pPr>
        <w:tabs>
          <w:tab w:val="num" w:pos="1724"/>
        </w:tabs>
        <w:ind w:left="1724" w:hanging="360"/>
      </w:pPr>
      <w:rPr>
        <w:rFonts w:ascii="Courier New" w:hAnsi="Courier New" w:cs="Courier New" w:hint="default"/>
      </w:rPr>
    </w:lvl>
    <w:lvl w:ilvl="2" w:tplc="2A02D74A" w:tentative="1">
      <w:start w:val="1"/>
      <w:numFmt w:val="bullet"/>
      <w:lvlText w:val=""/>
      <w:lvlJc w:val="left"/>
      <w:pPr>
        <w:tabs>
          <w:tab w:val="num" w:pos="2444"/>
        </w:tabs>
        <w:ind w:left="2444" w:hanging="360"/>
      </w:pPr>
      <w:rPr>
        <w:rFonts w:ascii="Wingdings" w:hAnsi="Wingdings" w:hint="default"/>
      </w:rPr>
    </w:lvl>
    <w:lvl w:ilvl="3" w:tplc="C5200514" w:tentative="1">
      <w:start w:val="1"/>
      <w:numFmt w:val="bullet"/>
      <w:lvlText w:val=""/>
      <w:lvlJc w:val="left"/>
      <w:pPr>
        <w:tabs>
          <w:tab w:val="num" w:pos="3164"/>
        </w:tabs>
        <w:ind w:left="3164" w:hanging="360"/>
      </w:pPr>
      <w:rPr>
        <w:rFonts w:ascii="Symbol" w:hAnsi="Symbol" w:hint="default"/>
      </w:rPr>
    </w:lvl>
    <w:lvl w:ilvl="4" w:tplc="47841610" w:tentative="1">
      <w:start w:val="1"/>
      <w:numFmt w:val="bullet"/>
      <w:lvlText w:val="o"/>
      <w:lvlJc w:val="left"/>
      <w:pPr>
        <w:tabs>
          <w:tab w:val="num" w:pos="3884"/>
        </w:tabs>
        <w:ind w:left="3884" w:hanging="360"/>
      </w:pPr>
      <w:rPr>
        <w:rFonts w:ascii="Courier New" w:hAnsi="Courier New" w:cs="Courier New" w:hint="default"/>
      </w:rPr>
    </w:lvl>
    <w:lvl w:ilvl="5" w:tplc="CE1EF5D2" w:tentative="1">
      <w:start w:val="1"/>
      <w:numFmt w:val="bullet"/>
      <w:lvlText w:val=""/>
      <w:lvlJc w:val="left"/>
      <w:pPr>
        <w:tabs>
          <w:tab w:val="num" w:pos="4604"/>
        </w:tabs>
        <w:ind w:left="4604" w:hanging="360"/>
      </w:pPr>
      <w:rPr>
        <w:rFonts w:ascii="Wingdings" w:hAnsi="Wingdings" w:hint="default"/>
      </w:rPr>
    </w:lvl>
    <w:lvl w:ilvl="6" w:tplc="17A8ECCC" w:tentative="1">
      <w:start w:val="1"/>
      <w:numFmt w:val="bullet"/>
      <w:lvlText w:val=""/>
      <w:lvlJc w:val="left"/>
      <w:pPr>
        <w:tabs>
          <w:tab w:val="num" w:pos="5324"/>
        </w:tabs>
        <w:ind w:left="5324" w:hanging="360"/>
      </w:pPr>
      <w:rPr>
        <w:rFonts w:ascii="Symbol" w:hAnsi="Symbol" w:hint="default"/>
      </w:rPr>
    </w:lvl>
    <w:lvl w:ilvl="7" w:tplc="F1E69C7C" w:tentative="1">
      <w:start w:val="1"/>
      <w:numFmt w:val="bullet"/>
      <w:lvlText w:val="o"/>
      <w:lvlJc w:val="left"/>
      <w:pPr>
        <w:tabs>
          <w:tab w:val="num" w:pos="6044"/>
        </w:tabs>
        <w:ind w:left="6044" w:hanging="360"/>
      </w:pPr>
      <w:rPr>
        <w:rFonts w:ascii="Courier New" w:hAnsi="Courier New" w:cs="Courier New" w:hint="default"/>
      </w:rPr>
    </w:lvl>
    <w:lvl w:ilvl="8" w:tplc="EF0AE8D6"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E5AB7"/>
    <w:rsid w:val="00266232"/>
    <w:rsid w:val="002E2264"/>
    <w:rsid w:val="00554760"/>
    <w:rsid w:val="00593228"/>
    <w:rsid w:val="00597B13"/>
    <w:rsid w:val="0073027C"/>
    <w:rsid w:val="008249DB"/>
    <w:rsid w:val="00982E7A"/>
    <w:rsid w:val="00FE5AB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F2ED3"/>
    <w:pPr>
      <w:jc w:val="both"/>
    </w:pPr>
    <w:rPr>
      <w:rFonts w:eastAsiaTheme="minorEastAsia"/>
      <w:sz w:val="24"/>
      <w:lang w:val="fr-FR"/>
    </w:rPr>
  </w:style>
  <w:style w:type="paragraph" w:styleId="Heading1">
    <w:name w:val="heading 1"/>
    <w:basedOn w:val="Normal"/>
    <w:next w:val="Normal"/>
    <w:link w:val="Heading1Char"/>
    <w:uiPriority w:val="99"/>
    <w:semiHidden/>
    <w:rsid w:val="00FF2ED3"/>
    <w:pPr>
      <w:spacing w:before="480"/>
      <w:contextualSpacing/>
      <w:jc w:val="left"/>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F2ED3"/>
    <w:pPr>
      <w:spacing w:before="200"/>
      <w:jc w:val="left"/>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F2ED3"/>
    <w:pPr>
      <w:spacing w:before="200" w:line="271" w:lineRule="auto"/>
      <w:jc w:val="left"/>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F2ED3"/>
    <w:pPr>
      <w:spacing w:before="200"/>
      <w:jc w:val="left"/>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F2ED3"/>
    <w:pPr>
      <w:spacing w:before="200"/>
      <w:jc w:val="left"/>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FF2ED3"/>
    <w:p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F2ED3"/>
    <w:pPr>
      <w:jc w:val="left"/>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FF2ED3"/>
    <w:pPr>
      <w:jc w:val="left"/>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FF2ED3"/>
    <w:pPr>
      <w:jc w:val="left"/>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F2ED3"/>
    <w:pPr>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2ED3"/>
    <w:rPr>
      <w:rFonts w:ascii="Tahoma" w:eastAsiaTheme="minorEastAsia" w:hAnsi="Tahoma" w:cs="Tahoma"/>
      <w:sz w:val="16"/>
      <w:szCs w:val="16"/>
      <w:lang w:val="fr-FR"/>
    </w:rPr>
  </w:style>
  <w:style w:type="character" w:styleId="BookTitle">
    <w:name w:val="Book Title"/>
    <w:uiPriority w:val="99"/>
    <w:semiHidden/>
    <w:qFormat/>
    <w:rsid w:val="00FF2ED3"/>
    <w:rPr>
      <w:i/>
      <w:iCs/>
      <w:smallCaps/>
      <w:spacing w:val="5"/>
    </w:rPr>
  </w:style>
  <w:style w:type="paragraph" w:customStyle="1" w:styleId="JuHeader">
    <w:name w:val="Ju_Header"/>
    <w:aliases w:val="_Header"/>
    <w:basedOn w:val="Header"/>
    <w:uiPriority w:val="29"/>
    <w:qFormat/>
    <w:rsid w:val="00FF2ED3"/>
    <w:pPr>
      <w:tabs>
        <w:tab w:val="clear" w:pos="4536"/>
        <w:tab w:val="clear" w:pos="9072"/>
        <w:tab w:val="center" w:pos="3686"/>
        <w:tab w:val="right" w:pos="7371"/>
      </w:tabs>
    </w:pPr>
    <w:rPr>
      <w:sz w:val="18"/>
    </w:rPr>
  </w:style>
  <w:style w:type="paragraph" w:customStyle="1" w:styleId="ECHRFooter">
    <w:name w:val="ECHR_Footer"/>
    <w:aliases w:val="Footer_ECHR"/>
    <w:basedOn w:val="Footer"/>
    <w:uiPriority w:val="57"/>
    <w:semiHidden/>
    <w:rsid w:val="006D2110"/>
    <w:rPr>
      <w:sz w:val="8"/>
    </w:rPr>
  </w:style>
  <w:style w:type="character" w:styleId="Strong">
    <w:name w:val="Strong"/>
    <w:uiPriority w:val="99"/>
    <w:semiHidden/>
    <w:qFormat/>
    <w:rsid w:val="00FF2ED3"/>
    <w:rPr>
      <w:b/>
      <w:bCs/>
    </w:rPr>
  </w:style>
  <w:style w:type="paragraph" w:styleId="NoSpacing">
    <w:name w:val="No Spacing"/>
    <w:basedOn w:val="Normal"/>
    <w:link w:val="NoSpacingChar"/>
    <w:semiHidden/>
    <w:qFormat/>
    <w:rsid w:val="00FF2ED3"/>
    <w:pPr>
      <w:jc w:val="left"/>
    </w:pPr>
  </w:style>
  <w:style w:type="character" w:customStyle="1" w:styleId="NoSpacingChar">
    <w:name w:val="No Spacing Char"/>
    <w:basedOn w:val="DefaultParagraphFont"/>
    <w:link w:val="NoSpacing"/>
    <w:semiHidden/>
    <w:rsid w:val="00FF2ED3"/>
    <w:rPr>
      <w:rFonts w:eastAsiaTheme="minorEastAsia"/>
      <w:sz w:val="24"/>
      <w:lang w:val="fr-FR"/>
    </w:rPr>
  </w:style>
  <w:style w:type="paragraph" w:customStyle="1" w:styleId="FooterLine">
    <w:name w:val="_Footer_Line"/>
    <w:aliases w:val="Footer_Line"/>
    <w:basedOn w:val="Normal"/>
    <w:next w:val="Footer0"/>
    <w:uiPriority w:val="57"/>
    <w:semiHidden/>
    <w:rsid w:val="00FF2ED3"/>
    <w:pPr>
      <w:pBdr>
        <w:top w:val="single" w:sz="6" w:space="1" w:color="5F5F5F"/>
      </w:pBdr>
      <w:tabs>
        <w:tab w:val="center" w:pos="4536"/>
        <w:tab w:val="right" w:pos="9696"/>
      </w:tabs>
      <w:ind w:left="-680" w:right="-680"/>
      <w:jc w:val="left"/>
    </w:pPr>
    <w:rPr>
      <w:color w:val="5F5F5F"/>
    </w:rPr>
  </w:style>
  <w:style w:type="paragraph" w:customStyle="1" w:styleId="JuQuot">
    <w:name w:val="Ju_Quot"/>
    <w:aliases w:val="_Quote"/>
    <w:basedOn w:val="NormalJustified"/>
    <w:uiPriority w:val="21"/>
    <w:qFormat/>
    <w:rsid w:val="00FF2ED3"/>
    <w:pPr>
      <w:spacing w:before="120" w:after="120"/>
      <w:ind w:left="425" w:firstLine="142"/>
    </w:pPr>
    <w:rPr>
      <w:sz w:val="20"/>
    </w:rPr>
  </w:style>
  <w:style w:type="paragraph" w:customStyle="1" w:styleId="DecList">
    <w:name w:val="Dec_List"/>
    <w:aliases w:val="_List"/>
    <w:basedOn w:val="JuList"/>
    <w:uiPriority w:val="22"/>
    <w:rsid w:val="00FF2ED3"/>
    <w:pPr>
      <w:numPr>
        <w:numId w:val="0"/>
      </w:numPr>
      <w:ind w:left="340"/>
    </w:pPr>
  </w:style>
  <w:style w:type="paragraph" w:customStyle="1" w:styleId="JuList">
    <w:name w:val="Ju_List"/>
    <w:aliases w:val="_List_1"/>
    <w:basedOn w:val="NormalJustified"/>
    <w:uiPriority w:val="23"/>
    <w:qFormat/>
    <w:rsid w:val="00FF2ED3"/>
    <w:pPr>
      <w:numPr>
        <w:numId w:val="2"/>
      </w:numPr>
      <w:spacing w:before="280" w:after="60"/>
    </w:pPr>
    <w:rPr>
      <w:rFonts w:eastAsiaTheme="minorHAnsi"/>
    </w:rPr>
  </w:style>
  <w:style w:type="paragraph" w:customStyle="1" w:styleId="JuLista">
    <w:name w:val="Ju_List_a"/>
    <w:aliases w:val="_List_2"/>
    <w:basedOn w:val="NormalJustified"/>
    <w:uiPriority w:val="23"/>
    <w:rsid w:val="00FF2ED3"/>
    <w:pPr>
      <w:numPr>
        <w:ilvl w:val="1"/>
        <w:numId w:val="2"/>
      </w:numPr>
    </w:pPr>
  </w:style>
  <w:style w:type="paragraph" w:customStyle="1" w:styleId="JuListi">
    <w:name w:val="Ju_List_i"/>
    <w:aliases w:val="_List_3"/>
    <w:basedOn w:val="NormalJustified"/>
    <w:uiPriority w:val="23"/>
    <w:rsid w:val="00FF2ED3"/>
    <w:pPr>
      <w:numPr>
        <w:ilvl w:val="2"/>
        <w:numId w:val="2"/>
      </w:numPr>
    </w:pPr>
  </w:style>
  <w:style w:type="paragraph" w:customStyle="1" w:styleId="JuHArticle">
    <w:name w:val="Ju_H_Article"/>
    <w:aliases w:val="_Title_Quote"/>
    <w:basedOn w:val="Normal"/>
    <w:next w:val="JuQuot"/>
    <w:uiPriority w:val="20"/>
    <w:qFormat/>
    <w:rsid w:val="00FF2ED3"/>
    <w:pPr>
      <w:keepNext/>
      <w:spacing w:before="100" w:beforeAutospacing="1" w:after="120"/>
      <w:contextualSpacing/>
      <w:jc w:val="center"/>
    </w:pPr>
    <w:rPr>
      <w:rFonts w:eastAsiaTheme="minorHAnsi"/>
      <w:b/>
      <w:sz w:val="20"/>
    </w:rPr>
  </w:style>
  <w:style w:type="paragraph" w:customStyle="1" w:styleId="JuTitle">
    <w:name w:val="Ju_Title"/>
    <w:aliases w:val="_Title_2"/>
    <w:basedOn w:val="Normal"/>
    <w:next w:val="JuPara"/>
    <w:uiPriority w:val="35"/>
    <w:qFormat/>
    <w:rsid w:val="00FF2ED3"/>
    <w:pPr>
      <w:keepNext/>
      <w:keepLines/>
      <w:spacing w:before="1320" w:after="280"/>
      <w:contextualSpacing/>
      <w:jc w:val="center"/>
    </w:pPr>
    <w:rPr>
      <w:rFonts w:eastAsiaTheme="minorHAnsi"/>
      <w:b/>
    </w:rPr>
  </w:style>
  <w:style w:type="paragraph" w:customStyle="1" w:styleId="Title4">
    <w:name w:val="_Title_4"/>
    <w:basedOn w:val="JuPara"/>
    <w:next w:val="JuPara"/>
    <w:uiPriority w:val="35"/>
    <w:qFormat/>
    <w:rsid w:val="00FF2ED3"/>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FF2ED3"/>
    <w:pPr>
      <w:numPr>
        <w:numId w:val="6"/>
      </w:numPr>
    </w:pPr>
  </w:style>
  <w:style w:type="numbering" w:customStyle="1" w:styleId="ECHRA1StyleList">
    <w:name w:val="ECHR_A1_Style_List"/>
    <w:basedOn w:val="NoList"/>
    <w:uiPriority w:val="99"/>
    <w:rsid w:val="00FF2ED3"/>
    <w:pPr>
      <w:numPr>
        <w:numId w:val="7"/>
      </w:numPr>
    </w:pPr>
  </w:style>
  <w:style w:type="paragraph" w:styleId="Title">
    <w:name w:val="Title"/>
    <w:basedOn w:val="Normal"/>
    <w:next w:val="Normal"/>
    <w:link w:val="TitleChar"/>
    <w:uiPriority w:val="99"/>
    <w:semiHidden/>
    <w:qFormat/>
    <w:rsid w:val="00FF2ED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FF2ED3"/>
    <w:rPr>
      <w:rFonts w:asciiTheme="majorHAnsi" w:eastAsiaTheme="majorEastAsia" w:hAnsiTheme="majorHAnsi" w:cstheme="majorBidi"/>
      <w:spacing w:val="5"/>
      <w:sz w:val="52"/>
      <w:szCs w:val="52"/>
      <w:lang w:val="fr-FR" w:bidi="en-US"/>
    </w:rPr>
  </w:style>
  <w:style w:type="paragraph" w:customStyle="1" w:styleId="JuSigned">
    <w:name w:val="Ju_Signed"/>
    <w:aliases w:val="_Signature"/>
    <w:basedOn w:val="Normal"/>
    <w:next w:val="JuPara"/>
    <w:uiPriority w:val="30"/>
    <w:qFormat/>
    <w:rsid w:val="00FF2ED3"/>
    <w:pPr>
      <w:tabs>
        <w:tab w:val="center" w:pos="851"/>
        <w:tab w:val="center" w:pos="6407"/>
      </w:tabs>
      <w:spacing w:before="720"/>
      <w:jc w:val="left"/>
    </w:pPr>
  </w:style>
  <w:style w:type="numbering" w:customStyle="1" w:styleId="ECHRA1StyleNumberedList">
    <w:name w:val="ECHR_A1_Style_Numbered_List"/>
    <w:basedOn w:val="NoList"/>
    <w:rsid w:val="00FF2ED3"/>
    <w:pPr>
      <w:numPr>
        <w:numId w:val="8"/>
      </w:numPr>
    </w:pPr>
  </w:style>
  <w:style w:type="table" w:customStyle="1" w:styleId="ECHRTable2019">
    <w:name w:val="ECHR_Table_2019"/>
    <w:basedOn w:val="TableNormal"/>
    <w:uiPriority w:val="99"/>
    <w:rsid w:val="00FF2ED3"/>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0">
    <w:name w:val="_Footer"/>
    <w:aliases w:val="Footer_"/>
    <w:basedOn w:val="Footer"/>
    <w:uiPriority w:val="57"/>
    <w:semiHidden/>
    <w:rsid w:val="00FF2ED3"/>
    <w:rPr>
      <w:sz w:val="8"/>
    </w:rPr>
  </w:style>
  <w:style w:type="paragraph" w:customStyle="1" w:styleId="JuCase">
    <w:name w:val="Ju_Case"/>
    <w:basedOn w:val="Normal"/>
    <w:next w:val="JuPara"/>
    <w:uiPriority w:val="31"/>
    <w:rsid w:val="00FF2ED3"/>
    <w:pPr>
      <w:ind w:firstLine="284"/>
      <w:jc w:val="left"/>
    </w:pPr>
    <w:rPr>
      <w:b/>
    </w:rPr>
  </w:style>
  <w:style w:type="paragraph" w:customStyle="1" w:styleId="JuCourt">
    <w:name w:val="Ju_Court"/>
    <w:basedOn w:val="Normal"/>
    <w:next w:val="Normal"/>
    <w:uiPriority w:val="31"/>
    <w:qFormat/>
    <w:rsid w:val="00FF2ED3"/>
    <w:pPr>
      <w:tabs>
        <w:tab w:val="left" w:pos="907"/>
        <w:tab w:val="left" w:pos="1701"/>
        <w:tab w:val="right" w:pos="7371"/>
      </w:tabs>
      <w:spacing w:before="240"/>
      <w:ind w:left="397" w:hanging="397"/>
      <w:jc w:val="left"/>
    </w:pPr>
    <w:rPr>
      <w:lang w:bidi="en-US"/>
    </w:rPr>
  </w:style>
  <w:style w:type="paragraph" w:customStyle="1" w:styleId="JuHIRoman">
    <w:name w:val="Ju_H_I_Roman"/>
    <w:aliases w:val="_Head_2"/>
    <w:basedOn w:val="Normal"/>
    <w:next w:val="JuPara"/>
    <w:uiPriority w:val="19"/>
    <w:qFormat/>
    <w:rsid w:val="00FF2ED3"/>
    <w:pPr>
      <w:keepNext/>
      <w:keepLines/>
      <w:numPr>
        <w:ilvl w:val="1"/>
        <w:numId w:val="1"/>
      </w:numPr>
      <w:spacing w:before="100" w:beforeAutospacing="1" w:after="240"/>
      <w:outlineLvl w:val="1"/>
    </w:pPr>
    <w:rPr>
      <w:caps/>
    </w:rPr>
  </w:style>
  <w:style w:type="paragraph" w:customStyle="1" w:styleId="JuHA">
    <w:name w:val="Ju_H_A"/>
    <w:aliases w:val="_Head_3"/>
    <w:basedOn w:val="Normal"/>
    <w:next w:val="JuPara"/>
    <w:uiPriority w:val="19"/>
    <w:qFormat/>
    <w:rsid w:val="00FF2ED3"/>
    <w:pPr>
      <w:keepNext/>
      <w:keepLines/>
      <w:numPr>
        <w:ilvl w:val="2"/>
        <w:numId w:val="1"/>
      </w:numPr>
      <w:spacing w:before="100" w:beforeAutospacing="1" w:after="240"/>
      <w:outlineLvl w:val="2"/>
    </w:pPr>
    <w:rPr>
      <w:b/>
    </w:rPr>
  </w:style>
  <w:style w:type="paragraph" w:styleId="Header">
    <w:name w:val="header"/>
    <w:basedOn w:val="Normal"/>
    <w:link w:val="HeaderChar"/>
    <w:uiPriority w:val="57"/>
    <w:semiHidden/>
    <w:rsid w:val="00FF2ED3"/>
    <w:pPr>
      <w:tabs>
        <w:tab w:val="center" w:pos="4536"/>
        <w:tab w:val="right" w:pos="9072"/>
      </w:tabs>
      <w:jc w:val="left"/>
    </w:pPr>
    <w:rPr>
      <w:rFonts w:eastAsiaTheme="minorHAnsi"/>
    </w:rPr>
  </w:style>
  <w:style w:type="character" w:customStyle="1" w:styleId="HeaderChar">
    <w:name w:val="Header Char"/>
    <w:basedOn w:val="DefaultParagraphFont"/>
    <w:link w:val="Header"/>
    <w:uiPriority w:val="57"/>
    <w:semiHidden/>
    <w:rsid w:val="00FF2ED3"/>
    <w:rPr>
      <w:sz w:val="24"/>
      <w:lang w:val="fr-FR"/>
    </w:rPr>
  </w:style>
  <w:style w:type="character" w:customStyle="1" w:styleId="Heading1Char">
    <w:name w:val="Heading 1 Char"/>
    <w:basedOn w:val="DefaultParagraphFont"/>
    <w:link w:val="Heading1"/>
    <w:uiPriority w:val="99"/>
    <w:semiHidden/>
    <w:rsid w:val="00FF2ED3"/>
    <w:rPr>
      <w:rFonts w:asciiTheme="majorHAnsi" w:eastAsiaTheme="majorEastAsia" w:hAnsiTheme="majorHAnsi" w:cstheme="majorBidi"/>
      <w:b/>
      <w:bCs/>
      <w:color w:val="333333"/>
      <w:sz w:val="28"/>
      <w:szCs w:val="28"/>
      <w:lang w:val="fr-FR"/>
    </w:rPr>
  </w:style>
  <w:style w:type="paragraph" w:customStyle="1" w:styleId="JuH1">
    <w:name w:val="Ju_H_1."/>
    <w:aliases w:val="_Head_4"/>
    <w:basedOn w:val="Normal"/>
    <w:next w:val="JuPara"/>
    <w:uiPriority w:val="19"/>
    <w:rsid w:val="00FF2ED3"/>
    <w:pPr>
      <w:keepNext/>
      <w:keepLines/>
      <w:numPr>
        <w:ilvl w:val="3"/>
        <w:numId w:val="1"/>
      </w:numPr>
      <w:spacing w:before="100" w:beforeAutospacing="1" w:after="120"/>
      <w:outlineLvl w:val="3"/>
    </w:pPr>
    <w:rPr>
      <w:i/>
    </w:rPr>
  </w:style>
  <w:style w:type="paragraph" w:customStyle="1" w:styleId="JuHa0">
    <w:name w:val="Ju_H_a"/>
    <w:aliases w:val="_Head_5"/>
    <w:basedOn w:val="Normal"/>
    <w:next w:val="JuPara"/>
    <w:uiPriority w:val="19"/>
    <w:rsid w:val="00FF2ED3"/>
    <w:pPr>
      <w:keepNext/>
      <w:keepLines/>
      <w:numPr>
        <w:ilvl w:val="4"/>
        <w:numId w:val="1"/>
      </w:numPr>
      <w:spacing w:before="100" w:beforeAutospacing="1" w:after="120"/>
      <w:outlineLvl w:val="4"/>
    </w:pPr>
    <w:rPr>
      <w:b/>
      <w:sz w:val="20"/>
    </w:rPr>
  </w:style>
  <w:style w:type="character" w:customStyle="1" w:styleId="Heading2Char">
    <w:name w:val="Heading 2 Char"/>
    <w:basedOn w:val="DefaultParagraphFont"/>
    <w:link w:val="Heading2"/>
    <w:uiPriority w:val="99"/>
    <w:semiHidden/>
    <w:rsid w:val="00FF2ED3"/>
    <w:rPr>
      <w:rFonts w:asciiTheme="majorHAnsi" w:eastAsiaTheme="majorEastAsia" w:hAnsiTheme="majorHAnsi" w:cstheme="majorBidi"/>
      <w:b/>
      <w:bCs/>
      <w:color w:val="4D4D4D"/>
      <w:sz w:val="26"/>
      <w:szCs w:val="26"/>
      <w:lang w:val="fr-FR"/>
    </w:rPr>
  </w:style>
  <w:style w:type="paragraph" w:customStyle="1" w:styleId="JuHi">
    <w:name w:val="Ju_H_i"/>
    <w:aliases w:val="_Head_6"/>
    <w:basedOn w:val="Normal"/>
    <w:next w:val="JuPara"/>
    <w:uiPriority w:val="19"/>
    <w:rsid w:val="00FF2ED3"/>
    <w:pPr>
      <w:keepNext/>
      <w:keepLines/>
      <w:numPr>
        <w:ilvl w:val="5"/>
        <w:numId w:val="1"/>
      </w:numPr>
      <w:spacing w:before="100" w:beforeAutospacing="1" w:after="120"/>
      <w:outlineLvl w:val="5"/>
    </w:pPr>
    <w:rPr>
      <w:i/>
      <w:sz w:val="20"/>
    </w:rPr>
  </w:style>
  <w:style w:type="paragraph" w:customStyle="1" w:styleId="JuHalpha">
    <w:name w:val="Ju_H_alpha"/>
    <w:aliases w:val="_Head_7"/>
    <w:basedOn w:val="Normal"/>
    <w:next w:val="JuPara"/>
    <w:uiPriority w:val="19"/>
    <w:rsid w:val="00FF2ED3"/>
    <w:pPr>
      <w:keepNext/>
      <w:keepLines/>
      <w:numPr>
        <w:ilvl w:val="6"/>
        <w:numId w:val="1"/>
      </w:numPr>
      <w:spacing w:before="100" w:beforeAutospacing="1" w:after="120"/>
      <w:outlineLvl w:val="6"/>
    </w:pPr>
    <w:rPr>
      <w:sz w:val="20"/>
    </w:rPr>
  </w:style>
  <w:style w:type="character" w:customStyle="1" w:styleId="Heading3Char">
    <w:name w:val="Heading 3 Char"/>
    <w:basedOn w:val="DefaultParagraphFont"/>
    <w:link w:val="Heading3"/>
    <w:uiPriority w:val="99"/>
    <w:semiHidden/>
    <w:rsid w:val="00FF2ED3"/>
    <w:rPr>
      <w:rFonts w:asciiTheme="majorHAnsi" w:eastAsiaTheme="majorEastAsia" w:hAnsiTheme="majorHAnsi" w:cstheme="majorBidi"/>
      <w:b/>
      <w:bCs/>
      <w:color w:val="5F5F5F"/>
      <w:sz w:val="24"/>
      <w:lang w:val="fr-FR"/>
    </w:rPr>
  </w:style>
  <w:style w:type="paragraph" w:customStyle="1" w:styleId="JuH">
    <w:name w:val="Ju_H_–"/>
    <w:aliases w:val="_Head_8"/>
    <w:basedOn w:val="Normal"/>
    <w:next w:val="JuPara"/>
    <w:uiPriority w:val="19"/>
    <w:rsid w:val="00FF2ED3"/>
    <w:pPr>
      <w:keepNext/>
      <w:keepLines/>
      <w:numPr>
        <w:ilvl w:val="7"/>
        <w:numId w:val="1"/>
      </w:numPr>
      <w:spacing w:before="100" w:beforeAutospacing="1" w:after="120"/>
      <w:outlineLvl w:val="7"/>
    </w:pPr>
    <w:rPr>
      <w:i/>
      <w:sz w:val="20"/>
    </w:rPr>
  </w:style>
  <w:style w:type="paragraph" w:customStyle="1" w:styleId="JuParaLast">
    <w:name w:val="Ju_Para_Last"/>
    <w:aliases w:val="_Para_Spaced"/>
    <w:basedOn w:val="NormalJustified"/>
    <w:uiPriority w:val="9"/>
    <w:qFormat/>
    <w:rsid w:val="00FF2ED3"/>
    <w:pPr>
      <w:keepNext/>
      <w:keepLines/>
      <w:spacing w:before="240" w:after="240"/>
      <w:ind w:firstLine="284"/>
    </w:pPr>
    <w:rPr>
      <w:rFonts w:eastAsiaTheme="minorHAnsi"/>
    </w:rPr>
  </w:style>
  <w:style w:type="character" w:customStyle="1" w:styleId="Heading4Char">
    <w:name w:val="Heading 4 Char"/>
    <w:basedOn w:val="DefaultParagraphFont"/>
    <w:link w:val="Heading4"/>
    <w:uiPriority w:val="99"/>
    <w:semiHidden/>
    <w:rsid w:val="00FF2ED3"/>
    <w:rPr>
      <w:rFonts w:asciiTheme="majorHAnsi" w:eastAsiaTheme="majorEastAsia" w:hAnsiTheme="majorHAnsi" w:cstheme="majorBidi"/>
      <w:b/>
      <w:bCs/>
      <w:i/>
      <w:iCs/>
      <w:color w:val="777777"/>
      <w:sz w:val="24"/>
      <w:lang w:val="fr-FR"/>
    </w:rPr>
  </w:style>
  <w:style w:type="paragraph" w:customStyle="1" w:styleId="JuInitialled">
    <w:name w:val="Ju_Initialled"/>
    <w:aliases w:val="_Right"/>
    <w:basedOn w:val="Normal"/>
    <w:uiPriority w:val="30"/>
    <w:qFormat/>
    <w:rsid w:val="00FF2ED3"/>
    <w:pPr>
      <w:tabs>
        <w:tab w:val="center" w:pos="6407"/>
      </w:tabs>
      <w:spacing w:before="720"/>
      <w:jc w:val="right"/>
    </w:pPr>
  </w:style>
  <w:style w:type="character" w:customStyle="1" w:styleId="Heading5Char">
    <w:name w:val="Heading 5 Char"/>
    <w:basedOn w:val="DefaultParagraphFont"/>
    <w:link w:val="Heading5"/>
    <w:uiPriority w:val="99"/>
    <w:semiHidden/>
    <w:rsid w:val="00FF2ED3"/>
    <w:rPr>
      <w:rFonts w:asciiTheme="majorHAnsi" w:eastAsiaTheme="majorEastAsia" w:hAnsiTheme="majorHAnsi" w:cstheme="majorBidi"/>
      <w:b/>
      <w:bCs/>
      <w:color w:val="808080"/>
      <w:sz w:val="24"/>
      <w:lang w:val="fr-FR"/>
    </w:rPr>
  </w:style>
  <w:style w:type="character" w:customStyle="1" w:styleId="JuITMark">
    <w:name w:val="Ju_ITMark"/>
    <w:basedOn w:val="DefaultParagraphFont"/>
    <w:uiPriority w:val="38"/>
    <w:semiHidden/>
    <w:qFormat/>
    <w:rsid w:val="00FF2ED3"/>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FF2ED3"/>
    <w:rPr>
      <w:caps w:val="0"/>
      <w:smallCaps/>
    </w:rPr>
  </w:style>
  <w:style w:type="character" w:styleId="SubtleEmphasis">
    <w:name w:val="Subtle Emphasis"/>
    <w:uiPriority w:val="99"/>
    <w:semiHidden/>
    <w:qFormat/>
    <w:rsid w:val="00FF2ED3"/>
    <w:rPr>
      <w:i/>
      <w:iCs/>
    </w:rPr>
  </w:style>
  <w:style w:type="paragraph" w:customStyle="1" w:styleId="NormalJustified">
    <w:name w:val="Normal_Justified"/>
    <w:basedOn w:val="Normal"/>
    <w:semiHidden/>
    <w:rsid w:val="00FF2ED3"/>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F2ED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
    <w:next w:val="JuPara"/>
    <w:uiPriority w:val="19"/>
    <w:qFormat/>
    <w:rsid w:val="00FF2ED3"/>
    <w:pPr>
      <w:keepNext/>
      <w:keepLines/>
      <w:numPr>
        <w:numId w:val="1"/>
      </w:numPr>
      <w:spacing w:before="100" w:beforeAutospacing="1" w:after="240"/>
      <w:outlineLvl w:val="0"/>
    </w:pPr>
    <w:rPr>
      <w:caps/>
      <w:sz w:val="28"/>
    </w:rPr>
  </w:style>
  <w:style w:type="paragraph" w:customStyle="1" w:styleId="DecHCase">
    <w:name w:val="Dec_H_Case"/>
    <w:aliases w:val="_Title_3"/>
    <w:basedOn w:val="JuPara"/>
    <w:next w:val="JuPara"/>
    <w:uiPriority w:val="35"/>
    <w:qFormat/>
    <w:rsid w:val="00FF2ED3"/>
    <w:pPr>
      <w:keepNext/>
      <w:keepLines/>
      <w:spacing w:after="280"/>
      <w:ind w:firstLine="0"/>
      <w:jc w:val="center"/>
    </w:pPr>
    <w:rPr>
      <w:rFonts w:asciiTheme="majorHAnsi" w:hAnsiTheme="majorHAnsi"/>
    </w:rPr>
  </w:style>
  <w:style w:type="character" w:styleId="Emphasis">
    <w:name w:val="Emphasis"/>
    <w:uiPriority w:val="99"/>
    <w:semiHidden/>
    <w:qFormat/>
    <w:rsid w:val="00FF2ED3"/>
    <w:rPr>
      <w:b/>
      <w:bCs/>
      <w:i/>
      <w:iCs/>
      <w:spacing w:val="10"/>
      <w:bdr w:val="none" w:sz="0" w:space="0" w:color="auto"/>
      <w:shd w:val="clear" w:color="auto" w:fill="auto"/>
    </w:rPr>
  </w:style>
  <w:style w:type="paragraph" w:styleId="Footer">
    <w:name w:val="footer"/>
    <w:basedOn w:val="Normal"/>
    <w:link w:val="FooterChar"/>
    <w:uiPriority w:val="57"/>
    <w:semiHidden/>
    <w:rsid w:val="00FF2ED3"/>
    <w:pPr>
      <w:tabs>
        <w:tab w:val="center" w:pos="4536"/>
        <w:tab w:val="right" w:pos="9696"/>
      </w:tabs>
      <w:ind w:left="-680" w:right="-680"/>
      <w:jc w:val="left"/>
    </w:pPr>
    <w:rPr>
      <w:rFonts w:eastAsiaTheme="minorHAnsi"/>
    </w:rPr>
  </w:style>
  <w:style w:type="character" w:customStyle="1" w:styleId="FooterChar">
    <w:name w:val="Footer Char"/>
    <w:basedOn w:val="DefaultParagraphFont"/>
    <w:link w:val="Footer"/>
    <w:uiPriority w:val="57"/>
    <w:semiHidden/>
    <w:rsid w:val="00FF2ED3"/>
    <w:rPr>
      <w:sz w:val="24"/>
      <w:lang w:val="fr-FR"/>
    </w:rPr>
  </w:style>
  <w:style w:type="character" w:styleId="FootnoteReference">
    <w:name w:val="footnote reference"/>
    <w:basedOn w:val="DefaultParagraphFont"/>
    <w:uiPriority w:val="99"/>
    <w:semiHidden/>
    <w:rsid w:val="00FF2ED3"/>
    <w:rPr>
      <w:vertAlign w:val="superscript"/>
    </w:rPr>
  </w:style>
  <w:style w:type="paragraph" w:styleId="FootnoteText">
    <w:name w:val="footnote text"/>
    <w:basedOn w:val="Normal"/>
    <w:link w:val="FootnoteTextChar"/>
    <w:uiPriority w:val="99"/>
    <w:semiHidden/>
    <w:rsid w:val="00FF2ED3"/>
    <w:pPr>
      <w:jc w:val="left"/>
    </w:pPr>
    <w:rPr>
      <w:sz w:val="20"/>
      <w:szCs w:val="20"/>
    </w:rPr>
  </w:style>
  <w:style w:type="character" w:customStyle="1" w:styleId="FootnoteTextChar">
    <w:name w:val="Footnote Text Char"/>
    <w:basedOn w:val="DefaultParagraphFont"/>
    <w:link w:val="FootnoteText"/>
    <w:uiPriority w:val="99"/>
    <w:semiHidden/>
    <w:rsid w:val="00FF2ED3"/>
    <w:rPr>
      <w:rFonts w:eastAsiaTheme="minorEastAsia"/>
      <w:sz w:val="20"/>
      <w:szCs w:val="20"/>
      <w:lang w:val="fr-FR"/>
    </w:rPr>
  </w:style>
  <w:style w:type="character" w:customStyle="1" w:styleId="Heading6Char">
    <w:name w:val="Heading 6 Char"/>
    <w:basedOn w:val="DefaultParagraphFont"/>
    <w:link w:val="Heading6"/>
    <w:uiPriority w:val="99"/>
    <w:semiHidden/>
    <w:rsid w:val="00FF2ED3"/>
    <w:rPr>
      <w:rFonts w:asciiTheme="majorHAnsi" w:eastAsiaTheme="majorEastAsia" w:hAnsiTheme="majorHAnsi" w:cstheme="majorBidi"/>
      <w:b/>
      <w:bCs/>
      <w:i/>
      <w:iCs/>
      <w:color w:val="7F7F7F" w:themeColor="text1" w:themeTint="80"/>
      <w:sz w:val="24"/>
      <w:lang w:val="fr-FR" w:bidi="en-US"/>
    </w:rPr>
  </w:style>
  <w:style w:type="character" w:customStyle="1" w:styleId="Heading7Char">
    <w:name w:val="Heading 7 Char"/>
    <w:basedOn w:val="DefaultParagraphFont"/>
    <w:link w:val="Heading7"/>
    <w:uiPriority w:val="99"/>
    <w:semiHidden/>
    <w:rsid w:val="00FF2ED3"/>
    <w:rPr>
      <w:rFonts w:asciiTheme="majorHAnsi" w:eastAsiaTheme="majorEastAsia" w:hAnsiTheme="majorHAnsi" w:cstheme="majorBidi"/>
      <w:i/>
      <w:iCs/>
      <w:sz w:val="24"/>
      <w:lang w:val="fr-FR" w:bidi="en-US"/>
    </w:rPr>
  </w:style>
  <w:style w:type="character" w:customStyle="1" w:styleId="Heading8Char">
    <w:name w:val="Heading 8 Char"/>
    <w:basedOn w:val="DefaultParagraphFont"/>
    <w:link w:val="Heading8"/>
    <w:uiPriority w:val="99"/>
    <w:semiHidden/>
    <w:rsid w:val="00FF2ED3"/>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9"/>
    <w:semiHidden/>
    <w:rsid w:val="00FF2ED3"/>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9"/>
    <w:semiHidden/>
    <w:rsid w:val="00FF2ED3"/>
    <w:rPr>
      <w:color w:val="0072BC" w:themeColor="hyperlink"/>
      <w:u w:val="single"/>
    </w:rPr>
  </w:style>
  <w:style w:type="character" w:styleId="IntenseEmphasis">
    <w:name w:val="Intense Emphasis"/>
    <w:uiPriority w:val="99"/>
    <w:semiHidden/>
    <w:qFormat/>
    <w:rsid w:val="00FF2ED3"/>
    <w:rPr>
      <w:b/>
      <w:bCs/>
    </w:rPr>
  </w:style>
  <w:style w:type="paragraph" w:styleId="IntenseQuote">
    <w:name w:val="Intense Quote"/>
    <w:basedOn w:val="Normal"/>
    <w:next w:val="Normal"/>
    <w:link w:val="IntenseQuoteChar"/>
    <w:uiPriority w:val="99"/>
    <w:semiHidden/>
    <w:qFormat/>
    <w:rsid w:val="00FF2ED3"/>
    <w:pPr>
      <w:pBdr>
        <w:bottom w:val="single" w:sz="4" w:space="1" w:color="auto"/>
      </w:pBdr>
      <w:spacing w:before="200" w:after="280"/>
      <w:ind w:left="1008" w:right="1152"/>
      <w:jc w:val="left"/>
    </w:pPr>
    <w:rPr>
      <w:b/>
      <w:bCs/>
      <w:i/>
      <w:iCs/>
      <w:lang w:bidi="en-US"/>
    </w:rPr>
  </w:style>
  <w:style w:type="character" w:customStyle="1" w:styleId="IntenseQuoteChar">
    <w:name w:val="Intense Quote Char"/>
    <w:basedOn w:val="DefaultParagraphFont"/>
    <w:link w:val="IntenseQuote"/>
    <w:uiPriority w:val="99"/>
    <w:semiHidden/>
    <w:rsid w:val="00FF2ED3"/>
    <w:rPr>
      <w:rFonts w:eastAsiaTheme="minorEastAsia"/>
      <w:b/>
      <w:bCs/>
      <w:i/>
      <w:iCs/>
      <w:sz w:val="24"/>
      <w:lang w:val="fr-FR" w:bidi="en-US"/>
    </w:rPr>
  </w:style>
  <w:style w:type="character" w:styleId="IntenseReference">
    <w:name w:val="Intense Reference"/>
    <w:uiPriority w:val="99"/>
    <w:semiHidden/>
    <w:qFormat/>
    <w:rsid w:val="00FF2ED3"/>
    <w:rPr>
      <w:smallCaps/>
      <w:spacing w:val="5"/>
      <w:u w:val="single"/>
    </w:rPr>
  </w:style>
  <w:style w:type="paragraph" w:styleId="ListParagraph">
    <w:name w:val="List Paragraph"/>
    <w:basedOn w:val="Normal"/>
    <w:uiPriority w:val="99"/>
    <w:semiHidden/>
    <w:qFormat/>
    <w:rsid w:val="00FF2ED3"/>
    <w:pPr>
      <w:ind w:left="720"/>
      <w:contextualSpacing/>
      <w:jc w:val="left"/>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F2ED3"/>
    <w:pPr>
      <w:spacing w:before="200"/>
      <w:ind w:left="360" w:right="360"/>
    </w:pPr>
    <w:rPr>
      <w:i/>
      <w:iCs/>
      <w:lang w:bidi="en-US"/>
    </w:rPr>
  </w:style>
  <w:style w:type="character" w:customStyle="1" w:styleId="QuoteChar">
    <w:name w:val="Quote Char"/>
    <w:basedOn w:val="DefaultParagraphFont"/>
    <w:link w:val="Quote"/>
    <w:uiPriority w:val="99"/>
    <w:semiHidden/>
    <w:rsid w:val="00FF2ED3"/>
    <w:rPr>
      <w:rFonts w:eastAsiaTheme="minorEastAsia"/>
      <w:i/>
      <w:iCs/>
      <w:sz w:val="24"/>
      <w:lang w:val="fr-FR" w:bidi="en-US"/>
    </w:rPr>
  </w:style>
  <w:style w:type="character" w:styleId="SubtleReference">
    <w:name w:val="Subtle Reference"/>
    <w:uiPriority w:val="99"/>
    <w:semiHidden/>
    <w:qFormat/>
    <w:rsid w:val="00FF2ED3"/>
    <w:rPr>
      <w:smallCaps/>
    </w:rPr>
  </w:style>
  <w:style w:type="table" w:styleId="TableGrid">
    <w:name w:val="Table Grid"/>
    <w:basedOn w:val="TableNormal"/>
    <w:uiPriority w:val="59"/>
    <w:semiHidden/>
    <w:rsid w:val="00FF2ED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F2ED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F2ED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F2ED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F2ED3"/>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F2ED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F2ED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F2ED3"/>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F2ED3"/>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FF2ED3"/>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F2ED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Para">
    <w:name w:val="Ju_Para"/>
    <w:aliases w:val="_Para"/>
    <w:basedOn w:val="NormalJustified"/>
    <w:link w:val="JuParaChar"/>
    <w:uiPriority w:val="8"/>
    <w:qFormat/>
    <w:rsid w:val="00FF2ED3"/>
    <w:pPr>
      <w:ind w:firstLine="284"/>
    </w:pPr>
  </w:style>
  <w:style w:type="paragraph" w:styleId="Subtitle">
    <w:name w:val="Subtitle"/>
    <w:basedOn w:val="Normal"/>
    <w:next w:val="Normal"/>
    <w:link w:val="SubtitleChar"/>
    <w:uiPriority w:val="99"/>
    <w:semiHidden/>
    <w:qFormat/>
    <w:rsid w:val="00FF2ED3"/>
    <w:pPr>
      <w:spacing w:after="600"/>
    </w:pPr>
    <w:rPr>
      <w:rFonts w:asciiTheme="majorHAnsi" w:eastAsiaTheme="majorEastAsia" w:hAnsiTheme="majorHAnsi" w:cstheme="majorBidi"/>
      <w:i/>
      <w:iCs/>
      <w:spacing w:val="13"/>
      <w:szCs w:val="24"/>
      <w:lang w:bidi="en-US"/>
    </w:rPr>
  </w:style>
  <w:style w:type="table" w:customStyle="1" w:styleId="ECHRTableSimpleBox">
    <w:name w:val="ECHR_Table_Simple_Box"/>
    <w:basedOn w:val="TableNormal"/>
    <w:uiPriority w:val="99"/>
    <w:rsid w:val="00FF2ED3"/>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F2ED3"/>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character" w:customStyle="1" w:styleId="SubtitleChar">
    <w:name w:val="Subtitle Char"/>
    <w:basedOn w:val="DefaultParagraphFont"/>
    <w:link w:val="Subtitle"/>
    <w:uiPriority w:val="99"/>
    <w:semiHidden/>
    <w:rsid w:val="00FF2ED3"/>
    <w:rPr>
      <w:rFonts w:asciiTheme="majorHAnsi" w:eastAsiaTheme="majorEastAsia" w:hAnsiTheme="majorHAnsi" w:cstheme="majorBidi"/>
      <w:i/>
      <w:iCs/>
      <w:spacing w:val="13"/>
      <w:sz w:val="24"/>
      <w:szCs w:val="24"/>
      <w:lang w:val="fr-FR" w:bidi="en-US"/>
    </w:rPr>
  </w:style>
  <w:style w:type="table" w:customStyle="1" w:styleId="ECHRTableForInternalUse">
    <w:name w:val="ECHR_Table_For_Internal_Use"/>
    <w:basedOn w:val="TableNormal"/>
    <w:uiPriority w:val="99"/>
    <w:rsid w:val="00FF2ED3"/>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D211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NoList"/>
    <w:uiPriority w:val="99"/>
    <w:semiHidden/>
    <w:unhideWhenUsed/>
    <w:rsid w:val="00FF2ED3"/>
    <w:pPr>
      <w:numPr>
        <w:numId w:val="3"/>
      </w:numPr>
    </w:pPr>
  </w:style>
  <w:style w:type="numbering" w:styleId="1ai">
    <w:name w:val="Outline List 1"/>
    <w:basedOn w:val="NoList"/>
    <w:uiPriority w:val="99"/>
    <w:semiHidden/>
    <w:unhideWhenUsed/>
    <w:rsid w:val="00FF2ED3"/>
    <w:pPr>
      <w:numPr>
        <w:numId w:val="4"/>
      </w:numPr>
    </w:pPr>
  </w:style>
  <w:style w:type="table" w:customStyle="1" w:styleId="ECHRHeaderTable">
    <w:name w:val="ECHR_Header_Table"/>
    <w:basedOn w:val="TableNormal"/>
    <w:uiPriority w:val="99"/>
    <w:rsid w:val="00FF2ED3"/>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numbering" w:styleId="ArticleSection">
    <w:name w:val="Outline List 3"/>
    <w:basedOn w:val="NoList"/>
    <w:uiPriority w:val="99"/>
    <w:semiHidden/>
    <w:unhideWhenUsed/>
    <w:rsid w:val="00FF2ED3"/>
    <w:pPr>
      <w:numPr>
        <w:numId w:val="5"/>
      </w:numPr>
    </w:pPr>
  </w:style>
  <w:style w:type="paragraph" w:styleId="Bibliography">
    <w:name w:val="Bibliography"/>
    <w:basedOn w:val="Normal"/>
    <w:next w:val="Normal"/>
    <w:uiPriority w:val="99"/>
    <w:semiHidden/>
    <w:rsid w:val="00FF2ED3"/>
    <w:pPr>
      <w:jc w:val="left"/>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link w:val="JuJudgesChar"/>
    <w:uiPriority w:val="31"/>
    <w:qFormat/>
    <w:rsid w:val="00FF2ED3"/>
    <w:pPr>
      <w:tabs>
        <w:tab w:val="left" w:pos="567"/>
        <w:tab w:val="left" w:pos="1134"/>
      </w:tabs>
      <w:jc w:val="left"/>
    </w:pPr>
  </w:style>
  <w:style w:type="table" w:customStyle="1" w:styleId="ECHRHeaderTableReduced">
    <w:name w:val="ECHR_Header_Table_Reduced"/>
    <w:basedOn w:val="TableNormal"/>
    <w:uiPriority w:val="99"/>
    <w:rsid w:val="00FF2ED3"/>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PageNumber">
    <w:name w:val="page number"/>
    <w:uiPriority w:val="99"/>
    <w:semiHidden/>
    <w:rsid w:val="00FF2ED3"/>
    <w:rPr>
      <w:sz w:val="18"/>
    </w:rPr>
  </w:style>
  <w:style w:type="character" w:styleId="CommentReference">
    <w:name w:val="annotation reference"/>
    <w:basedOn w:val="DefaultParagraphFont"/>
    <w:uiPriority w:val="99"/>
    <w:semiHidden/>
    <w:rsid w:val="00FF2ED3"/>
    <w:rPr>
      <w:sz w:val="16"/>
      <w:szCs w:val="16"/>
    </w:rPr>
  </w:style>
  <w:style w:type="paragraph" w:styleId="CommentText">
    <w:name w:val="annotation text"/>
    <w:basedOn w:val="Normal"/>
    <w:link w:val="CommentTextChar"/>
    <w:semiHidden/>
    <w:rsid w:val="00FF2ED3"/>
    <w:pPr>
      <w:jc w:val="left"/>
    </w:pPr>
    <w:rPr>
      <w:sz w:val="20"/>
      <w:szCs w:val="20"/>
    </w:rPr>
  </w:style>
  <w:style w:type="character" w:customStyle="1" w:styleId="CommentTextChar">
    <w:name w:val="Comment Text Char"/>
    <w:basedOn w:val="DefaultParagraphFont"/>
    <w:link w:val="CommentText"/>
    <w:semiHidden/>
    <w:rsid w:val="00FF2ED3"/>
    <w:rPr>
      <w:rFonts w:eastAsiaTheme="minorEastAsia"/>
      <w:sz w:val="20"/>
      <w:szCs w:val="20"/>
      <w:lang w:val="fr-FR"/>
    </w:rPr>
  </w:style>
  <w:style w:type="paragraph" w:customStyle="1" w:styleId="DecHTitle">
    <w:name w:val="Dec_H_Title"/>
    <w:aliases w:val="_Title_1"/>
    <w:basedOn w:val="JuPara"/>
    <w:next w:val="JuPara"/>
    <w:uiPriority w:val="35"/>
    <w:qFormat/>
    <w:rsid w:val="00FF2ED3"/>
    <w:pPr>
      <w:keepNext/>
      <w:keepLines/>
      <w:spacing w:after="240"/>
      <w:ind w:firstLine="0"/>
      <w:jc w:val="center"/>
      <w:outlineLvl w:val="0"/>
    </w:pPr>
    <w:rPr>
      <w:rFonts w:asciiTheme="majorHAnsi" w:hAnsiTheme="majorHAnsi"/>
      <w:sz w:val="28"/>
    </w:rPr>
  </w:style>
  <w:style w:type="paragraph" w:styleId="BlockText">
    <w:name w:val="Block Text"/>
    <w:basedOn w:val="Normal"/>
    <w:uiPriority w:val="99"/>
    <w:semiHidden/>
    <w:rsid w:val="00FF2ED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jc w:val="left"/>
    </w:pPr>
    <w:rPr>
      <w:i/>
      <w:iCs/>
      <w:color w:val="0072BC" w:themeColor="accent1"/>
    </w:rPr>
  </w:style>
  <w:style w:type="paragraph" w:styleId="ListBullet2">
    <w:name w:val="List Bullet 2"/>
    <w:basedOn w:val="Normal"/>
    <w:uiPriority w:val="99"/>
    <w:semiHidden/>
    <w:rsid w:val="00FF2ED3"/>
    <w:pPr>
      <w:numPr>
        <w:numId w:val="10"/>
      </w:numPr>
      <w:contextualSpacing/>
      <w:jc w:val="left"/>
    </w:pPr>
  </w:style>
  <w:style w:type="paragraph" w:styleId="ListBullet3">
    <w:name w:val="List Bullet 3"/>
    <w:basedOn w:val="Normal"/>
    <w:uiPriority w:val="99"/>
    <w:semiHidden/>
    <w:rsid w:val="00FF2ED3"/>
    <w:pPr>
      <w:numPr>
        <w:numId w:val="11"/>
      </w:numPr>
      <w:contextualSpacing/>
      <w:jc w:val="left"/>
    </w:pPr>
  </w:style>
  <w:style w:type="paragraph" w:styleId="BodyText">
    <w:name w:val="Body Text"/>
    <w:basedOn w:val="Normal"/>
    <w:link w:val="BodyTextChar"/>
    <w:uiPriority w:val="99"/>
    <w:semiHidden/>
    <w:rsid w:val="00FF2ED3"/>
    <w:pPr>
      <w:spacing w:after="120"/>
      <w:jc w:val="left"/>
    </w:pPr>
  </w:style>
  <w:style w:type="character" w:customStyle="1" w:styleId="BodyTextChar">
    <w:name w:val="Body Text Char"/>
    <w:basedOn w:val="DefaultParagraphFont"/>
    <w:link w:val="BodyText"/>
    <w:uiPriority w:val="99"/>
    <w:semiHidden/>
    <w:rsid w:val="00FF2ED3"/>
    <w:rPr>
      <w:rFonts w:eastAsiaTheme="minorEastAsia"/>
      <w:sz w:val="24"/>
      <w:lang w:val="fr-FR"/>
    </w:rPr>
  </w:style>
  <w:style w:type="paragraph" w:styleId="BodyText2">
    <w:name w:val="Body Text 2"/>
    <w:basedOn w:val="Normal"/>
    <w:link w:val="BodyText2Char"/>
    <w:uiPriority w:val="99"/>
    <w:semiHidden/>
    <w:rsid w:val="00FF2ED3"/>
    <w:pPr>
      <w:spacing w:after="120" w:line="480" w:lineRule="auto"/>
      <w:jc w:val="left"/>
    </w:pPr>
  </w:style>
  <w:style w:type="character" w:customStyle="1" w:styleId="BodyText2Char">
    <w:name w:val="Body Text 2 Char"/>
    <w:basedOn w:val="DefaultParagraphFont"/>
    <w:link w:val="BodyText2"/>
    <w:uiPriority w:val="99"/>
    <w:semiHidden/>
    <w:rsid w:val="00FF2ED3"/>
    <w:rPr>
      <w:rFonts w:eastAsiaTheme="minorEastAsia"/>
      <w:sz w:val="24"/>
      <w:lang w:val="fr-FR"/>
    </w:rPr>
  </w:style>
  <w:style w:type="paragraph" w:styleId="BodyText3">
    <w:name w:val="Body Text 3"/>
    <w:basedOn w:val="Normal"/>
    <w:link w:val="BodyText3Char"/>
    <w:uiPriority w:val="99"/>
    <w:semiHidden/>
    <w:rsid w:val="00FF2ED3"/>
    <w:pPr>
      <w:spacing w:after="120"/>
      <w:jc w:val="left"/>
    </w:pPr>
    <w:rPr>
      <w:sz w:val="16"/>
      <w:szCs w:val="16"/>
    </w:rPr>
  </w:style>
  <w:style w:type="character" w:customStyle="1" w:styleId="BodyText3Char">
    <w:name w:val="Body Text 3 Char"/>
    <w:basedOn w:val="DefaultParagraphFont"/>
    <w:link w:val="BodyText3"/>
    <w:uiPriority w:val="99"/>
    <w:semiHidden/>
    <w:rsid w:val="00FF2ED3"/>
    <w:rPr>
      <w:rFonts w:eastAsiaTheme="minorEastAsia"/>
      <w:sz w:val="16"/>
      <w:szCs w:val="16"/>
      <w:lang w:val="fr-FR"/>
    </w:rPr>
  </w:style>
  <w:style w:type="paragraph" w:styleId="BodyTextFirstIndent">
    <w:name w:val="Body Text First Indent"/>
    <w:basedOn w:val="BodyText"/>
    <w:link w:val="BodyTextFirstIndentChar"/>
    <w:uiPriority w:val="99"/>
    <w:semiHidden/>
    <w:rsid w:val="00FF2ED3"/>
    <w:pPr>
      <w:spacing w:after="0"/>
      <w:ind w:firstLine="360"/>
    </w:pPr>
  </w:style>
  <w:style w:type="character" w:customStyle="1" w:styleId="BodyTextFirstIndentChar">
    <w:name w:val="Body Text First Indent Char"/>
    <w:basedOn w:val="BodyTextChar"/>
    <w:link w:val="BodyTextFirstIndent"/>
    <w:uiPriority w:val="99"/>
    <w:semiHidden/>
    <w:rsid w:val="00FF2ED3"/>
    <w:rPr>
      <w:rFonts w:eastAsiaTheme="minorEastAsia"/>
      <w:sz w:val="24"/>
      <w:lang w:val="fr-FR"/>
    </w:rPr>
  </w:style>
  <w:style w:type="paragraph" w:styleId="BodyTextIndent">
    <w:name w:val="Body Text Indent"/>
    <w:basedOn w:val="Normal"/>
    <w:link w:val="BodyTextIndentChar"/>
    <w:uiPriority w:val="99"/>
    <w:semiHidden/>
    <w:rsid w:val="00FF2ED3"/>
    <w:pPr>
      <w:spacing w:after="120"/>
      <w:ind w:left="283"/>
      <w:jc w:val="left"/>
    </w:pPr>
  </w:style>
  <w:style w:type="character" w:customStyle="1" w:styleId="BodyTextIndentChar">
    <w:name w:val="Body Text Indent Char"/>
    <w:basedOn w:val="DefaultParagraphFont"/>
    <w:link w:val="BodyTextIndent"/>
    <w:uiPriority w:val="99"/>
    <w:semiHidden/>
    <w:rsid w:val="00FF2ED3"/>
    <w:rPr>
      <w:rFonts w:eastAsiaTheme="minorEastAsia"/>
      <w:sz w:val="24"/>
      <w:lang w:val="fr-FR"/>
    </w:rPr>
  </w:style>
  <w:style w:type="paragraph" w:styleId="BodyTextFirstIndent2">
    <w:name w:val="Body Text First Indent 2"/>
    <w:basedOn w:val="BodyTextIndent"/>
    <w:link w:val="BodyTextFirstIndent2Char"/>
    <w:uiPriority w:val="99"/>
    <w:semiHidden/>
    <w:rsid w:val="00FF2ED3"/>
    <w:pPr>
      <w:spacing w:after="0"/>
      <w:ind w:left="360" w:firstLine="360"/>
    </w:pPr>
  </w:style>
  <w:style w:type="character" w:customStyle="1" w:styleId="BodyTextFirstIndent2Char">
    <w:name w:val="Body Text First Indent 2 Char"/>
    <w:basedOn w:val="BodyTextIndentChar"/>
    <w:link w:val="BodyTextFirstIndent2"/>
    <w:uiPriority w:val="99"/>
    <w:semiHidden/>
    <w:rsid w:val="00FF2ED3"/>
    <w:rPr>
      <w:rFonts w:eastAsiaTheme="minorEastAsia"/>
      <w:sz w:val="24"/>
      <w:lang w:val="fr-FR"/>
    </w:rPr>
  </w:style>
  <w:style w:type="paragraph" w:styleId="BodyTextIndent2">
    <w:name w:val="Body Text Indent 2"/>
    <w:basedOn w:val="Normal"/>
    <w:link w:val="BodyTextIndent2Char"/>
    <w:uiPriority w:val="99"/>
    <w:semiHidden/>
    <w:rsid w:val="00FF2ED3"/>
    <w:pPr>
      <w:spacing w:after="120" w:line="480" w:lineRule="auto"/>
      <w:ind w:left="283"/>
      <w:jc w:val="left"/>
    </w:pPr>
  </w:style>
  <w:style w:type="character" w:customStyle="1" w:styleId="BodyTextIndent2Char">
    <w:name w:val="Body Text Indent 2 Char"/>
    <w:basedOn w:val="DefaultParagraphFont"/>
    <w:link w:val="BodyTextIndent2"/>
    <w:uiPriority w:val="99"/>
    <w:semiHidden/>
    <w:rsid w:val="00FF2ED3"/>
    <w:rPr>
      <w:rFonts w:eastAsiaTheme="minorEastAsia"/>
      <w:sz w:val="24"/>
      <w:lang w:val="fr-FR"/>
    </w:rPr>
  </w:style>
  <w:style w:type="paragraph" w:styleId="BodyTextIndent3">
    <w:name w:val="Body Text Indent 3"/>
    <w:basedOn w:val="Normal"/>
    <w:link w:val="BodyTextIndent3Char"/>
    <w:uiPriority w:val="99"/>
    <w:semiHidden/>
    <w:rsid w:val="00FF2ED3"/>
    <w:pPr>
      <w:spacing w:after="120"/>
      <w:ind w:left="283"/>
      <w:jc w:val="left"/>
    </w:pPr>
    <w:rPr>
      <w:sz w:val="16"/>
      <w:szCs w:val="16"/>
    </w:rPr>
  </w:style>
  <w:style w:type="character" w:customStyle="1" w:styleId="BodyTextIndent3Char">
    <w:name w:val="Body Text Indent 3 Char"/>
    <w:basedOn w:val="DefaultParagraphFont"/>
    <w:link w:val="BodyTextIndent3"/>
    <w:uiPriority w:val="99"/>
    <w:semiHidden/>
    <w:rsid w:val="00FF2ED3"/>
    <w:rPr>
      <w:rFonts w:eastAsiaTheme="minorEastAsia"/>
      <w:sz w:val="16"/>
      <w:szCs w:val="16"/>
      <w:lang w:val="fr-FR"/>
    </w:rPr>
  </w:style>
  <w:style w:type="paragraph" w:styleId="Caption">
    <w:name w:val="caption"/>
    <w:basedOn w:val="Normal"/>
    <w:next w:val="Normal"/>
    <w:uiPriority w:val="99"/>
    <w:semiHidden/>
    <w:qFormat/>
    <w:rsid w:val="00FF2ED3"/>
    <w:pPr>
      <w:spacing w:after="200"/>
      <w:jc w:val="left"/>
    </w:pPr>
    <w:rPr>
      <w:b/>
      <w:bCs/>
      <w:color w:val="0072BC" w:themeColor="accent1"/>
      <w:sz w:val="18"/>
      <w:szCs w:val="18"/>
    </w:rPr>
  </w:style>
  <w:style w:type="paragraph" w:styleId="Closing">
    <w:name w:val="Closing"/>
    <w:basedOn w:val="Normal"/>
    <w:link w:val="ClosingChar"/>
    <w:uiPriority w:val="99"/>
    <w:semiHidden/>
    <w:rsid w:val="00FF2ED3"/>
    <w:pPr>
      <w:ind w:left="4252"/>
      <w:jc w:val="left"/>
    </w:pPr>
  </w:style>
  <w:style w:type="character" w:customStyle="1" w:styleId="ClosingChar">
    <w:name w:val="Closing Char"/>
    <w:basedOn w:val="DefaultParagraphFont"/>
    <w:link w:val="Closing"/>
    <w:uiPriority w:val="99"/>
    <w:semiHidden/>
    <w:rsid w:val="00FF2ED3"/>
    <w:rPr>
      <w:rFonts w:eastAsiaTheme="minorEastAsia"/>
      <w:sz w:val="24"/>
      <w:lang w:val="fr-FR"/>
    </w:rPr>
  </w:style>
  <w:style w:type="table" w:styleId="ColorfulGrid">
    <w:name w:val="Colorful Grid"/>
    <w:basedOn w:val="TableNormal"/>
    <w:uiPriority w:val="73"/>
    <w:semiHidden/>
    <w:rsid w:val="00FF2ED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F2ED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F2ED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F2ED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F2ED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F2ED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F2ED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F2ED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F2ED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F2ED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F2ED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F2ED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F2ED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F2ED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F2ED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F2ED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F2ED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F2ED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F2ED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F2ED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F2ED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FF2ED3"/>
    <w:rPr>
      <w:b/>
      <w:bCs/>
    </w:rPr>
  </w:style>
  <w:style w:type="character" w:customStyle="1" w:styleId="CommentSubjectChar">
    <w:name w:val="Comment Subject Char"/>
    <w:basedOn w:val="CommentTextChar"/>
    <w:link w:val="CommentSubject"/>
    <w:uiPriority w:val="99"/>
    <w:semiHidden/>
    <w:rsid w:val="00FF2ED3"/>
    <w:rPr>
      <w:rFonts w:eastAsiaTheme="minorEastAsia"/>
      <w:b/>
      <w:bCs/>
      <w:sz w:val="20"/>
      <w:szCs w:val="20"/>
      <w:lang w:val="fr-FR"/>
    </w:rPr>
  </w:style>
  <w:style w:type="table" w:styleId="DarkList">
    <w:name w:val="Dark List"/>
    <w:basedOn w:val="TableNormal"/>
    <w:uiPriority w:val="70"/>
    <w:semiHidden/>
    <w:rsid w:val="00FF2ED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F2ED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F2ED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F2ED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F2ED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F2ED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F2ED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FF2ED3"/>
    <w:pPr>
      <w:jc w:val="left"/>
    </w:pPr>
  </w:style>
  <w:style w:type="character" w:customStyle="1" w:styleId="DateChar">
    <w:name w:val="Date Char"/>
    <w:basedOn w:val="DefaultParagraphFont"/>
    <w:link w:val="Date"/>
    <w:uiPriority w:val="99"/>
    <w:semiHidden/>
    <w:rsid w:val="00FF2ED3"/>
    <w:rPr>
      <w:rFonts w:eastAsiaTheme="minorEastAsia"/>
      <w:sz w:val="24"/>
      <w:lang w:val="fr-FR"/>
    </w:rPr>
  </w:style>
  <w:style w:type="paragraph" w:styleId="DocumentMap">
    <w:name w:val="Document Map"/>
    <w:basedOn w:val="Normal"/>
    <w:link w:val="DocumentMapChar"/>
    <w:uiPriority w:val="99"/>
    <w:semiHidden/>
    <w:rsid w:val="00FF2ED3"/>
    <w:pPr>
      <w:jc w:val="left"/>
    </w:pPr>
    <w:rPr>
      <w:rFonts w:ascii="Tahoma" w:hAnsi="Tahoma" w:cs="Tahoma"/>
      <w:sz w:val="16"/>
      <w:szCs w:val="16"/>
    </w:rPr>
  </w:style>
  <w:style w:type="character" w:customStyle="1" w:styleId="DocumentMapChar">
    <w:name w:val="Document Map Char"/>
    <w:basedOn w:val="DefaultParagraphFont"/>
    <w:link w:val="DocumentMap"/>
    <w:uiPriority w:val="99"/>
    <w:semiHidden/>
    <w:rsid w:val="00FF2ED3"/>
    <w:rPr>
      <w:rFonts w:ascii="Tahoma" w:eastAsiaTheme="minorEastAsia" w:hAnsi="Tahoma" w:cs="Tahoma"/>
      <w:sz w:val="16"/>
      <w:szCs w:val="16"/>
      <w:lang w:val="fr-FR"/>
    </w:rPr>
  </w:style>
  <w:style w:type="paragraph" w:styleId="E-mailSignature">
    <w:name w:val="E-mail Signature"/>
    <w:basedOn w:val="Normal"/>
    <w:link w:val="E-mailSignatureChar"/>
    <w:uiPriority w:val="99"/>
    <w:semiHidden/>
    <w:rsid w:val="00FF2ED3"/>
    <w:pPr>
      <w:jc w:val="left"/>
    </w:pPr>
  </w:style>
  <w:style w:type="character" w:customStyle="1" w:styleId="E-mailSignatureChar">
    <w:name w:val="E-mail Signature Char"/>
    <w:basedOn w:val="DefaultParagraphFont"/>
    <w:link w:val="E-mailSignature"/>
    <w:uiPriority w:val="99"/>
    <w:semiHidden/>
    <w:rsid w:val="00FF2ED3"/>
    <w:rPr>
      <w:rFonts w:eastAsiaTheme="minorEastAsia"/>
      <w:sz w:val="24"/>
      <w:lang w:val="fr-FR"/>
    </w:rPr>
  </w:style>
  <w:style w:type="character" w:styleId="EndnoteReference">
    <w:name w:val="endnote reference"/>
    <w:basedOn w:val="DefaultParagraphFont"/>
    <w:uiPriority w:val="99"/>
    <w:semiHidden/>
    <w:rsid w:val="00FF2ED3"/>
    <w:rPr>
      <w:vertAlign w:val="superscript"/>
    </w:rPr>
  </w:style>
  <w:style w:type="paragraph" w:styleId="EndnoteText">
    <w:name w:val="endnote text"/>
    <w:basedOn w:val="Normal"/>
    <w:link w:val="EndnoteTextChar"/>
    <w:uiPriority w:val="99"/>
    <w:semiHidden/>
    <w:rsid w:val="00FF2ED3"/>
    <w:pPr>
      <w:jc w:val="left"/>
    </w:pPr>
    <w:rPr>
      <w:sz w:val="20"/>
      <w:szCs w:val="20"/>
    </w:rPr>
  </w:style>
  <w:style w:type="character" w:customStyle="1" w:styleId="EndnoteTextChar">
    <w:name w:val="Endnote Text Char"/>
    <w:basedOn w:val="DefaultParagraphFont"/>
    <w:link w:val="EndnoteText"/>
    <w:uiPriority w:val="99"/>
    <w:semiHidden/>
    <w:rsid w:val="00FF2ED3"/>
    <w:rPr>
      <w:rFonts w:eastAsiaTheme="minorEastAsia"/>
      <w:sz w:val="20"/>
      <w:szCs w:val="20"/>
      <w:lang w:val="fr-FR"/>
    </w:rPr>
  </w:style>
  <w:style w:type="paragraph" w:styleId="EnvelopeAddress">
    <w:name w:val="envelope address"/>
    <w:basedOn w:val="Normal"/>
    <w:uiPriority w:val="99"/>
    <w:semiHidden/>
    <w:rsid w:val="00FF2ED3"/>
    <w:pPr>
      <w:framePr w:w="7938" w:h="1985" w:hRule="exact" w:hSpace="141" w:wrap="auto" w:hAnchor="page" w:xAlign="center" w:yAlign="bottom"/>
      <w:ind w:left="2835"/>
      <w:jc w:val="left"/>
    </w:pPr>
    <w:rPr>
      <w:rFonts w:asciiTheme="majorHAnsi" w:eastAsiaTheme="majorEastAsia" w:hAnsiTheme="majorHAnsi" w:cstheme="majorBidi"/>
      <w:szCs w:val="24"/>
    </w:rPr>
  </w:style>
  <w:style w:type="paragraph" w:styleId="EnvelopeReturn">
    <w:name w:val="envelope return"/>
    <w:basedOn w:val="Normal"/>
    <w:uiPriority w:val="99"/>
    <w:semiHidden/>
    <w:rsid w:val="00FF2ED3"/>
    <w:pPr>
      <w:jc w:val="left"/>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FF2ED3"/>
    <w:rPr>
      <w:color w:val="7030A0" w:themeColor="followedHyperlink"/>
      <w:u w:val="single"/>
    </w:rPr>
  </w:style>
  <w:style w:type="character" w:styleId="HTMLAcronym">
    <w:name w:val="HTML Acronym"/>
    <w:basedOn w:val="DefaultParagraphFont"/>
    <w:uiPriority w:val="99"/>
    <w:semiHidden/>
    <w:rsid w:val="00FF2ED3"/>
  </w:style>
  <w:style w:type="paragraph" w:styleId="HTMLAddress">
    <w:name w:val="HTML Address"/>
    <w:basedOn w:val="Normal"/>
    <w:link w:val="HTMLAddressChar"/>
    <w:uiPriority w:val="99"/>
    <w:semiHidden/>
    <w:rsid w:val="00FF2ED3"/>
    <w:pPr>
      <w:jc w:val="left"/>
    </w:pPr>
    <w:rPr>
      <w:i/>
      <w:iCs/>
    </w:rPr>
  </w:style>
  <w:style w:type="character" w:customStyle="1" w:styleId="HTMLAddressChar">
    <w:name w:val="HTML Address Char"/>
    <w:basedOn w:val="DefaultParagraphFont"/>
    <w:link w:val="HTMLAddress"/>
    <w:uiPriority w:val="99"/>
    <w:semiHidden/>
    <w:rsid w:val="00FF2ED3"/>
    <w:rPr>
      <w:rFonts w:eastAsiaTheme="minorEastAsia"/>
      <w:i/>
      <w:iCs/>
      <w:sz w:val="24"/>
      <w:lang w:val="fr-FR"/>
    </w:rPr>
  </w:style>
  <w:style w:type="character" w:styleId="HTMLCite">
    <w:name w:val="HTML Cite"/>
    <w:basedOn w:val="DefaultParagraphFont"/>
    <w:uiPriority w:val="99"/>
    <w:semiHidden/>
    <w:rsid w:val="00FF2ED3"/>
    <w:rPr>
      <w:i/>
      <w:iCs/>
    </w:rPr>
  </w:style>
  <w:style w:type="character" w:styleId="HTMLCode">
    <w:name w:val="HTML Code"/>
    <w:basedOn w:val="DefaultParagraphFont"/>
    <w:uiPriority w:val="99"/>
    <w:semiHidden/>
    <w:rsid w:val="00FF2ED3"/>
    <w:rPr>
      <w:rFonts w:ascii="Consolas" w:hAnsi="Consolas" w:cs="Consolas"/>
      <w:sz w:val="20"/>
      <w:szCs w:val="20"/>
    </w:rPr>
  </w:style>
  <w:style w:type="character" w:styleId="HTMLDefinition">
    <w:name w:val="HTML Definition"/>
    <w:basedOn w:val="DefaultParagraphFont"/>
    <w:uiPriority w:val="99"/>
    <w:semiHidden/>
    <w:rsid w:val="00FF2ED3"/>
    <w:rPr>
      <w:i/>
      <w:iCs/>
    </w:rPr>
  </w:style>
  <w:style w:type="character" w:styleId="HTMLKeyboard">
    <w:name w:val="HTML Keyboard"/>
    <w:basedOn w:val="DefaultParagraphFont"/>
    <w:uiPriority w:val="99"/>
    <w:semiHidden/>
    <w:rsid w:val="00FF2ED3"/>
    <w:rPr>
      <w:rFonts w:ascii="Consolas" w:hAnsi="Consolas" w:cs="Consolas"/>
      <w:sz w:val="20"/>
      <w:szCs w:val="20"/>
    </w:rPr>
  </w:style>
  <w:style w:type="paragraph" w:styleId="HTMLPreformatted">
    <w:name w:val="HTML Preformatted"/>
    <w:basedOn w:val="Normal"/>
    <w:link w:val="HTMLPreformattedChar"/>
    <w:uiPriority w:val="99"/>
    <w:semiHidden/>
    <w:rsid w:val="00FF2ED3"/>
    <w:pPr>
      <w:jc w:val="left"/>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FF2ED3"/>
    <w:rPr>
      <w:rFonts w:ascii="Consolas" w:eastAsiaTheme="minorEastAsia" w:hAnsi="Consolas" w:cs="Consolas"/>
      <w:sz w:val="20"/>
      <w:szCs w:val="20"/>
      <w:lang w:val="fr-FR"/>
    </w:rPr>
  </w:style>
  <w:style w:type="character" w:styleId="HTMLSample">
    <w:name w:val="HTML Sample"/>
    <w:basedOn w:val="DefaultParagraphFont"/>
    <w:uiPriority w:val="99"/>
    <w:semiHidden/>
    <w:rsid w:val="00FF2ED3"/>
    <w:rPr>
      <w:rFonts w:ascii="Consolas" w:hAnsi="Consolas" w:cs="Consolas"/>
      <w:sz w:val="24"/>
      <w:szCs w:val="24"/>
    </w:rPr>
  </w:style>
  <w:style w:type="character" w:styleId="HTMLTypewriter">
    <w:name w:val="HTML Typewriter"/>
    <w:basedOn w:val="DefaultParagraphFont"/>
    <w:uiPriority w:val="99"/>
    <w:semiHidden/>
    <w:rsid w:val="00FF2ED3"/>
    <w:rPr>
      <w:rFonts w:ascii="Consolas" w:hAnsi="Consolas" w:cs="Consolas"/>
      <w:sz w:val="20"/>
      <w:szCs w:val="20"/>
    </w:rPr>
  </w:style>
  <w:style w:type="character" w:styleId="HTMLVariable">
    <w:name w:val="HTML Variable"/>
    <w:basedOn w:val="DefaultParagraphFont"/>
    <w:uiPriority w:val="99"/>
    <w:semiHidden/>
    <w:rsid w:val="00FF2ED3"/>
    <w:rPr>
      <w:i/>
      <w:iCs/>
    </w:rPr>
  </w:style>
  <w:style w:type="paragraph" w:styleId="Index1">
    <w:name w:val="index 1"/>
    <w:basedOn w:val="Normal"/>
    <w:next w:val="Normal"/>
    <w:autoRedefine/>
    <w:uiPriority w:val="99"/>
    <w:semiHidden/>
    <w:rsid w:val="00FF2ED3"/>
    <w:pPr>
      <w:ind w:left="240" w:hanging="240"/>
      <w:jc w:val="left"/>
    </w:pPr>
  </w:style>
  <w:style w:type="paragraph" w:styleId="Index2">
    <w:name w:val="index 2"/>
    <w:basedOn w:val="Normal"/>
    <w:next w:val="Normal"/>
    <w:autoRedefine/>
    <w:uiPriority w:val="99"/>
    <w:semiHidden/>
    <w:rsid w:val="00FF2ED3"/>
    <w:pPr>
      <w:ind w:left="480" w:hanging="240"/>
      <w:jc w:val="left"/>
    </w:pPr>
  </w:style>
  <w:style w:type="paragraph" w:styleId="Index3">
    <w:name w:val="index 3"/>
    <w:basedOn w:val="Normal"/>
    <w:next w:val="Normal"/>
    <w:autoRedefine/>
    <w:uiPriority w:val="99"/>
    <w:semiHidden/>
    <w:rsid w:val="00FF2ED3"/>
    <w:pPr>
      <w:ind w:left="720" w:hanging="240"/>
      <w:jc w:val="left"/>
    </w:pPr>
  </w:style>
  <w:style w:type="paragraph" w:styleId="Index4">
    <w:name w:val="index 4"/>
    <w:basedOn w:val="Normal"/>
    <w:next w:val="Normal"/>
    <w:autoRedefine/>
    <w:uiPriority w:val="99"/>
    <w:semiHidden/>
    <w:rsid w:val="00FF2ED3"/>
    <w:pPr>
      <w:ind w:left="960" w:hanging="240"/>
      <w:jc w:val="left"/>
    </w:pPr>
  </w:style>
  <w:style w:type="paragraph" w:styleId="Index5">
    <w:name w:val="index 5"/>
    <w:basedOn w:val="Normal"/>
    <w:next w:val="Normal"/>
    <w:autoRedefine/>
    <w:uiPriority w:val="99"/>
    <w:semiHidden/>
    <w:rsid w:val="00FF2ED3"/>
    <w:pPr>
      <w:ind w:left="1200" w:hanging="240"/>
      <w:jc w:val="left"/>
    </w:pPr>
  </w:style>
  <w:style w:type="paragraph" w:styleId="Index6">
    <w:name w:val="index 6"/>
    <w:basedOn w:val="Normal"/>
    <w:next w:val="Normal"/>
    <w:autoRedefine/>
    <w:uiPriority w:val="99"/>
    <w:semiHidden/>
    <w:rsid w:val="00FF2ED3"/>
    <w:pPr>
      <w:ind w:left="1440" w:hanging="240"/>
      <w:jc w:val="left"/>
    </w:pPr>
  </w:style>
  <w:style w:type="paragraph" w:styleId="Index7">
    <w:name w:val="index 7"/>
    <w:basedOn w:val="Normal"/>
    <w:next w:val="Normal"/>
    <w:autoRedefine/>
    <w:uiPriority w:val="99"/>
    <w:semiHidden/>
    <w:rsid w:val="00FF2ED3"/>
    <w:pPr>
      <w:ind w:left="1680" w:hanging="240"/>
      <w:jc w:val="left"/>
    </w:pPr>
  </w:style>
  <w:style w:type="paragraph" w:styleId="Index8">
    <w:name w:val="index 8"/>
    <w:basedOn w:val="Normal"/>
    <w:next w:val="Normal"/>
    <w:autoRedefine/>
    <w:uiPriority w:val="99"/>
    <w:semiHidden/>
    <w:rsid w:val="00FF2ED3"/>
    <w:pPr>
      <w:ind w:left="1920" w:hanging="240"/>
      <w:jc w:val="left"/>
    </w:pPr>
  </w:style>
  <w:style w:type="paragraph" w:styleId="Index9">
    <w:name w:val="index 9"/>
    <w:basedOn w:val="Normal"/>
    <w:next w:val="Normal"/>
    <w:autoRedefine/>
    <w:uiPriority w:val="99"/>
    <w:semiHidden/>
    <w:rsid w:val="00FF2ED3"/>
    <w:pPr>
      <w:ind w:left="2160" w:hanging="240"/>
      <w:jc w:val="left"/>
    </w:pPr>
  </w:style>
  <w:style w:type="paragraph" w:styleId="IndexHeading">
    <w:name w:val="index heading"/>
    <w:basedOn w:val="Normal"/>
    <w:next w:val="Index1"/>
    <w:uiPriority w:val="99"/>
    <w:semiHidden/>
    <w:rsid w:val="00FF2ED3"/>
    <w:pPr>
      <w:jc w:val="left"/>
    </w:pPr>
    <w:rPr>
      <w:rFonts w:asciiTheme="majorHAnsi" w:eastAsiaTheme="majorEastAsia" w:hAnsiTheme="majorHAnsi" w:cstheme="majorBidi"/>
      <w:b/>
      <w:bCs/>
    </w:rPr>
  </w:style>
  <w:style w:type="table" w:styleId="LightGrid">
    <w:name w:val="Light Grid"/>
    <w:basedOn w:val="TableNormal"/>
    <w:uiPriority w:val="62"/>
    <w:semiHidden/>
    <w:rsid w:val="00FF2E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F2ED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F2ED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F2ED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F2ED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F2ED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F2ED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F2E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F2ED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F2ED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F2ED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F2ED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F2ED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F2ED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F2ED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F2ED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F2ED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F2ED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F2ED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F2ED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F2ED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FF2ED3"/>
  </w:style>
  <w:style w:type="paragraph" w:styleId="List">
    <w:name w:val="List"/>
    <w:basedOn w:val="Normal"/>
    <w:uiPriority w:val="99"/>
    <w:semiHidden/>
    <w:rsid w:val="00FF2ED3"/>
    <w:pPr>
      <w:ind w:left="283" w:hanging="283"/>
      <w:contextualSpacing/>
      <w:jc w:val="left"/>
    </w:pPr>
  </w:style>
  <w:style w:type="paragraph" w:styleId="List2">
    <w:name w:val="List 2"/>
    <w:basedOn w:val="Normal"/>
    <w:uiPriority w:val="99"/>
    <w:semiHidden/>
    <w:rsid w:val="00FF2ED3"/>
    <w:pPr>
      <w:ind w:left="566" w:hanging="283"/>
      <w:contextualSpacing/>
      <w:jc w:val="left"/>
    </w:pPr>
  </w:style>
  <w:style w:type="paragraph" w:styleId="List3">
    <w:name w:val="List 3"/>
    <w:basedOn w:val="Normal"/>
    <w:uiPriority w:val="99"/>
    <w:semiHidden/>
    <w:rsid w:val="00FF2ED3"/>
    <w:pPr>
      <w:ind w:left="849" w:hanging="283"/>
      <w:contextualSpacing/>
      <w:jc w:val="left"/>
    </w:pPr>
  </w:style>
  <w:style w:type="paragraph" w:styleId="List4">
    <w:name w:val="List 4"/>
    <w:basedOn w:val="Normal"/>
    <w:uiPriority w:val="99"/>
    <w:semiHidden/>
    <w:rsid w:val="00FF2ED3"/>
    <w:pPr>
      <w:ind w:left="1132" w:hanging="283"/>
      <w:contextualSpacing/>
      <w:jc w:val="left"/>
    </w:pPr>
  </w:style>
  <w:style w:type="paragraph" w:styleId="List5">
    <w:name w:val="List 5"/>
    <w:basedOn w:val="Normal"/>
    <w:uiPriority w:val="99"/>
    <w:semiHidden/>
    <w:rsid w:val="00FF2ED3"/>
    <w:pPr>
      <w:ind w:left="1415" w:hanging="283"/>
      <w:contextualSpacing/>
      <w:jc w:val="left"/>
    </w:pPr>
  </w:style>
  <w:style w:type="paragraph" w:styleId="ListBullet">
    <w:name w:val="List Bullet"/>
    <w:basedOn w:val="Normal"/>
    <w:uiPriority w:val="99"/>
    <w:semiHidden/>
    <w:rsid w:val="00FF2ED3"/>
    <w:pPr>
      <w:numPr>
        <w:numId w:val="9"/>
      </w:numPr>
      <w:jc w:val="left"/>
    </w:pPr>
  </w:style>
  <w:style w:type="paragraph" w:styleId="ListBullet4">
    <w:name w:val="List Bullet 4"/>
    <w:basedOn w:val="Normal"/>
    <w:uiPriority w:val="99"/>
    <w:semiHidden/>
    <w:rsid w:val="00FF2ED3"/>
    <w:pPr>
      <w:numPr>
        <w:numId w:val="12"/>
      </w:numPr>
      <w:contextualSpacing/>
      <w:jc w:val="left"/>
    </w:pPr>
  </w:style>
  <w:style w:type="paragraph" w:styleId="ListBullet5">
    <w:name w:val="List Bullet 5"/>
    <w:basedOn w:val="Normal"/>
    <w:uiPriority w:val="99"/>
    <w:semiHidden/>
    <w:rsid w:val="00FF2ED3"/>
    <w:pPr>
      <w:numPr>
        <w:numId w:val="13"/>
      </w:numPr>
      <w:contextualSpacing/>
      <w:jc w:val="left"/>
    </w:pPr>
  </w:style>
  <w:style w:type="paragraph" w:styleId="ListContinue">
    <w:name w:val="List Continue"/>
    <w:basedOn w:val="Normal"/>
    <w:uiPriority w:val="99"/>
    <w:semiHidden/>
    <w:rsid w:val="00FF2ED3"/>
    <w:pPr>
      <w:spacing w:after="120"/>
      <w:ind w:left="283"/>
      <w:contextualSpacing/>
      <w:jc w:val="left"/>
    </w:pPr>
  </w:style>
  <w:style w:type="paragraph" w:styleId="ListContinue2">
    <w:name w:val="List Continue 2"/>
    <w:basedOn w:val="Normal"/>
    <w:uiPriority w:val="99"/>
    <w:semiHidden/>
    <w:rsid w:val="00FF2ED3"/>
    <w:pPr>
      <w:spacing w:after="120"/>
      <w:ind w:left="566"/>
      <w:contextualSpacing/>
      <w:jc w:val="left"/>
    </w:pPr>
  </w:style>
  <w:style w:type="paragraph" w:styleId="ListContinue3">
    <w:name w:val="List Continue 3"/>
    <w:basedOn w:val="Normal"/>
    <w:uiPriority w:val="99"/>
    <w:semiHidden/>
    <w:rsid w:val="00FF2ED3"/>
    <w:pPr>
      <w:spacing w:after="120"/>
      <w:ind w:left="849"/>
      <w:contextualSpacing/>
      <w:jc w:val="left"/>
    </w:pPr>
  </w:style>
  <w:style w:type="paragraph" w:styleId="ListContinue4">
    <w:name w:val="List Continue 4"/>
    <w:basedOn w:val="Normal"/>
    <w:uiPriority w:val="99"/>
    <w:semiHidden/>
    <w:rsid w:val="00FF2ED3"/>
    <w:pPr>
      <w:spacing w:after="120"/>
      <w:ind w:left="1132"/>
      <w:contextualSpacing/>
      <w:jc w:val="left"/>
    </w:pPr>
  </w:style>
  <w:style w:type="paragraph" w:styleId="ListContinue5">
    <w:name w:val="List Continue 5"/>
    <w:basedOn w:val="Normal"/>
    <w:uiPriority w:val="99"/>
    <w:semiHidden/>
    <w:rsid w:val="00FF2ED3"/>
    <w:pPr>
      <w:spacing w:after="120"/>
      <w:ind w:left="1415"/>
      <w:contextualSpacing/>
      <w:jc w:val="left"/>
    </w:pPr>
  </w:style>
  <w:style w:type="paragraph" w:styleId="ListNumber">
    <w:name w:val="List Number"/>
    <w:basedOn w:val="Normal"/>
    <w:uiPriority w:val="99"/>
    <w:semiHidden/>
    <w:rsid w:val="00FF2ED3"/>
    <w:pPr>
      <w:numPr>
        <w:numId w:val="14"/>
      </w:numPr>
      <w:contextualSpacing/>
      <w:jc w:val="left"/>
    </w:pPr>
  </w:style>
  <w:style w:type="paragraph" w:styleId="ListNumber2">
    <w:name w:val="List Number 2"/>
    <w:basedOn w:val="Normal"/>
    <w:uiPriority w:val="99"/>
    <w:semiHidden/>
    <w:rsid w:val="00FF2ED3"/>
    <w:pPr>
      <w:numPr>
        <w:numId w:val="15"/>
      </w:numPr>
      <w:contextualSpacing/>
      <w:jc w:val="left"/>
    </w:pPr>
  </w:style>
  <w:style w:type="paragraph" w:styleId="ListNumber3">
    <w:name w:val="List Number 3"/>
    <w:basedOn w:val="Normal"/>
    <w:uiPriority w:val="99"/>
    <w:semiHidden/>
    <w:rsid w:val="00FF2ED3"/>
    <w:pPr>
      <w:numPr>
        <w:numId w:val="16"/>
      </w:numPr>
      <w:contextualSpacing/>
      <w:jc w:val="left"/>
    </w:pPr>
  </w:style>
  <w:style w:type="paragraph" w:styleId="ListNumber4">
    <w:name w:val="List Number 4"/>
    <w:basedOn w:val="Normal"/>
    <w:uiPriority w:val="99"/>
    <w:semiHidden/>
    <w:rsid w:val="00FF2ED3"/>
    <w:pPr>
      <w:numPr>
        <w:numId w:val="17"/>
      </w:numPr>
      <w:contextualSpacing/>
      <w:jc w:val="left"/>
    </w:pPr>
  </w:style>
  <w:style w:type="paragraph" w:styleId="ListNumber5">
    <w:name w:val="List Number 5"/>
    <w:basedOn w:val="Normal"/>
    <w:uiPriority w:val="99"/>
    <w:semiHidden/>
    <w:rsid w:val="00FF2ED3"/>
    <w:pPr>
      <w:numPr>
        <w:numId w:val="18"/>
      </w:numPr>
      <w:contextualSpacing/>
      <w:jc w:val="left"/>
    </w:pPr>
  </w:style>
  <w:style w:type="paragraph" w:styleId="MacroText">
    <w:name w:val="macro"/>
    <w:link w:val="MacroTextChar"/>
    <w:uiPriority w:val="99"/>
    <w:semiHidden/>
    <w:rsid w:val="00FF2ED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FF2ED3"/>
    <w:rPr>
      <w:rFonts w:ascii="Consolas" w:eastAsiaTheme="minorEastAsia" w:hAnsi="Consolas" w:cs="Consolas"/>
      <w:sz w:val="20"/>
      <w:szCs w:val="20"/>
    </w:rPr>
  </w:style>
  <w:style w:type="table" w:styleId="MediumGrid1">
    <w:name w:val="Medium Grid 1"/>
    <w:basedOn w:val="TableNormal"/>
    <w:uiPriority w:val="67"/>
    <w:semiHidden/>
    <w:rsid w:val="00FF2E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F2ED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F2ED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F2ED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F2ED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F2ED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F2ED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F2ED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F2ED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F2ED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F2ED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F2ED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F2ED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F2ED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F2ED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F2ED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F2ED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F2ED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F2ED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F2ED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F2ED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F2ED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F2E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F2ED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F2ED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F2ED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F2ED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F2ED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F2ED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F2E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F2E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F2E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F2E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F2E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F2E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F2E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FF2ED3"/>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FF2ED3"/>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9"/>
    <w:semiHidden/>
    <w:rsid w:val="00FF2ED3"/>
    <w:rPr>
      <w:rFonts w:ascii="Times New Roman" w:hAnsi="Times New Roman" w:cs="Times New Roman"/>
      <w:szCs w:val="24"/>
    </w:rPr>
  </w:style>
  <w:style w:type="paragraph" w:styleId="NormalIndent">
    <w:name w:val="Normal Indent"/>
    <w:basedOn w:val="Normal"/>
    <w:uiPriority w:val="99"/>
    <w:semiHidden/>
    <w:rsid w:val="00FF2ED3"/>
    <w:pPr>
      <w:ind w:left="720"/>
    </w:pPr>
  </w:style>
  <w:style w:type="paragraph" w:customStyle="1" w:styleId="NoteHeading1">
    <w:name w:val="Note Heading1"/>
    <w:basedOn w:val="Normal"/>
    <w:next w:val="Normal"/>
    <w:link w:val="NoteHeadingChar"/>
    <w:uiPriority w:val="99"/>
    <w:semiHidden/>
    <w:rsid w:val="00FF2ED3"/>
  </w:style>
  <w:style w:type="character" w:customStyle="1" w:styleId="NoteHeadingChar">
    <w:name w:val="Note Heading Char"/>
    <w:basedOn w:val="DefaultParagraphFont"/>
    <w:link w:val="NoteHeading1"/>
    <w:uiPriority w:val="99"/>
    <w:semiHidden/>
    <w:rsid w:val="00FF2ED3"/>
    <w:rPr>
      <w:rFonts w:eastAsiaTheme="minorEastAsia"/>
      <w:sz w:val="24"/>
      <w:lang w:val="fr-FR"/>
    </w:rPr>
  </w:style>
  <w:style w:type="character" w:styleId="PlaceholderText">
    <w:name w:val="Placeholder Text"/>
    <w:basedOn w:val="DefaultParagraphFont"/>
    <w:uiPriority w:val="99"/>
    <w:semiHidden/>
    <w:rsid w:val="00FF2ED3"/>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FF2ED3"/>
    <w:rPr>
      <w:rFonts w:ascii="Consolas" w:hAnsi="Consolas" w:cs="Consolas"/>
      <w:sz w:val="21"/>
      <w:szCs w:val="21"/>
    </w:rPr>
  </w:style>
  <w:style w:type="character" w:customStyle="1" w:styleId="PlainTextChar">
    <w:name w:val="Plain Text Char"/>
    <w:basedOn w:val="DefaultParagraphFont"/>
    <w:link w:val="PlainText"/>
    <w:uiPriority w:val="99"/>
    <w:semiHidden/>
    <w:rsid w:val="00FF2ED3"/>
    <w:rPr>
      <w:rFonts w:ascii="Consolas" w:eastAsiaTheme="minorEastAsia" w:hAnsi="Consolas" w:cs="Consolas"/>
      <w:sz w:val="21"/>
      <w:szCs w:val="21"/>
      <w:lang w:val="fr-FR"/>
    </w:rPr>
  </w:style>
  <w:style w:type="paragraph" w:styleId="Salutation">
    <w:name w:val="Salutation"/>
    <w:basedOn w:val="Normal"/>
    <w:next w:val="Normal"/>
    <w:link w:val="SalutationChar"/>
    <w:uiPriority w:val="99"/>
    <w:semiHidden/>
    <w:rsid w:val="00FF2ED3"/>
  </w:style>
  <w:style w:type="character" w:customStyle="1" w:styleId="SalutationChar">
    <w:name w:val="Salutation Char"/>
    <w:basedOn w:val="DefaultParagraphFont"/>
    <w:link w:val="Salutation"/>
    <w:uiPriority w:val="99"/>
    <w:semiHidden/>
    <w:rsid w:val="00FF2ED3"/>
    <w:rPr>
      <w:rFonts w:eastAsiaTheme="minorEastAsia"/>
      <w:sz w:val="24"/>
      <w:lang w:val="fr-FR"/>
    </w:rPr>
  </w:style>
  <w:style w:type="paragraph" w:styleId="Signature">
    <w:name w:val="Signature"/>
    <w:basedOn w:val="Normal"/>
    <w:link w:val="SignatureChar"/>
    <w:uiPriority w:val="99"/>
    <w:semiHidden/>
    <w:rsid w:val="00FF2ED3"/>
    <w:pPr>
      <w:ind w:left="4252"/>
    </w:pPr>
  </w:style>
  <w:style w:type="character" w:customStyle="1" w:styleId="SignatureChar">
    <w:name w:val="Signature Char"/>
    <w:basedOn w:val="DefaultParagraphFont"/>
    <w:link w:val="Signature"/>
    <w:uiPriority w:val="99"/>
    <w:semiHidden/>
    <w:rsid w:val="00FF2ED3"/>
    <w:rPr>
      <w:rFonts w:eastAsiaTheme="minorEastAsia"/>
      <w:sz w:val="24"/>
      <w:lang w:val="fr-FR"/>
    </w:rPr>
  </w:style>
  <w:style w:type="table" w:styleId="Table3Deffects1">
    <w:name w:val="Table 3D effects 1"/>
    <w:basedOn w:val="TableNormal"/>
    <w:uiPriority w:val="99"/>
    <w:semiHidden/>
    <w:unhideWhenUsed/>
    <w:rsid w:val="00FF2ED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F2ED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F2ED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F2ED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F2ED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F2ED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F2ED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F2ED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F2ED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F2ED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F2ED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F2ED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F2ED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F2ED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F2ED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F2ED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F2ED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F2ED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F2ED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F2ED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F2ED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F2ED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F2ED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F2ED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F2ED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F2ED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F2ED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F2ED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F2ED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F2ED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F2ED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F2ED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F2ED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FF2ED3"/>
    <w:pPr>
      <w:ind w:left="240" w:hanging="240"/>
    </w:pPr>
  </w:style>
  <w:style w:type="paragraph" w:styleId="TableofFigures">
    <w:name w:val="table of figures"/>
    <w:basedOn w:val="Normal"/>
    <w:next w:val="Normal"/>
    <w:uiPriority w:val="99"/>
    <w:semiHidden/>
    <w:rsid w:val="00FF2ED3"/>
  </w:style>
  <w:style w:type="table" w:styleId="TableProfessional">
    <w:name w:val="Table Professional"/>
    <w:basedOn w:val="TableNormal"/>
    <w:uiPriority w:val="99"/>
    <w:semiHidden/>
    <w:unhideWhenUsed/>
    <w:rsid w:val="00FF2ED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F2ED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F2ED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F2ED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F2ED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F2ED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F2ED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F2ED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F2ED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F2ED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F2ED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F2ED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FF2ED3"/>
    <w:pPr>
      <w:spacing w:after="100"/>
      <w:ind w:left="1680"/>
    </w:pPr>
  </w:style>
  <w:style w:type="paragraph" w:styleId="TOC9">
    <w:name w:val="toc 9"/>
    <w:basedOn w:val="Normal"/>
    <w:next w:val="Normal"/>
    <w:autoRedefine/>
    <w:uiPriority w:val="99"/>
    <w:semiHidden/>
    <w:rsid w:val="00FF2ED3"/>
    <w:pPr>
      <w:spacing w:after="100"/>
      <w:ind w:left="1920"/>
    </w:pPr>
  </w:style>
  <w:style w:type="paragraph" w:customStyle="1" w:styleId="JuHeaderLandscape">
    <w:name w:val="Ju_Header_Landscape"/>
    <w:aliases w:val="_Header_Landscape"/>
    <w:basedOn w:val="JuHeader"/>
    <w:uiPriority w:val="30"/>
    <w:qFormat/>
    <w:rsid w:val="00FF2ED3"/>
    <w:pPr>
      <w:tabs>
        <w:tab w:val="clear" w:pos="3686"/>
        <w:tab w:val="clear" w:pos="7371"/>
        <w:tab w:val="center" w:pos="6146"/>
        <w:tab w:val="right" w:pos="12293"/>
      </w:tabs>
    </w:pPr>
  </w:style>
  <w:style w:type="character" w:customStyle="1" w:styleId="JuJudgesChar">
    <w:name w:val="Ju_Judges Char"/>
    <w:basedOn w:val="DefaultParagraphFont"/>
    <w:link w:val="JuJudges"/>
    <w:uiPriority w:val="2"/>
    <w:rsid w:val="00593228"/>
    <w:rPr>
      <w:rFonts w:eastAsiaTheme="minorEastAsia"/>
      <w:sz w:val="24"/>
      <w:lang w:val="fr-FR"/>
    </w:rPr>
  </w:style>
  <w:style w:type="character" w:customStyle="1" w:styleId="JuParaChar">
    <w:name w:val="Ju_Para Char"/>
    <w:aliases w:val="_Para Char,ECHR_Para Char"/>
    <w:link w:val="JuPara"/>
    <w:uiPriority w:val="8"/>
    <w:rsid w:val="00FE5AB7"/>
    <w:rPr>
      <w:rFonts w:eastAsiaTheme="minorEastAsia"/>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25C58D-FC36-49E2-BA4A-B1A8F1BB24A1}"/>
</file>

<file path=customXml/itemProps2.xml><?xml version="1.0" encoding="utf-8"?>
<ds:datastoreItem xmlns:ds="http://schemas.openxmlformats.org/officeDocument/2006/customXml" ds:itemID="{36A6CD93-01C5-45E6-BC97-F4CE9B822F59}"/>
</file>

<file path=customXml/itemProps3.xml><?xml version="1.0" encoding="utf-8"?>
<ds:datastoreItem xmlns:ds="http://schemas.openxmlformats.org/officeDocument/2006/customXml" ds:itemID="{83BD602B-AB4A-472A-85DA-85E74ECE0BAE}"/>
</file>

<file path=customXml/itemProps4.xml><?xml version="1.0" encoding="utf-8"?>
<ds:datastoreItem xmlns:ds="http://schemas.openxmlformats.org/officeDocument/2006/customXml" ds:itemID="{93BB4B35-486F-4ACE-9D90-064E4C0AD5C5}"/>
</file>

<file path=docProps/app.xml><?xml version="1.0" encoding="utf-8"?>
<Properties xmlns="http://schemas.openxmlformats.org/officeDocument/2006/extended-properties" xmlns:vt="http://schemas.openxmlformats.org/officeDocument/2006/docPropsVTypes">
  <Template>Normal.dotm</Template>
  <TotalTime>0</TotalTime>
  <Pages>1</Pages>
  <Words>2135</Words>
  <Characters>12173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Décision</vt:lpstr>
    </vt:vector>
  </TitlesOfParts>
  <Manager/>
  <Company/>
  <LinksUpToDate>false</LinksUpToDate>
  <CharactersWithSpaces>14280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2020-07-24T08:26:00Z</dcterms:created>
  <dcterms:modified xsi:type="dcterms:W3CDTF">2020-07-24T08:26:00Z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23038/19</vt:lpwstr>
  </property>
  <property fmtid="{D5CDD505-2E9C-101B-9397-08002B2CF9AE}" pid="4" name="CASEID">
    <vt:lpwstr>1451063</vt:lpwstr>
  </property>
  <property fmtid="{D5CDD505-2E9C-101B-9397-08002B2CF9AE}" pid="5" name="ContentTypeId">
    <vt:lpwstr>0x010100558EB02BDB9E204AB350EDD385B68E10</vt:lpwstr>
  </property>
</Properties>
</file>