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A7648B" w14:textId="6FADEEF1" w:rsidR="0098410D" w:rsidRDefault="00B559E0" w:rsidP="007128DC">
      <w:pPr>
        <w:jc w:val="center"/>
      </w:pPr>
      <w:r>
        <w:t>EUROPEJSKI TRYBUNAŁ PRAW CZŁOWIEKA</w:t>
      </w:r>
    </w:p>
    <w:p w14:paraId="7EB48450" w14:textId="77777777" w:rsidR="00284F46" w:rsidRDefault="00284F46" w:rsidP="007128DC">
      <w:pPr>
        <w:jc w:val="center"/>
      </w:pPr>
    </w:p>
    <w:p w14:paraId="37696899" w14:textId="77777777" w:rsidR="0098410D" w:rsidRPr="007128DC" w:rsidRDefault="007072DD" w:rsidP="007128DC">
      <w:pPr>
        <w:pStyle w:val="DecHCase"/>
      </w:pPr>
      <w:r>
        <w:t>SEKCJA PIERWSZA</w:t>
      </w:r>
    </w:p>
    <w:p w14:paraId="61DE7C3D" w14:textId="77777777" w:rsidR="008E6217" w:rsidRPr="007128DC" w:rsidRDefault="008E6217" w:rsidP="007128DC">
      <w:pPr>
        <w:pStyle w:val="JuTitle"/>
      </w:pPr>
      <w:bookmarkStart w:id="0" w:name="To"/>
      <w:r>
        <w:rPr>
          <w:color w:val="000000" w:themeColor="text1"/>
        </w:rPr>
        <w:t>SPRAWA</w:t>
      </w:r>
      <w:bookmarkEnd w:id="0"/>
      <w:r w:rsidR="00EA7860">
        <w:rPr>
          <w:color w:val="000000" w:themeColor="text1"/>
        </w:rPr>
        <w:t xml:space="preserve"> </w:t>
      </w:r>
      <w:r>
        <w:t>LEŃCZUK PRZECIWKO POLSCE</w:t>
      </w:r>
    </w:p>
    <w:p w14:paraId="2F511504" w14:textId="51257C76" w:rsidR="00D74888" w:rsidRPr="007128DC" w:rsidRDefault="008E6217" w:rsidP="007128DC">
      <w:pPr>
        <w:pStyle w:val="ECHRCoverTitle4"/>
      </w:pPr>
      <w:r>
        <w:t>(Skarga nr</w:t>
      </w:r>
      <w:r w:rsidR="00B559E0">
        <w:t xml:space="preserve"> </w:t>
      </w:r>
      <w:r>
        <w:t>47800/17)</w:t>
      </w:r>
    </w:p>
    <w:p w14:paraId="54A000A9" w14:textId="77777777" w:rsidR="0098410D" w:rsidRPr="007128DC" w:rsidRDefault="0098410D" w:rsidP="007128DC">
      <w:pPr>
        <w:pStyle w:val="DecHCase"/>
      </w:pPr>
    </w:p>
    <w:p w14:paraId="194634CE" w14:textId="77777777" w:rsidR="0098410D" w:rsidRPr="007128DC" w:rsidRDefault="0098410D" w:rsidP="007128DC">
      <w:pPr>
        <w:pStyle w:val="DecHCase"/>
      </w:pPr>
    </w:p>
    <w:p w14:paraId="35647B68" w14:textId="77777777" w:rsidR="00AC4CD4" w:rsidRPr="007128DC" w:rsidRDefault="00AC4CD4" w:rsidP="007128DC">
      <w:pPr>
        <w:pStyle w:val="DecHCase"/>
      </w:pPr>
    </w:p>
    <w:p w14:paraId="6ADF23F0" w14:textId="77777777" w:rsidR="00256D98" w:rsidRPr="007128DC" w:rsidRDefault="00256D98" w:rsidP="00256D98">
      <w:pPr>
        <w:pStyle w:val="DecHCase"/>
      </w:pPr>
    </w:p>
    <w:p w14:paraId="0D72A241" w14:textId="77777777" w:rsidR="0098410D" w:rsidRPr="007128DC" w:rsidRDefault="0098410D" w:rsidP="007128DC">
      <w:pPr>
        <w:pStyle w:val="DecHCase"/>
      </w:pPr>
    </w:p>
    <w:p w14:paraId="01C75908" w14:textId="77777777" w:rsidR="00256D98" w:rsidRPr="007128DC" w:rsidRDefault="0098410D" w:rsidP="00256D98">
      <w:pPr>
        <w:pStyle w:val="DecHCase"/>
      </w:pPr>
      <w:r>
        <w:t>WYROK</w:t>
      </w:r>
      <w:r>
        <w:br/>
      </w:r>
    </w:p>
    <w:p w14:paraId="57AF2AF9" w14:textId="77777777" w:rsidR="00256D98" w:rsidRPr="007128DC" w:rsidRDefault="00256D98" w:rsidP="00256D98">
      <w:pPr>
        <w:pStyle w:val="DecHCase"/>
      </w:pPr>
    </w:p>
    <w:p w14:paraId="76106C98" w14:textId="77777777" w:rsidR="00256D98" w:rsidRPr="007128DC" w:rsidRDefault="00256D98" w:rsidP="00256D98">
      <w:pPr>
        <w:pStyle w:val="DecHCase"/>
      </w:pPr>
    </w:p>
    <w:p w14:paraId="6F2307C4" w14:textId="77777777" w:rsidR="00256D98" w:rsidRPr="007128DC" w:rsidRDefault="00256D98" w:rsidP="00256D98">
      <w:pPr>
        <w:pStyle w:val="DecHCase"/>
      </w:pPr>
    </w:p>
    <w:p w14:paraId="2DEDD07B" w14:textId="77777777" w:rsidR="0098410D" w:rsidRPr="007128DC" w:rsidRDefault="0098410D" w:rsidP="007128DC">
      <w:pPr>
        <w:pStyle w:val="DecHCase"/>
      </w:pPr>
    </w:p>
    <w:p w14:paraId="1763D647" w14:textId="77777777" w:rsidR="0098410D" w:rsidRPr="007128DC" w:rsidRDefault="0098410D" w:rsidP="007128DC">
      <w:pPr>
        <w:pStyle w:val="DecHCase"/>
      </w:pPr>
      <w:r>
        <w:t>STRASBURG</w:t>
      </w:r>
    </w:p>
    <w:p w14:paraId="6C20223B" w14:textId="77777777" w:rsidR="0098410D" w:rsidRPr="007128DC" w:rsidRDefault="007072DD" w:rsidP="007128DC">
      <w:pPr>
        <w:pStyle w:val="DecHCase"/>
      </w:pPr>
      <w:r>
        <w:rPr>
          <w:rFonts w:ascii="Times New Roman" w:hAnsi="Times New Roman"/>
        </w:rPr>
        <w:t>15 kwietnia 2021 r.</w:t>
      </w:r>
    </w:p>
    <w:p w14:paraId="27CE135E" w14:textId="2624AAE3" w:rsidR="002422B6" w:rsidRPr="007128DC" w:rsidRDefault="0098410D" w:rsidP="009C3643">
      <w:pPr>
        <w:jc w:val="center"/>
        <w:rPr>
          <w:i/>
          <w:sz w:val="22"/>
        </w:rPr>
      </w:pPr>
      <w:bookmarkStart w:id="1" w:name="_Hlk69285203"/>
      <w:r>
        <w:rPr>
          <w:i/>
          <w:sz w:val="22"/>
        </w:rPr>
        <w:t xml:space="preserve">Wyrok ten </w:t>
      </w:r>
      <w:r w:rsidR="00B559E0">
        <w:rPr>
          <w:i/>
          <w:sz w:val="22"/>
        </w:rPr>
        <w:t>jest</w:t>
      </w:r>
      <w:r w:rsidR="00B559E0">
        <w:rPr>
          <w:i/>
          <w:sz w:val="22"/>
        </w:rPr>
        <w:t xml:space="preserve"> </w:t>
      </w:r>
      <w:r>
        <w:rPr>
          <w:i/>
          <w:sz w:val="22"/>
        </w:rPr>
        <w:t xml:space="preserve">ostateczny, lecz </w:t>
      </w:r>
      <w:bookmarkStart w:id="2" w:name="_GoBack"/>
      <w:bookmarkEnd w:id="2"/>
      <w:r>
        <w:rPr>
          <w:i/>
          <w:sz w:val="22"/>
        </w:rPr>
        <w:t>może podlegać korekcie wydawniczej.</w:t>
      </w:r>
    </w:p>
    <w:bookmarkEnd w:id="1"/>
    <w:p w14:paraId="27C9C036" w14:textId="77777777" w:rsidR="0098410D" w:rsidRPr="007128DC" w:rsidRDefault="0098410D" w:rsidP="007128DC">
      <w:pPr>
        <w:sectPr w:rsidR="0098410D" w:rsidRPr="007128DC"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01DFA0E7" w14:textId="77777777" w:rsidR="0098410D" w:rsidRPr="007128DC" w:rsidRDefault="0098410D" w:rsidP="007128DC">
      <w:pPr>
        <w:pStyle w:val="JuCase"/>
      </w:pPr>
      <w:r>
        <w:lastRenderedPageBreak/>
        <w:t xml:space="preserve">W sprawie </w:t>
      </w:r>
      <w:proofErr w:type="spellStart"/>
      <w:r>
        <w:t>Leńczuk</w:t>
      </w:r>
      <w:proofErr w:type="spellEnd"/>
      <w:r>
        <w:t xml:space="preserve"> przeciwko Polsce</w:t>
      </w:r>
    </w:p>
    <w:p w14:paraId="7B2C63C1" w14:textId="48B1E8E1" w:rsidR="009F4C8F" w:rsidRPr="007128DC" w:rsidRDefault="009F4C8F" w:rsidP="007128DC">
      <w:pPr>
        <w:pStyle w:val="JuPara"/>
      </w:pPr>
      <w:r>
        <w:t>Europejski Trybunał Praw Człowieka (</w:t>
      </w:r>
      <w:r w:rsidR="00B559E0">
        <w:t>Sekcja Pierwsza</w:t>
      </w:r>
      <w:r>
        <w:t>), zasiadając jako Komitet w składzie:</w:t>
      </w:r>
    </w:p>
    <w:p w14:paraId="70FBD8E6" w14:textId="6C3FCBA3" w:rsidR="009F4C8F" w:rsidRPr="007128DC" w:rsidRDefault="000F4DD5" w:rsidP="00040F3A">
      <w:pPr>
        <w:pStyle w:val="JuJudges"/>
        <w:ind w:left="284"/>
      </w:pPr>
      <w:r>
        <w:tab/>
        <w:t xml:space="preserve">Alena </w:t>
      </w:r>
      <w:proofErr w:type="spellStart"/>
      <w:r>
        <w:t>Poláčková</w:t>
      </w:r>
      <w:proofErr w:type="spellEnd"/>
      <w:r>
        <w:rPr>
          <w:i/>
        </w:rPr>
        <w:t>, Przewodnicząca</w:t>
      </w:r>
      <w:r>
        <w:t>,</w:t>
      </w:r>
      <w:r>
        <w:br/>
      </w:r>
      <w:r w:rsidR="00EA7860">
        <w:tab/>
      </w:r>
      <w:proofErr w:type="spellStart"/>
      <w:r>
        <w:t>Péter</w:t>
      </w:r>
      <w:proofErr w:type="spellEnd"/>
      <w:r>
        <w:t xml:space="preserve"> </w:t>
      </w:r>
      <w:proofErr w:type="spellStart"/>
      <w:r>
        <w:t>Paczolay</w:t>
      </w:r>
      <w:proofErr w:type="spellEnd"/>
      <w:r>
        <w:t>,</w:t>
      </w:r>
      <w:r>
        <w:rPr>
          <w:i/>
        </w:rPr>
        <w:br/>
      </w:r>
      <w:r>
        <w:tab/>
        <w:t xml:space="preserve">Gilberto </w:t>
      </w:r>
      <w:proofErr w:type="spellStart"/>
      <w:r>
        <w:t>Felici</w:t>
      </w:r>
      <w:proofErr w:type="spellEnd"/>
      <w:r>
        <w:t>,</w:t>
      </w:r>
      <w:r>
        <w:rPr>
          <w:i/>
        </w:rPr>
        <w:t xml:space="preserve"> sędziowie</w:t>
      </w:r>
      <w:r>
        <w:t>,</w:t>
      </w:r>
      <w:r>
        <w:br/>
        <w:t xml:space="preserve">oraz </w:t>
      </w:r>
      <w:proofErr w:type="spellStart"/>
      <w:r>
        <w:t>Attila</w:t>
      </w:r>
      <w:proofErr w:type="spellEnd"/>
      <w:r>
        <w:t xml:space="preserve"> </w:t>
      </w:r>
      <w:proofErr w:type="spellStart"/>
      <w:r>
        <w:t>Teplán</w:t>
      </w:r>
      <w:proofErr w:type="spellEnd"/>
      <w:r>
        <w:t xml:space="preserve">, </w:t>
      </w:r>
      <w:r>
        <w:rPr>
          <w:i/>
        </w:rPr>
        <w:t xml:space="preserve">p.o. </w:t>
      </w:r>
      <w:r w:rsidR="00B559E0">
        <w:rPr>
          <w:i/>
        </w:rPr>
        <w:t>Zastępca Kanclerza Sekcji</w:t>
      </w:r>
      <w:r>
        <w:t>,</w:t>
      </w:r>
    </w:p>
    <w:p w14:paraId="08BCF528" w14:textId="77777777" w:rsidR="007072DD" w:rsidRPr="007128DC" w:rsidRDefault="007072DD" w:rsidP="007128DC">
      <w:pPr>
        <w:pStyle w:val="JuPara"/>
      </w:pPr>
      <w:bookmarkStart w:id="3" w:name="ITMARKHavingStart"/>
      <w:bookmarkEnd w:id="3"/>
      <w:r>
        <w:t>Mając na uwadze:</w:t>
      </w:r>
    </w:p>
    <w:p w14:paraId="5415ADE9" w14:textId="2BA7EAF9" w:rsidR="007072DD" w:rsidRPr="007128DC" w:rsidRDefault="007072DD" w:rsidP="007128DC">
      <w:pPr>
        <w:pStyle w:val="JuPara"/>
      </w:pPr>
      <w:r>
        <w:t>skargę (nr</w:t>
      </w:r>
      <w:r w:rsidR="00B559E0">
        <w:t xml:space="preserve"> </w:t>
      </w:r>
      <w:r>
        <w:t>47800/17) przeciwko Rzeczypospolitej Polskiej wniesioną do</w:t>
      </w:r>
      <w:r w:rsidR="00267B4B">
        <w:t> </w:t>
      </w:r>
      <w:r>
        <w:t>Trybunału w dniu 14 czerwca 2017</w:t>
      </w:r>
      <w:r w:rsidR="00B559E0">
        <w:t xml:space="preserve"> </w:t>
      </w:r>
      <w:r>
        <w:t>r. na podstawie art.</w:t>
      </w:r>
      <w:r w:rsidR="00B559E0">
        <w:t xml:space="preserve"> </w:t>
      </w:r>
      <w:r>
        <w:t>34 Konwencji o</w:t>
      </w:r>
      <w:r w:rsidR="00267B4B">
        <w:t> </w:t>
      </w:r>
      <w:r>
        <w:t>ochronie praw człowieka i</w:t>
      </w:r>
      <w:r w:rsidR="00B559E0">
        <w:t xml:space="preserve"> </w:t>
      </w:r>
      <w:r>
        <w:t xml:space="preserve">podstawowych wolności („Konwencji”) przez obywatela polskiego Michała Włodzimierza </w:t>
      </w:r>
      <w:proofErr w:type="spellStart"/>
      <w:r>
        <w:t>Leńczuka</w:t>
      </w:r>
      <w:proofErr w:type="spellEnd"/>
      <w:r>
        <w:t xml:space="preserve"> („skarżącego”);</w:t>
      </w:r>
    </w:p>
    <w:p w14:paraId="5EBDAE31" w14:textId="3EBC841B" w:rsidR="007072DD" w:rsidRPr="007128DC" w:rsidRDefault="007072DD" w:rsidP="007128DC">
      <w:pPr>
        <w:pStyle w:val="JuPara"/>
      </w:pPr>
      <w:r>
        <w:t xml:space="preserve">decyzję o </w:t>
      </w:r>
      <w:r>
        <w:t>za</w:t>
      </w:r>
      <w:r w:rsidR="00B559E0">
        <w:t>komunikowaniu skargi Rządowi</w:t>
      </w:r>
      <w:r w:rsidR="00B559E0">
        <w:t xml:space="preserve"> RP („</w:t>
      </w:r>
      <w:r w:rsidR="00B559E0">
        <w:t>Rządowi</w:t>
      </w:r>
      <w:r>
        <w:t>”);</w:t>
      </w:r>
    </w:p>
    <w:p w14:paraId="2DD072E1" w14:textId="77777777" w:rsidR="007072DD" w:rsidRPr="007128DC" w:rsidRDefault="007072DD" w:rsidP="007128DC">
      <w:pPr>
        <w:pStyle w:val="JuPara"/>
      </w:pPr>
      <w:r>
        <w:t>uwagi stron;</w:t>
      </w:r>
    </w:p>
    <w:p w14:paraId="30D3FCDA" w14:textId="6124E183" w:rsidR="009F4C8F" w:rsidRPr="007128DC" w:rsidRDefault="009F4C8F" w:rsidP="007128DC">
      <w:pPr>
        <w:pStyle w:val="JuPara"/>
      </w:pPr>
      <w:r>
        <w:t>obradując na posiedzeniu niejawnym w dniu 16 marca 2021</w:t>
      </w:r>
      <w:r w:rsidR="00B559E0">
        <w:t xml:space="preserve"> </w:t>
      </w:r>
      <w:r>
        <w:t>r.,</w:t>
      </w:r>
    </w:p>
    <w:p w14:paraId="4F980C3D" w14:textId="77777777" w:rsidR="009F4C8F" w:rsidRPr="007128DC" w:rsidRDefault="009F4C8F" w:rsidP="007128DC">
      <w:pPr>
        <w:pStyle w:val="JuPara"/>
      </w:pPr>
      <w:r>
        <w:t>wydaje następujący wyrok, który został przyjęty w tym dniu:</w:t>
      </w:r>
    </w:p>
    <w:p w14:paraId="171A6039" w14:textId="77777777" w:rsidR="007072DD" w:rsidRPr="007128DC" w:rsidRDefault="007072DD" w:rsidP="007128DC">
      <w:pPr>
        <w:pStyle w:val="JuHHead"/>
        <w:numPr>
          <w:ilvl w:val="0"/>
          <w:numId w:val="0"/>
        </w:numPr>
      </w:pPr>
      <w:r>
        <w:t>WPROWADZENIE</w:t>
      </w:r>
    </w:p>
    <w:p w14:paraId="69EA18F0" w14:textId="0C0E1123" w:rsidR="007072DD" w:rsidRPr="007128DC" w:rsidRDefault="00040F3A" w:rsidP="007128DC">
      <w:pPr>
        <w:pStyle w:val="JuPara"/>
      </w:pPr>
      <w:r>
        <w:rPr>
          <w:noProof/>
        </w:rPr>
        <w:t>1</w:t>
      </w:r>
      <w:r w:rsidR="007072DD">
        <w:t>.</w:t>
      </w:r>
      <w:r w:rsidR="00B559E0">
        <w:t xml:space="preserve"> </w:t>
      </w:r>
      <w:r w:rsidR="007072DD">
        <w:t>Sprawa dotyczy długotrwałego stosowania wobec skarżącego reżimu związanego ze statusem „</w:t>
      </w:r>
      <w:r w:rsidR="0057474C">
        <w:t>osadzonego</w:t>
      </w:r>
      <w:r w:rsidR="00B559E0" w:rsidRPr="00B559E0">
        <w:t xml:space="preserve"> </w:t>
      </w:r>
      <w:r w:rsidR="00B559E0">
        <w:t>niebezpiecznego</w:t>
      </w:r>
      <w:r w:rsidR="007072DD">
        <w:t>”.</w:t>
      </w:r>
    </w:p>
    <w:p w14:paraId="54CB8BCC" w14:textId="77777777" w:rsidR="007072DD" w:rsidRPr="007128DC" w:rsidRDefault="007072DD" w:rsidP="007128DC">
      <w:pPr>
        <w:pStyle w:val="JuHHead"/>
        <w:jc w:val="left"/>
      </w:pPr>
      <w:r>
        <w:t>FAKTY</w:t>
      </w:r>
    </w:p>
    <w:p w14:paraId="1FBEFE6F" w14:textId="638E2EF2" w:rsidR="007072DD" w:rsidRPr="007128DC" w:rsidRDefault="00040F3A" w:rsidP="007128DC">
      <w:pPr>
        <w:pStyle w:val="JuPara"/>
      </w:pPr>
      <w:r>
        <w:rPr>
          <w:noProof/>
        </w:rPr>
        <w:t>2</w:t>
      </w:r>
      <w:r w:rsidR="007072DD">
        <w:t>.</w:t>
      </w:r>
      <w:r w:rsidR="00B559E0">
        <w:t xml:space="preserve"> </w:t>
      </w:r>
      <w:r w:rsidR="007072DD">
        <w:t>Skarżący urodził się w</w:t>
      </w:r>
      <w:r w:rsidR="00B559E0">
        <w:t xml:space="preserve"> </w:t>
      </w:r>
      <w:r w:rsidR="007072DD">
        <w:t>1995</w:t>
      </w:r>
      <w:r w:rsidR="00B559E0">
        <w:t xml:space="preserve"> </w:t>
      </w:r>
      <w:r w:rsidR="007072DD">
        <w:t xml:space="preserve">r. </w:t>
      </w:r>
      <w:r w:rsidR="006878C5">
        <w:t>i jest osadzony w jednostce penitencjarnej w Lublinie</w:t>
      </w:r>
      <w:r w:rsidR="007072DD">
        <w:t>.</w:t>
      </w:r>
    </w:p>
    <w:p w14:paraId="7D339C52" w14:textId="163F0D76" w:rsidR="007072DD" w:rsidRPr="007128DC" w:rsidRDefault="00040F3A" w:rsidP="007128DC">
      <w:pPr>
        <w:pStyle w:val="JuPara"/>
      </w:pPr>
      <w:r>
        <w:rPr>
          <w:noProof/>
        </w:rPr>
        <w:t>3</w:t>
      </w:r>
      <w:r w:rsidR="007072DD">
        <w:t>.</w:t>
      </w:r>
      <w:r w:rsidR="00B559E0">
        <w:t xml:space="preserve"> </w:t>
      </w:r>
      <w:r w:rsidR="007072DD">
        <w:t>Rząd polski („Rząd”) był reprezentowany przez pełnomocnik J.</w:t>
      </w:r>
      <w:r w:rsidR="00267B4B">
        <w:t> </w:t>
      </w:r>
      <w:r w:rsidR="007072DD">
        <w:t>Chrzanowską, a następnie przez J. Sobczaka z Ministerstwa Spraw Zagranicznych.</w:t>
      </w:r>
    </w:p>
    <w:p w14:paraId="4000F83D" w14:textId="3036E038" w:rsidR="007072DD" w:rsidRPr="007128DC" w:rsidRDefault="00040F3A" w:rsidP="007128DC">
      <w:pPr>
        <w:pStyle w:val="JuPara"/>
      </w:pPr>
      <w:r>
        <w:rPr>
          <w:noProof/>
        </w:rPr>
        <w:t>4</w:t>
      </w:r>
      <w:r w:rsidR="007072DD">
        <w:t>.</w:t>
      </w:r>
      <w:r w:rsidR="00B559E0">
        <w:t xml:space="preserve"> </w:t>
      </w:r>
      <w:r w:rsidR="007072DD">
        <w:t>Przedstawione przez strony okoliczności faktyczne sprawy można streścić w następujący sposób.</w:t>
      </w:r>
    </w:p>
    <w:p w14:paraId="00401F25" w14:textId="3A69E168" w:rsidR="007072DD" w:rsidRPr="007128DC" w:rsidRDefault="00040F3A" w:rsidP="007128DC">
      <w:pPr>
        <w:pStyle w:val="JuPara"/>
      </w:pPr>
      <w:r>
        <w:rPr>
          <w:noProof/>
        </w:rPr>
        <w:t>5</w:t>
      </w:r>
      <w:r w:rsidR="007072DD">
        <w:t>.</w:t>
      </w:r>
      <w:r w:rsidR="00B559E0">
        <w:t xml:space="preserve"> </w:t>
      </w:r>
      <w:r w:rsidR="007072DD">
        <w:t>Skarżącego zatrzymano w dniu 30 marca 2015 r. Następnie odbywał on</w:t>
      </w:r>
      <w:r w:rsidR="00267B4B">
        <w:t> </w:t>
      </w:r>
      <w:r w:rsidR="007072DD">
        <w:t>różne kary pozbawienia wolności za włamania i kradzieże. W tym okresie łącznie wymierzono mu czternaście kar dyscyplinarnych.</w:t>
      </w:r>
    </w:p>
    <w:p w14:paraId="36F77FE5" w14:textId="691AC745" w:rsidR="007072DD" w:rsidRPr="007128DC" w:rsidRDefault="00040F3A" w:rsidP="007128DC">
      <w:pPr>
        <w:pStyle w:val="JuPara"/>
      </w:pPr>
      <w:bookmarkStart w:id="4" w:name="regimeImposed"/>
      <w:r>
        <w:rPr>
          <w:noProof/>
        </w:rPr>
        <w:t>6</w:t>
      </w:r>
      <w:bookmarkEnd w:id="4"/>
      <w:r w:rsidR="007072DD">
        <w:t>.</w:t>
      </w:r>
      <w:r w:rsidR="00B559E0">
        <w:t xml:space="preserve"> </w:t>
      </w:r>
      <w:r w:rsidR="007072DD">
        <w:t>W dniu 3 stycznia 2017 r. komisja penitencjarna Aresztu Śledczego w</w:t>
      </w:r>
      <w:r w:rsidR="00267B4B">
        <w:t> </w:t>
      </w:r>
      <w:r w:rsidR="007072DD">
        <w:t>Lublinie (zwana</w:t>
      </w:r>
      <w:r w:rsidR="00EA7860">
        <w:t xml:space="preserve"> </w:t>
      </w:r>
      <w:r w:rsidR="007072DD">
        <w:t>dalej „komisją”) zakwalifikowała skarżącego do kategorii „</w:t>
      </w:r>
      <w:r w:rsidR="007072DD">
        <w:t>osadzonych</w:t>
      </w:r>
      <w:r w:rsidR="00B559E0" w:rsidRPr="00B559E0">
        <w:t xml:space="preserve"> </w:t>
      </w:r>
      <w:r w:rsidR="00B559E0">
        <w:t>niebezpiecznych</w:t>
      </w:r>
      <w:r w:rsidR="007072DD">
        <w:t>” i zdecydowała, że powinien on zostać osadzony w ramach reżimu wynikającego z tej kwalifikacji na okres trzech miesięcy. Komisja wzięła pod uwagę fakt, że skarżącemu wielokrotnie wymierzano kary dyscyplinarne oraz że naruszył on nietykalność cielesną funkcjonariusza służby więziennej. Skarżący był agresywny i</w:t>
      </w:r>
      <w:r w:rsidR="00267B4B">
        <w:t> </w:t>
      </w:r>
      <w:r w:rsidR="007072DD">
        <w:t>nieprzewidywalny oraz stanowił realne i poważne zagrożenie dla</w:t>
      </w:r>
      <w:r w:rsidR="00267B4B">
        <w:t> </w:t>
      </w:r>
      <w:r w:rsidR="007072DD">
        <w:t xml:space="preserve">bezpieczeństwa zakładu karnego. Komisja zdecydowała ponadto, </w:t>
      </w:r>
      <w:r w:rsidR="007072DD">
        <w:lastRenderedPageBreak/>
        <w:t>że</w:t>
      </w:r>
      <w:r w:rsidR="00267B4B">
        <w:t> </w:t>
      </w:r>
      <w:r w:rsidR="007072DD">
        <w:t>konieczne było zastosowanie wszystkich środków przewidzianych w</w:t>
      </w:r>
      <w:r w:rsidR="00267B4B">
        <w:t> </w:t>
      </w:r>
      <w:r w:rsidR="007072DD">
        <w:t>art.</w:t>
      </w:r>
      <w:r w:rsidR="00267B4B">
        <w:t> </w:t>
      </w:r>
      <w:r w:rsidR="007072DD">
        <w:t>88b § 1 Kodeksu karnego wykonawczego.</w:t>
      </w:r>
    </w:p>
    <w:p w14:paraId="4FF24989" w14:textId="7C0971C8" w:rsidR="007072DD" w:rsidRPr="007128DC" w:rsidRDefault="00040F3A" w:rsidP="007128DC">
      <w:pPr>
        <w:pStyle w:val="JuPara"/>
      </w:pPr>
      <w:r>
        <w:rPr>
          <w:noProof/>
        </w:rPr>
        <w:t>7</w:t>
      </w:r>
      <w:r w:rsidR="007072DD">
        <w:t>.</w:t>
      </w:r>
      <w:r w:rsidR="00B559E0">
        <w:t xml:space="preserve"> </w:t>
      </w:r>
      <w:r w:rsidR="007072DD">
        <w:t>W dniu 29 marca 2017 r. komisja przedłużyła stosowanie reżimu. Komisja uznała, że zachowanie skarżącego nie uległo poprawie i że nadal stanowi on realne i poważne zagrożenie dla bezpieczeństwa zakładu karnego. Skargę skarżącego oddalono w dniu 30 maja 2017 r.</w:t>
      </w:r>
    </w:p>
    <w:p w14:paraId="1CFBF0BA" w14:textId="799CBC4D" w:rsidR="007072DD" w:rsidRPr="007128DC" w:rsidRDefault="00040F3A" w:rsidP="007128DC">
      <w:pPr>
        <w:pStyle w:val="JuPara"/>
      </w:pPr>
      <w:bookmarkStart w:id="5" w:name="stripsearchLifted"/>
      <w:r>
        <w:rPr>
          <w:noProof/>
        </w:rPr>
        <w:t>8</w:t>
      </w:r>
      <w:bookmarkEnd w:id="5"/>
      <w:r w:rsidR="007072DD">
        <w:t>.</w:t>
      </w:r>
      <w:r w:rsidR="00B559E0">
        <w:t xml:space="preserve"> </w:t>
      </w:r>
      <w:r w:rsidR="007072DD">
        <w:t xml:space="preserve">W dniu 28 czerwca 2017 r. komisja ponownie przedłużyła stosowanie środka. Uznała, że zachowanie skarżącego w zakładzie karnym nie uległo poprawie, ponieważ dwukrotnie został on ukarany dyscyplinarnie. Skarżący był agresywny w stosunku do personelu zakładu karnego i odmawiał przestrzegania regulaminu. Komisja uznała, że skarżący nadal stanowi zagrożenie dla bezpieczeństwa zakładu karnego i że przedłużenie zastosowanego wobec niego reżimu może mieć pozytywny wpływ na jego zachowanie w zakładzie karnym. Jednocześnie, stosując art. 88b § 2 Kodeksu, komisja </w:t>
      </w:r>
      <w:r w:rsidR="007072DD">
        <w:t>za</w:t>
      </w:r>
      <w:r w:rsidR="00B27C07">
        <w:t>kończyła automatyczne</w:t>
      </w:r>
      <w:r w:rsidR="007072DD">
        <w:t xml:space="preserve"> </w:t>
      </w:r>
      <w:r w:rsidR="00B27C07">
        <w:t>przeprowadzanie</w:t>
      </w:r>
      <w:r w:rsidR="007072DD">
        <w:t xml:space="preserve"> kontroli osobistej przy każdorazowym wychodzeniu lub powrocie skarżącego do celi. Skarżący miał być poddawany kontroli osobistej tylko przy opuszczaniu </w:t>
      </w:r>
      <w:r w:rsidR="005B1494">
        <w:t>oddziału</w:t>
      </w:r>
      <w:r w:rsidR="007072DD">
        <w:t xml:space="preserve"> mieszkalne</w:t>
      </w:r>
      <w:r w:rsidR="005B1494">
        <w:t>go</w:t>
      </w:r>
      <w:r w:rsidR="007072DD">
        <w:t xml:space="preserve"> w zakładzie karnym lub wchodzeniu do nie</w:t>
      </w:r>
      <w:r w:rsidR="005B1494">
        <w:t>go</w:t>
      </w:r>
      <w:r w:rsidR="007072DD">
        <w:t>. Po</w:t>
      </w:r>
      <w:r w:rsidR="00267B4B">
        <w:t> </w:t>
      </w:r>
      <w:r w:rsidR="007072DD">
        <w:t>drugie, skarżącemu pozwolono na noszenie własnej odzieży i obuwia (zawieszenie</w:t>
      </w:r>
      <w:r>
        <w:t xml:space="preserve"> stosowania</w:t>
      </w:r>
      <w:r w:rsidR="007072DD">
        <w:t xml:space="preserve"> środków opisanych w art. 88b § 1 pkt 5 i 10).</w:t>
      </w:r>
    </w:p>
    <w:p w14:paraId="084ECEE3" w14:textId="77777777" w:rsidR="007072DD" w:rsidRPr="007128DC" w:rsidRDefault="007072DD" w:rsidP="007128DC">
      <w:pPr>
        <w:pStyle w:val="JuPara"/>
      </w:pPr>
      <w:r>
        <w:t>Skarżący zaskarżył tę decyzję.</w:t>
      </w:r>
    </w:p>
    <w:p w14:paraId="5263A099" w14:textId="0DEAF2F5" w:rsidR="007072DD" w:rsidRPr="007128DC" w:rsidRDefault="00040F3A" w:rsidP="007128DC">
      <w:pPr>
        <w:pStyle w:val="JuPara"/>
      </w:pPr>
      <w:r>
        <w:rPr>
          <w:noProof/>
        </w:rPr>
        <w:t>9</w:t>
      </w:r>
      <w:r w:rsidR="007072DD">
        <w:t>.</w:t>
      </w:r>
      <w:r w:rsidR="00B559E0">
        <w:t xml:space="preserve"> </w:t>
      </w:r>
      <w:r w:rsidR="007072DD">
        <w:t>W dniu 22 sierpnia 2017 r. Sąd Okręgowy w Lublinie oddalił skargę skarżącego.</w:t>
      </w:r>
    </w:p>
    <w:p w14:paraId="5314E805" w14:textId="5B85DEA7" w:rsidR="007072DD" w:rsidRPr="007128DC" w:rsidRDefault="00040F3A" w:rsidP="007128DC">
      <w:pPr>
        <w:pStyle w:val="JuPara"/>
      </w:pPr>
      <w:bookmarkStart w:id="6" w:name="RegimeLifted"/>
      <w:r>
        <w:rPr>
          <w:noProof/>
        </w:rPr>
        <w:t>10</w:t>
      </w:r>
      <w:bookmarkEnd w:id="6"/>
      <w:r w:rsidR="007072DD">
        <w:t>.</w:t>
      </w:r>
      <w:r w:rsidR="00B559E0">
        <w:t xml:space="preserve"> </w:t>
      </w:r>
      <w:r w:rsidR="007072DD">
        <w:t>W dniu 27 września 2017 r. komisja penitencjarna Aresztu Śledczego w Lublinie uchyliła zastosowany reżim. Komisja uznała, że istniały podstawy do przyjęcia, że skarżący nie stanowi już realnego zagrożenia dla</w:t>
      </w:r>
      <w:r w:rsidR="00267B4B">
        <w:t> </w:t>
      </w:r>
      <w:r w:rsidR="007072DD">
        <w:t xml:space="preserve">bezpieczeństwa zakładu karnego. Ponadto dalsze stosowanie reżimu związanego ze statusem </w:t>
      </w:r>
      <w:r w:rsidR="00064E07">
        <w:t xml:space="preserve">osadzonego </w:t>
      </w:r>
      <w:r w:rsidR="007072DD">
        <w:t>niebezpiecznego nie miałoby już pozytywnego wpływu na zachowanie skarżącego.</w:t>
      </w:r>
    </w:p>
    <w:p w14:paraId="6415EADF" w14:textId="77777777" w:rsidR="007072DD" w:rsidRPr="007128DC" w:rsidRDefault="007072DD" w:rsidP="007128DC">
      <w:pPr>
        <w:pStyle w:val="JuPara"/>
      </w:pPr>
      <w:r>
        <w:t>Skarżący podniósł, że reżim ten wiązał się w szczególności z codzienną kontrolą osobistą i stałym monitorowaniem celi, w tym toalety. Ponadto był on ściśle izolowany od pozostałych osadzonych.</w:t>
      </w:r>
    </w:p>
    <w:p w14:paraId="37E04BCC" w14:textId="39812727" w:rsidR="007072DD" w:rsidRPr="007128DC" w:rsidRDefault="00040F3A" w:rsidP="007128DC">
      <w:pPr>
        <w:pStyle w:val="JuPara"/>
      </w:pPr>
      <w:bookmarkStart w:id="7" w:name="par11"/>
      <w:bookmarkStart w:id="8" w:name="aspectsoftheRegime"/>
      <w:r>
        <w:rPr>
          <w:noProof/>
        </w:rPr>
        <w:t>11</w:t>
      </w:r>
      <w:bookmarkEnd w:id="7"/>
      <w:bookmarkEnd w:id="8"/>
      <w:r w:rsidR="007072DD">
        <w:t>.</w:t>
      </w:r>
      <w:r w:rsidR="00B559E0">
        <w:t xml:space="preserve"> </w:t>
      </w:r>
      <w:r w:rsidR="007072DD">
        <w:t xml:space="preserve">Podczas pobytu w </w:t>
      </w:r>
      <w:r w:rsidR="006878C5">
        <w:t>jednostce penitencjarnej</w:t>
      </w:r>
      <w:r w:rsidR="007072DD">
        <w:t xml:space="preserve"> skarżący był umieszczany w jednoosobowych celach. Cele mieszkalne, w tym część przeznaczona do</w:t>
      </w:r>
      <w:r w:rsidR="00267B4B">
        <w:t> </w:t>
      </w:r>
      <w:r w:rsidR="007072DD">
        <w:t xml:space="preserve">celów sanitarno-higienicznych, były monitorowane przez system telewizji przemysłowej. Skarżący poddawany był kontroli osobistej każdorazowo przy opuszczeniu i powrocie do celi. Przy wychodzeniu z celi skarżącego skuwano tzw. kajdankami zespolonymi (kajdanki zakładane na ręce </w:t>
      </w:r>
      <w:r w:rsidR="00435E14">
        <w:t xml:space="preserve">i nogi </w:t>
      </w:r>
      <w:r w:rsidR="007072DD">
        <w:t>połączone łańcuchem).</w:t>
      </w:r>
    </w:p>
    <w:p w14:paraId="32C8A255" w14:textId="77777777" w:rsidR="007072DD" w:rsidRPr="007128DC" w:rsidRDefault="007072DD" w:rsidP="007128DC">
      <w:pPr>
        <w:pStyle w:val="JuHHead"/>
        <w:jc w:val="left"/>
      </w:pPr>
      <w:r>
        <w:t>WŁAŚCIWE RAMY PRAWNE I PRAKTYKA</w:t>
      </w:r>
    </w:p>
    <w:p w14:paraId="56086CD2" w14:textId="6C74ADD8" w:rsidR="007072DD" w:rsidRPr="007128DC" w:rsidRDefault="00040F3A" w:rsidP="007128DC">
      <w:pPr>
        <w:pStyle w:val="JuPara"/>
      </w:pPr>
      <w:r>
        <w:rPr>
          <w:noProof/>
        </w:rPr>
        <w:t>12</w:t>
      </w:r>
      <w:r w:rsidR="007072DD">
        <w:t>.</w:t>
      </w:r>
      <w:r w:rsidR="00B559E0">
        <w:t xml:space="preserve"> </w:t>
      </w:r>
      <w:r w:rsidR="007072DD">
        <w:t>Właściwe prawo krajowe i praktyka dotycząc</w:t>
      </w:r>
      <w:r w:rsidR="00435E14">
        <w:t>e</w:t>
      </w:r>
      <w:r w:rsidR="007072DD">
        <w:t xml:space="preserve"> zastosowania reżimu przewidzianego dla „</w:t>
      </w:r>
      <w:r w:rsidR="007072DD">
        <w:t>osadzonego</w:t>
      </w:r>
      <w:r w:rsidR="00B559E0" w:rsidRPr="00B559E0">
        <w:t xml:space="preserve"> </w:t>
      </w:r>
      <w:r w:rsidR="00B559E0">
        <w:t>niebezpiecznego</w:t>
      </w:r>
      <w:r w:rsidR="007072DD">
        <w:t xml:space="preserve">” przedstawiono </w:t>
      </w:r>
      <w:r w:rsidR="007072DD">
        <w:lastRenderedPageBreak/>
        <w:t>w</w:t>
      </w:r>
      <w:r w:rsidR="00267B4B">
        <w:t> </w:t>
      </w:r>
      <w:r w:rsidR="007072DD">
        <w:t xml:space="preserve">wyrokach Trybunału w sprawach </w:t>
      </w:r>
      <w:r w:rsidR="007072DD">
        <w:rPr>
          <w:i/>
        </w:rPr>
        <w:t>Piechowicz przeciwko Polsce</w:t>
      </w:r>
      <w:r w:rsidR="007072DD">
        <w:t xml:space="preserve"> (skarga nr</w:t>
      </w:r>
      <w:r w:rsidR="00267B4B">
        <w:t> </w:t>
      </w:r>
      <w:r w:rsidR="007072DD">
        <w:t xml:space="preserve">20071/07, §§ 105-117, 17 kwietnia 2012 r.) oraz </w:t>
      </w:r>
      <w:r w:rsidR="007072DD">
        <w:rPr>
          <w:i/>
        </w:rPr>
        <w:t>Horych przeciwko Polsce</w:t>
      </w:r>
      <w:r w:rsidR="007072DD">
        <w:t xml:space="preserve"> (skarga nr 13621/08, §§ 44-56, 17 kwietnia 2012 r.).</w:t>
      </w:r>
    </w:p>
    <w:p w14:paraId="1C439B3E" w14:textId="59C35977" w:rsidR="007072DD" w:rsidRPr="007128DC" w:rsidRDefault="00040F3A" w:rsidP="007128DC">
      <w:pPr>
        <w:pStyle w:val="JuPara"/>
      </w:pPr>
      <w:bookmarkStart w:id="9" w:name="amendment2015"/>
      <w:r>
        <w:rPr>
          <w:noProof/>
        </w:rPr>
        <w:t>13</w:t>
      </w:r>
      <w:bookmarkEnd w:id="9"/>
      <w:r w:rsidR="007072DD">
        <w:t>.</w:t>
      </w:r>
      <w:r w:rsidR="00B559E0">
        <w:t xml:space="preserve"> </w:t>
      </w:r>
      <w:r w:rsidR="007072DD">
        <w:t>W dniu 10 września 2015 r. znowelizowano odpowiednie przepisy Kodeksu karnego wykonawczego. Zmiany weszły w życie z dniem 24</w:t>
      </w:r>
      <w:r w:rsidR="00267B4B">
        <w:t> </w:t>
      </w:r>
      <w:r w:rsidR="007072DD">
        <w:t>października 2015 r. Obecnie brzmią one następująco:</w:t>
      </w:r>
    </w:p>
    <w:p w14:paraId="68A76307" w14:textId="77777777" w:rsidR="007072DD" w:rsidRPr="007128DC" w:rsidRDefault="007072DD" w:rsidP="007128DC">
      <w:pPr>
        <w:pStyle w:val="JuHArticle"/>
      </w:pPr>
      <w:r>
        <w:t>Artykuł 88a</w:t>
      </w:r>
    </w:p>
    <w:p w14:paraId="788EE4A6" w14:textId="1E30AD9C" w:rsidR="007072DD" w:rsidRPr="007128DC" w:rsidRDefault="007072DD" w:rsidP="007128DC">
      <w:pPr>
        <w:pStyle w:val="JuQuot"/>
      </w:pPr>
      <w:r>
        <w:t>„2. Przy podjęciu i każdorazowej weryfikacji decyzji o uznaniu skazanego za</w:t>
      </w:r>
      <w:r w:rsidR="00267B4B">
        <w:t> </w:t>
      </w:r>
      <w:r>
        <w:t>stwarzającego poważne zagrożenie społeczne albo poważne zagrożenie dla</w:t>
      </w:r>
      <w:r w:rsidR="00267B4B">
        <w:t> </w:t>
      </w:r>
      <w:r>
        <w:t>bezpieczeństwa zakładu komisja penitencjarna uwzględnia:</w:t>
      </w:r>
    </w:p>
    <w:p w14:paraId="1CE69DBB" w14:textId="77777777" w:rsidR="007072DD" w:rsidRPr="007128DC" w:rsidRDefault="007072DD" w:rsidP="007128DC">
      <w:pPr>
        <w:pStyle w:val="JuQuot"/>
      </w:pPr>
      <w:r>
        <w:t>1) właściwości i warunki osobiste skazanego;</w:t>
      </w:r>
    </w:p>
    <w:p w14:paraId="563DD84A" w14:textId="0A1F1095" w:rsidR="007072DD" w:rsidRPr="007128DC" w:rsidRDefault="007072DD" w:rsidP="007128DC">
      <w:pPr>
        <w:pStyle w:val="JuQuot"/>
      </w:pPr>
      <w:r>
        <w:t xml:space="preserve">2) motywacje i sposób zachowania się przy popełnieniu przestępstwa [za które osoba została skazana] oraz rodzaj i </w:t>
      </w:r>
      <w:r w:rsidR="00435E14">
        <w:t>[…]</w:t>
      </w:r>
      <w:r w:rsidR="00435E14">
        <w:t xml:space="preserve"> </w:t>
      </w:r>
      <w:r>
        <w:t>przest</w:t>
      </w:r>
      <w:r w:rsidR="00435E14">
        <w:t>ępstwa</w:t>
      </w:r>
      <w:r w:rsidR="00435E14">
        <w:t>;</w:t>
      </w:r>
    </w:p>
    <w:p w14:paraId="1D9F620E" w14:textId="77777777" w:rsidR="007072DD" w:rsidRPr="007128DC" w:rsidRDefault="007072DD" w:rsidP="007128DC">
      <w:pPr>
        <w:pStyle w:val="JuQuot"/>
      </w:pPr>
      <w:r>
        <w:t>3) sposób zachowania się w trakcie pobytu w zakładzie karnym;</w:t>
      </w:r>
    </w:p>
    <w:p w14:paraId="06817E65" w14:textId="77777777" w:rsidR="007072DD" w:rsidRPr="007128DC" w:rsidRDefault="007072DD" w:rsidP="007128DC">
      <w:pPr>
        <w:pStyle w:val="JuQuot"/>
      </w:pPr>
      <w:r>
        <w:t>4) stopień demoralizacji lub postępy w resocjalizacji”</w:t>
      </w:r>
      <w:r w:rsidR="00CA6440">
        <w:t>.</w:t>
      </w:r>
    </w:p>
    <w:p w14:paraId="30DA8ADC" w14:textId="77777777" w:rsidR="007072DD" w:rsidRPr="007128DC" w:rsidRDefault="007072DD" w:rsidP="007128DC">
      <w:pPr>
        <w:pStyle w:val="JuHArticle"/>
      </w:pPr>
      <w:r>
        <w:t>Artykuł 88b</w:t>
      </w:r>
    </w:p>
    <w:p w14:paraId="4B0DED2B" w14:textId="64CBDBA6" w:rsidR="007072DD" w:rsidRPr="007128DC" w:rsidRDefault="007072DD" w:rsidP="007128DC">
      <w:pPr>
        <w:pStyle w:val="JuQuot"/>
      </w:pPr>
      <w:r>
        <w:t>„§ 1. W zakładzie karnym typu zamkniętego skazani stwarzający poważne zagrożenie społeczne albo poważne zagrożenie dla bezpieczeństwa zakładu odbywają karę w</w:t>
      </w:r>
      <w:r w:rsidR="00267B4B">
        <w:t> </w:t>
      </w:r>
      <w:r>
        <w:t>następujących warunkach:</w:t>
      </w:r>
    </w:p>
    <w:p w14:paraId="70505CE4" w14:textId="1E8D9AAC" w:rsidR="007072DD" w:rsidRPr="007128DC" w:rsidRDefault="007072DD" w:rsidP="007128DC">
      <w:pPr>
        <w:pStyle w:val="JuQuot"/>
      </w:pPr>
      <w:r>
        <w:t>1) cele mieszkalne oraz miejsca i pomieszczenia wyznaczone do: pracy, nauki, przeprowadzania spacerów, widzeń, odprawiania nabożeństw, spotkań religijnych i</w:t>
      </w:r>
      <w:r w:rsidR="00267B4B">
        <w:t> </w:t>
      </w:r>
      <w:r>
        <w:t>nauczania religii oraz zajęć kulturalno-oświatowych, z zakresu kultury fizycznej i</w:t>
      </w:r>
      <w:r w:rsidR="00267B4B">
        <w:t> </w:t>
      </w:r>
      <w:r>
        <w:t>sportu wyposaża się w odpowiednie zabezpieczenia techniczno-ochronne;</w:t>
      </w:r>
    </w:p>
    <w:p w14:paraId="5608819A" w14:textId="397374A7" w:rsidR="007072DD" w:rsidRPr="007128DC" w:rsidRDefault="007072DD" w:rsidP="007128DC">
      <w:pPr>
        <w:pStyle w:val="JuQuot"/>
      </w:pPr>
      <w:r>
        <w:t>2) cele mieszkalne pozostają zamknięte całą dobę i są częściej kontrolowane</w:t>
      </w:r>
      <w:r w:rsidR="00267B4B">
        <w:t xml:space="preserve"> [</w:t>
      </w:r>
      <w:r>
        <w:t>...</w:t>
      </w:r>
      <w:r w:rsidR="00267B4B">
        <w:t>];</w:t>
      </w:r>
    </w:p>
    <w:p w14:paraId="1F60C4A4" w14:textId="77777777" w:rsidR="007072DD" w:rsidRPr="007128DC" w:rsidRDefault="007072DD" w:rsidP="007128DC">
      <w:pPr>
        <w:pStyle w:val="JuQuot"/>
      </w:pPr>
      <w:r>
        <w:t>3) skazani mogą uczyć się, pracować, bezpośrednio uczestniczyć w nabożeństwach, spotkaniach religijnych i nauce religii oraz korzystać z zajęć kulturalno-oświatowych, z zakresu kultury fizycznej i sportu, tylko w oddziale, w którym są osadzeni;</w:t>
      </w:r>
    </w:p>
    <w:p w14:paraId="5E649D4B" w14:textId="77777777" w:rsidR="007072DD" w:rsidRPr="007128DC" w:rsidRDefault="007072DD" w:rsidP="007128DC">
      <w:pPr>
        <w:pStyle w:val="JuQuot"/>
      </w:pPr>
      <w:r>
        <w:t>4) poruszanie się skazanych po terenie zakładu karnego odbywa się pod wzmocnionym dozorem i jest ograniczone tylko do niezbędnych potrzeb;</w:t>
      </w:r>
    </w:p>
    <w:p w14:paraId="54F33EA8" w14:textId="1D4EFF0A" w:rsidR="007072DD" w:rsidRPr="007128DC" w:rsidRDefault="007072DD" w:rsidP="007128DC">
      <w:pPr>
        <w:pStyle w:val="JuQuot"/>
      </w:pPr>
      <w:r>
        <w:t>5) skazanych</w:t>
      </w:r>
      <w:r w:rsidR="00B55A86">
        <w:t xml:space="preserve"> poddaje się kontroli osobistej</w:t>
      </w:r>
      <w:r>
        <w:t xml:space="preserve"> przy</w:t>
      </w:r>
      <w:r w:rsidR="00B55A86">
        <w:t xml:space="preserve"> każdorazowym</w:t>
      </w:r>
      <w:r>
        <w:t xml:space="preserve"> wyjściu i powrocie do cel</w:t>
      </w:r>
      <w:r w:rsidR="00435E14">
        <w:t>; [</w:t>
      </w:r>
      <w:r>
        <w:t>...</w:t>
      </w:r>
      <w:r w:rsidR="00435E14">
        <w:t>]</w:t>
      </w:r>
    </w:p>
    <w:p w14:paraId="12B788E7" w14:textId="77777777" w:rsidR="007072DD" w:rsidRPr="007128DC" w:rsidRDefault="007072DD" w:rsidP="007128DC">
      <w:pPr>
        <w:pStyle w:val="JuQuot"/>
      </w:pPr>
      <w:r>
        <w:t>10) skazani nie mogą korzystać z własnej odzieży i obuwia.</w:t>
      </w:r>
    </w:p>
    <w:p w14:paraId="260BBF8A" w14:textId="7A9AEA56" w:rsidR="007072DD" w:rsidRPr="007128DC" w:rsidRDefault="007072DD" w:rsidP="007128DC">
      <w:pPr>
        <w:pStyle w:val="JuQuot"/>
      </w:pPr>
      <w:r>
        <w:t>§ 2. Komisja penitencjarna może uznać, że nie zachodzi potrzeba stosowania wszystkich warunków, o których mowa w §</w:t>
      </w:r>
      <w:r w:rsidR="00B27C07">
        <w:t xml:space="preserve"> </w:t>
      </w:r>
      <w:r>
        <w:t xml:space="preserve">1, i odstąpić od stosowania </w:t>
      </w:r>
      <w:r w:rsidR="00CA6440">
        <w:t xml:space="preserve">jednego lub więcej z nich; </w:t>
      </w:r>
      <w:r>
        <w:t>[...] Jeżeli jest to uzasadnione okolicznościami, można przywrócić stosowanie warunków, od których odstąpiono</w:t>
      </w:r>
      <w:r w:rsidR="00435E14">
        <w:t xml:space="preserve"> […]</w:t>
      </w:r>
      <w:r>
        <w:t>.</w:t>
      </w:r>
    </w:p>
    <w:p w14:paraId="2BBFDEC3" w14:textId="241CDEEE" w:rsidR="007072DD" w:rsidRPr="007128DC" w:rsidRDefault="007072DD" w:rsidP="007128DC">
      <w:pPr>
        <w:pStyle w:val="JuQuot"/>
      </w:pPr>
      <w:r>
        <w:t>§ 3. Na wniosek skazanego lub jego obrońcy, nie częściej jednak niż raz na 3</w:t>
      </w:r>
      <w:r w:rsidR="00CA6440">
        <w:t xml:space="preserve"> </w:t>
      </w:r>
      <w:r>
        <w:t>miesiące, komisja penitencjarna wskazuje przyczyny uzasa</w:t>
      </w:r>
      <w:r w:rsidR="00B55A86">
        <w:t>dniające kwalifikację skazanego jako</w:t>
      </w:r>
      <w:r>
        <w:t xml:space="preserve"> stwarzającego poważne</w:t>
      </w:r>
      <w:r w:rsidR="00B55A86">
        <w:t xml:space="preserve"> zagrożenie</w:t>
      </w:r>
      <w:r>
        <w:t xml:space="preserve"> społeczne albo poważne zagrożenie dla</w:t>
      </w:r>
      <w:r w:rsidR="00267B4B">
        <w:t> </w:t>
      </w:r>
      <w:r>
        <w:t>bezpieczeństwa zakładu [...]”</w:t>
      </w:r>
      <w:r w:rsidR="00CA6440">
        <w:t>.</w:t>
      </w:r>
    </w:p>
    <w:p w14:paraId="7AD19935" w14:textId="77777777" w:rsidR="007072DD" w:rsidRPr="007128DC" w:rsidRDefault="007072DD" w:rsidP="007128DC">
      <w:pPr>
        <w:pStyle w:val="JuHHead"/>
        <w:numPr>
          <w:ilvl w:val="0"/>
          <w:numId w:val="1"/>
        </w:numPr>
        <w:jc w:val="left"/>
      </w:pPr>
      <w:r>
        <w:lastRenderedPageBreak/>
        <w:t>PRAWO</w:t>
      </w:r>
    </w:p>
    <w:p w14:paraId="55EF7333" w14:textId="02A10357" w:rsidR="007072DD" w:rsidRPr="007128DC" w:rsidRDefault="007072DD" w:rsidP="007128DC">
      <w:pPr>
        <w:pStyle w:val="JuHIRoman"/>
        <w:tabs>
          <w:tab w:val="clear" w:pos="454"/>
          <w:tab w:val="clear" w:pos="567"/>
          <w:tab w:val="clear" w:pos="680"/>
        </w:tabs>
        <w:ind w:left="357" w:hanging="357"/>
        <w:jc w:val="left"/>
      </w:pPr>
      <w:r>
        <w:t>ZARZUCANE NARUSZENIE ART.</w:t>
      </w:r>
      <w:r w:rsidR="00B559E0">
        <w:t xml:space="preserve"> </w:t>
      </w:r>
      <w:r>
        <w:t>3 KONWENCJI</w:t>
      </w:r>
    </w:p>
    <w:p w14:paraId="5E234990" w14:textId="12D364AC" w:rsidR="007072DD" w:rsidRPr="007128DC" w:rsidRDefault="00040F3A" w:rsidP="007128DC">
      <w:pPr>
        <w:pStyle w:val="JuPara"/>
      </w:pPr>
      <w:r>
        <w:rPr>
          <w:noProof/>
        </w:rPr>
        <w:t>14</w:t>
      </w:r>
      <w:r w:rsidR="007072DD">
        <w:t>.</w:t>
      </w:r>
      <w:r w:rsidR="00B559E0">
        <w:t xml:space="preserve"> </w:t>
      </w:r>
      <w:r w:rsidR="007072DD">
        <w:t xml:space="preserve">Skarżący zarzucił, iż długotrwałe zastosowanie reżimu przewidzianego dla osadzonego </w:t>
      </w:r>
      <w:r w:rsidR="006878C5">
        <w:t xml:space="preserve">niebezpiecznego </w:t>
      </w:r>
      <w:r w:rsidR="007072DD">
        <w:t>stanowiło naruszenie art.</w:t>
      </w:r>
      <w:r w:rsidR="00B559E0">
        <w:t xml:space="preserve"> </w:t>
      </w:r>
      <w:r w:rsidR="007072DD">
        <w:t>3 Konwencji, który stanowi:</w:t>
      </w:r>
    </w:p>
    <w:p w14:paraId="0AC9F195" w14:textId="77777777" w:rsidR="007072DD" w:rsidRPr="007128DC" w:rsidRDefault="007072DD" w:rsidP="007128DC">
      <w:pPr>
        <w:pStyle w:val="JuQuot"/>
      </w:pPr>
      <w:r>
        <w:t>„Nikt nie może być poddany torturom ani nieludzkiemu lub poniżającemu traktowaniu albo karaniu”.</w:t>
      </w:r>
    </w:p>
    <w:p w14:paraId="0045938F" w14:textId="77777777" w:rsidR="007072DD" w:rsidRPr="007128DC" w:rsidRDefault="007072DD" w:rsidP="007128DC">
      <w:pPr>
        <w:pStyle w:val="JuHA"/>
        <w:ind w:left="584" w:hanging="352"/>
        <w:jc w:val="left"/>
      </w:pPr>
      <w:r>
        <w:t>Dopuszczalność</w:t>
      </w:r>
    </w:p>
    <w:p w14:paraId="083A91CB" w14:textId="23B29F3F" w:rsidR="007072DD" w:rsidRPr="007128DC" w:rsidRDefault="00040F3A" w:rsidP="007128DC">
      <w:pPr>
        <w:pStyle w:val="JuPara"/>
      </w:pPr>
      <w:r>
        <w:rPr>
          <w:noProof/>
        </w:rPr>
        <w:t>15</w:t>
      </w:r>
      <w:r w:rsidR="007072DD">
        <w:t>.</w:t>
      </w:r>
      <w:r w:rsidR="00B559E0">
        <w:t xml:space="preserve"> </w:t>
      </w:r>
      <w:r w:rsidR="007072DD">
        <w:t>Rząd podniósł zarzut wstępny, twierdząc, że skarżący nie wyczerpał krajowych środków odwoławczych. Rząd twierdził, że jeżeli zdaniem skarżącego doszło do naruszenia jego dóbr osobistych, to miał on możliwość dochodzenia odszkodowania od Skarbu Państwa.</w:t>
      </w:r>
    </w:p>
    <w:p w14:paraId="49F7DF1B" w14:textId="756CA39F" w:rsidR="007072DD" w:rsidRPr="007128DC" w:rsidRDefault="00040F3A" w:rsidP="007128DC">
      <w:pPr>
        <w:pStyle w:val="JuPara"/>
      </w:pPr>
      <w:r>
        <w:rPr>
          <w:noProof/>
        </w:rPr>
        <w:t>16</w:t>
      </w:r>
      <w:r w:rsidR="007072DD">
        <w:t>.</w:t>
      </w:r>
      <w:r w:rsidR="00B559E0">
        <w:t xml:space="preserve"> </w:t>
      </w:r>
      <w:r w:rsidR="007072DD">
        <w:t>Skarżący stwierdził ogólnie, że wyczerpał wszystkie właściwe i</w:t>
      </w:r>
      <w:r w:rsidR="00267B4B">
        <w:t> </w:t>
      </w:r>
      <w:r w:rsidR="007072DD">
        <w:t>dostępne krajowe środki odwoławcze.</w:t>
      </w:r>
    </w:p>
    <w:p w14:paraId="4536E62A" w14:textId="73F52C0B" w:rsidR="007072DD" w:rsidRPr="007128DC" w:rsidRDefault="00040F3A" w:rsidP="007128DC">
      <w:pPr>
        <w:pStyle w:val="JuPara"/>
      </w:pPr>
      <w:r>
        <w:rPr>
          <w:noProof/>
        </w:rPr>
        <w:t>17</w:t>
      </w:r>
      <w:r w:rsidR="007072DD">
        <w:t>.</w:t>
      </w:r>
      <w:r w:rsidR="00B559E0">
        <w:t xml:space="preserve"> </w:t>
      </w:r>
      <w:r w:rsidR="007072DD">
        <w:t xml:space="preserve">W szeregu spraw prowadzonych przeciwko Polsce w zakresie stosowania reżimu przewidzianego dla </w:t>
      </w:r>
      <w:r w:rsidR="007072DD">
        <w:t>osadzonego</w:t>
      </w:r>
      <w:r w:rsidR="00B559E0" w:rsidRPr="00B559E0">
        <w:t xml:space="preserve"> </w:t>
      </w:r>
      <w:r w:rsidR="00B559E0">
        <w:t>niebezpiecznego</w:t>
      </w:r>
      <w:r w:rsidR="007072DD">
        <w:t>, Trybunał odrzucił argument Rządu, że skarżący powinni wystąpić z</w:t>
      </w:r>
      <w:r w:rsidR="00267B4B">
        <w:t> </w:t>
      </w:r>
      <w:r w:rsidR="007072DD">
        <w:t xml:space="preserve">roszczeniem o ochronę dóbr osobistych (zob. np. </w:t>
      </w:r>
      <w:r w:rsidR="007072DD">
        <w:rPr>
          <w:i/>
          <w:iCs/>
        </w:rPr>
        <w:t>Głowacki</w:t>
      </w:r>
      <w:r w:rsidR="006536C7">
        <w:rPr>
          <w:i/>
          <w:iCs/>
        </w:rPr>
        <w:t xml:space="preserve"> </w:t>
      </w:r>
      <w:r w:rsidR="007072DD">
        <w:rPr>
          <w:i/>
          <w:iCs/>
        </w:rPr>
        <w:t>przeciwko Polsce</w:t>
      </w:r>
      <w:r w:rsidR="007072DD">
        <w:t>, skarga nr 1608/08, §§ 60</w:t>
      </w:r>
      <w:r w:rsidR="007072DD">
        <w:noBreakHyphen/>
        <w:t>63, 30 października 2012 r.;</w:t>
      </w:r>
      <w:r w:rsidR="00B559E0">
        <w:rPr>
          <w:i/>
          <w:iCs/>
        </w:rPr>
        <w:t xml:space="preserve"> </w:t>
      </w:r>
      <w:r w:rsidR="007072DD">
        <w:rPr>
          <w:i/>
          <w:iCs/>
        </w:rPr>
        <w:t>Chyła przeciwko Polsce</w:t>
      </w:r>
      <w:r w:rsidR="007072DD">
        <w:t>, skarga nr 8384/08, § 69, 3 listopada 2015 r.; oraz</w:t>
      </w:r>
      <w:r w:rsidR="00B559E0">
        <w:rPr>
          <w:i/>
          <w:iCs/>
        </w:rPr>
        <w:t xml:space="preserve"> </w:t>
      </w:r>
      <w:proofErr w:type="spellStart"/>
      <w:r w:rsidR="007072DD">
        <w:rPr>
          <w:i/>
          <w:iCs/>
        </w:rPr>
        <w:t>Klibisz</w:t>
      </w:r>
      <w:proofErr w:type="spellEnd"/>
      <w:r w:rsidR="007072DD">
        <w:rPr>
          <w:i/>
          <w:iCs/>
        </w:rPr>
        <w:t xml:space="preserve"> przeciwko Polsce</w:t>
      </w:r>
      <w:r w:rsidR="007072DD">
        <w:t>, skarga nr 2235/02, §§ 301-302, 4 października 2016 r.).</w:t>
      </w:r>
      <w:r w:rsidR="00B559E0">
        <w:t xml:space="preserve"> </w:t>
      </w:r>
      <w:r w:rsidR="007072DD">
        <w:t>W</w:t>
      </w:r>
      <w:r w:rsidR="00267B4B">
        <w:t> </w:t>
      </w:r>
      <w:r w:rsidR="007072DD">
        <w:t>niniejszej sprawie Rząd nie przytoczył żadnych prz</w:t>
      </w:r>
      <w:r w:rsidR="00435E14">
        <w:t xml:space="preserve">ykładów praktyki krajowej, </w:t>
      </w:r>
      <w:r w:rsidR="00435E14">
        <w:t>które</w:t>
      </w:r>
      <w:r w:rsidR="007072DD">
        <w:t xml:space="preserve"> świadczył</w:t>
      </w:r>
      <w:r w:rsidR="00435E14">
        <w:t>y</w:t>
      </w:r>
      <w:r w:rsidR="007072DD">
        <w:t>by</w:t>
      </w:r>
      <w:r w:rsidR="007072DD">
        <w:t xml:space="preserve"> o skuteczności tego środka odwoławczego dla</w:t>
      </w:r>
      <w:r w:rsidR="00267B4B">
        <w:t> </w:t>
      </w:r>
      <w:r w:rsidR="007072DD">
        <w:t>celów art. 35 ust. 1 Konwencji (zob.</w:t>
      </w:r>
      <w:r w:rsidR="00B559E0">
        <w:t xml:space="preserve"> </w:t>
      </w:r>
      <w:proofErr w:type="spellStart"/>
      <w:r w:rsidR="007072DD">
        <w:rPr>
          <w:i/>
          <w:iCs/>
        </w:rPr>
        <w:t>Dejnek</w:t>
      </w:r>
      <w:proofErr w:type="spellEnd"/>
      <w:r w:rsidR="007072DD">
        <w:rPr>
          <w:i/>
          <w:iCs/>
        </w:rPr>
        <w:t xml:space="preserve"> przeciwko Polsce</w:t>
      </w:r>
      <w:r w:rsidR="007072DD">
        <w:t>, skarga nr</w:t>
      </w:r>
      <w:r w:rsidR="00267B4B">
        <w:t> </w:t>
      </w:r>
      <w:r w:rsidR="007072DD">
        <w:t>9635/13, § 54, 1 czerwca 2017 r.).</w:t>
      </w:r>
      <w:r w:rsidR="00B559E0">
        <w:t xml:space="preserve"> </w:t>
      </w:r>
      <w:r w:rsidR="007072DD">
        <w:t>Z tego względu podniesiony przez Rząd zarzut niedopuszczalności ze względu na niewyczerpanie krajowych środków odwoławczych nie zasługuje na uwzględnienie.</w:t>
      </w:r>
    </w:p>
    <w:p w14:paraId="6628C23B" w14:textId="1D7406D9" w:rsidR="007072DD" w:rsidRPr="007128DC" w:rsidRDefault="00040F3A" w:rsidP="007128DC">
      <w:pPr>
        <w:pStyle w:val="JuPara"/>
      </w:pPr>
      <w:r>
        <w:rPr>
          <w:noProof/>
        </w:rPr>
        <w:t>18</w:t>
      </w:r>
      <w:r w:rsidR="007072DD">
        <w:t>.</w:t>
      </w:r>
      <w:r w:rsidR="00B559E0">
        <w:t xml:space="preserve"> </w:t>
      </w:r>
      <w:r w:rsidR="007072DD">
        <w:t>Trybunał zauważa, że skarga nie jest w sposób oczywisty nieuzasadniona w rozumieniu art.</w:t>
      </w:r>
      <w:r w:rsidR="00B559E0">
        <w:t xml:space="preserve"> </w:t>
      </w:r>
      <w:r w:rsidR="007072DD">
        <w:t>35 ust.</w:t>
      </w:r>
      <w:r w:rsidR="00B559E0">
        <w:t xml:space="preserve"> </w:t>
      </w:r>
      <w:r w:rsidR="007072DD">
        <w:t>3 lit.</w:t>
      </w:r>
      <w:r w:rsidR="00B559E0">
        <w:t xml:space="preserve"> </w:t>
      </w:r>
      <w:r w:rsidR="007072DD">
        <w:t>a Konwencji. Nie jest ona też</w:t>
      </w:r>
      <w:r w:rsidR="00267B4B">
        <w:t> </w:t>
      </w:r>
      <w:r w:rsidR="007072DD">
        <w:t>niedopuszczalna na jakiejkolwiek innej podstawie. Tym samym należy uznać ją za dopuszczalną.</w:t>
      </w:r>
    </w:p>
    <w:p w14:paraId="44B03DA1" w14:textId="77777777" w:rsidR="007072DD" w:rsidRPr="007128DC" w:rsidRDefault="007072DD" w:rsidP="007128DC">
      <w:pPr>
        <w:pStyle w:val="JuHA"/>
        <w:ind w:left="584" w:hanging="352"/>
        <w:jc w:val="left"/>
      </w:pPr>
      <w:r>
        <w:t>Przedmiot skargi</w:t>
      </w:r>
    </w:p>
    <w:p w14:paraId="38392E6B" w14:textId="77777777" w:rsidR="007072DD" w:rsidRPr="007128DC" w:rsidRDefault="007072DD" w:rsidP="007128DC">
      <w:pPr>
        <w:pStyle w:val="JuH1"/>
        <w:ind w:left="731" w:hanging="300"/>
        <w:jc w:val="left"/>
      </w:pPr>
      <w:r>
        <w:t>Stanowiska stron</w:t>
      </w:r>
    </w:p>
    <w:p w14:paraId="04B68C0D" w14:textId="76F76CDB" w:rsidR="007072DD" w:rsidRPr="007128DC" w:rsidRDefault="00040F3A" w:rsidP="007128DC">
      <w:pPr>
        <w:pStyle w:val="JuPara"/>
      </w:pPr>
      <w:r>
        <w:rPr>
          <w:noProof/>
        </w:rPr>
        <w:t>19</w:t>
      </w:r>
      <w:r w:rsidR="007072DD">
        <w:t>.</w:t>
      </w:r>
      <w:r w:rsidR="00B559E0">
        <w:t xml:space="preserve"> </w:t>
      </w:r>
      <w:r w:rsidR="007072DD">
        <w:t>Skarżący nie przytoczył żadnych argumentów w zakresie przedmiotu sprawy. Co do zasady podtrzymał on swoje pierwotne stanowisko.</w:t>
      </w:r>
    </w:p>
    <w:p w14:paraId="6A2785A5" w14:textId="77CC6B61" w:rsidR="007072DD" w:rsidRPr="007128DC" w:rsidRDefault="00040F3A" w:rsidP="007128DC">
      <w:pPr>
        <w:pStyle w:val="JuPara"/>
      </w:pPr>
      <w:r>
        <w:rPr>
          <w:noProof/>
        </w:rPr>
        <w:t>20</w:t>
      </w:r>
      <w:r w:rsidR="007072DD">
        <w:t>.</w:t>
      </w:r>
      <w:r w:rsidR="00B559E0">
        <w:t xml:space="preserve"> </w:t>
      </w:r>
      <w:r w:rsidR="007072DD">
        <w:t xml:space="preserve">Rząd podkreślił, że w 2015 r. wprowadzono zmiany w prawie krajowym, co doprowadziło do zmniejszenia liczby </w:t>
      </w:r>
      <w:r w:rsidR="00B27C07">
        <w:t>osadzonych</w:t>
      </w:r>
      <w:r w:rsidR="007072DD">
        <w:t xml:space="preserve"> </w:t>
      </w:r>
      <w:r w:rsidR="007072DD">
        <w:lastRenderedPageBreak/>
        <w:t>zakwalifikowanych jako niebezpieczni i zmniejszenia liczby stosowanych wobec nich środków.</w:t>
      </w:r>
    </w:p>
    <w:p w14:paraId="093EEA41" w14:textId="789CE083" w:rsidR="007072DD" w:rsidRPr="007128DC" w:rsidRDefault="00040F3A" w:rsidP="007128DC">
      <w:pPr>
        <w:pStyle w:val="JuPara"/>
      </w:pPr>
      <w:r>
        <w:rPr>
          <w:noProof/>
        </w:rPr>
        <w:t>21</w:t>
      </w:r>
      <w:r w:rsidR="007072DD">
        <w:t>.</w:t>
      </w:r>
      <w:r w:rsidR="00B559E0">
        <w:t xml:space="preserve"> </w:t>
      </w:r>
      <w:r w:rsidR="007072DD">
        <w:t>Rząd podkreślił, że decyzje o zastosowaniu i przedłużeniu stosowania reżimu wobec skarżącego były odpowiednio uzasadnione i utrzymane w</w:t>
      </w:r>
      <w:r w:rsidR="00267B4B">
        <w:t> </w:t>
      </w:r>
      <w:r w:rsidR="007072DD">
        <w:t>mocy przez sąd. Ich podstawę stanowiły konkretne incydenty z udziałem skarżącego, naruszenie nietykalności cielesnej funkcjonariusza służby więziennej, a następnie kilka zastosowanych wobec niego kar dyscyplinarnych. Rząd podkreślił, że zastosowane wobec skarżącego środki były każdorazowo poddawane ocenie i łagodzone z uwagi na ogólną poprawę zachowania skarżącego w zakładzie karnym. Przykładowo, po dniu 28</w:t>
      </w:r>
      <w:r w:rsidR="00267B4B">
        <w:t> </w:t>
      </w:r>
      <w:r w:rsidR="007072DD">
        <w:t>czerwca 2017 r. odstąpiono od systematycznego przeprowadzania kontroli osobistej przy każdorazowym opuszczaniu celi przez skarżącego lub</w:t>
      </w:r>
      <w:r w:rsidR="00267B4B">
        <w:t> </w:t>
      </w:r>
      <w:r w:rsidR="007072DD">
        <w:t>powrocie do niej. Rząd twierdził ponadto, że chociaż skarżący sam zajmował celę mieszkalną, to nigdy nie był całkowicie odizolowany, ponieważ miał prawo do codziennego spaceru oraz zapewniony dostęp do</w:t>
      </w:r>
      <w:r w:rsidR="00267B4B">
        <w:t> </w:t>
      </w:r>
      <w:r w:rsidR="007072DD">
        <w:t>świetlicy i biblioteki. Rząd twierdził, że skarżący był konfliktowy wobec personelu zakładu karnego i miał trudności z przestrzeganiem regulaminu zakładu, za co był karany dyscyplinarnie.</w:t>
      </w:r>
    </w:p>
    <w:p w14:paraId="4DAD74E3" w14:textId="77777777" w:rsidR="007072DD" w:rsidRPr="007128DC" w:rsidRDefault="007072DD" w:rsidP="007128DC">
      <w:pPr>
        <w:pStyle w:val="JuH1"/>
        <w:ind w:left="731" w:hanging="300"/>
        <w:jc w:val="left"/>
      </w:pPr>
      <w:r>
        <w:t>Ocena Trybunału</w:t>
      </w:r>
    </w:p>
    <w:p w14:paraId="126A07ED" w14:textId="714CB727" w:rsidR="007072DD" w:rsidRPr="007128DC" w:rsidRDefault="00040F3A" w:rsidP="007128DC">
      <w:pPr>
        <w:pStyle w:val="JuPara"/>
      </w:pPr>
      <w:r>
        <w:rPr>
          <w:noProof/>
        </w:rPr>
        <w:t>22</w:t>
      </w:r>
      <w:r w:rsidR="007072DD">
        <w:t>.</w:t>
      </w:r>
      <w:r w:rsidR="00B559E0">
        <w:t xml:space="preserve"> </w:t>
      </w:r>
      <w:r w:rsidR="007072DD">
        <w:t xml:space="preserve">Odpowiednie zasady ogólne wynikające z orzecznictwa Trybunału streszczono w wyrokach w sprawie </w:t>
      </w:r>
      <w:r w:rsidR="007072DD">
        <w:rPr>
          <w:i/>
        </w:rPr>
        <w:t>Piechowicz</w:t>
      </w:r>
      <w:r w:rsidR="007072DD">
        <w:t xml:space="preserve"> (</w:t>
      </w:r>
      <w:r w:rsidR="007072DD">
        <w:rPr>
          <w:i/>
          <w:iCs/>
        </w:rPr>
        <w:t>op. cit.</w:t>
      </w:r>
      <w:r w:rsidR="007072DD">
        <w:t>, §§ 158-165) oraz w</w:t>
      </w:r>
      <w:r w:rsidR="00267B4B">
        <w:t> </w:t>
      </w:r>
      <w:r w:rsidR="007072DD">
        <w:t xml:space="preserve">sprawie </w:t>
      </w:r>
      <w:r w:rsidR="007072DD">
        <w:rPr>
          <w:i/>
        </w:rPr>
        <w:t>Horych</w:t>
      </w:r>
      <w:r w:rsidR="007072DD">
        <w:t xml:space="preserve"> (</w:t>
      </w:r>
      <w:r w:rsidR="007072DD">
        <w:rPr>
          <w:i/>
          <w:iCs/>
        </w:rPr>
        <w:t>op. cit.</w:t>
      </w:r>
      <w:r w:rsidR="007072DD">
        <w:t>, §§ 85-92).</w:t>
      </w:r>
    </w:p>
    <w:p w14:paraId="08BED250" w14:textId="4B43E322" w:rsidR="007072DD" w:rsidRPr="007128DC" w:rsidRDefault="00040F3A" w:rsidP="007128DC">
      <w:pPr>
        <w:pStyle w:val="JuPara"/>
      </w:pPr>
      <w:r>
        <w:rPr>
          <w:noProof/>
        </w:rPr>
        <w:t>23</w:t>
      </w:r>
      <w:r w:rsidR="007072DD">
        <w:t>.</w:t>
      </w:r>
      <w:r w:rsidR="00B559E0">
        <w:t xml:space="preserve"> </w:t>
      </w:r>
      <w:r w:rsidR="007072DD">
        <w:t>Przechodząc na grunt niniejszej sprawy, Trybunał zauważ</w:t>
      </w:r>
      <w:r w:rsidR="00EF0636">
        <w:t>a</w:t>
      </w:r>
      <w:r w:rsidR="007072DD">
        <w:t>, że w dniu 3 stycznia 2017 r. komisja penitencjarna zastosowała wobec skarżącego reżim przewidziany dla „</w:t>
      </w:r>
      <w:r w:rsidR="0057474C">
        <w:t>osadzonego</w:t>
      </w:r>
      <w:r w:rsidR="00B559E0" w:rsidRPr="00B559E0">
        <w:t xml:space="preserve"> </w:t>
      </w:r>
      <w:r w:rsidR="00B559E0">
        <w:t>niebezpiecznego</w:t>
      </w:r>
      <w:r w:rsidR="007072DD">
        <w:t xml:space="preserve">” i wskazała, że będzie on wiązał się z zastosowaniem wszystkich prawnie przewidzianych środków. Reżim zastosowano w związku z zarzucanym skarżącemu naruszeniem nietykalności funkcjonariusza służby więziennej (zob. paragraf </w:t>
      </w:r>
      <w:r>
        <w:rPr>
          <w:noProof/>
        </w:rPr>
        <w:t>6</w:t>
      </w:r>
      <w:r w:rsidR="007072DD">
        <w:t xml:space="preserve"> powyżej). Główne aspekty reżimu przytoczone przez skarżącego i wyszczególnione poniżej nie zostały zakwestionowane przez Rząd (zob. paragraf </w:t>
      </w:r>
      <w:r>
        <w:rPr>
          <w:noProof/>
        </w:rPr>
        <w:t>11</w:t>
      </w:r>
      <w:r w:rsidR="007072DD">
        <w:t xml:space="preserve"> powyżej).</w:t>
      </w:r>
    </w:p>
    <w:p w14:paraId="1B96F7EB" w14:textId="1B6461AF" w:rsidR="007072DD" w:rsidRPr="007128DC" w:rsidRDefault="00040F3A" w:rsidP="007128DC">
      <w:pPr>
        <w:pStyle w:val="JuPara"/>
      </w:pPr>
      <w:r>
        <w:rPr>
          <w:noProof/>
        </w:rPr>
        <w:t>24</w:t>
      </w:r>
      <w:r w:rsidR="007072DD">
        <w:t>.</w:t>
      </w:r>
      <w:r w:rsidR="00B559E0">
        <w:t xml:space="preserve"> </w:t>
      </w:r>
      <w:r w:rsidR="007072DD">
        <w:t xml:space="preserve">Trybunał po pierwsze zauważa, że po zmianach prawa krajowego, które weszły w życie w dniu 24 października 2015 r., nowy art. 88b ust. 2 umożliwił komisji penitencjarnej zmianę zakresu środków bezpieczeństwa stosowanych wobec osadzonych (zob. paragraf </w:t>
      </w:r>
      <w:r>
        <w:rPr>
          <w:noProof/>
        </w:rPr>
        <w:t>13</w:t>
      </w:r>
      <w:r w:rsidR="007072DD">
        <w:t xml:space="preserve"> powyżej). Stosując ten przepis, w dniu 28 czerwca 2017 r. komisja penitencjarna postanowiła, że</w:t>
      </w:r>
      <w:r w:rsidR="00267B4B">
        <w:t> </w:t>
      </w:r>
      <w:r w:rsidR="007072DD">
        <w:t>skarżący nie będzie już poddawany kontroli osobistej każdorazowo przy</w:t>
      </w:r>
      <w:r w:rsidR="00267B4B">
        <w:t> </w:t>
      </w:r>
      <w:r w:rsidR="007072DD">
        <w:t xml:space="preserve">opuszczaniu swojej celi lub powrocie do niej (zob. paragraf </w:t>
      </w:r>
      <w:r>
        <w:rPr>
          <w:noProof/>
        </w:rPr>
        <w:t>8</w:t>
      </w:r>
      <w:r w:rsidR="007072DD">
        <w:t xml:space="preserve"> powyżej).</w:t>
      </w:r>
    </w:p>
    <w:p w14:paraId="09B1B656" w14:textId="0A0FBF3C" w:rsidR="007072DD" w:rsidRPr="007128DC" w:rsidRDefault="00040F3A" w:rsidP="007128DC">
      <w:pPr>
        <w:pStyle w:val="JuPara"/>
      </w:pPr>
      <w:r>
        <w:rPr>
          <w:noProof/>
        </w:rPr>
        <w:t>25</w:t>
      </w:r>
      <w:r w:rsidR="007072DD">
        <w:t>.</w:t>
      </w:r>
      <w:r w:rsidR="00B559E0">
        <w:t xml:space="preserve"> </w:t>
      </w:r>
      <w:r w:rsidR="007072DD">
        <w:t>Ponadto Trybunał zauważa, że przy stosowaniu art. 88a ust. 2 Kodeksu decyzje komisji penitencjarnej były oparte na konkretnych przesłankach związanych z zachowaniem skarżącego (por. wcześniejsze sprawy, na</w:t>
      </w:r>
      <w:r w:rsidR="00267B4B">
        <w:t> </w:t>
      </w:r>
      <w:r w:rsidR="007072DD">
        <w:t xml:space="preserve">przykład, </w:t>
      </w:r>
      <w:bookmarkStart w:id="10" w:name="File70"/>
      <w:r w:rsidR="007072DD">
        <w:rPr>
          <w:i/>
        </w:rPr>
        <w:t>Prus</w:t>
      </w:r>
      <w:bookmarkEnd w:id="10"/>
      <w:r w:rsidR="007072DD">
        <w:rPr>
          <w:i/>
        </w:rPr>
        <w:t xml:space="preserve"> przeciwko Polsce</w:t>
      </w:r>
      <w:r w:rsidR="007072DD">
        <w:t xml:space="preserve">, skarga nr 5136/11, § 37, 12 stycznia 2016 r., zob. paragraf </w:t>
      </w:r>
      <w:r>
        <w:rPr>
          <w:noProof/>
        </w:rPr>
        <w:t>13</w:t>
      </w:r>
      <w:r w:rsidR="007072DD">
        <w:t xml:space="preserve"> powyżej). Za każdym razem władze analizowały sytuację osobistą skarżącego, a mianowicie jego zachowanie, i oceniały </w:t>
      </w:r>
      <w:r w:rsidR="007072DD">
        <w:lastRenderedPageBreak/>
        <w:t>konieczność dalszego stosowania reżimu w zależności od nowej oceny zagrożenia, jakie stwarzał on dla bezpieczeństwa zakładu karnego i</w:t>
      </w:r>
      <w:r w:rsidR="00267B4B">
        <w:t> </w:t>
      </w:r>
      <w:r w:rsidR="007072DD">
        <w:t>personelu. Gdy ryzyko uległo obniżeniu, a zachowanie skarżącego w</w:t>
      </w:r>
      <w:r w:rsidR="00267B4B">
        <w:t> </w:t>
      </w:r>
      <w:r w:rsidR="007072DD">
        <w:t xml:space="preserve">zakładzie karnym uległo poprawie, w dniu 27 września 2017 r. komisja podjęła decyzję o odstąpieniu od stosowania reżimu (zob. paragrafy </w:t>
      </w:r>
      <w:r>
        <w:rPr>
          <w:noProof/>
        </w:rPr>
        <w:t>8</w:t>
      </w:r>
      <w:r w:rsidR="007072DD">
        <w:t xml:space="preserve"> i </w:t>
      </w:r>
      <w:r>
        <w:rPr>
          <w:noProof/>
        </w:rPr>
        <w:t>10</w:t>
      </w:r>
      <w:r w:rsidR="007072DD">
        <w:t xml:space="preserve"> powyżej).</w:t>
      </w:r>
    </w:p>
    <w:p w14:paraId="01ACAB0E" w14:textId="302BC3C9" w:rsidR="007072DD" w:rsidRPr="007128DC" w:rsidRDefault="00040F3A" w:rsidP="007128DC">
      <w:pPr>
        <w:pStyle w:val="JuPara"/>
      </w:pPr>
      <w:r>
        <w:rPr>
          <w:noProof/>
        </w:rPr>
        <w:t>26</w:t>
      </w:r>
      <w:r w:rsidR="007072DD">
        <w:t>.</w:t>
      </w:r>
      <w:r w:rsidR="00B559E0">
        <w:t xml:space="preserve"> </w:t>
      </w:r>
      <w:r w:rsidR="007072DD">
        <w:t xml:space="preserve">W związku z powyższym Trybunał uznaje, że w ramach stosowania znowelizowanego prawa krajowego władze stopniowo łagodziły rygor poprzez odstępowanie od stosowania niektórych środków, biorąc pod uwagę zachowanie skarżącego (por. </w:t>
      </w:r>
      <w:r w:rsidR="007072DD">
        <w:rPr>
          <w:i/>
        </w:rPr>
        <w:t>Piechowicz</w:t>
      </w:r>
      <w:r w:rsidR="007072DD">
        <w:t xml:space="preserve">, </w:t>
      </w:r>
      <w:r w:rsidR="007072DD">
        <w:rPr>
          <w:i/>
          <w:iCs/>
        </w:rPr>
        <w:t>op. cit.</w:t>
      </w:r>
      <w:r w:rsidR="007072DD">
        <w:t>, § 166).</w:t>
      </w:r>
    </w:p>
    <w:p w14:paraId="582AF933" w14:textId="2EE87F3F" w:rsidR="007072DD" w:rsidRPr="007128DC" w:rsidRDefault="00040F3A" w:rsidP="007128DC">
      <w:pPr>
        <w:pStyle w:val="JuPara"/>
      </w:pPr>
      <w:r>
        <w:rPr>
          <w:noProof/>
        </w:rPr>
        <w:t>27</w:t>
      </w:r>
      <w:r w:rsidR="007072DD">
        <w:t>.</w:t>
      </w:r>
      <w:r w:rsidR="00B559E0">
        <w:t xml:space="preserve"> </w:t>
      </w:r>
      <w:r w:rsidR="00EF0636">
        <w:t>Niemniej jednak</w:t>
      </w:r>
      <w:r w:rsidR="007072DD">
        <w:t xml:space="preserve"> Trybunał zauważa, że w ciągu pierwszych sześciu miesięcy stosowania reżimu skarżący był poddawany kontroli osobistej codziennie, a nawet kilka razy dziennie, przy każdorazowym opuszczaniu celi lub powro</w:t>
      </w:r>
      <w:r w:rsidR="00EF0636">
        <w:t>cie</w:t>
      </w:r>
      <w:r w:rsidR="007072DD">
        <w:t xml:space="preserve"> do niej. Kontrola osobista polegała na szczegółowych oględzinach ciała i sprawdzeniu odzieży oraz wymagała od skarżącego rozebrania się do naga i wykonania głębokich przysiadów w celu umożliwienia kontroli jego odbytu (zob. </w:t>
      </w:r>
      <w:r w:rsidR="007072DD">
        <w:rPr>
          <w:i/>
        </w:rPr>
        <w:t>Piechowicz</w:t>
      </w:r>
      <w:r w:rsidR="007072DD">
        <w:t xml:space="preserve">, </w:t>
      </w:r>
      <w:r w:rsidR="007072DD">
        <w:rPr>
          <w:i/>
          <w:iCs/>
        </w:rPr>
        <w:t>op. cit.</w:t>
      </w:r>
      <w:r w:rsidR="007072DD">
        <w:t>, § 166). Była ona przeprowadzana rutynowo i nie była związana z żadnymi konkretnymi potrzebami bezpieczeństwa, ani z żadnymi konkretnymi podejrzeniami dotyczącymi zachowania skarżącego.</w:t>
      </w:r>
    </w:p>
    <w:p w14:paraId="03A6ED74" w14:textId="4A0AA896" w:rsidR="007072DD" w:rsidRPr="007128DC" w:rsidRDefault="00040F3A" w:rsidP="007128DC">
      <w:pPr>
        <w:pStyle w:val="JuPara"/>
      </w:pPr>
      <w:r>
        <w:rPr>
          <w:noProof/>
        </w:rPr>
        <w:t>28</w:t>
      </w:r>
      <w:r w:rsidR="007072DD">
        <w:t>.</w:t>
      </w:r>
      <w:r w:rsidR="00B559E0">
        <w:t xml:space="preserve"> </w:t>
      </w:r>
      <w:r w:rsidR="007072DD">
        <w:t>Już w sprawie</w:t>
      </w:r>
      <w:r w:rsidR="00B559E0">
        <w:t xml:space="preserve"> </w:t>
      </w:r>
      <w:r w:rsidR="007072DD">
        <w:rPr>
          <w:i/>
          <w:iCs/>
        </w:rPr>
        <w:t>Piechowicz</w:t>
      </w:r>
      <w:r w:rsidR="00B559E0">
        <w:rPr>
          <w:i/>
          <w:iCs/>
        </w:rPr>
        <w:t xml:space="preserve"> </w:t>
      </w:r>
      <w:r w:rsidR="007072DD">
        <w:t>Trybunał stwierdził, że chociaż kontrole osobiste mogą być konieczne w celu zapewnienia bezpieczeństwa zakładu lub ochrony porządku lub zapobieganiu przestępstwom, to nie przekonał go</w:t>
      </w:r>
      <w:r w:rsidR="00267B4B">
        <w:t> </w:t>
      </w:r>
      <w:r w:rsidR="007072DD">
        <w:t>argument Rządu, że takie systematyczne, uciążliwe i wyjątkowo krępujące kontrole przeprowadzane codziennie, a nawet kilka razy dziennie, były konieczne w celu zapewnienia bezpieczeństwa w więzieniu (zob.</w:t>
      </w:r>
      <w:r w:rsidR="00267B4B">
        <w:t> </w:t>
      </w:r>
      <w:r w:rsidR="007072DD">
        <w:rPr>
          <w:i/>
          <w:iCs/>
        </w:rPr>
        <w:t>Piechowicz</w:t>
      </w:r>
      <w:r w:rsidR="007072DD">
        <w:t xml:space="preserve">, </w:t>
      </w:r>
      <w:r w:rsidR="007072DD">
        <w:rPr>
          <w:i/>
          <w:iCs/>
        </w:rPr>
        <w:t>op. cit.</w:t>
      </w:r>
      <w:r w:rsidR="007072DD">
        <w:t>, § 176).</w:t>
      </w:r>
      <w:r w:rsidR="00B559E0">
        <w:t xml:space="preserve"> </w:t>
      </w:r>
      <w:r w:rsidR="007072DD">
        <w:t>Biorąc pod uwagę, że skarżący był już poddawany kilku innym surowym środkom nadzoru oraz że władze nie</w:t>
      </w:r>
      <w:r w:rsidR="00267B4B">
        <w:t> </w:t>
      </w:r>
      <w:r w:rsidR="007072DD">
        <w:t>powołały się na żadne konkretne czy przekonujące przesłanki podyktowane względami bezpieczeństwa, Trybunał stwierdza, że praktyka codziennych przeszukiwań z rozbieraniem stosowana wobec skarżącego przez okres trzech miesięcy musiała umniejszyć poczucie jego godności, wywołać w nim uczucie udręczenia i spotęgowanego bólu, wykraczające poza nieunikniony element cierpienia i poniżenia związany z wykonywaniem kary pozbawienia wolności (zob.</w:t>
      </w:r>
      <w:r w:rsidR="00B559E0">
        <w:t xml:space="preserve"> </w:t>
      </w:r>
      <w:r w:rsidR="007072DD">
        <w:rPr>
          <w:i/>
          <w:iCs/>
        </w:rPr>
        <w:t>Horych</w:t>
      </w:r>
      <w:r w:rsidR="007072DD">
        <w:t xml:space="preserve">, </w:t>
      </w:r>
      <w:r w:rsidR="007072DD">
        <w:rPr>
          <w:i/>
          <w:iCs/>
        </w:rPr>
        <w:t>op. cit.</w:t>
      </w:r>
      <w:r w:rsidR="007072DD">
        <w:t>, § 101, oraz</w:t>
      </w:r>
      <w:r w:rsidR="00B559E0">
        <w:t xml:space="preserve"> </w:t>
      </w:r>
      <w:r w:rsidR="007072DD">
        <w:rPr>
          <w:i/>
          <w:iCs/>
        </w:rPr>
        <w:t>Piechowicz</w:t>
      </w:r>
      <w:r w:rsidR="007072DD">
        <w:t xml:space="preserve">, </w:t>
      </w:r>
      <w:r w:rsidR="007072DD">
        <w:rPr>
          <w:i/>
          <w:iCs/>
        </w:rPr>
        <w:t>op. cit.</w:t>
      </w:r>
      <w:r w:rsidR="007072DD">
        <w:t>, §§ 175 i 176).</w:t>
      </w:r>
    </w:p>
    <w:p w14:paraId="35F0300A" w14:textId="13420B7B" w:rsidR="007072DD" w:rsidRPr="007128DC" w:rsidRDefault="00040F3A" w:rsidP="007128DC">
      <w:pPr>
        <w:pStyle w:val="JuPara"/>
      </w:pPr>
      <w:r>
        <w:rPr>
          <w:noProof/>
        </w:rPr>
        <w:t>29</w:t>
      </w:r>
      <w:r w:rsidR="007072DD">
        <w:t>.</w:t>
      </w:r>
      <w:r w:rsidR="00B559E0">
        <w:t xml:space="preserve"> </w:t>
      </w:r>
      <w:r w:rsidR="007072DD">
        <w:t>Trybunał nie jest również przekonany, że zakuwanie skarżącego w</w:t>
      </w:r>
      <w:r w:rsidR="00267B4B">
        <w:t> </w:t>
      </w:r>
      <w:r w:rsidR="007072DD">
        <w:t>kajdanki było każdorazowo konieczne przez cały okres obowiązywania reżimu „</w:t>
      </w:r>
      <w:r w:rsidR="007072DD">
        <w:t>osadzonego</w:t>
      </w:r>
      <w:r w:rsidR="00B559E0" w:rsidRPr="00B559E0">
        <w:t xml:space="preserve"> </w:t>
      </w:r>
      <w:r w:rsidR="00B559E0">
        <w:t>niebezpiecznego</w:t>
      </w:r>
      <w:r w:rsidR="007072DD">
        <w:t>” zastosowanego wobec skarżącego (zob.</w:t>
      </w:r>
      <w:r w:rsidR="00B559E0">
        <w:t xml:space="preserve"> </w:t>
      </w:r>
      <w:r w:rsidR="007072DD">
        <w:rPr>
          <w:i/>
          <w:iCs/>
        </w:rPr>
        <w:t>Piechowicz</w:t>
      </w:r>
      <w:r w:rsidR="007072DD">
        <w:t xml:space="preserve">, </w:t>
      </w:r>
      <w:r w:rsidR="007072DD">
        <w:rPr>
          <w:i/>
          <w:iCs/>
        </w:rPr>
        <w:t>op. cit.</w:t>
      </w:r>
      <w:r w:rsidR="007072DD">
        <w:t>, § 174).</w:t>
      </w:r>
    </w:p>
    <w:p w14:paraId="5A6FD29D" w14:textId="05EB453D" w:rsidR="007072DD" w:rsidRPr="007128DC" w:rsidRDefault="00040F3A" w:rsidP="007128DC">
      <w:pPr>
        <w:pStyle w:val="JuPara"/>
      </w:pPr>
      <w:bookmarkStart w:id="11" w:name="conclusionViol3"/>
      <w:r>
        <w:rPr>
          <w:noProof/>
        </w:rPr>
        <w:t>30</w:t>
      </w:r>
      <w:bookmarkEnd w:id="11"/>
      <w:r w:rsidR="007072DD">
        <w:t>.</w:t>
      </w:r>
      <w:r w:rsidR="00B559E0">
        <w:t xml:space="preserve"> </w:t>
      </w:r>
      <w:r w:rsidR="007072DD">
        <w:t>Podsumowując, biorąc pod uwagę kumulatywny wpływ reżimu „</w:t>
      </w:r>
      <w:r w:rsidR="00B559E0">
        <w:t>osadzonego</w:t>
      </w:r>
      <w:r w:rsidR="00322CFE" w:rsidRPr="00322CFE">
        <w:t xml:space="preserve"> </w:t>
      </w:r>
      <w:r w:rsidR="00322CFE">
        <w:t>niebezpiecznego</w:t>
      </w:r>
      <w:r w:rsidR="007072DD">
        <w:t>” dla skarżącego, Trybunał stwierdz</w:t>
      </w:r>
      <w:r w:rsidR="00435E14">
        <w:t>a</w:t>
      </w:r>
      <w:r w:rsidR="007072DD">
        <w:t>, że</w:t>
      </w:r>
      <w:r w:rsidR="00267B4B">
        <w:t> </w:t>
      </w:r>
      <w:r w:rsidR="007072DD">
        <w:t xml:space="preserve">władze nie wykazały, że zastosowanie szerokiego zakresu środków, w tym rutynowe i masowe przeszukiwanie z rozbieraniem, w szczególności </w:t>
      </w:r>
      <w:r w:rsidR="007072DD">
        <w:lastRenderedPageBreak/>
        <w:t>w</w:t>
      </w:r>
      <w:r w:rsidR="00267B4B">
        <w:t> </w:t>
      </w:r>
      <w:r w:rsidR="007072DD">
        <w:t xml:space="preserve">początkowym sześciomiesięcznym okresie obowiązywania reżimu, było konieczne dla osiągnięcia </w:t>
      </w:r>
      <w:r w:rsidR="00322CFE">
        <w:t>uprawnionego</w:t>
      </w:r>
      <w:r w:rsidR="007072DD">
        <w:t xml:space="preserve"> celu zapewnienia bezpieczeństwa w</w:t>
      </w:r>
      <w:r w:rsidR="00267B4B">
        <w:t> </w:t>
      </w:r>
      <w:r w:rsidR="007072DD">
        <w:t>zakładzie karnym.</w:t>
      </w:r>
    </w:p>
    <w:p w14:paraId="0EEFA8DB" w14:textId="2DCBDE72" w:rsidR="007072DD" w:rsidRPr="007128DC" w:rsidRDefault="007072DD" w:rsidP="007128DC">
      <w:pPr>
        <w:pStyle w:val="JuPara"/>
      </w:pPr>
      <w:r>
        <w:t>W związku z powyższym doszło do naruszenia art.</w:t>
      </w:r>
      <w:r w:rsidR="00B559E0">
        <w:t xml:space="preserve"> </w:t>
      </w:r>
      <w:r>
        <w:t>3 Konwencji.</w:t>
      </w:r>
    </w:p>
    <w:p w14:paraId="1B2D888B" w14:textId="77777777" w:rsidR="007072DD" w:rsidRPr="007128DC" w:rsidRDefault="007072DD" w:rsidP="007128DC">
      <w:pPr>
        <w:pStyle w:val="JuHIRoman"/>
        <w:tabs>
          <w:tab w:val="clear" w:pos="454"/>
          <w:tab w:val="clear" w:pos="567"/>
          <w:tab w:val="clear" w:pos="680"/>
        </w:tabs>
        <w:ind w:left="357" w:hanging="357"/>
        <w:jc w:val="left"/>
      </w:pPr>
      <w:r>
        <w:t>POZOSTAŁE ZARZUCANE NARUSZENIA KONWENCJI</w:t>
      </w:r>
    </w:p>
    <w:p w14:paraId="3CDBEBB4" w14:textId="00E34ABA" w:rsidR="007072DD" w:rsidRPr="007128DC" w:rsidRDefault="00040F3A" w:rsidP="007128DC">
      <w:pPr>
        <w:pStyle w:val="JuPara"/>
      </w:pPr>
      <w:r>
        <w:rPr>
          <w:noProof/>
        </w:rPr>
        <w:t>31</w:t>
      </w:r>
      <w:r w:rsidR="007072DD">
        <w:t>.</w:t>
      </w:r>
      <w:r w:rsidR="00B559E0">
        <w:t xml:space="preserve"> </w:t>
      </w:r>
      <w:r w:rsidR="007072DD">
        <w:t>Skarżący zarzucił ponadto naruszenie art. 6 i 13 Konwencji. Skarżył się on na sposób stosowania i przedłużania reżimu przez komisję penitencjarną oraz na rzekomą nieskuteczność jego skarg na decyzje komisji.</w:t>
      </w:r>
    </w:p>
    <w:p w14:paraId="5BEE1C80" w14:textId="0F29A1C8" w:rsidR="007072DD" w:rsidRPr="007128DC" w:rsidRDefault="00040F3A" w:rsidP="007128DC">
      <w:pPr>
        <w:pStyle w:val="JuPara"/>
      </w:pPr>
      <w:r>
        <w:rPr>
          <w:noProof/>
        </w:rPr>
        <w:t>32</w:t>
      </w:r>
      <w:r w:rsidR="007072DD">
        <w:t>.</w:t>
      </w:r>
      <w:r w:rsidR="00B559E0">
        <w:t xml:space="preserve"> </w:t>
      </w:r>
      <w:r w:rsidR="007072DD">
        <w:t>Rząd kwestionował ten argument.</w:t>
      </w:r>
    </w:p>
    <w:p w14:paraId="58C8389C" w14:textId="2FF2B045" w:rsidR="007072DD" w:rsidRPr="007128DC" w:rsidRDefault="00040F3A" w:rsidP="007128DC">
      <w:pPr>
        <w:pStyle w:val="JuPara"/>
      </w:pPr>
      <w:r>
        <w:rPr>
          <w:noProof/>
        </w:rPr>
        <w:t>33</w:t>
      </w:r>
      <w:r w:rsidR="007072DD">
        <w:t>.</w:t>
      </w:r>
      <w:r w:rsidR="00B559E0">
        <w:t xml:space="preserve"> </w:t>
      </w:r>
      <w:r w:rsidR="007072DD">
        <w:t>Trybunał zauważ</w:t>
      </w:r>
      <w:r w:rsidR="00267B4B">
        <w:t>a</w:t>
      </w:r>
      <w:r w:rsidR="007072DD">
        <w:t>, że zarzut ten pozostaje w związku z wyżej przytoczonym zarzutem, a tym samym należy uznać go za dopuszczalny.</w:t>
      </w:r>
    </w:p>
    <w:p w14:paraId="143097E9" w14:textId="1979BEBD" w:rsidR="007072DD" w:rsidRPr="007128DC" w:rsidRDefault="00040F3A" w:rsidP="007128DC">
      <w:pPr>
        <w:pStyle w:val="JuPara"/>
      </w:pPr>
      <w:r>
        <w:rPr>
          <w:noProof/>
        </w:rPr>
        <w:t>34</w:t>
      </w:r>
      <w:r w:rsidR="007072DD">
        <w:t>.</w:t>
      </w:r>
      <w:r w:rsidR="00B559E0">
        <w:t xml:space="preserve"> </w:t>
      </w:r>
      <w:r w:rsidR="007072DD">
        <w:t>Trybunał zauważ</w:t>
      </w:r>
      <w:r w:rsidR="00267B4B">
        <w:t>a</w:t>
      </w:r>
      <w:r w:rsidR="007072DD">
        <w:t>, że u podstaw skargi skarżącego wniesionej na</w:t>
      </w:r>
      <w:r w:rsidR="00267B4B">
        <w:t> </w:t>
      </w:r>
      <w:r w:rsidR="007072DD">
        <w:t>gruncie art. 3 Konwencji leżą kwestie, które zostały zbadane i które skłoniły go do stwierdzenia naruszenia tego postanowienia (zob. paragraf</w:t>
      </w:r>
      <w:r w:rsidR="00B559E0">
        <w:t xml:space="preserve"> </w:t>
      </w:r>
      <w:r>
        <w:rPr>
          <w:noProof/>
        </w:rPr>
        <w:t>30</w:t>
      </w:r>
      <w:r w:rsidR="007072DD">
        <w:t xml:space="preserve"> powyżej). W tych okolicznościach Trybunał uznaje, że nie zachodzi odrębna kwestia na podstawie art. 6 i 13 Konwencji</w:t>
      </w:r>
      <w:r w:rsidR="00267B4B">
        <w:t>,</w:t>
      </w:r>
      <w:r w:rsidR="007072DD">
        <w:t xml:space="preserve"> i nie dokonuje odrębnych ustaleń (zob. </w:t>
      </w:r>
      <w:r w:rsidR="007072DD">
        <w:rPr>
          <w:i/>
        </w:rPr>
        <w:t>Prus</w:t>
      </w:r>
      <w:r w:rsidR="007072DD">
        <w:t xml:space="preserve">, </w:t>
      </w:r>
      <w:r w:rsidR="007072DD">
        <w:rPr>
          <w:i/>
          <w:iCs/>
        </w:rPr>
        <w:t>op. cit.</w:t>
      </w:r>
      <w:r w:rsidR="007072DD">
        <w:t>, § 43).</w:t>
      </w:r>
    </w:p>
    <w:p w14:paraId="274073F4" w14:textId="6E971FD7" w:rsidR="007072DD" w:rsidRPr="007128DC" w:rsidRDefault="007072DD" w:rsidP="007128DC">
      <w:pPr>
        <w:pStyle w:val="JuHIRoman"/>
        <w:tabs>
          <w:tab w:val="clear" w:pos="454"/>
          <w:tab w:val="clear" w:pos="567"/>
          <w:tab w:val="clear" w:pos="680"/>
        </w:tabs>
        <w:ind w:left="357" w:hanging="357"/>
        <w:jc w:val="left"/>
      </w:pPr>
      <w:r>
        <w:t>ZASTOSOWANIE ART.</w:t>
      </w:r>
      <w:r w:rsidR="00B559E0">
        <w:t xml:space="preserve"> </w:t>
      </w:r>
      <w:r>
        <w:t>41 KONWENCJI</w:t>
      </w:r>
    </w:p>
    <w:p w14:paraId="6EAD14DB" w14:textId="35D6B4AD" w:rsidR="007072DD" w:rsidRPr="007128DC" w:rsidRDefault="00040F3A" w:rsidP="007128DC">
      <w:pPr>
        <w:pStyle w:val="JuPara"/>
        <w:keepNext/>
        <w:keepLines/>
      </w:pPr>
      <w:r>
        <w:rPr>
          <w:noProof/>
        </w:rPr>
        <w:t>35</w:t>
      </w:r>
      <w:r w:rsidR="007072DD">
        <w:t>.</w:t>
      </w:r>
      <w:r w:rsidR="00B559E0">
        <w:t xml:space="preserve"> </w:t>
      </w:r>
      <w:r w:rsidR="007072DD">
        <w:t>Artykuł 41 Konwencji stanowi:</w:t>
      </w:r>
    </w:p>
    <w:p w14:paraId="0105FEC3" w14:textId="5D90E7A7" w:rsidR="007072DD" w:rsidRPr="007128DC" w:rsidRDefault="007072DD" w:rsidP="001D625C">
      <w:pPr>
        <w:pStyle w:val="JuQuot"/>
      </w:pPr>
      <w:r>
        <w:t>„</w:t>
      </w:r>
      <w:r w:rsidR="001D625C" w:rsidRPr="001D625C">
        <w:t>Je</w:t>
      </w:r>
      <w:r w:rsidR="001D625C" w:rsidRPr="001D625C">
        <w:t>ś</w:t>
      </w:r>
      <w:r w:rsidR="001D625C" w:rsidRPr="001D625C">
        <w:t>li Trybunał stwierdzi, że nastąpiło naruszenie Konwencji lub jej Protokołów, oraz je</w:t>
      </w:r>
      <w:r w:rsidR="001D625C" w:rsidRPr="001D625C">
        <w:t>ś</w:t>
      </w:r>
      <w:r w:rsidR="001D625C" w:rsidRPr="001D625C">
        <w:t>li prawo wewnętrzne zainteresowanej Wysokiej Układającej się Strony pozwala tylko na częściowe usunięcie konsekwencji tego naruszenia, Trybunał orzeka, gdy</w:t>
      </w:r>
      <w:r w:rsidR="00267B4B">
        <w:t> </w:t>
      </w:r>
      <w:r w:rsidR="001D625C" w:rsidRPr="001D625C">
        <w:t xml:space="preserve">zachodzi potrzeba, </w:t>
      </w:r>
      <w:r w:rsidR="001D625C" w:rsidRPr="001D625C">
        <w:t>słuszne zadośćuczynienie</w:t>
      </w:r>
      <w:r w:rsidR="001D625C">
        <w:t xml:space="preserve"> pokrzywdzonej stronie</w:t>
      </w:r>
      <w:r>
        <w:t>”.</w:t>
      </w:r>
    </w:p>
    <w:p w14:paraId="5E0B3337" w14:textId="77777777" w:rsidR="007072DD" w:rsidRPr="007128DC" w:rsidRDefault="007072DD" w:rsidP="007128DC">
      <w:pPr>
        <w:pStyle w:val="JuHA"/>
        <w:ind w:left="584" w:hanging="352"/>
        <w:jc w:val="left"/>
      </w:pPr>
      <w:r>
        <w:t>Szkoda</w:t>
      </w:r>
    </w:p>
    <w:p w14:paraId="6EB89D8B" w14:textId="3101D49B" w:rsidR="007072DD" w:rsidRPr="007128DC" w:rsidRDefault="00040F3A" w:rsidP="007128DC">
      <w:pPr>
        <w:pStyle w:val="JuPara"/>
      </w:pPr>
      <w:r>
        <w:rPr>
          <w:noProof/>
        </w:rPr>
        <w:t>36</w:t>
      </w:r>
      <w:r w:rsidR="007072DD">
        <w:t>.</w:t>
      </w:r>
      <w:r w:rsidR="00B559E0">
        <w:t xml:space="preserve"> </w:t>
      </w:r>
      <w:r w:rsidR="007072DD">
        <w:t>Skarżący dochodził kwoty 10</w:t>
      </w:r>
      <w:r w:rsidR="00B559E0">
        <w:t xml:space="preserve"> </w:t>
      </w:r>
      <w:r w:rsidR="007072DD">
        <w:t>000</w:t>
      </w:r>
      <w:r w:rsidR="00B559E0">
        <w:t xml:space="preserve"> </w:t>
      </w:r>
      <w:r w:rsidR="007072DD">
        <w:t>euro (EUR) tytułem zadośćuczynienia za szkodę niemajątkową.</w:t>
      </w:r>
    </w:p>
    <w:p w14:paraId="3B80DDA0" w14:textId="5186A212" w:rsidR="007072DD" w:rsidRPr="007128DC" w:rsidRDefault="00040F3A" w:rsidP="007128DC">
      <w:pPr>
        <w:pStyle w:val="JuPara"/>
      </w:pPr>
      <w:r>
        <w:rPr>
          <w:noProof/>
        </w:rPr>
        <w:t>37</w:t>
      </w:r>
      <w:r w:rsidR="007072DD">
        <w:t>.</w:t>
      </w:r>
      <w:r w:rsidR="00B559E0">
        <w:t xml:space="preserve"> </w:t>
      </w:r>
      <w:r w:rsidR="007072DD">
        <w:t>Rząd uznał to roszczenie za nadmierne.</w:t>
      </w:r>
    </w:p>
    <w:p w14:paraId="59C30DFA" w14:textId="5170E3F5" w:rsidR="007072DD" w:rsidRPr="007128DC" w:rsidRDefault="00040F3A" w:rsidP="007128DC">
      <w:pPr>
        <w:pStyle w:val="JuPara"/>
      </w:pPr>
      <w:r>
        <w:rPr>
          <w:noProof/>
        </w:rPr>
        <w:t>38</w:t>
      </w:r>
      <w:r w:rsidR="007072DD">
        <w:t>.</w:t>
      </w:r>
      <w:r w:rsidR="00B559E0">
        <w:t xml:space="preserve"> </w:t>
      </w:r>
      <w:r w:rsidR="007072DD">
        <w:t>Trybunał przyznaje skarżącemu</w:t>
      </w:r>
      <w:r w:rsidR="00B559E0">
        <w:t xml:space="preserve"> </w:t>
      </w:r>
      <w:r w:rsidR="007072DD">
        <w:t>kwotę 3000</w:t>
      </w:r>
      <w:r w:rsidR="00B559E0">
        <w:t xml:space="preserve"> </w:t>
      </w:r>
      <w:r w:rsidR="007072DD">
        <w:t>EUR tytułem zadośćuczynienia za szkodę niemajątkową.</w:t>
      </w:r>
    </w:p>
    <w:p w14:paraId="2AFC1B45" w14:textId="77777777" w:rsidR="007072DD" w:rsidRPr="007128DC" w:rsidRDefault="007072DD" w:rsidP="007128DC">
      <w:pPr>
        <w:pStyle w:val="JuHA"/>
        <w:ind w:left="584" w:hanging="352"/>
        <w:jc w:val="left"/>
      </w:pPr>
      <w:r>
        <w:t>Koszty i wydatki</w:t>
      </w:r>
    </w:p>
    <w:p w14:paraId="24AEEBAD" w14:textId="7C074F50" w:rsidR="007072DD" w:rsidRPr="007128DC" w:rsidRDefault="00040F3A" w:rsidP="007128DC">
      <w:pPr>
        <w:pStyle w:val="JuPara"/>
      </w:pPr>
      <w:r>
        <w:rPr>
          <w:noProof/>
        </w:rPr>
        <w:t>39</w:t>
      </w:r>
      <w:r w:rsidR="007072DD">
        <w:t>.</w:t>
      </w:r>
      <w:r w:rsidR="00B559E0">
        <w:t xml:space="preserve"> </w:t>
      </w:r>
      <w:r w:rsidR="007072DD">
        <w:t>Skarżący nie domagał się zwrotu kosztów i wydatków.</w:t>
      </w:r>
    </w:p>
    <w:p w14:paraId="65941BDE" w14:textId="77777777" w:rsidR="007072DD" w:rsidRPr="007128DC" w:rsidRDefault="007072DD" w:rsidP="007128DC">
      <w:pPr>
        <w:pStyle w:val="JuHA"/>
        <w:ind w:left="584" w:hanging="352"/>
        <w:jc w:val="left"/>
      </w:pPr>
      <w:r>
        <w:t>Odsetki za zwłokę</w:t>
      </w:r>
    </w:p>
    <w:p w14:paraId="7DFE138C" w14:textId="5F590301" w:rsidR="007072DD" w:rsidRPr="007128DC" w:rsidRDefault="00040F3A" w:rsidP="007128DC">
      <w:pPr>
        <w:pStyle w:val="JuPara"/>
      </w:pPr>
      <w:r>
        <w:rPr>
          <w:noProof/>
        </w:rPr>
        <w:t>40</w:t>
      </w:r>
      <w:r w:rsidR="007072DD">
        <w:t>.</w:t>
      </w:r>
      <w:r w:rsidR="00B559E0">
        <w:t xml:space="preserve"> </w:t>
      </w:r>
      <w:r w:rsidR="007072DD">
        <w:t>Trybunał za słuszne uznaje wyznaczenie wysokości odsetek za zwłokę na podstawie marginalnej stopy procentowej Europejskiego Banku Centralnego powiększonej o trzy punkty procentowe.</w:t>
      </w:r>
    </w:p>
    <w:p w14:paraId="1740E463" w14:textId="77777777" w:rsidR="007072DD" w:rsidRPr="007128DC" w:rsidRDefault="007072DD" w:rsidP="007128DC">
      <w:pPr>
        <w:pStyle w:val="JuHHead"/>
        <w:numPr>
          <w:ilvl w:val="0"/>
          <w:numId w:val="2"/>
        </w:numPr>
        <w:jc w:val="left"/>
      </w:pPr>
      <w:r>
        <w:lastRenderedPageBreak/>
        <w:t>Z POWYŻSZYCH WZGLĘDÓW TRYBUNAŁ JEDNOGŁOŚNIE</w:t>
      </w:r>
    </w:p>
    <w:p w14:paraId="2F866DA0" w14:textId="77777777" w:rsidR="007072DD" w:rsidRPr="007128DC" w:rsidRDefault="007072DD" w:rsidP="007128DC">
      <w:pPr>
        <w:pStyle w:val="JuList"/>
      </w:pPr>
      <w:r>
        <w:rPr>
          <w:i/>
          <w:iCs/>
        </w:rPr>
        <w:t>uznaje</w:t>
      </w:r>
      <w:r>
        <w:t xml:space="preserve"> skargę za dopuszczalną;</w:t>
      </w:r>
    </w:p>
    <w:p w14:paraId="53286DCA" w14:textId="74D51421" w:rsidR="007072DD" w:rsidRPr="007128DC" w:rsidRDefault="007072DD" w:rsidP="007128DC">
      <w:pPr>
        <w:pStyle w:val="JuList"/>
      </w:pPr>
      <w:r>
        <w:rPr>
          <w:i/>
          <w:iCs/>
        </w:rPr>
        <w:t>stwierdza</w:t>
      </w:r>
      <w:r>
        <w:t>, że doszło do naruszenia art.</w:t>
      </w:r>
      <w:r w:rsidR="00B559E0">
        <w:t xml:space="preserve"> </w:t>
      </w:r>
      <w:r>
        <w:t>3 Konwencji;</w:t>
      </w:r>
    </w:p>
    <w:p w14:paraId="5108AFFB" w14:textId="0DCA3343" w:rsidR="007072DD" w:rsidRPr="007128DC" w:rsidRDefault="007072DD" w:rsidP="007128DC">
      <w:pPr>
        <w:pStyle w:val="JuList"/>
      </w:pPr>
      <w:r>
        <w:rPr>
          <w:i/>
          <w:iCs/>
        </w:rPr>
        <w:t>stwierdza</w:t>
      </w:r>
      <w:r>
        <w:t>, że nie ma potrzeby rozpatrywania skargi na podstawie art.</w:t>
      </w:r>
      <w:r w:rsidR="00B559E0">
        <w:t xml:space="preserve"> </w:t>
      </w:r>
      <w:r>
        <w:t>6 i</w:t>
      </w:r>
      <w:r w:rsidR="00267B4B">
        <w:t> </w:t>
      </w:r>
      <w:r>
        <w:t>13 Konwencji;</w:t>
      </w:r>
    </w:p>
    <w:p w14:paraId="5554029B" w14:textId="77777777" w:rsidR="007072DD" w:rsidRPr="007128DC" w:rsidRDefault="007072DD" w:rsidP="007128DC">
      <w:pPr>
        <w:pStyle w:val="JuList"/>
      </w:pPr>
      <w:r>
        <w:rPr>
          <w:i/>
          <w:iCs/>
        </w:rPr>
        <w:t>stwierdza</w:t>
      </w:r>
    </w:p>
    <w:p w14:paraId="12F4C6A8" w14:textId="67F0392F" w:rsidR="007072DD" w:rsidRPr="007128DC" w:rsidRDefault="007072DD" w:rsidP="007128DC">
      <w:pPr>
        <w:pStyle w:val="JuLista"/>
      </w:pPr>
      <w:r>
        <w:t xml:space="preserve">że pozwane </w:t>
      </w:r>
      <w:r w:rsidR="00910B94">
        <w:t>P</w:t>
      </w:r>
      <w:r>
        <w:t>aństwo winno, w terminie trzech miesięcy, uiścić na</w:t>
      </w:r>
      <w:r w:rsidR="00267B4B">
        <w:t> </w:t>
      </w:r>
      <w:r>
        <w:t>rzecz skarżącego kwotę</w:t>
      </w:r>
      <w:r w:rsidR="00B559E0">
        <w:t xml:space="preserve"> </w:t>
      </w:r>
      <w:r>
        <w:t>3000</w:t>
      </w:r>
      <w:r w:rsidR="00B559E0">
        <w:t xml:space="preserve"> </w:t>
      </w:r>
      <w:r>
        <w:t>EUR (trzy tysiące euro) plus wszelkie podatki należne od skarżącego, tytułem zadośćuczynienia za szkodę niemajątkową, przeliczoną na walutę polską według kursu obowiązującego w dniu płatności;</w:t>
      </w:r>
    </w:p>
    <w:p w14:paraId="5375E669" w14:textId="627D7178" w:rsidR="007072DD" w:rsidRPr="007128DC" w:rsidRDefault="007072DD" w:rsidP="007128DC">
      <w:pPr>
        <w:pStyle w:val="JuLista"/>
      </w:pPr>
      <w:r>
        <w:t>że od upływu wyżej wskazanego terminu trzech miesięcy aż</w:t>
      </w:r>
      <w:r w:rsidR="00267B4B">
        <w:t> </w:t>
      </w:r>
      <w:r>
        <w:t>do</w:t>
      </w:r>
      <w:r w:rsidR="00267B4B">
        <w:t> </w:t>
      </w:r>
      <w:r>
        <w:t>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6D1519A4" w14:textId="77777777" w:rsidR="004D0EC7" w:rsidRPr="007128DC" w:rsidRDefault="007072DD" w:rsidP="007128DC">
      <w:pPr>
        <w:pStyle w:val="JuList"/>
      </w:pPr>
      <w:r>
        <w:rPr>
          <w:i/>
        </w:rPr>
        <w:t xml:space="preserve">oddala </w:t>
      </w:r>
      <w:r>
        <w:t>pozostałą część roszczenia skarżącego dotyczącego słusznego zadośćuczynienia.</w:t>
      </w:r>
    </w:p>
    <w:p w14:paraId="5D859E10" w14:textId="10E0E19D" w:rsidR="008E3A08" w:rsidRPr="007128DC" w:rsidRDefault="007E2C8C" w:rsidP="007128DC">
      <w:pPr>
        <w:pStyle w:val="JuParaLast"/>
      </w:pPr>
      <w:r>
        <w:t>Sporządzono w języku angielskim i obwieszczono pisemnie w dniu 15</w:t>
      </w:r>
      <w:r w:rsidR="00267B4B">
        <w:t> </w:t>
      </w:r>
      <w:r>
        <w:t>kwietnia 2021</w:t>
      </w:r>
      <w:r w:rsidR="00B559E0">
        <w:t xml:space="preserve"> </w:t>
      </w:r>
      <w:r>
        <w:t>r., zgodnie z Regułą</w:t>
      </w:r>
      <w:r w:rsidR="00B559E0">
        <w:t xml:space="preserve"> </w:t>
      </w:r>
      <w:r>
        <w:t>77 §§</w:t>
      </w:r>
      <w:r w:rsidR="00B559E0">
        <w:t xml:space="preserve"> </w:t>
      </w:r>
      <w:r>
        <w:t>2 i 3 Regulaminu Trybunału.</w:t>
      </w:r>
    </w:p>
    <w:p w14:paraId="6A0DC4D2" w14:textId="493805E8" w:rsidR="002A613A" w:rsidRPr="007128DC" w:rsidRDefault="00F24747" w:rsidP="00040F3A">
      <w:pPr>
        <w:pStyle w:val="JuSigned"/>
        <w:tabs>
          <w:tab w:val="clear" w:pos="851"/>
          <w:tab w:val="center" w:pos="1134"/>
        </w:tabs>
        <w:ind w:left="284" w:hanging="284"/>
      </w:pPr>
      <w:r>
        <w:tab/>
      </w:r>
      <w:proofErr w:type="spellStart"/>
      <w:r>
        <w:t>Attila</w:t>
      </w:r>
      <w:proofErr w:type="spellEnd"/>
      <w:r>
        <w:t xml:space="preserve"> </w:t>
      </w:r>
      <w:proofErr w:type="spellStart"/>
      <w:r>
        <w:t>Teplán</w:t>
      </w:r>
      <w:proofErr w:type="spellEnd"/>
      <w:r w:rsidR="00040F3A">
        <w:tab/>
      </w:r>
      <w:r w:rsidR="00B05207">
        <w:t xml:space="preserve">Alena </w:t>
      </w:r>
      <w:proofErr w:type="spellStart"/>
      <w:r w:rsidR="00B05207">
        <w:t>Poláčková</w:t>
      </w:r>
      <w:proofErr w:type="spellEnd"/>
      <w:r>
        <w:br/>
        <w:t xml:space="preserve">p.o. </w:t>
      </w:r>
      <w:r w:rsidR="00435E14">
        <w:t>Zastępca Kanclerza Sekcji</w:t>
      </w:r>
      <w:r w:rsidR="00040F3A">
        <w:tab/>
      </w:r>
      <w:r>
        <w:t>Przewodnicząc</w:t>
      </w:r>
      <w:r w:rsidR="00B67A9B">
        <w:t>a</w:t>
      </w:r>
    </w:p>
    <w:sectPr w:rsidR="002A613A" w:rsidRPr="007128DC"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9F2B91" w14:textId="77777777" w:rsidR="00EF7D5B" w:rsidRPr="007072DD" w:rsidRDefault="00EF7D5B" w:rsidP="0098410D">
      <w:r w:rsidRPr="007072DD">
        <w:separator/>
      </w:r>
    </w:p>
  </w:endnote>
  <w:endnote w:type="continuationSeparator" w:id="0">
    <w:p w14:paraId="1671E262" w14:textId="77777777" w:rsidR="00EF7D5B" w:rsidRPr="007072DD" w:rsidRDefault="00EF7D5B" w:rsidP="0098410D">
      <w:r w:rsidRPr="007072DD">
        <w:continuationSeparator/>
      </w:r>
    </w:p>
  </w:endnote>
  <w:endnote w:type="continuationNotice" w:id="1">
    <w:p w14:paraId="561E9841" w14:textId="77777777" w:rsidR="00EF7D5B" w:rsidRDefault="00EF7D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imHei">
    <w:altName w:val="黑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4D57B" w14:textId="77777777" w:rsidR="000D12D6" w:rsidRDefault="000D12D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334EA" w14:textId="77777777" w:rsidR="007072DD" w:rsidRPr="00150BFA" w:rsidRDefault="007072DD" w:rsidP="0020718E">
    <w:pPr>
      <w:jc w:val="center"/>
    </w:pPr>
    <w:r>
      <w:rPr>
        <w:noProof/>
        <w:lang w:eastAsia="pl-PL"/>
      </w:rPr>
      <w:drawing>
        <wp:inline distT="0" distB="0" distL="0" distR="0" wp14:anchorId="35277AFB" wp14:editId="46A5BEE8">
          <wp:extent cx="771525" cy="619125"/>
          <wp:effectExtent l="0" t="0" r="9525" b="9525"/>
          <wp:docPr id="43" name="Picture 4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4A1B333" w14:textId="77777777" w:rsidR="0098410D" w:rsidRPr="007072DD" w:rsidRDefault="0098410D" w:rsidP="00AF12C5">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275F6C" w14:textId="77777777" w:rsidR="007072DD" w:rsidRPr="00150BFA" w:rsidRDefault="007072DD" w:rsidP="0020718E">
    <w:pPr>
      <w:jc w:val="center"/>
    </w:pPr>
    <w:r>
      <w:rPr>
        <w:noProof/>
        <w:lang w:eastAsia="pl-PL"/>
      </w:rPr>
      <w:drawing>
        <wp:inline distT="0" distB="0" distL="0" distR="0" wp14:anchorId="772A8D57" wp14:editId="367D43C8">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1849271" w14:textId="77777777" w:rsidR="009E7A6F" w:rsidRPr="007072DD" w:rsidRDefault="009E7A6F"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6F33B" w14:textId="60CA454B" w:rsidR="00C26D3D" w:rsidRDefault="00DF663D" w:rsidP="009A115C">
    <w:pPr>
      <w:pStyle w:val="JuHeader"/>
    </w:pPr>
    <w:r>
      <w:rPr>
        <w:rStyle w:val="Numerstrony"/>
      </w:rPr>
      <w:fldChar w:fldCharType="begin"/>
    </w:r>
    <w:r w:rsidR="007072DD">
      <w:rPr>
        <w:rStyle w:val="Numerstrony"/>
      </w:rPr>
      <w:instrText xml:space="preserve"> PAGE </w:instrText>
    </w:r>
    <w:r>
      <w:rPr>
        <w:rStyle w:val="Numerstrony"/>
      </w:rPr>
      <w:fldChar w:fldCharType="separate"/>
    </w:r>
    <w:r w:rsidR="009C3643">
      <w:rPr>
        <w:rStyle w:val="Numerstrony"/>
        <w:noProof/>
      </w:rPr>
      <w:t>2</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A3131" w14:textId="013C4FCE" w:rsidR="00C26D3D" w:rsidRPr="000B7195" w:rsidRDefault="00DF663D" w:rsidP="007D3701">
    <w:pPr>
      <w:pStyle w:val="JuHeader"/>
    </w:pPr>
    <w:r>
      <w:fldChar w:fldCharType="begin"/>
    </w:r>
    <w:r w:rsidR="007072DD">
      <w:instrText xml:space="preserve"> PAGE </w:instrText>
    </w:r>
    <w:r>
      <w:fldChar w:fldCharType="separate"/>
    </w:r>
    <w:r w:rsidR="009C364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FA3F2F" w14:textId="77777777" w:rsidR="00EF7D5B" w:rsidRPr="007072DD" w:rsidRDefault="00EF7D5B" w:rsidP="0098410D">
      <w:r w:rsidRPr="007072DD">
        <w:separator/>
      </w:r>
    </w:p>
  </w:footnote>
  <w:footnote w:type="continuationSeparator" w:id="0">
    <w:p w14:paraId="28AA0671" w14:textId="77777777" w:rsidR="00EF7D5B" w:rsidRPr="007072DD" w:rsidRDefault="00EF7D5B" w:rsidP="0098410D">
      <w:r w:rsidRPr="007072DD">
        <w:continuationSeparator/>
      </w:r>
    </w:p>
  </w:footnote>
  <w:footnote w:type="continuationNotice" w:id="1">
    <w:p w14:paraId="4BD19AB4" w14:textId="77777777" w:rsidR="00EF7D5B" w:rsidRDefault="00EF7D5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ABF22" w14:textId="77777777" w:rsidR="000D12D6" w:rsidRDefault="000D12D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CA4FD" w14:textId="77777777" w:rsidR="007072DD" w:rsidRPr="00A45145" w:rsidRDefault="007072DD" w:rsidP="00A45145">
    <w:pPr>
      <w:jc w:val="center"/>
    </w:pPr>
    <w:r>
      <w:rPr>
        <w:noProof/>
        <w:lang w:eastAsia="pl-PL"/>
      </w:rPr>
      <w:drawing>
        <wp:inline distT="0" distB="0" distL="0" distR="0" wp14:anchorId="720E8B10" wp14:editId="32F9D32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01263E3" w14:textId="77777777" w:rsidR="0098410D" w:rsidRPr="007072DD" w:rsidRDefault="0098410D" w:rsidP="00B1479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E8899" w14:textId="77777777" w:rsidR="007072DD" w:rsidRPr="00A45145" w:rsidRDefault="007072DD" w:rsidP="00A45145">
    <w:pPr>
      <w:jc w:val="center"/>
    </w:pPr>
    <w:r>
      <w:rPr>
        <w:noProof/>
        <w:lang w:eastAsia="pl-PL"/>
      </w:rPr>
      <w:drawing>
        <wp:inline distT="0" distB="0" distL="0" distR="0" wp14:anchorId="5F99AE4F" wp14:editId="25C0F959">
          <wp:extent cx="2962275" cy="1219200"/>
          <wp:effectExtent l="0" t="0" r="9525" b="0"/>
          <wp:docPr id="34" name="Picture 3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ECB3304" w14:textId="77777777" w:rsidR="0098410D" w:rsidRPr="007072DD" w:rsidRDefault="0098410D"/>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DEB780" w14:textId="77777777" w:rsidR="00C26D3D" w:rsidRPr="004D0EC7" w:rsidRDefault="007072DD" w:rsidP="004D0EC7">
    <w:pPr>
      <w:pStyle w:val="JuHeader"/>
    </w:pPr>
    <w:r>
      <w:t>WYROK W SPRAWIE LEŃCZUK PRZECIWKO POLSCE</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DD194" w14:textId="77777777" w:rsidR="00C26D3D" w:rsidRPr="00882CD5" w:rsidRDefault="007072DD" w:rsidP="007D3701">
    <w:pPr>
      <w:pStyle w:val="JuHeader"/>
    </w:pPr>
    <w:r>
      <w:t>WYROK W SPRAWIE LEŃCZUK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w:numFmt w:val="decimal"/>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6"/>
  </w:num>
  <w:num w:numId="2">
    <w:abstractNumId w:val="18"/>
  </w:num>
  <w:num w:numId="3">
    <w:abstractNumId w:val="9"/>
  </w:num>
  <w:num w:numId="4">
    <w:abstractNumId w:val="13"/>
  </w:num>
  <w:num w:numId="5">
    <w:abstractNumId w:val="11"/>
  </w:num>
  <w:num w:numId="6">
    <w:abstractNumId w:val="10"/>
  </w:num>
  <w:num w:numId="7">
    <w:abstractNumId w:val="14"/>
  </w:num>
  <w:num w:numId="8">
    <w:abstractNumId w:val="12"/>
  </w:num>
  <w:num w:numId="9">
    <w:abstractNumId w:val="15"/>
  </w:num>
  <w:num w:numId="10">
    <w:abstractNumId w:val="17"/>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s>
  <w:rsids>
    <w:rsidRoot w:val="007072DD"/>
    <w:rsid w:val="000041F8"/>
    <w:rsid w:val="000042A8"/>
    <w:rsid w:val="00004308"/>
    <w:rsid w:val="00005BF0"/>
    <w:rsid w:val="0000617D"/>
    <w:rsid w:val="00007154"/>
    <w:rsid w:val="000103AE"/>
    <w:rsid w:val="00011D69"/>
    <w:rsid w:val="00012AD3"/>
    <w:rsid w:val="00015C2D"/>
    <w:rsid w:val="00015F00"/>
    <w:rsid w:val="00022C1D"/>
    <w:rsid w:val="00023B3B"/>
    <w:rsid w:val="00031428"/>
    <w:rsid w:val="00034987"/>
    <w:rsid w:val="00040F3A"/>
    <w:rsid w:val="00041560"/>
    <w:rsid w:val="000602DF"/>
    <w:rsid w:val="00061B05"/>
    <w:rsid w:val="000632D5"/>
    <w:rsid w:val="000644EE"/>
    <w:rsid w:val="00064E07"/>
    <w:rsid w:val="00070311"/>
    <w:rsid w:val="0007780A"/>
    <w:rsid w:val="00085457"/>
    <w:rsid w:val="000925AD"/>
    <w:rsid w:val="00096FE1"/>
    <w:rsid w:val="00097A62"/>
    <w:rsid w:val="000A24EB"/>
    <w:rsid w:val="000B686A"/>
    <w:rsid w:val="000B6923"/>
    <w:rsid w:val="000B7195"/>
    <w:rsid w:val="000C5F3C"/>
    <w:rsid w:val="000C6DCC"/>
    <w:rsid w:val="000D10DC"/>
    <w:rsid w:val="000D12D6"/>
    <w:rsid w:val="000D47AA"/>
    <w:rsid w:val="000D721F"/>
    <w:rsid w:val="000E069B"/>
    <w:rsid w:val="000E0E82"/>
    <w:rsid w:val="000E1DC5"/>
    <w:rsid w:val="000E223F"/>
    <w:rsid w:val="000E46B8"/>
    <w:rsid w:val="000E7D45"/>
    <w:rsid w:val="000F4DD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77708"/>
    <w:rsid w:val="001832BD"/>
    <w:rsid w:val="001943B5"/>
    <w:rsid w:val="00195134"/>
    <w:rsid w:val="001A145B"/>
    <w:rsid w:val="001A3E09"/>
    <w:rsid w:val="001A674C"/>
    <w:rsid w:val="001B3B24"/>
    <w:rsid w:val="001C055B"/>
    <w:rsid w:val="001C0F98"/>
    <w:rsid w:val="001C2A42"/>
    <w:rsid w:val="001C639F"/>
    <w:rsid w:val="001D625C"/>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56D98"/>
    <w:rsid w:val="0025795D"/>
    <w:rsid w:val="00260C03"/>
    <w:rsid w:val="0026540E"/>
    <w:rsid w:val="00267B4B"/>
    <w:rsid w:val="00275123"/>
    <w:rsid w:val="00282240"/>
    <w:rsid w:val="00284F46"/>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2CFE"/>
    <w:rsid w:val="0032463E"/>
    <w:rsid w:val="00326224"/>
    <w:rsid w:val="00337EE4"/>
    <w:rsid w:val="00340FFD"/>
    <w:rsid w:val="00345C41"/>
    <w:rsid w:val="0034788C"/>
    <w:rsid w:val="003506B1"/>
    <w:rsid w:val="00355877"/>
    <w:rsid w:val="00356AC7"/>
    <w:rsid w:val="003609FA"/>
    <w:rsid w:val="003710C8"/>
    <w:rsid w:val="003750BE"/>
    <w:rsid w:val="0038206C"/>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0F70"/>
    <w:rsid w:val="003F244A"/>
    <w:rsid w:val="003F2517"/>
    <w:rsid w:val="003F30B8"/>
    <w:rsid w:val="003F4C45"/>
    <w:rsid w:val="003F5F7B"/>
    <w:rsid w:val="003F7D64"/>
    <w:rsid w:val="0040433A"/>
    <w:rsid w:val="00414300"/>
    <w:rsid w:val="00414F27"/>
    <w:rsid w:val="00420703"/>
    <w:rsid w:val="00425C67"/>
    <w:rsid w:val="004260CB"/>
    <w:rsid w:val="00427E7A"/>
    <w:rsid w:val="004355AC"/>
    <w:rsid w:val="00435E14"/>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0A97"/>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7474C"/>
    <w:rsid w:val="005879A2"/>
    <w:rsid w:val="00592772"/>
    <w:rsid w:val="0059574A"/>
    <w:rsid w:val="005A1B9B"/>
    <w:rsid w:val="005A22B6"/>
    <w:rsid w:val="005A2E79"/>
    <w:rsid w:val="005A6751"/>
    <w:rsid w:val="005B092E"/>
    <w:rsid w:val="005B1494"/>
    <w:rsid w:val="005B152C"/>
    <w:rsid w:val="005B1EE0"/>
    <w:rsid w:val="005B2B24"/>
    <w:rsid w:val="005B4425"/>
    <w:rsid w:val="005B4B94"/>
    <w:rsid w:val="005C3EE8"/>
    <w:rsid w:val="005D2F2A"/>
    <w:rsid w:val="005D34F9"/>
    <w:rsid w:val="005D4190"/>
    <w:rsid w:val="005D67A3"/>
    <w:rsid w:val="005E2988"/>
    <w:rsid w:val="005E3085"/>
    <w:rsid w:val="005F0EB3"/>
    <w:rsid w:val="005F4A63"/>
    <w:rsid w:val="005F51E1"/>
    <w:rsid w:val="00611C80"/>
    <w:rsid w:val="00620692"/>
    <w:rsid w:val="006242CA"/>
    <w:rsid w:val="00627507"/>
    <w:rsid w:val="0063226D"/>
    <w:rsid w:val="00633717"/>
    <w:rsid w:val="006344E1"/>
    <w:rsid w:val="00643524"/>
    <w:rsid w:val="0064393B"/>
    <w:rsid w:val="006536C7"/>
    <w:rsid w:val="006545C4"/>
    <w:rsid w:val="00661971"/>
    <w:rsid w:val="00661CE8"/>
    <w:rsid w:val="006623D9"/>
    <w:rsid w:val="006642A5"/>
    <w:rsid w:val="0066550C"/>
    <w:rsid w:val="00665BD2"/>
    <w:rsid w:val="006716F2"/>
    <w:rsid w:val="00682AEE"/>
    <w:rsid w:val="00682BF2"/>
    <w:rsid w:val="0068573E"/>
    <w:rsid w:val="006859CE"/>
    <w:rsid w:val="006878C5"/>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072DD"/>
    <w:rsid w:val="007128DC"/>
    <w:rsid w:val="00715127"/>
    <w:rsid w:val="00715E8E"/>
    <w:rsid w:val="00723580"/>
    <w:rsid w:val="00723755"/>
    <w:rsid w:val="00724B2E"/>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B63F2"/>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0B94"/>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2CE9"/>
    <w:rsid w:val="00956D0C"/>
    <w:rsid w:val="009630C7"/>
    <w:rsid w:val="00972B55"/>
    <w:rsid w:val="009743B7"/>
    <w:rsid w:val="0098228B"/>
    <w:rsid w:val="009828DA"/>
    <w:rsid w:val="0098410D"/>
    <w:rsid w:val="00985BAB"/>
    <w:rsid w:val="00986B3C"/>
    <w:rsid w:val="009A115C"/>
    <w:rsid w:val="009A13BC"/>
    <w:rsid w:val="009B1606"/>
    <w:rsid w:val="009B1B5F"/>
    <w:rsid w:val="009B6673"/>
    <w:rsid w:val="009C11D4"/>
    <w:rsid w:val="009C191B"/>
    <w:rsid w:val="009C2BD6"/>
    <w:rsid w:val="009C3643"/>
    <w:rsid w:val="009E1F32"/>
    <w:rsid w:val="009E2CC2"/>
    <w:rsid w:val="009E47A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149A"/>
    <w:rsid w:val="00AB4328"/>
    <w:rsid w:val="00AC1AFB"/>
    <w:rsid w:val="00AC4CD4"/>
    <w:rsid w:val="00AE0A2E"/>
    <w:rsid w:val="00AE354C"/>
    <w:rsid w:val="00AF4B07"/>
    <w:rsid w:val="00AF6186"/>
    <w:rsid w:val="00AF7A3A"/>
    <w:rsid w:val="00B02587"/>
    <w:rsid w:val="00B05207"/>
    <w:rsid w:val="00B14D98"/>
    <w:rsid w:val="00B160DB"/>
    <w:rsid w:val="00B20836"/>
    <w:rsid w:val="00B235BB"/>
    <w:rsid w:val="00B27A44"/>
    <w:rsid w:val="00B27C07"/>
    <w:rsid w:val="00B30BBF"/>
    <w:rsid w:val="00B33C03"/>
    <w:rsid w:val="00B4421F"/>
    <w:rsid w:val="00B44E56"/>
    <w:rsid w:val="00B45917"/>
    <w:rsid w:val="00B46543"/>
    <w:rsid w:val="00B47D33"/>
    <w:rsid w:val="00B52BE0"/>
    <w:rsid w:val="00B54133"/>
    <w:rsid w:val="00B55207"/>
    <w:rsid w:val="00B559E0"/>
    <w:rsid w:val="00B55A86"/>
    <w:rsid w:val="00B67A9B"/>
    <w:rsid w:val="00B701ED"/>
    <w:rsid w:val="00B748F7"/>
    <w:rsid w:val="00B8086C"/>
    <w:rsid w:val="00B81C58"/>
    <w:rsid w:val="00B861B4"/>
    <w:rsid w:val="00B86DFE"/>
    <w:rsid w:val="00B90990"/>
    <w:rsid w:val="00B922FF"/>
    <w:rsid w:val="00B9281E"/>
    <w:rsid w:val="00B93925"/>
    <w:rsid w:val="00B95187"/>
    <w:rsid w:val="00BA1B4C"/>
    <w:rsid w:val="00BA2D55"/>
    <w:rsid w:val="00BA71B1"/>
    <w:rsid w:val="00BB0637"/>
    <w:rsid w:val="00BB345F"/>
    <w:rsid w:val="00BB5569"/>
    <w:rsid w:val="00BB68EA"/>
    <w:rsid w:val="00BC0B99"/>
    <w:rsid w:val="00BC1C27"/>
    <w:rsid w:val="00BC6BBF"/>
    <w:rsid w:val="00BD1572"/>
    <w:rsid w:val="00BE14E3"/>
    <w:rsid w:val="00BE1755"/>
    <w:rsid w:val="00BE3774"/>
    <w:rsid w:val="00BE41E5"/>
    <w:rsid w:val="00BF118F"/>
    <w:rsid w:val="00BF4109"/>
    <w:rsid w:val="00BF4CC3"/>
    <w:rsid w:val="00C054C7"/>
    <w:rsid w:val="00C057B5"/>
    <w:rsid w:val="00C07D0E"/>
    <w:rsid w:val="00C07FA6"/>
    <w:rsid w:val="00C115C3"/>
    <w:rsid w:val="00C15547"/>
    <w:rsid w:val="00C1672D"/>
    <w:rsid w:val="00C22687"/>
    <w:rsid w:val="00C26A92"/>
    <w:rsid w:val="00C26B1C"/>
    <w:rsid w:val="00C32E4D"/>
    <w:rsid w:val="00C333A0"/>
    <w:rsid w:val="00C36A81"/>
    <w:rsid w:val="00C41974"/>
    <w:rsid w:val="00C41E10"/>
    <w:rsid w:val="00C44A2C"/>
    <w:rsid w:val="00C44F09"/>
    <w:rsid w:val="00C477F7"/>
    <w:rsid w:val="00C509A6"/>
    <w:rsid w:val="00C53F4A"/>
    <w:rsid w:val="00C54125"/>
    <w:rsid w:val="00C55B54"/>
    <w:rsid w:val="00C6098E"/>
    <w:rsid w:val="00C6152C"/>
    <w:rsid w:val="00C74810"/>
    <w:rsid w:val="00C90D68"/>
    <w:rsid w:val="00C939FE"/>
    <w:rsid w:val="00CA4A62"/>
    <w:rsid w:val="00CA4BDA"/>
    <w:rsid w:val="00CA6440"/>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27A9"/>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1654"/>
    <w:rsid w:val="00DA4A31"/>
    <w:rsid w:val="00DA7B04"/>
    <w:rsid w:val="00DB36C2"/>
    <w:rsid w:val="00DC169B"/>
    <w:rsid w:val="00DC2AB9"/>
    <w:rsid w:val="00DC63F0"/>
    <w:rsid w:val="00DD37EA"/>
    <w:rsid w:val="00DD6EE5"/>
    <w:rsid w:val="00DE386C"/>
    <w:rsid w:val="00DE4D35"/>
    <w:rsid w:val="00DF098B"/>
    <w:rsid w:val="00DF11C4"/>
    <w:rsid w:val="00DF210C"/>
    <w:rsid w:val="00DF4B6A"/>
    <w:rsid w:val="00DF663D"/>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A7860"/>
    <w:rsid w:val="00EB14E4"/>
    <w:rsid w:val="00EB32A5"/>
    <w:rsid w:val="00EB34ED"/>
    <w:rsid w:val="00EB3ADA"/>
    <w:rsid w:val="00EB447C"/>
    <w:rsid w:val="00EB7BE0"/>
    <w:rsid w:val="00EC315E"/>
    <w:rsid w:val="00ED077C"/>
    <w:rsid w:val="00ED10A9"/>
    <w:rsid w:val="00ED1190"/>
    <w:rsid w:val="00ED34AC"/>
    <w:rsid w:val="00ED6544"/>
    <w:rsid w:val="00EE0277"/>
    <w:rsid w:val="00EE2899"/>
    <w:rsid w:val="00EE3E00"/>
    <w:rsid w:val="00EE5DD2"/>
    <w:rsid w:val="00EF0636"/>
    <w:rsid w:val="00EF36C5"/>
    <w:rsid w:val="00EF3DB4"/>
    <w:rsid w:val="00EF7D5B"/>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4747"/>
    <w:rsid w:val="00F266A2"/>
    <w:rsid w:val="00F32269"/>
    <w:rsid w:val="00F35B7A"/>
    <w:rsid w:val="00F562FA"/>
    <w:rsid w:val="00F56A6F"/>
    <w:rsid w:val="00F5709C"/>
    <w:rsid w:val="00F60B85"/>
    <w:rsid w:val="00F6163E"/>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5853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7128DC"/>
    <w:rPr>
      <w:sz w:val="24"/>
      <w:szCs w:val="24"/>
    </w:rPr>
  </w:style>
  <w:style w:type="paragraph" w:styleId="Nagwek1">
    <w:name w:val="heading 1"/>
    <w:basedOn w:val="Normalny"/>
    <w:next w:val="Normalny"/>
    <w:link w:val="Nagwek1Znak"/>
    <w:uiPriority w:val="98"/>
    <w:semiHidden/>
    <w:rsid w:val="007128D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7128D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7128DC"/>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7128DC"/>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7128DC"/>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7128D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7128DC"/>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7128D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7128D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7128DC"/>
    <w:rPr>
      <w:rFonts w:ascii="Tahoma" w:hAnsi="Tahoma" w:cs="Tahoma"/>
      <w:sz w:val="16"/>
      <w:szCs w:val="16"/>
    </w:rPr>
  </w:style>
  <w:style w:type="character" w:customStyle="1" w:styleId="TekstdymkaZnak">
    <w:name w:val="Tekst dymka Znak"/>
    <w:basedOn w:val="Domylnaczcionkaakapitu"/>
    <w:link w:val="Tekstdymka"/>
    <w:uiPriority w:val="98"/>
    <w:semiHidden/>
    <w:rsid w:val="007128DC"/>
    <w:rPr>
      <w:rFonts w:ascii="Tahoma" w:hAnsi="Tahoma" w:cs="Tahoma"/>
      <w:sz w:val="16"/>
      <w:szCs w:val="16"/>
      <w:lang w:val="pl-PL"/>
    </w:rPr>
  </w:style>
  <w:style w:type="character" w:styleId="Tytuksiki">
    <w:name w:val="Book Title"/>
    <w:uiPriority w:val="98"/>
    <w:semiHidden/>
    <w:qFormat/>
    <w:rsid w:val="007128DC"/>
    <w:rPr>
      <w:i/>
      <w:iCs/>
      <w:smallCaps/>
      <w:spacing w:val="5"/>
    </w:rPr>
  </w:style>
  <w:style w:type="paragraph" w:customStyle="1" w:styleId="JuHeader">
    <w:name w:val="Ju_Header"/>
    <w:aliases w:val="_Header"/>
    <w:basedOn w:val="Nagwek"/>
    <w:uiPriority w:val="29"/>
    <w:qFormat/>
    <w:rsid w:val="007128DC"/>
    <w:pPr>
      <w:tabs>
        <w:tab w:val="clear" w:pos="4536"/>
        <w:tab w:val="clear" w:pos="9072"/>
      </w:tabs>
      <w:jc w:val="center"/>
    </w:pPr>
    <w:rPr>
      <w:sz w:val="18"/>
    </w:rPr>
  </w:style>
  <w:style w:type="paragraph" w:customStyle="1" w:styleId="NormalJustified">
    <w:name w:val="Normal_Justified"/>
    <w:basedOn w:val="Normalny"/>
    <w:semiHidden/>
    <w:rsid w:val="007128DC"/>
    <w:pPr>
      <w:jc w:val="both"/>
    </w:pPr>
  </w:style>
  <w:style w:type="character" w:styleId="Pogrubienie">
    <w:name w:val="Strong"/>
    <w:uiPriority w:val="98"/>
    <w:semiHidden/>
    <w:qFormat/>
    <w:rsid w:val="007128DC"/>
    <w:rPr>
      <w:b/>
      <w:bCs/>
    </w:rPr>
  </w:style>
  <w:style w:type="paragraph" w:styleId="Bezodstpw">
    <w:name w:val="No Spacing"/>
    <w:basedOn w:val="Normalny"/>
    <w:link w:val="BezodstpwZnak"/>
    <w:uiPriority w:val="98"/>
    <w:semiHidden/>
    <w:qFormat/>
    <w:rsid w:val="007128DC"/>
  </w:style>
  <w:style w:type="character" w:customStyle="1" w:styleId="BezodstpwZnak">
    <w:name w:val="Bez odstępów Znak"/>
    <w:basedOn w:val="Domylnaczcionkaakapitu"/>
    <w:link w:val="Bezodstpw"/>
    <w:uiPriority w:val="98"/>
    <w:semiHidden/>
    <w:rsid w:val="007128DC"/>
    <w:rPr>
      <w:sz w:val="24"/>
      <w:szCs w:val="24"/>
      <w:lang w:val="pl-PL"/>
    </w:rPr>
  </w:style>
  <w:style w:type="paragraph" w:customStyle="1" w:styleId="JuQuot">
    <w:name w:val="Ju_Quot"/>
    <w:aliases w:val="_Quote"/>
    <w:basedOn w:val="NormalJustified"/>
    <w:uiPriority w:val="20"/>
    <w:qFormat/>
    <w:rsid w:val="007128DC"/>
    <w:pPr>
      <w:spacing w:before="120" w:after="120"/>
      <w:ind w:left="425" w:firstLine="142"/>
    </w:pPr>
    <w:rPr>
      <w:sz w:val="20"/>
    </w:rPr>
  </w:style>
  <w:style w:type="paragraph" w:customStyle="1" w:styleId="DummyStyle">
    <w:name w:val="Dummy_Style"/>
    <w:aliases w:val="_Dummy"/>
    <w:basedOn w:val="Normalny"/>
    <w:semiHidden/>
    <w:qFormat/>
    <w:rsid w:val="007128DC"/>
    <w:rPr>
      <w:color w:val="00B050"/>
      <w:sz w:val="22"/>
    </w:rPr>
  </w:style>
  <w:style w:type="paragraph" w:customStyle="1" w:styleId="JuList">
    <w:name w:val="Ju_List"/>
    <w:aliases w:val="_List_1"/>
    <w:basedOn w:val="NormalJustified"/>
    <w:uiPriority w:val="23"/>
    <w:qFormat/>
    <w:rsid w:val="007128DC"/>
    <w:pPr>
      <w:numPr>
        <w:numId w:val="8"/>
      </w:numPr>
      <w:spacing w:before="280" w:after="60"/>
    </w:pPr>
  </w:style>
  <w:style w:type="paragraph" w:customStyle="1" w:styleId="JuLista">
    <w:name w:val="Ju_List_a"/>
    <w:aliases w:val="_List_2"/>
    <w:basedOn w:val="NormalJustified"/>
    <w:uiPriority w:val="23"/>
    <w:rsid w:val="007128DC"/>
    <w:pPr>
      <w:numPr>
        <w:ilvl w:val="1"/>
        <w:numId w:val="8"/>
      </w:numPr>
    </w:pPr>
  </w:style>
  <w:style w:type="paragraph" w:customStyle="1" w:styleId="JuListi">
    <w:name w:val="Ju_List_i"/>
    <w:aliases w:val="_List_3"/>
    <w:basedOn w:val="NormalJustified"/>
    <w:uiPriority w:val="23"/>
    <w:rsid w:val="007128DC"/>
    <w:pPr>
      <w:numPr>
        <w:ilvl w:val="2"/>
        <w:numId w:val="8"/>
      </w:numPr>
    </w:pPr>
  </w:style>
  <w:style w:type="paragraph" w:customStyle="1" w:styleId="JuHArticle">
    <w:name w:val="Ju_H_Article"/>
    <w:aliases w:val="_Title_Quote"/>
    <w:basedOn w:val="Normalny"/>
    <w:next w:val="JuQuot"/>
    <w:uiPriority w:val="19"/>
    <w:qFormat/>
    <w:rsid w:val="007128DC"/>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7128DC"/>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7128DC"/>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7128DC"/>
    <w:pPr>
      <w:keepNext/>
      <w:keepLines/>
      <w:numPr>
        <w:numId w:val="3"/>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7128DC"/>
    <w:pPr>
      <w:numPr>
        <w:numId w:val="7"/>
      </w:numPr>
    </w:pPr>
  </w:style>
  <w:style w:type="paragraph" w:customStyle="1" w:styleId="JuSigned">
    <w:name w:val="Ju_Signed"/>
    <w:aliases w:val="_Signature"/>
    <w:basedOn w:val="Normalny"/>
    <w:next w:val="JuPara"/>
    <w:uiPriority w:val="31"/>
    <w:qFormat/>
    <w:rsid w:val="007128DC"/>
    <w:pPr>
      <w:tabs>
        <w:tab w:val="center" w:pos="851"/>
        <w:tab w:val="center" w:pos="6407"/>
      </w:tabs>
      <w:spacing w:before="720"/>
    </w:pPr>
  </w:style>
  <w:style w:type="paragraph" w:styleId="Tytu">
    <w:name w:val="Title"/>
    <w:basedOn w:val="Normalny"/>
    <w:next w:val="Normalny"/>
    <w:link w:val="TytuZnak"/>
    <w:uiPriority w:val="98"/>
    <w:semiHidden/>
    <w:qFormat/>
    <w:rsid w:val="007128D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7128DC"/>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7128DC"/>
    <w:pPr>
      <w:numPr>
        <w:numId w:val="8"/>
      </w:numPr>
    </w:pPr>
  </w:style>
  <w:style w:type="numbering" w:customStyle="1" w:styleId="ECHRA1StyleNumberedList">
    <w:name w:val="ECHR_A1_Style_Numbered_List"/>
    <w:basedOn w:val="Bezlisty"/>
    <w:rsid w:val="007128DC"/>
    <w:pPr>
      <w:numPr>
        <w:numId w:val="9"/>
      </w:numPr>
    </w:pPr>
  </w:style>
  <w:style w:type="table" w:customStyle="1" w:styleId="ECHRTable2019">
    <w:name w:val="ECHR_Table_2019"/>
    <w:basedOn w:val="Standardowy"/>
    <w:uiPriority w:val="99"/>
    <w:rsid w:val="007128D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7128D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7128DC"/>
    <w:pPr>
      <w:keepNext/>
      <w:keepLines/>
      <w:numPr>
        <w:ilvl w:val="1"/>
        <w:numId w:val="3"/>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7128DC"/>
    <w:pPr>
      <w:keepNext/>
      <w:keepLines/>
      <w:numPr>
        <w:ilvl w:val="2"/>
        <w:numId w:val="3"/>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7128DC"/>
    <w:pPr>
      <w:keepNext/>
      <w:keepLines/>
      <w:numPr>
        <w:ilvl w:val="3"/>
        <w:numId w:val="3"/>
      </w:numPr>
      <w:spacing w:before="100" w:beforeAutospacing="1" w:after="120"/>
      <w:jc w:val="both"/>
    </w:pPr>
    <w:rPr>
      <w:b w:val="0"/>
      <w:color w:val="auto"/>
      <w:sz w:val="24"/>
    </w:rPr>
  </w:style>
  <w:style w:type="paragraph" w:styleId="Nagwek">
    <w:name w:val="header"/>
    <w:basedOn w:val="Normalny"/>
    <w:link w:val="NagwekZnak"/>
    <w:uiPriority w:val="98"/>
    <w:semiHidden/>
    <w:rsid w:val="007128DC"/>
    <w:pPr>
      <w:tabs>
        <w:tab w:val="center" w:pos="4536"/>
        <w:tab w:val="right" w:pos="9072"/>
      </w:tabs>
    </w:pPr>
  </w:style>
  <w:style w:type="character" w:customStyle="1" w:styleId="NagwekZnak">
    <w:name w:val="Nagłówek Znak"/>
    <w:basedOn w:val="Domylnaczcionkaakapitu"/>
    <w:link w:val="Nagwek"/>
    <w:uiPriority w:val="98"/>
    <w:semiHidden/>
    <w:rsid w:val="007128DC"/>
    <w:rPr>
      <w:sz w:val="24"/>
      <w:szCs w:val="24"/>
      <w:lang w:val="pl-PL"/>
    </w:rPr>
  </w:style>
  <w:style w:type="character" w:customStyle="1" w:styleId="Nagwek1Znak">
    <w:name w:val="Nagłówek 1 Znak"/>
    <w:basedOn w:val="Domylnaczcionkaakapitu"/>
    <w:link w:val="Nagwek1"/>
    <w:uiPriority w:val="98"/>
    <w:semiHidden/>
    <w:rsid w:val="007128DC"/>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7128DC"/>
    <w:pPr>
      <w:keepNext/>
      <w:keepLines/>
      <w:numPr>
        <w:ilvl w:val="4"/>
        <w:numId w:val="3"/>
      </w:numPr>
      <w:spacing w:before="100" w:beforeAutospacing="1" w:after="120"/>
      <w:jc w:val="both"/>
    </w:pPr>
    <w:rPr>
      <w:color w:val="auto"/>
      <w:sz w:val="20"/>
    </w:rPr>
  </w:style>
  <w:style w:type="paragraph" w:customStyle="1" w:styleId="JuHi">
    <w:name w:val="Ju_H_i"/>
    <w:aliases w:val="_Head_6"/>
    <w:basedOn w:val="Nagwek6"/>
    <w:next w:val="JuPara"/>
    <w:uiPriority w:val="17"/>
    <w:rsid w:val="007128DC"/>
    <w:pPr>
      <w:keepNext/>
      <w:keepLines/>
      <w:numPr>
        <w:ilvl w:val="5"/>
        <w:numId w:val="3"/>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7128DC"/>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7128DC"/>
    <w:pPr>
      <w:keepNext/>
      <w:keepLines/>
      <w:numPr>
        <w:ilvl w:val="6"/>
        <w:numId w:val="3"/>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7128DC"/>
    <w:pPr>
      <w:keepNext/>
      <w:keepLines/>
      <w:numPr>
        <w:ilvl w:val="7"/>
        <w:numId w:val="3"/>
      </w:numPr>
      <w:spacing w:before="100" w:beforeAutospacing="1" w:after="120"/>
      <w:jc w:val="both"/>
    </w:pPr>
    <w:rPr>
      <w:i/>
    </w:rPr>
  </w:style>
  <w:style w:type="character" w:customStyle="1" w:styleId="Nagwek3Znak">
    <w:name w:val="Nagłówek 3 Znak"/>
    <w:basedOn w:val="Domylnaczcionkaakapitu"/>
    <w:link w:val="Nagwek3"/>
    <w:uiPriority w:val="98"/>
    <w:semiHidden/>
    <w:rsid w:val="007128DC"/>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7128DC"/>
    <w:pPr>
      <w:keepNext/>
      <w:keepLines/>
      <w:spacing w:before="240" w:after="240"/>
      <w:ind w:firstLine="284"/>
    </w:pPr>
  </w:style>
  <w:style w:type="paragraph" w:customStyle="1" w:styleId="JuJudges">
    <w:name w:val="Ju_Judges"/>
    <w:aliases w:val="_Judges"/>
    <w:basedOn w:val="Normalny"/>
    <w:uiPriority w:val="32"/>
    <w:qFormat/>
    <w:rsid w:val="007128DC"/>
    <w:pPr>
      <w:tabs>
        <w:tab w:val="left" w:pos="567"/>
        <w:tab w:val="left" w:pos="1134"/>
      </w:tabs>
    </w:pPr>
  </w:style>
  <w:style w:type="character" w:customStyle="1" w:styleId="Nagwek4Znak">
    <w:name w:val="Nagłówek 4 Znak"/>
    <w:basedOn w:val="Domylnaczcionkaakapitu"/>
    <w:link w:val="Nagwek4"/>
    <w:uiPriority w:val="98"/>
    <w:semiHidden/>
    <w:rsid w:val="007128DC"/>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7128DC"/>
    <w:pPr>
      <w:tabs>
        <w:tab w:val="center" w:pos="6407"/>
      </w:tabs>
      <w:spacing w:before="720"/>
      <w:jc w:val="right"/>
    </w:pPr>
  </w:style>
  <w:style w:type="character" w:customStyle="1" w:styleId="Nagwek5Znak">
    <w:name w:val="Nagłówek 5 Znak"/>
    <w:basedOn w:val="Domylnaczcionkaakapitu"/>
    <w:link w:val="Nagwek5"/>
    <w:uiPriority w:val="98"/>
    <w:semiHidden/>
    <w:rsid w:val="007128DC"/>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7128DC"/>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7128DC"/>
    <w:rPr>
      <w:caps w:val="0"/>
      <w:smallCaps/>
    </w:rPr>
  </w:style>
  <w:style w:type="character" w:styleId="Wyrnieniedelikatne">
    <w:name w:val="Subtle Emphasis"/>
    <w:uiPriority w:val="98"/>
    <w:semiHidden/>
    <w:qFormat/>
    <w:rsid w:val="007128DC"/>
    <w:rPr>
      <w:i/>
      <w:iCs/>
    </w:rPr>
  </w:style>
  <w:style w:type="table" w:customStyle="1" w:styleId="ECHRTable">
    <w:name w:val="ECHR_Table"/>
    <w:basedOn w:val="Standardowy"/>
    <w:rsid w:val="007128DC"/>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7128D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7128DC"/>
    <w:rPr>
      <w:b/>
      <w:bCs/>
      <w:i/>
      <w:iCs/>
      <w:spacing w:val="10"/>
      <w:bdr w:val="none" w:sz="0" w:space="0" w:color="auto"/>
      <w:shd w:val="clear" w:color="auto" w:fill="auto"/>
    </w:rPr>
  </w:style>
  <w:style w:type="paragraph" w:styleId="Stopka">
    <w:name w:val="footer"/>
    <w:basedOn w:val="Normalny"/>
    <w:link w:val="StopkaZnak"/>
    <w:uiPriority w:val="98"/>
    <w:semiHidden/>
    <w:rsid w:val="007128DC"/>
    <w:pPr>
      <w:tabs>
        <w:tab w:val="center" w:pos="3686"/>
        <w:tab w:val="right" w:pos="7371"/>
      </w:tabs>
    </w:pPr>
  </w:style>
  <w:style w:type="character" w:customStyle="1" w:styleId="StopkaZnak">
    <w:name w:val="Stopka Znak"/>
    <w:basedOn w:val="Domylnaczcionkaakapitu"/>
    <w:link w:val="Stopka"/>
    <w:uiPriority w:val="98"/>
    <w:semiHidden/>
    <w:rsid w:val="007128DC"/>
    <w:rPr>
      <w:sz w:val="24"/>
      <w:szCs w:val="24"/>
      <w:lang w:val="pl-PL"/>
    </w:rPr>
  </w:style>
  <w:style w:type="character" w:styleId="Odwoanieprzypisudolnego">
    <w:name w:val="footnote reference"/>
    <w:basedOn w:val="Domylnaczcionkaakapitu"/>
    <w:uiPriority w:val="98"/>
    <w:semiHidden/>
    <w:rsid w:val="007128DC"/>
    <w:rPr>
      <w:vertAlign w:val="superscript"/>
    </w:rPr>
  </w:style>
  <w:style w:type="paragraph" w:styleId="Tekstprzypisudolnego">
    <w:name w:val="footnote text"/>
    <w:basedOn w:val="Normalny"/>
    <w:link w:val="TekstprzypisudolnegoZnak"/>
    <w:uiPriority w:val="98"/>
    <w:semiHidden/>
    <w:rsid w:val="007128DC"/>
    <w:rPr>
      <w:sz w:val="20"/>
      <w:szCs w:val="20"/>
    </w:rPr>
  </w:style>
  <w:style w:type="character" w:customStyle="1" w:styleId="TekstprzypisudolnegoZnak">
    <w:name w:val="Tekst przypisu dolnego Znak"/>
    <w:basedOn w:val="Domylnaczcionkaakapitu"/>
    <w:link w:val="Tekstprzypisudolnego"/>
    <w:uiPriority w:val="98"/>
    <w:semiHidden/>
    <w:rsid w:val="007128DC"/>
    <w:rPr>
      <w:sz w:val="20"/>
      <w:szCs w:val="20"/>
      <w:lang w:val="pl-PL"/>
    </w:rPr>
  </w:style>
  <w:style w:type="character" w:customStyle="1" w:styleId="Nagwek6Znak">
    <w:name w:val="Nagłówek 6 Znak"/>
    <w:basedOn w:val="Domylnaczcionkaakapitu"/>
    <w:link w:val="Nagwek6"/>
    <w:uiPriority w:val="98"/>
    <w:semiHidden/>
    <w:rsid w:val="007128DC"/>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7128DC"/>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7128DC"/>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7128DC"/>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7128DC"/>
    <w:rPr>
      <w:color w:val="0072BC" w:themeColor="hyperlink"/>
      <w:u w:val="single"/>
    </w:rPr>
  </w:style>
  <w:style w:type="character" w:styleId="Wyrnienieintensywne">
    <w:name w:val="Intense Emphasis"/>
    <w:uiPriority w:val="98"/>
    <w:semiHidden/>
    <w:qFormat/>
    <w:rsid w:val="007128DC"/>
    <w:rPr>
      <w:b/>
      <w:bCs/>
    </w:rPr>
  </w:style>
  <w:style w:type="paragraph" w:styleId="Cytatintensywny">
    <w:name w:val="Intense Quote"/>
    <w:basedOn w:val="Normalny"/>
    <w:next w:val="Normalny"/>
    <w:link w:val="CytatintensywnyZnak"/>
    <w:uiPriority w:val="98"/>
    <w:semiHidden/>
    <w:qFormat/>
    <w:rsid w:val="007128DC"/>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7128DC"/>
    <w:rPr>
      <w:b/>
      <w:bCs/>
      <w:i/>
      <w:iCs/>
      <w:sz w:val="24"/>
      <w:szCs w:val="24"/>
      <w:lang w:val="pl-PL" w:bidi="en-US"/>
    </w:rPr>
  </w:style>
  <w:style w:type="character" w:styleId="Odwoanieintensywne">
    <w:name w:val="Intense Reference"/>
    <w:uiPriority w:val="98"/>
    <w:semiHidden/>
    <w:qFormat/>
    <w:rsid w:val="007128DC"/>
    <w:rPr>
      <w:smallCaps/>
      <w:spacing w:val="5"/>
      <w:u w:val="single"/>
    </w:rPr>
  </w:style>
  <w:style w:type="paragraph" w:styleId="Akapitzlist">
    <w:name w:val="List Paragraph"/>
    <w:basedOn w:val="Normalny"/>
    <w:uiPriority w:val="98"/>
    <w:semiHidden/>
    <w:qFormat/>
    <w:rsid w:val="007128DC"/>
    <w:pPr>
      <w:ind w:left="720"/>
      <w:contextualSpacing/>
    </w:pPr>
  </w:style>
  <w:style w:type="table" w:customStyle="1" w:styleId="LtrTableAddress">
    <w:name w:val="Ltr_Table_Address"/>
    <w:aliases w:val="ECHR_Ltr_Table_Address"/>
    <w:basedOn w:val="Standardowy"/>
    <w:uiPriority w:val="99"/>
    <w:rsid w:val="007128DC"/>
    <w:rPr>
      <w:sz w:val="24"/>
      <w:szCs w:val="24"/>
    </w:rPr>
    <w:tblPr>
      <w:tblInd w:w="5103" w:type="dxa"/>
    </w:tblPr>
  </w:style>
  <w:style w:type="paragraph" w:styleId="Cytat">
    <w:name w:val="Quote"/>
    <w:basedOn w:val="Normalny"/>
    <w:next w:val="Normalny"/>
    <w:link w:val="CytatZnak"/>
    <w:uiPriority w:val="98"/>
    <w:semiHidden/>
    <w:qFormat/>
    <w:rsid w:val="007128DC"/>
    <w:pPr>
      <w:spacing w:before="200"/>
      <w:ind w:left="360" w:right="360"/>
    </w:pPr>
    <w:rPr>
      <w:i/>
      <w:iCs/>
      <w:lang w:bidi="en-US"/>
    </w:rPr>
  </w:style>
  <w:style w:type="character" w:customStyle="1" w:styleId="CytatZnak">
    <w:name w:val="Cytat Znak"/>
    <w:basedOn w:val="Domylnaczcionkaakapitu"/>
    <w:link w:val="Cytat"/>
    <w:uiPriority w:val="98"/>
    <w:semiHidden/>
    <w:rsid w:val="007128DC"/>
    <w:rPr>
      <w:i/>
      <w:iCs/>
      <w:sz w:val="24"/>
      <w:szCs w:val="24"/>
      <w:lang w:val="pl-PL" w:bidi="en-US"/>
    </w:rPr>
  </w:style>
  <w:style w:type="character" w:styleId="Odwoaniedelikatne">
    <w:name w:val="Subtle Reference"/>
    <w:uiPriority w:val="98"/>
    <w:semiHidden/>
    <w:qFormat/>
    <w:rsid w:val="007128DC"/>
    <w:rPr>
      <w:smallCaps/>
    </w:rPr>
  </w:style>
  <w:style w:type="table" w:styleId="Tabela-Siatka">
    <w:name w:val="Table Grid"/>
    <w:basedOn w:val="Standardowy"/>
    <w:uiPriority w:val="59"/>
    <w:semiHidden/>
    <w:rsid w:val="007128D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7128DC"/>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7128DC"/>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7128DC"/>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7128DC"/>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7128DC"/>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7128DC"/>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7128DC"/>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7128DC"/>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7128D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7128D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7128D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7128D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7128D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7128DC"/>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7128DC"/>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7128DC"/>
    <w:pPr>
      <w:numPr>
        <w:numId w:val="4"/>
      </w:numPr>
    </w:pPr>
  </w:style>
  <w:style w:type="paragraph" w:customStyle="1" w:styleId="JuPara">
    <w:name w:val="Ju_Para"/>
    <w:aliases w:val="_Para"/>
    <w:basedOn w:val="NormalJustified"/>
    <w:link w:val="JuParaChar"/>
    <w:uiPriority w:val="4"/>
    <w:qFormat/>
    <w:rsid w:val="007128DC"/>
    <w:pPr>
      <w:ind w:firstLine="284"/>
    </w:pPr>
  </w:style>
  <w:style w:type="numbering" w:styleId="1ai">
    <w:name w:val="Outline List 1"/>
    <w:basedOn w:val="Bezlisty"/>
    <w:uiPriority w:val="99"/>
    <w:semiHidden/>
    <w:unhideWhenUsed/>
    <w:rsid w:val="007128DC"/>
    <w:pPr>
      <w:numPr>
        <w:numId w:val="5"/>
      </w:numPr>
    </w:pPr>
  </w:style>
  <w:style w:type="table" w:customStyle="1" w:styleId="ECHRTableSimpleBox">
    <w:name w:val="ECHR_Table_Simple_Box"/>
    <w:basedOn w:val="Standardowy"/>
    <w:uiPriority w:val="99"/>
    <w:rsid w:val="007128D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7128D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7128DC"/>
    <w:pPr>
      <w:numPr>
        <w:numId w:val="6"/>
      </w:numPr>
    </w:pPr>
  </w:style>
  <w:style w:type="table" w:customStyle="1" w:styleId="ECHRTableForInternalUse">
    <w:name w:val="ECHR_Table_For_Internal_Use"/>
    <w:basedOn w:val="Standardowy"/>
    <w:uiPriority w:val="99"/>
    <w:rsid w:val="007128D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128D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7128DC"/>
  </w:style>
  <w:style w:type="paragraph" w:styleId="Tekstblokowy">
    <w:name w:val="Block Text"/>
    <w:basedOn w:val="Normalny"/>
    <w:uiPriority w:val="98"/>
    <w:semiHidden/>
    <w:rsid w:val="007128D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7128D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7128DC"/>
    <w:pPr>
      <w:spacing w:after="120"/>
    </w:pPr>
  </w:style>
  <w:style w:type="character" w:customStyle="1" w:styleId="TekstpodstawowyZnak">
    <w:name w:val="Tekst podstawowy Znak"/>
    <w:basedOn w:val="Domylnaczcionkaakapitu"/>
    <w:link w:val="Tekstpodstawowy"/>
    <w:uiPriority w:val="98"/>
    <w:semiHidden/>
    <w:rsid w:val="007128DC"/>
    <w:rPr>
      <w:sz w:val="24"/>
      <w:szCs w:val="24"/>
      <w:lang w:val="pl-PL"/>
    </w:rPr>
  </w:style>
  <w:style w:type="table" w:customStyle="1" w:styleId="ECHRTableOddBanded">
    <w:name w:val="ECHR_Table_Odd_Banded"/>
    <w:basedOn w:val="Standardowy"/>
    <w:uiPriority w:val="99"/>
    <w:rsid w:val="007128D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7128DC"/>
    <w:pPr>
      <w:spacing w:after="120" w:line="480" w:lineRule="auto"/>
    </w:pPr>
  </w:style>
  <w:style w:type="table" w:customStyle="1" w:styleId="ECHRHeaderTableReduced">
    <w:name w:val="ECHR_Header_Table_Reduced"/>
    <w:basedOn w:val="Standardowy"/>
    <w:uiPriority w:val="99"/>
    <w:rsid w:val="007128D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7128DC"/>
    <w:pPr>
      <w:ind w:firstLine="284"/>
    </w:pPr>
    <w:rPr>
      <w:b/>
    </w:rPr>
  </w:style>
  <w:style w:type="character" w:styleId="Numerstrony">
    <w:name w:val="page number"/>
    <w:uiPriority w:val="98"/>
    <w:semiHidden/>
    <w:rsid w:val="007128DC"/>
    <w:rPr>
      <w:sz w:val="18"/>
    </w:rPr>
  </w:style>
  <w:style w:type="paragraph" w:styleId="Listapunktowana">
    <w:name w:val="List Bullet"/>
    <w:basedOn w:val="Normalny"/>
    <w:uiPriority w:val="98"/>
    <w:semiHidden/>
    <w:rsid w:val="007128DC"/>
    <w:pPr>
      <w:numPr>
        <w:numId w:val="10"/>
      </w:numPr>
    </w:pPr>
  </w:style>
  <w:style w:type="paragraph" w:styleId="Listapunktowana3">
    <w:name w:val="List Bullet 3"/>
    <w:basedOn w:val="Normalny"/>
    <w:uiPriority w:val="98"/>
    <w:semiHidden/>
    <w:rsid w:val="007128DC"/>
    <w:pPr>
      <w:numPr>
        <w:numId w:val="12"/>
      </w:numPr>
      <w:contextualSpacing/>
    </w:pPr>
  </w:style>
  <w:style w:type="character" w:customStyle="1" w:styleId="Tekstpodstawowy2Znak">
    <w:name w:val="Tekst podstawowy 2 Znak"/>
    <w:basedOn w:val="Domylnaczcionkaakapitu"/>
    <w:link w:val="Tekstpodstawowy2"/>
    <w:uiPriority w:val="98"/>
    <w:semiHidden/>
    <w:rsid w:val="007128DC"/>
    <w:rPr>
      <w:sz w:val="24"/>
      <w:szCs w:val="24"/>
      <w:lang w:val="pl-PL"/>
    </w:rPr>
  </w:style>
  <w:style w:type="paragraph" w:styleId="Tekstpodstawowy3">
    <w:name w:val="Body Text 3"/>
    <w:basedOn w:val="Normalny"/>
    <w:link w:val="Tekstpodstawowy3Znak"/>
    <w:uiPriority w:val="98"/>
    <w:semiHidden/>
    <w:rsid w:val="007128DC"/>
    <w:pPr>
      <w:spacing w:after="120"/>
    </w:pPr>
    <w:rPr>
      <w:sz w:val="16"/>
      <w:szCs w:val="16"/>
    </w:rPr>
  </w:style>
  <w:style w:type="character" w:customStyle="1" w:styleId="Tekstpodstawowy3Znak">
    <w:name w:val="Tekst podstawowy 3 Znak"/>
    <w:basedOn w:val="Domylnaczcionkaakapitu"/>
    <w:link w:val="Tekstpodstawowy3"/>
    <w:uiPriority w:val="98"/>
    <w:semiHidden/>
    <w:rsid w:val="007128DC"/>
    <w:rPr>
      <w:sz w:val="16"/>
      <w:szCs w:val="16"/>
      <w:lang w:val="pl-PL"/>
    </w:rPr>
  </w:style>
  <w:style w:type="paragraph" w:styleId="Tekstpodstawowyzwciciem">
    <w:name w:val="Body Text First Indent"/>
    <w:basedOn w:val="Tekstpodstawowy"/>
    <w:link w:val="TekstpodstawowyzwciciemZnak"/>
    <w:uiPriority w:val="98"/>
    <w:semiHidden/>
    <w:rsid w:val="007128DC"/>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7128DC"/>
    <w:rPr>
      <w:sz w:val="24"/>
      <w:szCs w:val="24"/>
      <w:lang w:val="pl-PL"/>
    </w:rPr>
  </w:style>
  <w:style w:type="paragraph" w:styleId="Tekstpodstawowywcity">
    <w:name w:val="Body Text Indent"/>
    <w:basedOn w:val="Normalny"/>
    <w:link w:val="TekstpodstawowywcityZnak"/>
    <w:uiPriority w:val="98"/>
    <w:semiHidden/>
    <w:rsid w:val="007128DC"/>
    <w:pPr>
      <w:spacing w:after="120"/>
      <w:ind w:left="283"/>
    </w:pPr>
  </w:style>
  <w:style w:type="character" w:customStyle="1" w:styleId="TekstpodstawowywcityZnak">
    <w:name w:val="Tekst podstawowy wcięty Znak"/>
    <w:basedOn w:val="Domylnaczcionkaakapitu"/>
    <w:link w:val="Tekstpodstawowywcity"/>
    <w:uiPriority w:val="98"/>
    <w:semiHidden/>
    <w:rsid w:val="007128DC"/>
    <w:rPr>
      <w:sz w:val="24"/>
      <w:szCs w:val="24"/>
      <w:lang w:val="pl-PL"/>
    </w:rPr>
  </w:style>
  <w:style w:type="paragraph" w:styleId="Tekstpodstawowyzwciciem2">
    <w:name w:val="Body Text First Indent 2"/>
    <w:basedOn w:val="Tekstpodstawowywcity"/>
    <w:link w:val="Tekstpodstawowyzwciciem2Znak"/>
    <w:uiPriority w:val="98"/>
    <w:semiHidden/>
    <w:rsid w:val="007128DC"/>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7128DC"/>
    <w:rPr>
      <w:sz w:val="24"/>
      <w:szCs w:val="24"/>
      <w:lang w:val="pl-PL"/>
    </w:rPr>
  </w:style>
  <w:style w:type="paragraph" w:styleId="Tekstpodstawowywcity2">
    <w:name w:val="Body Text Indent 2"/>
    <w:basedOn w:val="Normalny"/>
    <w:link w:val="Tekstpodstawowywcity2Znak"/>
    <w:uiPriority w:val="98"/>
    <w:semiHidden/>
    <w:rsid w:val="007128DC"/>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7128DC"/>
    <w:rPr>
      <w:sz w:val="24"/>
      <w:szCs w:val="24"/>
      <w:lang w:val="pl-PL"/>
    </w:rPr>
  </w:style>
  <w:style w:type="paragraph" w:styleId="Tekstpodstawowywcity3">
    <w:name w:val="Body Text Indent 3"/>
    <w:basedOn w:val="Normalny"/>
    <w:link w:val="Tekstpodstawowywcity3Znak"/>
    <w:uiPriority w:val="98"/>
    <w:semiHidden/>
    <w:rsid w:val="007128D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7128DC"/>
    <w:rPr>
      <w:sz w:val="16"/>
      <w:szCs w:val="16"/>
      <w:lang w:val="pl-PL"/>
    </w:rPr>
  </w:style>
  <w:style w:type="paragraph" w:styleId="Legenda">
    <w:name w:val="caption"/>
    <w:basedOn w:val="Normalny"/>
    <w:next w:val="Normalny"/>
    <w:uiPriority w:val="98"/>
    <w:semiHidden/>
    <w:qFormat/>
    <w:rsid w:val="007128DC"/>
    <w:pPr>
      <w:spacing w:after="200"/>
    </w:pPr>
    <w:rPr>
      <w:b/>
      <w:bCs/>
      <w:color w:val="0072BC" w:themeColor="accent1"/>
      <w:sz w:val="18"/>
      <w:szCs w:val="18"/>
    </w:rPr>
  </w:style>
  <w:style w:type="paragraph" w:styleId="Zwrotpoegnalny">
    <w:name w:val="Closing"/>
    <w:basedOn w:val="Normalny"/>
    <w:link w:val="ZwrotpoegnalnyZnak"/>
    <w:uiPriority w:val="98"/>
    <w:semiHidden/>
    <w:rsid w:val="007128DC"/>
    <w:pPr>
      <w:ind w:left="4252"/>
    </w:pPr>
  </w:style>
  <w:style w:type="character" w:customStyle="1" w:styleId="ZwrotpoegnalnyZnak">
    <w:name w:val="Zwrot pożegnalny Znak"/>
    <w:basedOn w:val="Domylnaczcionkaakapitu"/>
    <w:link w:val="Zwrotpoegnalny"/>
    <w:uiPriority w:val="98"/>
    <w:semiHidden/>
    <w:rsid w:val="007128DC"/>
    <w:rPr>
      <w:sz w:val="24"/>
      <w:szCs w:val="24"/>
      <w:lang w:val="pl-PL"/>
    </w:rPr>
  </w:style>
  <w:style w:type="table" w:styleId="Kolorowasiatka">
    <w:name w:val="Colorful Grid"/>
    <w:basedOn w:val="Standardowy"/>
    <w:uiPriority w:val="73"/>
    <w:semiHidden/>
    <w:rsid w:val="007128D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7128D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7128D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7128D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7128D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7128D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7128D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7128D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7128D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7128D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7128D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7128D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7128D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7128D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7128D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7128D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7128D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7128D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7128D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7128D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7128D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7128DC"/>
    <w:rPr>
      <w:sz w:val="16"/>
      <w:szCs w:val="16"/>
    </w:rPr>
  </w:style>
  <w:style w:type="paragraph" w:styleId="Tekstkomentarza">
    <w:name w:val="annotation text"/>
    <w:basedOn w:val="Normalny"/>
    <w:link w:val="TekstkomentarzaZnak"/>
    <w:uiPriority w:val="98"/>
    <w:semiHidden/>
    <w:rsid w:val="007128DC"/>
    <w:rPr>
      <w:sz w:val="20"/>
      <w:szCs w:val="20"/>
    </w:rPr>
  </w:style>
  <w:style w:type="character" w:customStyle="1" w:styleId="TekstkomentarzaZnak">
    <w:name w:val="Tekst komentarza Znak"/>
    <w:basedOn w:val="Domylnaczcionkaakapitu"/>
    <w:link w:val="Tekstkomentarza"/>
    <w:uiPriority w:val="98"/>
    <w:semiHidden/>
    <w:rsid w:val="007128DC"/>
    <w:rPr>
      <w:sz w:val="20"/>
      <w:szCs w:val="20"/>
      <w:lang w:val="pl-PL"/>
    </w:rPr>
  </w:style>
  <w:style w:type="paragraph" w:styleId="Tematkomentarza">
    <w:name w:val="annotation subject"/>
    <w:basedOn w:val="Tekstkomentarza"/>
    <w:next w:val="Tekstkomentarza"/>
    <w:link w:val="TematkomentarzaZnak"/>
    <w:uiPriority w:val="98"/>
    <w:semiHidden/>
    <w:rsid w:val="007128DC"/>
    <w:rPr>
      <w:b/>
      <w:bCs/>
    </w:rPr>
  </w:style>
  <w:style w:type="character" w:customStyle="1" w:styleId="TematkomentarzaZnak">
    <w:name w:val="Temat komentarza Znak"/>
    <w:basedOn w:val="TekstkomentarzaZnak"/>
    <w:link w:val="Tematkomentarza"/>
    <w:uiPriority w:val="98"/>
    <w:semiHidden/>
    <w:rsid w:val="007128DC"/>
    <w:rPr>
      <w:b/>
      <w:bCs/>
      <w:sz w:val="20"/>
      <w:szCs w:val="20"/>
      <w:lang w:val="pl-PL"/>
    </w:rPr>
  </w:style>
  <w:style w:type="table" w:styleId="Ciemnalista">
    <w:name w:val="Dark List"/>
    <w:basedOn w:val="Standardowy"/>
    <w:uiPriority w:val="70"/>
    <w:semiHidden/>
    <w:rsid w:val="007128D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7128D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7128D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7128D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7128D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7128D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7128D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7128DC"/>
  </w:style>
  <w:style w:type="character" w:customStyle="1" w:styleId="DataZnak">
    <w:name w:val="Data Znak"/>
    <w:basedOn w:val="Domylnaczcionkaakapitu"/>
    <w:link w:val="Data"/>
    <w:uiPriority w:val="98"/>
    <w:semiHidden/>
    <w:rsid w:val="007128DC"/>
    <w:rPr>
      <w:sz w:val="24"/>
      <w:szCs w:val="24"/>
      <w:lang w:val="pl-PL"/>
    </w:rPr>
  </w:style>
  <w:style w:type="paragraph" w:styleId="Mapadokumentu">
    <w:name w:val="Document Map"/>
    <w:basedOn w:val="Normalny"/>
    <w:link w:val="MapadokumentuZnak"/>
    <w:uiPriority w:val="98"/>
    <w:semiHidden/>
    <w:rsid w:val="007128DC"/>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7128DC"/>
    <w:rPr>
      <w:rFonts w:ascii="Tahoma" w:hAnsi="Tahoma" w:cs="Tahoma"/>
      <w:sz w:val="16"/>
      <w:szCs w:val="16"/>
      <w:lang w:val="pl-PL"/>
    </w:rPr>
  </w:style>
  <w:style w:type="paragraph" w:styleId="Podpise-mail">
    <w:name w:val="E-mail Signature"/>
    <w:basedOn w:val="Normalny"/>
    <w:link w:val="Podpise-mailZnak"/>
    <w:uiPriority w:val="98"/>
    <w:semiHidden/>
    <w:rsid w:val="007128DC"/>
  </w:style>
  <w:style w:type="character" w:customStyle="1" w:styleId="Podpise-mailZnak">
    <w:name w:val="Podpis e-mail Znak"/>
    <w:basedOn w:val="Domylnaczcionkaakapitu"/>
    <w:link w:val="Podpise-mail"/>
    <w:uiPriority w:val="98"/>
    <w:semiHidden/>
    <w:rsid w:val="007128DC"/>
    <w:rPr>
      <w:sz w:val="24"/>
      <w:szCs w:val="24"/>
      <w:lang w:val="pl-PL"/>
    </w:rPr>
  </w:style>
  <w:style w:type="character" w:styleId="Odwoanieprzypisukocowego">
    <w:name w:val="endnote reference"/>
    <w:basedOn w:val="Domylnaczcionkaakapitu"/>
    <w:uiPriority w:val="98"/>
    <w:semiHidden/>
    <w:rsid w:val="007128DC"/>
    <w:rPr>
      <w:vertAlign w:val="superscript"/>
    </w:rPr>
  </w:style>
  <w:style w:type="paragraph" w:styleId="Tekstprzypisukocowego">
    <w:name w:val="endnote text"/>
    <w:basedOn w:val="Normalny"/>
    <w:link w:val="TekstprzypisukocowegoZnak"/>
    <w:uiPriority w:val="98"/>
    <w:semiHidden/>
    <w:rsid w:val="007128DC"/>
    <w:rPr>
      <w:sz w:val="20"/>
      <w:szCs w:val="20"/>
    </w:rPr>
  </w:style>
  <w:style w:type="character" w:customStyle="1" w:styleId="TekstprzypisukocowegoZnak">
    <w:name w:val="Tekst przypisu końcowego Znak"/>
    <w:basedOn w:val="Domylnaczcionkaakapitu"/>
    <w:link w:val="Tekstprzypisukocowego"/>
    <w:uiPriority w:val="98"/>
    <w:semiHidden/>
    <w:rsid w:val="007128DC"/>
    <w:rPr>
      <w:sz w:val="20"/>
      <w:szCs w:val="20"/>
      <w:lang w:val="pl-PL"/>
    </w:rPr>
  </w:style>
  <w:style w:type="paragraph" w:styleId="Adresnakopercie">
    <w:name w:val="envelope address"/>
    <w:basedOn w:val="Normalny"/>
    <w:uiPriority w:val="98"/>
    <w:semiHidden/>
    <w:rsid w:val="007128DC"/>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7128DC"/>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7128DC"/>
    <w:rPr>
      <w:color w:val="7030A0" w:themeColor="followedHyperlink"/>
      <w:u w:val="single"/>
    </w:rPr>
  </w:style>
  <w:style w:type="character" w:styleId="HTML-akronim">
    <w:name w:val="HTML Acronym"/>
    <w:basedOn w:val="Domylnaczcionkaakapitu"/>
    <w:uiPriority w:val="98"/>
    <w:semiHidden/>
    <w:rsid w:val="007128DC"/>
  </w:style>
  <w:style w:type="paragraph" w:styleId="HTML-adres">
    <w:name w:val="HTML Address"/>
    <w:basedOn w:val="Normalny"/>
    <w:link w:val="HTML-adresZnak"/>
    <w:uiPriority w:val="98"/>
    <w:semiHidden/>
    <w:rsid w:val="007128DC"/>
    <w:rPr>
      <w:i/>
      <w:iCs/>
    </w:rPr>
  </w:style>
  <w:style w:type="character" w:customStyle="1" w:styleId="HTML-adresZnak">
    <w:name w:val="HTML - adres Znak"/>
    <w:basedOn w:val="Domylnaczcionkaakapitu"/>
    <w:link w:val="HTML-adres"/>
    <w:uiPriority w:val="98"/>
    <w:semiHidden/>
    <w:rsid w:val="007128DC"/>
    <w:rPr>
      <w:i/>
      <w:iCs/>
      <w:sz w:val="24"/>
      <w:szCs w:val="24"/>
      <w:lang w:val="pl-PL"/>
    </w:rPr>
  </w:style>
  <w:style w:type="character" w:styleId="HTML-cytat">
    <w:name w:val="HTML Cite"/>
    <w:basedOn w:val="Domylnaczcionkaakapitu"/>
    <w:uiPriority w:val="98"/>
    <w:semiHidden/>
    <w:rsid w:val="007128DC"/>
    <w:rPr>
      <w:i/>
      <w:iCs/>
    </w:rPr>
  </w:style>
  <w:style w:type="character" w:styleId="HTML-kod">
    <w:name w:val="HTML Code"/>
    <w:basedOn w:val="Domylnaczcionkaakapitu"/>
    <w:uiPriority w:val="98"/>
    <w:semiHidden/>
    <w:rsid w:val="007128DC"/>
    <w:rPr>
      <w:rFonts w:ascii="Consolas" w:hAnsi="Consolas" w:cs="Consolas"/>
      <w:sz w:val="20"/>
      <w:szCs w:val="20"/>
    </w:rPr>
  </w:style>
  <w:style w:type="character" w:styleId="HTML-definicja">
    <w:name w:val="HTML Definition"/>
    <w:basedOn w:val="Domylnaczcionkaakapitu"/>
    <w:uiPriority w:val="98"/>
    <w:semiHidden/>
    <w:rsid w:val="007128DC"/>
    <w:rPr>
      <w:i/>
      <w:iCs/>
    </w:rPr>
  </w:style>
  <w:style w:type="character" w:styleId="HTML-klawiatura">
    <w:name w:val="HTML Keyboard"/>
    <w:basedOn w:val="Domylnaczcionkaakapitu"/>
    <w:uiPriority w:val="98"/>
    <w:semiHidden/>
    <w:rsid w:val="007128DC"/>
    <w:rPr>
      <w:rFonts w:ascii="Consolas" w:hAnsi="Consolas" w:cs="Consolas"/>
      <w:sz w:val="20"/>
      <w:szCs w:val="20"/>
    </w:rPr>
  </w:style>
  <w:style w:type="paragraph" w:styleId="HTML-wstpniesformatowany">
    <w:name w:val="HTML Preformatted"/>
    <w:basedOn w:val="Normalny"/>
    <w:link w:val="HTML-wstpniesformatowanyZnak"/>
    <w:uiPriority w:val="98"/>
    <w:semiHidden/>
    <w:rsid w:val="007128DC"/>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7128DC"/>
    <w:rPr>
      <w:rFonts w:ascii="Consolas" w:hAnsi="Consolas" w:cs="Consolas"/>
      <w:sz w:val="20"/>
      <w:szCs w:val="20"/>
      <w:lang w:val="pl-PL"/>
    </w:rPr>
  </w:style>
  <w:style w:type="character" w:styleId="HTML-przykad">
    <w:name w:val="HTML Sample"/>
    <w:basedOn w:val="Domylnaczcionkaakapitu"/>
    <w:uiPriority w:val="98"/>
    <w:semiHidden/>
    <w:rsid w:val="007128DC"/>
    <w:rPr>
      <w:rFonts w:ascii="Consolas" w:hAnsi="Consolas" w:cs="Consolas"/>
      <w:sz w:val="24"/>
      <w:szCs w:val="24"/>
    </w:rPr>
  </w:style>
  <w:style w:type="character" w:styleId="HTML-staaszeroko">
    <w:name w:val="HTML Typewriter"/>
    <w:basedOn w:val="Domylnaczcionkaakapitu"/>
    <w:uiPriority w:val="98"/>
    <w:semiHidden/>
    <w:rsid w:val="007128DC"/>
    <w:rPr>
      <w:rFonts w:ascii="Consolas" w:hAnsi="Consolas" w:cs="Consolas"/>
      <w:sz w:val="20"/>
      <w:szCs w:val="20"/>
    </w:rPr>
  </w:style>
  <w:style w:type="character" w:styleId="HTML-zmienna">
    <w:name w:val="HTML Variable"/>
    <w:basedOn w:val="Domylnaczcionkaakapitu"/>
    <w:uiPriority w:val="98"/>
    <w:semiHidden/>
    <w:rsid w:val="007128DC"/>
    <w:rPr>
      <w:i/>
      <w:iCs/>
    </w:rPr>
  </w:style>
  <w:style w:type="paragraph" w:styleId="Indeks1">
    <w:name w:val="index 1"/>
    <w:basedOn w:val="Normalny"/>
    <w:next w:val="Normalny"/>
    <w:autoRedefine/>
    <w:uiPriority w:val="98"/>
    <w:semiHidden/>
    <w:rsid w:val="007128DC"/>
    <w:pPr>
      <w:ind w:left="240" w:hanging="240"/>
    </w:pPr>
  </w:style>
  <w:style w:type="paragraph" w:styleId="Indeks2">
    <w:name w:val="index 2"/>
    <w:basedOn w:val="Normalny"/>
    <w:next w:val="Normalny"/>
    <w:autoRedefine/>
    <w:uiPriority w:val="98"/>
    <w:semiHidden/>
    <w:rsid w:val="007128DC"/>
    <w:pPr>
      <w:ind w:left="480" w:hanging="240"/>
    </w:pPr>
  </w:style>
  <w:style w:type="paragraph" w:styleId="Indeks3">
    <w:name w:val="index 3"/>
    <w:basedOn w:val="Normalny"/>
    <w:next w:val="Normalny"/>
    <w:autoRedefine/>
    <w:uiPriority w:val="98"/>
    <w:semiHidden/>
    <w:rsid w:val="007128DC"/>
    <w:pPr>
      <w:ind w:left="720" w:hanging="240"/>
    </w:pPr>
  </w:style>
  <w:style w:type="paragraph" w:styleId="Indeks4">
    <w:name w:val="index 4"/>
    <w:basedOn w:val="Normalny"/>
    <w:next w:val="Normalny"/>
    <w:autoRedefine/>
    <w:uiPriority w:val="98"/>
    <w:semiHidden/>
    <w:rsid w:val="007128DC"/>
    <w:pPr>
      <w:ind w:left="960" w:hanging="240"/>
    </w:pPr>
  </w:style>
  <w:style w:type="paragraph" w:styleId="Indeks5">
    <w:name w:val="index 5"/>
    <w:basedOn w:val="Normalny"/>
    <w:next w:val="Normalny"/>
    <w:autoRedefine/>
    <w:uiPriority w:val="98"/>
    <w:semiHidden/>
    <w:rsid w:val="007128DC"/>
    <w:pPr>
      <w:ind w:left="1200" w:hanging="240"/>
    </w:pPr>
  </w:style>
  <w:style w:type="paragraph" w:styleId="Indeks6">
    <w:name w:val="index 6"/>
    <w:basedOn w:val="Normalny"/>
    <w:next w:val="Normalny"/>
    <w:autoRedefine/>
    <w:uiPriority w:val="98"/>
    <w:semiHidden/>
    <w:rsid w:val="007128DC"/>
    <w:pPr>
      <w:ind w:left="1440" w:hanging="240"/>
    </w:pPr>
  </w:style>
  <w:style w:type="paragraph" w:styleId="Indeks7">
    <w:name w:val="index 7"/>
    <w:basedOn w:val="Normalny"/>
    <w:next w:val="Normalny"/>
    <w:autoRedefine/>
    <w:uiPriority w:val="98"/>
    <w:semiHidden/>
    <w:rsid w:val="007128DC"/>
    <w:pPr>
      <w:ind w:left="1680" w:hanging="240"/>
    </w:pPr>
  </w:style>
  <w:style w:type="paragraph" w:styleId="Indeks8">
    <w:name w:val="index 8"/>
    <w:basedOn w:val="Normalny"/>
    <w:next w:val="Normalny"/>
    <w:autoRedefine/>
    <w:uiPriority w:val="98"/>
    <w:semiHidden/>
    <w:rsid w:val="007128DC"/>
    <w:pPr>
      <w:ind w:left="1920" w:hanging="240"/>
    </w:pPr>
  </w:style>
  <w:style w:type="paragraph" w:styleId="Indeks9">
    <w:name w:val="index 9"/>
    <w:basedOn w:val="Normalny"/>
    <w:next w:val="Normalny"/>
    <w:autoRedefine/>
    <w:uiPriority w:val="98"/>
    <w:semiHidden/>
    <w:rsid w:val="007128DC"/>
    <w:pPr>
      <w:ind w:left="2160" w:hanging="240"/>
    </w:pPr>
  </w:style>
  <w:style w:type="paragraph" w:styleId="Nagwekindeksu">
    <w:name w:val="index heading"/>
    <w:basedOn w:val="Normalny"/>
    <w:next w:val="Indeks1"/>
    <w:uiPriority w:val="98"/>
    <w:semiHidden/>
    <w:rsid w:val="007128DC"/>
    <w:rPr>
      <w:rFonts w:asciiTheme="majorHAnsi" w:eastAsiaTheme="majorEastAsia" w:hAnsiTheme="majorHAnsi" w:cstheme="majorBidi"/>
      <w:b/>
      <w:bCs/>
    </w:rPr>
  </w:style>
  <w:style w:type="table" w:styleId="Jasnasiatka">
    <w:name w:val="Light Grid"/>
    <w:basedOn w:val="Standardowy"/>
    <w:uiPriority w:val="62"/>
    <w:semiHidden/>
    <w:rsid w:val="007128D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7128D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7128D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7128D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7128D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7128D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7128D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7128D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7128D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7128D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7128D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7128D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7128D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7128D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7128D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7128D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7128D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7128D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7128D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7128D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7128D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7128DC"/>
  </w:style>
  <w:style w:type="paragraph" w:styleId="Lista">
    <w:name w:val="List"/>
    <w:basedOn w:val="Normalny"/>
    <w:uiPriority w:val="98"/>
    <w:semiHidden/>
    <w:rsid w:val="007128DC"/>
    <w:pPr>
      <w:ind w:left="283" w:hanging="283"/>
      <w:contextualSpacing/>
    </w:pPr>
  </w:style>
  <w:style w:type="paragraph" w:styleId="Lista2">
    <w:name w:val="List 2"/>
    <w:basedOn w:val="Normalny"/>
    <w:uiPriority w:val="98"/>
    <w:semiHidden/>
    <w:rsid w:val="007128DC"/>
    <w:pPr>
      <w:ind w:left="566" w:hanging="283"/>
      <w:contextualSpacing/>
    </w:pPr>
  </w:style>
  <w:style w:type="paragraph" w:styleId="Lista3">
    <w:name w:val="List 3"/>
    <w:basedOn w:val="Normalny"/>
    <w:uiPriority w:val="98"/>
    <w:semiHidden/>
    <w:rsid w:val="007128DC"/>
    <w:pPr>
      <w:ind w:left="849" w:hanging="283"/>
      <w:contextualSpacing/>
    </w:pPr>
  </w:style>
  <w:style w:type="paragraph" w:styleId="Lista4">
    <w:name w:val="List 4"/>
    <w:basedOn w:val="Normalny"/>
    <w:uiPriority w:val="98"/>
    <w:semiHidden/>
    <w:rsid w:val="007128DC"/>
    <w:pPr>
      <w:ind w:left="1132" w:hanging="283"/>
      <w:contextualSpacing/>
    </w:pPr>
  </w:style>
  <w:style w:type="paragraph" w:styleId="Lista5">
    <w:name w:val="List 5"/>
    <w:basedOn w:val="Normalny"/>
    <w:uiPriority w:val="98"/>
    <w:semiHidden/>
    <w:rsid w:val="007128DC"/>
    <w:pPr>
      <w:ind w:left="1415" w:hanging="283"/>
      <w:contextualSpacing/>
    </w:pPr>
  </w:style>
  <w:style w:type="paragraph" w:styleId="Listapunktowana2">
    <w:name w:val="List Bullet 2"/>
    <w:basedOn w:val="Normalny"/>
    <w:uiPriority w:val="98"/>
    <w:semiHidden/>
    <w:rsid w:val="007128DC"/>
    <w:pPr>
      <w:numPr>
        <w:numId w:val="11"/>
      </w:numPr>
      <w:contextualSpacing/>
    </w:pPr>
  </w:style>
  <w:style w:type="paragraph" w:styleId="Listapunktowana4">
    <w:name w:val="List Bullet 4"/>
    <w:basedOn w:val="Normalny"/>
    <w:uiPriority w:val="98"/>
    <w:semiHidden/>
    <w:rsid w:val="007128DC"/>
    <w:pPr>
      <w:numPr>
        <w:numId w:val="13"/>
      </w:numPr>
      <w:contextualSpacing/>
    </w:pPr>
  </w:style>
  <w:style w:type="paragraph" w:styleId="Listapunktowana5">
    <w:name w:val="List Bullet 5"/>
    <w:basedOn w:val="Normalny"/>
    <w:uiPriority w:val="98"/>
    <w:semiHidden/>
    <w:rsid w:val="007128DC"/>
    <w:pPr>
      <w:numPr>
        <w:numId w:val="14"/>
      </w:numPr>
      <w:contextualSpacing/>
    </w:pPr>
  </w:style>
  <w:style w:type="paragraph" w:styleId="Lista-kontynuacja">
    <w:name w:val="List Continue"/>
    <w:basedOn w:val="Normalny"/>
    <w:uiPriority w:val="98"/>
    <w:semiHidden/>
    <w:rsid w:val="007128DC"/>
    <w:pPr>
      <w:spacing w:after="120"/>
      <w:ind w:left="283"/>
      <w:contextualSpacing/>
    </w:pPr>
  </w:style>
  <w:style w:type="paragraph" w:styleId="Lista-kontynuacja2">
    <w:name w:val="List Continue 2"/>
    <w:basedOn w:val="Normalny"/>
    <w:uiPriority w:val="98"/>
    <w:semiHidden/>
    <w:rsid w:val="007128DC"/>
    <w:pPr>
      <w:spacing w:after="120"/>
      <w:ind w:left="566"/>
      <w:contextualSpacing/>
    </w:pPr>
  </w:style>
  <w:style w:type="paragraph" w:styleId="Lista-kontynuacja3">
    <w:name w:val="List Continue 3"/>
    <w:basedOn w:val="Normalny"/>
    <w:uiPriority w:val="98"/>
    <w:semiHidden/>
    <w:rsid w:val="007128DC"/>
    <w:pPr>
      <w:spacing w:after="120"/>
      <w:ind w:left="849"/>
      <w:contextualSpacing/>
    </w:pPr>
  </w:style>
  <w:style w:type="paragraph" w:styleId="Lista-kontynuacja4">
    <w:name w:val="List Continue 4"/>
    <w:basedOn w:val="Normalny"/>
    <w:uiPriority w:val="98"/>
    <w:semiHidden/>
    <w:rsid w:val="007128DC"/>
    <w:pPr>
      <w:spacing w:after="120"/>
      <w:ind w:left="1132"/>
      <w:contextualSpacing/>
    </w:pPr>
  </w:style>
  <w:style w:type="paragraph" w:styleId="Lista-kontynuacja5">
    <w:name w:val="List Continue 5"/>
    <w:basedOn w:val="Normalny"/>
    <w:uiPriority w:val="98"/>
    <w:semiHidden/>
    <w:rsid w:val="007128DC"/>
    <w:pPr>
      <w:spacing w:after="120"/>
      <w:ind w:left="1415"/>
      <w:contextualSpacing/>
    </w:pPr>
  </w:style>
  <w:style w:type="paragraph" w:styleId="Listanumerowana">
    <w:name w:val="List Number"/>
    <w:basedOn w:val="Normalny"/>
    <w:uiPriority w:val="98"/>
    <w:semiHidden/>
    <w:rsid w:val="007128DC"/>
    <w:pPr>
      <w:numPr>
        <w:numId w:val="15"/>
      </w:numPr>
      <w:contextualSpacing/>
    </w:pPr>
  </w:style>
  <w:style w:type="paragraph" w:styleId="Listanumerowana2">
    <w:name w:val="List Number 2"/>
    <w:basedOn w:val="Normalny"/>
    <w:uiPriority w:val="98"/>
    <w:semiHidden/>
    <w:rsid w:val="007128DC"/>
    <w:pPr>
      <w:numPr>
        <w:numId w:val="16"/>
      </w:numPr>
      <w:contextualSpacing/>
    </w:pPr>
  </w:style>
  <w:style w:type="paragraph" w:styleId="Listanumerowana3">
    <w:name w:val="List Number 3"/>
    <w:basedOn w:val="Normalny"/>
    <w:uiPriority w:val="98"/>
    <w:semiHidden/>
    <w:rsid w:val="007128DC"/>
    <w:pPr>
      <w:numPr>
        <w:numId w:val="17"/>
      </w:numPr>
      <w:contextualSpacing/>
    </w:pPr>
  </w:style>
  <w:style w:type="paragraph" w:styleId="Listanumerowana4">
    <w:name w:val="List Number 4"/>
    <w:basedOn w:val="Normalny"/>
    <w:uiPriority w:val="98"/>
    <w:semiHidden/>
    <w:rsid w:val="007128DC"/>
    <w:pPr>
      <w:numPr>
        <w:numId w:val="18"/>
      </w:numPr>
      <w:contextualSpacing/>
    </w:pPr>
  </w:style>
  <w:style w:type="paragraph" w:styleId="Listanumerowana5">
    <w:name w:val="List Number 5"/>
    <w:basedOn w:val="Normalny"/>
    <w:uiPriority w:val="98"/>
    <w:semiHidden/>
    <w:rsid w:val="007128DC"/>
    <w:pPr>
      <w:numPr>
        <w:numId w:val="19"/>
      </w:numPr>
      <w:contextualSpacing/>
    </w:pPr>
  </w:style>
  <w:style w:type="paragraph" w:styleId="Tekstmakra">
    <w:name w:val="macro"/>
    <w:link w:val="TekstmakraZnak"/>
    <w:uiPriority w:val="98"/>
    <w:semiHidden/>
    <w:rsid w:val="007128DC"/>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7128DC"/>
    <w:rPr>
      <w:rFonts w:ascii="Consolas" w:eastAsiaTheme="minorEastAsia" w:hAnsi="Consolas" w:cs="Consolas"/>
      <w:sz w:val="20"/>
      <w:szCs w:val="20"/>
    </w:rPr>
  </w:style>
  <w:style w:type="table" w:styleId="redniasiatka1">
    <w:name w:val="Medium Grid 1"/>
    <w:basedOn w:val="Standardowy"/>
    <w:uiPriority w:val="67"/>
    <w:semiHidden/>
    <w:rsid w:val="007128D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7128D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7128D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7128D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7128D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7128D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7128D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7128D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7128D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7128D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7128D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7128D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7128D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7128D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7128D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7128D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7128D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7128D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7128D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7128D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7128D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7128D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7128D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7128D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7128D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7128D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7128D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7128D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7128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7128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7128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7128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7128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7128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7128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7128D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7128DC"/>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7128DC"/>
    <w:rPr>
      <w:rFonts w:ascii="Times New Roman" w:hAnsi="Times New Roman" w:cs="Times New Roman"/>
    </w:rPr>
  </w:style>
  <w:style w:type="paragraph" w:styleId="Wcicienormalne">
    <w:name w:val="Normal Indent"/>
    <w:basedOn w:val="Normalny"/>
    <w:uiPriority w:val="98"/>
    <w:semiHidden/>
    <w:rsid w:val="007128DC"/>
    <w:pPr>
      <w:ind w:left="720"/>
    </w:pPr>
  </w:style>
  <w:style w:type="paragraph" w:styleId="Nagweknotatki">
    <w:name w:val="Note Heading"/>
    <w:basedOn w:val="Normalny"/>
    <w:next w:val="Normalny"/>
    <w:link w:val="NagweknotatkiZnak"/>
    <w:uiPriority w:val="98"/>
    <w:semiHidden/>
    <w:rsid w:val="007128DC"/>
  </w:style>
  <w:style w:type="character" w:customStyle="1" w:styleId="NagweknotatkiZnak">
    <w:name w:val="Nagłówek notatki Znak"/>
    <w:basedOn w:val="Domylnaczcionkaakapitu"/>
    <w:link w:val="Nagweknotatki"/>
    <w:uiPriority w:val="98"/>
    <w:semiHidden/>
    <w:rsid w:val="007128DC"/>
    <w:rPr>
      <w:sz w:val="24"/>
      <w:szCs w:val="24"/>
      <w:lang w:val="pl-PL"/>
    </w:rPr>
  </w:style>
  <w:style w:type="character" w:styleId="Tekstzastpczy">
    <w:name w:val="Placeholder Text"/>
    <w:basedOn w:val="Domylnaczcionkaakapitu"/>
    <w:uiPriority w:val="98"/>
    <w:semiHidden/>
    <w:rsid w:val="007128DC"/>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7128DC"/>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7128DC"/>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7128DC"/>
  </w:style>
  <w:style w:type="character" w:customStyle="1" w:styleId="ZwrotgrzecznociowyZnak">
    <w:name w:val="Zwrot grzecznościowy Znak"/>
    <w:basedOn w:val="Domylnaczcionkaakapitu"/>
    <w:link w:val="Zwrotgrzecznociowy"/>
    <w:uiPriority w:val="98"/>
    <w:semiHidden/>
    <w:rsid w:val="007128DC"/>
    <w:rPr>
      <w:sz w:val="24"/>
      <w:szCs w:val="24"/>
      <w:lang w:val="pl-PL"/>
    </w:rPr>
  </w:style>
  <w:style w:type="paragraph" w:styleId="Podpis">
    <w:name w:val="Signature"/>
    <w:basedOn w:val="Normalny"/>
    <w:link w:val="PodpisZnak"/>
    <w:uiPriority w:val="98"/>
    <w:semiHidden/>
    <w:rsid w:val="007128DC"/>
    <w:pPr>
      <w:ind w:left="4252"/>
    </w:pPr>
  </w:style>
  <w:style w:type="character" w:customStyle="1" w:styleId="PodpisZnak">
    <w:name w:val="Podpis Znak"/>
    <w:basedOn w:val="Domylnaczcionkaakapitu"/>
    <w:link w:val="Podpis"/>
    <w:uiPriority w:val="98"/>
    <w:semiHidden/>
    <w:rsid w:val="007128DC"/>
    <w:rPr>
      <w:sz w:val="24"/>
      <w:szCs w:val="24"/>
      <w:lang w:val="pl-PL"/>
    </w:rPr>
  </w:style>
  <w:style w:type="table" w:styleId="Tabela-Efekty3W1">
    <w:name w:val="Table 3D effects 1"/>
    <w:basedOn w:val="Standardowy"/>
    <w:uiPriority w:val="99"/>
    <w:semiHidden/>
    <w:unhideWhenUsed/>
    <w:rsid w:val="007128D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7128D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7128D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7128D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7128D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7128D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7128D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7128D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7128D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7128D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7128D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7128D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7128D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7128D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7128D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7128D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7128D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7128D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7128D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7128D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7128D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7128D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7128D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7128D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7128D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7128D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7128D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7128D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7128D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7128D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7128D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7128D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7128D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7128DC"/>
    <w:pPr>
      <w:ind w:left="240" w:hanging="240"/>
    </w:pPr>
  </w:style>
  <w:style w:type="paragraph" w:styleId="Spisilustracji">
    <w:name w:val="table of figures"/>
    <w:basedOn w:val="Normalny"/>
    <w:next w:val="Normalny"/>
    <w:uiPriority w:val="98"/>
    <w:semiHidden/>
    <w:rsid w:val="007128DC"/>
  </w:style>
  <w:style w:type="table" w:styleId="Tabela-Profesjonalny">
    <w:name w:val="Table Professional"/>
    <w:basedOn w:val="Standardowy"/>
    <w:uiPriority w:val="99"/>
    <w:semiHidden/>
    <w:unhideWhenUsed/>
    <w:rsid w:val="007128D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7128D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7128D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7128D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7128D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7128D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7128D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7128D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7128D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7128D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7128DC"/>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7128DC"/>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7128DC"/>
    <w:pPr>
      <w:spacing w:after="100"/>
      <w:ind w:left="1680"/>
    </w:pPr>
  </w:style>
  <w:style w:type="paragraph" w:styleId="Spistreci9">
    <w:name w:val="toc 9"/>
    <w:basedOn w:val="Normalny"/>
    <w:next w:val="Normalny"/>
    <w:autoRedefine/>
    <w:uiPriority w:val="98"/>
    <w:semiHidden/>
    <w:rsid w:val="007128DC"/>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7128DC"/>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128DC"/>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7128DC"/>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7128D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7128DC"/>
    <w:pPr>
      <w:numPr>
        <w:numId w:val="7"/>
      </w:numPr>
      <w:spacing w:before="60" w:after="60"/>
    </w:pPr>
  </w:style>
  <w:style w:type="paragraph" w:customStyle="1" w:styleId="ECHRBullet2">
    <w:name w:val="ECHR_Bullet_2"/>
    <w:aliases w:val="_Bul_2"/>
    <w:basedOn w:val="ECHRBullet1"/>
    <w:uiPriority w:val="23"/>
    <w:semiHidden/>
    <w:rsid w:val="007128DC"/>
    <w:pPr>
      <w:numPr>
        <w:ilvl w:val="1"/>
      </w:numPr>
    </w:pPr>
  </w:style>
  <w:style w:type="paragraph" w:customStyle="1" w:styleId="ECHRBullet3">
    <w:name w:val="ECHR_Bullet_3"/>
    <w:aliases w:val="_Bul_3"/>
    <w:basedOn w:val="ECHRBullet2"/>
    <w:uiPriority w:val="23"/>
    <w:semiHidden/>
    <w:rsid w:val="007128DC"/>
    <w:pPr>
      <w:numPr>
        <w:ilvl w:val="2"/>
      </w:numPr>
    </w:pPr>
  </w:style>
  <w:style w:type="paragraph" w:customStyle="1" w:styleId="ECHRBullet4">
    <w:name w:val="ECHR_Bullet_4"/>
    <w:aliases w:val="_Bul_4"/>
    <w:basedOn w:val="ECHRBullet3"/>
    <w:uiPriority w:val="23"/>
    <w:semiHidden/>
    <w:rsid w:val="007128DC"/>
    <w:pPr>
      <w:numPr>
        <w:ilvl w:val="3"/>
      </w:numPr>
    </w:pPr>
  </w:style>
  <w:style w:type="paragraph" w:customStyle="1" w:styleId="ECHRConfidential">
    <w:name w:val="ECHR_Confidential"/>
    <w:aliases w:val="_Confidential"/>
    <w:basedOn w:val="Normalny"/>
    <w:next w:val="Normalny"/>
    <w:uiPriority w:val="42"/>
    <w:semiHidden/>
    <w:qFormat/>
    <w:rsid w:val="007128DC"/>
    <w:pPr>
      <w:jc w:val="right"/>
    </w:pPr>
    <w:rPr>
      <w:color w:val="C00000"/>
      <w:sz w:val="20"/>
    </w:rPr>
  </w:style>
  <w:style w:type="paragraph" w:customStyle="1" w:styleId="ECHRDecisionBody">
    <w:name w:val="ECHR_Decision_Body"/>
    <w:aliases w:val="_Decision_Body"/>
    <w:basedOn w:val="NormalJustified"/>
    <w:uiPriority w:val="54"/>
    <w:semiHidden/>
    <w:rsid w:val="007128DC"/>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7128DC"/>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7128DC"/>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7128D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7128DC"/>
    <w:pPr>
      <w:jc w:val="right"/>
    </w:pPr>
    <w:rPr>
      <w:sz w:val="20"/>
    </w:rPr>
  </w:style>
  <w:style w:type="paragraph" w:customStyle="1" w:styleId="ECHRHeaderRefIt">
    <w:name w:val="ECHR_Header_Ref_It"/>
    <w:aliases w:val="_Ref_Ital"/>
    <w:basedOn w:val="Normalny"/>
    <w:next w:val="ECHRHeaderDate"/>
    <w:uiPriority w:val="43"/>
    <w:semiHidden/>
    <w:qFormat/>
    <w:rsid w:val="007128DC"/>
    <w:pPr>
      <w:jc w:val="right"/>
    </w:pPr>
    <w:rPr>
      <w:i/>
      <w:sz w:val="20"/>
    </w:rPr>
  </w:style>
  <w:style w:type="paragraph" w:customStyle="1" w:styleId="ECHRHeading9">
    <w:name w:val="ECHR_Heading_9"/>
    <w:aliases w:val="_Head_9"/>
    <w:basedOn w:val="Nagwek9"/>
    <w:uiPriority w:val="17"/>
    <w:semiHidden/>
    <w:rsid w:val="007128DC"/>
    <w:pPr>
      <w:keepNext/>
      <w:keepLines/>
      <w:numPr>
        <w:ilvl w:val="8"/>
        <w:numId w:val="3"/>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7128D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7128DC"/>
    <w:pPr>
      <w:numPr>
        <w:numId w:val="9"/>
      </w:numPr>
      <w:spacing w:before="60" w:after="60"/>
    </w:pPr>
  </w:style>
  <w:style w:type="paragraph" w:customStyle="1" w:styleId="ECHRNumberedList2">
    <w:name w:val="ECHR_Numbered_List_2"/>
    <w:aliases w:val="_Num_2"/>
    <w:basedOn w:val="ECHRNumberedList1"/>
    <w:uiPriority w:val="23"/>
    <w:semiHidden/>
    <w:rsid w:val="007128DC"/>
    <w:pPr>
      <w:numPr>
        <w:ilvl w:val="1"/>
      </w:numPr>
    </w:pPr>
  </w:style>
  <w:style w:type="paragraph" w:customStyle="1" w:styleId="ECHRNumberedList3">
    <w:name w:val="ECHR_Numbered_List_3"/>
    <w:aliases w:val="_Num_3"/>
    <w:basedOn w:val="ECHRNumberedList2"/>
    <w:uiPriority w:val="23"/>
    <w:semiHidden/>
    <w:rsid w:val="007128DC"/>
    <w:pPr>
      <w:numPr>
        <w:ilvl w:val="2"/>
      </w:numPr>
    </w:pPr>
  </w:style>
  <w:style w:type="paragraph" w:customStyle="1" w:styleId="ECHRParaHanging">
    <w:name w:val="ECHR_Para_Hanging"/>
    <w:aliases w:val="_Hanging"/>
    <w:basedOn w:val="Normalny"/>
    <w:uiPriority w:val="8"/>
    <w:semiHidden/>
    <w:qFormat/>
    <w:rsid w:val="007128DC"/>
    <w:pPr>
      <w:ind w:left="567" w:hanging="567"/>
      <w:jc w:val="both"/>
    </w:pPr>
  </w:style>
  <w:style w:type="paragraph" w:customStyle="1" w:styleId="ECHRParaIndent">
    <w:name w:val="ECHR_Para_Indent"/>
    <w:aliases w:val="_Indent"/>
    <w:basedOn w:val="Normalny"/>
    <w:uiPriority w:val="7"/>
    <w:semiHidden/>
    <w:qFormat/>
    <w:rsid w:val="007128DC"/>
    <w:pPr>
      <w:spacing w:before="120" w:after="120"/>
      <w:ind w:left="284"/>
      <w:jc w:val="both"/>
    </w:pPr>
  </w:style>
  <w:style w:type="character" w:customStyle="1" w:styleId="ECHRRed">
    <w:name w:val="ECHR_Red"/>
    <w:aliases w:val="_Red"/>
    <w:basedOn w:val="Domylnaczcionkaakapitu"/>
    <w:uiPriority w:val="15"/>
    <w:semiHidden/>
    <w:qFormat/>
    <w:rsid w:val="007128DC"/>
    <w:rPr>
      <w:color w:val="C00000" w:themeColor="accent2"/>
    </w:rPr>
  </w:style>
  <w:style w:type="paragraph" w:customStyle="1" w:styleId="DecList">
    <w:name w:val="Dec_List"/>
    <w:aliases w:val="_List"/>
    <w:basedOn w:val="JuList"/>
    <w:uiPriority w:val="22"/>
    <w:rsid w:val="007128DC"/>
    <w:pPr>
      <w:numPr>
        <w:numId w:val="0"/>
      </w:numPr>
      <w:ind w:left="284"/>
    </w:pPr>
  </w:style>
  <w:style w:type="table" w:customStyle="1" w:styleId="ECHRTable2">
    <w:name w:val="ECHR_Table_2"/>
    <w:basedOn w:val="Standardowy"/>
    <w:uiPriority w:val="99"/>
    <w:rsid w:val="007128D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7128D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7128D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7128D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7128D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7128D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7128D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7128D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7128DC"/>
    <w:pPr>
      <w:outlineLvl w:val="0"/>
    </w:pPr>
  </w:style>
  <w:style w:type="paragraph" w:customStyle="1" w:styleId="ECHRTitleTOC1">
    <w:name w:val="ECHR_Title_TOC_1"/>
    <w:aliases w:val="_Title_L_TOC"/>
    <w:basedOn w:val="ECHRTitle1"/>
    <w:next w:val="Normalny"/>
    <w:uiPriority w:val="27"/>
    <w:semiHidden/>
    <w:qFormat/>
    <w:rsid w:val="007128DC"/>
    <w:pPr>
      <w:outlineLvl w:val="0"/>
    </w:pPr>
  </w:style>
  <w:style w:type="paragraph" w:customStyle="1" w:styleId="ECHRPlaceholder">
    <w:name w:val="ECHR_Placeholder"/>
    <w:aliases w:val="_Placeholder"/>
    <w:basedOn w:val="JuSigned"/>
    <w:uiPriority w:val="31"/>
    <w:rsid w:val="007128DC"/>
    <w:rPr>
      <w:color w:val="FFFFFF"/>
    </w:rPr>
  </w:style>
  <w:style w:type="paragraph" w:customStyle="1" w:styleId="ECHRSpacer">
    <w:name w:val="ECHR_Spacer"/>
    <w:aliases w:val="_Spacer"/>
    <w:basedOn w:val="Normalny"/>
    <w:uiPriority w:val="45"/>
    <w:semiHidden/>
    <w:rsid w:val="007128DC"/>
    <w:rPr>
      <w:sz w:val="4"/>
    </w:rPr>
  </w:style>
  <w:style w:type="table" w:customStyle="1" w:styleId="ECHRTableGrey">
    <w:name w:val="ECHR_Table_Grey"/>
    <w:basedOn w:val="Standardowy"/>
    <w:uiPriority w:val="99"/>
    <w:rsid w:val="007128D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7072DD"/>
    <w:rPr>
      <w:sz w:val="24"/>
      <w:szCs w:val="24"/>
      <w:lang w:val="pl-PL"/>
    </w:rPr>
  </w:style>
  <w:style w:type="table" w:customStyle="1" w:styleId="Tabelasiatki1jasna1">
    <w:name w:val="Tabela siatki 1 — jasna1"/>
    <w:basedOn w:val="Standardowy"/>
    <w:uiPriority w:val="46"/>
    <w:semiHidden/>
    <w:rsid w:val="007128D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siatki1jasnaakcent11">
    <w:name w:val="Tabela siatki 1 — jasna — akcent 11"/>
    <w:basedOn w:val="Standardowy"/>
    <w:uiPriority w:val="46"/>
    <w:semiHidden/>
    <w:rsid w:val="007128DC"/>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Tabelasiatki1jasnaakcent21">
    <w:name w:val="Tabela siatki 1 — jasna — akcent 21"/>
    <w:basedOn w:val="Standardowy"/>
    <w:uiPriority w:val="46"/>
    <w:semiHidden/>
    <w:rsid w:val="007128DC"/>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Tabelasiatki1jasnaakcent31">
    <w:name w:val="Tabela siatki 1 — jasna — akcent 31"/>
    <w:basedOn w:val="Standardowy"/>
    <w:uiPriority w:val="46"/>
    <w:semiHidden/>
    <w:rsid w:val="007128DC"/>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Tabelasiatki1jasnaakcent41">
    <w:name w:val="Tabela siatki 1 — jasna — akcent 41"/>
    <w:basedOn w:val="Standardowy"/>
    <w:uiPriority w:val="46"/>
    <w:semiHidden/>
    <w:rsid w:val="007128D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uiPriority w:val="46"/>
    <w:semiHidden/>
    <w:rsid w:val="007128DC"/>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Tabelasiatki1jasnaakcent61">
    <w:name w:val="Tabela siatki 1 — jasna — akcent 61"/>
    <w:basedOn w:val="Standardowy"/>
    <w:uiPriority w:val="46"/>
    <w:semiHidden/>
    <w:rsid w:val="007128DC"/>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Tabelasiatki21">
    <w:name w:val="Tabela siatki 21"/>
    <w:basedOn w:val="Standardowy"/>
    <w:uiPriority w:val="47"/>
    <w:semiHidden/>
    <w:rsid w:val="007128D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2akcent11">
    <w:name w:val="Tabela siatki 2 — akcent 11"/>
    <w:basedOn w:val="Standardowy"/>
    <w:uiPriority w:val="47"/>
    <w:semiHidden/>
    <w:rsid w:val="007128DC"/>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2akcent21">
    <w:name w:val="Tabela siatki 2 — akcent 21"/>
    <w:basedOn w:val="Standardowy"/>
    <w:uiPriority w:val="47"/>
    <w:semiHidden/>
    <w:rsid w:val="007128DC"/>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2akcent31">
    <w:name w:val="Tabela siatki 2 — akcent 31"/>
    <w:basedOn w:val="Standardowy"/>
    <w:uiPriority w:val="47"/>
    <w:semiHidden/>
    <w:rsid w:val="007128DC"/>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2akcent41">
    <w:name w:val="Tabela siatki 2 — akcent 41"/>
    <w:basedOn w:val="Standardowy"/>
    <w:uiPriority w:val="47"/>
    <w:semiHidden/>
    <w:rsid w:val="007128DC"/>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2akcent51">
    <w:name w:val="Tabela siatki 2 — akcent 51"/>
    <w:basedOn w:val="Standardowy"/>
    <w:uiPriority w:val="47"/>
    <w:semiHidden/>
    <w:rsid w:val="007128DC"/>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2akcent61">
    <w:name w:val="Tabela siatki 2 — akcent 61"/>
    <w:basedOn w:val="Standardowy"/>
    <w:uiPriority w:val="47"/>
    <w:semiHidden/>
    <w:rsid w:val="007128DC"/>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31">
    <w:name w:val="Tabela siatki 31"/>
    <w:basedOn w:val="Standardowy"/>
    <w:uiPriority w:val="48"/>
    <w:semiHidden/>
    <w:rsid w:val="007128D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3akcent11">
    <w:name w:val="Tabela siatki 3 — akcent 11"/>
    <w:basedOn w:val="Standardowy"/>
    <w:uiPriority w:val="48"/>
    <w:semiHidden/>
    <w:rsid w:val="007128D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3akcent21">
    <w:name w:val="Tabela siatki 3 — akcent 21"/>
    <w:basedOn w:val="Standardowy"/>
    <w:uiPriority w:val="48"/>
    <w:semiHidden/>
    <w:rsid w:val="007128D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3akcent31">
    <w:name w:val="Tabela siatki 3 — akcent 31"/>
    <w:basedOn w:val="Standardowy"/>
    <w:uiPriority w:val="48"/>
    <w:semiHidden/>
    <w:rsid w:val="007128D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3akcent41">
    <w:name w:val="Tabela siatki 3 — akcent 41"/>
    <w:basedOn w:val="Standardowy"/>
    <w:uiPriority w:val="48"/>
    <w:semiHidden/>
    <w:rsid w:val="007128D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3akcent51">
    <w:name w:val="Tabela siatki 3 — akcent 51"/>
    <w:basedOn w:val="Standardowy"/>
    <w:uiPriority w:val="48"/>
    <w:semiHidden/>
    <w:rsid w:val="007128D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3akcent61">
    <w:name w:val="Tabela siatki 3 — akcent 61"/>
    <w:basedOn w:val="Standardowy"/>
    <w:uiPriority w:val="48"/>
    <w:semiHidden/>
    <w:rsid w:val="007128D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Tabelasiatki41">
    <w:name w:val="Tabela siatki 41"/>
    <w:basedOn w:val="Standardowy"/>
    <w:uiPriority w:val="49"/>
    <w:semiHidden/>
    <w:rsid w:val="007128D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4akcent11">
    <w:name w:val="Tabela siatki 4 — akcent 11"/>
    <w:basedOn w:val="Standardowy"/>
    <w:uiPriority w:val="49"/>
    <w:semiHidden/>
    <w:rsid w:val="007128D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4akcent21">
    <w:name w:val="Tabela siatki 4 — akcent 21"/>
    <w:basedOn w:val="Standardowy"/>
    <w:uiPriority w:val="49"/>
    <w:semiHidden/>
    <w:rsid w:val="007128D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4akcent31">
    <w:name w:val="Tabela siatki 4 — akcent 31"/>
    <w:basedOn w:val="Standardowy"/>
    <w:uiPriority w:val="49"/>
    <w:semiHidden/>
    <w:rsid w:val="007128D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4akcent41">
    <w:name w:val="Tabela siatki 4 — akcent 41"/>
    <w:basedOn w:val="Standardowy"/>
    <w:uiPriority w:val="49"/>
    <w:semiHidden/>
    <w:rsid w:val="007128D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4akcent51">
    <w:name w:val="Tabela siatki 4 — akcent 51"/>
    <w:basedOn w:val="Standardowy"/>
    <w:uiPriority w:val="49"/>
    <w:semiHidden/>
    <w:rsid w:val="007128D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4akcent61">
    <w:name w:val="Tabela siatki 4 — akcent 61"/>
    <w:basedOn w:val="Standardowy"/>
    <w:uiPriority w:val="49"/>
    <w:semiHidden/>
    <w:rsid w:val="007128D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5ciemna1">
    <w:name w:val="Tabela siatki 5 — ciemna1"/>
    <w:basedOn w:val="Standardowy"/>
    <w:uiPriority w:val="50"/>
    <w:semiHidden/>
    <w:rsid w:val="007128D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asiatki5ciemnaakcent11">
    <w:name w:val="Tabela siatki 5 — ciemna — akcent 11"/>
    <w:basedOn w:val="Standardowy"/>
    <w:uiPriority w:val="50"/>
    <w:semiHidden/>
    <w:rsid w:val="007128D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Tabelasiatki5ciemnaakcent21">
    <w:name w:val="Tabela siatki 5 — ciemna — akcent 21"/>
    <w:basedOn w:val="Standardowy"/>
    <w:uiPriority w:val="50"/>
    <w:semiHidden/>
    <w:rsid w:val="007128D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Tabelasiatki5ciemnaakcent31">
    <w:name w:val="Tabela siatki 5 — ciemna — akcent 31"/>
    <w:basedOn w:val="Standardowy"/>
    <w:uiPriority w:val="50"/>
    <w:semiHidden/>
    <w:rsid w:val="007128D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Tabelasiatki5ciemnaakcent41">
    <w:name w:val="Tabela siatki 5 — ciemna — akcent 41"/>
    <w:basedOn w:val="Standardowy"/>
    <w:uiPriority w:val="50"/>
    <w:semiHidden/>
    <w:rsid w:val="007128D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Tabelasiatki5ciemnaakcent51">
    <w:name w:val="Tabela siatki 5 — ciemna — akcent 51"/>
    <w:basedOn w:val="Standardowy"/>
    <w:uiPriority w:val="50"/>
    <w:semiHidden/>
    <w:rsid w:val="007128D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Tabelasiatki5ciemnaakcent61">
    <w:name w:val="Tabela siatki 5 — ciemna — akcent 61"/>
    <w:basedOn w:val="Standardowy"/>
    <w:uiPriority w:val="50"/>
    <w:semiHidden/>
    <w:rsid w:val="007128D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Tabelasiatki6kolorowa1">
    <w:name w:val="Tabela siatki 6 — kolorowa1"/>
    <w:basedOn w:val="Standardowy"/>
    <w:uiPriority w:val="51"/>
    <w:semiHidden/>
    <w:rsid w:val="007128D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6kolorowaakcent11">
    <w:name w:val="Tabela siatki 6 — kolorowa — akcent 11"/>
    <w:basedOn w:val="Standardowy"/>
    <w:uiPriority w:val="51"/>
    <w:semiHidden/>
    <w:rsid w:val="007128D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6kolorowaakcent21">
    <w:name w:val="Tabela siatki 6 — kolorowa — akcent 21"/>
    <w:basedOn w:val="Standardowy"/>
    <w:uiPriority w:val="51"/>
    <w:semiHidden/>
    <w:rsid w:val="007128D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6kolorowaakcent31">
    <w:name w:val="Tabela siatki 6 — kolorowa — akcent 31"/>
    <w:basedOn w:val="Standardowy"/>
    <w:uiPriority w:val="51"/>
    <w:semiHidden/>
    <w:rsid w:val="007128DC"/>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6kolorowaakcent41">
    <w:name w:val="Tabela siatki 6 — kolorowa — akcent 41"/>
    <w:basedOn w:val="Standardowy"/>
    <w:uiPriority w:val="51"/>
    <w:semiHidden/>
    <w:rsid w:val="007128D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6kolorowaakcent51">
    <w:name w:val="Tabela siatki 6 — kolorowa — akcent 51"/>
    <w:basedOn w:val="Standardowy"/>
    <w:uiPriority w:val="51"/>
    <w:semiHidden/>
    <w:rsid w:val="007128D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6kolorowaakcent61">
    <w:name w:val="Tabela siatki 6 — kolorowa — akcent 61"/>
    <w:basedOn w:val="Standardowy"/>
    <w:uiPriority w:val="51"/>
    <w:semiHidden/>
    <w:rsid w:val="007128D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7kolorowa1">
    <w:name w:val="Tabela siatki 7 — kolorowa1"/>
    <w:basedOn w:val="Standardowy"/>
    <w:uiPriority w:val="52"/>
    <w:semiHidden/>
    <w:rsid w:val="007128D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7kolorowaakcent11">
    <w:name w:val="Tabela siatki 7 — kolorowa — akcent 11"/>
    <w:basedOn w:val="Standardowy"/>
    <w:uiPriority w:val="52"/>
    <w:semiHidden/>
    <w:rsid w:val="007128D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7kolorowaakcent21">
    <w:name w:val="Tabela siatki 7 — kolorowa — akcent 21"/>
    <w:basedOn w:val="Standardowy"/>
    <w:uiPriority w:val="52"/>
    <w:semiHidden/>
    <w:rsid w:val="007128D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7kolorowaakcent31">
    <w:name w:val="Tabela siatki 7 — kolorowa — akcent 31"/>
    <w:basedOn w:val="Standardowy"/>
    <w:uiPriority w:val="52"/>
    <w:semiHidden/>
    <w:rsid w:val="007128DC"/>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7kolorowaakcent41">
    <w:name w:val="Tabela siatki 7 — kolorowa — akcent 41"/>
    <w:basedOn w:val="Standardowy"/>
    <w:uiPriority w:val="52"/>
    <w:semiHidden/>
    <w:rsid w:val="007128D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7kolorowaakcent51">
    <w:name w:val="Tabela siatki 7 — kolorowa — akcent 51"/>
    <w:basedOn w:val="Standardowy"/>
    <w:uiPriority w:val="52"/>
    <w:semiHidden/>
    <w:rsid w:val="007128D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7kolorowaakcent61">
    <w:name w:val="Tabela siatki 7 — kolorowa — akcent 61"/>
    <w:basedOn w:val="Standardowy"/>
    <w:uiPriority w:val="52"/>
    <w:semiHidden/>
    <w:rsid w:val="007128D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7128DC"/>
    <w:rPr>
      <w:color w:val="2B579A"/>
      <w:shd w:val="clear" w:color="auto" w:fill="E1DFDD"/>
    </w:rPr>
  </w:style>
  <w:style w:type="table" w:customStyle="1" w:styleId="Tabelalisty1jasna1">
    <w:name w:val="Tabela listy 1 — jasna1"/>
    <w:basedOn w:val="Standardowy"/>
    <w:uiPriority w:val="46"/>
    <w:semiHidden/>
    <w:rsid w:val="007128D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1jasnaakcent11">
    <w:name w:val="Tabela listy 1 — jasna — akcent 11"/>
    <w:basedOn w:val="Standardowy"/>
    <w:uiPriority w:val="46"/>
    <w:semiHidden/>
    <w:rsid w:val="007128DC"/>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1jasnaakcent21">
    <w:name w:val="Tabela listy 1 — jasna — akcent 21"/>
    <w:basedOn w:val="Standardowy"/>
    <w:uiPriority w:val="46"/>
    <w:semiHidden/>
    <w:rsid w:val="007128DC"/>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1jasnaakcent31">
    <w:name w:val="Tabela listy 1 — jasna — akcent 31"/>
    <w:basedOn w:val="Standardowy"/>
    <w:uiPriority w:val="46"/>
    <w:semiHidden/>
    <w:rsid w:val="007128DC"/>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1jasnaakcent41">
    <w:name w:val="Tabela listy 1 — jasna — akcent 41"/>
    <w:basedOn w:val="Standardowy"/>
    <w:uiPriority w:val="46"/>
    <w:semiHidden/>
    <w:rsid w:val="007128DC"/>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1jasnaakcent51">
    <w:name w:val="Tabela listy 1 — jasna — akcent 51"/>
    <w:basedOn w:val="Standardowy"/>
    <w:uiPriority w:val="46"/>
    <w:semiHidden/>
    <w:rsid w:val="007128DC"/>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1jasnaakcent61">
    <w:name w:val="Tabela listy 1 — jasna — akcent 61"/>
    <w:basedOn w:val="Standardowy"/>
    <w:uiPriority w:val="46"/>
    <w:semiHidden/>
    <w:rsid w:val="007128DC"/>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21">
    <w:name w:val="Tabela listy 21"/>
    <w:basedOn w:val="Standardowy"/>
    <w:uiPriority w:val="47"/>
    <w:semiHidden/>
    <w:rsid w:val="007128D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2akcent11">
    <w:name w:val="Tabela listy 2 — akcent 11"/>
    <w:basedOn w:val="Standardowy"/>
    <w:uiPriority w:val="47"/>
    <w:semiHidden/>
    <w:rsid w:val="007128DC"/>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2akcent21">
    <w:name w:val="Tabela listy 2 — akcent 21"/>
    <w:basedOn w:val="Standardowy"/>
    <w:uiPriority w:val="47"/>
    <w:semiHidden/>
    <w:rsid w:val="007128DC"/>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2akcent31">
    <w:name w:val="Tabela listy 2 — akcent 31"/>
    <w:basedOn w:val="Standardowy"/>
    <w:uiPriority w:val="47"/>
    <w:semiHidden/>
    <w:rsid w:val="007128DC"/>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2akcent41">
    <w:name w:val="Tabela listy 2 — akcent 41"/>
    <w:basedOn w:val="Standardowy"/>
    <w:uiPriority w:val="47"/>
    <w:semiHidden/>
    <w:rsid w:val="007128DC"/>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2akcent51">
    <w:name w:val="Tabela listy 2 — akcent 51"/>
    <w:basedOn w:val="Standardowy"/>
    <w:uiPriority w:val="47"/>
    <w:semiHidden/>
    <w:rsid w:val="007128DC"/>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2akcent61">
    <w:name w:val="Tabela listy 2 — akcent 61"/>
    <w:basedOn w:val="Standardowy"/>
    <w:uiPriority w:val="47"/>
    <w:semiHidden/>
    <w:rsid w:val="007128DC"/>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31">
    <w:name w:val="Tabela listy 31"/>
    <w:basedOn w:val="Standardowy"/>
    <w:uiPriority w:val="48"/>
    <w:semiHidden/>
    <w:rsid w:val="007128D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elalisty3akcent11">
    <w:name w:val="Tabela listy 3 — akcent 11"/>
    <w:basedOn w:val="Standardowy"/>
    <w:uiPriority w:val="48"/>
    <w:semiHidden/>
    <w:rsid w:val="007128DC"/>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Tabelalisty3akcent21">
    <w:name w:val="Tabela listy 3 — akcent 21"/>
    <w:basedOn w:val="Standardowy"/>
    <w:uiPriority w:val="48"/>
    <w:semiHidden/>
    <w:rsid w:val="007128DC"/>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Tabelalisty3akcent31">
    <w:name w:val="Tabela listy 3 — akcent 31"/>
    <w:basedOn w:val="Standardowy"/>
    <w:uiPriority w:val="48"/>
    <w:semiHidden/>
    <w:rsid w:val="007128DC"/>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Tabelalisty3akcent41">
    <w:name w:val="Tabela listy 3 — akcent 41"/>
    <w:basedOn w:val="Standardowy"/>
    <w:uiPriority w:val="48"/>
    <w:semiHidden/>
    <w:rsid w:val="007128DC"/>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Tabelalisty3akcent51">
    <w:name w:val="Tabela listy 3 — akcent 51"/>
    <w:basedOn w:val="Standardowy"/>
    <w:uiPriority w:val="48"/>
    <w:semiHidden/>
    <w:rsid w:val="007128DC"/>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Tabelalisty3akcent61">
    <w:name w:val="Tabela listy 3 — akcent 61"/>
    <w:basedOn w:val="Standardowy"/>
    <w:uiPriority w:val="48"/>
    <w:semiHidden/>
    <w:rsid w:val="007128DC"/>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Tabelalisty41">
    <w:name w:val="Tabela listy 41"/>
    <w:basedOn w:val="Standardowy"/>
    <w:uiPriority w:val="49"/>
    <w:semiHidden/>
    <w:rsid w:val="007128D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4akcent11">
    <w:name w:val="Tabela listy 4 — akcent 11"/>
    <w:basedOn w:val="Standardowy"/>
    <w:uiPriority w:val="49"/>
    <w:semiHidden/>
    <w:rsid w:val="007128D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4akcent21">
    <w:name w:val="Tabela listy 4 — akcent 21"/>
    <w:basedOn w:val="Standardowy"/>
    <w:uiPriority w:val="49"/>
    <w:semiHidden/>
    <w:rsid w:val="007128D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4akcent31">
    <w:name w:val="Tabela listy 4 — akcent 31"/>
    <w:basedOn w:val="Standardowy"/>
    <w:uiPriority w:val="49"/>
    <w:semiHidden/>
    <w:rsid w:val="007128D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4akcent41">
    <w:name w:val="Tabela listy 4 — akcent 41"/>
    <w:basedOn w:val="Standardowy"/>
    <w:uiPriority w:val="49"/>
    <w:semiHidden/>
    <w:rsid w:val="007128D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4akcent51">
    <w:name w:val="Tabela listy 4 — akcent 51"/>
    <w:basedOn w:val="Standardowy"/>
    <w:uiPriority w:val="49"/>
    <w:semiHidden/>
    <w:rsid w:val="007128D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4akcent61">
    <w:name w:val="Tabela listy 4 — akcent 61"/>
    <w:basedOn w:val="Standardowy"/>
    <w:uiPriority w:val="49"/>
    <w:semiHidden/>
    <w:rsid w:val="007128D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5ciemna1">
    <w:name w:val="Tabela listy 5 — ciemna1"/>
    <w:basedOn w:val="Standardowy"/>
    <w:uiPriority w:val="50"/>
    <w:semiHidden/>
    <w:rsid w:val="007128DC"/>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11">
    <w:name w:val="Tabela listy 5 — ciemna — akcent 11"/>
    <w:basedOn w:val="Standardowy"/>
    <w:uiPriority w:val="50"/>
    <w:semiHidden/>
    <w:rsid w:val="007128DC"/>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21">
    <w:name w:val="Tabela listy 5 — ciemna — akcent 21"/>
    <w:basedOn w:val="Standardowy"/>
    <w:uiPriority w:val="50"/>
    <w:semiHidden/>
    <w:rsid w:val="007128DC"/>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31">
    <w:name w:val="Tabela listy 5 — ciemna — akcent 31"/>
    <w:basedOn w:val="Standardowy"/>
    <w:uiPriority w:val="50"/>
    <w:semiHidden/>
    <w:rsid w:val="007128DC"/>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41">
    <w:name w:val="Tabela listy 5 — ciemna — akcent 41"/>
    <w:basedOn w:val="Standardowy"/>
    <w:uiPriority w:val="50"/>
    <w:semiHidden/>
    <w:rsid w:val="007128DC"/>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51">
    <w:name w:val="Tabela listy 5 — ciemna — akcent 51"/>
    <w:basedOn w:val="Standardowy"/>
    <w:uiPriority w:val="50"/>
    <w:semiHidden/>
    <w:rsid w:val="007128DC"/>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61">
    <w:name w:val="Tabela listy 5 — ciemna — akcent 61"/>
    <w:basedOn w:val="Standardowy"/>
    <w:uiPriority w:val="50"/>
    <w:semiHidden/>
    <w:rsid w:val="007128DC"/>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6kolorowa1">
    <w:name w:val="Tabela listy 6 — kolorowa1"/>
    <w:basedOn w:val="Standardowy"/>
    <w:uiPriority w:val="51"/>
    <w:semiHidden/>
    <w:rsid w:val="007128D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6kolorowaakcent11">
    <w:name w:val="Tabela listy 6 — kolorowa — akcent 11"/>
    <w:basedOn w:val="Standardowy"/>
    <w:uiPriority w:val="51"/>
    <w:semiHidden/>
    <w:rsid w:val="007128DC"/>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6kolorowaakcent21">
    <w:name w:val="Tabela listy 6 — kolorowa — akcent 21"/>
    <w:basedOn w:val="Standardowy"/>
    <w:uiPriority w:val="51"/>
    <w:semiHidden/>
    <w:rsid w:val="007128DC"/>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6kolorowaakcent31">
    <w:name w:val="Tabela listy 6 — kolorowa — akcent 31"/>
    <w:basedOn w:val="Standardowy"/>
    <w:uiPriority w:val="51"/>
    <w:semiHidden/>
    <w:rsid w:val="007128DC"/>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6kolorowaakcent41">
    <w:name w:val="Tabela listy 6 — kolorowa — akcent 41"/>
    <w:basedOn w:val="Standardowy"/>
    <w:uiPriority w:val="51"/>
    <w:semiHidden/>
    <w:rsid w:val="007128DC"/>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6kolorowaakcent51">
    <w:name w:val="Tabela listy 6 — kolorowa — akcent 51"/>
    <w:basedOn w:val="Standardowy"/>
    <w:uiPriority w:val="51"/>
    <w:semiHidden/>
    <w:rsid w:val="007128DC"/>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6kolorowaakcent61">
    <w:name w:val="Tabela listy 6 — kolorowa — akcent 61"/>
    <w:basedOn w:val="Standardowy"/>
    <w:uiPriority w:val="51"/>
    <w:semiHidden/>
    <w:rsid w:val="007128DC"/>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7kolorowa1">
    <w:name w:val="Tabela listy 7 — kolorowa1"/>
    <w:basedOn w:val="Standardowy"/>
    <w:uiPriority w:val="52"/>
    <w:semiHidden/>
    <w:rsid w:val="007128D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11">
    <w:name w:val="Tabela listy 7 — kolorowa — akcent 11"/>
    <w:basedOn w:val="Standardowy"/>
    <w:uiPriority w:val="52"/>
    <w:semiHidden/>
    <w:rsid w:val="007128DC"/>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21">
    <w:name w:val="Tabela listy 7 — kolorowa — akcent 21"/>
    <w:basedOn w:val="Standardowy"/>
    <w:uiPriority w:val="52"/>
    <w:semiHidden/>
    <w:rsid w:val="007128DC"/>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31">
    <w:name w:val="Tabela listy 7 — kolorowa — akcent 31"/>
    <w:basedOn w:val="Standardowy"/>
    <w:uiPriority w:val="52"/>
    <w:semiHidden/>
    <w:rsid w:val="007128DC"/>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41">
    <w:name w:val="Tabela listy 7 — kolorowa — akcent 41"/>
    <w:basedOn w:val="Standardowy"/>
    <w:uiPriority w:val="52"/>
    <w:semiHidden/>
    <w:rsid w:val="007128DC"/>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51">
    <w:name w:val="Tabela listy 7 — kolorowa — akcent 51"/>
    <w:basedOn w:val="Standardowy"/>
    <w:uiPriority w:val="52"/>
    <w:semiHidden/>
    <w:rsid w:val="007128DC"/>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61">
    <w:name w:val="Tabela listy 7 — kolorowa — akcent 61"/>
    <w:basedOn w:val="Standardowy"/>
    <w:uiPriority w:val="52"/>
    <w:semiHidden/>
    <w:rsid w:val="007128DC"/>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7128DC"/>
    <w:rPr>
      <w:color w:val="2B579A"/>
      <w:shd w:val="clear" w:color="auto" w:fill="E1DFDD"/>
    </w:rPr>
  </w:style>
  <w:style w:type="table" w:customStyle="1" w:styleId="Zwykatabela11">
    <w:name w:val="Zwykła tabela 11"/>
    <w:basedOn w:val="Standardowy"/>
    <w:uiPriority w:val="41"/>
    <w:semiHidden/>
    <w:rsid w:val="007128DC"/>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21">
    <w:name w:val="Zwykła tabela 21"/>
    <w:basedOn w:val="Standardowy"/>
    <w:uiPriority w:val="42"/>
    <w:semiHidden/>
    <w:rsid w:val="007128D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Zwykatabela31">
    <w:name w:val="Zwykła tabela 31"/>
    <w:basedOn w:val="Standardowy"/>
    <w:uiPriority w:val="43"/>
    <w:semiHidden/>
    <w:rsid w:val="007128D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Zwykatabela41">
    <w:name w:val="Zwykła tabela 41"/>
    <w:basedOn w:val="Standardowy"/>
    <w:uiPriority w:val="44"/>
    <w:semiHidden/>
    <w:rsid w:val="007128D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51">
    <w:name w:val="Zwykła tabela 51"/>
    <w:basedOn w:val="Standardowy"/>
    <w:uiPriority w:val="45"/>
    <w:semiHidden/>
    <w:rsid w:val="007128D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7128DC"/>
    <w:rPr>
      <w:u w:val="dotted"/>
    </w:rPr>
  </w:style>
  <w:style w:type="character" w:customStyle="1" w:styleId="Inteligentnylink1">
    <w:name w:val="Inteligentny link1"/>
    <w:basedOn w:val="Domylnaczcionkaakapitu"/>
    <w:uiPriority w:val="99"/>
    <w:semiHidden/>
    <w:unhideWhenUsed/>
    <w:rsid w:val="007128DC"/>
    <w:rPr>
      <w:color w:val="0000FF"/>
      <w:u w:val="single"/>
      <w:shd w:val="clear" w:color="auto" w:fill="F3F2F1"/>
    </w:rPr>
  </w:style>
  <w:style w:type="table" w:customStyle="1" w:styleId="Siatkatabelijasna1">
    <w:name w:val="Siatka tabeli — jasna1"/>
    <w:basedOn w:val="Standardowy"/>
    <w:uiPriority w:val="40"/>
    <w:semiHidden/>
    <w:rsid w:val="007128DC"/>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7128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92ECF7-7817-489F-9C36-099F672F9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2605</Words>
  <Characters>15636</Characters>
  <Application>Microsoft Office Word</Application>
  <DocSecurity>0</DocSecurity>
  <Lines>130</Lines>
  <Paragraphs>36</Paragraphs>
  <ScaleCrop>false</ScaleCrop>
  <Manager/>
  <Company/>
  <LinksUpToDate>false</LinksUpToDate>
  <CharactersWithSpaces>18205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2021-07-06T11:29:00Z</dcterms:created>
  <dcterms:modified xsi:type="dcterms:W3CDTF">2021-07-06T11:34:00Z</dcterms:modified>
  <cp:category/>
</cp:coreProperties>
</file>