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7D500" w14:textId="1419BB1A" w:rsidR="00C706B0" w:rsidRPr="000D4359" w:rsidRDefault="00FF1B1F" w:rsidP="00AF0396">
      <w:pPr>
        <w:jc w:val="center"/>
        <w:rPr>
          <w:rFonts w:ascii="Times New Roman" w:hAnsi="Times New Roman" w:cs="Times New Roman"/>
        </w:rPr>
      </w:pPr>
      <w:r w:rsidRPr="000D4359">
        <w:rPr>
          <w:rFonts w:ascii="Times New Roman" w:hAnsi="Times New Roman" w:cs="Times New Roman"/>
        </w:rPr>
        <w:t>EUROPEJSKI TRYBUNAŁ PRAW CZŁOWIEKA</w:t>
      </w:r>
    </w:p>
    <w:p w14:paraId="01134688" w14:textId="77777777" w:rsidR="0098410D" w:rsidRPr="000D4359" w:rsidRDefault="0098410D" w:rsidP="00AF0396">
      <w:pPr>
        <w:jc w:val="center"/>
      </w:pPr>
    </w:p>
    <w:p w14:paraId="5B85879A" w14:textId="77777777" w:rsidR="0098410D" w:rsidRPr="000D4359" w:rsidRDefault="00C706B0" w:rsidP="00AF0396">
      <w:pPr>
        <w:pStyle w:val="DecHCase"/>
      </w:pPr>
      <w:r w:rsidRPr="000D4359">
        <w:t>SEKCJA PIERWSZA</w:t>
      </w:r>
    </w:p>
    <w:p w14:paraId="2CB001A1" w14:textId="241EBF9B" w:rsidR="008E6217" w:rsidRPr="000D4359" w:rsidRDefault="008E6217" w:rsidP="00AF0396">
      <w:pPr>
        <w:pStyle w:val="JuTitle"/>
        <w:rPr>
          <w:sz w:val="22"/>
          <w:szCs w:val="22"/>
        </w:rPr>
      </w:pPr>
      <w:bookmarkStart w:id="0" w:name="To"/>
      <w:r w:rsidRPr="000D4359">
        <w:rPr>
          <w:color w:val="000000" w:themeColor="text1"/>
          <w:sz w:val="22"/>
          <w:szCs w:val="22"/>
        </w:rPr>
        <w:t>SPRAWA</w:t>
      </w:r>
      <w:bookmarkEnd w:id="0"/>
      <w:r w:rsidR="00D70FB1" w:rsidRPr="000D4359">
        <w:rPr>
          <w:color w:val="000000" w:themeColor="text1"/>
          <w:sz w:val="22"/>
          <w:szCs w:val="22"/>
        </w:rPr>
        <w:t xml:space="preserve"> </w:t>
      </w:r>
      <w:r w:rsidRPr="000D4359">
        <w:rPr>
          <w:sz w:val="22"/>
          <w:szCs w:val="22"/>
        </w:rPr>
        <w:t xml:space="preserve">SŁAWIŃSKI </w:t>
      </w:r>
      <w:r w:rsidR="00BB0056" w:rsidRPr="000D4359">
        <w:rPr>
          <w:sz w:val="22"/>
          <w:szCs w:val="22"/>
        </w:rPr>
        <w:t>przeciwko</w:t>
      </w:r>
      <w:r w:rsidRPr="000D4359">
        <w:rPr>
          <w:sz w:val="22"/>
          <w:szCs w:val="22"/>
        </w:rPr>
        <w:t xml:space="preserve"> POLSCE</w:t>
      </w:r>
    </w:p>
    <w:p w14:paraId="773B44E4" w14:textId="174DBE88" w:rsidR="00D74888" w:rsidRPr="000D4359" w:rsidRDefault="008E6217" w:rsidP="00AF0396">
      <w:pPr>
        <w:pStyle w:val="ECHRCoverTitle4"/>
      </w:pPr>
      <w:r w:rsidRPr="000D4359">
        <w:t>(Skarga nr</w:t>
      </w:r>
      <w:r w:rsidR="00DD61C5" w:rsidRPr="000D4359">
        <w:t xml:space="preserve"> </w:t>
      </w:r>
      <w:r w:rsidRPr="000D4359">
        <w:t>61039/16)</w:t>
      </w:r>
    </w:p>
    <w:p w14:paraId="37CEE301" w14:textId="77777777" w:rsidR="0098410D" w:rsidRPr="000D4359" w:rsidRDefault="0098410D" w:rsidP="00AF0396">
      <w:pPr>
        <w:pStyle w:val="DecHCase"/>
      </w:pPr>
    </w:p>
    <w:p w14:paraId="16E760BA" w14:textId="77777777" w:rsidR="0098410D" w:rsidRPr="000D4359" w:rsidRDefault="0098410D" w:rsidP="00AF0396">
      <w:pPr>
        <w:pStyle w:val="DecHCase"/>
      </w:pPr>
    </w:p>
    <w:p w14:paraId="45767E5C" w14:textId="77777777" w:rsidR="00AC4CD4" w:rsidRPr="000D4359" w:rsidRDefault="00AC4CD4" w:rsidP="00AF0396">
      <w:pPr>
        <w:pStyle w:val="DecHCase"/>
      </w:pPr>
    </w:p>
    <w:p w14:paraId="6DDA7180" w14:textId="77777777" w:rsidR="0098410D" w:rsidRPr="000D4359" w:rsidRDefault="0098410D" w:rsidP="00AF0396">
      <w:pPr>
        <w:pStyle w:val="DecHCase"/>
      </w:pPr>
    </w:p>
    <w:p w14:paraId="704132C9" w14:textId="77777777" w:rsidR="00AF0396" w:rsidRPr="000D4359" w:rsidRDefault="00AF0396" w:rsidP="00AF0396">
      <w:pPr>
        <w:pStyle w:val="DecHCase"/>
      </w:pPr>
    </w:p>
    <w:p w14:paraId="10462975" w14:textId="77777777" w:rsidR="00AF0396" w:rsidRPr="000D4359" w:rsidRDefault="00AF0396" w:rsidP="00AF0396">
      <w:pPr>
        <w:pStyle w:val="DecHCase"/>
      </w:pPr>
    </w:p>
    <w:p w14:paraId="6EB11849" w14:textId="77777777" w:rsidR="0098410D" w:rsidRPr="000D4359" w:rsidRDefault="0098410D" w:rsidP="00AF0396">
      <w:pPr>
        <w:pStyle w:val="DecHCase"/>
        <w:rPr>
          <w:sz w:val="22"/>
          <w:szCs w:val="22"/>
        </w:rPr>
      </w:pPr>
      <w:r w:rsidRPr="000D4359">
        <w:rPr>
          <w:sz w:val="22"/>
          <w:szCs w:val="22"/>
        </w:rPr>
        <w:t>WYROK</w:t>
      </w:r>
      <w:r w:rsidRPr="000D4359">
        <w:rPr>
          <w:sz w:val="22"/>
          <w:szCs w:val="22"/>
        </w:rPr>
        <w:br/>
      </w:r>
    </w:p>
    <w:p w14:paraId="1AFD9DDC" w14:textId="77777777" w:rsidR="0098410D" w:rsidRPr="000D4359" w:rsidRDefault="0098410D" w:rsidP="00AF0396">
      <w:pPr>
        <w:pStyle w:val="DecHCase"/>
        <w:rPr>
          <w:sz w:val="22"/>
          <w:szCs w:val="22"/>
        </w:rPr>
      </w:pPr>
      <w:r w:rsidRPr="000D4359">
        <w:rPr>
          <w:sz w:val="22"/>
          <w:szCs w:val="22"/>
        </w:rPr>
        <w:t>STRASBURG</w:t>
      </w:r>
    </w:p>
    <w:p w14:paraId="0E9DC5C9" w14:textId="77777777" w:rsidR="0098410D" w:rsidRPr="000D4359" w:rsidRDefault="00C706B0" w:rsidP="00AF0396">
      <w:pPr>
        <w:pStyle w:val="DecHCase"/>
      </w:pPr>
      <w:r w:rsidRPr="000D4359">
        <w:rPr>
          <w:rFonts w:ascii="Times New Roman" w:hAnsi="Times New Roman"/>
        </w:rPr>
        <w:t>15 kwietnia 2021 r.</w:t>
      </w:r>
    </w:p>
    <w:p w14:paraId="55B960B9" w14:textId="77777777" w:rsidR="00AC4CD4" w:rsidRPr="000D4359" w:rsidRDefault="00AC4CD4" w:rsidP="00AF0396">
      <w:pPr>
        <w:pStyle w:val="JuPara"/>
      </w:pPr>
    </w:p>
    <w:p w14:paraId="43C07598" w14:textId="1C932EBE" w:rsidR="002422B6" w:rsidRPr="000D4359" w:rsidRDefault="0098410D" w:rsidP="00AF0396">
      <w:pPr>
        <w:jc w:val="center"/>
        <w:rPr>
          <w:i/>
          <w:sz w:val="22"/>
        </w:rPr>
      </w:pPr>
      <w:r w:rsidRPr="000D4359">
        <w:rPr>
          <w:i/>
          <w:sz w:val="22"/>
        </w:rPr>
        <w:t xml:space="preserve">Wyrok ten </w:t>
      </w:r>
      <w:r w:rsidR="00FF1B1F" w:rsidRPr="000D4359">
        <w:rPr>
          <w:i/>
          <w:sz w:val="22"/>
        </w:rPr>
        <w:t xml:space="preserve">jest </w:t>
      </w:r>
      <w:r w:rsidRPr="000D4359">
        <w:rPr>
          <w:i/>
          <w:sz w:val="22"/>
        </w:rPr>
        <w:t>ostateczny, lecz może podlegać korekcie wydawniczej.</w:t>
      </w:r>
    </w:p>
    <w:p w14:paraId="496C20A2" w14:textId="77777777" w:rsidR="0098410D" w:rsidRPr="000D4359" w:rsidRDefault="0098410D" w:rsidP="00AF0396">
      <w:pPr>
        <w:sectPr w:rsidR="0098410D" w:rsidRPr="000D4359" w:rsidSect="00D6647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542CCD94" w14:textId="77777777" w:rsidR="0098410D" w:rsidRPr="000D4359" w:rsidRDefault="0098410D" w:rsidP="00AF0396">
      <w:pPr>
        <w:pStyle w:val="JuCase"/>
      </w:pPr>
      <w:r w:rsidRPr="000D4359">
        <w:lastRenderedPageBreak/>
        <w:t>W sprawie Sławiński przeciwko Polsce</w:t>
      </w:r>
    </w:p>
    <w:p w14:paraId="55D781BA" w14:textId="7FAF1F57" w:rsidR="009F4C8F" w:rsidRPr="000D4359" w:rsidRDefault="009F4C8F" w:rsidP="00AF0396">
      <w:pPr>
        <w:pStyle w:val="JuPara"/>
      </w:pPr>
      <w:r w:rsidRPr="000D4359">
        <w:t>Europejski Trybunał Praw Człowieka (</w:t>
      </w:r>
      <w:r w:rsidR="00FF1B1F" w:rsidRPr="000D4359">
        <w:t>Sekcja Pierwsza</w:t>
      </w:r>
      <w:r w:rsidRPr="000D4359">
        <w:t>), zasiadając jako Komitet w składzie:</w:t>
      </w:r>
    </w:p>
    <w:p w14:paraId="4798AA0A" w14:textId="62367B15" w:rsidR="009F4C8F" w:rsidRPr="000D4359" w:rsidRDefault="000B3659" w:rsidP="00AF0396">
      <w:pPr>
        <w:pStyle w:val="JuJudges"/>
      </w:pPr>
      <w:r w:rsidRPr="000D4359">
        <w:tab/>
        <w:t>Krzysztof Wojtyczek</w:t>
      </w:r>
      <w:r w:rsidRPr="000D4359">
        <w:rPr>
          <w:i/>
        </w:rPr>
        <w:t>, Przewodniczący</w:t>
      </w:r>
      <w:r w:rsidRPr="000D4359">
        <w:t>,</w:t>
      </w:r>
      <w:r w:rsidRPr="000D4359">
        <w:br/>
      </w:r>
      <w:r w:rsidR="00637993" w:rsidRPr="000D4359">
        <w:tab/>
      </w:r>
      <w:r w:rsidRPr="000D4359">
        <w:t xml:space="preserve">Erik </w:t>
      </w:r>
      <w:proofErr w:type="spellStart"/>
      <w:r w:rsidRPr="000D4359">
        <w:t>Wennerström</w:t>
      </w:r>
      <w:proofErr w:type="spellEnd"/>
      <w:r w:rsidRPr="000D4359">
        <w:t>,</w:t>
      </w:r>
      <w:r w:rsidRPr="000D4359">
        <w:rPr>
          <w:i/>
        </w:rPr>
        <w:br/>
      </w:r>
      <w:r w:rsidRPr="000D4359">
        <w:tab/>
      </w:r>
      <w:proofErr w:type="spellStart"/>
      <w:r w:rsidRPr="000D4359">
        <w:t>Ioannis</w:t>
      </w:r>
      <w:proofErr w:type="spellEnd"/>
      <w:r w:rsidRPr="000D4359">
        <w:t xml:space="preserve"> </w:t>
      </w:r>
      <w:proofErr w:type="spellStart"/>
      <w:r w:rsidRPr="000D4359">
        <w:t>Ktistakis</w:t>
      </w:r>
      <w:proofErr w:type="spellEnd"/>
      <w:r w:rsidRPr="000D4359">
        <w:t>,</w:t>
      </w:r>
      <w:r w:rsidRPr="000D4359">
        <w:rPr>
          <w:i/>
        </w:rPr>
        <w:t xml:space="preserve"> sędziowie</w:t>
      </w:r>
      <w:r w:rsidRPr="000D4359">
        <w:t>,</w:t>
      </w:r>
      <w:r w:rsidRPr="000D4359">
        <w:br/>
        <w:t xml:space="preserve">oraz </w:t>
      </w:r>
      <w:proofErr w:type="spellStart"/>
      <w:r w:rsidRPr="000D4359">
        <w:t>Liv</w:t>
      </w:r>
      <w:proofErr w:type="spellEnd"/>
      <w:r w:rsidRPr="000D4359">
        <w:t xml:space="preserve"> </w:t>
      </w:r>
      <w:proofErr w:type="spellStart"/>
      <w:r w:rsidRPr="000D4359">
        <w:t>Tigerstedt</w:t>
      </w:r>
      <w:proofErr w:type="spellEnd"/>
      <w:r w:rsidRPr="000D4359">
        <w:t xml:space="preserve">, </w:t>
      </w:r>
      <w:r w:rsidR="00DD61C5" w:rsidRPr="000D4359">
        <w:rPr>
          <w:i/>
        </w:rPr>
        <w:t xml:space="preserve">Zastępca </w:t>
      </w:r>
      <w:r w:rsidR="00DD61C5" w:rsidRPr="000D4359">
        <w:rPr>
          <w:i/>
          <w:iCs/>
        </w:rPr>
        <w:t>Kanclerza Sekcji</w:t>
      </w:r>
      <w:r w:rsidRPr="000D4359">
        <w:t>,</w:t>
      </w:r>
    </w:p>
    <w:p w14:paraId="46C029EF" w14:textId="77777777" w:rsidR="00C706B0" w:rsidRPr="000D4359" w:rsidRDefault="00C706B0" w:rsidP="00AF0396">
      <w:pPr>
        <w:pStyle w:val="JuPara"/>
      </w:pPr>
      <w:bookmarkStart w:id="1" w:name="ITMARKHavingStart"/>
      <w:bookmarkEnd w:id="1"/>
      <w:r w:rsidRPr="000D4359">
        <w:t>Mając na uwadze:</w:t>
      </w:r>
    </w:p>
    <w:p w14:paraId="551589AB" w14:textId="4DBC3064" w:rsidR="00C706B0" w:rsidRPr="000D4359" w:rsidRDefault="00C706B0" w:rsidP="00AF0396">
      <w:pPr>
        <w:pStyle w:val="JuPara"/>
      </w:pPr>
      <w:r w:rsidRPr="000D4359">
        <w:t>skargę (nr</w:t>
      </w:r>
      <w:r w:rsidR="00DD61C5" w:rsidRPr="000D4359">
        <w:t xml:space="preserve"> </w:t>
      </w:r>
      <w:r w:rsidRPr="000D4359">
        <w:t>61039/16) przeciwko Rzeczypospolitej Polskiej wniesioną do</w:t>
      </w:r>
      <w:r w:rsidR="00E60A23" w:rsidRPr="000D4359">
        <w:t> </w:t>
      </w:r>
      <w:r w:rsidRPr="000D4359">
        <w:t>Trybunału w dniu 11 października 2016</w:t>
      </w:r>
      <w:r w:rsidR="00DD61C5" w:rsidRPr="000D4359">
        <w:t xml:space="preserve"> </w:t>
      </w:r>
      <w:r w:rsidRPr="000D4359">
        <w:t>r. na podstawie art.</w:t>
      </w:r>
      <w:r w:rsidR="00DD61C5" w:rsidRPr="000D4359">
        <w:t xml:space="preserve"> </w:t>
      </w:r>
      <w:r w:rsidRPr="000D4359">
        <w:t>34 Konwencji o ochronie praw człowieka i</w:t>
      </w:r>
      <w:r w:rsidR="00DD61C5" w:rsidRPr="000D4359">
        <w:t xml:space="preserve"> </w:t>
      </w:r>
      <w:r w:rsidRPr="000D4359">
        <w:t>podstawowych wolności („Konwencji”) przez obywatela polskiego Mariusza Grzegorza Sławińskiego („skarżącego”);</w:t>
      </w:r>
    </w:p>
    <w:p w14:paraId="364F48C7" w14:textId="7EFA1A5C" w:rsidR="00C706B0" w:rsidRPr="000D4359" w:rsidRDefault="00C706B0" w:rsidP="00AF0396">
      <w:pPr>
        <w:pStyle w:val="JuPara"/>
      </w:pPr>
      <w:r w:rsidRPr="000D4359">
        <w:t xml:space="preserve">decyzję o </w:t>
      </w:r>
      <w:r w:rsidR="00DD61C5" w:rsidRPr="000D4359">
        <w:t>zakomunikowaniu Rządowi</w:t>
      </w:r>
      <w:r w:rsidRPr="000D4359">
        <w:t xml:space="preserve"> RP („Rząd</w:t>
      </w:r>
      <w:r w:rsidR="00615A04" w:rsidRPr="000D4359">
        <w:t>owi</w:t>
      </w:r>
      <w:r w:rsidRPr="000D4359">
        <w:t xml:space="preserve">”) </w:t>
      </w:r>
      <w:r w:rsidR="00DD61C5" w:rsidRPr="000D4359">
        <w:t>zarzutów skargi</w:t>
      </w:r>
      <w:r w:rsidRPr="000D4359">
        <w:t xml:space="preserve"> dotyczących przewlekłości postępowania karnego o</w:t>
      </w:r>
      <w:bookmarkStart w:id="2" w:name="_GoBack"/>
      <w:bookmarkEnd w:id="2"/>
      <w:r w:rsidRPr="000D4359">
        <w:t>raz prawa do</w:t>
      </w:r>
      <w:r w:rsidR="00E60A23" w:rsidRPr="000D4359">
        <w:t> </w:t>
      </w:r>
      <w:r w:rsidRPr="000D4359">
        <w:t>skutecznego środka odwoławczego;</w:t>
      </w:r>
    </w:p>
    <w:p w14:paraId="1AA7C41A" w14:textId="77777777" w:rsidR="00C706B0" w:rsidRPr="000D4359" w:rsidRDefault="00C706B0" w:rsidP="00AF0396">
      <w:pPr>
        <w:pStyle w:val="JuPara"/>
      </w:pPr>
      <w:r w:rsidRPr="000D4359">
        <w:t>uwagi stron;</w:t>
      </w:r>
    </w:p>
    <w:p w14:paraId="311AC9B3" w14:textId="5BD2436A" w:rsidR="009F4C8F" w:rsidRPr="000D4359" w:rsidRDefault="009F4C8F" w:rsidP="00AF0396">
      <w:pPr>
        <w:pStyle w:val="JuPara"/>
      </w:pPr>
      <w:r w:rsidRPr="000D4359">
        <w:t>obradując na posiedzeniu niejawnym w dniu 16 marca 2021</w:t>
      </w:r>
      <w:r w:rsidR="00DD61C5" w:rsidRPr="000D4359">
        <w:t xml:space="preserve"> </w:t>
      </w:r>
      <w:r w:rsidRPr="000D4359">
        <w:t>r.,</w:t>
      </w:r>
    </w:p>
    <w:p w14:paraId="6BB8B0F7" w14:textId="77777777" w:rsidR="009F4C8F" w:rsidRPr="000D4359" w:rsidRDefault="009F4C8F" w:rsidP="00AF0396">
      <w:pPr>
        <w:pStyle w:val="JuPara"/>
      </w:pPr>
      <w:r w:rsidRPr="000D4359">
        <w:t>wydaje następujący wyrok, który został przyjęty w tym dniu:</w:t>
      </w:r>
    </w:p>
    <w:p w14:paraId="2769E4E0" w14:textId="77777777" w:rsidR="00C706B0" w:rsidRPr="000D4359" w:rsidRDefault="00C706B0" w:rsidP="00AF0925">
      <w:pPr>
        <w:pStyle w:val="JuHHead"/>
      </w:pPr>
      <w:r w:rsidRPr="000D4359">
        <w:t>WPROWADZENIE</w:t>
      </w:r>
    </w:p>
    <w:p w14:paraId="247E23A4" w14:textId="0CE86200" w:rsidR="00C706B0" w:rsidRPr="000D4359" w:rsidRDefault="00146231" w:rsidP="00AF0396">
      <w:pPr>
        <w:pStyle w:val="JuPara"/>
      </w:pPr>
      <w:r w:rsidRPr="000D4359">
        <w:rPr>
          <w:noProof/>
        </w:rPr>
        <w:t>1</w:t>
      </w:r>
      <w:r w:rsidR="00C706B0" w:rsidRPr="000D4359">
        <w:t>.</w:t>
      </w:r>
      <w:r w:rsidR="00DD61C5" w:rsidRPr="000D4359">
        <w:t xml:space="preserve"> </w:t>
      </w:r>
      <w:r w:rsidR="00C706B0" w:rsidRPr="000D4359">
        <w:t>Sprawa dotyczy przewlekłości prowadzonego przeciwko skarżącemu postępowania karnego oraz braku skutecznego środka odwoławczego pozwalającego na jego zaskarżenie.</w:t>
      </w:r>
    </w:p>
    <w:p w14:paraId="162A223F" w14:textId="77777777" w:rsidR="00C706B0" w:rsidRPr="000D4359" w:rsidRDefault="00C706B0" w:rsidP="00AF0396">
      <w:pPr>
        <w:pStyle w:val="JuHHead"/>
      </w:pPr>
      <w:r w:rsidRPr="000D4359">
        <w:t>FAKTY</w:t>
      </w:r>
    </w:p>
    <w:p w14:paraId="6970924B" w14:textId="36C12DD7" w:rsidR="00C706B0" w:rsidRPr="000D4359" w:rsidRDefault="00146231" w:rsidP="00AF0396">
      <w:pPr>
        <w:pStyle w:val="JuPara"/>
      </w:pPr>
      <w:r w:rsidRPr="000D4359">
        <w:rPr>
          <w:noProof/>
        </w:rPr>
        <w:t>2</w:t>
      </w:r>
      <w:r w:rsidR="00C706B0" w:rsidRPr="000D4359">
        <w:t>.</w:t>
      </w:r>
      <w:r w:rsidR="00DD61C5" w:rsidRPr="000D4359">
        <w:t xml:space="preserve"> </w:t>
      </w:r>
      <w:r w:rsidR="00C706B0" w:rsidRPr="000D4359">
        <w:t>Skarżący urodził się w</w:t>
      </w:r>
      <w:r w:rsidR="00DD61C5" w:rsidRPr="000D4359">
        <w:t xml:space="preserve"> </w:t>
      </w:r>
      <w:r w:rsidR="00C706B0" w:rsidRPr="000D4359">
        <w:t>1958</w:t>
      </w:r>
      <w:r w:rsidR="00DD61C5" w:rsidRPr="000D4359">
        <w:t xml:space="preserve"> </w:t>
      </w:r>
      <w:r w:rsidR="00C706B0" w:rsidRPr="000D4359">
        <w:t>r. i mieszka w Gniewkowie.</w:t>
      </w:r>
    </w:p>
    <w:p w14:paraId="1EA9250F" w14:textId="68B4690A" w:rsidR="00C706B0" w:rsidRPr="000D4359" w:rsidRDefault="00146231" w:rsidP="00AF0396">
      <w:pPr>
        <w:pStyle w:val="JuPara"/>
      </w:pPr>
      <w:r w:rsidRPr="000D4359">
        <w:rPr>
          <w:noProof/>
        </w:rPr>
        <w:t>3</w:t>
      </w:r>
      <w:r w:rsidR="00C706B0" w:rsidRPr="000D4359">
        <w:t>.</w:t>
      </w:r>
      <w:r w:rsidR="00DD61C5" w:rsidRPr="000D4359">
        <w:t xml:space="preserve"> </w:t>
      </w:r>
      <w:r w:rsidR="00C706B0" w:rsidRPr="000D4359">
        <w:t>Rząd polski („Rząd”) reprezentowany był przez swoj</w:t>
      </w:r>
      <w:r w:rsidR="00637993" w:rsidRPr="000D4359">
        <w:t>ą</w:t>
      </w:r>
      <w:r w:rsidR="00C706B0" w:rsidRPr="000D4359">
        <w:t xml:space="preserve"> pełnomocnik J.</w:t>
      </w:r>
      <w:r w:rsidR="00E60A23" w:rsidRPr="000D4359">
        <w:t> </w:t>
      </w:r>
      <w:r w:rsidR="00C706B0" w:rsidRPr="000D4359">
        <w:t>Chrzanowską, a następnie przez J. Sobczaka z Ministerstwa Spraw Zagranicznych.</w:t>
      </w:r>
    </w:p>
    <w:p w14:paraId="59FF73CF" w14:textId="5206B37A" w:rsidR="00C706B0" w:rsidRPr="000D4359" w:rsidRDefault="00146231" w:rsidP="00AF0396">
      <w:pPr>
        <w:pStyle w:val="JuPara"/>
      </w:pPr>
      <w:r w:rsidRPr="000D4359">
        <w:rPr>
          <w:noProof/>
        </w:rPr>
        <w:t>4</w:t>
      </w:r>
      <w:r w:rsidR="00C706B0" w:rsidRPr="000D4359">
        <w:t>.</w:t>
      </w:r>
      <w:r w:rsidR="00DD61C5" w:rsidRPr="000D4359">
        <w:t xml:space="preserve"> </w:t>
      </w:r>
      <w:r w:rsidR="00C706B0" w:rsidRPr="000D4359">
        <w:t>Przedstawione przez strony okoliczności faktyczne sprawy można streścić w następujący sposób.</w:t>
      </w:r>
    </w:p>
    <w:p w14:paraId="380AB15A" w14:textId="77777777" w:rsidR="00C706B0" w:rsidRPr="000D4359" w:rsidRDefault="00C706B0" w:rsidP="00AF0396">
      <w:pPr>
        <w:pStyle w:val="JuHIRoman"/>
      </w:pPr>
      <w:r w:rsidRPr="000D4359">
        <w:t>Postępowanie karne</w:t>
      </w:r>
    </w:p>
    <w:p w14:paraId="0D42ABC8" w14:textId="795FD756" w:rsidR="00C706B0" w:rsidRPr="000D4359" w:rsidRDefault="00146231" w:rsidP="00AF0396">
      <w:pPr>
        <w:pStyle w:val="JuPara"/>
      </w:pPr>
      <w:bookmarkStart w:id="3" w:name="charged"/>
      <w:r w:rsidRPr="000D4359">
        <w:rPr>
          <w:noProof/>
        </w:rPr>
        <w:t>5</w:t>
      </w:r>
      <w:bookmarkEnd w:id="3"/>
      <w:r w:rsidR="00C706B0" w:rsidRPr="000D4359">
        <w:t>.</w:t>
      </w:r>
      <w:r w:rsidR="00DD61C5" w:rsidRPr="000D4359">
        <w:t xml:space="preserve"> </w:t>
      </w:r>
      <w:r w:rsidR="00C706B0" w:rsidRPr="000D4359">
        <w:t>W 2001</w:t>
      </w:r>
      <w:r w:rsidR="00DD61C5" w:rsidRPr="000D4359">
        <w:t xml:space="preserve"> </w:t>
      </w:r>
      <w:r w:rsidR="00C706B0" w:rsidRPr="000D4359">
        <w:t>r. Prokurator Rejonowy w Toruniu wszczął śledztwo w sprawie oszustw, jakich skarżący miał dopuścić się w ramach prowadzonej przez siebie spółki zajmującej się windykacją należności. Skarżący i jego partner handlowy mieli nie przekazać do banku kilkuset miesięcznych rat otrzymanych od osób, które zaciągnęły kredyty konsumpcyjne. W dniu 26</w:t>
      </w:r>
      <w:r w:rsidR="00E60A23" w:rsidRPr="000D4359">
        <w:t> </w:t>
      </w:r>
      <w:r w:rsidR="00C706B0" w:rsidRPr="000D4359">
        <w:t>lutego 2002</w:t>
      </w:r>
      <w:r w:rsidR="00DD61C5" w:rsidRPr="000D4359">
        <w:t xml:space="preserve"> </w:t>
      </w:r>
      <w:r w:rsidR="00C706B0" w:rsidRPr="000D4359">
        <w:t>r. skarżącemu przedstawiono zarzut oszustwa, a prokurator zdecydował o objęciu go dozorem policyjnym.</w:t>
      </w:r>
    </w:p>
    <w:p w14:paraId="51C4C237" w14:textId="1744E535" w:rsidR="00C706B0" w:rsidRPr="000D4359" w:rsidRDefault="00146231" w:rsidP="00AF0396">
      <w:pPr>
        <w:pStyle w:val="JuPara"/>
      </w:pPr>
      <w:bookmarkStart w:id="4" w:name="indictment"/>
      <w:r w:rsidRPr="000D4359">
        <w:rPr>
          <w:noProof/>
        </w:rPr>
        <w:lastRenderedPageBreak/>
        <w:t>6</w:t>
      </w:r>
      <w:bookmarkEnd w:id="4"/>
      <w:r w:rsidR="00C706B0" w:rsidRPr="000D4359">
        <w:t>.</w:t>
      </w:r>
      <w:r w:rsidR="00DD61C5" w:rsidRPr="000D4359">
        <w:t xml:space="preserve"> </w:t>
      </w:r>
      <w:r w:rsidR="00C706B0" w:rsidRPr="000D4359">
        <w:t>W dniu 24 czerwca 2002</w:t>
      </w:r>
      <w:r w:rsidR="00DD61C5" w:rsidRPr="000D4359">
        <w:t xml:space="preserve"> </w:t>
      </w:r>
      <w:r w:rsidR="00C706B0" w:rsidRPr="000D4359">
        <w:t>r. do Sądu Rejonowego w Toruniu przeciwko skarżącemu i jednemu współoskarżonemu skierowano akt oskarżenia.</w:t>
      </w:r>
    </w:p>
    <w:p w14:paraId="045B986B" w14:textId="0EF36B78" w:rsidR="00C706B0" w:rsidRPr="000D4359" w:rsidRDefault="00146231" w:rsidP="00AF0396">
      <w:pPr>
        <w:pStyle w:val="JuPara"/>
      </w:pPr>
      <w:bookmarkStart w:id="5" w:name="trial"/>
      <w:r w:rsidRPr="000D4359">
        <w:rPr>
          <w:noProof/>
        </w:rPr>
        <w:t>7</w:t>
      </w:r>
      <w:bookmarkEnd w:id="5"/>
      <w:r w:rsidR="00C706B0" w:rsidRPr="000D4359">
        <w:t>.</w:t>
      </w:r>
      <w:r w:rsidR="00DD61C5" w:rsidRPr="000D4359">
        <w:t xml:space="preserve"> </w:t>
      </w:r>
      <w:r w:rsidR="00C706B0" w:rsidRPr="000D4359">
        <w:t>Sąd orzekający przeprowadził pierwszą rozprawę w dniu 4 grudnia 2003</w:t>
      </w:r>
      <w:r w:rsidR="00DD61C5" w:rsidRPr="000D4359">
        <w:t xml:space="preserve"> </w:t>
      </w:r>
      <w:r w:rsidR="00C706B0" w:rsidRPr="000D4359">
        <w:t>r. Następnie sąd przeprowadzał rozprawy w regularnych odstępach czasu; w sumie przeprowadzono około 100 rozpraw. Do dnia 7 marca 2006</w:t>
      </w:r>
      <w:r w:rsidR="00E60A23" w:rsidRPr="000D4359">
        <w:t> </w:t>
      </w:r>
      <w:r w:rsidR="00C706B0" w:rsidRPr="000D4359">
        <w:t>r. Sąd Rejonowy w Toruniu przesłuchał ponad 300 świadków wymienionych w akcie oskarżenia.</w:t>
      </w:r>
    </w:p>
    <w:p w14:paraId="48F2EB94" w14:textId="2022E0F6" w:rsidR="00C706B0" w:rsidRPr="000D4359" w:rsidRDefault="00146231" w:rsidP="00AF0396">
      <w:pPr>
        <w:pStyle w:val="JuPara"/>
      </w:pPr>
      <w:bookmarkStart w:id="6" w:name="firstjudmgnet"/>
      <w:r w:rsidRPr="000D4359">
        <w:rPr>
          <w:noProof/>
        </w:rPr>
        <w:t>8</w:t>
      </w:r>
      <w:bookmarkEnd w:id="6"/>
      <w:r w:rsidR="00C706B0" w:rsidRPr="000D4359">
        <w:t>.</w:t>
      </w:r>
      <w:r w:rsidR="00DD61C5" w:rsidRPr="000D4359">
        <w:t xml:space="preserve"> </w:t>
      </w:r>
      <w:r w:rsidR="00C706B0" w:rsidRPr="000D4359">
        <w:t>W dniu</w:t>
      </w:r>
      <w:r w:rsidR="00DD61C5" w:rsidRPr="000D4359">
        <w:t xml:space="preserve"> </w:t>
      </w:r>
      <w:r w:rsidR="00C706B0" w:rsidRPr="000D4359">
        <w:t>30 października 2013</w:t>
      </w:r>
      <w:r w:rsidR="00DD61C5" w:rsidRPr="000D4359">
        <w:t xml:space="preserve"> </w:t>
      </w:r>
      <w:r w:rsidR="00C706B0" w:rsidRPr="000D4359">
        <w:t>r. Sąd Rejonowy w Toruniu wydał wyrok. Skarżącego uznano winnym sprzeniewierzenia środków, które otrzymał od</w:t>
      </w:r>
      <w:r w:rsidR="00E60A23" w:rsidRPr="000D4359">
        <w:t> </w:t>
      </w:r>
      <w:r w:rsidR="00C706B0" w:rsidRPr="000D4359">
        <w:t>ponad 300 osób. Skazano go na jeden rok i osiem miesięcy kary pozbawienia wolności z warunkowym zawieszeniem jej wykonania na okres próby oraz na karę grzywny. Pisemne uzasadnienie wyroku doręczono skarżącemu w dniu 23 kwietnia 2013</w:t>
      </w:r>
      <w:r w:rsidR="00DD61C5" w:rsidRPr="000D4359">
        <w:t xml:space="preserve"> </w:t>
      </w:r>
      <w:r w:rsidR="00C706B0" w:rsidRPr="000D4359">
        <w:t>r.; w dniu 7 maja 2013</w:t>
      </w:r>
      <w:r w:rsidR="00DD61C5" w:rsidRPr="000D4359">
        <w:t xml:space="preserve"> </w:t>
      </w:r>
      <w:r w:rsidR="00C706B0" w:rsidRPr="000D4359">
        <w:t>r. skarżący wniósł apelację.</w:t>
      </w:r>
    </w:p>
    <w:p w14:paraId="2A447B23" w14:textId="64B85464" w:rsidR="00C706B0" w:rsidRPr="000D4359" w:rsidRDefault="00146231" w:rsidP="00AF0396">
      <w:pPr>
        <w:pStyle w:val="JuPara"/>
      </w:pPr>
      <w:bookmarkStart w:id="7" w:name="appealtejud"/>
      <w:r w:rsidRPr="000D4359">
        <w:rPr>
          <w:noProof/>
        </w:rPr>
        <w:t>9</w:t>
      </w:r>
      <w:bookmarkEnd w:id="7"/>
      <w:r w:rsidR="00C706B0" w:rsidRPr="000D4359">
        <w:t>.</w:t>
      </w:r>
      <w:r w:rsidR="00DD61C5" w:rsidRPr="000D4359">
        <w:t xml:space="preserve"> </w:t>
      </w:r>
      <w:r w:rsidR="00C706B0" w:rsidRPr="000D4359">
        <w:t>W dniu 23 października 2014</w:t>
      </w:r>
      <w:r w:rsidR="00DD61C5" w:rsidRPr="000D4359">
        <w:t xml:space="preserve"> </w:t>
      </w:r>
      <w:r w:rsidR="00C706B0" w:rsidRPr="000D4359">
        <w:t>r. Sąd Okręgowy w Toruniu uchylił zaskarżony wyrok i przekazał sprawę do ponownego rozpoznania.</w:t>
      </w:r>
    </w:p>
    <w:p w14:paraId="2034B68C" w14:textId="24989BC8" w:rsidR="00C706B0" w:rsidRPr="000D4359" w:rsidRDefault="00146231" w:rsidP="00AF0396">
      <w:pPr>
        <w:pStyle w:val="JuPara"/>
      </w:pPr>
      <w:r w:rsidRPr="000D4359">
        <w:rPr>
          <w:noProof/>
        </w:rPr>
        <w:t>10</w:t>
      </w:r>
      <w:r w:rsidR="00C706B0" w:rsidRPr="000D4359">
        <w:t>.</w:t>
      </w:r>
      <w:r w:rsidR="00DD61C5" w:rsidRPr="000D4359">
        <w:t xml:space="preserve"> </w:t>
      </w:r>
      <w:r w:rsidR="00C706B0" w:rsidRPr="000D4359">
        <w:t>W okresie od 9 kwietnia do 16 czerwca 2015</w:t>
      </w:r>
      <w:r w:rsidR="00DD61C5" w:rsidRPr="000D4359">
        <w:t xml:space="preserve"> </w:t>
      </w:r>
      <w:r w:rsidR="00C706B0" w:rsidRPr="000D4359">
        <w:t>r. sąd orzekający przeprowadził cztery rozprawy. W dniu 22 czerwca 2015</w:t>
      </w:r>
      <w:r w:rsidR="00DD61C5" w:rsidRPr="000D4359">
        <w:t xml:space="preserve"> </w:t>
      </w:r>
      <w:r w:rsidR="00C706B0" w:rsidRPr="000D4359">
        <w:t>r. Sąd Rejonowy w</w:t>
      </w:r>
      <w:r w:rsidR="00E60A23" w:rsidRPr="000D4359">
        <w:t> </w:t>
      </w:r>
      <w:r w:rsidR="00C706B0" w:rsidRPr="000D4359">
        <w:t>Toruniu wydał wyrok, w którym uniewinnił skarżącego od części zarzutów i skazał za oszustwo w bardziej ograniczonym zakresie. Skarżącego skazano na jeden rok kary pozbawienia wolności z warunkowym zawieszeniem jej wykonania na okres próby oraz na karę grzywny. Skarżący wniósł apelację.</w:t>
      </w:r>
    </w:p>
    <w:p w14:paraId="214BE19E" w14:textId="11FA5B35" w:rsidR="00C706B0" w:rsidRPr="000D4359" w:rsidRDefault="00146231" w:rsidP="00AF0396">
      <w:pPr>
        <w:pStyle w:val="JuPara"/>
      </w:pPr>
      <w:bookmarkStart w:id="8" w:name="finaljud"/>
      <w:r w:rsidRPr="000D4359">
        <w:rPr>
          <w:noProof/>
        </w:rPr>
        <w:t>11</w:t>
      </w:r>
      <w:bookmarkEnd w:id="8"/>
      <w:r w:rsidR="00C706B0" w:rsidRPr="000D4359">
        <w:t>.</w:t>
      </w:r>
      <w:r w:rsidR="00DD61C5" w:rsidRPr="000D4359">
        <w:t xml:space="preserve"> </w:t>
      </w:r>
      <w:r w:rsidR="00C706B0" w:rsidRPr="000D4359">
        <w:t>W dniu</w:t>
      </w:r>
      <w:r w:rsidR="00DD61C5" w:rsidRPr="000D4359">
        <w:t xml:space="preserve"> </w:t>
      </w:r>
      <w:r w:rsidR="00C706B0" w:rsidRPr="000D4359">
        <w:t>17 marca 2016</w:t>
      </w:r>
      <w:r w:rsidR="00DD61C5" w:rsidRPr="000D4359">
        <w:t xml:space="preserve"> </w:t>
      </w:r>
      <w:r w:rsidR="00C706B0" w:rsidRPr="000D4359">
        <w:t>r. Sąd Okręgowy w Toruniu wydał wyrok. Sąd ten uchylił wyrok Sądu Rejonowego w Toruniu w części dotyczącej skazania skarżącego i umorzył postępowanie z uwagi na przedawnienie przestępstw, za które został skazany. Sąd wydał wyrok na rozprawie, na której obecny był skarżący i jego obrońca. Jak wynika z protokołu z rozprawy, sąd pouczył strony, że pisemne uzasadnienie wyroku zostanie sporządzone w terminie czternastu dni. Sędzia przewodniczący przedstawił ustnie najważniejsze motywy uzasadnienia wyroku. Strony zostały pouczone o prawomocności wyroku oraz o warunkach wniesienia kasacji.</w:t>
      </w:r>
    </w:p>
    <w:p w14:paraId="771B2C2F" w14:textId="59E91CCB" w:rsidR="00C706B0" w:rsidRPr="000D4359" w:rsidRDefault="00146231" w:rsidP="00AF0396">
      <w:pPr>
        <w:pStyle w:val="JuPara"/>
      </w:pPr>
      <w:bookmarkStart w:id="9" w:name="servingcopyofjud"/>
      <w:r w:rsidRPr="000D4359">
        <w:rPr>
          <w:noProof/>
        </w:rPr>
        <w:t>12</w:t>
      </w:r>
      <w:bookmarkEnd w:id="9"/>
      <w:r w:rsidR="00C706B0" w:rsidRPr="000D4359">
        <w:t>.</w:t>
      </w:r>
      <w:r w:rsidR="00DD61C5" w:rsidRPr="000D4359">
        <w:t xml:space="preserve"> </w:t>
      </w:r>
      <w:r w:rsidR="00C706B0" w:rsidRPr="000D4359">
        <w:t>W dniu 12 kwietnia 2016 r. skarżącemu zostało doręczone pisemne uzasadnienie wyroku Sądu Okręgowego w Toruniu, zawierające szczegółowe podsumowanie ustalonego przez sąd stanu faktycznego sprawy oraz wywody prawne sądu.</w:t>
      </w:r>
    </w:p>
    <w:p w14:paraId="687AF358" w14:textId="77777777" w:rsidR="00C706B0" w:rsidRPr="000D4359" w:rsidRDefault="00C706B0" w:rsidP="00AF0396">
      <w:pPr>
        <w:pStyle w:val="JuHIRoman"/>
      </w:pPr>
      <w:r w:rsidRPr="000D4359">
        <w:t>Postępowanie na podstawie ustawy z 2004 r.</w:t>
      </w:r>
    </w:p>
    <w:p w14:paraId="4FD662F1" w14:textId="5C3B5FC9" w:rsidR="00C706B0" w:rsidRPr="000D4359" w:rsidRDefault="00146231" w:rsidP="00AF0396">
      <w:pPr>
        <w:pStyle w:val="JuPara"/>
        <w:rPr>
          <w:iCs/>
        </w:rPr>
      </w:pPr>
      <w:r w:rsidRPr="000D4359">
        <w:rPr>
          <w:noProof/>
        </w:rPr>
        <w:t>13</w:t>
      </w:r>
      <w:r w:rsidR="00C706B0" w:rsidRPr="000D4359">
        <w:t>.</w:t>
      </w:r>
      <w:r w:rsidR="00DD61C5" w:rsidRPr="000D4359">
        <w:t xml:space="preserve"> </w:t>
      </w:r>
      <w:r w:rsidR="00C706B0" w:rsidRPr="000D4359">
        <w:t>W dniu 6 lipca 2015</w:t>
      </w:r>
      <w:r w:rsidR="00DD61C5" w:rsidRPr="000D4359">
        <w:t xml:space="preserve"> </w:t>
      </w:r>
      <w:r w:rsidR="00C706B0" w:rsidRPr="000D4359">
        <w:t>r. skarżący wniósł skargę na podstawie ustawy z</w:t>
      </w:r>
      <w:r w:rsidR="00E60A23" w:rsidRPr="000D4359">
        <w:t> </w:t>
      </w:r>
      <w:r w:rsidR="00C706B0" w:rsidRPr="000D4359">
        <w:t>dnia 17 czerwca 2004</w:t>
      </w:r>
      <w:r w:rsidR="00DD61C5" w:rsidRPr="000D4359">
        <w:t xml:space="preserve"> </w:t>
      </w:r>
      <w:r w:rsidR="00C706B0" w:rsidRPr="000D4359">
        <w:t>r. o skardze na naruszenie prawa strony do</w:t>
      </w:r>
      <w:r w:rsidR="00E60A23" w:rsidRPr="000D4359">
        <w:t> </w:t>
      </w:r>
      <w:r w:rsidR="00C706B0" w:rsidRPr="000D4359">
        <w:t>rozpoznania sprawy w</w:t>
      </w:r>
      <w:r w:rsidR="00DD61C5" w:rsidRPr="000D4359">
        <w:t xml:space="preserve"> </w:t>
      </w:r>
      <w:r w:rsidR="00C706B0" w:rsidRPr="000D4359">
        <w:t>postępowaniu przygotowawczym prowadzonym lub nadzorowanym przez prokuratora i postępowaniu sądowym bez</w:t>
      </w:r>
      <w:r w:rsidR="00E60A23" w:rsidRPr="000D4359">
        <w:t> </w:t>
      </w:r>
      <w:r w:rsidR="00C706B0" w:rsidRPr="000D4359">
        <w:t>nieuzasadnionej zwłoki – „</w:t>
      </w:r>
      <w:r w:rsidR="008A5216" w:rsidRPr="000D4359">
        <w:t>u</w:t>
      </w:r>
      <w:r w:rsidR="00C706B0" w:rsidRPr="000D4359">
        <w:t>stawa z 2004</w:t>
      </w:r>
      <w:r w:rsidR="00DD61C5" w:rsidRPr="000D4359">
        <w:t xml:space="preserve"> </w:t>
      </w:r>
      <w:r w:rsidR="00C706B0" w:rsidRPr="000D4359">
        <w:t>r.”).</w:t>
      </w:r>
    </w:p>
    <w:p w14:paraId="6E9E8792" w14:textId="39EADFF9" w:rsidR="00C706B0" w:rsidRPr="000D4359" w:rsidRDefault="00146231" w:rsidP="00AF0396">
      <w:pPr>
        <w:pStyle w:val="JuPara"/>
        <w:rPr>
          <w:iCs/>
        </w:rPr>
      </w:pPr>
      <w:bookmarkStart w:id="10" w:name="kudladecision"/>
      <w:r w:rsidRPr="000D4359">
        <w:rPr>
          <w:iCs/>
          <w:noProof/>
        </w:rPr>
        <w:lastRenderedPageBreak/>
        <w:t>14</w:t>
      </w:r>
      <w:bookmarkEnd w:id="10"/>
      <w:r w:rsidR="00C706B0" w:rsidRPr="000D4359">
        <w:t>.</w:t>
      </w:r>
      <w:r w:rsidR="00DD61C5" w:rsidRPr="000D4359">
        <w:t xml:space="preserve"> </w:t>
      </w:r>
      <w:r w:rsidR="00C706B0" w:rsidRPr="000D4359">
        <w:t>W dniu 20 sierpnia 2015 r. Sąd Okręgowy w Toruniu częściowo uwzględnił skargę i stwierdził przewlekłość postępowania. Zasądził na rzecz skarżącego kwotę 2000 złotych polskich (PLN) tytułem odszkodowania (ok.</w:t>
      </w:r>
      <w:r w:rsidR="00E60A23" w:rsidRPr="000D4359">
        <w:t> </w:t>
      </w:r>
      <w:r w:rsidR="00C706B0" w:rsidRPr="000D4359">
        <w:t>475 euro (EUR) w przedmiotowo istotnym czasie). Sąd zauważył, że</w:t>
      </w:r>
      <w:r w:rsidR="00E60A23" w:rsidRPr="000D4359">
        <w:t> </w:t>
      </w:r>
      <w:r w:rsidR="00C706B0" w:rsidRPr="000D4359">
        <w:t>pierwsza rozprawa została wyznaczona prawie osiemnaście miesięcy po</w:t>
      </w:r>
      <w:r w:rsidR="00E60A23" w:rsidRPr="000D4359">
        <w:t> </w:t>
      </w:r>
      <w:r w:rsidR="00C706B0" w:rsidRPr="000D4359">
        <w:t>wniesieniu aktu oskarżenia do sądu. Po tym czasie sąd przeprowadził wiele rozpraw, ale cały istotny materiał dowodowy zgromadzono do dnia 7</w:t>
      </w:r>
      <w:r w:rsidR="00E60A23" w:rsidRPr="000D4359">
        <w:t> </w:t>
      </w:r>
      <w:r w:rsidR="00C706B0" w:rsidRPr="000D4359">
        <w:t>marca 2006 r. Tym samym w kolejnym 7,5-letnim okresie sąd przesłuchał tylko czterech świadków i wezwał bank do przedstawienia dowodu. Oznaczało to rażący brak skuteczności proceduralnej. Sąd powinien był również wykazać się większą aktywnością w zapewnianiu obecności skarżącego i jego obrońcy na rozprawach, ponieważ w pewnym stopniu przyczynili się oni do opóźnień. Ponadto sąd orzekający sporządzał pisemne uzasadnienie wyroku z dnia 30 października 2013</w:t>
      </w:r>
      <w:r w:rsidR="00DD61C5" w:rsidRPr="000D4359">
        <w:t xml:space="preserve"> </w:t>
      </w:r>
      <w:r w:rsidR="00C706B0" w:rsidRPr="000D4359">
        <w:t>r. przez nadmiernie długi czas. Sąd Okręgowy w Toruniu poddał ocenie dalsze etapy postępowania po przekazaniu sprawy do ponownego rozpoznania i uznał, że nie wystąpiły już opóźnienia, które można zarzucić sądom.</w:t>
      </w:r>
    </w:p>
    <w:p w14:paraId="52C3EBF1" w14:textId="77777777" w:rsidR="00C706B0" w:rsidRPr="000D4359" w:rsidRDefault="00CE55DD" w:rsidP="00AF0396">
      <w:pPr>
        <w:pStyle w:val="JuHHead"/>
      </w:pPr>
      <w:r w:rsidRPr="000D4359">
        <w:t>właściwe</w:t>
      </w:r>
      <w:r w:rsidR="00C706B0" w:rsidRPr="000D4359">
        <w:t xml:space="preserve"> RAMY PRAWNE</w:t>
      </w:r>
    </w:p>
    <w:p w14:paraId="413F58CA" w14:textId="709FBD38" w:rsidR="00C706B0" w:rsidRPr="000D4359" w:rsidRDefault="00146231" w:rsidP="00AF0396">
      <w:pPr>
        <w:pStyle w:val="JuPara"/>
      </w:pPr>
      <w:r w:rsidRPr="000D4359">
        <w:rPr>
          <w:noProof/>
        </w:rPr>
        <w:t>15</w:t>
      </w:r>
      <w:r w:rsidR="00C706B0" w:rsidRPr="000D4359">
        <w:t>.</w:t>
      </w:r>
      <w:r w:rsidR="00DD61C5" w:rsidRPr="000D4359">
        <w:t xml:space="preserve"> </w:t>
      </w:r>
      <w:r w:rsidR="00C706B0" w:rsidRPr="000D4359">
        <w:t>Szczegółowy opis właściwego prawa krajowego i praktyki w zakresie środków odwoławczych na przewlekłość postępowania sądowego – w</w:t>
      </w:r>
      <w:r w:rsidR="00E60A23" w:rsidRPr="000D4359">
        <w:t> </w:t>
      </w:r>
      <w:r w:rsidR="00C706B0" w:rsidRPr="000D4359">
        <w:t xml:space="preserve">szczególności obowiązujących przepisów </w:t>
      </w:r>
      <w:r w:rsidR="008A5216" w:rsidRPr="000D4359">
        <w:t>u</w:t>
      </w:r>
      <w:r w:rsidR="00C706B0" w:rsidRPr="000D4359">
        <w:t xml:space="preserve">stawy z 2004 r. – znajduje się w decyzjach Trybunału w sprawach </w:t>
      </w:r>
      <w:r w:rsidR="00C706B0" w:rsidRPr="000D4359">
        <w:rPr>
          <w:i/>
          <w:iCs/>
        </w:rPr>
        <w:t>Charzyński przeciwko Polsce</w:t>
      </w:r>
      <w:r w:rsidR="00C706B0" w:rsidRPr="000D4359">
        <w:t xml:space="preserve"> ((dec.), skarga nr</w:t>
      </w:r>
      <w:r w:rsidR="00DD61C5" w:rsidRPr="000D4359">
        <w:t xml:space="preserve"> </w:t>
      </w:r>
      <w:r w:rsidR="00C706B0" w:rsidRPr="000D4359">
        <w:t xml:space="preserve">15212/03, §§ 12-23, </w:t>
      </w:r>
      <w:r w:rsidR="00DD61C5" w:rsidRPr="000D4359">
        <w:t>ETPC</w:t>
      </w:r>
      <w:r w:rsidR="00C706B0" w:rsidRPr="000D4359">
        <w:t xml:space="preserve"> 2005-V) oraz </w:t>
      </w:r>
      <w:r w:rsidR="00C706B0" w:rsidRPr="000D4359">
        <w:rPr>
          <w:i/>
          <w:iCs/>
        </w:rPr>
        <w:t>Ratajczyk przeciwko Polsce</w:t>
      </w:r>
      <w:r w:rsidR="00C706B0" w:rsidRPr="000D4359">
        <w:t xml:space="preserve"> ((dec.), skarga nr 11215/02, </w:t>
      </w:r>
      <w:r w:rsidR="00DD61C5" w:rsidRPr="000D4359">
        <w:t>ETPC</w:t>
      </w:r>
      <w:r w:rsidR="00C706B0" w:rsidRPr="000D4359">
        <w:t xml:space="preserve"> 2005-VIII), a także w wyrokach w</w:t>
      </w:r>
      <w:r w:rsidR="00E60A23" w:rsidRPr="000D4359">
        <w:t> </w:t>
      </w:r>
      <w:r w:rsidR="00C706B0" w:rsidRPr="000D4359">
        <w:t xml:space="preserve">sprawach </w:t>
      </w:r>
      <w:proofErr w:type="spellStart"/>
      <w:r w:rsidR="00C706B0" w:rsidRPr="000D4359">
        <w:rPr>
          <w:i/>
          <w:iCs/>
        </w:rPr>
        <w:t>Krasuski</w:t>
      </w:r>
      <w:proofErr w:type="spellEnd"/>
      <w:r w:rsidR="00C706B0" w:rsidRPr="000D4359">
        <w:rPr>
          <w:i/>
          <w:iCs/>
        </w:rPr>
        <w:t xml:space="preserve"> przeciwko Polsce</w:t>
      </w:r>
      <w:r w:rsidR="00C706B0" w:rsidRPr="000D4359">
        <w:t xml:space="preserve"> (skarga nr 61444/00, §§ 34-46, </w:t>
      </w:r>
      <w:r w:rsidR="00DD61C5" w:rsidRPr="000D4359">
        <w:t>ETPC</w:t>
      </w:r>
      <w:r w:rsidR="00C706B0" w:rsidRPr="000D4359">
        <w:t xml:space="preserve"> 2005-V) oraz w niedawno rozpatrywanej sprawie </w:t>
      </w:r>
      <w:r w:rsidR="00C706B0" w:rsidRPr="000D4359">
        <w:rPr>
          <w:i/>
          <w:iCs/>
        </w:rPr>
        <w:t>Rutkowski i Inni przeciwko Polsce</w:t>
      </w:r>
      <w:r w:rsidR="00C706B0" w:rsidRPr="000D4359">
        <w:t xml:space="preserve"> (skargi nr 72287/10, 13927/11 i 46187/11, §§ 75-107, 7 lipca 2015</w:t>
      </w:r>
      <w:r w:rsidR="00DD61C5" w:rsidRPr="000D4359">
        <w:t xml:space="preserve"> </w:t>
      </w:r>
      <w:r w:rsidR="00C706B0" w:rsidRPr="000D4359">
        <w:t>r.).</w:t>
      </w:r>
    </w:p>
    <w:p w14:paraId="363E07DD" w14:textId="7D7ECD09" w:rsidR="00C706B0" w:rsidRPr="000D4359" w:rsidRDefault="00146231" w:rsidP="00AF0396">
      <w:pPr>
        <w:pStyle w:val="JuPara"/>
      </w:pPr>
      <w:bookmarkStart w:id="11" w:name="lawdomest"/>
      <w:r w:rsidRPr="000D4359">
        <w:rPr>
          <w:noProof/>
        </w:rPr>
        <w:t>16</w:t>
      </w:r>
      <w:bookmarkEnd w:id="11"/>
      <w:r w:rsidR="00C706B0" w:rsidRPr="000D4359">
        <w:t>.</w:t>
      </w:r>
      <w:r w:rsidR="00DD61C5" w:rsidRPr="000D4359">
        <w:t xml:space="preserve"> </w:t>
      </w:r>
      <w:r w:rsidR="00C706B0" w:rsidRPr="000D4359">
        <w:t>Artykuł 457 § 1 Kodeksu postępowania karnego stanowi, że gdy sąd drugiej instancji uchyla wyrok i umarza postępowanie</w:t>
      </w:r>
      <w:r w:rsidR="00CB5ABF" w:rsidRPr="000D4359">
        <w:t>,</w:t>
      </w:r>
      <w:r w:rsidR="00C706B0" w:rsidRPr="000D4359">
        <w:t xml:space="preserve"> pisemne uzasadnienie wyroku sporządza się z urzędu. Strona musi jednak złożyć wniosek o</w:t>
      </w:r>
      <w:r w:rsidR="00E60A23" w:rsidRPr="000D4359">
        <w:t> </w:t>
      </w:r>
      <w:r w:rsidR="00C706B0" w:rsidRPr="000D4359">
        <w:t>doręczenie jej wyroku z uzasadnieniem.</w:t>
      </w:r>
    </w:p>
    <w:p w14:paraId="04C071E5" w14:textId="77777777" w:rsidR="00C706B0" w:rsidRPr="000D4359" w:rsidRDefault="00C706B0" w:rsidP="00AF0396">
      <w:pPr>
        <w:pStyle w:val="JuHHead"/>
        <w:numPr>
          <w:ilvl w:val="0"/>
          <w:numId w:val="18"/>
        </w:numPr>
      </w:pPr>
      <w:r w:rsidRPr="000D4359">
        <w:t>PRAWO</w:t>
      </w:r>
    </w:p>
    <w:p w14:paraId="65DE120A" w14:textId="28DAE4A2" w:rsidR="00C706B0" w:rsidRPr="000D4359" w:rsidRDefault="00C706B0" w:rsidP="00AF0396">
      <w:pPr>
        <w:pStyle w:val="JuHIRoman"/>
      </w:pPr>
      <w:r w:rsidRPr="000D4359">
        <w:t>ZARZUCANE NARUSZENIE ART.</w:t>
      </w:r>
      <w:r w:rsidR="00DD61C5" w:rsidRPr="000D4359">
        <w:t xml:space="preserve"> </w:t>
      </w:r>
      <w:r w:rsidRPr="000D4359">
        <w:t>6 UST.</w:t>
      </w:r>
      <w:r w:rsidR="00DD61C5" w:rsidRPr="000D4359">
        <w:t xml:space="preserve"> </w:t>
      </w:r>
      <w:r w:rsidRPr="000D4359">
        <w:t>1 KONWENCJI</w:t>
      </w:r>
    </w:p>
    <w:p w14:paraId="1366FE26" w14:textId="0AE6DC69" w:rsidR="00C706B0" w:rsidRPr="000D4359" w:rsidRDefault="00146231" w:rsidP="00AF0396">
      <w:pPr>
        <w:pStyle w:val="JuPara"/>
      </w:pPr>
      <w:r w:rsidRPr="000D4359">
        <w:rPr>
          <w:noProof/>
        </w:rPr>
        <w:t>17</w:t>
      </w:r>
      <w:r w:rsidR="00C706B0" w:rsidRPr="000D4359">
        <w:t>.</w:t>
      </w:r>
      <w:r w:rsidR="00DD61C5" w:rsidRPr="000D4359">
        <w:t xml:space="preserve"> </w:t>
      </w:r>
      <w:r w:rsidR="00C706B0" w:rsidRPr="000D4359">
        <w:t>Skarżący zarzucił, że czas trwania postępowania był niezgodny z</w:t>
      </w:r>
      <w:r w:rsidR="00737261" w:rsidRPr="000D4359">
        <w:t> </w:t>
      </w:r>
      <w:r w:rsidR="00C706B0" w:rsidRPr="000D4359">
        <w:t>wymogiem „rozsądnego terminu”, o którym mowa w art. 6 ust. 1 Konwencji, który stanowi:</w:t>
      </w:r>
    </w:p>
    <w:p w14:paraId="7130BC96" w14:textId="77777777" w:rsidR="00C706B0" w:rsidRPr="000D4359" w:rsidRDefault="00C706B0" w:rsidP="00AF0396">
      <w:pPr>
        <w:pStyle w:val="JuQuot"/>
      </w:pPr>
      <w:r w:rsidRPr="000D4359">
        <w:t>„</w:t>
      </w:r>
      <w:r w:rsidR="00EA34B3" w:rsidRPr="000D4359">
        <w:t>K</w:t>
      </w:r>
      <w:r w:rsidRPr="000D4359">
        <w:t>ażdy ma prawo do […] rozpatrzenia jego sprawy w rozsądnym terminie przez […] sąd […]</w:t>
      </w:r>
      <w:r w:rsidR="00EA34B3" w:rsidRPr="000D4359">
        <w:t xml:space="preserve"> przy rozstrzyganiu […] o zasadności każdego oskarżenia w wytoczonej przeciwko niemu sprawie karnej</w:t>
      </w:r>
      <w:r w:rsidRPr="000D4359">
        <w:t>”</w:t>
      </w:r>
    </w:p>
    <w:p w14:paraId="75BFBCF3" w14:textId="3B27CBEB" w:rsidR="00C706B0" w:rsidRPr="000D4359" w:rsidRDefault="00146231" w:rsidP="00AF0396">
      <w:pPr>
        <w:pStyle w:val="JuPara"/>
      </w:pPr>
      <w:r w:rsidRPr="000D4359">
        <w:rPr>
          <w:noProof/>
        </w:rPr>
        <w:lastRenderedPageBreak/>
        <w:t>18</w:t>
      </w:r>
      <w:r w:rsidR="00C706B0" w:rsidRPr="000D4359">
        <w:t>.</w:t>
      </w:r>
      <w:r w:rsidR="00DD61C5" w:rsidRPr="000D4359">
        <w:t xml:space="preserve"> </w:t>
      </w:r>
      <w:r w:rsidR="00C706B0" w:rsidRPr="000D4359">
        <w:t>Rząd kwestionował ten argument.</w:t>
      </w:r>
    </w:p>
    <w:p w14:paraId="57C0BD39" w14:textId="7ACDED43" w:rsidR="00C706B0" w:rsidRPr="000D4359" w:rsidRDefault="00146231" w:rsidP="00AF0396">
      <w:pPr>
        <w:pStyle w:val="JuPara"/>
      </w:pPr>
      <w:r w:rsidRPr="000D4359">
        <w:rPr>
          <w:noProof/>
        </w:rPr>
        <w:t>19</w:t>
      </w:r>
      <w:r w:rsidR="00C706B0" w:rsidRPr="000D4359">
        <w:t>.</w:t>
      </w:r>
      <w:r w:rsidR="00DD61C5" w:rsidRPr="000D4359">
        <w:t xml:space="preserve"> </w:t>
      </w:r>
      <w:r w:rsidR="00C706B0" w:rsidRPr="000D4359">
        <w:t>Okres podlegający ocenie rozpoczął się w dniu 26 lutego 2002</w:t>
      </w:r>
      <w:r w:rsidR="00DD61C5" w:rsidRPr="000D4359">
        <w:t xml:space="preserve"> </w:t>
      </w:r>
      <w:r w:rsidR="00C706B0" w:rsidRPr="000D4359">
        <w:t>r. i</w:t>
      </w:r>
      <w:r w:rsidR="00737261" w:rsidRPr="000D4359">
        <w:t> </w:t>
      </w:r>
      <w:r w:rsidR="00C706B0" w:rsidRPr="000D4359">
        <w:t>zakończył się w dniu 17 marca 2016</w:t>
      </w:r>
      <w:r w:rsidR="00DD61C5" w:rsidRPr="000D4359">
        <w:t xml:space="preserve"> </w:t>
      </w:r>
      <w:r w:rsidR="00C706B0" w:rsidRPr="000D4359">
        <w:t xml:space="preserve">r. (zob. paragrafy </w:t>
      </w:r>
      <w:r w:rsidRPr="000D4359">
        <w:rPr>
          <w:noProof/>
        </w:rPr>
        <w:t>5</w:t>
      </w:r>
      <w:r w:rsidR="00C706B0" w:rsidRPr="000D4359">
        <w:t xml:space="preserve"> i </w:t>
      </w:r>
      <w:r w:rsidRPr="000D4359">
        <w:rPr>
          <w:noProof/>
        </w:rPr>
        <w:t>11</w:t>
      </w:r>
      <w:r w:rsidR="00C706B0" w:rsidRPr="000D4359">
        <w:t xml:space="preserve"> powyżej). Tym</w:t>
      </w:r>
      <w:r w:rsidR="00737261" w:rsidRPr="000D4359">
        <w:t> </w:t>
      </w:r>
      <w:r w:rsidR="00C706B0" w:rsidRPr="000D4359">
        <w:t>samym trwał on czternaście lat i jeden miesiąc w dwóch instancjach.</w:t>
      </w:r>
    </w:p>
    <w:p w14:paraId="182812CB" w14:textId="77777777" w:rsidR="00C706B0" w:rsidRPr="000D4359" w:rsidRDefault="00C706B0" w:rsidP="00AF0396">
      <w:pPr>
        <w:pStyle w:val="JuHA"/>
      </w:pPr>
      <w:r w:rsidRPr="000D4359">
        <w:t>Dopuszczalność</w:t>
      </w:r>
    </w:p>
    <w:p w14:paraId="5465BC7A" w14:textId="26F5A70C" w:rsidR="00C706B0" w:rsidRPr="000D4359" w:rsidRDefault="00146231" w:rsidP="00AF0396">
      <w:pPr>
        <w:pStyle w:val="JuPara"/>
      </w:pPr>
      <w:r w:rsidRPr="000D4359">
        <w:rPr>
          <w:noProof/>
        </w:rPr>
        <w:t>20</w:t>
      </w:r>
      <w:r w:rsidR="00C706B0" w:rsidRPr="000D4359">
        <w:t>.</w:t>
      </w:r>
      <w:r w:rsidR="00DD61C5" w:rsidRPr="000D4359">
        <w:t xml:space="preserve"> </w:t>
      </w:r>
      <w:r w:rsidR="00C706B0" w:rsidRPr="000D4359">
        <w:t>Rząd twierdził, że skarżący nie przedstawił swojego stanowiska Trybunałowi w sześciomiesięcznym terminie przewidzianym w art. 35 ust. 1 Konwencji. Podniósł, że skarżący i jego obrońca byli obecni na rozprawie w</w:t>
      </w:r>
      <w:r w:rsidR="00737261" w:rsidRPr="000D4359">
        <w:t> </w:t>
      </w:r>
      <w:r w:rsidR="00C706B0" w:rsidRPr="000D4359">
        <w:t>dniu 17 marca 2016 r., na której sąd wydał prawomocny wyrok. Skarżącemu nie przysługiwało prawo do otrzymania pisemnego uzasadnienia wyroku z urzędu; musiał on w tym celu złożyć stosowny wniosek.</w:t>
      </w:r>
    </w:p>
    <w:p w14:paraId="5DFC8024" w14:textId="56BA07A6" w:rsidR="00C706B0" w:rsidRPr="000D4359" w:rsidRDefault="00146231" w:rsidP="00AF0396">
      <w:pPr>
        <w:pStyle w:val="JuPara"/>
      </w:pPr>
      <w:r w:rsidRPr="000D4359">
        <w:rPr>
          <w:noProof/>
        </w:rPr>
        <w:t>21</w:t>
      </w:r>
      <w:r w:rsidR="00C706B0" w:rsidRPr="000D4359">
        <w:t>.</w:t>
      </w:r>
      <w:r w:rsidR="00DD61C5" w:rsidRPr="000D4359">
        <w:t xml:space="preserve"> </w:t>
      </w:r>
      <w:r w:rsidR="00C706B0" w:rsidRPr="000D4359">
        <w:t>Skarżący ogólnie stwierdził, że jego sprawa była dopuszczalna oraz że</w:t>
      </w:r>
      <w:r w:rsidR="00737261" w:rsidRPr="000D4359">
        <w:t> </w:t>
      </w:r>
      <w:r w:rsidR="00C706B0" w:rsidRPr="000D4359">
        <w:t>doszło do naruszenia Konwencji.</w:t>
      </w:r>
    </w:p>
    <w:p w14:paraId="3ACCCD87" w14:textId="23EA2746" w:rsidR="00C706B0" w:rsidRPr="000D4359" w:rsidRDefault="00146231" w:rsidP="00AF0396">
      <w:pPr>
        <w:pStyle w:val="JuPara"/>
      </w:pPr>
      <w:r w:rsidRPr="000D4359">
        <w:rPr>
          <w:noProof/>
        </w:rPr>
        <w:t>22</w:t>
      </w:r>
      <w:r w:rsidR="00C706B0" w:rsidRPr="000D4359">
        <w:t>.</w:t>
      </w:r>
      <w:r w:rsidR="00DD61C5" w:rsidRPr="000D4359">
        <w:t xml:space="preserve"> </w:t>
      </w:r>
      <w:r w:rsidR="00C706B0" w:rsidRPr="000D4359">
        <w:t>Celem sześciomiesięcznego terminu jest promowanie pewności prawnej i zagwarantowanie, by sprawy dotyczące kwestii związanych z</w:t>
      </w:r>
      <w:r w:rsidR="00737261" w:rsidRPr="000D4359">
        <w:t> </w:t>
      </w:r>
      <w:r w:rsidR="00C706B0" w:rsidRPr="000D4359">
        <w:t xml:space="preserve">Konwencją były rozpatrywane w rozsądnym terminie. Ponadto ma on również chronić władze i inne zainteresowane strony przed pozostawaniem w stanie niepewności przez dłuższy czas (zob. </w:t>
      </w:r>
      <w:proofErr w:type="spellStart"/>
      <w:r w:rsidR="00C706B0" w:rsidRPr="000D4359">
        <w:rPr>
          <w:i/>
          <w:iCs/>
        </w:rPr>
        <w:t>Sabri</w:t>
      </w:r>
      <w:proofErr w:type="spellEnd"/>
      <w:r w:rsidR="00C706B0" w:rsidRPr="000D4359">
        <w:rPr>
          <w:i/>
          <w:iCs/>
        </w:rPr>
        <w:t xml:space="preserve"> </w:t>
      </w:r>
      <w:proofErr w:type="spellStart"/>
      <w:r w:rsidR="00C706B0" w:rsidRPr="000D4359">
        <w:rPr>
          <w:i/>
          <w:iCs/>
        </w:rPr>
        <w:t>Güne</w:t>
      </w:r>
      <w:proofErr w:type="spellEnd"/>
      <w:r w:rsidR="00C706B0" w:rsidRPr="000D4359">
        <w:rPr>
          <w:i/>
          <w:iCs/>
        </w:rPr>
        <w:t xml:space="preserve"> przeciwko Turcji</w:t>
      </w:r>
      <w:r w:rsidR="00DD61C5" w:rsidRPr="000D4359">
        <w:rPr>
          <w:i/>
          <w:iCs/>
        </w:rPr>
        <w:t xml:space="preserve"> </w:t>
      </w:r>
      <w:r w:rsidR="00C706B0" w:rsidRPr="000D4359">
        <w:t>[WI], skarga nr 27396/06, § 39, 29 czerwca 2012</w:t>
      </w:r>
      <w:r w:rsidR="00DD61C5" w:rsidRPr="000D4359">
        <w:t xml:space="preserve"> </w:t>
      </w:r>
      <w:r w:rsidR="00C706B0" w:rsidRPr="000D4359">
        <w:t>r.).</w:t>
      </w:r>
    </w:p>
    <w:p w14:paraId="5DF595D3" w14:textId="2B446886" w:rsidR="00C706B0" w:rsidRPr="000D4359" w:rsidRDefault="00146231" w:rsidP="00AF0396">
      <w:pPr>
        <w:pStyle w:val="JuPara"/>
      </w:pPr>
      <w:r w:rsidRPr="000D4359">
        <w:rPr>
          <w:noProof/>
        </w:rPr>
        <w:t>23</w:t>
      </w:r>
      <w:r w:rsidR="00C706B0" w:rsidRPr="000D4359">
        <w:t>.</w:t>
      </w:r>
      <w:r w:rsidR="00DD61C5" w:rsidRPr="000D4359">
        <w:t xml:space="preserve"> </w:t>
      </w:r>
      <w:r w:rsidR="00C706B0" w:rsidRPr="000D4359">
        <w:t>Już wcześniej Trybunał uznał, że w przypadku gdy skarżącemu przysługuje prawo do doręczenia z urzędu pisemnego prawomocnego rozstrzygnięcia organu krajowego, przedmiot i cel art. 35 ust. 1 Konwencji w</w:t>
      </w:r>
      <w:r w:rsidR="00737261" w:rsidRPr="000D4359">
        <w:t> </w:t>
      </w:r>
      <w:r w:rsidR="00C706B0" w:rsidRPr="000D4359">
        <w:t xml:space="preserve">najlepszy sposób realizuje się poprzez liczenie sześciomiesięcznego terminu jako biegnącego od daty doręczenia pisemnego wyroku (zob. </w:t>
      </w:r>
      <w:proofErr w:type="spellStart"/>
      <w:r w:rsidR="00C706B0" w:rsidRPr="000D4359">
        <w:rPr>
          <w:i/>
          <w:iCs/>
        </w:rPr>
        <w:t>Worm</w:t>
      </w:r>
      <w:proofErr w:type="spellEnd"/>
      <w:r w:rsidR="00C706B0" w:rsidRPr="000D4359">
        <w:rPr>
          <w:i/>
          <w:iCs/>
        </w:rPr>
        <w:t xml:space="preserve"> przeciwko Austrii</w:t>
      </w:r>
      <w:r w:rsidR="00C706B0" w:rsidRPr="000D4359">
        <w:t xml:space="preserve">, wyrok z dnia 29 sierpnia 1997 r., </w:t>
      </w:r>
      <w:r w:rsidR="00C706B0" w:rsidRPr="000D4359">
        <w:rPr>
          <w:i/>
          <w:iCs/>
        </w:rPr>
        <w:t>Zbiór wyroków i decyzji</w:t>
      </w:r>
      <w:r w:rsidR="00C706B0" w:rsidRPr="000D4359">
        <w:t xml:space="preserve"> 1997</w:t>
      </w:r>
      <w:r w:rsidR="00C706B0" w:rsidRPr="000D4359">
        <w:noBreakHyphen/>
        <w:t xml:space="preserve">V, str. 1547, § 33, oraz </w:t>
      </w:r>
      <w:proofErr w:type="spellStart"/>
      <w:r w:rsidR="00C706B0" w:rsidRPr="000D4359">
        <w:rPr>
          <w:i/>
        </w:rPr>
        <w:t>Sernawit</w:t>
      </w:r>
      <w:proofErr w:type="spellEnd"/>
      <w:r w:rsidR="00C706B0" w:rsidRPr="000D4359">
        <w:rPr>
          <w:i/>
        </w:rPr>
        <w:t xml:space="preserve"> i Inni przeciwko Polsce</w:t>
      </w:r>
      <w:r w:rsidR="00C706B0" w:rsidRPr="000D4359">
        <w:t>, skarga nr</w:t>
      </w:r>
      <w:r w:rsidR="00737261" w:rsidRPr="000D4359">
        <w:t> </w:t>
      </w:r>
      <w:r w:rsidR="00C706B0" w:rsidRPr="000D4359">
        <w:t>61967/00, § 39, 6 listopada 2007</w:t>
      </w:r>
      <w:r w:rsidR="00DD61C5" w:rsidRPr="000D4359">
        <w:t xml:space="preserve"> </w:t>
      </w:r>
      <w:r w:rsidR="00C706B0" w:rsidRPr="000D4359">
        <w:t>r.). W przypadku gdy prawo krajowe nie</w:t>
      </w:r>
      <w:r w:rsidR="00737261" w:rsidRPr="000D4359">
        <w:t> </w:t>
      </w:r>
      <w:r w:rsidR="00C706B0" w:rsidRPr="000D4359">
        <w:t>przewiduje doręczenia, Trybunał uznał za właściwe przyjęcie za punkt wyjścia termin</w:t>
      </w:r>
      <w:r w:rsidR="00496E13" w:rsidRPr="000D4359">
        <w:t>u</w:t>
      </w:r>
      <w:r w:rsidR="00C706B0" w:rsidRPr="000D4359">
        <w:t xml:space="preserve"> sfinalizowania rozstrzygnięcia, czyli moment</w:t>
      </w:r>
      <w:r w:rsidR="00496E13" w:rsidRPr="000D4359">
        <w:t>u</w:t>
      </w:r>
      <w:r w:rsidR="00C706B0" w:rsidRPr="000D4359">
        <w:t>, w którym strony były w stanie definitywnie zapoznać się z jego treścią (zob.</w:t>
      </w:r>
      <w:r w:rsidR="00737261" w:rsidRPr="000D4359">
        <w:t> </w:t>
      </w:r>
      <w:proofErr w:type="spellStart"/>
      <w:r w:rsidR="00C706B0" w:rsidRPr="000D4359">
        <w:rPr>
          <w:i/>
          <w:iCs/>
        </w:rPr>
        <w:t>Papachel</w:t>
      </w:r>
      <w:bookmarkStart w:id="12" w:name="_1000001"/>
      <w:bookmarkStart w:id="13" w:name="_1000002"/>
      <w:bookmarkEnd w:id="12"/>
      <w:bookmarkEnd w:id="13"/>
      <w:r w:rsidR="00C706B0" w:rsidRPr="000D4359">
        <w:rPr>
          <w:i/>
          <w:iCs/>
        </w:rPr>
        <w:t>as</w:t>
      </w:r>
      <w:proofErr w:type="spellEnd"/>
      <w:r w:rsidR="00F735BE" w:rsidRPr="000D4359">
        <w:rPr>
          <w:i/>
          <w:iCs/>
        </w:rPr>
        <w:t xml:space="preserve"> </w:t>
      </w:r>
      <w:r w:rsidR="00C706B0" w:rsidRPr="000D4359">
        <w:rPr>
          <w:i/>
          <w:iCs/>
        </w:rPr>
        <w:t>przeciwko Grecji</w:t>
      </w:r>
      <w:r w:rsidR="00C706B0" w:rsidRPr="000D4359">
        <w:t xml:space="preserve"> [WI], skarga nr 31423/96, § 30, </w:t>
      </w:r>
      <w:r w:rsidR="00DD61C5" w:rsidRPr="000D4359">
        <w:t>ETPC</w:t>
      </w:r>
      <w:r w:rsidR="00C706B0" w:rsidRPr="000D4359">
        <w:t xml:space="preserve"> 1999-II, oraz </w:t>
      </w:r>
      <w:proofErr w:type="spellStart"/>
      <w:r w:rsidR="00C706B0" w:rsidRPr="000D4359">
        <w:rPr>
          <w:i/>
          <w:iCs/>
        </w:rPr>
        <w:t>Jakelaitis</w:t>
      </w:r>
      <w:proofErr w:type="spellEnd"/>
      <w:r w:rsidR="00C706B0" w:rsidRPr="000D4359">
        <w:rPr>
          <w:i/>
          <w:iCs/>
        </w:rPr>
        <w:t xml:space="preserve"> przeciwko Litwie</w:t>
      </w:r>
      <w:r w:rsidR="00C706B0" w:rsidRPr="000D4359">
        <w:t xml:space="preserve"> (dec.), skarga nr 17414/05, 16</w:t>
      </w:r>
      <w:r w:rsidR="00737261" w:rsidRPr="000D4359">
        <w:t> </w:t>
      </w:r>
      <w:r w:rsidR="00C706B0" w:rsidRPr="000D4359">
        <w:t>grudnia 2008</w:t>
      </w:r>
      <w:r w:rsidR="00DD61C5" w:rsidRPr="000D4359">
        <w:t xml:space="preserve"> </w:t>
      </w:r>
      <w:r w:rsidR="00C706B0" w:rsidRPr="000D4359">
        <w:t>r.).</w:t>
      </w:r>
    </w:p>
    <w:p w14:paraId="31819B11" w14:textId="12775612" w:rsidR="00C706B0" w:rsidRPr="000D4359" w:rsidRDefault="00146231" w:rsidP="00AF0396">
      <w:pPr>
        <w:pStyle w:val="JuPara"/>
      </w:pPr>
      <w:r w:rsidRPr="000D4359">
        <w:rPr>
          <w:noProof/>
        </w:rPr>
        <w:t>24</w:t>
      </w:r>
      <w:r w:rsidR="00C706B0" w:rsidRPr="000D4359">
        <w:t>.</w:t>
      </w:r>
      <w:r w:rsidR="00DD61C5" w:rsidRPr="000D4359">
        <w:t xml:space="preserve"> </w:t>
      </w:r>
      <w:r w:rsidR="00C706B0" w:rsidRPr="000D4359">
        <w:t>W niniejszej sprawie sąd wydał prawomocne orzeczenie w dniu 17</w:t>
      </w:r>
      <w:r w:rsidR="00737261" w:rsidRPr="000D4359">
        <w:t> </w:t>
      </w:r>
      <w:r w:rsidR="00C706B0" w:rsidRPr="000D4359">
        <w:t>marca 2016</w:t>
      </w:r>
      <w:r w:rsidR="00DD61C5" w:rsidRPr="000D4359">
        <w:t xml:space="preserve"> </w:t>
      </w:r>
      <w:r w:rsidR="00C706B0" w:rsidRPr="000D4359">
        <w:t xml:space="preserve">r. i pouczył strony, że sporządzenie pisemnego uzasadnienia wyroku nastąpi w ciągu czternastu dni (zob. paragrafy </w:t>
      </w:r>
      <w:r w:rsidRPr="000D4359">
        <w:rPr>
          <w:noProof/>
        </w:rPr>
        <w:t>11</w:t>
      </w:r>
      <w:r w:rsidR="00C706B0" w:rsidRPr="000D4359">
        <w:t xml:space="preserve"> i </w:t>
      </w:r>
      <w:r w:rsidRPr="000D4359">
        <w:rPr>
          <w:noProof/>
        </w:rPr>
        <w:t>16</w:t>
      </w:r>
      <w:r w:rsidR="00C706B0" w:rsidRPr="000D4359">
        <w:t xml:space="preserve"> powyżej). Nawet przyjmując twierdzenie Rządu, że skarżący nie był uprawniony do</w:t>
      </w:r>
      <w:r w:rsidR="00737261" w:rsidRPr="000D4359">
        <w:t> </w:t>
      </w:r>
      <w:r w:rsidR="00BF551F" w:rsidRPr="000D4359">
        <w:t>otrzymania</w:t>
      </w:r>
      <w:r w:rsidR="00C706B0" w:rsidRPr="000D4359">
        <w:t xml:space="preserve"> pisemnego wyroku z urzędu, musiał on niezwłocznie zażądać doręczenia. Skarżącemu doręczono prawomocny wyrok wraz z pisemnym uzasadnieniem w dniu 12 kwietnia 2016 r. (zob. paragraf </w:t>
      </w:r>
      <w:r w:rsidRPr="000D4359">
        <w:rPr>
          <w:noProof/>
        </w:rPr>
        <w:t>12</w:t>
      </w:r>
      <w:r w:rsidR="00C706B0" w:rsidRPr="000D4359">
        <w:t xml:space="preserve"> powyżej).</w:t>
      </w:r>
    </w:p>
    <w:p w14:paraId="5426A5BB" w14:textId="53F99922" w:rsidR="00C706B0" w:rsidRPr="000D4359" w:rsidRDefault="00146231" w:rsidP="00AF0396">
      <w:pPr>
        <w:pStyle w:val="JuPara"/>
      </w:pPr>
      <w:r w:rsidRPr="000D4359">
        <w:rPr>
          <w:noProof/>
        </w:rPr>
        <w:t>25</w:t>
      </w:r>
      <w:r w:rsidR="00C706B0" w:rsidRPr="000D4359">
        <w:t>.</w:t>
      </w:r>
      <w:r w:rsidR="00DD61C5" w:rsidRPr="000D4359">
        <w:t xml:space="preserve"> </w:t>
      </w:r>
      <w:r w:rsidR="00C706B0" w:rsidRPr="000D4359">
        <w:t xml:space="preserve">Trybunał zauważa, że pisemne uzasadnienie wyroku zawierało szczegółowe podsumowanie ustalonego przez sąd stanu faktycznego sprawy </w:t>
      </w:r>
      <w:r w:rsidR="00C706B0" w:rsidRPr="000D4359">
        <w:lastRenderedPageBreak/>
        <w:t>oraz wywody prawne sądu (zob</w:t>
      </w:r>
      <w:r w:rsidRPr="000D4359">
        <w:t>.</w:t>
      </w:r>
      <w:r w:rsidR="00C706B0" w:rsidRPr="000D4359">
        <w:t xml:space="preserve"> paragraf 12 powyżej). Tym samym skarżący miał możliwość zapoznania się z pełną treścią wyroku wydanego w jego sprawie dopiero po otrzymaniu jego uzasadnienia na piśmie (zob. </w:t>
      </w:r>
      <w:r w:rsidR="00C706B0" w:rsidRPr="000D4359">
        <w:rPr>
          <w:i/>
        </w:rPr>
        <w:t>Piętka przeciwko Polsce</w:t>
      </w:r>
      <w:r w:rsidR="00C706B0" w:rsidRPr="000D4359">
        <w:t>, skarga nr 34216/07, § 45, 16 października 2012</w:t>
      </w:r>
      <w:r w:rsidR="00DD61C5" w:rsidRPr="000D4359">
        <w:t xml:space="preserve"> </w:t>
      </w:r>
      <w:r w:rsidR="00C706B0" w:rsidRPr="000D4359">
        <w:t>r.). W</w:t>
      </w:r>
      <w:r w:rsidR="00737261" w:rsidRPr="000D4359">
        <w:t> </w:t>
      </w:r>
      <w:r w:rsidR="00C706B0" w:rsidRPr="000D4359">
        <w:t>świetle powyższego oraz w szczególnych okolicznościach sprawy Trybunał uznaje, że sześciomiesięczny termin rozpoczął bieg w dniu, w</w:t>
      </w:r>
      <w:r w:rsidR="00737261" w:rsidRPr="000D4359">
        <w:t> </w:t>
      </w:r>
      <w:r w:rsidR="00C706B0" w:rsidRPr="000D4359">
        <w:t>którym skarżącemu doręczono pisemne uzasadnienie wyroku (zob.</w:t>
      </w:r>
      <w:r w:rsidR="00737261" w:rsidRPr="000D4359">
        <w:t> </w:t>
      </w:r>
      <w:r w:rsidR="00C706B0" w:rsidRPr="000D4359">
        <w:rPr>
          <w:i/>
          <w:iCs/>
        </w:rPr>
        <w:t>Pastuszenia przeciwko Polsce</w:t>
      </w:r>
      <w:r w:rsidR="00C706B0" w:rsidRPr="000D4359">
        <w:t>, skarga nr 46074/07, § 34, 21 września 2010</w:t>
      </w:r>
      <w:r w:rsidR="00DD61C5" w:rsidRPr="000D4359">
        <w:t xml:space="preserve"> </w:t>
      </w:r>
      <w:r w:rsidR="00C706B0" w:rsidRPr="000D4359">
        <w:t>r.).</w:t>
      </w:r>
    </w:p>
    <w:p w14:paraId="69B0C681" w14:textId="1861B9FC" w:rsidR="00C706B0" w:rsidRPr="000D4359" w:rsidRDefault="00146231" w:rsidP="00AF0396">
      <w:pPr>
        <w:pStyle w:val="JuPara"/>
      </w:pPr>
      <w:r w:rsidRPr="000D4359">
        <w:rPr>
          <w:noProof/>
        </w:rPr>
        <w:t>26</w:t>
      </w:r>
      <w:r w:rsidR="00C706B0" w:rsidRPr="000D4359">
        <w:t>.</w:t>
      </w:r>
      <w:r w:rsidR="00DD61C5" w:rsidRPr="000D4359">
        <w:t xml:space="preserve"> </w:t>
      </w:r>
      <w:r w:rsidR="00C706B0" w:rsidRPr="000D4359">
        <w:t>Skarżący wniósł skargę do Trybunału w dniu 11 października 2016</w:t>
      </w:r>
      <w:r w:rsidR="00DD61C5" w:rsidRPr="000D4359">
        <w:t xml:space="preserve"> </w:t>
      </w:r>
      <w:r w:rsidR="00C706B0" w:rsidRPr="000D4359">
        <w:t xml:space="preserve">r., czyli </w:t>
      </w:r>
      <w:r w:rsidR="00AC6499" w:rsidRPr="000D4359">
        <w:t xml:space="preserve">przed upływem sześciu </w:t>
      </w:r>
      <w:r w:rsidR="00C706B0" w:rsidRPr="000D4359">
        <w:t xml:space="preserve">miesięcy </w:t>
      </w:r>
      <w:r w:rsidR="00AC6499" w:rsidRPr="000D4359">
        <w:t>od doręczenia</w:t>
      </w:r>
      <w:r w:rsidR="00C706B0" w:rsidRPr="000D4359">
        <w:t xml:space="preserve"> mu prawomocnego rozstrzygnięcia w sprawie.</w:t>
      </w:r>
    </w:p>
    <w:p w14:paraId="3DBC3F52" w14:textId="4A28C12F" w:rsidR="00C706B0" w:rsidRPr="000D4359" w:rsidRDefault="00146231" w:rsidP="00AF0396">
      <w:pPr>
        <w:pStyle w:val="JuPara"/>
      </w:pPr>
      <w:r w:rsidRPr="000D4359">
        <w:rPr>
          <w:noProof/>
        </w:rPr>
        <w:t>27</w:t>
      </w:r>
      <w:r w:rsidR="00C706B0" w:rsidRPr="000D4359">
        <w:t>.</w:t>
      </w:r>
      <w:r w:rsidR="00DD61C5" w:rsidRPr="000D4359">
        <w:t xml:space="preserve"> </w:t>
      </w:r>
      <w:r w:rsidR="00C706B0" w:rsidRPr="000D4359">
        <w:t>Z powyższego wynika, że skarga nie może zostać uznana za</w:t>
      </w:r>
      <w:r w:rsidR="00737261" w:rsidRPr="000D4359">
        <w:t> </w:t>
      </w:r>
      <w:r w:rsidR="00C706B0" w:rsidRPr="000D4359">
        <w:t>niedopuszczalną z powodu niedotrzymania sześciomiesięcznego terminu w rozumieniu art. 35 ust. 1 Konwencji, a sprzeciw Rządu powinien zostać odrzucony.</w:t>
      </w:r>
    </w:p>
    <w:p w14:paraId="79D5FB50" w14:textId="71D91CA4" w:rsidR="00C706B0" w:rsidRPr="000D4359" w:rsidRDefault="00146231" w:rsidP="00AF0396">
      <w:pPr>
        <w:pStyle w:val="JuPara"/>
      </w:pPr>
      <w:r w:rsidRPr="000D4359">
        <w:rPr>
          <w:noProof/>
        </w:rPr>
        <w:t>28</w:t>
      </w:r>
      <w:r w:rsidR="00C706B0" w:rsidRPr="000D4359">
        <w:t>.</w:t>
      </w:r>
      <w:r w:rsidR="00DD61C5" w:rsidRPr="000D4359">
        <w:t xml:space="preserve"> </w:t>
      </w:r>
      <w:r w:rsidR="00C706B0" w:rsidRPr="000D4359">
        <w:t xml:space="preserve">Trybunał zauważa, że </w:t>
      </w:r>
      <w:r w:rsidR="00AC6499" w:rsidRPr="000D4359">
        <w:t>zarzut skargi</w:t>
      </w:r>
      <w:r w:rsidR="00C706B0" w:rsidRPr="000D4359">
        <w:t xml:space="preserve"> nie jest w sposób oczywisty nieuzasadnion</w:t>
      </w:r>
      <w:r w:rsidR="00AC6499" w:rsidRPr="000D4359">
        <w:t>y</w:t>
      </w:r>
      <w:r w:rsidR="00C706B0" w:rsidRPr="000D4359">
        <w:t xml:space="preserve"> w rozumieniu art.</w:t>
      </w:r>
      <w:r w:rsidR="00DD61C5" w:rsidRPr="000D4359">
        <w:t xml:space="preserve"> </w:t>
      </w:r>
      <w:r w:rsidR="00C706B0" w:rsidRPr="000D4359">
        <w:t>35 ust.</w:t>
      </w:r>
      <w:r w:rsidR="00DD61C5" w:rsidRPr="000D4359">
        <w:t xml:space="preserve"> </w:t>
      </w:r>
      <w:r w:rsidR="00C706B0" w:rsidRPr="000D4359">
        <w:t>3 lit.</w:t>
      </w:r>
      <w:r w:rsidR="00DD61C5" w:rsidRPr="000D4359">
        <w:t xml:space="preserve"> </w:t>
      </w:r>
      <w:r w:rsidR="00C706B0" w:rsidRPr="000D4359">
        <w:t>a Konwencji. Ponadto wskazuje, że nie jest on</w:t>
      </w:r>
      <w:r w:rsidR="00AC6499" w:rsidRPr="000D4359">
        <w:t xml:space="preserve"> również niedopuszczalny</w:t>
      </w:r>
      <w:r w:rsidR="00C706B0" w:rsidRPr="000D4359">
        <w:t xml:space="preserve"> pod żadnym innym względem. Tym samym należy uznać </w:t>
      </w:r>
      <w:r w:rsidR="00172281" w:rsidRPr="000D4359">
        <w:t>go za dopuszczalny</w:t>
      </w:r>
      <w:r w:rsidR="00C706B0" w:rsidRPr="000D4359">
        <w:t>.</w:t>
      </w:r>
    </w:p>
    <w:p w14:paraId="211713B1" w14:textId="77777777" w:rsidR="00C706B0" w:rsidRPr="000D4359" w:rsidRDefault="00C706B0" w:rsidP="00AF0396">
      <w:pPr>
        <w:pStyle w:val="JuHA"/>
      </w:pPr>
      <w:r w:rsidRPr="000D4359">
        <w:t>Przedmiot skargi</w:t>
      </w:r>
    </w:p>
    <w:p w14:paraId="0D5B28DF" w14:textId="0608ED0A" w:rsidR="00C706B0" w:rsidRPr="000D4359" w:rsidRDefault="00146231" w:rsidP="00AF0396">
      <w:pPr>
        <w:pStyle w:val="JuPara"/>
      </w:pPr>
      <w:r w:rsidRPr="000D4359">
        <w:rPr>
          <w:noProof/>
        </w:rPr>
        <w:t>29</w:t>
      </w:r>
      <w:r w:rsidR="00C706B0" w:rsidRPr="000D4359">
        <w:t>.</w:t>
      </w:r>
      <w:r w:rsidR="00DD61C5" w:rsidRPr="000D4359">
        <w:t xml:space="preserve"> </w:t>
      </w:r>
      <w:r w:rsidR="00C706B0" w:rsidRPr="000D4359">
        <w:t>Skarżący twierdził, że czas trwania postępowania niewątpliwie stanowił naruszenie zasady „rozsądnego terminu”. Postępowanie sądowe było szczególn</w:t>
      </w:r>
      <w:r w:rsidR="00172281" w:rsidRPr="000D4359">
        <w:t>ie</w:t>
      </w:r>
      <w:r w:rsidR="00C706B0" w:rsidRPr="000D4359">
        <w:t xml:space="preserve"> nieskuteczne, a postępowanie w pierwszej instancji było przewlekłe, bo trwało niemal dziesięć lat.</w:t>
      </w:r>
    </w:p>
    <w:p w14:paraId="7D3BB5FF" w14:textId="33DD47CA" w:rsidR="00C706B0" w:rsidRPr="000D4359" w:rsidRDefault="00146231" w:rsidP="00AF0396">
      <w:pPr>
        <w:pStyle w:val="JuPara"/>
      </w:pPr>
      <w:r w:rsidRPr="000D4359">
        <w:rPr>
          <w:noProof/>
        </w:rPr>
        <w:t>30</w:t>
      </w:r>
      <w:r w:rsidR="00C706B0" w:rsidRPr="000D4359">
        <w:t>.</w:t>
      </w:r>
      <w:r w:rsidR="00DD61C5" w:rsidRPr="000D4359">
        <w:t xml:space="preserve"> </w:t>
      </w:r>
      <w:r w:rsidR="00C706B0" w:rsidRPr="000D4359">
        <w:t>Rząd nie przedstawił stanowiska w przedmiocie tego zarzutu skarżącego.</w:t>
      </w:r>
    </w:p>
    <w:p w14:paraId="76C1E04F" w14:textId="03C1F20F" w:rsidR="00C706B0" w:rsidRPr="000D4359" w:rsidRDefault="00146231" w:rsidP="00AF0396">
      <w:pPr>
        <w:pStyle w:val="JuPara"/>
      </w:pPr>
      <w:r w:rsidRPr="000D4359">
        <w:rPr>
          <w:noProof/>
        </w:rPr>
        <w:t>31</w:t>
      </w:r>
      <w:r w:rsidR="00C706B0" w:rsidRPr="000D4359">
        <w:t>.</w:t>
      </w:r>
      <w:r w:rsidR="00DD61C5" w:rsidRPr="000D4359">
        <w:t xml:space="preserve"> </w:t>
      </w:r>
      <w:r w:rsidR="00C706B0" w:rsidRPr="000D4359">
        <w:t>Trybunał przypomina, że</w:t>
      </w:r>
      <w:r w:rsidR="00172281" w:rsidRPr="000D4359">
        <w:t xml:space="preserve"> zasadność czasu</w:t>
      </w:r>
      <w:r w:rsidR="00C706B0" w:rsidRPr="000D4359">
        <w:t xml:space="preserve"> trwania postępowania należy oceniać w świetle szczególnych okoliczności sprawy i</w:t>
      </w:r>
      <w:r w:rsidR="00737261" w:rsidRPr="000D4359">
        <w:t> </w:t>
      </w:r>
      <w:r w:rsidR="00C706B0" w:rsidRPr="000D4359">
        <w:t>z</w:t>
      </w:r>
      <w:r w:rsidR="00737261" w:rsidRPr="000D4359">
        <w:t> </w:t>
      </w:r>
      <w:r w:rsidR="00C706B0" w:rsidRPr="000D4359">
        <w:t>uwzględnieniem kryteriów przyjętych w orzecznictwie Trybunału, w</w:t>
      </w:r>
      <w:r w:rsidR="00737261" w:rsidRPr="000D4359">
        <w:t> </w:t>
      </w:r>
      <w:r w:rsidR="00C706B0" w:rsidRPr="000D4359">
        <w:t>szczególności złożoności sprawy oraz zachowania skarżącego i</w:t>
      </w:r>
      <w:r w:rsidR="00737261" w:rsidRPr="000D4359">
        <w:t> </w:t>
      </w:r>
      <w:r w:rsidR="00C706B0" w:rsidRPr="000D4359">
        <w:t xml:space="preserve">właściwych organów. W odniesieniu do ostatniego kryterium należy również brać pod uwagę, jakie </w:t>
      </w:r>
      <w:r w:rsidR="00172281" w:rsidRPr="000D4359">
        <w:t xml:space="preserve">jest znaczenie </w:t>
      </w:r>
      <w:r w:rsidR="00C706B0" w:rsidRPr="000D4359">
        <w:t xml:space="preserve">postępowania dla skarżącego (zob. </w:t>
      </w:r>
      <w:r w:rsidR="00C706B0" w:rsidRPr="000D4359">
        <w:rPr>
          <w:i/>
        </w:rPr>
        <w:t>Kudła przeciwko Polsce</w:t>
      </w:r>
      <w:r w:rsidR="00C706B0" w:rsidRPr="000D4359">
        <w:t xml:space="preserve"> [WI], skarga nr</w:t>
      </w:r>
      <w:r w:rsidR="00DD61C5" w:rsidRPr="000D4359">
        <w:t xml:space="preserve"> </w:t>
      </w:r>
      <w:r w:rsidR="00C706B0" w:rsidRPr="000D4359">
        <w:t>30210/96, §</w:t>
      </w:r>
      <w:r w:rsidR="00DD61C5" w:rsidRPr="000D4359">
        <w:t xml:space="preserve"> </w:t>
      </w:r>
      <w:r w:rsidR="00C706B0" w:rsidRPr="000D4359">
        <w:t xml:space="preserve">124, </w:t>
      </w:r>
      <w:r w:rsidR="00DD61C5" w:rsidRPr="000D4359">
        <w:t>ETPC</w:t>
      </w:r>
      <w:r w:rsidR="00172281" w:rsidRPr="000D4359">
        <w:t xml:space="preserve"> 2000</w:t>
      </w:r>
      <w:r w:rsidR="00C706B0" w:rsidRPr="000D4359">
        <w:t xml:space="preserve">XI, dalsze odesłania do orzecznictwa – zob. </w:t>
      </w:r>
      <w:r w:rsidR="00C706B0" w:rsidRPr="000D4359">
        <w:rPr>
          <w:i/>
        </w:rPr>
        <w:t>Rutkowski i Inni</w:t>
      </w:r>
      <w:r w:rsidR="00C706B0" w:rsidRPr="000D4359">
        <w:t xml:space="preserve">, </w:t>
      </w:r>
      <w:r w:rsidR="00C706B0" w:rsidRPr="000D4359">
        <w:rPr>
          <w:i/>
          <w:iCs/>
        </w:rPr>
        <w:t>op. cit.</w:t>
      </w:r>
      <w:r w:rsidR="00C706B0" w:rsidRPr="000D4359">
        <w:t>, §§</w:t>
      </w:r>
      <w:r w:rsidR="00737261" w:rsidRPr="000D4359">
        <w:t> </w:t>
      </w:r>
      <w:r w:rsidR="00C706B0" w:rsidRPr="000D4359">
        <w:t>126</w:t>
      </w:r>
      <w:r w:rsidR="00C706B0" w:rsidRPr="000D4359">
        <w:noBreakHyphen/>
        <w:t>128).</w:t>
      </w:r>
    </w:p>
    <w:p w14:paraId="06C72D77" w14:textId="04657835" w:rsidR="00C706B0" w:rsidRPr="000D4359" w:rsidRDefault="00146231" w:rsidP="00AF0396">
      <w:pPr>
        <w:pStyle w:val="JuPara"/>
      </w:pPr>
      <w:r w:rsidRPr="000D4359">
        <w:rPr>
          <w:noProof/>
        </w:rPr>
        <w:t>32</w:t>
      </w:r>
      <w:r w:rsidR="00C706B0" w:rsidRPr="000D4359">
        <w:t>.</w:t>
      </w:r>
      <w:r w:rsidR="00DD61C5" w:rsidRPr="000D4359">
        <w:t xml:space="preserve"> </w:t>
      </w:r>
      <w:r w:rsidR="00C706B0" w:rsidRPr="000D4359">
        <w:t>Trybunał nie dysponuje informacjami na tyle wystarczającymi, aby</w:t>
      </w:r>
      <w:r w:rsidR="00737261" w:rsidRPr="000D4359">
        <w:t> </w:t>
      </w:r>
      <w:r w:rsidR="00C706B0" w:rsidRPr="000D4359">
        <w:t>stwierdzić, że zawiłość sprawy była ponadprzeciętna. Chociaż sąd orzekający przeprowadził liczne dowody z przesłuchania świadków, to</w:t>
      </w:r>
      <w:r w:rsidR="00737261" w:rsidRPr="000D4359">
        <w:t> </w:t>
      </w:r>
      <w:r w:rsidR="00C706B0" w:rsidRPr="000D4359">
        <w:t>nic</w:t>
      </w:r>
      <w:r w:rsidR="00737261" w:rsidRPr="000D4359">
        <w:t> </w:t>
      </w:r>
      <w:r w:rsidR="00C706B0" w:rsidRPr="000D4359">
        <w:t>nie świadczy o konieczności przeprowadzenia dowodu z opinii biegłego w toku postępowania.</w:t>
      </w:r>
    </w:p>
    <w:p w14:paraId="2227DDF6" w14:textId="491FB842" w:rsidR="00C706B0" w:rsidRPr="000D4359" w:rsidRDefault="00146231" w:rsidP="00AF0396">
      <w:pPr>
        <w:pStyle w:val="JuPara"/>
      </w:pPr>
      <w:r w:rsidRPr="000D4359">
        <w:rPr>
          <w:noProof/>
        </w:rPr>
        <w:lastRenderedPageBreak/>
        <w:t>33</w:t>
      </w:r>
      <w:r w:rsidR="00C706B0" w:rsidRPr="000D4359">
        <w:t>.</w:t>
      </w:r>
      <w:r w:rsidR="00DD61C5" w:rsidRPr="000D4359">
        <w:t xml:space="preserve"> </w:t>
      </w:r>
      <w:r w:rsidR="00C706B0" w:rsidRPr="000D4359">
        <w:t>W odniesieniu do zachowania władz krajowych Trybunał zauważa, że</w:t>
      </w:r>
      <w:r w:rsidR="00737261" w:rsidRPr="000D4359">
        <w:t> </w:t>
      </w:r>
      <w:r w:rsidR="00C706B0" w:rsidRPr="000D4359">
        <w:t xml:space="preserve">termin pierwszej rozprawy przed Sądem Rejonowym w Toruniu wyznaczono niemal osiemnaście miesięcy po wniesieniu aktu oskarżenia przeciwko skarżącemu (zob. paragrafy </w:t>
      </w:r>
      <w:r w:rsidRPr="000D4359">
        <w:rPr>
          <w:noProof/>
        </w:rPr>
        <w:t>6</w:t>
      </w:r>
      <w:r w:rsidR="00C706B0" w:rsidRPr="000D4359">
        <w:t xml:space="preserve"> i </w:t>
      </w:r>
      <w:r w:rsidRPr="000D4359">
        <w:rPr>
          <w:noProof/>
        </w:rPr>
        <w:t>7</w:t>
      </w:r>
      <w:r w:rsidR="00C706B0" w:rsidRPr="000D4359">
        <w:t xml:space="preserve"> powyżej). Brak jest wyjaśnienia tego opóźnienia. Ogółem sąd orzekający rozpoznawał sprawę przez okres ponad jedena</w:t>
      </w:r>
      <w:r w:rsidR="004C2C4A" w:rsidRPr="000D4359">
        <w:t>stu</w:t>
      </w:r>
      <w:r w:rsidR="00C706B0" w:rsidRPr="000D4359">
        <w:t xml:space="preserve"> lat, podczas którego przeprowadził około 100 rozpraw (zob.</w:t>
      </w:r>
      <w:r w:rsidR="00737261" w:rsidRPr="000D4359">
        <w:t> </w:t>
      </w:r>
      <w:r w:rsidR="00C706B0" w:rsidRPr="000D4359">
        <w:t xml:space="preserve">paragraf </w:t>
      </w:r>
      <w:r w:rsidRPr="000D4359">
        <w:rPr>
          <w:noProof/>
        </w:rPr>
        <w:t>7</w:t>
      </w:r>
      <w:r w:rsidR="00C706B0" w:rsidRPr="000D4359">
        <w:t xml:space="preserve"> powyżej). W tym kontekście Trybunał opiera się na</w:t>
      </w:r>
      <w:r w:rsidR="00737261" w:rsidRPr="000D4359">
        <w:t> </w:t>
      </w:r>
      <w:r w:rsidR="00C706B0" w:rsidRPr="000D4359">
        <w:t xml:space="preserve">ustaleniach Sądu Okręgowego w Toruniu, który rozpatrywał skargę skarżącego wniesioną na gruncie </w:t>
      </w:r>
      <w:r w:rsidR="00621E34" w:rsidRPr="000D4359">
        <w:t>u</w:t>
      </w:r>
      <w:r w:rsidR="00C706B0" w:rsidRPr="000D4359">
        <w:t>stawy z 2004 r. Sąd Okręgowy uznał, że</w:t>
      </w:r>
      <w:r w:rsidR="00737261" w:rsidRPr="000D4359">
        <w:t> </w:t>
      </w:r>
      <w:r w:rsidR="00C706B0" w:rsidRPr="000D4359">
        <w:t xml:space="preserve">główny materiał dowodowy w postępowaniu został zgromadzony do dnia 7 marca 2006 r., a późniejszy ponad siedmioletni okres charakteryzował się bardzo niską aktywnością procesową sądu orzekającego (zob. paragraf </w:t>
      </w:r>
      <w:r w:rsidRPr="000D4359">
        <w:rPr>
          <w:iCs/>
          <w:noProof/>
        </w:rPr>
        <w:t>14</w:t>
      </w:r>
      <w:r w:rsidR="00C706B0" w:rsidRPr="000D4359">
        <w:t xml:space="preserve"> powyżej). Nie ulega wątpliwości, że takie opóźnienie należy uznać za</w:t>
      </w:r>
      <w:r w:rsidR="00737261" w:rsidRPr="000D4359">
        <w:t> </w:t>
      </w:r>
      <w:r w:rsidR="00C706B0" w:rsidRPr="000D4359">
        <w:t xml:space="preserve">nadmierne i że należy </w:t>
      </w:r>
      <w:r w:rsidR="00B704B2" w:rsidRPr="000D4359">
        <w:t>je</w:t>
      </w:r>
      <w:r w:rsidR="00C706B0" w:rsidRPr="000D4359">
        <w:t xml:space="preserve"> przypisać sądowi </w:t>
      </w:r>
      <w:r w:rsidR="00B704B2" w:rsidRPr="000D4359">
        <w:t>pierwszej instancji</w:t>
      </w:r>
      <w:r w:rsidR="00C706B0" w:rsidRPr="000D4359">
        <w:t xml:space="preserve">. Należy również zauważyć, że sporządzenie pisemnego uzasadnienia wyroku z dnia 30 października 2013 r. zajęło sądowi około sześciu miesięcy (zob. paragraf </w:t>
      </w:r>
      <w:r w:rsidRPr="000D4359">
        <w:rPr>
          <w:noProof/>
        </w:rPr>
        <w:t>8</w:t>
      </w:r>
      <w:r w:rsidR="00C706B0" w:rsidRPr="000D4359">
        <w:t xml:space="preserve"> powyżej)</w:t>
      </w:r>
    </w:p>
    <w:p w14:paraId="6E7AF4E4" w14:textId="52672EA3" w:rsidR="00C706B0" w:rsidRPr="000D4359" w:rsidRDefault="00146231" w:rsidP="00AF0396">
      <w:pPr>
        <w:pStyle w:val="JuPara"/>
      </w:pPr>
      <w:r w:rsidRPr="000D4359">
        <w:rPr>
          <w:noProof/>
        </w:rPr>
        <w:t>34</w:t>
      </w:r>
      <w:r w:rsidR="00C706B0" w:rsidRPr="000D4359">
        <w:t>.</w:t>
      </w:r>
      <w:r w:rsidR="00DD61C5" w:rsidRPr="000D4359">
        <w:t xml:space="preserve"> </w:t>
      </w:r>
      <w:r w:rsidR="00C706B0" w:rsidRPr="000D4359">
        <w:t xml:space="preserve">Trybunał dostrzega późniejsze wysiłki podejmowane przez sąd apelacyjny i Sąd Rejonowy w Toruniu po przekazaniu sprawy do ponownego rozpoznania, mające na celu zakończenie prowadzonego przeciwko skarżącemu postępowania (zob. </w:t>
      </w:r>
      <w:r w:rsidR="00621E34" w:rsidRPr="000D4359">
        <w:t>p</w:t>
      </w:r>
      <w:r w:rsidR="00C706B0" w:rsidRPr="000D4359">
        <w:t xml:space="preserve">aragrafy </w:t>
      </w:r>
      <w:r w:rsidRPr="000D4359">
        <w:rPr>
          <w:noProof/>
        </w:rPr>
        <w:t>9</w:t>
      </w:r>
      <w:r w:rsidR="00621E34" w:rsidRPr="000D4359">
        <w:t>-</w:t>
      </w:r>
      <w:r w:rsidRPr="000D4359">
        <w:rPr>
          <w:noProof/>
        </w:rPr>
        <w:t>11</w:t>
      </w:r>
      <w:r w:rsidR="00C706B0" w:rsidRPr="000D4359">
        <w:t xml:space="preserve"> powyżej). Jednak ta</w:t>
      </w:r>
      <w:r w:rsidR="00737261" w:rsidRPr="000D4359">
        <w:t> </w:t>
      </w:r>
      <w:r w:rsidR="00C706B0" w:rsidRPr="000D4359">
        <w:t>ostateczna kumulacja czynności sądu nie może rekompensować wcześniejszych opóźnień (</w:t>
      </w:r>
      <w:r w:rsidR="00C706B0" w:rsidRPr="000D4359">
        <w:rPr>
          <w:i/>
        </w:rPr>
        <w:t>zob.</w:t>
      </w:r>
      <w:r w:rsidR="00616119" w:rsidRPr="000D4359">
        <w:rPr>
          <w:i/>
        </w:rPr>
        <w:t xml:space="preserve"> </w:t>
      </w:r>
      <w:r w:rsidR="00C706B0" w:rsidRPr="000D4359">
        <w:rPr>
          <w:i/>
          <w:iCs/>
        </w:rPr>
        <w:t>Rutkowski i Inni</w:t>
      </w:r>
      <w:r w:rsidR="00C706B0" w:rsidRPr="000D4359">
        <w:t xml:space="preserve">, </w:t>
      </w:r>
      <w:r w:rsidR="00C706B0" w:rsidRPr="000D4359">
        <w:rPr>
          <w:i/>
          <w:iCs/>
        </w:rPr>
        <w:t>op. cit.</w:t>
      </w:r>
      <w:r w:rsidR="00C706B0" w:rsidRPr="000D4359">
        <w:t>, § 139).</w:t>
      </w:r>
    </w:p>
    <w:p w14:paraId="7E11B673" w14:textId="335625AA" w:rsidR="00C706B0" w:rsidRPr="000D4359" w:rsidRDefault="00146231" w:rsidP="00AF0396">
      <w:pPr>
        <w:pStyle w:val="JuPara"/>
      </w:pPr>
      <w:r w:rsidRPr="000D4359">
        <w:rPr>
          <w:noProof/>
        </w:rPr>
        <w:t>35</w:t>
      </w:r>
      <w:r w:rsidR="00C706B0" w:rsidRPr="000D4359">
        <w:t>.</w:t>
      </w:r>
      <w:r w:rsidR="00DD61C5" w:rsidRPr="000D4359">
        <w:t xml:space="preserve"> </w:t>
      </w:r>
      <w:r w:rsidR="00C706B0" w:rsidRPr="000D4359">
        <w:t>Wreszcie Trybunał zauważa, że nic nie świadczy o tym, by skarżący znacząco przyczynił się do przewlekłości postępowania w jego sprawie.</w:t>
      </w:r>
    </w:p>
    <w:p w14:paraId="08916213" w14:textId="273142FA" w:rsidR="00C706B0" w:rsidRPr="000D4359" w:rsidRDefault="00146231" w:rsidP="00AF0396">
      <w:pPr>
        <w:pStyle w:val="JuPara"/>
      </w:pPr>
      <w:bookmarkStart w:id="14" w:name="violationart6"/>
      <w:r w:rsidRPr="000D4359">
        <w:rPr>
          <w:noProof/>
        </w:rPr>
        <w:t>36</w:t>
      </w:r>
      <w:bookmarkEnd w:id="14"/>
      <w:r w:rsidR="00C706B0" w:rsidRPr="000D4359">
        <w:t>.</w:t>
      </w:r>
      <w:r w:rsidR="00DD61C5" w:rsidRPr="000D4359">
        <w:t xml:space="preserve"> </w:t>
      </w:r>
      <w:r w:rsidR="00C706B0" w:rsidRPr="000D4359">
        <w:t xml:space="preserve">W związku z powyższym, uwzględniając w szczególności </w:t>
      </w:r>
      <w:r w:rsidR="00621E34" w:rsidRPr="000D4359">
        <w:t xml:space="preserve">znaczne </w:t>
      </w:r>
      <w:r w:rsidR="00C706B0" w:rsidRPr="000D4359">
        <w:t>opóźnienia zaistniałe na etapie postępowania rozpoznawczego, Trybunał uważa, że w niniejszej sprawie doszło do naruszenia art. 6 ust. 1 Konwencji ze względu na nierozsądną długość postępowania karnego.</w:t>
      </w:r>
    </w:p>
    <w:p w14:paraId="4C6C35F6" w14:textId="592E4455" w:rsidR="00C706B0" w:rsidRPr="000D4359" w:rsidRDefault="00C706B0" w:rsidP="00AF0396">
      <w:pPr>
        <w:pStyle w:val="JuHIRoman"/>
      </w:pPr>
      <w:r w:rsidRPr="000D4359">
        <w:t>ZARZUCANE NARUSZENIE ART.</w:t>
      </w:r>
      <w:r w:rsidR="00DD61C5" w:rsidRPr="000D4359">
        <w:t xml:space="preserve"> </w:t>
      </w:r>
      <w:r w:rsidRPr="000D4359">
        <w:t>13 KONWENCJI</w:t>
      </w:r>
    </w:p>
    <w:p w14:paraId="6E5F0E02" w14:textId="096CDD54" w:rsidR="00C706B0" w:rsidRPr="000D4359" w:rsidRDefault="00146231" w:rsidP="00AF0396">
      <w:pPr>
        <w:pStyle w:val="JuPara"/>
      </w:pPr>
      <w:r w:rsidRPr="000D4359">
        <w:rPr>
          <w:noProof/>
        </w:rPr>
        <w:t>37</w:t>
      </w:r>
      <w:r w:rsidR="00C706B0" w:rsidRPr="000D4359">
        <w:t>.</w:t>
      </w:r>
      <w:r w:rsidR="00DD61C5" w:rsidRPr="000D4359">
        <w:t xml:space="preserve"> </w:t>
      </w:r>
      <w:r w:rsidR="00C706B0" w:rsidRPr="000D4359">
        <w:t>Skarżący wywodził ponadto, że nie dysponował skutecznym krajowym środkiem odwoławczym w odniesieniu do dotkniętego przewlekłością postępowania w jego sprawie. Skarżący powołał się na art.</w:t>
      </w:r>
      <w:r w:rsidR="00DD61C5" w:rsidRPr="000D4359">
        <w:t xml:space="preserve"> </w:t>
      </w:r>
      <w:r w:rsidR="00C706B0" w:rsidRPr="000D4359">
        <w:t>13 Konwencji, który stanowi:</w:t>
      </w:r>
    </w:p>
    <w:p w14:paraId="4FA9554B" w14:textId="77777777" w:rsidR="00C706B0" w:rsidRPr="000D4359" w:rsidRDefault="00C706B0" w:rsidP="00AF0396">
      <w:pPr>
        <w:pStyle w:val="JuQuot"/>
      </w:pPr>
      <w:r w:rsidRPr="000D4359">
        <w:t>„Każdy, kogo prawa i wolności zawarte w niniejszej Konwencji zostały naruszone, ma prawo do skutecznego środka odwoławczego do właściwego organu państwowego także wówczas, gdy naruszenia dokonały osoby wykonujące swoje funkcje urzędowe”.</w:t>
      </w:r>
    </w:p>
    <w:p w14:paraId="2E39EDBF" w14:textId="63672D2D" w:rsidR="00C706B0" w:rsidRPr="000D4359" w:rsidRDefault="00146231" w:rsidP="00AF0396">
      <w:pPr>
        <w:pStyle w:val="JuPara"/>
      </w:pPr>
      <w:r w:rsidRPr="000D4359">
        <w:rPr>
          <w:noProof/>
        </w:rPr>
        <w:t>38</w:t>
      </w:r>
      <w:r w:rsidR="00C706B0" w:rsidRPr="000D4359">
        <w:t>.</w:t>
      </w:r>
      <w:r w:rsidR="00DD61C5" w:rsidRPr="000D4359">
        <w:t xml:space="preserve"> </w:t>
      </w:r>
      <w:r w:rsidR="00C706B0" w:rsidRPr="000D4359">
        <w:t>Rząd kwestionował stanowisko, jakoby doszło do naruszenia tego postanowienia Konwencji.</w:t>
      </w:r>
    </w:p>
    <w:p w14:paraId="7F628782" w14:textId="3BBF7AE7" w:rsidR="00C706B0" w:rsidRPr="000D4359" w:rsidRDefault="00146231" w:rsidP="00AF0396">
      <w:pPr>
        <w:pStyle w:val="JuPara"/>
      </w:pPr>
      <w:r w:rsidRPr="000D4359">
        <w:rPr>
          <w:noProof/>
        </w:rPr>
        <w:t>39</w:t>
      </w:r>
      <w:r w:rsidR="00C706B0" w:rsidRPr="000D4359">
        <w:t>.</w:t>
      </w:r>
      <w:r w:rsidR="00DD61C5" w:rsidRPr="000D4359">
        <w:t xml:space="preserve"> </w:t>
      </w:r>
      <w:r w:rsidR="00C706B0" w:rsidRPr="000D4359">
        <w:t xml:space="preserve">Rząd nie przedstawił </w:t>
      </w:r>
      <w:r w:rsidR="00621E34" w:rsidRPr="000D4359">
        <w:t xml:space="preserve">uwag </w:t>
      </w:r>
      <w:r w:rsidR="00C706B0" w:rsidRPr="000D4359">
        <w:t>w przedmiocie tego zarzutu skarżącego.</w:t>
      </w:r>
    </w:p>
    <w:p w14:paraId="01F57F3D" w14:textId="524A36DB" w:rsidR="00C706B0" w:rsidRPr="000D4359" w:rsidRDefault="00146231" w:rsidP="00AF0396">
      <w:pPr>
        <w:pStyle w:val="JuPara"/>
      </w:pPr>
      <w:r w:rsidRPr="000D4359">
        <w:rPr>
          <w:noProof/>
        </w:rPr>
        <w:t>40</w:t>
      </w:r>
      <w:r w:rsidR="00C706B0" w:rsidRPr="000D4359">
        <w:t>.</w:t>
      </w:r>
      <w:r w:rsidR="00DD61C5" w:rsidRPr="000D4359">
        <w:t xml:space="preserve"> </w:t>
      </w:r>
      <w:r w:rsidR="00C706B0" w:rsidRPr="000D4359">
        <w:t>Trybunał zauważa, że zarzut ten ma związek z zarzutem analizowanym powyżej, a co za tym idzie należy go również uznać za dopuszczalny.</w:t>
      </w:r>
    </w:p>
    <w:p w14:paraId="421F0820" w14:textId="745F86E5" w:rsidR="00C706B0" w:rsidRPr="000D4359" w:rsidRDefault="00146231" w:rsidP="00AF0396">
      <w:pPr>
        <w:pStyle w:val="JuPara"/>
      </w:pPr>
      <w:r w:rsidRPr="000D4359">
        <w:rPr>
          <w:noProof/>
        </w:rPr>
        <w:lastRenderedPageBreak/>
        <w:t>41</w:t>
      </w:r>
      <w:r w:rsidR="00C706B0" w:rsidRPr="000D4359">
        <w:t>.</w:t>
      </w:r>
      <w:r w:rsidR="00DD61C5" w:rsidRPr="000D4359">
        <w:t xml:space="preserve"> </w:t>
      </w:r>
      <w:r w:rsidR="00C706B0" w:rsidRPr="000D4359">
        <w:t xml:space="preserve">Trybunał przypomina, że art. 13 gwarantuje skuteczne środki odwoławcze przed organem krajowym w przypadku zarzucanego naruszenia wymogu wynikającego z art. 6 ust. 1, a mianowicie wymogu rozpatrzenia sprawy w rozsądnym terminie (zob. </w:t>
      </w:r>
      <w:r w:rsidR="00C706B0" w:rsidRPr="000D4359">
        <w:rPr>
          <w:i/>
          <w:iCs/>
        </w:rPr>
        <w:t>Kudła</w:t>
      </w:r>
      <w:r w:rsidR="00C706B0" w:rsidRPr="000D4359">
        <w:t xml:space="preserve">, </w:t>
      </w:r>
      <w:r w:rsidR="00C706B0" w:rsidRPr="000D4359">
        <w:rPr>
          <w:i/>
          <w:iCs/>
        </w:rPr>
        <w:t>op. cit</w:t>
      </w:r>
      <w:r w:rsidR="00C706B0" w:rsidRPr="000D4359">
        <w:t xml:space="preserve">., §§ 146-56). Odpowiednie zasady, przyjęte w wyroku w sprawie </w:t>
      </w:r>
      <w:r w:rsidR="00C706B0" w:rsidRPr="000D4359">
        <w:rPr>
          <w:i/>
          <w:iCs/>
        </w:rPr>
        <w:t>Kudła</w:t>
      </w:r>
      <w:r w:rsidR="00C706B0" w:rsidRPr="000D4359">
        <w:t xml:space="preserve"> i w późniejszych wyrokach Trybunału, zostały określone w wyroku pilotażowym w sprawie </w:t>
      </w:r>
      <w:r w:rsidR="00C706B0" w:rsidRPr="000D4359">
        <w:rPr>
          <w:i/>
          <w:iCs/>
        </w:rPr>
        <w:t>Rutkowski</w:t>
      </w:r>
      <w:r w:rsidR="00C706B0" w:rsidRPr="000D4359">
        <w:t xml:space="preserve"> (</w:t>
      </w:r>
      <w:r w:rsidR="00C706B0" w:rsidRPr="000D4359">
        <w:rPr>
          <w:i/>
          <w:iCs/>
        </w:rPr>
        <w:t>Rutkowski i Inni</w:t>
      </w:r>
      <w:r w:rsidR="00C706B0" w:rsidRPr="000D4359">
        <w:t xml:space="preserve">, </w:t>
      </w:r>
      <w:r w:rsidR="00C706B0" w:rsidRPr="000D4359">
        <w:rPr>
          <w:i/>
          <w:iCs/>
        </w:rPr>
        <w:t>op. cit.</w:t>
      </w:r>
      <w:r w:rsidR="00C706B0" w:rsidRPr="000D4359">
        <w:t>, §§ 126</w:t>
      </w:r>
      <w:r w:rsidR="00C706B0" w:rsidRPr="000D4359">
        <w:noBreakHyphen/>
        <w:t>128).</w:t>
      </w:r>
    </w:p>
    <w:p w14:paraId="3B87799C" w14:textId="1D3699AA" w:rsidR="00C706B0" w:rsidRPr="000D4359" w:rsidRDefault="00146231" w:rsidP="00AF0396">
      <w:pPr>
        <w:pStyle w:val="JuPara"/>
      </w:pPr>
      <w:r w:rsidRPr="000D4359">
        <w:rPr>
          <w:noProof/>
        </w:rPr>
        <w:t>42</w:t>
      </w:r>
      <w:r w:rsidR="00C706B0" w:rsidRPr="000D4359">
        <w:t>.</w:t>
      </w:r>
      <w:r w:rsidR="00DD61C5" w:rsidRPr="000D4359">
        <w:t xml:space="preserve"> </w:t>
      </w:r>
      <w:r w:rsidR="00C706B0" w:rsidRPr="000D4359">
        <w:t xml:space="preserve">Trybunał już wcześniej stwierdził, że nie przestrzegano prawa skarżącego do rozpatrzenia jego sprawy w rozsądnym terminie zagwarantowanym w art. 6 ust. 1 Konwencji (zob. paragraf </w:t>
      </w:r>
      <w:r w:rsidRPr="000D4359">
        <w:rPr>
          <w:noProof/>
        </w:rPr>
        <w:t>36</w:t>
      </w:r>
      <w:r w:rsidR="00C706B0" w:rsidRPr="000D4359">
        <w:t xml:space="preserve"> powyżej). Nie</w:t>
      </w:r>
      <w:r w:rsidR="00737261" w:rsidRPr="000D4359">
        <w:t> </w:t>
      </w:r>
      <w:r w:rsidR="00C706B0" w:rsidRPr="000D4359">
        <w:t>ma zatem wątpliwości, że jego skarga „daje się uzasadnić” w rozum</w:t>
      </w:r>
      <w:r w:rsidR="006F2A77" w:rsidRPr="000D4359">
        <w:t>ieniu art. 13 oraz że skarżący był uprawniony do</w:t>
      </w:r>
      <w:r w:rsidR="00C706B0" w:rsidRPr="000D4359">
        <w:t xml:space="preserve"> </w:t>
      </w:r>
      <w:r w:rsidR="006F2A77" w:rsidRPr="000D4359">
        <w:t>środka odwoławczego</w:t>
      </w:r>
      <w:r w:rsidR="00C706B0" w:rsidRPr="000D4359">
        <w:t>, który</w:t>
      </w:r>
      <w:r w:rsidR="00737261" w:rsidRPr="000D4359">
        <w:t> </w:t>
      </w:r>
      <w:r w:rsidR="00C706B0" w:rsidRPr="000D4359">
        <w:t>pozwoliłby mu uzyskać odpowiednie zadośćuczynienie z tytułu naruszenia Konwencji przed organem krajowym, w tym zadośćuczynienie za</w:t>
      </w:r>
      <w:r w:rsidR="00737261" w:rsidRPr="000D4359">
        <w:t> </w:t>
      </w:r>
      <w:r w:rsidR="00C706B0" w:rsidRPr="000D4359">
        <w:t xml:space="preserve">szkodę niemajątkową poniesioną wskutek opóźnień, które miały miejsce w jego sprawie (zob. </w:t>
      </w:r>
      <w:r w:rsidR="00C706B0" w:rsidRPr="000D4359">
        <w:rPr>
          <w:i/>
          <w:iCs/>
        </w:rPr>
        <w:t>Kudła</w:t>
      </w:r>
      <w:r w:rsidR="00C706B0" w:rsidRPr="000D4359">
        <w:t xml:space="preserve">, </w:t>
      </w:r>
      <w:r w:rsidR="00C706B0" w:rsidRPr="000D4359">
        <w:rPr>
          <w:i/>
          <w:iCs/>
        </w:rPr>
        <w:t>op. cit.</w:t>
      </w:r>
      <w:r w:rsidR="00C706B0" w:rsidRPr="000D4359">
        <w:t>, § 157).</w:t>
      </w:r>
    </w:p>
    <w:p w14:paraId="5751392D" w14:textId="491F5EBC" w:rsidR="00C706B0" w:rsidRPr="000D4359" w:rsidRDefault="00146231" w:rsidP="00AF0396">
      <w:pPr>
        <w:pStyle w:val="JuPara"/>
      </w:pPr>
      <w:r w:rsidRPr="000D4359">
        <w:rPr>
          <w:noProof/>
        </w:rPr>
        <w:t>43</w:t>
      </w:r>
      <w:r w:rsidR="00C706B0" w:rsidRPr="000D4359">
        <w:t>.</w:t>
      </w:r>
      <w:r w:rsidR="00DD61C5" w:rsidRPr="000D4359">
        <w:t xml:space="preserve"> </w:t>
      </w:r>
      <w:r w:rsidR="00C706B0" w:rsidRPr="000D4359">
        <w:t>Słuszne zadośćuczynienie zasądzone przez Sąd Okręgowy w Toruniu stanowiło około czterech procent wartości, którą Trybunał prawdopodobnie przyznałby skarżącemu w tym czasie zgodnie ze s</w:t>
      </w:r>
      <w:r w:rsidR="006F2A77" w:rsidRPr="000D4359">
        <w:t xml:space="preserve">woją </w:t>
      </w:r>
      <w:r w:rsidR="00C706B0" w:rsidRPr="000D4359">
        <w:t>praktyką, biorąc pod</w:t>
      </w:r>
      <w:r w:rsidR="00737261" w:rsidRPr="000D4359">
        <w:t> </w:t>
      </w:r>
      <w:r w:rsidR="00C706B0" w:rsidRPr="000D4359">
        <w:t xml:space="preserve">uwagę szczególne okoliczności sprawy. Kwotę zasądzoną przez sąd krajowy należy zatem uznać za oczywiście nieuzasadnioną w świetle standardów określonych przez Trybunał (zob. paragrafy 173-174 powyżej oraz </w:t>
      </w:r>
      <w:proofErr w:type="spellStart"/>
      <w:r w:rsidR="00C706B0" w:rsidRPr="000D4359">
        <w:rPr>
          <w:i/>
          <w:iCs/>
        </w:rPr>
        <w:t>Scordino</w:t>
      </w:r>
      <w:proofErr w:type="spellEnd"/>
      <w:r w:rsidR="00C706B0" w:rsidRPr="000D4359">
        <w:rPr>
          <w:i/>
          <w:iCs/>
        </w:rPr>
        <w:t xml:space="preserve"> (nr 1)</w:t>
      </w:r>
      <w:r w:rsidR="00C706B0" w:rsidRPr="000D4359">
        <w:t xml:space="preserve">, </w:t>
      </w:r>
      <w:r w:rsidR="00C706B0" w:rsidRPr="000D4359">
        <w:rPr>
          <w:i/>
          <w:iCs/>
        </w:rPr>
        <w:t>op. cit.</w:t>
      </w:r>
      <w:r w:rsidR="00C706B0" w:rsidRPr="000D4359">
        <w:t>, §214 i §269-270).</w:t>
      </w:r>
    </w:p>
    <w:p w14:paraId="620B5594" w14:textId="7ABC4C5B" w:rsidR="00C706B0" w:rsidRPr="000D4359" w:rsidRDefault="00146231" w:rsidP="00AF0396">
      <w:pPr>
        <w:pStyle w:val="JuPara"/>
      </w:pPr>
      <w:r w:rsidRPr="000D4359">
        <w:rPr>
          <w:noProof/>
        </w:rPr>
        <w:t>44</w:t>
      </w:r>
      <w:r w:rsidR="00C706B0" w:rsidRPr="000D4359">
        <w:t>.</w:t>
      </w:r>
      <w:r w:rsidR="00DD61C5" w:rsidRPr="000D4359">
        <w:t xml:space="preserve"> </w:t>
      </w:r>
      <w:r w:rsidR="00C706B0" w:rsidRPr="000D4359">
        <w:t>W świetle powyższego Trybunał stwierdza, że skarga wniesiona na</w:t>
      </w:r>
      <w:r w:rsidR="00737261" w:rsidRPr="000D4359">
        <w:t> </w:t>
      </w:r>
      <w:r w:rsidR="00C706B0" w:rsidRPr="000D4359">
        <w:t xml:space="preserve">gruncie </w:t>
      </w:r>
      <w:r w:rsidR="006F2A77" w:rsidRPr="000D4359">
        <w:t>u</w:t>
      </w:r>
      <w:r w:rsidR="00C706B0" w:rsidRPr="000D4359">
        <w:t>stawy z 2004 r. nie stanowiła dla skarżącego „odpowiedniego i</w:t>
      </w:r>
      <w:r w:rsidR="00737261" w:rsidRPr="000D4359">
        <w:t> </w:t>
      </w:r>
      <w:r w:rsidR="00C706B0" w:rsidRPr="000D4359">
        <w:t xml:space="preserve">wystarczającego zadośćuczynienia” w postaci odpowiedniego odszkodowania za przewlekłość postępowania w jego sprawie (zob. </w:t>
      </w:r>
      <w:proofErr w:type="spellStart"/>
      <w:r w:rsidR="00C706B0" w:rsidRPr="000D4359">
        <w:rPr>
          <w:i/>
          <w:iCs/>
        </w:rPr>
        <w:t>Scordino</w:t>
      </w:r>
      <w:proofErr w:type="spellEnd"/>
      <w:r w:rsidR="00C706B0" w:rsidRPr="000D4359">
        <w:rPr>
          <w:i/>
          <w:iCs/>
        </w:rPr>
        <w:t xml:space="preserve"> (nr 1)</w:t>
      </w:r>
      <w:r w:rsidR="00C706B0" w:rsidRPr="000D4359">
        <w:t>,</w:t>
      </w:r>
      <w:r w:rsidR="00EE61FA" w:rsidRPr="000D4359">
        <w:rPr>
          <w:i/>
          <w:iCs/>
        </w:rPr>
        <w:t xml:space="preserve"> op. cit.,</w:t>
      </w:r>
      <w:r w:rsidR="00C706B0" w:rsidRPr="000D4359">
        <w:t xml:space="preserve"> § 181, oraz </w:t>
      </w:r>
      <w:r w:rsidR="00C706B0" w:rsidRPr="000D4359">
        <w:rPr>
          <w:i/>
          <w:iCs/>
        </w:rPr>
        <w:t>Rutkowski i Inni</w:t>
      </w:r>
      <w:r w:rsidR="00C706B0" w:rsidRPr="000D4359">
        <w:t xml:space="preserve">, </w:t>
      </w:r>
      <w:r w:rsidR="00C706B0" w:rsidRPr="000D4359">
        <w:rPr>
          <w:i/>
          <w:iCs/>
        </w:rPr>
        <w:t>op. cit.</w:t>
      </w:r>
      <w:r w:rsidR="00C706B0" w:rsidRPr="000D4359">
        <w:t>, § 183).</w:t>
      </w:r>
    </w:p>
    <w:p w14:paraId="67DEED9F" w14:textId="1D110555" w:rsidR="00C706B0" w:rsidRPr="000D4359" w:rsidRDefault="00146231" w:rsidP="00AF0396">
      <w:pPr>
        <w:pStyle w:val="JuPara"/>
      </w:pPr>
      <w:r w:rsidRPr="000D4359">
        <w:rPr>
          <w:noProof/>
        </w:rPr>
        <w:t>45</w:t>
      </w:r>
      <w:r w:rsidR="00C706B0" w:rsidRPr="000D4359">
        <w:t>.</w:t>
      </w:r>
      <w:r w:rsidR="00DD61C5" w:rsidRPr="000D4359">
        <w:t xml:space="preserve"> </w:t>
      </w:r>
      <w:r w:rsidR="00C706B0" w:rsidRPr="000D4359">
        <w:t>W związku z powyższym doszło do naruszenia art.</w:t>
      </w:r>
      <w:r w:rsidR="00DD61C5" w:rsidRPr="000D4359">
        <w:t xml:space="preserve"> </w:t>
      </w:r>
      <w:r w:rsidR="00C706B0" w:rsidRPr="000D4359">
        <w:t>13 Konwencji.</w:t>
      </w:r>
    </w:p>
    <w:p w14:paraId="6E4EEB50" w14:textId="77777777" w:rsidR="00C706B0" w:rsidRPr="000D4359" w:rsidRDefault="00C706B0" w:rsidP="00AF0396">
      <w:pPr>
        <w:pStyle w:val="JuHIRoman"/>
      </w:pPr>
      <w:r w:rsidRPr="000D4359">
        <w:t>POZOSTAŁE ZARZUCANE NARUSZENIA KONWENCJI</w:t>
      </w:r>
    </w:p>
    <w:p w14:paraId="64A6543F" w14:textId="529A5FB1" w:rsidR="00C706B0" w:rsidRPr="000D4359" w:rsidRDefault="00146231" w:rsidP="00AF0396">
      <w:pPr>
        <w:pStyle w:val="JuPara"/>
      </w:pPr>
      <w:r w:rsidRPr="000D4359">
        <w:rPr>
          <w:noProof/>
        </w:rPr>
        <w:t>46</w:t>
      </w:r>
      <w:r w:rsidR="00C706B0" w:rsidRPr="000D4359">
        <w:t>.</w:t>
      </w:r>
      <w:r w:rsidR="00DD61C5" w:rsidRPr="000D4359">
        <w:t xml:space="preserve"> </w:t>
      </w:r>
      <w:r w:rsidR="00C706B0" w:rsidRPr="000D4359">
        <w:t>Wreszcie skarżący, powołując się na kilka artykułów Konwencji, skarżył się na rzekomo długotrwałe zastosowanie wobec niego środka w</w:t>
      </w:r>
      <w:r w:rsidR="00737261" w:rsidRPr="000D4359">
        <w:t> </w:t>
      </w:r>
      <w:r w:rsidR="00C706B0" w:rsidRPr="000D4359">
        <w:t>postaci dozoru policyjnego. Stwierdził, że środek ten uchylono dopiero w</w:t>
      </w:r>
      <w:r w:rsidR="00737261" w:rsidRPr="000D4359">
        <w:t> </w:t>
      </w:r>
      <w:r w:rsidR="00C706B0" w:rsidRPr="000D4359">
        <w:t>dniu 26 lutego 2015 r. Skarżył się on również na wynik postępowania oraz</w:t>
      </w:r>
      <w:r w:rsidR="00737261" w:rsidRPr="000D4359">
        <w:t> </w:t>
      </w:r>
      <w:r w:rsidR="00C706B0" w:rsidRPr="000D4359">
        <w:t xml:space="preserve">na to, że pozbawiono go możliwości wykazania </w:t>
      </w:r>
      <w:r w:rsidR="006F2A77" w:rsidRPr="000D4359">
        <w:t xml:space="preserve">swojej </w:t>
      </w:r>
      <w:r w:rsidR="00C706B0" w:rsidRPr="000D4359">
        <w:t>niewinności ze</w:t>
      </w:r>
      <w:r w:rsidR="00737261" w:rsidRPr="000D4359">
        <w:t> </w:t>
      </w:r>
      <w:r w:rsidR="00C706B0" w:rsidRPr="000D4359">
        <w:t>względu na przedawnienie.</w:t>
      </w:r>
    </w:p>
    <w:p w14:paraId="5BFADC36" w14:textId="1F43017B" w:rsidR="00C706B0" w:rsidRPr="000D4359" w:rsidRDefault="00146231" w:rsidP="00AF0396">
      <w:pPr>
        <w:pStyle w:val="JuPara"/>
      </w:pPr>
      <w:r w:rsidRPr="000D4359">
        <w:rPr>
          <w:noProof/>
        </w:rPr>
        <w:t>47</w:t>
      </w:r>
      <w:r w:rsidR="00C706B0" w:rsidRPr="000D4359">
        <w:t>.</w:t>
      </w:r>
      <w:r w:rsidR="00DD61C5" w:rsidRPr="000D4359">
        <w:t xml:space="preserve"> </w:t>
      </w:r>
      <w:r w:rsidR="00C706B0" w:rsidRPr="000D4359">
        <w:t>W zakresie, w jakim skarżący skarży się na stan rzeczy, który ustał w</w:t>
      </w:r>
      <w:r w:rsidR="00737261" w:rsidRPr="000D4359">
        <w:t> </w:t>
      </w:r>
      <w:r w:rsidR="00C706B0" w:rsidRPr="000D4359">
        <w:t>dniu 26 lutego 2015 r., skarga ta została wniesiona po terminie i podlega odrzuceniu zgodnie z art. 35 ust. 1 i 4 Konwencji.</w:t>
      </w:r>
    </w:p>
    <w:p w14:paraId="41DEEFF7" w14:textId="3593E3EB" w:rsidR="00C706B0" w:rsidRPr="000D4359" w:rsidRDefault="00146231" w:rsidP="00AF0396">
      <w:pPr>
        <w:pStyle w:val="JuPara"/>
      </w:pPr>
      <w:r w:rsidRPr="000D4359">
        <w:rPr>
          <w:noProof/>
        </w:rPr>
        <w:t>48</w:t>
      </w:r>
      <w:r w:rsidR="00C706B0" w:rsidRPr="000D4359">
        <w:t>.</w:t>
      </w:r>
      <w:r w:rsidR="00DD61C5" w:rsidRPr="000D4359">
        <w:t xml:space="preserve"> </w:t>
      </w:r>
      <w:r w:rsidR="00EC2B5F" w:rsidRPr="000D4359">
        <w:t>Ponadto w</w:t>
      </w:r>
      <w:r w:rsidR="00C706B0" w:rsidRPr="000D4359">
        <w:t xml:space="preserve"> świetle całokształtu posiadanego materiału i w zakresie, w</w:t>
      </w:r>
      <w:r w:rsidR="00737261" w:rsidRPr="000D4359">
        <w:t> </w:t>
      </w:r>
      <w:r w:rsidR="00C706B0" w:rsidRPr="000D4359">
        <w:t xml:space="preserve">jakim kwestie objęte skargą mieszczą się w zakresie jego właściwości, </w:t>
      </w:r>
      <w:r w:rsidR="00C706B0" w:rsidRPr="000D4359">
        <w:lastRenderedPageBreak/>
        <w:t>Trybunał stwierdza brak przesłanek świadczących o naruszeniu praw i</w:t>
      </w:r>
      <w:r w:rsidR="00737261" w:rsidRPr="000D4359">
        <w:t> </w:t>
      </w:r>
      <w:r w:rsidR="00C706B0" w:rsidRPr="000D4359">
        <w:t>wolności określonych w Konwencji i Protokołach do niej.</w:t>
      </w:r>
    </w:p>
    <w:p w14:paraId="20A8A33C" w14:textId="15FED2DA" w:rsidR="00C706B0" w:rsidRPr="000D4359" w:rsidRDefault="00146231" w:rsidP="00AF0396">
      <w:pPr>
        <w:pStyle w:val="JuPara"/>
      </w:pPr>
      <w:r w:rsidRPr="000D4359">
        <w:rPr>
          <w:noProof/>
        </w:rPr>
        <w:t>49</w:t>
      </w:r>
      <w:r w:rsidR="00C706B0" w:rsidRPr="000D4359">
        <w:t>.</w:t>
      </w:r>
      <w:r w:rsidR="00DD61C5" w:rsidRPr="000D4359">
        <w:t xml:space="preserve"> </w:t>
      </w:r>
      <w:r w:rsidR="00C706B0" w:rsidRPr="000D4359">
        <w:t xml:space="preserve">Z powyższego wynika, że </w:t>
      </w:r>
      <w:r w:rsidR="00EC2B5F" w:rsidRPr="000D4359">
        <w:t xml:space="preserve">pozostała </w:t>
      </w:r>
      <w:r w:rsidR="00C706B0" w:rsidRPr="000D4359">
        <w:t>część skargi jest w sposób oczywisty nieuzasadniona i podlega odrzuceniu zgodnie z art.</w:t>
      </w:r>
      <w:r w:rsidR="00DD61C5" w:rsidRPr="000D4359">
        <w:t xml:space="preserve"> </w:t>
      </w:r>
      <w:r w:rsidR="00C706B0" w:rsidRPr="000D4359">
        <w:t>35 ust. 3 lit. a oraz ust.</w:t>
      </w:r>
      <w:r w:rsidR="00DD61C5" w:rsidRPr="000D4359">
        <w:t xml:space="preserve"> </w:t>
      </w:r>
      <w:r w:rsidR="00C706B0" w:rsidRPr="000D4359">
        <w:t>4 Konwencji.</w:t>
      </w:r>
    </w:p>
    <w:p w14:paraId="008AF9BC" w14:textId="6BEBA2D3" w:rsidR="00C706B0" w:rsidRPr="000D4359" w:rsidRDefault="00C706B0" w:rsidP="00AF0396">
      <w:pPr>
        <w:pStyle w:val="JuHIRoman"/>
      </w:pPr>
      <w:r w:rsidRPr="000D4359">
        <w:t>ZASTOSOWANIE ART.</w:t>
      </w:r>
      <w:r w:rsidR="00DD61C5" w:rsidRPr="000D4359">
        <w:t xml:space="preserve"> </w:t>
      </w:r>
      <w:r w:rsidRPr="000D4359">
        <w:t>41 KONWENCJI</w:t>
      </w:r>
    </w:p>
    <w:p w14:paraId="6E9B58F7" w14:textId="2842B473" w:rsidR="00C706B0" w:rsidRPr="000D4359" w:rsidRDefault="00146231" w:rsidP="00AF0396">
      <w:pPr>
        <w:pStyle w:val="JuPara"/>
        <w:keepNext/>
        <w:keepLines/>
      </w:pPr>
      <w:r w:rsidRPr="000D4359">
        <w:rPr>
          <w:noProof/>
        </w:rPr>
        <w:t>50</w:t>
      </w:r>
      <w:r w:rsidR="00C706B0" w:rsidRPr="000D4359">
        <w:t>.</w:t>
      </w:r>
      <w:r w:rsidR="00DD61C5" w:rsidRPr="000D4359">
        <w:t xml:space="preserve"> </w:t>
      </w:r>
      <w:r w:rsidR="00C706B0" w:rsidRPr="000D4359">
        <w:t>Artykuł 41 Konwencji stanowi:</w:t>
      </w:r>
    </w:p>
    <w:p w14:paraId="58B0FA5C" w14:textId="708B6783" w:rsidR="00C706B0" w:rsidRPr="000D4359" w:rsidRDefault="00C706B0" w:rsidP="00AF0396">
      <w:pPr>
        <w:pStyle w:val="JuQuot"/>
      </w:pPr>
      <w:r w:rsidRPr="000D4359">
        <w:t>„</w:t>
      </w:r>
      <w:r w:rsidR="00832E1C" w:rsidRPr="000D4359">
        <w:t>Jeśli Trybunał stwierdzi, że nastąpiło naruszenie Konwencji lub jej Protokołów, oraz jeśli prawo wewnętrzne zainteresowanej Wysokiej Układającej się Strony pozwala tylko na częściowe usunięcie konsekwencji tego naruszenia, Trybunał orzeka, gdy</w:t>
      </w:r>
      <w:r w:rsidR="00737261" w:rsidRPr="000D4359">
        <w:t> </w:t>
      </w:r>
      <w:r w:rsidR="00832E1C" w:rsidRPr="000D4359">
        <w:t>zachodzi potrzeba, słuszne zadośćuczynienie pokrzywdzonej stronie</w:t>
      </w:r>
      <w:r w:rsidRPr="000D4359">
        <w:t>”.</w:t>
      </w:r>
    </w:p>
    <w:p w14:paraId="18817FC1" w14:textId="77777777" w:rsidR="00C706B0" w:rsidRPr="000D4359" w:rsidRDefault="00C706B0" w:rsidP="00AF0396">
      <w:pPr>
        <w:pStyle w:val="JuHA"/>
        <w:numPr>
          <w:ilvl w:val="2"/>
          <w:numId w:val="18"/>
        </w:numPr>
      </w:pPr>
      <w:r w:rsidRPr="000D4359">
        <w:t>Szkoda</w:t>
      </w:r>
    </w:p>
    <w:p w14:paraId="3B0ECAE8" w14:textId="0D1464AF" w:rsidR="00C706B0" w:rsidRPr="000D4359" w:rsidRDefault="00146231" w:rsidP="00AF0396">
      <w:pPr>
        <w:pStyle w:val="JuPara"/>
      </w:pPr>
      <w:r w:rsidRPr="000D4359">
        <w:rPr>
          <w:noProof/>
        </w:rPr>
        <w:t>51</w:t>
      </w:r>
      <w:r w:rsidR="00C706B0" w:rsidRPr="000D4359">
        <w:t>.</w:t>
      </w:r>
      <w:r w:rsidR="00DD61C5" w:rsidRPr="000D4359">
        <w:t xml:space="preserve"> </w:t>
      </w:r>
      <w:r w:rsidR="00C706B0" w:rsidRPr="000D4359">
        <w:t>Skarżący zażądał kwoty</w:t>
      </w:r>
      <w:r w:rsidR="00DD61C5" w:rsidRPr="000D4359">
        <w:t xml:space="preserve"> </w:t>
      </w:r>
      <w:r w:rsidR="00C706B0" w:rsidRPr="000D4359">
        <w:t>35</w:t>
      </w:r>
      <w:r w:rsidR="00DD61C5" w:rsidRPr="000D4359">
        <w:t xml:space="preserve"> </w:t>
      </w:r>
      <w:r w:rsidR="00C706B0" w:rsidRPr="000D4359">
        <w:t>000</w:t>
      </w:r>
      <w:r w:rsidR="00DD61C5" w:rsidRPr="000D4359">
        <w:t xml:space="preserve"> </w:t>
      </w:r>
      <w:r w:rsidR="00C706B0" w:rsidRPr="000D4359">
        <w:t>EUR tytułem zadośćuczynienia za</w:t>
      </w:r>
      <w:r w:rsidR="00737261" w:rsidRPr="000D4359">
        <w:t> </w:t>
      </w:r>
      <w:r w:rsidR="00C706B0" w:rsidRPr="000D4359">
        <w:t>szkodę niemajątkową.</w:t>
      </w:r>
    </w:p>
    <w:p w14:paraId="418AFE2C" w14:textId="0C43FA4C" w:rsidR="00C706B0" w:rsidRPr="000D4359" w:rsidRDefault="00146231" w:rsidP="00AF0396">
      <w:pPr>
        <w:pStyle w:val="JuPara"/>
      </w:pPr>
      <w:r w:rsidRPr="000D4359">
        <w:rPr>
          <w:noProof/>
        </w:rPr>
        <w:t>52</w:t>
      </w:r>
      <w:r w:rsidR="00C706B0" w:rsidRPr="000D4359">
        <w:t>.</w:t>
      </w:r>
      <w:r w:rsidR="00DD61C5" w:rsidRPr="000D4359">
        <w:t xml:space="preserve"> </w:t>
      </w:r>
      <w:r w:rsidR="00C706B0" w:rsidRPr="000D4359">
        <w:t>Rząd kwestionował to żądanie.</w:t>
      </w:r>
    </w:p>
    <w:p w14:paraId="0C45BA4D" w14:textId="031A7B78" w:rsidR="00C706B0" w:rsidRPr="000D4359" w:rsidRDefault="00146231" w:rsidP="00AF0396">
      <w:pPr>
        <w:pStyle w:val="JuPara"/>
      </w:pPr>
      <w:r w:rsidRPr="000D4359">
        <w:rPr>
          <w:noProof/>
        </w:rPr>
        <w:t>53</w:t>
      </w:r>
      <w:r w:rsidR="00C706B0" w:rsidRPr="000D4359">
        <w:t>.</w:t>
      </w:r>
      <w:r w:rsidR="00DD61C5" w:rsidRPr="000D4359">
        <w:t xml:space="preserve"> </w:t>
      </w:r>
      <w:r w:rsidR="00C706B0" w:rsidRPr="000D4359">
        <w:t xml:space="preserve">Trybunał nie dostrzega żadnego związku </w:t>
      </w:r>
      <w:r w:rsidR="00F201E3" w:rsidRPr="000D4359">
        <w:t>przyczynowo skutkowego</w:t>
      </w:r>
      <w:r w:rsidR="00C706B0" w:rsidRPr="000D4359">
        <w:t xml:space="preserve"> między stwierdzonym naruszeniem a zarzucaną szkodą majątkową, w</w:t>
      </w:r>
      <w:r w:rsidR="00737261" w:rsidRPr="000D4359">
        <w:t> </w:t>
      </w:r>
      <w:r w:rsidR="00C706B0" w:rsidRPr="000D4359">
        <w:t>związku z czym nie uwzględnia tego żądania. Z drugiej strony zasądza na</w:t>
      </w:r>
      <w:r w:rsidR="00737261" w:rsidRPr="000D4359">
        <w:t> </w:t>
      </w:r>
      <w:r w:rsidR="00C706B0" w:rsidRPr="000D4359">
        <w:t>rzecz skarżącego kwotę 10</w:t>
      </w:r>
      <w:r w:rsidR="00DD61C5" w:rsidRPr="000D4359">
        <w:t xml:space="preserve"> </w:t>
      </w:r>
      <w:r w:rsidR="00C706B0" w:rsidRPr="000D4359">
        <w:t>000 EUR tytułem zadośćuczynienia za szkodę niemajątkową.</w:t>
      </w:r>
    </w:p>
    <w:p w14:paraId="6A08C70E" w14:textId="77777777" w:rsidR="00C706B0" w:rsidRPr="000D4359" w:rsidRDefault="00C706B0" w:rsidP="00AF0396">
      <w:pPr>
        <w:pStyle w:val="JuHA"/>
        <w:numPr>
          <w:ilvl w:val="2"/>
          <w:numId w:val="18"/>
        </w:numPr>
      </w:pPr>
      <w:r w:rsidRPr="000D4359">
        <w:t>Koszty i wydatki</w:t>
      </w:r>
    </w:p>
    <w:p w14:paraId="6DC94EEE" w14:textId="452D45B0" w:rsidR="00C706B0" w:rsidRPr="000D4359" w:rsidRDefault="00146231" w:rsidP="00AF0396">
      <w:pPr>
        <w:pStyle w:val="JuPara"/>
      </w:pPr>
      <w:r w:rsidRPr="000D4359">
        <w:rPr>
          <w:noProof/>
        </w:rPr>
        <w:t>54</w:t>
      </w:r>
      <w:r w:rsidR="00C706B0" w:rsidRPr="000D4359">
        <w:t>.</w:t>
      </w:r>
      <w:r w:rsidR="00DD61C5" w:rsidRPr="000D4359">
        <w:t xml:space="preserve"> </w:t>
      </w:r>
      <w:r w:rsidR="00C706B0" w:rsidRPr="000D4359">
        <w:t>Skarżący dochodził również kwoty 2500 EUR tytułem kosztów i</w:t>
      </w:r>
      <w:r w:rsidR="00737261" w:rsidRPr="000D4359">
        <w:t> </w:t>
      </w:r>
      <w:r w:rsidR="00C706B0" w:rsidRPr="000D4359">
        <w:t xml:space="preserve">wydatków poniesionych przed sądami krajowymi oraz 85 EUR </w:t>
      </w:r>
      <w:r w:rsidR="000553B6" w:rsidRPr="000D4359">
        <w:t xml:space="preserve">tytułem kosztów tłumaczeń poniesionych </w:t>
      </w:r>
      <w:r w:rsidR="00C706B0" w:rsidRPr="000D4359">
        <w:t>przed Trybunałem.</w:t>
      </w:r>
    </w:p>
    <w:p w14:paraId="5EE60169" w14:textId="015F915A" w:rsidR="00C706B0" w:rsidRPr="000D4359" w:rsidRDefault="00146231" w:rsidP="00AF0396">
      <w:pPr>
        <w:pStyle w:val="JuPara"/>
      </w:pPr>
      <w:r w:rsidRPr="000D4359">
        <w:rPr>
          <w:noProof/>
        </w:rPr>
        <w:t>55</w:t>
      </w:r>
      <w:r w:rsidR="00C706B0" w:rsidRPr="000D4359">
        <w:t>.</w:t>
      </w:r>
      <w:r w:rsidR="00DD61C5" w:rsidRPr="000D4359">
        <w:t xml:space="preserve"> </w:t>
      </w:r>
      <w:r w:rsidR="00C706B0" w:rsidRPr="000D4359">
        <w:t>Rząd pozostawił tę kwestię do uznania Trybunału.</w:t>
      </w:r>
    </w:p>
    <w:p w14:paraId="38D10A36" w14:textId="1CD142F0" w:rsidR="00C706B0" w:rsidRPr="000D4359" w:rsidRDefault="00146231" w:rsidP="00AF0396">
      <w:pPr>
        <w:pStyle w:val="JuPara"/>
      </w:pPr>
      <w:r w:rsidRPr="000D4359">
        <w:rPr>
          <w:noProof/>
        </w:rPr>
        <w:t>56</w:t>
      </w:r>
      <w:r w:rsidR="00C706B0" w:rsidRPr="000D4359">
        <w:t>.</w:t>
      </w:r>
      <w:r w:rsidR="00DD61C5" w:rsidRPr="000D4359">
        <w:t xml:space="preserve"> </w:t>
      </w:r>
      <w:r w:rsidR="00C706B0" w:rsidRPr="000D4359">
        <w:t>Mając na uwadze posiadane dokumenty oraz swoje orzecznictwo, Trybunał nie uwzględnia żądania zwrotu kosztów i wydatków poniesionych w postępowaniu przed sądem krajowym oraz uznaje za właściwe zasądzenie kwoty 85</w:t>
      </w:r>
      <w:r w:rsidR="00DD61C5" w:rsidRPr="000D4359">
        <w:t xml:space="preserve"> </w:t>
      </w:r>
      <w:r w:rsidR="00C706B0" w:rsidRPr="000D4359">
        <w:t>EUR tytułem zwrotu kosztów postępowania przed Trybunałem.</w:t>
      </w:r>
    </w:p>
    <w:p w14:paraId="46819721" w14:textId="77777777" w:rsidR="00C706B0" w:rsidRPr="000D4359" w:rsidRDefault="00C706B0" w:rsidP="00AF0396">
      <w:pPr>
        <w:pStyle w:val="JuHA"/>
        <w:numPr>
          <w:ilvl w:val="2"/>
          <w:numId w:val="18"/>
        </w:numPr>
      </w:pPr>
      <w:r w:rsidRPr="000D4359">
        <w:t>Odsetki za zwłokę</w:t>
      </w:r>
    </w:p>
    <w:p w14:paraId="748F9AD6" w14:textId="1532F019" w:rsidR="00C706B0" w:rsidRPr="000D4359" w:rsidRDefault="00146231" w:rsidP="00AF0396">
      <w:pPr>
        <w:pStyle w:val="JuPara"/>
      </w:pPr>
      <w:r w:rsidRPr="000D4359">
        <w:rPr>
          <w:noProof/>
        </w:rPr>
        <w:t>57</w:t>
      </w:r>
      <w:r w:rsidR="00C706B0" w:rsidRPr="000D4359">
        <w:t>.</w:t>
      </w:r>
      <w:r w:rsidR="00DD61C5" w:rsidRPr="000D4359">
        <w:t xml:space="preserve"> </w:t>
      </w:r>
      <w:r w:rsidR="00C706B0" w:rsidRPr="000D4359">
        <w:t>Trybunał za słuszne uznaje wyznaczenie wysokości odsetek za zwłokę na podstawie marginalnej stopy procentowej Europejskiego Banku Centralnego powiększonej o trzy punkty procentowe.</w:t>
      </w:r>
    </w:p>
    <w:p w14:paraId="4433F961" w14:textId="348A0668" w:rsidR="00C706B0" w:rsidRPr="000D4359" w:rsidRDefault="00C706B0" w:rsidP="00AF0925">
      <w:pPr>
        <w:pStyle w:val="JuHHead"/>
        <w:numPr>
          <w:ilvl w:val="0"/>
          <w:numId w:val="19"/>
        </w:numPr>
      </w:pPr>
      <w:r w:rsidRPr="000D4359">
        <w:lastRenderedPageBreak/>
        <w:t>Z POWYŻSZYCH WZGLĘDÓW TRYBUNAŁ</w:t>
      </w:r>
      <w:r w:rsidR="00F201E3" w:rsidRPr="000D4359">
        <w:t xml:space="preserve"> </w:t>
      </w:r>
      <w:r w:rsidRPr="000D4359">
        <w:t>JEDNOGŁOŚNIE</w:t>
      </w:r>
    </w:p>
    <w:p w14:paraId="18F2DEF9" w14:textId="5E31BC55" w:rsidR="00C706B0" w:rsidRPr="000D4359" w:rsidRDefault="00C706B0" w:rsidP="00AF0396">
      <w:pPr>
        <w:pStyle w:val="JuList"/>
      </w:pPr>
      <w:r w:rsidRPr="000D4359">
        <w:rPr>
          <w:i/>
          <w:iCs/>
        </w:rPr>
        <w:t>uznaje</w:t>
      </w:r>
      <w:r w:rsidRPr="000D4359">
        <w:t xml:space="preserve"> skargę wniesioną na gruncie art. 6 ust. 1 i </w:t>
      </w:r>
      <w:r w:rsidR="002C2317" w:rsidRPr="000D4359">
        <w:t xml:space="preserve">art. </w:t>
      </w:r>
      <w:r w:rsidRPr="000D4359">
        <w:t>13 Konwencji za</w:t>
      </w:r>
      <w:r w:rsidR="00737261" w:rsidRPr="000D4359">
        <w:t> </w:t>
      </w:r>
      <w:r w:rsidRPr="000D4359">
        <w:t>dopuszczalną, a pozostałą część skargi za niedopuszczalną;</w:t>
      </w:r>
    </w:p>
    <w:p w14:paraId="3860BD0A" w14:textId="3512ED22" w:rsidR="00C706B0" w:rsidRPr="000D4359" w:rsidRDefault="00C706B0" w:rsidP="00AF0396">
      <w:pPr>
        <w:pStyle w:val="JuList"/>
      </w:pPr>
      <w:r w:rsidRPr="000D4359">
        <w:rPr>
          <w:i/>
          <w:iCs/>
        </w:rPr>
        <w:t>stwierdza</w:t>
      </w:r>
      <w:r w:rsidRPr="000D4359">
        <w:t>, że doszło do naruszenia art.</w:t>
      </w:r>
      <w:r w:rsidR="00DD61C5" w:rsidRPr="000D4359">
        <w:t xml:space="preserve"> </w:t>
      </w:r>
      <w:r w:rsidRPr="000D4359">
        <w:t>6 ust. 1 Konwencji;</w:t>
      </w:r>
    </w:p>
    <w:p w14:paraId="72410684" w14:textId="32200C8A" w:rsidR="00C706B0" w:rsidRPr="000D4359" w:rsidRDefault="00C706B0" w:rsidP="00AF0396">
      <w:pPr>
        <w:pStyle w:val="JuList"/>
      </w:pPr>
      <w:r w:rsidRPr="000D4359">
        <w:rPr>
          <w:i/>
          <w:iCs/>
        </w:rPr>
        <w:t>stwierdza</w:t>
      </w:r>
      <w:r w:rsidRPr="000D4359">
        <w:t>, że doszło do naruszenia art.</w:t>
      </w:r>
      <w:r w:rsidR="00DD61C5" w:rsidRPr="000D4359">
        <w:t xml:space="preserve"> </w:t>
      </w:r>
      <w:r w:rsidRPr="000D4359">
        <w:t>13 Konwencji;</w:t>
      </w:r>
    </w:p>
    <w:p w14:paraId="43A3E6A5" w14:textId="77777777" w:rsidR="00C706B0" w:rsidRPr="000D4359" w:rsidRDefault="00C706B0" w:rsidP="00AF0396">
      <w:pPr>
        <w:pStyle w:val="JuList"/>
        <w:keepNext/>
        <w:keepLines/>
        <w:rPr>
          <w:i/>
          <w:iCs/>
        </w:rPr>
      </w:pPr>
      <w:r w:rsidRPr="000D4359">
        <w:rPr>
          <w:i/>
          <w:iCs/>
        </w:rPr>
        <w:t>stwierdza</w:t>
      </w:r>
    </w:p>
    <w:p w14:paraId="01D428FA" w14:textId="128DE626" w:rsidR="00C706B0" w:rsidRPr="000D4359" w:rsidRDefault="00C706B0" w:rsidP="00AF0396">
      <w:pPr>
        <w:pStyle w:val="JuLista"/>
        <w:keepNext/>
        <w:keepLines/>
      </w:pPr>
      <w:r w:rsidRPr="000D4359">
        <w:t>że pozwane państwo winno, w terminie trzech miesięcy, uiścić na</w:t>
      </w:r>
      <w:r w:rsidR="00737261" w:rsidRPr="000D4359">
        <w:t> </w:t>
      </w:r>
      <w:r w:rsidRPr="000D4359">
        <w:t>rzecz skarżącego następujące kwoty, przeliczone na walutę pozwanego państwa według kursu obowiązującego w dniu płatności:</w:t>
      </w:r>
    </w:p>
    <w:p w14:paraId="4334BAEA" w14:textId="1A4C5F36" w:rsidR="00C706B0" w:rsidRPr="000D4359" w:rsidRDefault="00C706B0" w:rsidP="00AF0396">
      <w:pPr>
        <w:pStyle w:val="JuListi"/>
      </w:pPr>
      <w:r w:rsidRPr="000D4359">
        <w:t>10</w:t>
      </w:r>
      <w:r w:rsidR="00DD61C5" w:rsidRPr="000D4359">
        <w:t xml:space="preserve"> </w:t>
      </w:r>
      <w:r w:rsidRPr="000D4359">
        <w:t>000</w:t>
      </w:r>
      <w:r w:rsidR="00DD61C5" w:rsidRPr="000D4359">
        <w:t xml:space="preserve"> </w:t>
      </w:r>
      <w:r w:rsidRPr="000D4359">
        <w:t>EUR (dziesięć tysięcy euro) plus wszelkie należne podatki, tytułem zadośćuczynienia za szkodę niemajątkową;</w:t>
      </w:r>
    </w:p>
    <w:p w14:paraId="58F37069" w14:textId="77777777" w:rsidR="00C706B0" w:rsidRPr="000D4359" w:rsidRDefault="00C706B0" w:rsidP="00AF0396">
      <w:pPr>
        <w:pStyle w:val="JuListi"/>
      </w:pPr>
      <w:r w:rsidRPr="000D4359">
        <w:t>85 EUR (osiemdziesiąt pięć euro), plus wszelkie należne podatki, tytułem poniesionych kosztów i wydatków;</w:t>
      </w:r>
    </w:p>
    <w:p w14:paraId="0E2C4EFA" w14:textId="7EED4D57" w:rsidR="00C706B0" w:rsidRPr="000D4359" w:rsidRDefault="00C706B0" w:rsidP="00AF0396">
      <w:pPr>
        <w:pStyle w:val="JuLista"/>
      </w:pPr>
      <w:r w:rsidRPr="000D4359">
        <w:t>że od upływu wyżej wskazanego terminu trzech miesięcy aż do momentu uregulowania należności, należne będą odsetki zwykłe od</w:t>
      </w:r>
      <w:r w:rsidR="00737261" w:rsidRPr="000D4359">
        <w:t> </w:t>
      </w:r>
      <w:r w:rsidRPr="000D4359">
        <w:t>określonej powyżej kwoty, naliczone według stopy równej marginalnej stopie procentowej Europejskiego Banku Centralnego obowiązującej w tym okresie, powiększonej o trzy punkty procentowe;</w:t>
      </w:r>
    </w:p>
    <w:p w14:paraId="54DE96B3" w14:textId="77777777" w:rsidR="004D0EC7" w:rsidRPr="000D4359" w:rsidRDefault="00C706B0" w:rsidP="00AF0396">
      <w:pPr>
        <w:pStyle w:val="JuList"/>
      </w:pPr>
      <w:r w:rsidRPr="000D4359">
        <w:rPr>
          <w:i/>
        </w:rPr>
        <w:t xml:space="preserve">oddala </w:t>
      </w:r>
      <w:r w:rsidRPr="000D4359">
        <w:t>pozostałą część roszczenia skarżącego dotyczącego słusznego zadośćuczynienia.</w:t>
      </w:r>
    </w:p>
    <w:p w14:paraId="7A482E9C" w14:textId="07372E7A" w:rsidR="008E3A08" w:rsidRPr="000D4359" w:rsidRDefault="007E2C8C" w:rsidP="00AF0396">
      <w:pPr>
        <w:pStyle w:val="JuParaLast"/>
      </w:pPr>
      <w:r w:rsidRPr="000D4359">
        <w:t>Sporządzono w języku angielskim i obwieszczono pisemnie w dniu 15</w:t>
      </w:r>
      <w:r w:rsidR="00EC2B5F" w:rsidRPr="000D4359">
        <w:t> </w:t>
      </w:r>
      <w:r w:rsidRPr="000D4359">
        <w:t>kwietnia 2021</w:t>
      </w:r>
      <w:r w:rsidR="00DD61C5" w:rsidRPr="000D4359">
        <w:t xml:space="preserve"> </w:t>
      </w:r>
      <w:r w:rsidRPr="000D4359">
        <w:t>r., zgodnie z Regułą</w:t>
      </w:r>
      <w:r w:rsidR="00DD61C5" w:rsidRPr="000D4359">
        <w:t xml:space="preserve"> </w:t>
      </w:r>
      <w:r w:rsidRPr="000D4359">
        <w:t>77 §§</w:t>
      </w:r>
      <w:r w:rsidR="00DD61C5" w:rsidRPr="000D4359">
        <w:t xml:space="preserve"> </w:t>
      </w:r>
      <w:r w:rsidRPr="000D4359">
        <w:t>2 i 3 Regulaminu Trybunału.</w:t>
      </w:r>
    </w:p>
    <w:p w14:paraId="3E3111DB" w14:textId="6AFEAE0C" w:rsidR="001C055B" w:rsidRPr="000D4359" w:rsidRDefault="00CD3F10" w:rsidP="00AF0396">
      <w:pPr>
        <w:pStyle w:val="JuSigned"/>
      </w:pPr>
      <w:r w:rsidRPr="000D4359">
        <w:tab/>
      </w:r>
      <w:proofErr w:type="spellStart"/>
      <w:r w:rsidRPr="000D4359">
        <w:t>Liv</w:t>
      </w:r>
      <w:proofErr w:type="spellEnd"/>
      <w:r w:rsidRPr="000D4359">
        <w:t xml:space="preserve"> </w:t>
      </w:r>
      <w:proofErr w:type="spellStart"/>
      <w:r w:rsidRPr="000D4359">
        <w:t>Tigerstedt</w:t>
      </w:r>
      <w:proofErr w:type="spellEnd"/>
      <w:r w:rsidRPr="000D4359">
        <w:tab/>
        <w:t>Krzysztof Wojtyczek</w:t>
      </w:r>
      <w:r w:rsidRPr="000D4359">
        <w:br/>
        <w:t xml:space="preserve">Zastępca </w:t>
      </w:r>
      <w:r w:rsidR="00DD61C5" w:rsidRPr="000D4359">
        <w:t>Kanclerza</w:t>
      </w:r>
      <w:r w:rsidR="00146231" w:rsidRPr="000D4359">
        <w:tab/>
      </w:r>
      <w:r w:rsidRPr="000D4359">
        <w:t>Przewodniczący</w:t>
      </w:r>
    </w:p>
    <w:sectPr w:rsidR="001C055B" w:rsidRPr="000D4359" w:rsidSect="007D3701">
      <w:headerReference w:type="even" r:id="rId14"/>
      <w:headerReference w:type="default" r:id="rId15"/>
      <w:footerReference w:type="even" r:id="rId16"/>
      <w:footerReference w:type="default" r:id="rId17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EF383D" w14:textId="77777777" w:rsidR="00614C0E" w:rsidRPr="00C706B0" w:rsidRDefault="00614C0E" w:rsidP="0098410D">
      <w:r w:rsidRPr="00C706B0">
        <w:separator/>
      </w:r>
    </w:p>
  </w:endnote>
  <w:endnote w:type="continuationSeparator" w:id="0">
    <w:p w14:paraId="18FDB14D" w14:textId="77777777" w:rsidR="00614C0E" w:rsidRPr="00C706B0" w:rsidRDefault="00614C0E" w:rsidP="0098410D">
      <w:r w:rsidRPr="00C706B0">
        <w:continuationSeparator/>
      </w:r>
    </w:p>
  </w:endnote>
  <w:endnote w:type="continuationNotice" w:id="1">
    <w:p w14:paraId="056434A0" w14:textId="77777777" w:rsidR="00614C0E" w:rsidRDefault="00614C0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7363D7" w14:textId="77777777" w:rsidR="000607CB" w:rsidRDefault="000607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DE88A8" w14:textId="77777777" w:rsidR="00C706B0" w:rsidRPr="00150BFA" w:rsidRDefault="00C706B0" w:rsidP="0020718E">
    <w:pPr>
      <w:jc w:val="center"/>
    </w:pPr>
    <w:r>
      <w:rPr>
        <w:noProof/>
        <w:lang w:eastAsia="pl-PL"/>
      </w:rPr>
      <w:drawing>
        <wp:inline distT="0" distB="0" distL="0" distR="0" wp14:anchorId="6EFCDB99" wp14:editId="75817537">
          <wp:extent cx="771525" cy="619125"/>
          <wp:effectExtent l="0" t="0" r="9525" b="9525"/>
          <wp:docPr id="44" name="Picture 44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2D7564" w14:textId="77777777" w:rsidR="0098410D" w:rsidRPr="00C706B0" w:rsidRDefault="0098410D" w:rsidP="00AF12C5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A51" w14:textId="77777777" w:rsidR="00C706B0" w:rsidRPr="00150BFA" w:rsidRDefault="00C706B0" w:rsidP="0020718E">
    <w:pPr>
      <w:jc w:val="center"/>
    </w:pPr>
    <w:r>
      <w:rPr>
        <w:noProof/>
        <w:lang w:eastAsia="pl-PL"/>
      </w:rPr>
      <w:drawing>
        <wp:inline distT="0" distB="0" distL="0" distR="0" wp14:anchorId="2050C2B4" wp14:editId="554A36D3">
          <wp:extent cx="771525" cy="619125"/>
          <wp:effectExtent l="0" t="0" r="9525" b="9525"/>
          <wp:docPr id="42" name="Picture 42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B405977" w14:textId="77777777" w:rsidR="009E7A6F" w:rsidRPr="00C706B0" w:rsidRDefault="009E7A6F" w:rsidP="009E7A6F">
    <w:pPr>
      <w:pStyle w:val="Stopka"/>
      <w:jc w:val="center"/>
      <w:rPr>
        <w:sz w:val="4"/>
        <w:szCs w:val="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42B8F1" w14:textId="4C9CF738" w:rsidR="00C26D3D" w:rsidRDefault="00333461" w:rsidP="009A115C">
    <w:pPr>
      <w:pStyle w:val="JuHeader"/>
    </w:pPr>
    <w:r>
      <w:rPr>
        <w:rStyle w:val="Numerstrony"/>
      </w:rPr>
      <w:fldChar w:fldCharType="begin"/>
    </w:r>
    <w:r w:rsidR="00C706B0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D4359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CE706" w14:textId="74DFA429" w:rsidR="00C26D3D" w:rsidRPr="000B7195" w:rsidRDefault="00333461" w:rsidP="007D3701">
    <w:pPr>
      <w:pStyle w:val="JuHeader"/>
    </w:pPr>
    <w:r>
      <w:fldChar w:fldCharType="begin"/>
    </w:r>
    <w:r w:rsidR="00C706B0">
      <w:instrText xml:space="preserve"> PAGE </w:instrText>
    </w:r>
    <w:r>
      <w:fldChar w:fldCharType="separate"/>
    </w:r>
    <w:r w:rsidR="000D4359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4C8A9C" w14:textId="77777777" w:rsidR="00614C0E" w:rsidRPr="00C706B0" w:rsidRDefault="00614C0E" w:rsidP="0098410D">
      <w:r w:rsidRPr="00C706B0">
        <w:separator/>
      </w:r>
    </w:p>
  </w:footnote>
  <w:footnote w:type="continuationSeparator" w:id="0">
    <w:p w14:paraId="34836105" w14:textId="77777777" w:rsidR="00614C0E" w:rsidRPr="00C706B0" w:rsidRDefault="00614C0E" w:rsidP="0098410D">
      <w:r w:rsidRPr="00C706B0">
        <w:continuationSeparator/>
      </w:r>
    </w:p>
  </w:footnote>
  <w:footnote w:type="continuationNotice" w:id="1">
    <w:p w14:paraId="0D31B577" w14:textId="77777777" w:rsidR="00614C0E" w:rsidRDefault="00614C0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A07A6" w14:textId="77777777" w:rsidR="000607CB" w:rsidRDefault="000607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4BF6B" w14:textId="77777777" w:rsidR="00C706B0" w:rsidRPr="00A45145" w:rsidRDefault="00C706B0" w:rsidP="00A45145">
    <w:pPr>
      <w:jc w:val="center"/>
    </w:pPr>
    <w:r>
      <w:rPr>
        <w:noProof/>
        <w:lang w:eastAsia="pl-PL"/>
      </w:rPr>
      <w:drawing>
        <wp:inline distT="0" distB="0" distL="0" distR="0" wp14:anchorId="468484DB" wp14:editId="64E98E16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401B4C" w14:textId="77777777" w:rsidR="0098410D" w:rsidRPr="00C706B0" w:rsidRDefault="0098410D" w:rsidP="00B14793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AA3974" w14:textId="77777777" w:rsidR="00C706B0" w:rsidRPr="00A45145" w:rsidRDefault="00C706B0" w:rsidP="00A45145">
    <w:pPr>
      <w:jc w:val="center"/>
    </w:pPr>
    <w:r>
      <w:rPr>
        <w:noProof/>
        <w:lang w:eastAsia="pl-PL"/>
      </w:rPr>
      <w:drawing>
        <wp:inline distT="0" distB="0" distL="0" distR="0" wp14:anchorId="027AA9E8" wp14:editId="36D4E48D">
          <wp:extent cx="2962275" cy="1219200"/>
          <wp:effectExtent l="0" t="0" r="9525" b="0"/>
          <wp:docPr id="35" name="Picture 35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6ADF9A" w14:textId="77777777" w:rsidR="0098410D" w:rsidRPr="00C706B0" w:rsidRDefault="0098410D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2BF15" w14:textId="77777777" w:rsidR="00C26D3D" w:rsidRPr="004D0EC7" w:rsidRDefault="00C706B0" w:rsidP="004D0EC7">
    <w:pPr>
      <w:pStyle w:val="JuHeader"/>
    </w:pPr>
    <w:r>
      <w:t>WYROK W SPRAWIE SŁAWIŃSKI PRZECIWKO POLSCE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5EB0D7" w14:textId="77777777" w:rsidR="00C26D3D" w:rsidRPr="00882CD5" w:rsidRDefault="00C706B0" w:rsidP="007D3701">
    <w:pPr>
      <w:pStyle w:val="JuHeader"/>
    </w:pPr>
    <w:r>
      <w:t>WYROK W SPRAWIE SŁAWIŃSKI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79FEA660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397" w:hanging="397"/>
      </w:pPr>
      <w:rPr>
        <w:rFonts w:hint="default"/>
      </w:rPr>
    </w:lvl>
    <w:lvl w:ilvl="2">
      <w:start w:val="1"/>
      <w:numFmt w:val="upperLetter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721AEB88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56B9429C"/>
    <w:multiLevelType w:val="multilevel"/>
    <w:tmpl w:val="EAA66700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D35409C"/>
    <w:multiLevelType w:val="multilevel"/>
    <w:tmpl w:val="EAA66700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w:numFmt w:val="lowerLetter"/>
      <w:lvlText w:val="(%7)"/>
      <w:lvlJc w:val="left"/>
      <w:pPr>
        <w:ind w:left="1372" w:hanging="334"/>
      </w:pPr>
      <w:rPr>
        <w:rFonts w:ascii="Symbol" w:hAnsi="Symbol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none"/>
      <w:lvlText w:val="%9"/>
      <w:lvlJc w:val="right"/>
      <w:pPr>
        <w:ind w:left="7313" w:hanging="180"/>
      </w:pPr>
      <w:rPr>
        <w:rFonts w:hint="default"/>
      </w:rPr>
    </w:lvl>
  </w:abstractNum>
  <w:num w:numId="1">
    <w:abstractNumId w:val="9"/>
  </w:num>
  <w:num w:numId="2">
    <w:abstractNumId w:val="13"/>
  </w:num>
  <w:num w:numId="3">
    <w:abstractNumId w:val="11"/>
  </w:num>
  <w:num w:numId="4">
    <w:abstractNumId w:val="10"/>
  </w:num>
  <w:num w:numId="5">
    <w:abstractNumId w:val="14"/>
  </w:num>
  <w:num w:numId="6">
    <w:abstractNumId w:val="12"/>
    <w:lvlOverride w:ilvl="0">
      <w:lvl w:ilvl="0">
        <w:start w:val="1"/>
        <w:numFmt w:val="decimal"/>
        <w:pStyle w:val="JuList"/>
        <w:lvlText w:val="%1."/>
        <w:lvlJc w:val="left"/>
        <w:pPr>
          <w:tabs>
            <w:tab w:val="num" w:pos="340"/>
          </w:tabs>
          <w:ind w:left="340" w:hanging="340"/>
        </w:pPr>
        <w:rPr>
          <w:rFonts w:hint="default"/>
          <w:i w:val="0"/>
          <w:iCs w:val="0"/>
        </w:rPr>
      </w:lvl>
    </w:lvlOverride>
  </w:num>
  <w:num w:numId="7">
    <w:abstractNumId w:val="15"/>
  </w:num>
  <w:num w:numId="8">
    <w:abstractNumId w:val="17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6"/>
  </w:num>
  <w:num w:numId="19">
    <w:abstractNumId w:val="18"/>
  </w:num>
  <w:num w:numId="20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licationsApp" w:val="1"/>
    <w:docVar w:name="EMM" w:val="0"/>
    <w:docVar w:name="NBEMMDOC" w:val="0"/>
  </w:docVars>
  <w:rsids>
    <w:rsidRoot w:val="00C706B0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31428"/>
    <w:rsid w:val="00034987"/>
    <w:rsid w:val="00041560"/>
    <w:rsid w:val="000553B6"/>
    <w:rsid w:val="000602DF"/>
    <w:rsid w:val="000607CB"/>
    <w:rsid w:val="00061B05"/>
    <w:rsid w:val="000632D5"/>
    <w:rsid w:val="00063B01"/>
    <w:rsid w:val="000644EE"/>
    <w:rsid w:val="0007780A"/>
    <w:rsid w:val="00085457"/>
    <w:rsid w:val="000925AD"/>
    <w:rsid w:val="00096FE1"/>
    <w:rsid w:val="00097A62"/>
    <w:rsid w:val="000A24EB"/>
    <w:rsid w:val="000B3659"/>
    <w:rsid w:val="000B686A"/>
    <w:rsid w:val="000B6923"/>
    <w:rsid w:val="000B7195"/>
    <w:rsid w:val="000C5F3C"/>
    <w:rsid w:val="000C6DCC"/>
    <w:rsid w:val="000C7FA3"/>
    <w:rsid w:val="000D4359"/>
    <w:rsid w:val="000D47AA"/>
    <w:rsid w:val="000D721F"/>
    <w:rsid w:val="000E069B"/>
    <w:rsid w:val="000E0E82"/>
    <w:rsid w:val="000E1DC5"/>
    <w:rsid w:val="000E223F"/>
    <w:rsid w:val="000E46B8"/>
    <w:rsid w:val="000E7D45"/>
    <w:rsid w:val="000F7851"/>
    <w:rsid w:val="00101505"/>
    <w:rsid w:val="00104E23"/>
    <w:rsid w:val="00110DA8"/>
    <w:rsid w:val="00111B0C"/>
    <w:rsid w:val="00120D6C"/>
    <w:rsid w:val="001257EC"/>
    <w:rsid w:val="00133D33"/>
    <w:rsid w:val="00134B6A"/>
    <w:rsid w:val="00134D64"/>
    <w:rsid w:val="00135A30"/>
    <w:rsid w:val="0013612C"/>
    <w:rsid w:val="00137FF6"/>
    <w:rsid w:val="00141650"/>
    <w:rsid w:val="0014609E"/>
    <w:rsid w:val="00146231"/>
    <w:rsid w:val="001561B6"/>
    <w:rsid w:val="00162A12"/>
    <w:rsid w:val="00166530"/>
    <w:rsid w:val="00170027"/>
    <w:rsid w:val="00171780"/>
    <w:rsid w:val="00172281"/>
    <w:rsid w:val="00182FA2"/>
    <w:rsid w:val="001832BD"/>
    <w:rsid w:val="001943B5"/>
    <w:rsid w:val="00195134"/>
    <w:rsid w:val="001A145B"/>
    <w:rsid w:val="001A3E09"/>
    <w:rsid w:val="001A674C"/>
    <w:rsid w:val="001B3B24"/>
    <w:rsid w:val="001C055B"/>
    <w:rsid w:val="001C0F98"/>
    <w:rsid w:val="001C2A42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436C"/>
    <w:rsid w:val="002052BC"/>
    <w:rsid w:val="00205F9F"/>
    <w:rsid w:val="00210338"/>
    <w:rsid w:val="002115FC"/>
    <w:rsid w:val="0021423C"/>
    <w:rsid w:val="00230D00"/>
    <w:rsid w:val="00231DF7"/>
    <w:rsid w:val="00231FD1"/>
    <w:rsid w:val="002339E0"/>
    <w:rsid w:val="00233CF8"/>
    <w:rsid w:val="0023575D"/>
    <w:rsid w:val="00237148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540E"/>
    <w:rsid w:val="00275123"/>
    <w:rsid w:val="00282240"/>
    <w:rsid w:val="00285313"/>
    <w:rsid w:val="0028745A"/>
    <w:rsid w:val="00287AD5"/>
    <w:rsid w:val="002934D0"/>
    <w:rsid w:val="00293676"/>
    <w:rsid w:val="00293BD9"/>
    <w:rsid w:val="002948AD"/>
    <w:rsid w:val="002A01CC"/>
    <w:rsid w:val="002A613A"/>
    <w:rsid w:val="002A61B1"/>
    <w:rsid w:val="002A663C"/>
    <w:rsid w:val="002B444B"/>
    <w:rsid w:val="002B5887"/>
    <w:rsid w:val="002C0E27"/>
    <w:rsid w:val="002C2317"/>
    <w:rsid w:val="002C3040"/>
    <w:rsid w:val="002C4433"/>
    <w:rsid w:val="002C7826"/>
    <w:rsid w:val="002D022D"/>
    <w:rsid w:val="002D24BB"/>
    <w:rsid w:val="002D2FA7"/>
    <w:rsid w:val="002D47BA"/>
    <w:rsid w:val="002D77B9"/>
    <w:rsid w:val="002E46DA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201D8"/>
    <w:rsid w:val="00320F72"/>
    <w:rsid w:val="0032463E"/>
    <w:rsid w:val="00326224"/>
    <w:rsid w:val="00333461"/>
    <w:rsid w:val="00337EE4"/>
    <w:rsid w:val="00340FFD"/>
    <w:rsid w:val="00345C41"/>
    <w:rsid w:val="003506B1"/>
    <w:rsid w:val="00355877"/>
    <w:rsid w:val="00356AC7"/>
    <w:rsid w:val="003609FA"/>
    <w:rsid w:val="003710C8"/>
    <w:rsid w:val="003750BE"/>
    <w:rsid w:val="00385A36"/>
    <w:rsid w:val="00385F3D"/>
    <w:rsid w:val="00387B9D"/>
    <w:rsid w:val="00387C70"/>
    <w:rsid w:val="00390294"/>
    <w:rsid w:val="0039364F"/>
    <w:rsid w:val="00396686"/>
    <w:rsid w:val="0039778E"/>
    <w:rsid w:val="003B4941"/>
    <w:rsid w:val="003C427A"/>
    <w:rsid w:val="003C5714"/>
    <w:rsid w:val="003C6B9F"/>
    <w:rsid w:val="003C6E2A"/>
    <w:rsid w:val="003D0299"/>
    <w:rsid w:val="003E6D80"/>
    <w:rsid w:val="003F05FA"/>
    <w:rsid w:val="003F244A"/>
    <w:rsid w:val="003F2517"/>
    <w:rsid w:val="003F30B8"/>
    <w:rsid w:val="003F4C45"/>
    <w:rsid w:val="003F4CB0"/>
    <w:rsid w:val="003F5F7B"/>
    <w:rsid w:val="003F7D64"/>
    <w:rsid w:val="0040433A"/>
    <w:rsid w:val="00414300"/>
    <w:rsid w:val="00414F27"/>
    <w:rsid w:val="00420703"/>
    <w:rsid w:val="00425C67"/>
    <w:rsid w:val="00427E7A"/>
    <w:rsid w:val="004355AC"/>
    <w:rsid w:val="00436C49"/>
    <w:rsid w:val="00443D98"/>
    <w:rsid w:val="00445366"/>
    <w:rsid w:val="00447F5B"/>
    <w:rsid w:val="004536F9"/>
    <w:rsid w:val="00461DB0"/>
    <w:rsid w:val="00463926"/>
    <w:rsid w:val="00464C9A"/>
    <w:rsid w:val="00474F3D"/>
    <w:rsid w:val="00477E3A"/>
    <w:rsid w:val="004804F7"/>
    <w:rsid w:val="00483E5F"/>
    <w:rsid w:val="00485FF9"/>
    <w:rsid w:val="004907F0"/>
    <w:rsid w:val="0049140B"/>
    <w:rsid w:val="004923A5"/>
    <w:rsid w:val="0049310E"/>
    <w:rsid w:val="004950E2"/>
    <w:rsid w:val="00496BFB"/>
    <w:rsid w:val="00496E13"/>
    <w:rsid w:val="004A15C7"/>
    <w:rsid w:val="004A1EFB"/>
    <w:rsid w:val="004A3201"/>
    <w:rsid w:val="004B013B"/>
    <w:rsid w:val="004B112B"/>
    <w:rsid w:val="004B444E"/>
    <w:rsid w:val="004C01E4"/>
    <w:rsid w:val="004C086C"/>
    <w:rsid w:val="004C1F56"/>
    <w:rsid w:val="004C27BC"/>
    <w:rsid w:val="004C2C4A"/>
    <w:rsid w:val="004C6621"/>
    <w:rsid w:val="004D0EC7"/>
    <w:rsid w:val="004D15F3"/>
    <w:rsid w:val="004D3B3D"/>
    <w:rsid w:val="004D4EF1"/>
    <w:rsid w:val="004D5311"/>
    <w:rsid w:val="004D5DCC"/>
    <w:rsid w:val="004D7E45"/>
    <w:rsid w:val="004F10AF"/>
    <w:rsid w:val="004F11A4"/>
    <w:rsid w:val="004F2389"/>
    <w:rsid w:val="004F304D"/>
    <w:rsid w:val="004F4290"/>
    <w:rsid w:val="004F61BE"/>
    <w:rsid w:val="004F66B1"/>
    <w:rsid w:val="00510A97"/>
    <w:rsid w:val="00511C07"/>
    <w:rsid w:val="005125CB"/>
    <w:rsid w:val="00512EC4"/>
    <w:rsid w:val="0051725A"/>
    <w:rsid w:val="005173A6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42EE"/>
    <w:rsid w:val="00545DA6"/>
    <w:rsid w:val="00547353"/>
    <w:rsid w:val="005474E7"/>
    <w:rsid w:val="0055011D"/>
    <w:rsid w:val="00550776"/>
    <w:rsid w:val="005512A3"/>
    <w:rsid w:val="005578CE"/>
    <w:rsid w:val="00562781"/>
    <w:rsid w:val="00562B6C"/>
    <w:rsid w:val="0057271C"/>
    <w:rsid w:val="00572845"/>
    <w:rsid w:val="005879A2"/>
    <w:rsid w:val="00592772"/>
    <w:rsid w:val="0059574A"/>
    <w:rsid w:val="005A1B9B"/>
    <w:rsid w:val="005A2E79"/>
    <w:rsid w:val="005A6751"/>
    <w:rsid w:val="005B092E"/>
    <w:rsid w:val="005B152C"/>
    <w:rsid w:val="005B1EE0"/>
    <w:rsid w:val="005B2B24"/>
    <w:rsid w:val="005B4425"/>
    <w:rsid w:val="005B4B94"/>
    <w:rsid w:val="005C3EE8"/>
    <w:rsid w:val="005D2F2A"/>
    <w:rsid w:val="005D34F9"/>
    <w:rsid w:val="005D4190"/>
    <w:rsid w:val="005D67A3"/>
    <w:rsid w:val="005E2988"/>
    <w:rsid w:val="005E3085"/>
    <w:rsid w:val="005E5520"/>
    <w:rsid w:val="005F0EB3"/>
    <w:rsid w:val="005F3028"/>
    <w:rsid w:val="005F51E1"/>
    <w:rsid w:val="006002F7"/>
    <w:rsid w:val="00611C80"/>
    <w:rsid w:val="006133EC"/>
    <w:rsid w:val="00614C0E"/>
    <w:rsid w:val="00615A04"/>
    <w:rsid w:val="00616119"/>
    <w:rsid w:val="0061656E"/>
    <w:rsid w:val="00620692"/>
    <w:rsid w:val="00621E34"/>
    <w:rsid w:val="006242CA"/>
    <w:rsid w:val="00627507"/>
    <w:rsid w:val="00633717"/>
    <w:rsid w:val="006344E1"/>
    <w:rsid w:val="00637993"/>
    <w:rsid w:val="00643524"/>
    <w:rsid w:val="0064393B"/>
    <w:rsid w:val="006545C4"/>
    <w:rsid w:val="00661971"/>
    <w:rsid w:val="00661CE8"/>
    <w:rsid w:val="006623D9"/>
    <w:rsid w:val="006642A5"/>
    <w:rsid w:val="0066550C"/>
    <w:rsid w:val="00665BD2"/>
    <w:rsid w:val="006716F2"/>
    <w:rsid w:val="00682BF2"/>
    <w:rsid w:val="0068573E"/>
    <w:rsid w:val="006859CE"/>
    <w:rsid w:val="00691270"/>
    <w:rsid w:val="00694BA8"/>
    <w:rsid w:val="006A037C"/>
    <w:rsid w:val="006A36F4"/>
    <w:rsid w:val="006A406F"/>
    <w:rsid w:val="006A5D3A"/>
    <w:rsid w:val="006C23D4"/>
    <w:rsid w:val="006C7BB0"/>
    <w:rsid w:val="006D3237"/>
    <w:rsid w:val="006E2E37"/>
    <w:rsid w:val="006E3CF1"/>
    <w:rsid w:val="006E68A3"/>
    <w:rsid w:val="006E7E80"/>
    <w:rsid w:val="006F1C2D"/>
    <w:rsid w:val="006F2A77"/>
    <w:rsid w:val="006F48CA"/>
    <w:rsid w:val="006F64DD"/>
    <w:rsid w:val="006F712D"/>
    <w:rsid w:val="00712F86"/>
    <w:rsid w:val="00715127"/>
    <w:rsid w:val="00715E8E"/>
    <w:rsid w:val="00723580"/>
    <w:rsid w:val="00723755"/>
    <w:rsid w:val="0073136C"/>
    <w:rsid w:val="00731F0F"/>
    <w:rsid w:val="00733250"/>
    <w:rsid w:val="00737261"/>
    <w:rsid w:val="00741404"/>
    <w:rsid w:val="007449E5"/>
    <w:rsid w:val="0074750E"/>
    <w:rsid w:val="00747FF0"/>
    <w:rsid w:val="0075566E"/>
    <w:rsid w:val="00763602"/>
    <w:rsid w:val="00764D4E"/>
    <w:rsid w:val="00765A1F"/>
    <w:rsid w:val="00775B6D"/>
    <w:rsid w:val="00776D68"/>
    <w:rsid w:val="0078323E"/>
    <w:rsid w:val="007850EE"/>
    <w:rsid w:val="00785B95"/>
    <w:rsid w:val="00790E96"/>
    <w:rsid w:val="00793366"/>
    <w:rsid w:val="007A2537"/>
    <w:rsid w:val="007A716F"/>
    <w:rsid w:val="007B270A"/>
    <w:rsid w:val="007B4182"/>
    <w:rsid w:val="007C0695"/>
    <w:rsid w:val="007C419A"/>
    <w:rsid w:val="007C4CC8"/>
    <w:rsid w:val="007C5426"/>
    <w:rsid w:val="007C5798"/>
    <w:rsid w:val="007D1ECD"/>
    <w:rsid w:val="007D3701"/>
    <w:rsid w:val="007D4832"/>
    <w:rsid w:val="007E21B2"/>
    <w:rsid w:val="007E2C4E"/>
    <w:rsid w:val="007E2C8C"/>
    <w:rsid w:val="007E51BA"/>
    <w:rsid w:val="007E73D7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3602"/>
    <w:rsid w:val="008255F5"/>
    <w:rsid w:val="00826CF4"/>
    <w:rsid w:val="0083014E"/>
    <w:rsid w:val="0083214A"/>
    <w:rsid w:val="00832E1C"/>
    <w:rsid w:val="00834220"/>
    <w:rsid w:val="00845723"/>
    <w:rsid w:val="008519E7"/>
    <w:rsid w:val="00851EF9"/>
    <w:rsid w:val="008577FD"/>
    <w:rsid w:val="00860B03"/>
    <w:rsid w:val="0086497A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A5216"/>
    <w:rsid w:val="008B02DC"/>
    <w:rsid w:val="008B092C"/>
    <w:rsid w:val="008B57CE"/>
    <w:rsid w:val="008C26DE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140A3"/>
    <w:rsid w:val="009144A2"/>
    <w:rsid w:val="0091510C"/>
    <w:rsid w:val="009259AC"/>
    <w:rsid w:val="00926F38"/>
    <w:rsid w:val="00927BEB"/>
    <w:rsid w:val="009333DC"/>
    <w:rsid w:val="00934301"/>
    <w:rsid w:val="00936CD1"/>
    <w:rsid w:val="00941747"/>
    <w:rsid w:val="00941EFB"/>
    <w:rsid w:val="00947AFB"/>
    <w:rsid w:val="00951AA3"/>
    <w:rsid w:val="00951D7D"/>
    <w:rsid w:val="00956D0C"/>
    <w:rsid w:val="009630C7"/>
    <w:rsid w:val="00972B55"/>
    <w:rsid w:val="009743B7"/>
    <w:rsid w:val="0098228B"/>
    <w:rsid w:val="009828DA"/>
    <w:rsid w:val="0098410D"/>
    <w:rsid w:val="00985BAB"/>
    <w:rsid w:val="00986B3C"/>
    <w:rsid w:val="009A115C"/>
    <w:rsid w:val="009A2754"/>
    <w:rsid w:val="009B1606"/>
    <w:rsid w:val="009B1B5F"/>
    <w:rsid w:val="009B6673"/>
    <w:rsid w:val="009C11D4"/>
    <w:rsid w:val="009C191B"/>
    <w:rsid w:val="009C2BD6"/>
    <w:rsid w:val="009E1F32"/>
    <w:rsid w:val="009E2CC2"/>
    <w:rsid w:val="009E47A2"/>
    <w:rsid w:val="009E776C"/>
    <w:rsid w:val="009E7A6F"/>
    <w:rsid w:val="009F4C8F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3628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90BCD"/>
    <w:rsid w:val="00A938E9"/>
    <w:rsid w:val="00A94C20"/>
    <w:rsid w:val="00AA1B09"/>
    <w:rsid w:val="00AA227F"/>
    <w:rsid w:val="00AA3BC7"/>
    <w:rsid w:val="00AA754A"/>
    <w:rsid w:val="00AB099E"/>
    <w:rsid w:val="00AB4328"/>
    <w:rsid w:val="00AC4CD4"/>
    <w:rsid w:val="00AC6499"/>
    <w:rsid w:val="00AE0A2E"/>
    <w:rsid w:val="00AE354C"/>
    <w:rsid w:val="00AF0396"/>
    <w:rsid w:val="00AF0925"/>
    <w:rsid w:val="00AF4B07"/>
    <w:rsid w:val="00AF6186"/>
    <w:rsid w:val="00AF7A3A"/>
    <w:rsid w:val="00B01DB1"/>
    <w:rsid w:val="00B02587"/>
    <w:rsid w:val="00B160DB"/>
    <w:rsid w:val="00B20836"/>
    <w:rsid w:val="00B235BB"/>
    <w:rsid w:val="00B27A44"/>
    <w:rsid w:val="00B30280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701ED"/>
    <w:rsid w:val="00B704B2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056"/>
    <w:rsid w:val="00BB0637"/>
    <w:rsid w:val="00BB345F"/>
    <w:rsid w:val="00BB68EA"/>
    <w:rsid w:val="00BC0B99"/>
    <w:rsid w:val="00BC1C27"/>
    <w:rsid w:val="00BC6BBF"/>
    <w:rsid w:val="00BD1572"/>
    <w:rsid w:val="00BE14E3"/>
    <w:rsid w:val="00BE3774"/>
    <w:rsid w:val="00BE41E5"/>
    <w:rsid w:val="00BE48F0"/>
    <w:rsid w:val="00BF118F"/>
    <w:rsid w:val="00BF4109"/>
    <w:rsid w:val="00BF4CC3"/>
    <w:rsid w:val="00BF551F"/>
    <w:rsid w:val="00BF7452"/>
    <w:rsid w:val="00C054C7"/>
    <w:rsid w:val="00C057B5"/>
    <w:rsid w:val="00C07D0E"/>
    <w:rsid w:val="00C115C3"/>
    <w:rsid w:val="00C15547"/>
    <w:rsid w:val="00C1672D"/>
    <w:rsid w:val="00C171E2"/>
    <w:rsid w:val="00C22687"/>
    <w:rsid w:val="00C26A92"/>
    <w:rsid w:val="00C26B1C"/>
    <w:rsid w:val="00C32E4D"/>
    <w:rsid w:val="00C333A0"/>
    <w:rsid w:val="00C36A81"/>
    <w:rsid w:val="00C41974"/>
    <w:rsid w:val="00C44A2C"/>
    <w:rsid w:val="00C44F09"/>
    <w:rsid w:val="00C477F7"/>
    <w:rsid w:val="00C509A6"/>
    <w:rsid w:val="00C52618"/>
    <w:rsid w:val="00C53F4A"/>
    <w:rsid w:val="00C54125"/>
    <w:rsid w:val="00C55B54"/>
    <w:rsid w:val="00C6098E"/>
    <w:rsid w:val="00C6152C"/>
    <w:rsid w:val="00C706B0"/>
    <w:rsid w:val="00C74810"/>
    <w:rsid w:val="00C90D68"/>
    <w:rsid w:val="00C939FE"/>
    <w:rsid w:val="00CA4BDA"/>
    <w:rsid w:val="00CB13E3"/>
    <w:rsid w:val="00CB1F66"/>
    <w:rsid w:val="00CB232C"/>
    <w:rsid w:val="00CB2951"/>
    <w:rsid w:val="00CB4277"/>
    <w:rsid w:val="00CB5ABF"/>
    <w:rsid w:val="00CC5067"/>
    <w:rsid w:val="00CD11D3"/>
    <w:rsid w:val="00CD282B"/>
    <w:rsid w:val="00CD3F10"/>
    <w:rsid w:val="00CD447B"/>
    <w:rsid w:val="00CD4C35"/>
    <w:rsid w:val="00CD7369"/>
    <w:rsid w:val="00CE0B0E"/>
    <w:rsid w:val="00CE3831"/>
    <w:rsid w:val="00CE42DC"/>
    <w:rsid w:val="00CE55DD"/>
    <w:rsid w:val="00CF2397"/>
    <w:rsid w:val="00D00ABB"/>
    <w:rsid w:val="00D02EEC"/>
    <w:rsid w:val="00D03551"/>
    <w:rsid w:val="00D06A63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50A0A"/>
    <w:rsid w:val="00D53548"/>
    <w:rsid w:val="00D566BD"/>
    <w:rsid w:val="00D57A4D"/>
    <w:rsid w:val="00D60AA7"/>
    <w:rsid w:val="00D6435F"/>
    <w:rsid w:val="00D66471"/>
    <w:rsid w:val="00D70641"/>
    <w:rsid w:val="00D70FB1"/>
    <w:rsid w:val="00D74888"/>
    <w:rsid w:val="00D75E28"/>
    <w:rsid w:val="00D772C2"/>
    <w:rsid w:val="00D8008E"/>
    <w:rsid w:val="00D82C45"/>
    <w:rsid w:val="00D908A8"/>
    <w:rsid w:val="00D94562"/>
    <w:rsid w:val="00D977B6"/>
    <w:rsid w:val="00DA1223"/>
    <w:rsid w:val="00DA1B49"/>
    <w:rsid w:val="00DA4A31"/>
    <w:rsid w:val="00DA7B04"/>
    <w:rsid w:val="00DB36C2"/>
    <w:rsid w:val="00DC169B"/>
    <w:rsid w:val="00DC2AB9"/>
    <w:rsid w:val="00DC63F0"/>
    <w:rsid w:val="00DD37EA"/>
    <w:rsid w:val="00DD61C5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60A23"/>
    <w:rsid w:val="00E63EC7"/>
    <w:rsid w:val="00E64915"/>
    <w:rsid w:val="00E64D3A"/>
    <w:rsid w:val="00E661D4"/>
    <w:rsid w:val="00E70091"/>
    <w:rsid w:val="00E70D2E"/>
    <w:rsid w:val="00E720F5"/>
    <w:rsid w:val="00E7296E"/>
    <w:rsid w:val="00E76D47"/>
    <w:rsid w:val="00E827BC"/>
    <w:rsid w:val="00E849F7"/>
    <w:rsid w:val="00E90302"/>
    <w:rsid w:val="00E91D05"/>
    <w:rsid w:val="00E95C1E"/>
    <w:rsid w:val="00E97396"/>
    <w:rsid w:val="00EA185E"/>
    <w:rsid w:val="00EA34B3"/>
    <w:rsid w:val="00EA592A"/>
    <w:rsid w:val="00EB14E4"/>
    <w:rsid w:val="00EB32A5"/>
    <w:rsid w:val="00EB34ED"/>
    <w:rsid w:val="00EB447C"/>
    <w:rsid w:val="00EB7BE0"/>
    <w:rsid w:val="00EC2B5F"/>
    <w:rsid w:val="00EC315E"/>
    <w:rsid w:val="00ED077C"/>
    <w:rsid w:val="00ED10A9"/>
    <w:rsid w:val="00ED1190"/>
    <w:rsid w:val="00ED34AC"/>
    <w:rsid w:val="00ED6544"/>
    <w:rsid w:val="00EE0277"/>
    <w:rsid w:val="00EE2899"/>
    <w:rsid w:val="00EE3E00"/>
    <w:rsid w:val="00EE5DD2"/>
    <w:rsid w:val="00EE61FA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B4D"/>
    <w:rsid w:val="00F16A7C"/>
    <w:rsid w:val="00F16AAA"/>
    <w:rsid w:val="00F1709C"/>
    <w:rsid w:val="00F201E3"/>
    <w:rsid w:val="00F21161"/>
    <w:rsid w:val="00F218EF"/>
    <w:rsid w:val="00F21BC7"/>
    <w:rsid w:val="00F266A2"/>
    <w:rsid w:val="00F32269"/>
    <w:rsid w:val="00F35B7A"/>
    <w:rsid w:val="00F454B7"/>
    <w:rsid w:val="00F562FA"/>
    <w:rsid w:val="00F56A6F"/>
    <w:rsid w:val="00F5709C"/>
    <w:rsid w:val="00F60B85"/>
    <w:rsid w:val="00F6163E"/>
    <w:rsid w:val="00F64EF1"/>
    <w:rsid w:val="00F72B14"/>
    <w:rsid w:val="00F7349B"/>
    <w:rsid w:val="00F735BE"/>
    <w:rsid w:val="00F8765F"/>
    <w:rsid w:val="00F90767"/>
    <w:rsid w:val="00F9263C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081A"/>
    <w:rsid w:val="00FE71B3"/>
    <w:rsid w:val="00FF1B1F"/>
    <w:rsid w:val="00FF42C5"/>
    <w:rsid w:val="00FF7F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1F711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C44F0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C44F09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C44F09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C44F09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C44F09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C44F09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C44F09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C44F09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C44F09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C44F09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C44F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C44F09"/>
    <w:rPr>
      <w:rFonts w:ascii="Tahoma" w:hAnsi="Tahoma" w:cs="Tahoma"/>
      <w:sz w:val="16"/>
      <w:szCs w:val="16"/>
      <w:lang w:val="pl-PL"/>
    </w:rPr>
  </w:style>
  <w:style w:type="character" w:styleId="Tytuksiki">
    <w:name w:val="Book Title"/>
    <w:uiPriority w:val="98"/>
    <w:semiHidden/>
    <w:qFormat/>
    <w:rsid w:val="00C44F09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C44F09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C44F09"/>
    <w:pPr>
      <w:jc w:val="both"/>
    </w:pPr>
  </w:style>
  <w:style w:type="character" w:styleId="Pogrubienie">
    <w:name w:val="Strong"/>
    <w:uiPriority w:val="98"/>
    <w:semiHidden/>
    <w:qFormat/>
    <w:rsid w:val="00C44F09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C44F09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C44F09"/>
    <w:rPr>
      <w:sz w:val="24"/>
      <w:szCs w:val="24"/>
      <w:lang w:val="pl-PL"/>
    </w:rPr>
  </w:style>
  <w:style w:type="paragraph" w:customStyle="1" w:styleId="JuQuot">
    <w:name w:val="Ju_Quot"/>
    <w:aliases w:val="_Quote"/>
    <w:basedOn w:val="NormalJustified"/>
    <w:uiPriority w:val="20"/>
    <w:qFormat/>
    <w:rsid w:val="00C44F09"/>
    <w:pPr>
      <w:spacing w:before="120" w:after="120"/>
      <w:ind w:left="425" w:firstLine="142"/>
    </w:pPr>
    <w:rPr>
      <w:sz w:val="20"/>
    </w:rPr>
  </w:style>
  <w:style w:type="paragraph" w:customStyle="1" w:styleId="DummyStyle">
    <w:name w:val="Dummy_Style"/>
    <w:aliases w:val="_Dummy"/>
    <w:basedOn w:val="Normalny"/>
    <w:semiHidden/>
    <w:qFormat/>
    <w:rsid w:val="00C44F09"/>
    <w:rPr>
      <w:color w:val="00B050"/>
      <w:sz w:val="22"/>
    </w:rPr>
  </w:style>
  <w:style w:type="paragraph" w:customStyle="1" w:styleId="JuList">
    <w:name w:val="Ju_List"/>
    <w:aliases w:val="_List_1"/>
    <w:basedOn w:val="NormalJustified"/>
    <w:uiPriority w:val="23"/>
    <w:qFormat/>
    <w:rsid w:val="00C44F09"/>
    <w:pPr>
      <w:numPr>
        <w:numId w:val="6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C44F09"/>
    <w:pPr>
      <w:numPr>
        <w:ilvl w:val="1"/>
        <w:numId w:val="6"/>
      </w:numPr>
    </w:pPr>
  </w:style>
  <w:style w:type="paragraph" w:customStyle="1" w:styleId="JuListi">
    <w:name w:val="Ju_List_i"/>
    <w:aliases w:val="_List_3"/>
    <w:basedOn w:val="NormalJustified"/>
    <w:uiPriority w:val="23"/>
    <w:rsid w:val="00C44F09"/>
    <w:pPr>
      <w:numPr>
        <w:ilvl w:val="2"/>
        <w:numId w:val="6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C44F09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C44F09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C44F09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AF0925"/>
    <w:pPr>
      <w:keepNext/>
      <w:keepLines/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C44F09"/>
    <w:pPr>
      <w:numPr>
        <w:numId w:val="5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C44F09"/>
    <w:pPr>
      <w:tabs>
        <w:tab w:val="center" w:pos="851"/>
        <w:tab w:val="center" w:pos="6407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C44F09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C44F09"/>
    <w:rPr>
      <w:rFonts w:asciiTheme="majorHAnsi" w:eastAsiaTheme="majorEastAsia" w:hAnsiTheme="majorHAnsi" w:cstheme="majorBidi"/>
      <w:spacing w:val="5"/>
      <w:sz w:val="52"/>
      <w:szCs w:val="52"/>
      <w:lang w:val="pl-PL" w:bidi="en-US"/>
    </w:rPr>
  </w:style>
  <w:style w:type="numbering" w:customStyle="1" w:styleId="ECHRA1StyleList">
    <w:name w:val="ECHR_A1_Style_List"/>
    <w:basedOn w:val="Bezlisty"/>
    <w:uiPriority w:val="99"/>
    <w:rsid w:val="00C44F09"/>
    <w:pPr>
      <w:numPr>
        <w:numId w:val="20"/>
      </w:numPr>
    </w:pPr>
  </w:style>
  <w:style w:type="numbering" w:customStyle="1" w:styleId="ECHRA1StyleNumberedList">
    <w:name w:val="ECHR_A1_Style_Numbered_List"/>
    <w:basedOn w:val="Bezlisty"/>
    <w:rsid w:val="00C44F09"/>
    <w:pPr>
      <w:numPr>
        <w:numId w:val="7"/>
      </w:numPr>
    </w:pPr>
  </w:style>
  <w:style w:type="table" w:customStyle="1" w:styleId="ECHRTable2019">
    <w:name w:val="ECHR_Table_2019"/>
    <w:basedOn w:val="Standardowy"/>
    <w:uiPriority w:val="99"/>
    <w:rsid w:val="00C44F0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C44F09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AF0925"/>
    <w:pPr>
      <w:keepNext/>
      <w:keepLines/>
      <w:tabs>
        <w:tab w:val="left" w:pos="454"/>
        <w:tab w:val="left" w:pos="567"/>
        <w:tab w:val="left" w:pos="680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AF0925"/>
    <w:pPr>
      <w:keepNext/>
      <w:keepLines/>
      <w:spacing w:before="100" w:beforeAutospacing="1" w:after="240" w:line="240" w:lineRule="auto"/>
      <w:jc w:val="both"/>
    </w:pPr>
    <w:rPr>
      <w:color w:val="auto"/>
    </w:rPr>
  </w:style>
  <w:style w:type="paragraph" w:customStyle="1" w:styleId="JuH1">
    <w:name w:val="Ju_H_1."/>
    <w:aliases w:val="_Head_4"/>
    <w:basedOn w:val="Nagwek4"/>
    <w:next w:val="JuPara"/>
    <w:uiPriority w:val="17"/>
    <w:rsid w:val="00AF0925"/>
    <w:pPr>
      <w:keepNext/>
      <w:keepLines/>
      <w:spacing w:before="100" w:beforeAutospacing="1" w:after="120"/>
      <w:jc w:val="both"/>
    </w:pPr>
    <w:rPr>
      <w:b w:val="0"/>
      <w:color w:val="auto"/>
    </w:rPr>
  </w:style>
  <w:style w:type="paragraph" w:styleId="Nagwek">
    <w:name w:val="header"/>
    <w:basedOn w:val="Normalny"/>
    <w:link w:val="NagwekZnak"/>
    <w:uiPriority w:val="98"/>
    <w:semiHidden/>
    <w:rsid w:val="00C44F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C44F09"/>
    <w:rPr>
      <w:sz w:val="24"/>
      <w:szCs w:val="24"/>
      <w:lang w:val="pl-PL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C44F09"/>
    <w:rPr>
      <w:rFonts w:asciiTheme="majorHAnsi" w:eastAsiaTheme="majorEastAsia" w:hAnsiTheme="majorHAnsi" w:cstheme="majorBidi"/>
      <w:b/>
      <w:bCs/>
      <w:color w:val="333333"/>
      <w:sz w:val="28"/>
      <w:szCs w:val="28"/>
      <w:lang w:val="pl-PL"/>
    </w:rPr>
  </w:style>
  <w:style w:type="paragraph" w:customStyle="1" w:styleId="JuHa0">
    <w:name w:val="Ju_H_a"/>
    <w:aliases w:val="_Head_5"/>
    <w:basedOn w:val="Nagwek5"/>
    <w:next w:val="JuPara"/>
    <w:uiPriority w:val="17"/>
    <w:rsid w:val="00AF0925"/>
    <w:pPr>
      <w:keepNext/>
      <w:keepLines/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AF0925"/>
    <w:pPr>
      <w:keepNext/>
      <w:keepLines/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C44F09"/>
    <w:rPr>
      <w:rFonts w:asciiTheme="majorHAnsi" w:eastAsiaTheme="majorEastAsia" w:hAnsiTheme="majorHAnsi" w:cstheme="majorBidi"/>
      <w:b/>
      <w:bCs/>
      <w:color w:val="4D4D4D"/>
      <w:sz w:val="26"/>
      <w:szCs w:val="26"/>
      <w:lang w:val="pl-PL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AF0925"/>
    <w:pPr>
      <w:keepNext/>
      <w:keepLines/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AF0925"/>
    <w:pPr>
      <w:keepNext/>
      <w:keepLines/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C44F09"/>
    <w:rPr>
      <w:rFonts w:asciiTheme="majorHAnsi" w:eastAsiaTheme="majorEastAsia" w:hAnsiTheme="majorHAnsi" w:cstheme="majorBidi"/>
      <w:b/>
      <w:bCs/>
      <w:color w:val="5F5F5F"/>
      <w:lang w:val="pl-PL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C44F09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C44F09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C44F09"/>
    <w:rPr>
      <w:rFonts w:asciiTheme="majorHAnsi" w:eastAsiaTheme="majorEastAsia" w:hAnsiTheme="majorHAnsi" w:cstheme="majorBidi"/>
      <w:b/>
      <w:bCs/>
      <w:i/>
      <w:iCs/>
      <w:color w:val="777777"/>
      <w:lang w:val="pl-PL"/>
    </w:rPr>
  </w:style>
  <w:style w:type="paragraph" w:customStyle="1" w:styleId="JuInitialled">
    <w:name w:val="Ju_Initialled"/>
    <w:aliases w:val="_Right"/>
    <w:basedOn w:val="Normalny"/>
    <w:uiPriority w:val="30"/>
    <w:qFormat/>
    <w:rsid w:val="00C44F09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C44F09"/>
    <w:rPr>
      <w:rFonts w:asciiTheme="majorHAnsi" w:eastAsiaTheme="majorEastAsia" w:hAnsiTheme="majorHAnsi" w:cstheme="majorBidi"/>
      <w:b/>
      <w:bCs/>
      <w:color w:val="808080"/>
      <w:lang w:val="pl-PL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C44F09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C44F09"/>
    <w:rPr>
      <w:caps w:val="0"/>
      <w:smallCaps/>
    </w:rPr>
  </w:style>
  <w:style w:type="character" w:styleId="Wyrnieniedelikatne">
    <w:name w:val="Subtle Emphasis"/>
    <w:uiPriority w:val="98"/>
    <w:semiHidden/>
    <w:qFormat/>
    <w:rsid w:val="00C44F09"/>
    <w:rPr>
      <w:i/>
      <w:iCs/>
    </w:rPr>
  </w:style>
  <w:style w:type="table" w:customStyle="1" w:styleId="ECHRTable">
    <w:name w:val="ECHR_Table"/>
    <w:basedOn w:val="Standardowy"/>
    <w:rsid w:val="00C44F09"/>
    <w:rPr>
      <w:rFonts w:eastAsia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C44F09"/>
    <w:rPr>
      <w:rFonts w:ascii="Verdana" w:eastAsia="Times New Roman" w:hAnsi="Verdana" w:cs="Times New Roman"/>
      <w:sz w:val="20"/>
      <w:szCs w:val="20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C44F09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C44F09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C44F09"/>
    <w:rPr>
      <w:sz w:val="24"/>
      <w:szCs w:val="24"/>
      <w:lang w:val="pl-PL"/>
    </w:rPr>
  </w:style>
  <w:style w:type="character" w:styleId="Odwoanieprzypisudolnego">
    <w:name w:val="footnote reference"/>
    <w:basedOn w:val="Domylnaczcionkaakapitu"/>
    <w:uiPriority w:val="98"/>
    <w:semiHidden/>
    <w:rsid w:val="00C44F0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C44F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C44F09"/>
    <w:rPr>
      <w:sz w:val="20"/>
      <w:szCs w:val="20"/>
      <w:lang w:val="pl-PL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C44F09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pl-PL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C44F09"/>
    <w:rPr>
      <w:rFonts w:asciiTheme="majorHAnsi" w:eastAsiaTheme="majorEastAsia" w:hAnsiTheme="majorHAnsi" w:cstheme="majorBidi"/>
      <w:i/>
      <w:iCs/>
      <w:lang w:val="pl-PL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C44F09"/>
    <w:rPr>
      <w:rFonts w:asciiTheme="majorHAnsi" w:eastAsiaTheme="majorEastAsia" w:hAnsiTheme="majorHAnsi" w:cstheme="majorBidi"/>
      <w:sz w:val="20"/>
      <w:szCs w:val="20"/>
      <w:lang w:val="pl-PL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C44F09"/>
    <w:rPr>
      <w:rFonts w:asciiTheme="majorHAnsi" w:eastAsiaTheme="majorEastAsia" w:hAnsiTheme="majorHAnsi" w:cstheme="majorBidi"/>
      <w:i/>
      <w:iCs/>
      <w:spacing w:val="5"/>
      <w:sz w:val="20"/>
      <w:szCs w:val="20"/>
      <w:lang w:val="pl-PL" w:bidi="en-US"/>
    </w:rPr>
  </w:style>
  <w:style w:type="character" w:styleId="Hipercze">
    <w:name w:val="Hyperlink"/>
    <w:basedOn w:val="Domylnaczcionkaakapitu"/>
    <w:uiPriority w:val="98"/>
    <w:semiHidden/>
    <w:rsid w:val="00C44F09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C44F09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C44F09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C44F09"/>
    <w:rPr>
      <w:b/>
      <w:bCs/>
      <w:i/>
      <w:iCs/>
      <w:sz w:val="24"/>
      <w:szCs w:val="24"/>
      <w:lang w:val="pl-PL" w:bidi="en-US"/>
    </w:rPr>
  </w:style>
  <w:style w:type="character" w:styleId="Odwoanieintensywne">
    <w:name w:val="Intense Reference"/>
    <w:uiPriority w:val="98"/>
    <w:semiHidden/>
    <w:qFormat/>
    <w:rsid w:val="00C44F09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C44F09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C44F09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C44F09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C44F09"/>
    <w:rPr>
      <w:i/>
      <w:iCs/>
      <w:sz w:val="24"/>
      <w:szCs w:val="24"/>
      <w:lang w:val="pl-PL" w:bidi="en-US"/>
    </w:rPr>
  </w:style>
  <w:style w:type="character" w:styleId="Odwoaniedelikatne">
    <w:name w:val="Subtle Reference"/>
    <w:uiPriority w:val="98"/>
    <w:semiHidden/>
    <w:qFormat/>
    <w:rsid w:val="00C44F09"/>
    <w:rPr>
      <w:smallCaps/>
    </w:rPr>
  </w:style>
  <w:style w:type="table" w:styleId="Tabela-Siatka">
    <w:name w:val="Table Grid"/>
    <w:basedOn w:val="Standardowy"/>
    <w:uiPriority w:val="59"/>
    <w:semiHidden/>
    <w:rsid w:val="00C44F09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C44F09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C44F09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C44F09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C44F09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C44F09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C44F0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C44F09"/>
    <w:rPr>
      <w:rFonts w:eastAsiaTheme="minorEastAsia"/>
      <w:sz w:val="20"/>
      <w:szCs w:val="24"/>
      <w:lang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C44F09"/>
    <w:rPr>
      <w:rFonts w:eastAsiaTheme="minorEastAsia"/>
      <w:sz w:val="24"/>
      <w:szCs w:val="24"/>
      <w:lang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C44F09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C44F09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C44F09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C44F09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C44F09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C44F09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C44F09"/>
    <w:rPr>
      <w:rFonts w:asciiTheme="majorHAnsi" w:eastAsiaTheme="majorEastAsia" w:hAnsiTheme="majorHAnsi" w:cstheme="majorBidi"/>
      <w:i/>
      <w:iCs/>
      <w:spacing w:val="13"/>
      <w:sz w:val="24"/>
      <w:szCs w:val="24"/>
      <w:lang w:val="pl-PL" w:bidi="en-US"/>
    </w:rPr>
  </w:style>
  <w:style w:type="numbering" w:styleId="111111">
    <w:name w:val="Outline List 2"/>
    <w:basedOn w:val="Bezlisty"/>
    <w:uiPriority w:val="99"/>
    <w:semiHidden/>
    <w:unhideWhenUsed/>
    <w:rsid w:val="00C44F09"/>
    <w:pPr>
      <w:numPr>
        <w:numId w:val="2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C44F09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C44F09"/>
    <w:pPr>
      <w:numPr>
        <w:numId w:val="3"/>
      </w:numPr>
    </w:pPr>
  </w:style>
  <w:style w:type="table" w:customStyle="1" w:styleId="ECHRTableSimpleBox">
    <w:name w:val="ECHR_Table_Simple_Box"/>
    <w:basedOn w:val="Standardowy"/>
    <w:uiPriority w:val="99"/>
    <w:rsid w:val="00C44F09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C44F09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C44F09"/>
    <w:pPr>
      <w:numPr>
        <w:numId w:val="4"/>
      </w:numPr>
    </w:pPr>
  </w:style>
  <w:style w:type="table" w:customStyle="1" w:styleId="ECHRTableForInternalUse">
    <w:name w:val="ECHR_Table_For_Internal_Use"/>
    <w:basedOn w:val="Standardowy"/>
    <w:uiPriority w:val="99"/>
    <w:rsid w:val="00C44F09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C44F09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C44F09"/>
  </w:style>
  <w:style w:type="paragraph" w:styleId="Tekstblokowy">
    <w:name w:val="Block Text"/>
    <w:basedOn w:val="Normalny"/>
    <w:uiPriority w:val="98"/>
    <w:semiHidden/>
    <w:rsid w:val="00C44F09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C44F09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C44F0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C44F09"/>
    <w:rPr>
      <w:sz w:val="24"/>
      <w:szCs w:val="24"/>
      <w:lang w:val="pl-PL"/>
    </w:rPr>
  </w:style>
  <w:style w:type="table" w:customStyle="1" w:styleId="ECHRTableOddBanded">
    <w:name w:val="ECHR_Table_Odd_Banded"/>
    <w:basedOn w:val="Standardowy"/>
    <w:uiPriority w:val="99"/>
    <w:rsid w:val="00C44F09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C44F09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C44F09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ny"/>
    <w:next w:val="JuPara"/>
    <w:uiPriority w:val="32"/>
    <w:rsid w:val="00C44F09"/>
    <w:pPr>
      <w:ind w:firstLine="284"/>
    </w:pPr>
    <w:rPr>
      <w:b/>
    </w:rPr>
  </w:style>
  <w:style w:type="character" w:styleId="Numerstrony">
    <w:name w:val="page number"/>
    <w:uiPriority w:val="98"/>
    <w:semiHidden/>
    <w:rsid w:val="00C44F09"/>
    <w:rPr>
      <w:sz w:val="18"/>
    </w:rPr>
  </w:style>
  <w:style w:type="paragraph" w:styleId="Listapunktowana">
    <w:name w:val="List Bullet"/>
    <w:basedOn w:val="Normalny"/>
    <w:uiPriority w:val="98"/>
    <w:semiHidden/>
    <w:rsid w:val="00C44F09"/>
    <w:pPr>
      <w:numPr>
        <w:numId w:val="8"/>
      </w:numPr>
    </w:pPr>
  </w:style>
  <w:style w:type="paragraph" w:styleId="Listapunktowana3">
    <w:name w:val="List Bullet 3"/>
    <w:basedOn w:val="Normalny"/>
    <w:uiPriority w:val="98"/>
    <w:semiHidden/>
    <w:rsid w:val="00C44F09"/>
    <w:pPr>
      <w:numPr>
        <w:numId w:val="10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C44F09"/>
    <w:rPr>
      <w:sz w:val="24"/>
      <w:szCs w:val="24"/>
      <w:lang w:val="pl-PL"/>
    </w:rPr>
  </w:style>
  <w:style w:type="paragraph" w:styleId="Tekstpodstawowy3">
    <w:name w:val="Body Text 3"/>
    <w:basedOn w:val="Normalny"/>
    <w:link w:val="Tekstpodstawowy3Znak"/>
    <w:uiPriority w:val="98"/>
    <w:semiHidden/>
    <w:rsid w:val="00C44F0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C44F09"/>
    <w:rPr>
      <w:sz w:val="16"/>
      <w:szCs w:val="16"/>
      <w:lang w:val="pl-PL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C44F09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C44F09"/>
    <w:rPr>
      <w:sz w:val="24"/>
      <w:szCs w:val="24"/>
      <w:lang w:val="pl-PL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C44F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C44F09"/>
    <w:rPr>
      <w:sz w:val="24"/>
      <w:szCs w:val="24"/>
      <w:lang w:val="pl-PL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C44F09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C44F09"/>
    <w:rPr>
      <w:sz w:val="24"/>
      <w:szCs w:val="24"/>
      <w:lang w:val="pl-PL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C44F0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C44F09"/>
    <w:rPr>
      <w:sz w:val="24"/>
      <w:szCs w:val="24"/>
      <w:lang w:val="pl-PL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C44F0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C44F09"/>
    <w:rPr>
      <w:sz w:val="16"/>
      <w:szCs w:val="16"/>
      <w:lang w:val="pl-PL"/>
    </w:rPr>
  </w:style>
  <w:style w:type="paragraph" w:styleId="Legenda">
    <w:name w:val="caption"/>
    <w:basedOn w:val="Normalny"/>
    <w:next w:val="Normalny"/>
    <w:uiPriority w:val="98"/>
    <w:semiHidden/>
    <w:qFormat/>
    <w:rsid w:val="00C44F09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C44F09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C44F09"/>
    <w:rPr>
      <w:sz w:val="24"/>
      <w:szCs w:val="24"/>
      <w:lang w:val="pl-PL"/>
    </w:rPr>
  </w:style>
  <w:style w:type="table" w:styleId="Kolorowasiatka">
    <w:name w:val="Colorful Grid"/>
    <w:basedOn w:val="Standardowy"/>
    <w:uiPriority w:val="73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C44F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C44F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C44F09"/>
    <w:rPr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C44F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C44F09"/>
    <w:rPr>
      <w:b/>
      <w:bCs/>
      <w:sz w:val="20"/>
      <w:szCs w:val="20"/>
      <w:lang w:val="pl-PL"/>
    </w:rPr>
  </w:style>
  <w:style w:type="table" w:styleId="Ciemnalista">
    <w:name w:val="Dark List"/>
    <w:basedOn w:val="Standardowy"/>
    <w:uiPriority w:val="70"/>
    <w:semiHidden/>
    <w:rsid w:val="00C44F0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C44F0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C44F0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C44F0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C44F0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C44F0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C44F09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C44F09"/>
  </w:style>
  <w:style w:type="character" w:customStyle="1" w:styleId="DataZnak">
    <w:name w:val="Data Znak"/>
    <w:basedOn w:val="Domylnaczcionkaakapitu"/>
    <w:link w:val="Data"/>
    <w:uiPriority w:val="98"/>
    <w:semiHidden/>
    <w:rsid w:val="00C44F09"/>
    <w:rPr>
      <w:sz w:val="24"/>
      <w:szCs w:val="24"/>
      <w:lang w:val="pl-PL"/>
    </w:rPr>
  </w:style>
  <w:style w:type="paragraph" w:styleId="Mapadokumentu">
    <w:name w:val="Document Map"/>
    <w:basedOn w:val="Normalny"/>
    <w:link w:val="MapadokumentuZnak"/>
    <w:uiPriority w:val="98"/>
    <w:semiHidden/>
    <w:rsid w:val="00C44F09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C44F09"/>
    <w:rPr>
      <w:rFonts w:ascii="Tahoma" w:hAnsi="Tahoma" w:cs="Tahoma"/>
      <w:sz w:val="16"/>
      <w:szCs w:val="16"/>
      <w:lang w:val="pl-PL"/>
    </w:rPr>
  </w:style>
  <w:style w:type="paragraph" w:styleId="Podpise-mail">
    <w:name w:val="E-mail Signature"/>
    <w:basedOn w:val="Normalny"/>
    <w:link w:val="Podpise-mailZnak"/>
    <w:uiPriority w:val="98"/>
    <w:semiHidden/>
    <w:rsid w:val="00C44F09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C44F09"/>
    <w:rPr>
      <w:sz w:val="24"/>
      <w:szCs w:val="24"/>
      <w:lang w:val="pl-PL"/>
    </w:rPr>
  </w:style>
  <w:style w:type="character" w:styleId="Odwoanieprzypisukocowego">
    <w:name w:val="endnote reference"/>
    <w:basedOn w:val="Domylnaczcionkaakapitu"/>
    <w:uiPriority w:val="98"/>
    <w:semiHidden/>
    <w:rsid w:val="00C44F0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C44F0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C44F09"/>
    <w:rPr>
      <w:sz w:val="20"/>
      <w:szCs w:val="20"/>
      <w:lang w:val="pl-PL"/>
    </w:rPr>
  </w:style>
  <w:style w:type="paragraph" w:styleId="Adresnakopercie">
    <w:name w:val="envelope address"/>
    <w:basedOn w:val="Normalny"/>
    <w:uiPriority w:val="98"/>
    <w:semiHidden/>
    <w:rsid w:val="00C44F09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C44F09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C44F09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C44F09"/>
  </w:style>
  <w:style w:type="paragraph" w:styleId="HTML-adres">
    <w:name w:val="HTML Address"/>
    <w:basedOn w:val="Normalny"/>
    <w:link w:val="HTML-adresZnak"/>
    <w:uiPriority w:val="98"/>
    <w:semiHidden/>
    <w:rsid w:val="00C44F09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C44F09"/>
    <w:rPr>
      <w:i/>
      <w:iCs/>
      <w:sz w:val="24"/>
      <w:szCs w:val="24"/>
      <w:lang w:val="pl-PL"/>
    </w:rPr>
  </w:style>
  <w:style w:type="character" w:styleId="HTML-cytat">
    <w:name w:val="HTML Cite"/>
    <w:basedOn w:val="Domylnaczcionkaakapitu"/>
    <w:uiPriority w:val="98"/>
    <w:semiHidden/>
    <w:rsid w:val="00C44F09"/>
    <w:rPr>
      <w:i/>
      <w:iCs/>
    </w:rPr>
  </w:style>
  <w:style w:type="character" w:styleId="HTML-kod">
    <w:name w:val="HTML Code"/>
    <w:basedOn w:val="Domylnaczcionkaakapitu"/>
    <w:uiPriority w:val="98"/>
    <w:semiHidden/>
    <w:rsid w:val="00C44F09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C44F09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C44F09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C44F09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C44F09"/>
    <w:rPr>
      <w:rFonts w:ascii="Consolas" w:hAnsi="Consolas" w:cs="Consolas"/>
      <w:sz w:val="20"/>
      <w:szCs w:val="20"/>
      <w:lang w:val="pl-PL"/>
    </w:rPr>
  </w:style>
  <w:style w:type="character" w:styleId="HTML-przykad">
    <w:name w:val="HTML Sample"/>
    <w:basedOn w:val="Domylnaczcionkaakapitu"/>
    <w:uiPriority w:val="98"/>
    <w:semiHidden/>
    <w:rsid w:val="00C44F09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C44F09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C44F09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C44F09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C44F09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C44F09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C44F09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C44F09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C44F09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C44F09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C44F09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C44F09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C44F09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C44F09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C44F09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C44F09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C44F09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C44F09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C44F09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C44F09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C44F09"/>
  </w:style>
  <w:style w:type="paragraph" w:styleId="Lista">
    <w:name w:val="List"/>
    <w:basedOn w:val="Normalny"/>
    <w:uiPriority w:val="98"/>
    <w:semiHidden/>
    <w:rsid w:val="00C44F09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C44F09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C44F09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C44F09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C44F09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C44F09"/>
    <w:pPr>
      <w:numPr>
        <w:numId w:val="9"/>
      </w:numPr>
      <w:contextualSpacing/>
    </w:pPr>
  </w:style>
  <w:style w:type="paragraph" w:styleId="Listapunktowana4">
    <w:name w:val="List Bullet 4"/>
    <w:basedOn w:val="Normalny"/>
    <w:uiPriority w:val="98"/>
    <w:semiHidden/>
    <w:rsid w:val="00C44F09"/>
    <w:pPr>
      <w:numPr>
        <w:numId w:val="11"/>
      </w:numPr>
      <w:contextualSpacing/>
    </w:pPr>
  </w:style>
  <w:style w:type="paragraph" w:styleId="Listapunktowana5">
    <w:name w:val="List Bullet 5"/>
    <w:basedOn w:val="Normalny"/>
    <w:uiPriority w:val="98"/>
    <w:semiHidden/>
    <w:rsid w:val="00C44F09"/>
    <w:pPr>
      <w:numPr>
        <w:numId w:val="12"/>
      </w:numPr>
      <w:contextualSpacing/>
    </w:pPr>
  </w:style>
  <w:style w:type="paragraph" w:styleId="Lista-kontynuacja">
    <w:name w:val="List Continue"/>
    <w:basedOn w:val="Normalny"/>
    <w:uiPriority w:val="98"/>
    <w:semiHidden/>
    <w:rsid w:val="00C44F09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C44F09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C44F09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C44F09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C44F09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C44F09"/>
    <w:pPr>
      <w:numPr>
        <w:numId w:val="13"/>
      </w:numPr>
      <w:contextualSpacing/>
    </w:pPr>
  </w:style>
  <w:style w:type="paragraph" w:styleId="Listanumerowana2">
    <w:name w:val="List Number 2"/>
    <w:basedOn w:val="Normalny"/>
    <w:uiPriority w:val="98"/>
    <w:semiHidden/>
    <w:rsid w:val="00C44F09"/>
    <w:pPr>
      <w:numPr>
        <w:numId w:val="14"/>
      </w:numPr>
      <w:contextualSpacing/>
    </w:pPr>
  </w:style>
  <w:style w:type="paragraph" w:styleId="Listanumerowana3">
    <w:name w:val="List Number 3"/>
    <w:basedOn w:val="Normalny"/>
    <w:uiPriority w:val="98"/>
    <w:semiHidden/>
    <w:rsid w:val="00C44F09"/>
    <w:pPr>
      <w:numPr>
        <w:numId w:val="15"/>
      </w:numPr>
      <w:contextualSpacing/>
    </w:pPr>
  </w:style>
  <w:style w:type="paragraph" w:styleId="Listanumerowana4">
    <w:name w:val="List Number 4"/>
    <w:basedOn w:val="Normalny"/>
    <w:uiPriority w:val="98"/>
    <w:semiHidden/>
    <w:rsid w:val="00C44F09"/>
    <w:pPr>
      <w:numPr>
        <w:numId w:val="16"/>
      </w:numPr>
      <w:contextualSpacing/>
    </w:pPr>
  </w:style>
  <w:style w:type="paragraph" w:styleId="Listanumerowana5">
    <w:name w:val="List Number 5"/>
    <w:basedOn w:val="Normalny"/>
    <w:uiPriority w:val="98"/>
    <w:semiHidden/>
    <w:rsid w:val="00C44F09"/>
    <w:pPr>
      <w:numPr>
        <w:numId w:val="17"/>
      </w:numPr>
      <w:contextualSpacing/>
    </w:pPr>
  </w:style>
  <w:style w:type="paragraph" w:styleId="Tekstmakra">
    <w:name w:val="macro"/>
    <w:link w:val="TekstmakraZnak"/>
    <w:uiPriority w:val="98"/>
    <w:semiHidden/>
    <w:rsid w:val="00C44F0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C44F09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C44F09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C44F09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C44F09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C44F0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C44F09"/>
    <w:rPr>
      <w:rFonts w:asciiTheme="majorHAnsi" w:eastAsiaTheme="majorEastAsia" w:hAnsiTheme="majorHAnsi" w:cstheme="majorBidi"/>
      <w:sz w:val="24"/>
      <w:szCs w:val="24"/>
      <w:shd w:val="pct20" w:color="auto" w:fill="auto"/>
      <w:lang w:val="pl-PL"/>
    </w:rPr>
  </w:style>
  <w:style w:type="paragraph" w:styleId="NormalnyWeb">
    <w:name w:val="Normal (Web)"/>
    <w:basedOn w:val="Normalny"/>
    <w:uiPriority w:val="98"/>
    <w:semiHidden/>
    <w:rsid w:val="00C44F09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C44F09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C44F09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C44F09"/>
    <w:rPr>
      <w:sz w:val="24"/>
      <w:szCs w:val="24"/>
      <w:lang w:val="pl-PL"/>
    </w:rPr>
  </w:style>
  <w:style w:type="character" w:styleId="Tekstzastpczy">
    <w:name w:val="Placeholder Text"/>
    <w:basedOn w:val="Domylnaczcionkaakapitu"/>
    <w:uiPriority w:val="98"/>
    <w:semiHidden/>
    <w:rsid w:val="00C44F09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C44F09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C44F09"/>
    <w:rPr>
      <w:rFonts w:ascii="Consolas" w:hAnsi="Consolas" w:cs="Consolas"/>
      <w:sz w:val="21"/>
      <w:szCs w:val="21"/>
      <w:lang w:val="pl-PL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C44F09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C44F09"/>
    <w:rPr>
      <w:sz w:val="24"/>
      <w:szCs w:val="24"/>
      <w:lang w:val="pl-PL"/>
    </w:rPr>
  </w:style>
  <w:style w:type="paragraph" w:styleId="Podpis">
    <w:name w:val="Signature"/>
    <w:basedOn w:val="Normalny"/>
    <w:link w:val="PodpisZnak"/>
    <w:uiPriority w:val="98"/>
    <w:semiHidden/>
    <w:rsid w:val="00C44F09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C44F09"/>
    <w:rPr>
      <w:sz w:val="24"/>
      <w:szCs w:val="24"/>
      <w:lang w:val="pl-PL"/>
    </w:rPr>
  </w:style>
  <w:style w:type="table" w:styleId="Tabela-Efekty3W1">
    <w:name w:val="Table 3D effects 1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C44F09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C44F09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C44F09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C44F09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C44F09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C44F09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C44F09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C44F09"/>
  </w:style>
  <w:style w:type="table" w:styleId="Tabela-Profesjonalny">
    <w:name w:val="Table Professional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C44F09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C44F09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C44F09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C44F09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C44F09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C44F09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C44F09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C44F09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C44F09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C44F09"/>
    <w:pPr>
      <w:numPr>
        <w:numId w:val="5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C44F09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C44F09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C44F09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C44F09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C44F09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C44F09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C44F09"/>
    <w:rPr>
      <w:rFonts w:ascii="Arial" w:hAnsi="Arial"/>
      <w:i/>
      <w:color w:val="002856"/>
      <w:sz w:val="32"/>
      <w:szCs w:val="24"/>
      <w:lang w:val="pl-PL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C44F09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C44F09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C44F09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AF0925"/>
    <w:pPr>
      <w:keepNext/>
      <w:keepLines/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C44F09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C44F09"/>
    <w:pPr>
      <w:numPr>
        <w:numId w:val="7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C44F09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C44F09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C44F09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C44F09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C44F09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C44F09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C44F09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C44F09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C44F09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C44F09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C44F09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C44F0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C44F0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C44F09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C44F09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C44F09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C44F09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C44F09"/>
    <w:rPr>
      <w:sz w:val="4"/>
    </w:rPr>
  </w:style>
  <w:style w:type="table" w:customStyle="1" w:styleId="ECHRTableGrey">
    <w:name w:val="ECHR_Table_Grey"/>
    <w:basedOn w:val="Standardowy"/>
    <w:uiPriority w:val="99"/>
    <w:rsid w:val="00C44F09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JuParaChar">
    <w:name w:val="Ju_Para Char"/>
    <w:aliases w:val="_Para Char"/>
    <w:link w:val="JuPara"/>
    <w:uiPriority w:val="4"/>
    <w:rsid w:val="00C706B0"/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2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5C26B-0287-451E-8C32-30120F9CB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2955</Words>
  <Characters>17734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2021-07-07T12:20:00Z</dcterms:created>
  <dcterms:modified xsi:type="dcterms:W3CDTF">2021-07-07T13:14:00Z</dcterms:modified>
  <cp:category/>
</cp:coreProperties>
</file>