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F0396" w:rsidR="00C706B0" w:rsidP="00AF0396" w:rsidRDefault="00C706B0">
      <w:pPr>
        <w:jc w:val="center"/>
        <w:rPr>
          <w:rFonts w:ascii="Times New Roman" w:hAnsi="Times New Roman" w:cs="Times New Roman"/>
        </w:rPr>
      </w:pPr>
      <w:bookmarkStart w:name="_GoBack" w:id="0"/>
      <w:bookmarkEnd w:id="0"/>
    </w:p>
    <w:p w:rsidRPr="00AF0396" w:rsidR="0098410D" w:rsidP="00AF0396" w:rsidRDefault="0098410D">
      <w:pPr>
        <w:jc w:val="center"/>
      </w:pPr>
    </w:p>
    <w:p w:rsidRPr="00AF0396" w:rsidR="0098410D" w:rsidP="00AF0396" w:rsidRDefault="00C706B0">
      <w:pPr>
        <w:pStyle w:val="DecHCase"/>
      </w:pPr>
      <w:r w:rsidRPr="00AF0396">
        <w:t>FIRST SECTION</w:t>
      </w:r>
    </w:p>
    <w:p w:rsidRPr="00AF0396" w:rsidR="008E6217" w:rsidP="00AF0396" w:rsidRDefault="008E6217">
      <w:pPr>
        <w:pStyle w:val="JuTitle"/>
      </w:pPr>
      <w:bookmarkStart w:name="To" w:id="1"/>
      <w:r w:rsidRPr="00AF0396">
        <w:rPr>
          <w:color w:val="000000" w:themeColor="text1"/>
        </w:rPr>
        <w:t xml:space="preserve">CASE OF </w:t>
      </w:r>
      <w:bookmarkEnd w:id="1"/>
      <w:r w:rsidRPr="00AF0396" w:rsidR="00C706B0">
        <w:t>SŁAWIŃSKI v. POLAND</w:t>
      </w:r>
    </w:p>
    <w:p w:rsidRPr="00AF0396" w:rsidR="00D74888" w:rsidP="00AF0396" w:rsidRDefault="008E6217">
      <w:pPr>
        <w:pStyle w:val="ECHRCoverTitle4"/>
      </w:pPr>
      <w:r w:rsidRPr="00AF0396">
        <w:t>(</w:t>
      </w:r>
      <w:r w:rsidRPr="00AF0396" w:rsidR="00C706B0">
        <w:t>Application no.</w:t>
      </w:r>
      <w:r w:rsidRPr="00AF0396">
        <w:t xml:space="preserve"> </w:t>
      </w:r>
      <w:r w:rsidRPr="00AF0396" w:rsidR="00C706B0">
        <w:t>61039/16</w:t>
      </w:r>
      <w:r w:rsidRPr="00AF0396">
        <w:t>)</w:t>
      </w:r>
    </w:p>
    <w:p w:rsidRPr="00AF0396" w:rsidR="0098410D" w:rsidP="00AF0396" w:rsidRDefault="0098410D">
      <w:pPr>
        <w:pStyle w:val="DecHCase"/>
      </w:pPr>
    </w:p>
    <w:p w:rsidRPr="00AF0396" w:rsidR="0098410D" w:rsidP="00AF0396" w:rsidRDefault="0098410D">
      <w:pPr>
        <w:pStyle w:val="DecHCase"/>
      </w:pPr>
    </w:p>
    <w:p w:rsidRPr="00AF0396" w:rsidR="00AC4CD4" w:rsidP="00AF0396" w:rsidRDefault="00AC4CD4">
      <w:pPr>
        <w:pStyle w:val="DecHCase"/>
      </w:pPr>
    </w:p>
    <w:p w:rsidRPr="00AF0396" w:rsidR="0098410D" w:rsidP="00AF0396" w:rsidRDefault="0098410D">
      <w:pPr>
        <w:pStyle w:val="DecHCase"/>
      </w:pPr>
    </w:p>
    <w:p w:rsidRPr="00AF0396" w:rsidR="00AF0396" w:rsidP="00AF0396" w:rsidRDefault="00AF0396">
      <w:pPr>
        <w:pStyle w:val="DecHCase"/>
      </w:pPr>
    </w:p>
    <w:p w:rsidRPr="00AF0396" w:rsidR="00AF0396" w:rsidP="00AF0396" w:rsidRDefault="00AF0396">
      <w:pPr>
        <w:pStyle w:val="DecHCase"/>
      </w:pPr>
    </w:p>
    <w:p w:rsidRPr="00AF0396" w:rsidR="0098410D" w:rsidP="00AF0396" w:rsidRDefault="0098410D">
      <w:pPr>
        <w:pStyle w:val="DecHCase"/>
      </w:pPr>
      <w:r w:rsidRPr="00AF0396">
        <w:t>JUDGMENT</w:t>
      </w:r>
      <w:r w:rsidRPr="00AF0396" w:rsidR="00AC4CD4">
        <w:br/>
      </w:r>
    </w:p>
    <w:p w:rsidRPr="00AF0396" w:rsidR="0098410D" w:rsidP="00AF0396" w:rsidRDefault="0098410D">
      <w:pPr>
        <w:pStyle w:val="DecHCase"/>
      </w:pPr>
      <w:r w:rsidRPr="00AF0396">
        <w:t>STRASBOURG</w:t>
      </w:r>
    </w:p>
    <w:p w:rsidRPr="00AF0396" w:rsidR="0098410D" w:rsidP="00AF0396" w:rsidRDefault="00C706B0">
      <w:pPr>
        <w:pStyle w:val="DecHCase"/>
      </w:pPr>
      <w:r w:rsidRPr="00AF0396">
        <w:rPr>
          <w:rFonts w:ascii="Times New Roman" w:hAnsi="Times New Roman" w:cs="Times New Roman"/>
        </w:rPr>
        <w:t>15 April 2021</w:t>
      </w:r>
    </w:p>
    <w:p w:rsidRPr="00AF0396" w:rsidR="00AC4CD4" w:rsidP="00AF0396" w:rsidRDefault="00AC4CD4">
      <w:pPr>
        <w:pStyle w:val="JuPara"/>
      </w:pPr>
    </w:p>
    <w:p w:rsidRPr="00AF0396" w:rsidR="002422B6" w:rsidP="00AF0396" w:rsidRDefault="0098410D">
      <w:pPr>
        <w:jc w:val="center"/>
        <w:rPr>
          <w:i/>
          <w:sz w:val="22"/>
        </w:rPr>
      </w:pPr>
      <w:r w:rsidRPr="00AF0396">
        <w:rPr>
          <w:i/>
          <w:sz w:val="22"/>
        </w:rPr>
        <w:t xml:space="preserve">This judgment </w:t>
      </w:r>
      <w:r w:rsidRPr="00AF0396" w:rsidR="00C706B0">
        <w:rPr>
          <w:i/>
          <w:sz w:val="22"/>
        </w:rPr>
        <w:t>is final but it</w:t>
      </w:r>
      <w:r w:rsidRPr="00AF0396">
        <w:rPr>
          <w:i/>
          <w:sz w:val="22"/>
        </w:rPr>
        <w:t xml:space="preserve"> may be subject to editorial revision.</w:t>
      </w:r>
    </w:p>
    <w:p w:rsidRPr="00AF0396" w:rsidR="0098410D" w:rsidP="00AF0396" w:rsidRDefault="0098410D">
      <w:pPr>
        <w:sectPr w:rsidRPr="00AF0396"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F0396" w:rsidR="0098410D" w:rsidP="00AF0396" w:rsidRDefault="0098410D">
      <w:pPr>
        <w:pStyle w:val="JuCase"/>
      </w:pPr>
      <w:r w:rsidRPr="00AF0396">
        <w:t xml:space="preserve">In the case of </w:t>
      </w:r>
      <w:r w:rsidRPr="00AF0396" w:rsidR="00C706B0">
        <w:t>Sławiński v. Poland</w:t>
      </w:r>
      <w:r w:rsidRPr="00AF0396">
        <w:t>,</w:t>
      </w:r>
    </w:p>
    <w:p w:rsidRPr="00AF0396" w:rsidR="009F4C8F" w:rsidP="00AF0396" w:rsidRDefault="009F4C8F">
      <w:pPr>
        <w:pStyle w:val="JuPara"/>
      </w:pPr>
      <w:r w:rsidRPr="00AF0396">
        <w:t>The European Court of Human Rights (</w:t>
      </w:r>
      <w:r w:rsidRPr="00AF0396" w:rsidR="00C706B0">
        <w:t>First Section</w:t>
      </w:r>
      <w:r w:rsidRPr="00AF0396">
        <w:t xml:space="preserve">), sitting as a </w:t>
      </w:r>
      <w:r w:rsidRPr="00AF0396" w:rsidR="00C706B0">
        <w:t>Committee</w:t>
      </w:r>
      <w:r w:rsidRPr="00AF0396">
        <w:t xml:space="preserve"> composed of:</w:t>
      </w:r>
    </w:p>
    <w:p w:rsidRPr="00AF0396" w:rsidR="009F4C8F" w:rsidP="00AF0396" w:rsidRDefault="000B3659">
      <w:pPr>
        <w:pStyle w:val="JuJudges"/>
      </w:pPr>
      <w:r w:rsidRPr="00AF0396">
        <w:tab/>
        <w:t>Krzysztof Wojtyczek,</w:t>
      </w:r>
      <w:r w:rsidRPr="00AF0396">
        <w:rPr>
          <w:i/>
        </w:rPr>
        <w:t xml:space="preserve"> President,</w:t>
      </w:r>
      <w:r w:rsidRPr="00AF0396">
        <w:rPr>
          <w:i/>
        </w:rPr>
        <w:br/>
      </w:r>
      <w:r w:rsidRPr="00AF0396">
        <w:tab/>
        <w:t>Erik Wennerström,</w:t>
      </w:r>
      <w:r w:rsidRPr="00AF0396">
        <w:rPr>
          <w:i/>
        </w:rPr>
        <w:br/>
      </w:r>
      <w:r w:rsidRPr="00AF0396">
        <w:tab/>
        <w:t>Ioannis Ktistakis,</w:t>
      </w:r>
      <w:r w:rsidRPr="00AF0396">
        <w:rPr>
          <w:i/>
        </w:rPr>
        <w:t xml:space="preserve"> judges,</w:t>
      </w:r>
      <w:r w:rsidRPr="00AF0396">
        <w:rPr>
          <w:i/>
        </w:rPr>
        <w:br/>
      </w:r>
      <w:r w:rsidRPr="00AF0396" w:rsidR="009F4C8F">
        <w:t xml:space="preserve">and </w:t>
      </w:r>
      <w:r w:rsidRPr="00AF0396" w:rsidR="00C706B0">
        <w:t>Liv Tigerstedt</w:t>
      </w:r>
      <w:r w:rsidRPr="00AF0396" w:rsidR="009F4C8F">
        <w:t xml:space="preserve">, </w:t>
      </w:r>
      <w:r w:rsidRPr="00AF0396" w:rsidR="00C706B0">
        <w:rPr>
          <w:i/>
        </w:rPr>
        <w:t xml:space="preserve">Deputy </w:t>
      </w:r>
      <w:r w:rsidRPr="00AF0396">
        <w:rPr>
          <w:i/>
        </w:rPr>
        <w:t>S</w:t>
      </w:r>
      <w:r w:rsidRPr="00AF0396" w:rsidR="00C706B0">
        <w:rPr>
          <w:i/>
        </w:rPr>
        <w:t xml:space="preserve">ection </w:t>
      </w:r>
      <w:r w:rsidRPr="00AF0396" w:rsidR="00C706B0">
        <w:rPr>
          <w:i/>
          <w:iCs/>
        </w:rPr>
        <w:t>Registrar</w:t>
      </w:r>
      <w:r w:rsidRPr="00AF0396" w:rsidR="009F4C8F">
        <w:rPr>
          <w:i/>
        </w:rPr>
        <w:t>,</w:t>
      </w:r>
    </w:p>
    <w:p w:rsidRPr="00AF0396" w:rsidR="00C706B0" w:rsidP="00AF0396" w:rsidRDefault="00C706B0">
      <w:pPr>
        <w:pStyle w:val="JuPara"/>
      </w:pPr>
      <w:bookmarkStart w:name="ITMARKHavingStart" w:id="2"/>
      <w:bookmarkEnd w:id="2"/>
      <w:r w:rsidRPr="00AF0396">
        <w:t>Having regard to:</w:t>
      </w:r>
    </w:p>
    <w:p w:rsidRPr="00AF0396" w:rsidR="00C706B0" w:rsidP="00AF0396" w:rsidRDefault="00C706B0">
      <w:pPr>
        <w:pStyle w:val="JuPara"/>
      </w:pPr>
      <w:r w:rsidRPr="00AF0396">
        <w:t>the application (no. 61039/16) against the Republic of Poland lodged with the Court under Article 34 of the Convention for the Protection of Human Rights and Fundamental Freedoms (“the Convention”) by a Polish national, Mr Mariusz Grzegorz Sławiński (“the applicant”), on 11 October 2016;</w:t>
      </w:r>
    </w:p>
    <w:p w:rsidRPr="00AF0396" w:rsidR="00C706B0" w:rsidP="00AF0396" w:rsidRDefault="00C706B0">
      <w:pPr>
        <w:pStyle w:val="JuPara"/>
      </w:pPr>
      <w:r w:rsidRPr="00AF0396">
        <w:t>the decision to give notice to the Polish Government (“the Government”) of the complaints concerning the unreasonable length of the criminal proceedings and right to an effective remedy;</w:t>
      </w:r>
    </w:p>
    <w:p w:rsidRPr="00AF0396" w:rsidR="00C706B0" w:rsidP="00AF0396" w:rsidRDefault="00C706B0">
      <w:pPr>
        <w:pStyle w:val="JuPara"/>
      </w:pPr>
      <w:r w:rsidRPr="00AF0396">
        <w:t>the parties</w:t>
      </w:r>
      <w:r w:rsidRPr="00AF0396" w:rsidR="00AF0396">
        <w:t>’</w:t>
      </w:r>
      <w:r w:rsidRPr="00AF0396">
        <w:t xml:space="preserve"> observations;</w:t>
      </w:r>
    </w:p>
    <w:p w:rsidRPr="00AF0396" w:rsidR="009F4C8F" w:rsidP="00AF0396" w:rsidRDefault="009F4C8F">
      <w:pPr>
        <w:pStyle w:val="JuPara"/>
      </w:pPr>
      <w:r w:rsidRPr="00AF0396">
        <w:t xml:space="preserve">Having deliberated in private on </w:t>
      </w:r>
      <w:r w:rsidRPr="00AF0396" w:rsidR="00C706B0">
        <w:t>16 March 2021</w:t>
      </w:r>
      <w:r w:rsidRPr="00AF0396">
        <w:t>,</w:t>
      </w:r>
    </w:p>
    <w:p w:rsidRPr="00AF0396" w:rsidR="009F4C8F" w:rsidP="00AF0396" w:rsidRDefault="009F4C8F">
      <w:pPr>
        <w:pStyle w:val="JuPara"/>
      </w:pPr>
      <w:r w:rsidRPr="00AF0396">
        <w:t>Delivers the following judgment, which was adopted on that date:</w:t>
      </w:r>
    </w:p>
    <w:p w:rsidRPr="00AF0396" w:rsidR="00C706B0" w:rsidP="00AF0396" w:rsidRDefault="00C706B0">
      <w:pPr>
        <w:pStyle w:val="JuHHead"/>
        <w:numPr>
          <w:ilvl w:val="0"/>
          <w:numId w:val="0"/>
        </w:numPr>
      </w:pPr>
      <w:r w:rsidRPr="00AF0396">
        <w:t>INTRODUCTION</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w:t>
      </w:r>
      <w:r w:rsidRPr="00AF0396">
        <w:fldChar w:fldCharType="end"/>
      </w:r>
      <w:r w:rsidRPr="00AF0396">
        <w:t>.  The case concerns the unreasonable length of the criminal proceedings against the applicant and lack of an effective remedy to complain thereof.</w:t>
      </w:r>
    </w:p>
    <w:p w:rsidRPr="00AF0396" w:rsidR="00C706B0" w:rsidP="00AF0396" w:rsidRDefault="00C706B0">
      <w:pPr>
        <w:pStyle w:val="JuHHead"/>
      </w:pPr>
      <w:r w:rsidRPr="00AF0396">
        <w:t>THE FACTS</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w:t>
      </w:r>
      <w:r w:rsidRPr="00AF0396">
        <w:fldChar w:fldCharType="end"/>
      </w:r>
      <w:r w:rsidRPr="00AF0396">
        <w:t>.  The applicant was born in 1958 and lives in Gniewkowo.</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w:t>
      </w:r>
      <w:r w:rsidRPr="00AF0396">
        <w:fldChar w:fldCharType="end"/>
      </w:r>
      <w:r w:rsidRPr="00AF0396">
        <w:t>.  The Polish Government (“the Government”) were represented by their Agent, Ms J. Chrzanowska and subsequently by Mr J. Sobczak, of the Ministry of Foreign Affairs.</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w:t>
      </w:r>
      <w:r w:rsidRPr="00AF0396">
        <w:fldChar w:fldCharType="end"/>
      </w:r>
      <w:r w:rsidRPr="00AF0396">
        <w:t>.  The facts of the case, as submitted by the parties, may be summarised as follows.</w:t>
      </w:r>
    </w:p>
    <w:p w:rsidRPr="00AF0396" w:rsidR="00C706B0" w:rsidP="00AF0396" w:rsidRDefault="00C706B0">
      <w:pPr>
        <w:pStyle w:val="JuHIRoman"/>
      </w:pPr>
      <w:r w:rsidRPr="00AF0396">
        <w:t>Criminal proceedings</w:t>
      </w:r>
    </w:p>
    <w:bookmarkStart w:name="charged" w:id="3"/>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5</w:t>
      </w:r>
      <w:r w:rsidRPr="00AF0396">
        <w:fldChar w:fldCharType="end"/>
      </w:r>
      <w:bookmarkEnd w:id="3"/>
      <w:r w:rsidRPr="00AF0396">
        <w:t>.  In 2001 the Toruń District Prosecutor started an investigation into allegedly fraudulent activity of the applicant</w:t>
      </w:r>
      <w:r w:rsidRPr="00AF0396" w:rsidR="00AF0396">
        <w:t>’</w:t>
      </w:r>
      <w:r w:rsidRPr="00AF0396">
        <w:t>s company dealing with vindication of debts. The applicant and his business partner allegedly failed to transmit to a bank several hundreds of monthly instalment payments which they had received from individuals who had contracted consumption loans. On 26 February 2002 the applicant was charged with fraud and the prosecutor decided to place him under police supervision.</w:t>
      </w:r>
    </w:p>
    <w:bookmarkStart w:name="indictment" w:id="4"/>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6</w:t>
      </w:r>
      <w:r w:rsidRPr="00AF0396">
        <w:fldChar w:fldCharType="end"/>
      </w:r>
      <w:bookmarkEnd w:id="4"/>
      <w:r w:rsidRPr="00AF0396">
        <w:t>.  On 24 June 2002 the applicant and one co-accused were indicted before the Toruń District Court.</w:t>
      </w:r>
    </w:p>
    <w:bookmarkStart w:name="trial" w:id="5"/>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7</w:t>
      </w:r>
      <w:r w:rsidRPr="00AF0396">
        <w:fldChar w:fldCharType="end"/>
      </w:r>
      <w:bookmarkEnd w:id="5"/>
      <w:r w:rsidRPr="00AF0396">
        <w:t>.  The trial court held the first hearing on 4 December 2003. Afterwards, the court held hearings at regular intervals; in total about 100 hearings took place. By 7 March 2006 the Toruń District Court had heard over 300 witnesses listed in the bill of indictment.</w:t>
      </w:r>
    </w:p>
    <w:bookmarkStart w:name="firstjudmgnet" w:id="6"/>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8</w:t>
      </w:r>
      <w:r w:rsidRPr="00AF0396">
        <w:fldChar w:fldCharType="end"/>
      </w:r>
      <w:bookmarkEnd w:id="6"/>
      <w:r w:rsidRPr="00AF0396">
        <w:t>.  On 30 October 2013 the Toruń District Court gave judgment. The applicant was found guilty of having defrauded payments he had received from over 300 persons. He was sentenced to one year and eight months</w:t>
      </w:r>
      <w:r w:rsidRPr="00AF0396" w:rsidR="00AF0396">
        <w:t>’</w:t>
      </w:r>
      <w:r w:rsidRPr="00AF0396">
        <w:t xml:space="preserve"> imprisonment, suspended on probation, and a fine. The applicant was served with the written reasons for the judgment on 23 April 2013; on 7 May 2013 he lodged an appeal.</w:t>
      </w:r>
    </w:p>
    <w:bookmarkStart w:name="appealtejud" w:id="7"/>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9</w:t>
      </w:r>
      <w:r w:rsidRPr="00AF0396">
        <w:fldChar w:fldCharType="end"/>
      </w:r>
      <w:bookmarkEnd w:id="7"/>
      <w:r w:rsidRPr="00AF0396">
        <w:t>.  On 23 October 2014 the Toruń Regional Court quashed the judgment and remitted the case.</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10</w:t>
      </w:r>
      <w:r w:rsidRPr="00AF0396">
        <w:fldChar w:fldCharType="end"/>
      </w:r>
      <w:r w:rsidRPr="00AF0396">
        <w:t>.  Between 9 April and 16 June 2015 the trial court held four hearings. On 22 June 2015 the Toruń District Court gave judgment in which it acquitted the applicant of some charges and convicted him of fraud in a more limited scope. The applicant was sentenced to one year</w:t>
      </w:r>
      <w:r w:rsidRPr="00AF0396" w:rsidR="00AF0396">
        <w:t>’</w:t>
      </w:r>
      <w:r w:rsidRPr="00AF0396">
        <w:t>s imprisonment, suspended on probation, and a fine. The applicant appealed.</w:t>
      </w:r>
    </w:p>
    <w:bookmarkStart w:name="finaljud" w:id="8"/>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11</w:t>
      </w:r>
      <w:r w:rsidRPr="00AF0396">
        <w:fldChar w:fldCharType="end"/>
      </w:r>
      <w:bookmarkEnd w:id="8"/>
      <w:r w:rsidRPr="00AF0396">
        <w:t>.  On 17 March 2016 the Toruń Regional Court gave judgment. It quashed the Toruń District Court</w:t>
      </w:r>
      <w:r w:rsidRPr="00AF0396" w:rsidR="00AF0396">
        <w:t>’</w:t>
      </w:r>
      <w:r w:rsidRPr="00AF0396">
        <w:t>s judgment in the part concerning the applicant</w:t>
      </w:r>
      <w:r w:rsidRPr="00AF0396" w:rsidR="00AF0396">
        <w:t>’</w:t>
      </w:r>
      <w:r w:rsidRPr="00AF0396">
        <w:t>s conviction, and discontinued the proceedings as the offences for which he had been convicted had become time-barred. The court gave the judgment at a hearing and the applicant and his lawyer were present. According to the minutes of the hearing the court informed the parties that the written reasons for the judgment would be prepared within fourteen days. The presiding judge set out the main grounds for the ruling orally. The parties were informed that the judgment was final and about the conditions for lodging a cassation appeal.</w:t>
      </w:r>
    </w:p>
    <w:bookmarkStart w:name="servingcopyofjud" w:id="9"/>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12</w:t>
      </w:r>
      <w:r w:rsidRPr="00AF0396">
        <w:fldChar w:fldCharType="end"/>
      </w:r>
      <w:bookmarkEnd w:id="9"/>
      <w:r w:rsidRPr="00AF0396">
        <w:t>.  On 12 April 2016 the applicant was served with the written grounds for the judgment of the Toruń Regional Court, containing a detailed summary of the facts of the case as established by the court and the court</w:t>
      </w:r>
      <w:r w:rsidRPr="00AF0396" w:rsidR="00AF0396">
        <w:t>’</w:t>
      </w:r>
      <w:r w:rsidRPr="00AF0396">
        <w:t>s reasoning as to the law.</w:t>
      </w:r>
    </w:p>
    <w:p w:rsidRPr="00AF0396" w:rsidR="00C706B0" w:rsidP="00AF0396" w:rsidRDefault="00C706B0">
      <w:pPr>
        <w:pStyle w:val="JuHIRoman"/>
      </w:pPr>
      <w:r w:rsidRPr="00AF0396">
        <w:t>Proceedings under the 2004 Act</w:t>
      </w:r>
    </w:p>
    <w:p w:rsidRPr="00AF0396" w:rsidR="00C706B0" w:rsidP="00AF0396" w:rsidRDefault="00C706B0">
      <w:pPr>
        <w:pStyle w:val="JuPara"/>
        <w:rPr>
          <w:iCs/>
        </w:rPr>
      </w:pPr>
      <w:r w:rsidRPr="00AF0396">
        <w:fldChar w:fldCharType="begin"/>
      </w:r>
      <w:r w:rsidRPr="00AF0396">
        <w:instrText xml:space="preserve"> SEQ level0 \*arabic </w:instrText>
      </w:r>
      <w:r w:rsidRPr="00AF0396">
        <w:fldChar w:fldCharType="separate"/>
      </w:r>
      <w:r w:rsidRPr="00AF0396" w:rsidR="00AF0396">
        <w:rPr>
          <w:noProof/>
        </w:rPr>
        <w:t>13</w:t>
      </w:r>
      <w:r w:rsidRPr="00AF0396">
        <w:fldChar w:fldCharType="end"/>
      </w:r>
      <w:r w:rsidRPr="00AF0396">
        <w:t>.  On 6 July 2015 the applicant lodged a complaint under the Law of 17 June 2004 about the breach of the right to have a case examined in an investigation conducted or supervised by a prosecutor and in judicial proceedings without undue delay (</w:t>
      </w:r>
      <w:r w:rsidRPr="00AF0396">
        <w:rPr>
          <w:i/>
          <w:iCs/>
        </w:rPr>
        <w:t xml:space="preserve">ustawa o skardze na naruszenie prawa strony do rozpoznania sprawy w postępowaniu przygotowawczym prowadzonym lub nadzorowanym przez prokuratora i postępowaniu sądowym bez nieuzasadnionej zwłoki - </w:t>
      </w:r>
      <w:r w:rsidRPr="00AF0396">
        <w:rPr>
          <w:iCs/>
        </w:rPr>
        <w:t>“the 2004 Act”).</w:t>
      </w:r>
    </w:p>
    <w:bookmarkStart w:name="kudladecision" w:id="10"/>
    <w:p w:rsidRPr="00AF0396" w:rsidR="00C706B0" w:rsidP="00AF0396" w:rsidRDefault="00C706B0">
      <w:pPr>
        <w:pStyle w:val="JuPara"/>
        <w:rPr>
          <w:iCs/>
        </w:rPr>
      </w:pPr>
      <w:r w:rsidRPr="00AF0396">
        <w:rPr>
          <w:iCs/>
        </w:rPr>
        <w:fldChar w:fldCharType="begin"/>
      </w:r>
      <w:r w:rsidRPr="00AF0396">
        <w:rPr>
          <w:iCs/>
        </w:rPr>
        <w:instrText xml:space="preserve"> SEQ level0 \*arabic </w:instrText>
      </w:r>
      <w:r w:rsidRPr="00AF0396">
        <w:rPr>
          <w:iCs/>
        </w:rPr>
        <w:fldChar w:fldCharType="separate"/>
      </w:r>
      <w:r w:rsidRPr="00AF0396" w:rsidR="00AF0396">
        <w:rPr>
          <w:iCs/>
          <w:noProof/>
        </w:rPr>
        <w:t>14</w:t>
      </w:r>
      <w:r w:rsidRPr="00AF0396">
        <w:fldChar w:fldCharType="end"/>
      </w:r>
      <w:bookmarkEnd w:id="10"/>
      <w:r w:rsidRPr="00AF0396">
        <w:rPr>
          <w:iCs/>
        </w:rPr>
        <w:t>.  On</w:t>
      </w:r>
      <w:r w:rsidRPr="00AF0396">
        <w:t xml:space="preserve"> 20 August 2015 the Toruń Regional Court partly allowed his complaint and </w:t>
      </w:r>
      <w:r w:rsidRPr="00AF0396">
        <w:rPr>
          <w:iCs/>
        </w:rPr>
        <w:t xml:space="preserve">considered that the length of the proceedings had been excessive. It awarded the applicant 2,000 Polish zlotys (PLN) in compensation (approximately 475 euros (EUR) at the material time). The court noted that the first hearing had been scheduled almost eighteen months after the bill of indictment had been lodged with the trial court. Afterwards, the court held many hearings but all meaningful evidence had been gathered by 7 March 2006. Thus during the following seven and a half years the court had only heard four witnesses and had requested some evidence from a bank. That had amounted to a flagrant lack of procedural efficiency. The trial court should also have been more active in securing the attendance of the applicant and his lawyer at the hearings as they had contributed to some delays. Moreover, it had taken the trial court an excessively long period of time to prepare the written reasons for the judgment of </w:t>
      </w:r>
      <w:r w:rsidRPr="00AF0396">
        <w:t>30 October</w:t>
      </w:r>
      <w:r w:rsidRPr="00AF0396">
        <w:rPr>
          <w:iCs/>
        </w:rPr>
        <w:t xml:space="preserve"> 2013. The Toruń Regional Court examined further stages of the proceedings after the case had been remitted for reconsideration and considered that there had been no more delays attributable to the courts.</w:t>
      </w:r>
    </w:p>
    <w:p w:rsidRPr="00AF0396" w:rsidR="00C706B0" w:rsidP="00AF0396" w:rsidRDefault="00C706B0">
      <w:pPr>
        <w:pStyle w:val="JuHHead"/>
      </w:pPr>
      <w:r w:rsidRPr="00AF0396">
        <w:t>RELEVANT LEGAL FRAMEWORK</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15</w:t>
      </w:r>
      <w:r w:rsidRPr="00AF0396">
        <w:fldChar w:fldCharType="end"/>
      </w:r>
      <w:r w:rsidRPr="00AF0396">
        <w:t>.  A detailed description of the relevant domestic law and practice concerning remedies for excessive length of judicial proceedings – in particular the applicable provisions of the 2004 Act – are presented in the Court</w:t>
      </w:r>
      <w:r w:rsidRPr="00AF0396" w:rsidR="00AF0396">
        <w:t>’</w:t>
      </w:r>
      <w:r w:rsidRPr="00AF0396">
        <w:t xml:space="preserve">s decisions in the cases of </w:t>
      </w:r>
      <w:r w:rsidRPr="00AF0396">
        <w:rPr>
          <w:i/>
        </w:rPr>
        <w:t>Charzyński v. Poland</w:t>
      </w:r>
      <w:r w:rsidRPr="00AF0396">
        <w:t xml:space="preserve"> ((dec.), no. 15212/03, §§ 12-23, ECHR 2005-V), and </w:t>
      </w:r>
      <w:r w:rsidRPr="00AF0396">
        <w:rPr>
          <w:i/>
        </w:rPr>
        <w:t>Ratajczyk v. Poland</w:t>
      </w:r>
      <w:r w:rsidRPr="00AF0396">
        <w:t xml:space="preserve"> ((dec.), no. 11215/02, ECHR 2005-VIII), and in its judgments in the cases of </w:t>
      </w:r>
      <w:r w:rsidRPr="00AF0396">
        <w:rPr>
          <w:i/>
        </w:rPr>
        <w:t>Krasuski v. Poland</w:t>
      </w:r>
      <w:r w:rsidRPr="00AF0396">
        <w:t xml:space="preserve"> (no. 61444/00, §§ 34-46, ECHR 2005-V) and, most recently, </w:t>
      </w:r>
      <w:r w:rsidRPr="00AF0396">
        <w:rPr>
          <w:i/>
        </w:rPr>
        <w:t>Rutkowski and Others v. Poland</w:t>
      </w:r>
      <w:r w:rsidRPr="00AF0396">
        <w:t xml:space="preserve"> (nos. 72287/10, 13927/11 and</w:t>
      </w:r>
      <w:r w:rsidRPr="00AF0396" w:rsidR="00AF0396">
        <w:t> </w:t>
      </w:r>
      <w:r w:rsidRPr="00AF0396">
        <w:t>46187/11, §§ 75-107, 7 July 2015).</w:t>
      </w:r>
    </w:p>
    <w:bookmarkStart w:name="lawdomest" w:id="11"/>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16</w:t>
      </w:r>
      <w:r w:rsidRPr="00AF0396">
        <w:fldChar w:fldCharType="end"/>
      </w:r>
      <w:bookmarkEnd w:id="11"/>
      <w:r w:rsidRPr="00AF0396">
        <w:t>.  Article 457 § 1 of the Code of Criminal Proceedings provides that, when the second-instance court quashes the judgment and discontinues the case, the written reasons for the judgment shall be prepared automatically. The party shall nevertheless apply to be served with the reasoned judgment.</w:t>
      </w:r>
    </w:p>
    <w:p w:rsidRPr="00AF0396" w:rsidR="00C706B0" w:rsidP="00AF0396" w:rsidRDefault="00C706B0">
      <w:pPr>
        <w:pStyle w:val="JuHHead"/>
        <w:numPr>
          <w:ilvl w:val="0"/>
          <w:numId w:val="18"/>
        </w:numPr>
      </w:pPr>
      <w:r w:rsidRPr="00AF0396">
        <w:t>THE LAW</w:t>
      </w:r>
    </w:p>
    <w:p w:rsidRPr="00AF0396" w:rsidR="00C706B0" w:rsidP="00AF0396" w:rsidRDefault="00C706B0">
      <w:pPr>
        <w:pStyle w:val="JuHIRoman"/>
      </w:pPr>
      <w:r w:rsidRPr="00AF0396">
        <w:t>ALLEGED VIOLATION OF ARTICLE 6 § 1 OF THE CONVENTION</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17</w:t>
      </w:r>
      <w:r w:rsidRPr="00AF0396">
        <w:fldChar w:fldCharType="end"/>
      </w:r>
      <w:r w:rsidRPr="00AF0396">
        <w:t>.  The applicant complained that the length of the proceedings had been incompatible with the “reasonable time” requirement, laid down in Article 6 § 1 of the Convention, which reads as follows:</w:t>
      </w:r>
    </w:p>
    <w:p w:rsidRPr="00AF0396" w:rsidR="00C706B0" w:rsidP="00AF0396" w:rsidRDefault="00C706B0">
      <w:pPr>
        <w:pStyle w:val="JuQuot"/>
      </w:pPr>
      <w:r w:rsidRPr="00AF0396">
        <w:t>“In the determination of ... any criminal charge against him everyone is entitled to a ... hearing within a reasonable time by [a] ... tribunal</w:t>
      </w:r>
      <w:r w:rsidRPr="00AF0396" w:rsidR="00AF0396">
        <w:t xml:space="preserve"> </w:t>
      </w:r>
      <w:r w:rsidRPr="00AF0396">
        <w:t>...”</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18</w:t>
      </w:r>
      <w:r w:rsidRPr="00AF0396">
        <w:fldChar w:fldCharType="end"/>
      </w:r>
      <w:r w:rsidRPr="00AF0396">
        <w:t>.  The Government contested that argument.</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19</w:t>
      </w:r>
      <w:r w:rsidRPr="00AF0396">
        <w:fldChar w:fldCharType="end"/>
      </w:r>
      <w:r w:rsidRPr="00AF0396">
        <w:t xml:space="preserve">.  The period to be taken into consideration began on 26 February 2002 and ended on 17 March 2016 (see paragraphs </w:t>
      </w:r>
      <w:r w:rsidRPr="00AF0396">
        <w:fldChar w:fldCharType="begin"/>
      </w:r>
      <w:r w:rsidRPr="00AF0396">
        <w:instrText xml:space="preserve"> REF charged \h </w:instrText>
      </w:r>
      <w:r w:rsidRPr="00AF0396">
        <w:fldChar w:fldCharType="separate"/>
      </w:r>
      <w:r w:rsidRPr="00AF0396" w:rsidR="00AF0396">
        <w:rPr>
          <w:noProof/>
        </w:rPr>
        <w:t>5</w:t>
      </w:r>
      <w:r w:rsidRPr="00AF0396">
        <w:fldChar w:fldCharType="end"/>
      </w:r>
      <w:r w:rsidRPr="00AF0396">
        <w:t xml:space="preserve"> and </w:t>
      </w:r>
      <w:r w:rsidRPr="00AF0396">
        <w:fldChar w:fldCharType="begin"/>
      </w:r>
      <w:r w:rsidRPr="00AF0396">
        <w:instrText xml:space="preserve"> REF finaljud \h </w:instrText>
      </w:r>
      <w:r w:rsidRPr="00AF0396">
        <w:fldChar w:fldCharType="separate"/>
      </w:r>
      <w:r w:rsidRPr="00AF0396" w:rsidR="00AF0396">
        <w:rPr>
          <w:noProof/>
        </w:rPr>
        <w:t>11</w:t>
      </w:r>
      <w:r w:rsidRPr="00AF0396">
        <w:fldChar w:fldCharType="end"/>
      </w:r>
      <w:r w:rsidRPr="00AF0396">
        <w:t xml:space="preserve"> above). It thus lasted fourteen years and one month at two levels of jurisdiction.</w:t>
      </w:r>
    </w:p>
    <w:p w:rsidRPr="00AF0396" w:rsidR="00C706B0" w:rsidP="00AF0396" w:rsidRDefault="00C706B0">
      <w:pPr>
        <w:pStyle w:val="JuHA"/>
      </w:pPr>
      <w:r w:rsidRPr="00AF0396">
        <w:t>Admissibility</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20</w:t>
      </w:r>
      <w:r w:rsidRPr="00AF0396">
        <w:fldChar w:fldCharType="end"/>
      </w:r>
      <w:r w:rsidRPr="00AF0396">
        <w:t>.  The Government argued that the applicant had failed to submit his case to the Court within the six-month time-limit provided for by Article 35</w:t>
      </w:r>
      <w:r w:rsidRPr="00AF0396" w:rsidR="00AF0396">
        <w:t xml:space="preserve"> </w:t>
      </w:r>
      <w:r w:rsidRPr="00AF0396">
        <w:t>§ 1 of the Convention. They submitted that the applicant and his lawyer had been present at the hearing of 17 March 2016 at which the court had delivered the final judgment. The applicant was not entitled to be served with the written grounds for the judgment automatically; he had to make a request to that effect.</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21</w:t>
      </w:r>
      <w:r w:rsidRPr="00AF0396">
        <w:fldChar w:fldCharType="end"/>
      </w:r>
      <w:r w:rsidRPr="00AF0396">
        <w:t>.  The applicant in general stated that his case was admissible and that there had been a violation of the Convention.</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22</w:t>
      </w:r>
      <w:r w:rsidRPr="00AF0396">
        <w:fldChar w:fldCharType="end"/>
      </w:r>
      <w:r w:rsidRPr="00AF0396">
        <w:t xml:space="preserve">.  The purpose of the six-month rule is to promote legal certainty and to ensure that cases raising issues under the Convention are dealt with within a reasonable period of time. Furthermore, it is also meant to protect the authorities and other parties concerned from being left in a state of uncertainty for a prolonged period of time (see </w:t>
      </w:r>
      <w:r w:rsidRPr="00AF0396">
        <w:rPr>
          <w:i/>
          <w:iCs/>
        </w:rPr>
        <w:t>Sabri</w:t>
      </w:r>
      <w:r w:rsidRPr="00AF0396" w:rsidR="0055011D">
        <w:rPr>
          <w:i/>
          <w:iCs/>
        </w:rPr>
        <w:t xml:space="preserve"> </w:t>
      </w:r>
      <w:r w:rsidRPr="00AF0396">
        <w:rPr>
          <w:i/>
          <w:iCs/>
        </w:rPr>
        <w:t>Güne</w:t>
      </w:r>
      <w:r w:rsidRPr="00AF0396" w:rsidR="0055011D">
        <w:rPr>
          <w:i/>
          <w:iCs/>
        </w:rPr>
        <w:t xml:space="preserve"> </w:t>
      </w:r>
      <w:r w:rsidRPr="00AF0396">
        <w:rPr>
          <w:i/>
          <w:iCs/>
        </w:rPr>
        <w:t>v. Turkey </w:t>
      </w:r>
      <w:r w:rsidRPr="00AF0396">
        <w:t>[GC], no. 27396/06, § 39, 29</w:t>
      </w:r>
      <w:r w:rsidRPr="00AF0396" w:rsidR="0055011D">
        <w:t xml:space="preserve"> </w:t>
      </w:r>
      <w:r w:rsidRPr="00AF0396">
        <w:t>June 2012).</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23</w:t>
      </w:r>
      <w:r w:rsidRPr="00AF0396">
        <w:fldChar w:fldCharType="end"/>
      </w:r>
      <w:r w:rsidRPr="00AF0396">
        <w:t xml:space="preserve">.  The Court has held in the past that where an applicant is entitled to be served automatically with the written final domestic decision the object and purpose of Article 35 § 1 of the Convention are best served by counting the six-month period as running from the date of service of the written judgment (see </w:t>
      </w:r>
      <w:r w:rsidRPr="00AF0396">
        <w:rPr>
          <w:i/>
          <w:iCs/>
        </w:rPr>
        <w:t>Worm v. Austria</w:t>
      </w:r>
      <w:r w:rsidRPr="00AF0396">
        <w:t>, judgment of 29</w:t>
      </w:r>
      <w:r w:rsidRPr="00AF0396" w:rsidR="0055011D">
        <w:t xml:space="preserve"> </w:t>
      </w:r>
      <w:r w:rsidRPr="00AF0396">
        <w:t>August 1997,</w:t>
      </w:r>
      <w:r w:rsidRPr="00AF0396" w:rsidR="00AF0396">
        <w:t xml:space="preserve"> </w:t>
      </w:r>
      <w:r w:rsidRPr="00AF0396">
        <w:rPr>
          <w:i/>
          <w:iCs/>
        </w:rPr>
        <w:t>Reports of Judgments and Decisions</w:t>
      </w:r>
      <w:r w:rsidRPr="00AF0396" w:rsidR="0055011D">
        <w:t xml:space="preserve"> </w:t>
      </w:r>
      <w:r w:rsidRPr="00AF0396">
        <w:t>1997</w:t>
      </w:r>
      <w:r w:rsidRPr="00AF0396">
        <w:noBreakHyphen/>
        <w:t xml:space="preserve">V, p. 1547, § 33, and </w:t>
      </w:r>
      <w:r w:rsidRPr="00AF0396">
        <w:rPr>
          <w:i/>
        </w:rPr>
        <w:t>Sernawit and Others v. Poland</w:t>
      </w:r>
      <w:r w:rsidRPr="00AF0396">
        <w:t>, no. 61967/00, § 39, 6</w:t>
      </w:r>
      <w:r w:rsidRPr="00AF0396" w:rsidR="0055011D">
        <w:t xml:space="preserve"> </w:t>
      </w:r>
      <w:r w:rsidRPr="00AF0396">
        <w:t xml:space="preserve">November 2007). Where the domestic law does not provide for service, the Court considered it appropriate to take the date on which the decision was finalised as the starting-point, that being when the parties were definitely able to find out its content (see </w:t>
      </w:r>
      <w:r w:rsidRPr="00AF0396">
        <w:rPr>
          <w:i/>
          <w:iCs/>
        </w:rPr>
        <w:t>Papachel</w:t>
      </w:r>
      <w:bookmarkStart w:name="_1000001" w:id="12"/>
      <w:bookmarkStart w:name="_1000002" w:id="13"/>
      <w:bookmarkEnd w:id="12"/>
      <w:bookmarkEnd w:id="13"/>
      <w:r w:rsidRPr="00AF0396">
        <w:rPr>
          <w:i/>
          <w:iCs/>
        </w:rPr>
        <w:t>as</w:t>
      </w:r>
      <w:r w:rsidRPr="00AF0396" w:rsidR="00AF0396">
        <w:t xml:space="preserve"> </w:t>
      </w:r>
      <w:r w:rsidRPr="00AF0396">
        <w:rPr>
          <w:i/>
          <w:iCs/>
        </w:rPr>
        <w:t>v. Greece</w:t>
      </w:r>
      <w:r w:rsidRPr="00AF0396" w:rsidR="0055011D">
        <w:t xml:space="preserve"> </w:t>
      </w:r>
      <w:r w:rsidRPr="00AF0396">
        <w:t xml:space="preserve">[GC], no. 31423/96, § 30, ECHR 1999-II, and </w:t>
      </w:r>
      <w:r w:rsidRPr="00AF0396">
        <w:rPr>
          <w:i/>
          <w:iCs/>
        </w:rPr>
        <w:t>Jakelaitis v. Lithuania</w:t>
      </w:r>
      <w:r w:rsidRPr="00AF0396">
        <w:t xml:space="preserve"> (dec.), no. 17414/05, 16</w:t>
      </w:r>
      <w:r w:rsidRPr="00AF0396" w:rsidR="0055011D">
        <w:t xml:space="preserve"> </w:t>
      </w:r>
      <w:r w:rsidRPr="00AF0396">
        <w:t>December 2008).</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24</w:t>
      </w:r>
      <w:r w:rsidRPr="00AF0396">
        <w:fldChar w:fldCharType="end"/>
      </w:r>
      <w:r w:rsidRPr="00AF0396">
        <w:t xml:space="preserve">.  In the present case the court gave its final ruling on 17 March 2016 and informed the parties that it would prepare written reasons for the judgment within fourteen days (see paragraphs </w:t>
      </w:r>
      <w:r w:rsidRPr="00AF0396">
        <w:fldChar w:fldCharType="begin"/>
      </w:r>
      <w:r w:rsidRPr="00AF0396">
        <w:instrText xml:space="preserve"> REF finaljud \h </w:instrText>
      </w:r>
      <w:r w:rsidRPr="00AF0396">
        <w:fldChar w:fldCharType="separate"/>
      </w:r>
      <w:r w:rsidRPr="00AF0396" w:rsidR="00AF0396">
        <w:rPr>
          <w:noProof/>
        </w:rPr>
        <w:t>11</w:t>
      </w:r>
      <w:r w:rsidRPr="00AF0396">
        <w:fldChar w:fldCharType="end"/>
      </w:r>
      <w:r w:rsidRPr="00AF0396">
        <w:t xml:space="preserve"> and </w:t>
      </w:r>
      <w:r w:rsidRPr="00AF0396">
        <w:fldChar w:fldCharType="begin"/>
      </w:r>
      <w:r w:rsidRPr="00AF0396">
        <w:instrText xml:space="preserve"> REF lawdomest \h </w:instrText>
      </w:r>
      <w:r w:rsidRPr="00AF0396">
        <w:fldChar w:fldCharType="separate"/>
      </w:r>
      <w:r w:rsidRPr="00AF0396" w:rsidR="00AF0396">
        <w:rPr>
          <w:noProof/>
        </w:rPr>
        <w:t>16</w:t>
      </w:r>
      <w:r w:rsidRPr="00AF0396">
        <w:fldChar w:fldCharType="end"/>
      </w:r>
      <w:r w:rsidRPr="00AF0396">
        <w:t xml:space="preserve"> above). Even accepting the Government</w:t>
      </w:r>
      <w:r w:rsidRPr="00AF0396" w:rsidR="00AF0396">
        <w:t>’</w:t>
      </w:r>
      <w:r w:rsidRPr="00AF0396">
        <w:t xml:space="preserve">s submission that the applicant was not entitled to be served the written judgment automatically, he must have promptly requested the service. The applicant was served the final judgment with written reasons on 12 April 2016 (see paragraph </w:t>
      </w:r>
      <w:r w:rsidRPr="00AF0396">
        <w:fldChar w:fldCharType="begin"/>
      </w:r>
      <w:r w:rsidRPr="00AF0396">
        <w:instrText xml:space="preserve"> REF servingcopyofjud \h </w:instrText>
      </w:r>
      <w:r w:rsidRPr="00AF0396">
        <w:fldChar w:fldCharType="separate"/>
      </w:r>
      <w:r w:rsidRPr="00AF0396" w:rsidR="00AF0396">
        <w:rPr>
          <w:noProof/>
        </w:rPr>
        <w:t>12</w:t>
      </w:r>
      <w:r w:rsidRPr="00AF0396">
        <w:fldChar w:fldCharType="end"/>
      </w:r>
      <w:r w:rsidRPr="00AF0396">
        <w:t xml:space="preserve"> above).</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25</w:t>
      </w:r>
      <w:r w:rsidRPr="00AF0396">
        <w:fldChar w:fldCharType="end"/>
      </w:r>
      <w:r w:rsidRPr="00AF0396">
        <w:t>.  The Court notes that the written grounds for the judgment contained a detailed summary of the facts of the case as established by the court and the court</w:t>
      </w:r>
      <w:r w:rsidRPr="00AF0396" w:rsidR="00AF0396">
        <w:t>’</w:t>
      </w:r>
      <w:r w:rsidRPr="00AF0396">
        <w:t>s reasoning as to the law (see paragraph 12 above). Consequently</w:t>
      </w:r>
      <w:r w:rsidRPr="00AF0396" w:rsidR="0028745A">
        <w:t>,</w:t>
      </w:r>
      <w:r w:rsidRPr="00AF0396">
        <w:t xml:space="preserve"> the applicant was able to find out the full content of the judgment given in his case only after having received its reasoning in writing (see </w:t>
      </w:r>
      <w:r w:rsidRPr="00AF0396">
        <w:rPr>
          <w:i/>
        </w:rPr>
        <w:t>Piętka v. Poland</w:t>
      </w:r>
      <w:r w:rsidRPr="00AF0396">
        <w:t>, no. 34216/07, § 45, 16</w:t>
      </w:r>
      <w:r w:rsidRPr="00AF0396" w:rsidR="0055011D">
        <w:t xml:space="preserve"> </w:t>
      </w:r>
      <w:r w:rsidRPr="00AF0396">
        <w:t>October 2012). In view of the above and in the particular circumstances of the case the Court considers that the six</w:t>
      </w:r>
      <w:r w:rsidRPr="00AF0396">
        <w:noBreakHyphen/>
        <w:t xml:space="preserve">month period started to run on the date when the applicant was served with the written grounds of the judgment (see </w:t>
      </w:r>
      <w:r w:rsidRPr="00AF0396">
        <w:rPr>
          <w:i/>
          <w:iCs/>
        </w:rPr>
        <w:t>Pastuszenia v. Poland</w:t>
      </w:r>
      <w:r w:rsidRPr="00AF0396">
        <w:t>, no. 46074/07, § 34, 21</w:t>
      </w:r>
      <w:r w:rsidRPr="00AF0396" w:rsidR="0055011D">
        <w:t xml:space="preserve"> </w:t>
      </w:r>
      <w:r w:rsidRPr="00AF0396">
        <w:t>September 2010).</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26</w:t>
      </w:r>
      <w:r w:rsidRPr="00AF0396">
        <w:fldChar w:fldCharType="end"/>
      </w:r>
      <w:r w:rsidRPr="00AF0396">
        <w:t>.  The applicant submitted his application to the Court on 11 October 2016, less than six months after the final decision in the case had been served on him.</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27</w:t>
      </w:r>
      <w:r w:rsidRPr="00AF0396">
        <w:fldChar w:fldCharType="end"/>
      </w:r>
      <w:r w:rsidRPr="00AF0396">
        <w:t>.  It follows that the application cannot be declared inadmissible for failure to comply with the six-month term within the meaning of Article 35 § 1 of the Convention and the Government</w:t>
      </w:r>
      <w:r w:rsidRPr="00AF0396" w:rsidR="00AF0396">
        <w:t>’</w:t>
      </w:r>
      <w:r w:rsidRPr="00AF0396">
        <w:t>s objection should be dismissed.</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28</w:t>
      </w:r>
      <w:r w:rsidRPr="00AF0396">
        <w:fldChar w:fldCharType="end"/>
      </w:r>
      <w:r w:rsidRPr="00AF0396">
        <w:t>.  The Court notes that this complaint is not manifestly ill-founded within the meaning of Article 35 § 3 (a) of the Convention. It further notes that it is not inadmissible on any other grounds. It must therefore be declared admissible.</w:t>
      </w:r>
    </w:p>
    <w:p w:rsidRPr="00AF0396" w:rsidR="00C706B0" w:rsidP="00AF0396" w:rsidRDefault="00C706B0">
      <w:pPr>
        <w:pStyle w:val="JuHA"/>
      </w:pPr>
      <w:r w:rsidRPr="00AF0396">
        <w:t>Merits</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29</w:t>
      </w:r>
      <w:r w:rsidRPr="00AF0396">
        <w:fldChar w:fldCharType="end"/>
      </w:r>
      <w:r w:rsidRPr="00AF0396">
        <w:t>.  The applicant argued that the length of the proceedings had been clearly in breach of the “reasonable time” principle. The trial court was particularly inefficient and the proceedings at first-instance lasted an excessive period of almost ten years.</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30</w:t>
      </w:r>
      <w:r w:rsidRPr="00AF0396">
        <w:fldChar w:fldCharType="end"/>
      </w:r>
      <w:r w:rsidRPr="00AF0396">
        <w:t>.  The Government refrained from commenting on the merits of the applicant</w:t>
      </w:r>
      <w:r w:rsidRPr="00AF0396" w:rsidR="00AF0396">
        <w:t>’</w:t>
      </w:r>
      <w:r w:rsidRPr="00AF0396">
        <w:t>s complaint.</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31</w:t>
      </w:r>
      <w:r w:rsidRPr="00AF0396">
        <w:fldChar w:fldCharType="end"/>
      </w:r>
      <w:r w:rsidRPr="00AF0396">
        <w:t>.  The Court reiterates that the reasonableness of the length of the proceedings must be assessed in the light of the particular circumstances of the case and taking into account the criteria laid down in the Court</w:t>
      </w:r>
      <w:r w:rsidRPr="00AF0396" w:rsidR="00AF0396">
        <w:t>’</w:t>
      </w:r>
      <w:r w:rsidRPr="00AF0396">
        <w:t>s case</w:t>
      </w:r>
      <w:r w:rsidRPr="00AF0396">
        <w:noBreakHyphen/>
        <w:t xml:space="preserve">law, in particular the complexity of the case and the conduct of the applicant and the relevant authorities. On the latter point, account must also be taken of what is at stake for the applicant (see </w:t>
      </w:r>
      <w:r w:rsidRPr="00AF0396">
        <w:rPr>
          <w:i/>
        </w:rPr>
        <w:t>Kudła v. Poland</w:t>
      </w:r>
      <w:r w:rsidRPr="00AF0396">
        <w:t xml:space="preserve"> [GC], no. 30210/96, § 124 ECHR 2000</w:t>
      </w:r>
      <w:r w:rsidRPr="00AF0396">
        <w:rPr>
          <w:rFonts w:hint="eastAsia"/>
        </w:rPr>
        <w:t>‑</w:t>
      </w:r>
      <w:r w:rsidRPr="00AF0396">
        <w:t xml:space="preserve">XI, for further case-law references see </w:t>
      </w:r>
      <w:r w:rsidRPr="00AF0396">
        <w:rPr>
          <w:i/>
        </w:rPr>
        <w:t>Rutkowski and Others</w:t>
      </w:r>
      <w:r w:rsidRPr="00AF0396">
        <w:t>, cited above, §§ 126</w:t>
      </w:r>
      <w:r w:rsidRPr="00AF0396">
        <w:noBreakHyphen/>
        <w:t>128).</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32</w:t>
      </w:r>
      <w:r w:rsidRPr="00AF0396">
        <w:fldChar w:fldCharType="end"/>
      </w:r>
      <w:r w:rsidRPr="00AF0396">
        <w:t>.  The Court does not have before it enough information to find that the case was of more than an average complexity. Although the trial court heard many witnesses there is no appearance that any expert evidence was required in the course of the proceedings.</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33</w:t>
      </w:r>
      <w:r w:rsidRPr="00AF0396">
        <w:fldChar w:fldCharType="end"/>
      </w:r>
      <w:r w:rsidRPr="00AF0396">
        <w:t xml:space="preserve">.  As regards the conduct of the domestic authorities the Court notes that the first hearing before the Toruń District Court was scheduled almost eighteen months after the bill of indictment had been brought against the applicant (see paragraphs </w:t>
      </w:r>
      <w:r w:rsidRPr="00AF0396">
        <w:fldChar w:fldCharType="begin"/>
      </w:r>
      <w:r w:rsidRPr="00AF0396">
        <w:instrText xml:space="preserve"> REF indictment \h </w:instrText>
      </w:r>
      <w:r w:rsidRPr="00AF0396">
        <w:fldChar w:fldCharType="separate"/>
      </w:r>
      <w:r w:rsidRPr="00AF0396" w:rsidR="00AF0396">
        <w:rPr>
          <w:noProof/>
        </w:rPr>
        <w:t>6</w:t>
      </w:r>
      <w:r w:rsidRPr="00AF0396">
        <w:fldChar w:fldCharType="end"/>
      </w:r>
      <w:r w:rsidRPr="00AF0396">
        <w:t xml:space="preserve"> and </w:t>
      </w:r>
      <w:r w:rsidRPr="00AF0396">
        <w:fldChar w:fldCharType="begin"/>
      </w:r>
      <w:r w:rsidRPr="00AF0396">
        <w:instrText xml:space="preserve"> REF trial \h </w:instrText>
      </w:r>
      <w:r w:rsidRPr="00AF0396">
        <w:fldChar w:fldCharType="separate"/>
      </w:r>
      <w:r w:rsidRPr="00AF0396" w:rsidR="00AF0396">
        <w:rPr>
          <w:noProof/>
        </w:rPr>
        <w:t>7</w:t>
      </w:r>
      <w:r w:rsidRPr="00AF0396">
        <w:fldChar w:fldCharType="end"/>
      </w:r>
      <w:r w:rsidRPr="00AF0396">
        <w:t xml:space="preserve"> above). There is no explanation for this delay. In total, the trial court examined the case for over eleven years during which it held about 100 hearings (see paragraph </w:t>
      </w:r>
      <w:r w:rsidRPr="00AF0396">
        <w:fldChar w:fldCharType="begin"/>
      </w:r>
      <w:r w:rsidRPr="00AF0396">
        <w:instrText xml:space="preserve"> REF trial \h </w:instrText>
      </w:r>
      <w:r w:rsidRPr="00AF0396">
        <w:fldChar w:fldCharType="separate"/>
      </w:r>
      <w:r w:rsidRPr="00AF0396" w:rsidR="00AF0396">
        <w:rPr>
          <w:noProof/>
        </w:rPr>
        <w:t>7</w:t>
      </w:r>
      <w:r w:rsidRPr="00AF0396">
        <w:fldChar w:fldCharType="end"/>
      </w:r>
      <w:r w:rsidRPr="00AF0396">
        <w:t xml:space="preserve"> above). In this context the Court would rely on the findings of the Toruń Regional Court which examined the applicant</w:t>
      </w:r>
      <w:r w:rsidRPr="00AF0396" w:rsidR="00AF0396">
        <w:t>’</w:t>
      </w:r>
      <w:r w:rsidRPr="00AF0396">
        <w:t>s complaint under the 2004 Act. The latter court considered that main evidence in the trial had been collected by 7 March 2006 and that the following period of over seven years had been characterised by the trial court</w:t>
      </w:r>
      <w:r w:rsidRPr="00AF0396" w:rsidR="00AF0396">
        <w:t>’</w:t>
      </w:r>
      <w:r w:rsidRPr="00AF0396">
        <w:t xml:space="preserve">s very low procedural activity (see paragraph </w:t>
      </w:r>
      <w:r w:rsidRPr="00AF0396">
        <w:fldChar w:fldCharType="begin"/>
      </w:r>
      <w:r w:rsidRPr="00AF0396">
        <w:instrText xml:space="preserve"> REF kudladecision \h </w:instrText>
      </w:r>
      <w:r w:rsidRPr="00AF0396">
        <w:fldChar w:fldCharType="separate"/>
      </w:r>
      <w:r w:rsidRPr="00AF0396" w:rsidR="00AF0396">
        <w:rPr>
          <w:iCs/>
          <w:noProof/>
        </w:rPr>
        <w:t>14</w:t>
      </w:r>
      <w:r w:rsidRPr="00AF0396">
        <w:fldChar w:fldCharType="end"/>
      </w:r>
      <w:r w:rsidRPr="00AF0396">
        <w:t xml:space="preserve"> above). There is no doubt that such a delay should be considered excessive and that the first-instance court was clearly responsible for it. It should also be noted that it took the court about six months to prepare the written reasons for its judgment of 30 October 2013 (see paragraph </w:t>
      </w:r>
      <w:r w:rsidRPr="00AF0396">
        <w:fldChar w:fldCharType="begin"/>
      </w:r>
      <w:r w:rsidRPr="00AF0396">
        <w:instrText xml:space="preserve"> REF firstjudmgnet \h </w:instrText>
      </w:r>
      <w:r w:rsidRPr="00AF0396">
        <w:fldChar w:fldCharType="separate"/>
      </w:r>
      <w:r w:rsidRPr="00AF0396" w:rsidR="00AF0396">
        <w:rPr>
          <w:noProof/>
        </w:rPr>
        <w:t>8</w:t>
      </w:r>
      <w:r w:rsidRPr="00AF0396">
        <w:fldChar w:fldCharType="end"/>
      </w:r>
      <w:r w:rsidRPr="00AF0396">
        <w:t xml:space="preserve"> above)</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34</w:t>
      </w:r>
      <w:r w:rsidRPr="00AF0396">
        <w:fldChar w:fldCharType="end"/>
      </w:r>
      <w:r w:rsidRPr="00AF0396">
        <w:t xml:space="preserve">.  The Court takes note of the subsequent efforts of the appellate court and the Toruń District Court after the remittal, to finish the case against the applicant (see paragraphs </w:t>
      </w:r>
      <w:r w:rsidRPr="00AF0396">
        <w:fldChar w:fldCharType="begin"/>
      </w:r>
      <w:r w:rsidRPr="00AF0396">
        <w:instrText xml:space="preserve"> REF appealtejud \h </w:instrText>
      </w:r>
      <w:r w:rsidRPr="00AF0396">
        <w:fldChar w:fldCharType="separate"/>
      </w:r>
      <w:r w:rsidRPr="00AF0396" w:rsidR="00AF0396">
        <w:rPr>
          <w:noProof/>
        </w:rPr>
        <w:t>9</w:t>
      </w:r>
      <w:r w:rsidRPr="00AF0396">
        <w:fldChar w:fldCharType="end"/>
      </w:r>
      <w:r w:rsidRPr="00AF0396">
        <w:t xml:space="preserve"> to </w:t>
      </w:r>
      <w:r w:rsidRPr="00AF0396">
        <w:fldChar w:fldCharType="begin"/>
      </w:r>
      <w:r w:rsidRPr="00AF0396">
        <w:instrText xml:space="preserve"> REF finaljud \h </w:instrText>
      </w:r>
      <w:r w:rsidRPr="00AF0396">
        <w:fldChar w:fldCharType="separate"/>
      </w:r>
      <w:r w:rsidRPr="00AF0396" w:rsidR="00AF0396">
        <w:rPr>
          <w:noProof/>
        </w:rPr>
        <w:t>11</w:t>
      </w:r>
      <w:r w:rsidRPr="00AF0396">
        <w:fldChar w:fldCharType="end"/>
      </w:r>
      <w:r w:rsidRPr="00AF0396">
        <w:t xml:space="preserve"> above). However, that final consolidation of the court</w:t>
      </w:r>
      <w:r w:rsidRPr="00AF0396" w:rsidR="00AF0396">
        <w:t>’</w:t>
      </w:r>
      <w:r w:rsidRPr="00AF0396">
        <w:t xml:space="preserve">s actions cannot make up for the previous delays (see </w:t>
      </w:r>
      <w:r w:rsidRPr="00AF0396">
        <w:rPr>
          <w:i/>
        </w:rPr>
        <w:t>Rutkowski and Others,</w:t>
      </w:r>
      <w:r w:rsidRPr="00AF0396">
        <w:t xml:space="preserve"> cited above, § 139).</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35</w:t>
      </w:r>
      <w:r w:rsidRPr="00AF0396">
        <w:fldChar w:fldCharType="end"/>
      </w:r>
      <w:r w:rsidRPr="00AF0396">
        <w:t>.  Lastly, the Court notes that it does not appear that the applicant substantially contributed to the overall length of the proceedings in his case.</w:t>
      </w:r>
    </w:p>
    <w:bookmarkStart w:name="violationart6" w:id="14"/>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36</w:t>
      </w:r>
      <w:r w:rsidRPr="00AF0396">
        <w:fldChar w:fldCharType="end"/>
      </w:r>
      <w:bookmarkEnd w:id="14"/>
      <w:r w:rsidRPr="00AF0396">
        <w:t>.  Accordingly, having regard in particular to the significant delays occurring at the trial stage of the proceedings, the Court considers that in the present case there has been a violation of Article 6 § 1 of the Convention on account of the unreasonable length of the criminal proceedings.</w:t>
      </w:r>
    </w:p>
    <w:p w:rsidRPr="00AF0396" w:rsidR="00C706B0" w:rsidP="00AF0396" w:rsidRDefault="00C706B0">
      <w:pPr>
        <w:pStyle w:val="JuHIRoman"/>
      </w:pPr>
      <w:r w:rsidRPr="00AF0396">
        <w:t>ALLEGED VIOLATION OF ARTICLE 13 OF THE CONVENTION</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37</w:t>
      </w:r>
      <w:r w:rsidRPr="00AF0396">
        <w:fldChar w:fldCharType="end"/>
      </w:r>
      <w:r w:rsidRPr="00AF0396">
        <w:t>.  The applicant further submitted that he had no effective domestic remedy in respect of the protracted length of proceedings in his case. He relied on Article 13 of the Convention, which reads:</w:t>
      </w:r>
    </w:p>
    <w:p w:rsidRPr="00AF0396" w:rsidR="00C706B0" w:rsidP="00AF0396" w:rsidRDefault="00C706B0">
      <w:pPr>
        <w:pStyle w:val="JuQuot"/>
      </w:pPr>
      <w:r w:rsidRPr="00AF0396">
        <w:t>“Everyone whose rights and freedoms as set forth in [the] Convention are violated shall have an effective remedy before a national authority notwithstanding that the</w:t>
      </w:r>
      <w:r w:rsidRPr="00AF0396" w:rsidR="00AF0396">
        <w:t xml:space="preserve"> </w:t>
      </w:r>
      <w:r w:rsidRPr="00AF0396">
        <w:t>violation has been committed by persons acting in an official capacity.”</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38</w:t>
      </w:r>
      <w:r w:rsidRPr="00AF0396">
        <w:fldChar w:fldCharType="end"/>
      </w:r>
      <w:r w:rsidRPr="00AF0396">
        <w:t>.  The Government contested that there had been a breach of this provision of the Convention.</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39</w:t>
      </w:r>
      <w:r w:rsidRPr="00AF0396">
        <w:fldChar w:fldCharType="end"/>
      </w:r>
      <w:r w:rsidRPr="00AF0396">
        <w:t>.  The Government failed to comment on the applicant</w:t>
      </w:r>
      <w:r w:rsidRPr="00AF0396" w:rsidR="00AF0396">
        <w:t>’</w:t>
      </w:r>
      <w:r w:rsidRPr="00AF0396">
        <w:t>s complaint.</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40</w:t>
      </w:r>
      <w:r w:rsidRPr="00AF0396">
        <w:fldChar w:fldCharType="end"/>
      </w:r>
      <w:r w:rsidRPr="00AF0396">
        <w:t>.  The Court notes that this complaint is linked to the one examined above; likewise, it must therefore be declared admissible.</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41</w:t>
      </w:r>
      <w:r w:rsidRPr="00AF0396">
        <w:fldChar w:fldCharType="end"/>
      </w:r>
      <w:r w:rsidRPr="00AF0396">
        <w:t xml:space="preserve">.  The Court reiterates that Article 13 guarantees an effective remedy before a national authority for an alleged breach of the requirement under Article 6 § 1 to hear a case within a reasonable time (see </w:t>
      </w:r>
      <w:r w:rsidRPr="00AF0396">
        <w:rPr>
          <w:i/>
          <w:iCs/>
        </w:rPr>
        <w:t>Kudła</w:t>
      </w:r>
      <w:r w:rsidRPr="00AF0396">
        <w:rPr>
          <w:iCs/>
        </w:rPr>
        <w:t>, cited above, §§ 146-56</w:t>
      </w:r>
      <w:r w:rsidRPr="00AF0396">
        <w:t xml:space="preserve">). The relevant principles, as established in </w:t>
      </w:r>
      <w:r w:rsidRPr="00AF0396">
        <w:rPr>
          <w:i/>
          <w:iCs/>
        </w:rPr>
        <w:t xml:space="preserve">Kudła </w:t>
      </w:r>
      <w:r w:rsidRPr="00AF0396">
        <w:t>and the Court</w:t>
      </w:r>
      <w:r w:rsidRPr="00AF0396" w:rsidR="00AF0396">
        <w:t>’</w:t>
      </w:r>
      <w:r w:rsidRPr="00AF0396">
        <w:t xml:space="preserve">s subsequent judgments, has been set out in the </w:t>
      </w:r>
      <w:r w:rsidRPr="00AF0396">
        <w:rPr>
          <w:i/>
        </w:rPr>
        <w:t>Rutkowski</w:t>
      </w:r>
      <w:r w:rsidRPr="00AF0396">
        <w:t xml:space="preserve"> pilot judgment (</w:t>
      </w:r>
      <w:r w:rsidRPr="00AF0396">
        <w:rPr>
          <w:i/>
        </w:rPr>
        <w:t>Rutkowski and Others</w:t>
      </w:r>
      <w:r w:rsidRPr="00AF0396">
        <w:t>, cited above, §§ 126</w:t>
      </w:r>
      <w:r w:rsidRPr="00AF0396">
        <w:noBreakHyphen/>
        <w:t>128).</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42</w:t>
      </w:r>
      <w:r w:rsidRPr="00AF0396">
        <w:fldChar w:fldCharType="end"/>
      </w:r>
      <w:r w:rsidRPr="00AF0396">
        <w:t>.  The Court has already found that that the applicant</w:t>
      </w:r>
      <w:r w:rsidRPr="00AF0396" w:rsidR="00AF0396">
        <w:t>’</w:t>
      </w:r>
      <w:r w:rsidRPr="00AF0396">
        <w:t xml:space="preserve">s right to a hearing within a reasonable time guaranteed by Article 6 § 1 of the Convention has not been respected (see paragraph </w:t>
      </w:r>
      <w:r w:rsidRPr="00AF0396">
        <w:fldChar w:fldCharType="begin"/>
      </w:r>
      <w:r w:rsidRPr="00AF0396">
        <w:instrText xml:space="preserve"> REF violationart6 \h </w:instrText>
      </w:r>
      <w:r w:rsidRPr="00AF0396">
        <w:fldChar w:fldCharType="separate"/>
      </w:r>
      <w:r w:rsidRPr="00AF0396" w:rsidR="00AF0396">
        <w:rPr>
          <w:noProof/>
        </w:rPr>
        <w:t>36</w:t>
      </w:r>
      <w:r w:rsidRPr="00AF0396">
        <w:fldChar w:fldCharType="end"/>
      </w:r>
      <w:r w:rsidRPr="00AF0396">
        <w:t xml:space="preserve"> above). There is, therefore, no doubt that his complaint is “arguable” for the purposes of Article 13 and that he was entitled to a remedy whereby he could obtain appropriate relief for the Convention breach before the domestic authority, including compensation for non-pecuniary damage suffered on account of delays that had occurred in his case (see</w:t>
      </w:r>
      <w:r w:rsidRPr="00AF0396" w:rsidR="0055011D">
        <w:t xml:space="preserve"> </w:t>
      </w:r>
      <w:r w:rsidRPr="00AF0396">
        <w:rPr>
          <w:i/>
          <w:iCs/>
        </w:rPr>
        <w:t>Kudła,</w:t>
      </w:r>
      <w:r w:rsidRPr="00AF0396" w:rsidR="0055011D">
        <w:rPr>
          <w:i/>
          <w:iCs/>
        </w:rPr>
        <w:t xml:space="preserve"> </w:t>
      </w:r>
      <w:r w:rsidRPr="00AF0396">
        <w:t>cited above, § 157).</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43</w:t>
      </w:r>
      <w:r w:rsidRPr="00AF0396">
        <w:fldChar w:fldCharType="end"/>
      </w:r>
      <w:r w:rsidRPr="00AF0396">
        <w:t xml:space="preserve">.  The just satisfaction awarded to the applicant by the </w:t>
      </w:r>
      <w:r w:rsidRPr="00AF0396">
        <w:rPr>
          <w:iCs/>
        </w:rPr>
        <w:t xml:space="preserve">Toruń </w:t>
      </w:r>
      <w:r w:rsidRPr="00AF0396">
        <w:t xml:space="preserve">Regional Court amounted to approximately four per cent of what the Court would be likely to have awarded him at that time in accordance with its practice, taking into account the particular circumstances of the case. The domestic award must therefore be considered manifestly unreasonable in the light of the standards set by the Court (see paragraphs 173-174 above and </w:t>
      </w:r>
      <w:r w:rsidRPr="00AF0396">
        <w:rPr>
          <w:i/>
          <w:iCs/>
        </w:rPr>
        <w:t>Scordino (no. 1)</w:t>
      </w:r>
      <w:r w:rsidRPr="00AF0396">
        <w:t>, cited above, §§ 214 and 269-270).</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44</w:t>
      </w:r>
      <w:r w:rsidRPr="00AF0396">
        <w:fldChar w:fldCharType="end"/>
      </w:r>
      <w:r w:rsidRPr="00AF0396">
        <w:t xml:space="preserve">.  In view of the foregoing, the Court finds that a complaint under the 2004 Act failed to provide the applicant with “appropriate and sufficient redress” in terms of adequate compensation for the excessive length of the proceedings in his case (see </w:t>
      </w:r>
      <w:r w:rsidRPr="00AF0396">
        <w:rPr>
          <w:i/>
          <w:iCs/>
        </w:rPr>
        <w:t>Scordino (no. 1)</w:t>
      </w:r>
      <w:r w:rsidRPr="00AF0396">
        <w:rPr>
          <w:iCs/>
        </w:rPr>
        <w:t>, cited above</w:t>
      </w:r>
      <w:r w:rsidRPr="00AF0396">
        <w:t xml:space="preserve">, § 181, and </w:t>
      </w:r>
      <w:r w:rsidRPr="00AF0396">
        <w:rPr>
          <w:i/>
        </w:rPr>
        <w:t>Rutkowski and Others</w:t>
      </w:r>
      <w:r w:rsidRPr="00AF0396">
        <w:t>, cited above, § 183).</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45</w:t>
      </w:r>
      <w:r w:rsidRPr="00AF0396">
        <w:fldChar w:fldCharType="end"/>
      </w:r>
      <w:r w:rsidRPr="00AF0396">
        <w:t>.  There has accordingly been a violation of Article 13 of the Convention.</w:t>
      </w:r>
    </w:p>
    <w:p w:rsidRPr="00AF0396" w:rsidR="00C706B0" w:rsidP="00AF0396" w:rsidRDefault="00C706B0">
      <w:pPr>
        <w:pStyle w:val="JuHIRoman"/>
      </w:pPr>
      <w:r w:rsidRPr="00AF0396">
        <w:t>OTHER ALLEGED VIOLATIONS OF THE CONVENTION</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46</w:t>
      </w:r>
      <w:r w:rsidRPr="00AF0396">
        <w:fldChar w:fldCharType="end"/>
      </w:r>
      <w:r w:rsidRPr="00AF0396">
        <w:t>.  Lastly, the applicant complained under several Articles of the Convention about the allegedly lengthy imposition of police supervision of him. He stated that the measure had been lifted only on 26 February 2015. He also complained about the outcome of the proceedings and that he had been prevented from proving his innocence because of the statute of limitations.</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47</w:t>
      </w:r>
      <w:r w:rsidRPr="00AF0396">
        <w:fldChar w:fldCharType="end"/>
      </w:r>
      <w:r w:rsidRPr="00AF0396">
        <w:t>.  In so far as the applicant complains about the situation which ended on 26 February 2015, this complaint has been introduced out of time and must be rejected in accordance with Article 35 §§ 1 and 4 of the Convention.</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48</w:t>
      </w:r>
      <w:r w:rsidRPr="00AF0396">
        <w:fldChar w:fldCharType="end"/>
      </w:r>
      <w:r w:rsidRPr="00AF0396">
        <w:t>.  Moreover,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49</w:t>
      </w:r>
      <w:r w:rsidRPr="00AF0396">
        <w:fldChar w:fldCharType="end"/>
      </w:r>
      <w:r w:rsidRPr="00AF0396">
        <w:t>.  Accordingly, the remainder of the application is manifestly ill-founded and must be rejected in accordance with Article 35 §§ 3 (a) and 4 of the Convention.</w:t>
      </w:r>
    </w:p>
    <w:p w:rsidRPr="00AF0396" w:rsidR="00C706B0" w:rsidP="00AF0396" w:rsidRDefault="00C706B0">
      <w:pPr>
        <w:pStyle w:val="JuHIRoman"/>
      </w:pPr>
      <w:r w:rsidRPr="00AF0396">
        <w:t>APPLICATION OF ARTICLE 41 OF THE CONVENTION</w:t>
      </w:r>
    </w:p>
    <w:p w:rsidRPr="00AF0396" w:rsidR="00C706B0" w:rsidP="00AF0396" w:rsidRDefault="00C706B0">
      <w:pPr>
        <w:pStyle w:val="JuPara"/>
        <w:keepNext/>
        <w:keepLines/>
      </w:pPr>
      <w:r w:rsidRPr="00AF0396">
        <w:fldChar w:fldCharType="begin"/>
      </w:r>
      <w:r w:rsidRPr="00AF0396">
        <w:instrText xml:space="preserve"> SEQ level0 \*arabic </w:instrText>
      </w:r>
      <w:r w:rsidRPr="00AF0396">
        <w:fldChar w:fldCharType="separate"/>
      </w:r>
      <w:r w:rsidRPr="00AF0396" w:rsidR="00AF0396">
        <w:rPr>
          <w:noProof/>
        </w:rPr>
        <w:t>50</w:t>
      </w:r>
      <w:r w:rsidRPr="00AF0396">
        <w:fldChar w:fldCharType="end"/>
      </w:r>
      <w:r w:rsidRPr="00AF0396">
        <w:t>.  Article 41 of the Convention provides:</w:t>
      </w:r>
    </w:p>
    <w:p w:rsidRPr="00AF0396" w:rsidR="00C706B0" w:rsidP="00AF0396" w:rsidRDefault="00C706B0">
      <w:pPr>
        <w:pStyle w:val="JuQuot"/>
      </w:pPr>
      <w:r w:rsidRPr="00AF039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F0396" w:rsidR="00C706B0" w:rsidP="00AF0396" w:rsidRDefault="00C706B0">
      <w:pPr>
        <w:pStyle w:val="JuHA"/>
        <w:numPr>
          <w:ilvl w:val="2"/>
          <w:numId w:val="18"/>
        </w:numPr>
      </w:pPr>
      <w:r w:rsidRPr="00AF0396">
        <w:t>Damage</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51</w:t>
      </w:r>
      <w:r w:rsidRPr="00AF0396">
        <w:fldChar w:fldCharType="end"/>
      </w:r>
      <w:r w:rsidRPr="00AF0396">
        <w:t xml:space="preserve">.  The applicant claimed </w:t>
      </w:r>
      <w:r w:rsidRPr="00AF0396" w:rsidR="0028745A">
        <w:t xml:space="preserve">EUR </w:t>
      </w:r>
      <w:r w:rsidRPr="00AF0396">
        <w:t>35,000 in respect of non-pecuniary damage.</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52</w:t>
      </w:r>
      <w:r w:rsidRPr="00AF0396">
        <w:fldChar w:fldCharType="end"/>
      </w:r>
      <w:r w:rsidRPr="00AF0396">
        <w:t>.  The Government contested the claim.</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53</w:t>
      </w:r>
      <w:r w:rsidRPr="00AF0396">
        <w:fldChar w:fldCharType="end"/>
      </w:r>
      <w:r w:rsidRPr="00AF0396">
        <w:t>.  The Court does not discern any causal link between the violation found and the pecuniary damage alleged; it therefore rejects this claim. On the other hand, it awards the applicant EUR 10,000 in respect of non-pecuniary damage</w:t>
      </w:r>
      <w:r w:rsidRPr="00AF0396" w:rsidR="004A1EFB">
        <w:t>.</w:t>
      </w:r>
    </w:p>
    <w:p w:rsidRPr="00AF0396" w:rsidR="00C706B0" w:rsidP="00AF0396" w:rsidRDefault="00C706B0">
      <w:pPr>
        <w:pStyle w:val="JuHA"/>
        <w:numPr>
          <w:ilvl w:val="2"/>
          <w:numId w:val="18"/>
        </w:numPr>
      </w:pPr>
      <w:r w:rsidRPr="00AF0396">
        <w:t>Costs and expenses</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54</w:t>
      </w:r>
      <w:r w:rsidRPr="00AF0396">
        <w:fldChar w:fldCharType="end"/>
      </w:r>
      <w:r w:rsidRPr="00AF0396">
        <w:t>.  The applicant also claimed EUR 2,500 for the costs and expenses incurred before the domestic courts and EUR 85 for translation expenses incurred before the Court.</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55</w:t>
      </w:r>
      <w:r w:rsidRPr="00AF0396">
        <w:fldChar w:fldCharType="end"/>
      </w:r>
      <w:r w:rsidRPr="00AF0396">
        <w:t>.  The Government left the matter to the Court</w:t>
      </w:r>
      <w:r w:rsidRPr="00AF0396" w:rsidR="00AF0396">
        <w:t>’</w:t>
      </w:r>
      <w:r w:rsidRPr="00AF0396">
        <w:t>s discretion.</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56</w:t>
      </w:r>
      <w:r w:rsidRPr="00AF0396">
        <w:fldChar w:fldCharType="end"/>
      </w:r>
      <w:r w:rsidRPr="00AF0396">
        <w:t>.  Regard being had to the documents in its possession and to its case-law, the Court rejects the claim for costs and expenses in the domestic proceedings and considers it reasonable to award the sum of EUR 85 for the proceedings before the Court.</w:t>
      </w:r>
    </w:p>
    <w:p w:rsidRPr="00AF0396" w:rsidR="00C706B0" w:rsidP="00AF0396" w:rsidRDefault="00C706B0">
      <w:pPr>
        <w:pStyle w:val="JuHA"/>
        <w:numPr>
          <w:ilvl w:val="2"/>
          <w:numId w:val="18"/>
        </w:numPr>
      </w:pPr>
      <w:r w:rsidRPr="00AF0396">
        <w:t>Default interest</w:t>
      </w:r>
    </w:p>
    <w:p w:rsidRPr="00AF0396" w:rsidR="00C706B0" w:rsidP="00AF0396" w:rsidRDefault="00C706B0">
      <w:pPr>
        <w:pStyle w:val="JuPara"/>
      </w:pPr>
      <w:r w:rsidRPr="00AF0396">
        <w:fldChar w:fldCharType="begin"/>
      </w:r>
      <w:r w:rsidRPr="00AF0396">
        <w:instrText xml:space="preserve"> SEQ level0 \*arabic </w:instrText>
      </w:r>
      <w:r w:rsidRPr="00AF0396">
        <w:fldChar w:fldCharType="separate"/>
      </w:r>
      <w:r w:rsidRPr="00AF0396" w:rsidR="00AF0396">
        <w:rPr>
          <w:noProof/>
        </w:rPr>
        <w:t>57</w:t>
      </w:r>
      <w:r w:rsidRPr="00AF0396">
        <w:fldChar w:fldCharType="end"/>
      </w:r>
      <w:r w:rsidRPr="00AF0396">
        <w:t>.  The Court considers it appropriate that the default interest rate should be based on the marginal lending rate of the European Central Bank, to which should be added three percentage points.</w:t>
      </w:r>
    </w:p>
    <w:p w:rsidRPr="00AF0396" w:rsidR="00C706B0" w:rsidP="00AF0396" w:rsidRDefault="00C706B0">
      <w:pPr>
        <w:pStyle w:val="JuHHead"/>
        <w:numPr>
          <w:ilvl w:val="0"/>
          <w:numId w:val="19"/>
        </w:numPr>
      </w:pPr>
      <w:r w:rsidRPr="00AF0396">
        <w:t>FOR THESE REASONS, THE COURT, UNANIMOUSLY,</w:t>
      </w:r>
    </w:p>
    <w:p w:rsidRPr="00AF0396" w:rsidR="00C706B0" w:rsidP="00AF0396" w:rsidRDefault="00C706B0">
      <w:pPr>
        <w:pStyle w:val="JuList"/>
      </w:pPr>
      <w:r w:rsidRPr="00AF0396">
        <w:rPr>
          <w:i/>
        </w:rPr>
        <w:t>Declares</w:t>
      </w:r>
      <w:r w:rsidRPr="00AF0396">
        <w:t xml:space="preserve"> the complaints under Article 6 § 1 and Article 13 admissible and the remainder of the application inadmissible;</w:t>
      </w:r>
    </w:p>
    <w:p w:rsidRPr="00AF0396" w:rsidR="00C706B0" w:rsidP="00AF0396" w:rsidRDefault="00C706B0">
      <w:pPr>
        <w:pStyle w:val="JuList"/>
      </w:pPr>
      <w:r w:rsidRPr="00AF0396">
        <w:rPr>
          <w:i/>
        </w:rPr>
        <w:t>Holds</w:t>
      </w:r>
      <w:r w:rsidRPr="00AF0396">
        <w:rPr>
          <w:color w:val="000000"/>
        </w:rPr>
        <w:t xml:space="preserve"> </w:t>
      </w:r>
      <w:r w:rsidRPr="00AF0396">
        <w:t>that there has been a violation of Article 6 § 1 of the Convention;</w:t>
      </w:r>
    </w:p>
    <w:p w:rsidRPr="00AF0396" w:rsidR="00C706B0" w:rsidP="00AF0396" w:rsidRDefault="00C706B0">
      <w:pPr>
        <w:pStyle w:val="JuList"/>
      </w:pPr>
      <w:r w:rsidRPr="00AF0396">
        <w:rPr>
          <w:i/>
        </w:rPr>
        <w:t>Holds</w:t>
      </w:r>
      <w:r w:rsidRPr="00AF0396">
        <w:t xml:space="preserve"> that there has been a violation of Article 13 of the Convention;</w:t>
      </w:r>
    </w:p>
    <w:p w:rsidRPr="00AF0396" w:rsidR="00C706B0" w:rsidP="00AF0396" w:rsidRDefault="00C706B0">
      <w:pPr>
        <w:pStyle w:val="JuList"/>
        <w:keepNext/>
        <w:keepLines/>
        <w:rPr>
          <w:i/>
          <w:iCs/>
        </w:rPr>
      </w:pPr>
      <w:r w:rsidRPr="00AF0396">
        <w:rPr>
          <w:i/>
          <w:iCs/>
        </w:rPr>
        <w:t>Holds</w:t>
      </w:r>
    </w:p>
    <w:p w:rsidRPr="00AF0396" w:rsidR="00C706B0" w:rsidP="00AF0396" w:rsidRDefault="00C706B0">
      <w:pPr>
        <w:pStyle w:val="JuLista"/>
        <w:keepNext/>
        <w:keepLines/>
      </w:pPr>
      <w:r w:rsidRPr="00AF0396">
        <w:t xml:space="preserve">that the respondent State is to pay the applicant, within three months, the following amounts, to be converted into </w:t>
      </w:r>
      <w:r w:rsidRPr="00AF0396">
        <w:rPr>
          <w:color w:val="000000"/>
        </w:rPr>
        <w:t>the currency of the respondent State</w:t>
      </w:r>
      <w:r w:rsidRPr="00AF0396">
        <w:t xml:space="preserve"> at the rate applicable at the date of settlement:</w:t>
      </w:r>
    </w:p>
    <w:p w:rsidRPr="00AF0396" w:rsidR="00C706B0" w:rsidP="00AF0396" w:rsidRDefault="00C706B0">
      <w:pPr>
        <w:pStyle w:val="JuListi"/>
      </w:pPr>
      <w:r w:rsidRPr="00AF0396">
        <w:t>EUR 10,000 (ten thousand euros), plus any tax that may be chargeable, in respect of non-pecuniary damage;</w:t>
      </w:r>
    </w:p>
    <w:p w:rsidRPr="00AF0396" w:rsidR="00C706B0" w:rsidP="00AF0396" w:rsidRDefault="00C706B0">
      <w:pPr>
        <w:pStyle w:val="JuListi"/>
      </w:pPr>
      <w:r w:rsidRPr="00AF0396">
        <w:t>EUR 85 (eighty-five euros), plus any tax that may be chargeable to the applicant, in respect of costs and expenses;</w:t>
      </w:r>
    </w:p>
    <w:p w:rsidRPr="00AF0396" w:rsidR="00C706B0" w:rsidP="00AF0396" w:rsidRDefault="00C706B0">
      <w:pPr>
        <w:pStyle w:val="JuLista"/>
      </w:pPr>
      <w:r w:rsidRPr="00AF0396">
        <w:t>that from the expiry of the above-mentioned three months until settlement simple interest shall be payable on the above amount at a rate equal to the marginal lending rate of the European Central Bank during the default period plus three percentage points;</w:t>
      </w:r>
    </w:p>
    <w:p w:rsidRPr="00AF0396" w:rsidR="004D0EC7" w:rsidP="00AF0396" w:rsidRDefault="00C706B0">
      <w:pPr>
        <w:pStyle w:val="JuList"/>
      </w:pPr>
      <w:r w:rsidRPr="00AF0396">
        <w:rPr>
          <w:i/>
        </w:rPr>
        <w:t>Dismisses</w:t>
      </w:r>
      <w:r w:rsidRPr="00AF0396">
        <w:rPr>
          <w:color w:val="000000"/>
        </w:rPr>
        <w:t xml:space="preserve"> </w:t>
      </w:r>
      <w:r w:rsidRPr="00AF0396">
        <w:t>the remainder of the applicant</w:t>
      </w:r>
      <w:r w:rsidRPr="00AF0396" w:rsidR="00AF0396">
        <w:t>’</w:t>
      </w:r>
      <w:r w:rsidRPr="00AF0396">
        <w:t>s claim for just satisfaction.</w:t>
      </w:r>
    </w:p>
    <w:p w:rsidRPr="00AF0396" w:rsidR="008E3A08" w:rsidP="00AF0396" w:rsidRDefault="007E2C8C">
      <w:pPr>
        <w:pStyle w:val="JuParaLast"/>
      </w:pPr>
      <w:r w:rsidRPr="00AF0396">
        <w:t xml:space="preserve">Done in English, and notified in writing on </w:t>
      </w:r>
      <w:r w:rsidRPr="00AF0396" w:rsidR="00C706B0">
        <w:rPr>
          <w:rFonts w:ascii="Times New Roman" w:hAnsi="Times New Roman" w:cs="Times New Roman"/>
        </w:rPr>
        <w:t>15 April 2021</w:t>
      </w:r>
      <w:r w:rsidRPr="00AF0396">
        <w:t>, pursuant to Rule 77 §§ 2 and 3 of the Rules of Court.</w:t>
      </w:r>
    </w:p>
    <w:p w:rsidRPr="00AF0396" w:rsidR="001C055B" w:rsidP="00AF0396" w:rsidRDefault="00CD3F10">
      <w:pPr>
        <w:pStyle w:val="JuSigned"/>
        <w:rPr>
          <w:lang w:val="nb-NO"/>
        </w:rPr>
      </w:pPr>
      <w:r w:rsidRPr="00AF0396">
        <w:tab/>
      </w:r>
      <w:r w:rsidRPr="00AF0396" w:rsidR="00C706B0">
        <w:rPr>
          <w:lang w:val="nb-NO"/>
        </w:rPr>
        <w:t>Liv Tigerstedt</w:t>
      </w:r>
      <w:r w:rsidRPr="00AF0396" w:rsidR="005879A2">
        <w:rPr>
          <w:lang w:val="nb-NO"/>
        </w:rPr>
        <w:t xml:space="preserve"> </w:t>
      </w:r>
      <w:r w:rsidRPr="00AF0396" w:rsidR="009F4C8F">
        <w:rPr>
          <w:lang w:val="nb-NO"/>
        </w:rPr>
        <w:tab/>
      </w:r>
      <w:r w:rsidRPr="00AF0396" w:rsidR="00C706B0">
        <w:rPr>
          <w:lang w:val="nb-NO"/>
        </w:rPr>
        <w:t>Krzysztof Wojtyczek</w:t>
      </w:r>
      <w:r w:rsidRPr="00AF0396" w:rsidR="009F4C8F">
        <w:rPr>
          <w:lang w:val="nb-NO"/>
        </w:rPr>
        <w:br/>
      </w:r>
      <w:r w:rsidRPr="00AF0396" w:rsidR="009F4C8F">
        <w:rPr>
          <w:lang w:val="nb-NO"/>
        </w:rPr>
        <w:tab/>
      </w:r>
      <w:r w:rsidRPr="00AF0396" w:rsidR="00C706B0">
        <w:rPr>
          <w:lang w:val="nb-NO"/>
        </w:rPr>
        <w:t xml:space="preserve">Deputy </w:t>
      </w:r>
      <w:r w:rsidRPr="00AF0396" w:rsidR="00C706B0">
        <w:rPr>
          <w:iCs/>
          <w:lang w:val="nb-NO"/>
        </w:rPr>
        <w:t>Registrar</w:t>
      </w:r>
      <w:r w:rsidRPr="00AF0396" w:rsidR="009F4C8F">
        <w:rPr>
          <w:lang w:val="nb-NO"/>
        </w:rPr>
        <w:tab/>
        <w:t>President</w:t>
      </w:r>
    </w:p>
    <w:sectPr w:rsidRPr="00AF0396"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6B0" w:rsidRPr="00C706B0" w:rsidRDefault="00C706B0" w:rsidP="0098410D">
      <w:r w:rsidRPr="00C706B0">
        <w:separator/>
      </w:r>
    </w:p>
  </w:endnote>
  <w:endnote w:type="continuationSeparator" w:id="0">
    <w:p w:rsidR="00C706B0" w:rsidRPr="00C706B0" w:rsidRDefault="00C706B0" w:rsidP="0098410D">
      <w:r w:rsidRPr="00C706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6B0" w:rsidRPr="00150BFA" w:rsidRDefault="00C706B0" w:rsidP="0020718E">
    <w:pPr>
      <w:jc w:val="center"/>
    </w:pPr>
    <w:r>
      <w:rPr>
        <w:noProof/>
        <w:lang w:val="en-US" w:eastAsia="ja-JP"/>
      </w:rPr>
      <w:drawing>
        <wp:inline distT="0" distB="0" distL="0" distR="0" wp14:anchorId="1886F865" wp14:editId="0CF3E687">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C706B0"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6B0" w:rsidRPr="00150BFA" w:rsidRDefault="00C706B0" w:rsidP="0020718E">
    <w:pPr>
      <w:jc w:val="center"/>
    </w:pPr>
    <w:r>
      <w:rPr>
        <w:noProof/>
        <w:lang w:val="en-US" w:eastAsia="ja-JP"/>
      </w:rPr>
      <w:drawing>
        <wp:inline distT="0" distB="0" distL="0" distR="0" wp14:anchorId="1886F865" wp14:editId="0CF3E687">
          <wp:extent cx="771525" cy="619125"/>
          <wp:effectExtent l="0" t="0" r="9525" b="9525"/>
          <wp:docPr id="42" name="Picture 4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C706B0"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C706B0"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C706B0" w:rsidP="007D3701">
    <w:pPr>
      <w:pStyle w:val="JuHeader"/>
    </w:pPr>
    <w:r>
      <w:fldChar w:fldCharType="begin"/>
    </w:r>
    <w:r>
      <w:instrText xml:space="preserve"> PAGE </w:instrText>
    </w:r>
    <w:r>
      <w:fldChar w:fldCharType="separate"/>
    </w:r>
    <w:r>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6B0" w:rsidRPr="00C706B0" w:rsidRDefault="00C706B0" w:rsidP="0098410D">
      <w:r w:rsidRPr="00C706B0">
        <w:separator/>
      </w:r>
    </w:p>
  </w:footnote>
  <w:footnote w:type="continuationSeparator" w:id="0">
    <w:p w:rsidR="00C706B0" w:rsidRPr="00C706B0" w:rsidRDefault="00C706B0" w:rsidP="0098410D">
      <w:r w:rsidRPr="00C706B0">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6B0" w:rsidRPr="00A45145" w:rsidRDefault="00C706B0" w:rsidP="00A45145">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C706B0"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6B0" w:rsidRPr="00A45145" w:rsidRDefault="00C706B0" w:rsidP="00A45145">
    <w:pPr>
      <w:jc w:val="center"/>
    </w:pPr>
    <w:r>
      <w:rPr>
        <w:noProof/>
        <w:lang w:val="en-US" w:eastAsia="ja-JP"/>
      </w:rPr>
      <w:drawing>
        <wp:inline distT="0" distB="0" distL="0" distR="0" wp14:anchorId="37609D74" wp14:editId="10854475">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C706B0"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C706B0" w:rsidP="004D0EC7">
    <w:pPr>
      <w:pStyle w:val="JuHeader"/>
    </w:pPr>
    <w:r>
      <w:t>SŁAWIŃSKI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C706B0" w:rsidP="007D3701">
    <w:pPr>
      <w:pStyle w:val="JuHeader"/>
    </w:pPr>
    <w:r>
      <w:t>SŁAWIŃSKI v. POLAND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1AEB88"/>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num>
  <w:num w:numId="2">
    <w:abstractNumId w:val="13"/>
  </w:num>
  <w:num w:numId="3">
    <w:abstractNumId w:val="11"/>
  </w:num>
  <w:num w:numId="4">
    <w:abstractNumId w:val="10"/>
  </w:num>
  <w:num w:numId="5">
    <w:abstractNumId w:val="14"/>
  </w:num>
  <w:num w:numId="6">
    <w:abstractNumId w:val="12"/>
    <w:lvlOverride w:ilvl="0">
      <w:lvl w:ilvl="0">
        <w:start w:val="1"/>
        <w:numFmt w:val="decimal"/>
        <w:pStyle w:val="JuList"/>
        <w:lvlText w:val="%1."/>
        <w:lvlJc w:val="left"/>
        <w:pPr>
          <w:tabs>
            <w:tab w:val="num" w:pos="340"/>
          </w:tabs>
          <w:ind w:left="340" w:hanging="340"/>
        </w:pPr>
        <w:rPr>
          <w:rFonts w:hint="default"/>
          <w:i w:val="0"/>
          <w:iCs w:val="0"/>
        </w:rPr>
      </w:lvl>
    </w:lvlOverride>
  </w:num>
  <w:num w:numId="7">
    <w:abstractNumId w:val="15"/>
  </w:num>
  <w:num w:numId="8">
    <w:abstractNumId w:val="17"/>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8"/>
  </w:num>
  <w:num w:numId="20">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C706B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3659"/>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5313"/>
    <w:rsid w:val="0028745A"/>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1EFB"/>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011D"/>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0396"/>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06B0"/>
    <w:rsid w:val="00C74810"/>
    <w:rsid w:val="00C90D68"/>
    <w:rsid w:val="00C939FE"/>
    <w:rsid w:val="00CA4BDA"/>
    <w:rsid w:val="00CB13E3"/>
    <w:rsid w:val="00CB1F66"/>
    <w:rsid w:val="00CB232C"/>
    <w:rsid w:val="00CB2951"/>
    <w:rsid w:val="00CB4277"/>
    <w:rsid w:val="00CC5067"/>
    <w:rsid w:val="00CD11D3"/>
    <w:rsid w:val="00CD282B"/>
    <w:rsid w:val="00CD3F10"/>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44F09"/>
    <w:rPr>
      <w:sz w:val="24"/>
      <w:szCs w:val="24"/>
      <w:lang w:val="en-GB"/>
    </w:rPr>
  </w:style>
  <w:style w:type="paragraph" w:styleId="Heading1">
    <w:name w:val="heading 1"/>
    <w:basedOn w:val="Normal"/>
    <w:next w:val="Normal"/>
    <w:link w:val="Heading1Char"/>
    <w:uiPriority w:val="98"/>
    <w:semiHidden/>
    <w:rsid w:val="00C44F0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44F0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44F0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44F0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44F0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44F0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44F0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44F0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44F0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44F09"/>
    <w:rPr>
      <w:rFonts w:ascii="Tahoma" w:hAnsi="Tahoma" w:cs="Tahoma"/>
      <w:sz w:val="16"/>
      <w:szCs w:val="16"/>
    </w:rPr>
  </w:style>
  <w:style w:type="character" w:customStyle="1" w:styleId="BalloonTextChar">
    <w:name w:val="Balloon Text Char"/>
    <w:basedOn w:val="DefaultParagraphFont"/>
    <w:link w:val="BalloonText"/>
    <w:uiPriority w:val="98"/>
    <w:semiHidden/>
    <w:rsid w:val="00C44F09"/>
    <w:rPr>
      <w:rFonts w:ascii="Tahoma" w:hAnsi="Tahoma" w:cs="Tahoma"/>
      <w:sz w:val="16"/>
      <w:szCs w:val="16"/>
      <w:lang w:val="en-GB"/>
    </w:rPr>
  </w:style>
  <w:style w:type="character" w:styleId="BookTitle">
    <w:name w:val="Book Title"/>
    <w:uiPriority w:val="98"/>
    <w:semiHidden/>
    <w:qFormat/>
    <w:rsid w:val="00C44F09"/>
    <w:rPr>
      <w:i/>
      <w:iCs/>
      <w:smallCaps/>
      <w:spacing w:val="5"/>
    </w:rPr>
  </w:style>
  <w:style w:type="paragraph" w:customStyle="1" w:styleId="JuHeader">
    <w:name w:val="Ju_Header"/>
    <w:aliases w:val="_Header"/>
    <w:basedOn w:val="Header"/>
    <w:uiPriority w:val="29"/>
    <w:qFormat/>
    <w:rsid w:val="00C44F09"/>
    <w:pPr>
      <w:tabs>
        <w:tab w:val="clear" w:pos="4536"/>
        <w:tab w:val="clear" w:pos="9072"/>
      </w:tabs>
      <w:jc w:val="center"/>
    </w:pPr>
    <w:rPr>
      <w:sz w:val="18"/>
    </w:rPr>
  </w:style>
  <w:style w:type="paragraph" w:customStyle="1" w:styleId="NormalJustified">
    <w:name w:val="Normal_Justified"/>
    <w:basedOn w:val="Normal"/>
    <w:semiHidden/>
    <w:rsid w:val="00C44F09"/>
    <w:pPr>
      <w:jc w:val="both"/>
    </w:pPr>
  </w:style>
  <w:style w:type="character" w:styleId="Strong">
    <w:name w:val="Strong"/>
    <w:uiPriority w:val="98"/>
    <w:semiHidden/>
    <w:qFormat/>
    <w:rsid w:val="00C44F09"/>
    <w:rPr>
      <w:b/>
      <w:bCs/>
    </w:rPr>
  </w:style>
  <w:style w:type="paragraph" w:styleId="NoSpacing">
    <w:name w:val="No Spacing"/>
    <w:basedOn w:val="Normal"/>
    <w:link w:val="NoSpacingChar"/>
    <w:uiPriority w:val="98"/>
    <w:semiHidden/>
    <w:qFormat/>
    <w:rsid w:val="00C44F09"/>
  </w:style>
  <w:style w:type="character" w:customStyle="1" w:styleId="NoSpacingChar">
    <w:name w:val="No Spacing Char"/>
    <w:basedOn w:val="DefaultParagraphFont"/>
    <w:link w:val="NoSpacing"/>
    <w:uiPriority w:val="98"/>
    <w:semiHidden/>
    <w:rsid w:val="00C44F09"/>
    <w:rPr>
      <w:sz w:val="24"/>
      <w:szCs w:val="24"/>
      <w:lang w:val="en-GB"/>
    </w:rPr>
  </w:style>
  <w:style w:type="paragraph" w:customStyle="1" w:styleId="JuQuot">
    <w:name w:val="Ju_Quot"/>
    <w:aliases w:val="_Quote"/>
    <w:basedOn w:val="NormalJustified"/>
    <w:uiPriority w:val="20"/>
    <w:qFormat/>
    <w:rsid w:val="00C44F09"/>
    <w:pPr>
      <w:spacing w:before="120" w:after="120"/>
      <w:ind w:left="425" w:firstLine="142"/>
    </w:pPr>
    <w:rPr>
      <w:sz w:val="20"/>
    </w:rPr>
  </w:style>
  <w:style w:type="paragraph" w:customStyle="1" w:styleId="DummyStyle">
    <w:name w:val="Dummy_Style"/>
    <w:aliases w:val="_Dummy"/>
    <w:basedOn w:val="Normal"/>
    <w:semiHidden/>
    <w:qFormat/>
    <w:rsid w:val="00C44F09"/>
    <w:rPr>
      <w:color w:val="00B050"/>
      <w:sz w:val="22"/>
    </w:rPr>
  </w:style>
  <w:style w:type="paragraph" w:customStyle="1" w:styleId="JuList">
    <w:name w:val="Ju_List"/>
    <w:aliases w:val="_List_1"/>
    <w:basedOn w:val="NormalJustified"/>
    <w:uiPriority w:val="23"/>
    <w:qFormat/>
    <w:rsid w:val="00C44F09"/>
    <w:pPr>
      <w:numPr>
        <w:numId w:val="6"/>
      </w:numPr>
      <w:spacing w:before="280" w:after="60"/>
    </w:pPr>
  </w:style>
  <w:style w:type="paragraph" w:customStyle="1" w:styleId="JuLista">
    <w:name w:val="Ju_List_a"/>
    <w:aliases w:val="_List_2"/>
    <w:basedOn w:val="NormalJustified"/>
    <w:uiPriority w:val="23"/>
    <w:rsid w:val="00C44F09"/>
    <w:pPr>
      <w:numPr>
        <w:ilvl w:val="1"/>
        <w:numId w:val="6"/>
      </w:numPr>
    </w:pPr>
  </w:style>
  <w:style w:type="paragraph" w:customStyle="1" w:styleId="JuListi">
    <w:name w:val="Ju_List_i"/>
    <w:aliases w:val="_List_3"/>
    <w:basedOn w:val="NormalJustified"/>
    <w:uiPriority w:val="23"/>
    <w:rsid w:val="00C44F09"/>
    <w:pPr>
      <w:numPr>
        <w:ilvl w:val="2"/>
        <w:numId w:val="6"/>
      </w:numPr>
    </w:pPr>
  </w:style>
  <w:style w:type="paragraph" w:customStyle="1" w:styleId="JuHArticle">
    <w:name w:val="Ju_H_Article"/>
    <w:aliases w:val="_Title_Quote"/>
    <w:basedOn w:val="Normal"/>
    <w:next w:val="JuQuot"/>
    <w:uiPriority w:val="19"/>
    <w:qFormat/>
    <w:rsid w:val="00C44F0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44F0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44F0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44F09"/>
    <w:pPr>
      <w:keepNext/>
      <w:keepLines/>
      <w:numPr>
        <w:numId w:val="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44F09"/>
    <w:pPr>
      <w:numPr>
        <w:numId w:val="5"/>
      </w:numPr>
    </w:pPr>
  </w:style>
  <w:style w:type="paragraph" w:customStyle="1" w:styleId="JuSigned">
    <w:name w:val="Ju_Signed"/>
    <w:aliases w:val="_Signature"/>
    <w:basedOn w:val="Normal"/>
    <w:next w:val="JuPara"/>
    <w:uiPriority w:val="31"/>
    <w:qFormat/>
    <w:rsid w:val="00C44F09"/>
    <w:pPr>
      <w:tabs>
        <w:tab w:val="center" w:pos="851"/>
        <w:tab w:val="center" w:pos="6407"/>
      </w:tabs>
      <w:spacing w:before="720"/>
    </w:pPr>
  </w:style>
  <w:style w:type="paragraph" w:styleId="Title">
    <w:name w:val="Title"/>
    <w:basedOn w:val="Normal"/>
    <w:next w:val="Normal"/>
    <w:link w:val="TitleChar"/>
    <w:uiPriority w:val="98"/>
    <w:semiHidden/>
    <w:qFormat/>
    <w:rsid w:val="00C44F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44F0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44F09"/>
    <w:pPr>
      <w:numPr>
        <w:numId w:val="20"/>
      </w:numPr>
    </w:pPr>
  </w:style>
  <w:style w:type="numbering" w:customStyle="1" w:styleId="ECHRA1StyleNumberedList">
    <w:name w:val="ECHR_A1_Style_Numbered_List"/>
    <w:basedOn w:val="NoList"/>
    <w:rsid w:val="00C44F09"/>
    <w:pPr>
      <w:numPr>
        <w:numId w:val="7"/>
      </w:numPr>
    </w:pPr>
  </w:style>
  <w:style w:type="table" w:customStyle="1" w:styleId="ECHRTable2019">
    <w:name w:val="ECHR_Table_2019"/>
    <w:basedOn w:val="TableNormal"/>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C44F0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44F09"/>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44F09"/>
    <w:pPr>
      <w:keepNext/>
      <w:keepLines/>
      <w:numPr>
        <w:ilvl w:val="2"/>
        <w:numId w:val="1"/>
      </w:numPr>
      <w:spacing w:before="100" w:beforeAutospacing="1" w:after="240" w:line="240" w:lineRule="auto"/>
      <w:jc w:val="both"/>
    </w:pPr>
    <w:rPr>
      <w:color w:val="auto"/>
    </w:rPr>
  </w:style>
  <w:style w:type="paragraph" w:customStyle="1" w:styleId="JuH1">
    <w:name w:val="Ju_H_1."/>
    <w:aliases w:val="_Head_4"/>
    <w:basedOn w:val="Heading4"/>
    <w:next w:val="JuPara"/>
    <w:uiPriority w:val="17"/>
    <w:rsid w:val="00C44F09"/>
    <w:pPr>
      <w:keepNext/>
      <w:keepLines/>
      <w:numPr>
        <w:ilvl w:val="3"/>
        <w:numId w:val="1"/>
      </w:numPr>
      <w:spacing w:before="100" w:beforeAutospacing="1" w:after="120"/>
      <w:jc w:val="both"/>
    </w:pPr>
    <w:rPr>
      <w:b w:val="0"/>
      <w:color w:val="auto"/>
    </w:rPr>
  </w:style>
  <w:style w:type="paragraph" w:styleId="Header">
    <w:name w:val="header"/>
    <w:basedOn w:val="Normal"/>
    <w:link w:val="HeaderChar"/>
    <w:uiPriority w:val="98"/>
    <w:semiHidden/>
    <w:rsid w:val="00C44F09"/>
    <w:pPr>
      <w:tabs>
        <w:tab w:val="center" w:pos="4536"/>
        <w:tab w:val="right" w:pos="9072"/>
      </w:tabs>
    </w:pPr>
  </w:style>
  <w:style w:type="character" w:customStyle="1" w:styleId="HeaderChar">
    <w:name w:val="Header Char"/>
    <w:basedOn w:val="DefaultParagraphFont"/>
    <w:link w:val="Header"/>
    <w:uiPriority w:val="98"/>
    <w:semiHidden/>
    <w:rsid w:val="00C44F09"/>
    <w:rPr>
      <w:sz w:val="24"/>
      <w:szCs w:val="24"/>
      <w:lang w:val="en-GB"/>
    </w:rPr>
  </w:style>
  <w:style w:type="character" w:customStyle="1" w:styleId="Heading1Char">
    <w:name w:val="Heading 1 Char"/>
    <w:basedOn w:val="DefaultParagraphFont"/>
    <w:link w:val="Heading1"/>
    <w:uiPriority w:val="98"/>
    <w:semiHidden/>
    <w:rsid w:val="00C44F0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44F09"/>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C44F09"/>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44F0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44F09"/>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44F09"/>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C44F0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44F09"/>
    <w:pPr>
      <w:keepNext/>
      <w:keepLines/>
      <w:spacing w:before="240" w:after="240"/>
      <w:ind w:firstLine="284"/>
    </w:pPr>
  </w:style>
  <w:style w:type="paragraph" w:customStyle="1" w:styleId="JuJudges">
    <w:name w:val="Ju_Judges"/>
    <w:aliases w:val="_Judges"/>
    <w:basedOn w:val="Normal"/>
    <w:uiPriority w:val="32"/>
    <w:qFormat/>
    <w:rsid w:val="00C44F09"/>
    <w:pPr>
      <w:tabs>
        <w:tab w:val="left" w:pos="567"/>
        <w:tab w:val="left" w:pos="1134"/>
      </w:tabs>
    </w:pPr>
  </w:style>
  <w:style w:type="character" w:customStyle="1" w:styleId="Heading4Char">
    <w:name w:val="Heading 4 Char"/>
    <w:basedOn w:val="DefaultParagraphFont"/>
    <w:link w:val="Heading4"/>
    <w:uiPriority w:val="98"/>
    <w:semiHidden/>
    <w:rsid w:val="00C44F0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44F09"/>
    <w:pPr>
      <w:tabs>
        <w:tab w:val="center" w:pos="6407"/>
      </w:tabs>
      <w:spacing w:before="720"/>
      <w:jc w:val="right"/>
    </w:pPr>
  </w:style>
  <w:style w:type="character" w:customStyle="1" w:styleId="Heading5Char">
    <w:name w:val="Heading 5 Char"/>
    <w:basedOn w:val="DefaultParagraphFont"/>
    <w:link w:val="Heading5"/>
    <w:uiPriority w:val="98"/>
    <w:semiHidden/>
    <w:rsid w:val="00C44F0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44F0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44F09"/>
    <w:rPr>
      <w:caps w:val="0"/>
      <w:smallCaps/>
    </w:rPr>
  </w:style>
  <w:style w:type="character" w:styleId="SubtleEmphasis">
    <w:name w:val="Subtle Emphasis"/>
    <w:uiPriority w:val="98"/>
    <w:semiHidden/>
    <w:qFormat/>
    <w:rsid w:val="00C44F09"/>
    <w:rPr>
      <w:i/>
      <w:iCs/>
    </w:rPr>
  </w:style>
  <w:style w:type="table" w:customStyle="1" w:styleId="ECHRTable">
    <w:name w:val="ECHR_Table"/>
    <w:basedOn w:val="TableNormal"/>
    <w:rsid w:val="00C44F0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44F0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44F09"/>
    <w:rPr>
      <w:b/>
      <w:bCs/>
      <w:i/>
      <w:iCs/>
      <w:spacing w:val="10"/>
      <w:bdr w:val="none" w:sz="0" w:space="0" w:color="auto"/>
      <w:shd w:val="clear" w:color="auto" w:fill="auto"/>
    </w:rPr>
  </w:style>
  <w:style w:type="paragraph" w:styleId="Footer0">
    <w:name w:val="footer"/>
    <w:basedOn w:val="Normal"/>
    <w:link w:val="FooterChar"/>
    <w:uiPriority w:val="98"/>
    <w:semiHidden/>
    <w:rsid w:val="00C44F09"/>
    <w:pPr>
      <w:tabs>
        <w:tab w:val="center" w:pos="3686"/>
        <w:tab w:val="right" w:pos="7371"/>
      </w:tabs>
    </w:pPr>
  </w:style>
  <w:style w:type="character" w:customStyle="1" w:styleId="FooterChar">
    <w:name w:val="Footer Char"/>
    <w:basedOn w:val="DefaultParagraphFont"/>
    <w:link w:val="Footer0"/>
    <w:uiPriority w:val="98"/>
    <w:semiHidden/>
    <w:rsid w:val="00C44F09"/>
    <w:rPr>
      <w:sz w:val="24"/>
      <w:szCs w:val="24"/>
      <w:lang w:val="en-GB"/>
    </w:rPr>
  </w:style>
  <w:style w:type="character" w:styleId="FootnoteReference">
    <w:name w:val="footnote reference"/>
    <w:basedOn w:val="DefaultParagraphFont"/>
    <w:uiPriority w:val="98"/>
    <w:semiHidden/>
    <w:rsid w:val="00C44F09"/>
    <w:rPr>
      <w:vertAlign w:val="superscript"/>
    </w:rPr>
  </w:style>
  <w:style w:type="paragraph" w:styleId="FootnoteText">
    <w:name w:val="footnote text"/>
    <w:basedOn w:val="Normal"/>
    <w:link w:val="FootnoteTextChar"/>
    <w:uiPriority w:val="98"/>
    <w:semiHidden/>
    <w:rsid w:val="00C44F09"/>
    <w:rPr>
      <w:sz w:val="20"/>
      <w:szCs w:val="20"/>
    </w:rPr>
  </w:style>
  <w:style w:type="character" w:customStyle="1" w:styleId="FootnoteTextChar">
    <w:name w:val="Footnote Text Char"/>
    <w:basedOn w:val="DefaultParagraphFont"/>
    <w:link w:val="FootnoteText"/>
    <w:uiPriority w:val="98"/>
    <w:semiHidden/>
    <w:rsid w:val="00C44F09"/>
    <w:rPr>
      <w:sz w:val="20"/>
      <w:szCs w:val="20"/>
      <w:lang w:val="en-GB"/>
    </w:rPr>
  </w:style>
  <w:style w:type="character" w:customStyle="1" w:styleId="Heading6Char">
    <w:name w:val="Heading 6 Char"/>
    <w:basedOn w:val="DefaultParagraphFont"/>
    <w:link w:val="Heading6"/>
    <w:uiPriority w:val="98"/>
    <w:semiHidden/>
    <w:rsid w:val="00C44F0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44F0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44F0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44F0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44F09"/>
    <w:rPr>
      <w:color w:val="0072BC" w:themeColor="hyperlink"/>
      <w:u w:val="single"/>
    </w:rPr>
  </w:style>
  <w:style w:type="character" w:styleId="IntenseEmphasis">
    <w:name w:val="Intense Emphasis"/>
    <w:uiPriority w:val="98"/>
    <w:semiHidden/>
    <w:qFormat/>
    <w:rsid w:val="00C44F09"/>
    <w:rPr>
      <w:b/>
      <w:bCs/>
    </w:rPr>
  </w:style>
  <w:style w:type="paragraph" w:styleId="IntenseQuote">
    <w:name w:val="Intense Quote"/>
    <w:basedOn w:val="Normal"/>
    <w:next w:val="Normal"/>
    <w:link w:val="IntenseQuoteChar"/>
    <w:uiPriority w:val="98"/>
    <w:semiHidden/>
    <w:qFormat/>
    <w:rsid w:val="00C44F0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44F09"/>
    <w:rPr>
      <w:b/>
      <w:bCs/>
      <w:i/>
      <w:iCs/>
      <w:sz w:val="24"/>
      <w:szCs w:val="24"/>
      <w:lang w:val="en-GB" w:bidi="en-US"/>
    </w:rPr>
  </w:style>
  <w:style w:type="character" w:styleId="IntenseReference">
    <w:name w:val="Intense Reference"/>
    <w:uiPriority w:val="98"/>
    <w:semiHidden/>
    <w:qFormat/>
    <w:rsid w:val="00C44F09"/>
    <w:rPr>
      <w:smallCaps/>
      <w:spacing w:val="5"/>
      <w:u w:val="single"/>
    </w:rPr>
  </w:style>
  <w:style w:type="paragraph" w:styleId="ListParagraph">
    <w:name w:val="List Paragraph"/>
    <w:basedOn w:val="Normal"/>
    <w:uiPriority w:val="98"/>
    <w:semiHidden/>
    <w:qFormat/>
    <w:rsid w:val="00C44F09"/>
    <w:pPr>
      <w:ind w:left="720"/>
      <w:contextualSpacing/>
    </w:pPr>
  </w:style>
  <w:style w:type="table" w:customStyle="1" w:styleId="LtrTableAddress">
    <w:name w:val="Ltr_Table_Address"/>
    <w:aliases w:val="ECHR_Ltr_Table_Address"/>
    <w:basedOn w:val="TableNormal"/>
    <w:uiPriority w:val="99"/>
    <w:rsid w:val="00C44F09"/>
    <w:rPr>
      <w:sz w:val="24"/>
      <w:szCs w:val="24"/>
    </w:rPr>
    <w:tblPr>
      <w:tblInd w:w="5103" w:type="dxa"/>
    </w:tblPr>
  </w:style>
  <w:style w:type="paragraph" w:styleId="Quote">
    <w:name w:val="Quote"/>
    <w:basedOn w:val="Normal"/>
    <w:next w:val="Normal"/>
    <w:link w:val="QuoteChar"/>
    <w:uiPriority w:val="98"/>
    <w:semiHidden/>
    <w:qFormat/>
    <w:rsid w:val="00C44F09"/>
    <w:pPr>
      <w:spacing w:before="200"/>
      <w:ind w:left="360" w:right="360"/>
    </w:pPr>
    <w:rPr>
      <w:i/>
      <w:iCs/>
      <w:lang w:bidi="en-US"/>
    </w:rPr>
  </w:style>
  <w:style w:type="character" w:customStyle="1" w:styleId="QuoteChar">
    <w:name w:val="Quote Char"/>
    <w:basedOn w:val="DefaultParagraphFont"/>
    <w:link w:val="Quote"/>
    <w:uiPriority w:val="98"/>
    <w:semiHidden/>
    <w:rsid w:val="00C44F09"/>
    <w:rPr>
      <w:i/>
      <w:iCs/>
      <w:sz w:val="24"/>
      <w:szCs w:val="24"/>
      <w:lang w:val="en-GB" w:bidi="en-US"/>
    </w:rPr>
  </w:style>
  <w:style w:type="character" w:styleId="SubtleReference">
    <w:name w:val="Subtle Reference"/>
    <w:uiPriority w:val="98"/>
    <w:semiHidden/>
    <w:qFormat/>
    <w:rsid w:val="00C44F09"/>
    <w:rPr>
      <w:smallCaps/>
    </w:rPr>
  </w:style>
  <w:style w:type="table" w:styleId="TableGrid">
    <w:name w:val="Table Grid"/>
    <w:basedOn w:val="TableNormal"/>
    <w:uiPriority w:val="59"/>
    <w:semiHidden/>
    <w:rsid w:val="00C44F0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44F0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44F0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44F0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44F0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44F0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44F0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44F0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44F0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44F0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44F0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44F0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44F0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44F0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44F0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44F0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44F09"/>
    <w:pPr>
      <w:numPr>
        <w:numId w:val="2"/>
      </w:numPr>
    </w:pPr>
  </w:style>
  <w:style w:type="paragraph" w:customStyle="1" w:styleId="JuPara">
    <w:name w:val="Ju_Para"/>
    <w:aliases w:val="_Para"/>
    <w:basedOn w:val="NormalJustified"/>
    <w:link w:val="JuParaChar"/>
    <w:uiPriority w:val="4"/>
    <w:qFormat/>
    <w:rsid w:val="00C44F09"/>
    <w:pPr>
      <w:ind w:firstLine="284"/>
    </w:pPr>
  </w:style>
  <w:style w:type="numbering" w:styleId="1ai">
    <w:name w:val="Outline List 1"/>
    <w:basedOn w:val="NoList"/>
    <w:uiPriority w:val="99"/>
    <w:semiHidden/>
    <w:unhideWhenUsed/>
    <w:rsid w:val="00C44F09"/>
    <w:pPr>
      <w:numPr>
        <w:numId w:val="3"/>
      </w:numPr>
    </w:pPr>
  </w:style>
  <w:style w:type="table" w:customStyle="1" w:styleId="ECHRTableSimpleBox">
    <w:name w:val="ECHR_Table_Simple_Box"/>
    <w:basedOn w:val="TableNormal"/>
    <w:uiPriority w:val="99"/>
    <w:rsid w:val="00C44F0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44F0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44F09"/>
    <w:pPr>
      <w:numPr>
        <w:numId w:val="4"/>
      </w:numPr>
    </w:pPr>
  </w:style>
  <w:style w:type="table" w:customStyle="1" w:styleId="ECHRTableForInternalUse">
    <w:name w:val="ECHR_Table_For_Internal_Use"/>
    <w:basedOn w:val="TableNormal"/>
    <w:uiPriority w:val="99"/>
    <w:rsid w:val="00C44F0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44F0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44F09"/>
  </w:style>
  <w:style w:type="paragraph" w:styleId="BlockText">
    <w:name w:val="Block Text"/>
    <w:basedOn w:val="Normal"/>
    <w:uiPriority w:val="98"/>
    <w:semiHidden/>
    <w:rsid w:val="00C44F0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44F0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44F09"/>
    <w:pPr>
      <w:spacing w:after="120"/>
    </w:pPr>
  </w:style>
  <w:style w:type="character" w:customStyle="1" w:styleId="BodyTextChar">
    <w:name w:val="Body Text Char"/>
    <w:basedOn w:val="DefaultParagraphFont"/>
    <w:link w:val="BodyText"/>
    <w:uiPriority w:val="98"/>
    <w:semiHidden/>
    <w:rsid w:val="00C44F09"/>
    <w:rPr>
      <w:sz w:val="24"/>
      <w:szCs w:val="24"/>
      <w:lang w:val="en-GB"/>
    </w:rPr>
  </w:style>
  <w:style w:type="table" w:customStyle="1" w:styleId="ECHRTableOddBanded">
    <w:name w:val="ECHR_Table_Odd_Banded"/>
    <w:basedOn w:val="TableNormal"/>
    <w:uiPriority w:val="99"/>
    <w:rsid w:val="00C44F0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44F09"/>
    <w:pPr>
      <w:spacing w:after="120" w:line="480" w:lineRule="auto"/>
    </w:pPr>
  </w:style>
  <w:style w:type="table" w:customStyle="1" w:styleId="ECHRHeaderTableReduced">
    <w:name w:val="ECHR_Header_Table_Reduced"/>
    <w:basedOn w:val="TableNormal"/>
    <w:uiPriority w:val="99"/>
    <w:rsid w:val="00C44F0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C44F09"/>
    <w:pPr>
      <w:ind w:firstLine="284"/>
    </w:pPr>
    <w:rPr>
      <w:b/>
    </w:rPr>
  </w:style>
  <w:style w:type="character" w:styleId="PageNumber">
    <w:name w:val="page number"/>
    <w:uiPriority w:val="98"/>
    <w:semiHidden/>
    <w:rsid w:val="00C44F09"/>
    <w:rPr>
      <w:sz w:val="18"/>
    </w:rPr>
  </w:style>
  <w:style w:type="paragraph" w:styleId="ListBullet">
    <w:name w:val="List Bullet"/>
    <w:basedOn w:val="Normal"/>
    <w:uiPriority w:val="98"/>
    <w:semiHidden/>
    <w:rsid w:val="00C44F09"/>
    <w:pPr>
      <w:numPr>
        <w:numId w:val="8"/>
      </w:numPr>
    </w:pPr>
  </w:style>
  <w:style w:type="paragraph" w:styleId="ListBullet3">
    <w:name w:val="List Bullet 3"/>
    <w:basedOn w:val="Normal"/>
    <w:uiPriority w:val="98"/>
    <w:semiHidden/>
    <w:rsid w:val="00C44F09"/>
    <w:pPr>
      <w:numPr>
        <w:numId w:val="10"/>
      </w:numPr>
      <w:contextualSpacing/>
    </w:pPr>
  </w:style>
  <w:style w:type="character" w:customStyle="1" w:styleId="BodyText2Char">
    <w:name w:val="Body Text 2 Char"/>
    <w:basedOn w:val="DefaultParagraphFont"/>
    <w:link w:val="BodyText2"/>
    <w:uiPriority w:val="98"/>
    <w:semiHidden/>
    <w:rsid w:val="00C44F09"/>
    <w:rPr>
      <w:sz w:val="24"/>
      <w:szCs w:val="24"/>
      <w:lang w:val="en-GB"/>
    </w:rPr>
  </w:style>
  <w:style w:type="paragraph" w:styleId="BodyText3">
    <w:name w:val="Body Text 3"/>
    <w:basedOn w:val="Normal"/>
    <w:link w:val="BodyText3Char"/>
    <w:uiPriority w:val="98"/>
    <w:semiHidden/>
    <w:rsid w:val="00C44F09"/>
    <w:pPr>
      <w:spacing w:after="120"/>
    </w:pPr>
    <w:rPr>
      <w:sz w:val="16"/>
      <w:szCs w:val="16"/>
    </w:rPr>
  </w:style>
  <w:style w:type="character" w:customStyle="1" w:styleId="BodyText3Char">
    <w:name w:val="Body Text 3 Char"/>
    <w:basedOn w:val="DefaultParagraphFont"/>
    <w:link w:val="BodyText3"/>
    <w:uiPriority w:val="98"/>
    <w:semiHidden/>
    <w:rsid w:val="00C44F09"/>
    <w:rPr>
      <w:sz w:val="16"/>
      <w:szCs w:val="16"/>
      <w:lang w:val="en-GB"/>
    </w:rPr>
  </w:style>
  <w:style w:type="paragraph" w:styleId="BodyTextFirstIndent">
    <w:name w:val="Body Text First Indent"/>
    <w:basedOn w:val="BodyText"/>
    <w:link w:val="BodyTextFirstIndentChar"/>
    <w:uiPriority w:val="98"/>
    <w:semiHidden/>
    <w:rsid w:val="00C44F09"/>
    <w:pPr>
      <w:spacing w:after="0"/>
      <w:ind w:firstLine="360"/>
    </w:pPr>
  </w:style>
  <w:style w:type="character" w:customStyle="1" w:styleId="BodyTextFirstIndentChar">
    <w:name w:val="Body Text First Indent Char"/>
    <w:basedOn w:val="BodyTextChar"/>
    <w:link w:val="BodyTextFirstIndent"/>
    <w:uiPriority w:val="98"/>
    <w:semiHidden/>
    <w:rsid w:val="00C44F09"/>
    <w:rPr>
      <w:sz w:val="24"/>
      <w:szCs w:val="24"/>
      <w:lang w:val="en-GB"/>
    </w:rPr>
  </w:style>
  <w:style w:type="paragraph" w:styleId="BodyTextIndent">
    <w:name w:val="Body Text Indent"/>
    <w:basedOn w:val="Normal"/>
    <w:link w:val="BodyTextIndentChar"/>
    <w:uiPriority w:val="98"/>
    <w:semiHidden/>
    <w:rsid w:val="00C44F09"/>
    <w:pPr>
      <w:spacing w:after="120"/>
      <w:ind w:left="283"/>
    </w:pPr>
  </w:style>
  <w:style w:type="character" w:customStyle="1" w:styleId="BodyTextIndentChar">
    <w:name w:val="Body Text Indent Char"/>
    <w:basedOn w:val="DefaultParagraphFont"/>
    <w:link w:val="BodyTextIndent"/>
    <w:uiPriority w:val="98"/>
    <w:semiHidden/>
    <w:rsid w:val="00C44F09"/>
    <w:rPr>
      <w:sz w:val="24"/>
      <w:szCs w:val="24"/>
      <w:lang w:val="en-GB"/>
    </w:rPr>
  </w:style>
  <w:style w:type="paragraph" w:styleId="BodyTextFirstIndent2">
    <w:name w:val="Body Text First Indent 2"/>
    <w:basedOn w:val="BodyTextIndent"/>
    <w:link w:val="BodyTextFirstIndent2Char"/>
    <w:uiPriority w:val="98"/>
    <w:semiHidden/>
    <w:rsid w:val="00C44F09"/>
    <w:pPr>
      <w:spacing w:after="0"/>
      <w:ind w:left="360" w:firstLine="360"/>
    </w:pPr>
  </w:style>
  <w:style w:type="character" w:customStyle="1" w:styleId="BodyTextFirstIndent2Char">
    <w:name w:val="Body Text First Indent 2 Char"/>
    <w:basedOn w:val="BodyTextIndentChar"/>
    <w:link w:val="BodyTextFirstIndent2"/>
    <w:uiPriority w:val="98"/>
    <w:semiHidden/>
    <w:rsid w:val="00C44F09"/>
    <w:rPr>
      <w:sz w:val="24"/>
      <w:szCs w:val="24"/>
      <w:lang w:val="en-GB"/>
    </w:rPr>
  </w:style>
  <w:style w:type="paragraph" w:styleId="BodyTextIndent2">
    <w:name w:val="Body Text Indent 2"/>
    <w:basedOn w:val="Normal"/>
    <w:link w:val="BodyTextIndent2Char"/>
    <w:uiPriority w:val="98"/>
    <w:semiHidden/>
    <w:rsid w:val="00C44F09"/>
    <w:pPr>
      <w:spacing w:after="120" w:line="480" w:lineRule="auto"/>
      <w:ind w:left="283"/>
    </w:pPr>
  </w:style>
  <w:style w:type="character" w:customStyle="1" w:styleId="BodyTextIndent2Char">
    <w:name w:val="Body Text Indent 2 Char"/>
    <w:basedOn w:val="DefaultParagraphFont"/>
    <w:link w:val="BodyTextIndent2"/>
    <w:uiPriority w:val="98"/>
    <w:semiHidden/>
    <w:rsid w:val="00C44F09"/>
    <w:rPr>
      <w:sz w:val="24"/>
      <w:szCs w:val="24"/>
      <w:lang w:val="en-GB"/>
    </w:rPr>
  </w:style>
  <w:style w:type="paragraph" w:styleId="BodyTextIndent3">
    <w:name w:val="Body Text Indent 3"/>
    <w:basedOn w:val="Normal"/>
    <w:link w:val="BodyTextIndent3Char"/>
    <w:uiPriority w:val="98"/>
    <w:semiHidden/>
    <w:rsid w:val="00C44F0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44F09"/>
    <w:rPr>
      <w:sz w:val="16"/>
      <w:szCs w:val="16"/>
      <w:lang w:val="en-GB"/>
    </w:rPr>
  </w:style>
  <w:style w:type="paragraph" w:styleId="Caption">
    <w:name w:val="caption"/>
    <w:basedOn w:val="Normal"/>
    <w:next w:val="Normal"/>
    <w:uiPriority w:val="98"/>
    <w:semiHidden/>
    <w:qFormat/>
    <w:rsid w:val="00C44F09"/>
    <w:pPr>
      <w:spacing w:after="200"/>
    </w:pPr>
    <w:rPr>
      <w:b/>
      <w:bCs/>
      <w:color w:val="0072BC" w:themeColor="accent1"/>
      <w:sz w:val="18"/>
      <w:szCs w:val="18"/>
    </w:rPr>
  </w:style>
  <w:style w:type="paragraph" w:styleId="Closing">
    <w:name w:val="Closing"/>
    <w:basedOn w:val="Normal"/>
    <w:link w:val="ClosingChar"/>
    <w:uiPriority w:val="98"/>
    <w:semiHidden/>
    <w:rsid w:val="00C44F09"/>
    <w:pPr>
      <w:ind w:left="4252"/>
    </w:pPr>
  </w:style>
  <w:style w:type="character" w:customStyle="1" w:styleId="ClosingChar">
    <w:name w:val="Closing Char"/>
    <w:basedOn w:val="DefaultParagraphFont"/>
    <w:link w:val="Closing"/>
    <w:uiPriority w:val="98"/>
    <w:semiHidden/>
    <w:rsid w:val="00C44F09"/>
    <w:rPr>
      <w:sz w:val="24"/>
      <w:szCs w:val="24"/>
      <w:lang w:val="en-GB"/>
    </w:rPr>
  </w:style>
  <w:style w:type="table" w:styleId="ColorfulGrid">
    <w:name w:val="Colorful Grid"/>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44F0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44F0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44F0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44F0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44F0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44F0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44F0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44F0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44F0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44F0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44F0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44F09"/>
    <w:rPr>
      <w:sz w:val="16"/>
      <w:szCs w:val="16"/>
    </w:rPr>
  </w:style>
  <w:style w:type="paragraph" w:styleId="CommentText">
    <w:name w:val="annotation text"/>
    <w:basedOn w:val="Normal"/>
    <w:link w:val="CommentTextChar"/>
    <w:uiPriority w:val="98"/>
    <w:semiHidden/>
    <w:rsid w:val="00C44F09"/>
    <w:rPr>
      <w:sz w:val="20"/>
      <w:szCs w:val="20"/>
    </w:rPr>
  </w:style>
  <w:style w:type="character" w:customStyle="1" w:styleId="CommentTextChar">
    <w:name w:val="Comment Text Char"/>
    <w:basedOn w:val="DefaultParagraphFont"/>
    <w:link w:val="CommentText"/>
    <w:uiPriority w:val="98"/>
    <w:semiHidden/>
    <w:rsid w:val="00C44F09"/>
    <w:rPr>
      <w:sz w:val="20"/>
      <w:szCs w:val="20"/>
      <w:lang w:val="en-GB"/>
    </w:rPr>
  </w:style>
  <w:style w:type="paragraph" w:styleId="CommentSubject">
    <w:name w:val="annotation subject"/>
    <w:basedOn w:val="CommentText"/>
    <w:next w:val="CommentText"/>
    <w:link w:val="CommentSubjectChar"/>
    <w:uiPriority w:val="98"/>
    <w:semiHidden/>
    <w:rsid w:val="00C44F09"/>
    <w:rPr>
      <w:b/>
      <w:bCs/>
    </w:rPr>
  </w:style>
  <w:style w:type="character" w:customStyle="1" w:styleId="CommentSubjectChar">
    <w:name w:val="Comment Subject Char"/>
    <w:basedOn w:val="CommentTextChar"/>
    <w:link w:val="CommentSubject"/>
    <w:uiPriority w:val="98"/>
    <w:semiHidden/>
    <w:rsid w:val="00C44F09"/>
    <w:rPr>
      <w:b/>
      <w:bCs/>
      <w:sz w:val="20"/>
      <w:szCs w:val="20"/>
      <w:lang w:val="en-GB"/>
    </w:rPr>
  </w:style>
  <w:style w:type="table" w:styleId="DarkList">
    <w:name w:val="Dark List"/>
    <w:basedOn w:val="TableNormal"/>
    <w:uiPriority w:val="70"/>
    <w:semiHidden/>
    <w:rsid w:val="00C44F0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44F0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44F0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44F0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44F0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44F0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44F0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44F09"/>
  </w:style>
  <w:style w:type="character" w:customStyle="1" w:styleId="DateChar">
    <w:name w:val="Date Char"/>
    <w:basedOn w:val="DefaultParagraphFont"/>
    <w:link w:val="Date"/>
    <w:uiPriority w:val="98"/>
    <w:semiHidden/>
    <w:rsid w:val="00C44F09"/>
    <w:rPr>
      <w:sz w:val="24"/>
      <w:szCs w:val="24"/>
      <w:lang w:val="en-GB"/>
    </w:rPr>
  </w:style>
  <w:style w:type="paragraph" w:styleId="DocumentMap">
    <w:name w:val="Document Map"/>
    <w:basedOn w:val="Normal"/>
    <w:link w:val="DocumentMapChar"/>
    <w:uiPriority w:val="98"/>
    <w:semiHidden/>
    <w:rsid w:val="00C44F09"/>
    <w:rPr>
      <w:rFonts w:ascii="Tahoma" w:hAnsi="Tahoma" w:cs="Tahoma"/>
      <w:sz w:val="16"/>
      <w:szCs w:val="16"/>
    </w:rPr>
  </w:style>
  <w:style w:type="character" w:customStyle="1" w:styleId="DocumentMapChar">
    <w:name w:val="Document Map Char"/>
    <w:basedOn w:val="DefaultParagraphFont"/>
    <w:link w:val="DocumentMap"/>
    <w:uiPriority w:val="98"/>
    <w:semiHidden/>
    <w:rsid w:val="00C44F09"/>
    <w:rPr>
      <w:rFonts w:ascii="Tahoma" w:hAnsi="Tahoma" w:cs="Tahoma"/>
      <w:sz w:val="16"/>
      <w:szCs w:val="16"/>
      <w:lang w:val="en-GB"/>
    </w:rPr>
  </w:style>
  <w:style w:type="paragraph" w:styleId="E-mailSignature">
    <w:name w:val="E-mail Signature"/>
    <w:basedOn w:val="Normal"/>
    <w:link w:val="E-mailSignatureChar"/>
    <w:uiPriority w:val="98"/>
    <w:semiHidden/>
    <w:rsid w:val="00C44F09"/>
  </w:style>
  <w:style w:type="character" w:customStyle="1" w:styleId="E-mailSignatureChar">
    <w:name w:val="E-mail Signature Char"/>
    <w:basedOn w:val="DefaultParagraphFont"/>
    <w:link w:val="E-mailSignature"/>
    <w:uiPriority w:val="98"/>
    <w:semiHidden/>
    <w:rsid w:val="00C44F09"/>
    <w:rPr>
      <w:sz w:val="24"/>
      <w:szCs w:val="24"/>
      <w:lang w:val="en-GB"/>
    </w:rPr>
  </w:style>
  <w:style w:type="character" w:styleId="EndnoteReference">
    <w:name w:val="endnote reference"/>
    <w:basedOn w:val="DefaultParagraphFont"/>
    <w:uiPriority w:val="98"/>
    <w:semiHidden/>
    <w:rsid w:val="00C44F09"/>
    <w:rPr>
      <w:vertAlign w:val="superscript"/>
    </w:rPr>
  </w:style>
  <w:style w:type="paragraph" w:styleId="EndnoteText">
    <w:name w:val="endnote text"/>
    <w:basedOn w:val="Normal"/>
    <w:link w:val="EndnoteTextChar"/>
    <w:uiPriority w:val="98"/>
    <w:semiHidden/>
    <w:rsid w:val="00C44F09"/>
    <w:rPr>
      <w:sz w:val="20"/>
      <w:szCs w:val="20"/>
    </w:rPr>
  </w:style>
  <w:style w:type="character" w:customStyle="1" w:styleId="EndnoteTextChar">
    <w:name w:val="Endnote Text Char"/>
    <w:basedOn w:val="DefaultParagraphFont"/>
    <w:link w:val="EndnoteText"/>
    <w:uiPriority w:val="98"/>
    <w:semiHidden/>
    <w:rsid w:val="00C44F09"/>
    <w:rPr>
      <w:sz w:val="20"/>
      <w:szCs w:val="20"/>
      <w:lang w:val="en-GB"/>
    </w:rPr>
  </w:style>
  <w:style w:type="paragraph" w:styleId="EnvelopeAddress">
    <w:name w:val="envelope address"/>
    <w:basedOn w:val="Normal"/>
    <w:uiPriority w:val="98"/>
    <w:semiHidden/>
    <w:rsid w:val="00C44F0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44F0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44F09"/>
    <w:rPr>
      <w:color w:val="7030A0" w:themeColor="followedHyperlink"/>
      <w:u w:val="single"/>
    </w:rPr>
  </w:style>
  <w:style w:type="character" w:styleId="HTMLAcronym">
    <w:name w:val="HTML Acronym"/>
    <w:basedOn w:val="DefaultParagraphFont"/>
    <w:uiPriority w:val="98"/>
    <w:semiHidden/>
    <w:rsid w:val="00C44F09"/>
  </w:style>
  <w:style w:type="paragraph" w:styleId="HTMLAddress">
    <w:name w:val="HTML Address"/>
    <w:basedOn w:val="Normal"/>
    <w:link w:val="HTMLAddressChar"/>
    <w:uiPriority w:val="98"/>
    <w:semiHidden/>
    <w:rsid w:val="00C44F09"/>
    <w:rPr>
      <w:i/>
      <w:iCs/>
    </w:rPr>
  </w:style>
  <w:style w:type="character" w:customStyle="1" w:styleId="HTMLAddressChar">
    <w:name w:val="HTML Address Char"/>
    <w:basedOn w:val="DefaultParagraphFont"/>
    <w:link w:val="HTMLAddress"/>
    <w:uiPriority w:val="98"/>
    <w:semiHidden/>
    <w:rsid w:val="00C44F09"/>
    <w:rPr>
      <w:i/>
      <w:iCs/>
      <w:sz w:val="24"/>
      <w:szCs w:val="24"/>
      <w:lang w:val="en-GB"/>
    </w:rPr>
  </w:style>
  <w:style w:type="character" w:styleId="HTMLCite">
    <w:name w:val="HTML Cite"/>
    <w:basedOn w:val="DefaultParagraphFont"/>
    <w:uiPriority w:val="98"/>
    <w:semiHidden/>
    <w:rsid w:val="00C44F09"/>
    <w:rPr>
      <w:i/>
      <w:iCs/>
    </w:rPr>
  </w:style>
  <w:style w:type="character" w:styleId="HTMLCode">
    <w:name w:val="HTML Code"/>
    <w:basedOn w:val="DefaultParagraphFont"/>
    <w:uiPriority w:val="98"/>
    <w:semiHidden/>
    <w:rsid w:val="00C44F09"/>
    <w:rPr>
      <w:rFonts w:ascii="Consolas" w:hAnsi="Consolas" w:cs="Consolas"/>
      <w:sz w:val="20"/>
      <w:szCs w:val="20"/>
    </w:rPr>
  </w:style>
  <w:style w:type="character" w:styleId="HTMLDefinition">
    <w:name w:val="HTML Definition"/>
    <w:basedOn w:val="DefaultParagraphFont"/>
    <w:uiPriority w:val="98"/>
    <w:semiHidden/>
    <w:rsid w:val="00C44F09"/>
    <w:rPr>
      <w:i/>
      <w:iCs/>
    </w:rPr>
  </w:style>
  <w:style w:type="character" w:styleId="HTMLKeyboard">
    <w:name w:val="HTML Keyboard"/>
    <w:basedOn w:val="DefaultParagraphFont"/>
    <w:uiPriority w:val="98"/>
    <w:semiHidden/>
    <w:rsid w:val="00C44F09"/>
    <w:rPr>
      <w:rFonts w:ascii="Consolas" w:hAnsi="Consolas" w:cs="Consolas"/>
      <w:sz w:val="20"/>
      <w:szCs w:val="20"/>
    </w:rPr>
  </w:style>
  <w:style w:type="paragraph" w:styleId="HTMLPreformatted">
    <w:name w:val="HTML Preformatted"/>
    <w:basedOn w:val="Normal"/>
    <w:link w:val="HTMLPreformattedChar"/>
    <w:uiPriority w:val="98"/>
    <w:semiHidden/>
    <w:rsid w:val="00C44F0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44F09"/>
    <w:rPr>
      <w:rFonts w:ascii="Consolas" w:hAnsi="Consolas" w:cs="Consolas"/>
      <w:sz w:val="20"/>
      <w:szCs w:val="20"/>
      <w:lang w:val="en-GB"/>
    </w:rPr>
  </w:style>
  <w:style w:type="character" w:styleId="HTMLSample">
    <w:name w:val="HTML Sample"/>
    <w:basedOn w:val="DefaultParagraphFont"/>
    <w:uiPriority w:val="98"/>
    <w:semiHidden/>
    <w:rsid w:val="00C44F09"/>
    <w:rPr>
      <w:rFonts w:ascii="Consolas" w:hAnsi="Consolas" w:cs="Consolas"/>
      <w:sz w:val="24"/>
      <w:szCs w:val="24"/>
    </w:rPr>
  </w:style>
  <w:style w:type="character" w:styleId="HTMLTypewriter">
    <w:name w:val="HTML Typewriter"/>
    <w:basedOn w:val="DefaultParagraphFont"/>
    <w:uiPriority w:val="98"/>
    <w:semiHidden/>
    <w:rsid w:val="00C44F09"/>
    <w:rPr>
      <w:rFonts w:ascii="Consolas" w:hAnsi="Consolas" w:cs="Consolas"/>
      <w:sz w:val="20"/>
      <w:szCs w:val="20"/>
    </w:rPr>
  </w:style>
  <w:style w:type="character" w:styleId="HTMLVariable">
    <w:name w:val="HTML Variable"/>
    <w:basedOn w:val="DefaultParagraphFont"/>
    <w:uiPriority w:val="98"/>
    <w:semiHidden/>
    <w:rsid w:val="00C44F09"/>
    <w:rPr>
      <w:i/>
      <w:iCs/>
    </w:rPr>
  </w:style>
  <w:style w:type="paragraph" w:styleId="Index1">
    <w:name w:val="index 1"/>
    <w:basedOn w:val="Normal"/>
    <w:next w:val="Normal"/>
    <w:autoRedefine/>
    <w:uiPriority w:val="98"/>
    <w:semiHidden/>
    <w:rsid w:val="00C44F09"/>
    <w:pPr>
      <w:ind w:left="240" w:hanging="240"/>
    </w:pPr>
  </w:style>
  <w:style w:type="paragraph" w:styleId="Index2">
    <w:name w:val="index 2"/>
    <w:basedOn w:val="Normal"/>
    <w:next w:val="Normal"/>
    <w:autoRedefine/>
    <w:uiPriority w:val="98"/>
    <w:semiHidden/>
    <w:rsid w:val="00C44F09"/>
    <w:pPr>
      <w:ind w:left="480" w:hanging="240"/>
    </w:pPr>
  </w:style>
  <w:style w:type="paragraph" w:styleId="Index3">
    <w:name w:val="index 3"/>
    <w:basedOn w:val="Normal"/>
    <w:next w:val="Normal"/>
    <w:autoRedefine/>
    <w:uiPriority w:val="98"/>
    <w:semiHidden/>
    <w:rsid w:val="00C44F09"/>
    <w:pPr>
      <w:ind w:left="720" w:hanging="240"/>
    </w:pPr>
  </w:style>
  <w:style w:type="paragraph" w:styleId="Index4">
    <w:name w:val="index 4"/>
    <w:basedOn w:val="Normal"/>
    <w:next w:val="Normal"/>
    <w:autoRedefine/>
    <w:uiPriority w:val="98"/>
    <w:semiHidden/>
    <w:rsid w:val="00C44F09"/>
    <w:pPr>
      <w:ind w:left="960" w:hanging="240"/>
    </w:pPr>
  </w:style>
  <w:style w:type="paragraph" w:styleId="Index5">
    <w:name w:val="index 5"/>
    <w:basedOn w:val="Normal"/>
    <w:next w:val="Normal"/>
    <w:autoRedefine/>
    <w:uiPriority w:val="98"/>
    <w:semiHidden/>
    <w:rsid w:val="00C44F09"/>
    <w:pPr>
      <w:ind w:left="1200" w:hanging="240"/>
    </w:pPr>
  </w:style>
  <w:style w:type="paragraph" w:styleId="Index6">
    <w:name w:val="index 6"/>
    <w:basedOn w:val="Normal"/>
    <w:next w:val="Normal"/>
    <w:autoRedefine/>
    <w:uiPriority w:val="98"/>
    <w:semiHidden/>
    <w:rsid w:val="00C44F09"/>
    <w:pPr>
      <w:ind w:left="1440" w:hanging="240"/>
    </w:pPr>
  </w:style>
  <w:style w:type="paragraph" w:styleId="Index7">
    <w:name w:val="index 7"/>
    <w:basedOn w:val="Normal"/>
    <w:next w:val="Normal"/>
    <w:autoRedefine/>
    <w:uiPriority w:val="98"/>
    <w:semiHidden/>
    <w:rsid w:val="00C44F09"/>
    <w:pPr>
      <w:ind w:left="1680" w:hanging="240"/>
    </w:pPr>
  </w:style>
  <w:style w:type="paragraph" w:styleId="Index8">
    <w:name w:val="index 8"/>
    <w:basedOn w:val="Normal"/>
    <w:next w:val="Normal"/>
    <w:autoRedefine/>
    <w:uiPriority w:val="98"/>
    <w:semiHidden/>
    <w:rsid w:val="00C44F09"/>
    <w:pPr>
      <w:ind w:left="1920" w:hanging="240"/>
    </w:pPr>
  </w:style>
  <w:style w:type="paragraph" w:styleId="Index9">
    <w:name w:val="index 9"/>
    <w:basedOn w:val="Normal"/>
    <w:next w:val="Normal"/>
    <w:autoRedefine/>
    <w:uiPriority w:val="98"/>
    <w:semiHidden/>
    <w:rsid w:val="00C44F09"/>
    <w:pPr>
      <w:ind w:left="2160" w:hanging="240"/>
    </w:pPr>
  </w:style>
  <w:style w:type="paragraph" w:styleId="IndexHeading">
    <w:name w:val="index heading"/>
    <w:basedOn w:val="Normal"/>
    <w:next w:val="Index1"/>
    <w:uiPriority w:val="98"/>
    <w:semiHidden/>
    <w:rsid w:val="00C44F09"/>
    <w:rPr>
      <w:rFonts w:asciiTheme="majorHAnsi" w:eastAsiaTheme="majorEastAsia" w:hAnsiTheme="majorHAnsi" w:cstheme="majorBidi"/>
      <w:b/>
      <w:bCs/>
    </w:rPr>
  </w:style>
  <w:style w:type="table" w:styleId="LightGrid">
    <w:name w:val="Light Grid"/>
    <w:basedOn w:val="TableNormal"/>
    <w:uiPriority w:val="62"/>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44F0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44F0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44F0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44F0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44F0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44F0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44F0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44F09"/>
  </w:style>
  <w:style w:type="paragraph" w:styleId="List">
    <w:name w:val="List"/>
    <w:basedOn w:val="Normal"/>
    <w:uiPriority w:val="98"/>
    <w:semiHidden/>
    <w:rsid w:val="00C44F09"/>
    <w:pPr>
      <w:ind w:left="283" w:hanging="283"/>
      <w:contextualSpacing/>
    </w:pPr>
  </w:style>
  <w:style w:type="paragraph" w:styleId="List2">
    <w:name w:val="List 2"/>
    <w:basedOn w:val="Normal"/>
    <w:uiPriority w:val="98"/>
    <w:semiHidden/>
    <w:rsid w:val="00C44F09"/>
    <w:pPr>
      <w:ind w:left="566" w:hanging="283"/>
      <w:contextualSpacing/>
    </w:pPr>
  </w:style>
  <w:style w:type="paragraph" w:styleId="List3">
    <w:name w:val="List 3"/>
    <w:basedOn w:val="Normal"/>
    <w:uiPriority w:val="98"/>
    <w:semiHidden/>
    <w:rsid w:val="00C44F09"/>
    <w:pPr>
      <w:ind w:left="849" w:hanging="283"/>
      <w:contextualSpacing/>
    </w:pPr>
  </w:style>
  <w:style w:type="paragraph" w:styleId="List4">
    <w:name w:val="List 4"/>
    <w:basedOn w:val="Normal"/>
    <w:uiPriority w:val="98"/>
    <w:semiHidden/>
    <w:rsid w:val="00C44F09"/>
    <w:pPr>
      <w:ind w:left="1132" w:hanging="283"/>
      <w:contextualSpacing/>
    </w:pPr>
  </w:style>
  <w:style w:type="paragraph" w:styleId="List5">
    <w:name w:val="List 5"/>
    <w:basedOn w:val="Normal"/>
    <w:uiPriority w:val="98"/>
    <w:semiHidden/>
    <w:rsid w:val="00C44F09"/>
    <w:pPr>
      <w:ind w:left="1415" w:hanging="283"/>
      <w:contextualSpacing/>
    </w:pPr>
  </w:style>
  <w:style w:type="paragraph" w:styleId="ListBullet2">
    <w:name w:val="List Bullet 2"/>
    <w:basedOn w:val="Normal"/>
    <w:uiPriority w:val="98"/>
    <w:semiHidden/>
    <w:rsid w:val="00C44F09"/>
    <w:pPr>
      <w:numPr>
        <w:numId w:val="9"/>
      </w:numPr>
      <w:contextualSpacing/>
    </w:pPr>
  </w:style>
  <w:style w:type="paragraph" w:styleId="ListBullet4">
    <w:name w:val="List Bullet 4"/>
    <w:basedOn w:val="Normal"/>
    <w:uiPriority w:val="98"/>
    <w:semiHidden/>
    <w:rsid w:val="00C44F09"/>
    <w:pPr>
      <w:numPr>
        <w:numId w:val="11"/>
      </w:numPr>
      <w:contextualSpacing/>
    </w:pPr>
  </w:style>
  <w:style w:type="paragraph" w:styleId="ListBullet5">
    <w:name w:val="List Bullet 5"/>
    <w:basedOn w:val="Normal"/>
    <w:uiPriority w:val="98"/>
    <w:semiHidden/>
    <w:rsid w:val="00C44F09"/>
    <w:pPr>
      <w:numPr>
        <w:numId w:val="12"/>
      </w:numPr>
      <w:contextualSpacing/>
    </w:pPr>
  </w:style>
  <w:style w:type="paragraph" w:styleId="ListContinue">
    <w:name w:val="List Continue"/>
    <w:basedOn w:val="Normal"/>
    <w:uiPriority w:val="98"/>
    <w:semiHidden/>
    <w:rsid w:val="00C44F09"/>
    <w:pPr>
      <w:spacing w:after="120"/>
      <w:ind w:left="283"/>
      <w:contextualSpacing/>
    </w:pPr>
  </w:style>
  <w:style w:type="paragraph" w:styleId="ListContinue2">
    <w:name w:val="List Continue 2"/>
    <w:basedOn w:val="Normal"/>
    <w:uiPriority w:val="98"/>
    <w:semiHidden/>
    <w:rsid w:val="00C44F09"/>
    <w:pPr>
      <w:spacing w:after="120"/>
      <w:ind w:left="566"/>
      <w:contextualSpacing/>
    </w:pPr>
  </w:style>
  <w:style w:type="paragraph" w:styleId="ListContinue3">
    <w:name w:val="List Continue 3"/>
    <w:basedOn w:val="Normal"/>
    <w:uiPriority w:val="98"/>
    <w:semiHidden/>
    <w:rsid w:val="00C44F09"/>
    <w:pPr>
      <w:spacing w:after="120"/>
      <w:ind w:left="849"/>
      <w:contextualSpacing/>
    </w:pPr>
  </w:style>
  <w:style w:type="paragraph" w:styleId="ListContinue4">
    <w:name w:val="List Continue 4"/>
    <w:basedOn w:val="Normal"/>
    <w:uiPriority w:val="98"/>
    <w:semiHidden/>
    <w:rsid w:val="00C44F09"/>
    <w:pPr>
      <w:spacing w:after="120"/>
      <w:ind w:left="1132"/>
      <w:contextualSpacing/>
    </w:pPr>
  </w:style>
  <w:style w:type="paragraph" w:styleId="ListContinue5">
    <w:name w:val="List Continue 5"/>
    <w:basedOn w:val="Normal"/>
    <w:uiPriority w:val="98"/>
    <w:semiHidden/>
    <w:rsid w:val="00C44F09"/>
    <w:pPr>
      <w:spacing w:after="120"/>
      <w:ind w:left="1415"/>
      <w:contextualSpacing/>
    </w:pPr>
  </w:style>
  <w:style w:type="paragraph" w:styleId="ListNumber">
    <w:name w:val="List Number"/>
    <w:basedOn w:val="Normal"/>
    <w:uiPriority w:val="98"/>
    <w:semiHidden/>
    <w:rsid w:val="00C44F09"/>
    <w:pPr>
      <w:numPr>
        <w:numId w:val="13"/>
      </w:numPr>
      <w:contextualSpacing/>
    </w:pPr>
  </w:style>
  <w:style w:type="paragraph" w:styleId="ListNumber2">
    <w:name w:val="List Number 2"/>
    <w:basedOn w:val="Normal"/>
    <w:uiPriority w:val="98"/>
    <w:semiHidden/>
    <w:rsid w:val="00C44F09"/>
    <w:pPr>
      <w:numPr>
        <w:numId w:val="14"/>
      </w:numPr>
      <w:contextualSpacing/>
    </w:pPr>
  </w:style>
  <w:style w:type="paragraph" w:styleId="ListNumber3">
    <w:name w:val="List Number 3"/>
    <w:basedOn w:val="Normal"/>
    <w:uiPriority w:val="98"/>
    <w:semiHidden/>
    <w:rsid w:val="00C44F09"/>
    <w:pPr>
      <w:numPr>
        <w:numId w:val="15"/>
      </w:numPr>
      <w:contextualSpacing/>
    </w:pPr>
  </w:style>
  <w:style w:type="paragraph" w:styleId="ListNumber4">
    <w:name w:val="List Number 4"/>
    <w:basedOn w:val="Normal"/>
    <w:uiPriority w:val="98"/>
    <w:semiHidden/>
    <w:rsid w:val="00C44F09"/>
    <w:pPr>
      <w:numPr>
        <w:numId w:val="16"/>
      </w:numPr>
      <w:contextualSpacing/>
    </w:pPr>
  </w:style>
  <w:style w:type="paragraph" w:styleId="ListNumber5">
    <w:name w:val="List Number 5"/>
    <w:basedOn w:val="Normal"/>
    <w:uiPriority w:val="98"/>
    <w:semiHidden/>
    <w:rsid w:val="00C44F09"/>
    <w:pPr>
      <w:numPr>
        <w:numId w:val="17"/>
      </w:numPr>
      <w:contextualSpacing/>
    </w:pPr>
  </w:style>
  <w:style w:type="paragraph" w:styleId="MacroText">
    <w:name w:val="macro"/>
    <w:link w:val="MacroTextChar"/>
    <w:uiPriority w:val="98"/>
    <w:semiHidden/>
    <w:rsid w:val="00C44F0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C44F09"/>
    <w:rPr>
      <w:rFonts w:ascii="Consolas" w:eastAsiaTheme="minorEastAsia" w:hAnsi="Consolas" w:cs="Consolas"/>
      <w:sz w:val="20"/>
      <w:szCs w:val="20"/>
    </w:rPr>
  </w:style>
  <w:style w:type="table" w:styleId="MediumGrid1">
    <w:name w:val="Medium Grid 1"/>
    <w:basedOn w:val="TableNormal"/>
    <w:uiPriority w:val="67"/>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44F0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44F0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44F0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44F0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44F0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44F0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44F0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44F0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44F0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44F09"/>
    <w:rPr>
      <w:rFonts w:ascii="Times New Roman" w:hAnsi="Times New Roman" w:cs="Times New Roman"/>
    </w:rPr>
  </w:style>
  <w:style w:type="paragraph" w:styleId="NormalIndent">
    <w:name w:val="Normal Indent"/>
    <w:basedOn w:val="Normal"/>
    <w:uiPriority w:val="98"/>
    <w:semiHidden/>
    <w:rsid w:val="00C44F09"/>
    <w:pPr>
      <w:ind w:left="720"/>
    </w:pPr>
  </w:style>
  <w:style w:type="paragraph" w:styleId="NoteHeading">
    <w:name w:val="Note Heading"/>
    <w:basedOn w:val="Normal"/>
    <w:next w:val="Normal"/>
    <w:link w:val="NoteHeadingChar"/>
    <w:uiPriority w:val="98"/>
    <w:semiHidden/>
    <w:rsid w:val="00C44F09"/>
  </w:style>
  <w:style w:type="character" w:customStyle="1" w:styleId="NoteHeadingChar">
    <w:name w:val="Note Heading Char"/>
    <w:basedOn w:val="DefaultParagraphFont"/>
    <w:link w:val="NoteHeading"/>
    <w:uiPriority w:val="98"/>
    <w:semiHidden/>
    <w:rsid w:val="00C44F09"/>
    <w:rPr>
      <w:sz w:val="24"/>
      <w:szCs w:val="24"/>
      <w:lang w:val="en-GB"/>
    </w:rPr>
  </w:style>
  <w:style w:type="character" w:styleId="PlaceholderText">
    <w:name w:val="Placeholder Text"/>
    <w:basedOn w:val="DefaultParagraphFont"/>
    <w:uiPriority w:val="98"/>
    <w:semiHidden/>
    <w:rsid w:val="00C44F0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44F09"/>
    <w:rPr>
      <w:rFonts w:ascii="Consolas" w:hAnsi="Consolas" w:cs="Consolas"/>
      <w:sz w:val="21"/>
      <w:szCs w:val="21"/>
    </w:rPr>
  </w:style>
  <w:style w:type="character" w:customStyle="1" w:styleId="PlainTextChar">
    <w:name w:val="Plain Text Char"/>
    <w:basedOn w:val="DefaultParagraphFont"/>
    <w:link w:val="PlainText"/>
    <w:uiPriority w:val="98"/>
    <w:semiHidden/>
    <w:rsid w:val="00C44F09"/>
    <w:rPr>
      <w:rFonts w:ascii="Consolas" w:hAnsi="Consolas" w:cs="Consolas"/>
      <w:sz w:val="21"/>
      <w:szCs w:val="21"/>
      <w:lang w:val="en-GB"/>
    </w:rPr>
  </w:style>
  <w:style w:type="paragraph" w:styleId="Salutation">
    <w:name w:val="Salutation"/>
    <w:basedOn w:val="Normal"/>
    <w:next w:val="Normal"/>
    <w:link w:val="SalutationChar"/>
    <w:uiPriority w:val="98"/>
    <w:semiHidden/>
    <w:rsid w:val="00C44F09"/>
  </w:style>
  <w:style w:type="character" w:customStyle="1" w:styleId="SalutationChar">
    <w:name w:val="Salutation Char"/>
    <w:basedOn w:val="DefaultParagraphFont"/>
    <w:link w:val="Salutation"/>
    <w:uiPriority w:val="98"/>
    <w:semiHidden/>
    <w:rsid w:val="00C44F09"/>
    <w:rPr>
      <w:sz w:val="24"/>
      <w:szCs w:val="24"/>
      <w:lang w:val="en-GB"/>
    </w:rPr>
  </w:style>
  <w:style w:type="paragraph" w:styleId="Signature">
    <w:name w:val="Signature"/>
    <w:basedOn w:val="Normal"/>
    <w:link w:val="SignatureChar"/>
    <w:uiPriority w:val="98"/>
    <w:semiHidden/>
    <w:rsid w:val="00C44F09"/>
    <w:pPr>
      <w:ind w:left="4252"/>
    </w:pPr>
  </w:style>
  <w:style w:type="character" w:customStyle="1" w:styleId="SignatureChar">
    <w:name w:val="Signature Char"/>
    <w:basedOn w:val="DefaultParagraphFont"/>
    <w:link w:val="Signature"/>
    <w:uiPriority w:val="98"/>
    <w:semiHidden/>
    <w:rsid w:val="00C44F09"/>
    <w:rPr>
      <w:sz w:val="24"/>
      <w:szCs w:val="24"/>
      <w:lang w:val="en-GB"/>
    </w:rPr>
  </w:style>
  <w:style w:type="table" w:styleId="Table3Deffects1">
    <w:name w:val="Table 3D effects 1"/>
    <w:basedOn w:val="TableNormal"/>
    <w:uiPriority w:val="99"/>
    <w:semiHidden/>
    <w:unhideWhenUsed/>
    <w:rsid w:val="00C44F0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44F0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44F0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44F0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44F0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44F0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44F0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44F0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44F0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44F0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44F0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44F0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44F0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44F0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44F0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44F0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44F0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44F0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44F0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44F0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44F0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44F0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44F0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44F0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44F09"/>
    <w:pPr>
      <w:ind w:left="240" w:hanging="240"/>
    </w:pPr>
  </w:style>
  <w:style w:type="paragraph" w:styleId="TableofFigures">
    <w:name w:val="table of figures"/>
    <w:basedOn w:val="Normal"/>
    <w:next w:val="Normal"/>
    <w:uiPriority w:val="98"/>
    <w:semiHidden/>
    <w:rsid w:val="00C44F09"/>
  </w:style>
  <w:style w:type="table" w:styleId="TableProfessional">
    <w:name w:val="Table Professional"/>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44F0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44F0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44F0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44F0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44F0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44F0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44F0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44F0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44F0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44F0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44F09"/>
    <w:pPr>
      <w:spacing w:after="100"/>
      <w:ind w:left="1680"/>
    </w:pPr>
  </w:style>
  <w:style w:type="paragraph" w:styleId="TOC9">
    <w:name w:val="toc 9"/>
    <w:basedOn w:val="Normal"/>
    <w:next w:val="Normal"/>
    <w:autoRedefine/>
    <w:uiPriority w:val="98"/>
    <w:semiHidden/>
    <w:rsid w:val="00C44F09"/>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C44F0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44F0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44F0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44F0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44F09"/>
    <w:pPr>
      <w:numPr>
        <w:numId w:val="5"/>
      </w:numPr>
      <w:spacing w:before="60" w:after="60"/>
    </w:pPr>
  </w:style>
  <w:style w:type="paragraph" w:customStyle="1" w:styleId="ECHRBullet2">
    <w:name w:val="ECHR_Bullet_2"/>
    <w:aliases w:val="_Bul_2"/>
    <w:basedOn w:val="ECHRBullet1"/>
    <w:uiPriority w:val="23"/>
    <w:semiHidden/>
    <w:rsid w:val="00C44F09"/>
    <w:pPr>
      <w:numPr>
        <w:ilvl w:val="1"/>
      </w:numPr>
    </w:pPr>
  </w:style>
  <w:style w:type="paragraph" w:customStyle="1" w:styleId="ECHRBullet3">
    <w:name w:val="ECHR_Bullet_3"/>
    <w:aliases w:val="_Bul_3"/>
    <w:basedOn w:val="ECHRBullet2"/>
    <w:uiPriority w:val="23"/>
    <w:semiHidden/>
    <w:rsid w:val="00C44F09"/>
    <w:pPr>
      <w:numPr>
        <w:ilvl w:val="2"/>
      </w:numPr>
    </w:pPr>
  </w:style>
  <w:style w:type="paragraph" w:customStyle="1" w:styleId="ECHRBullet4">
    <w:name w:val="ECHR_Bullet_4"/>
    <w:aliases w:val="_Bul_4"/>
    <w:basedOn w:val="ECHRBullet3"/>
    <w:uiPriority w:val="23"/>
    <w:semiHidden/>
    <w:rsid w:val="00C44F09"/>
    <w:pPr>
      <w:numPr>
        <w:ilvl w:val="3"/>
      </w:numPr>
    </w:pPr>
  </w:style>
  <w:style w:type="paragraph" w:customStyle="1" w:styleId="ECHRConfidential">
    <w:name w:val="ECHR_Confidential"/>
    <w:aliases w:val="_Confidential"/>
    <w:basedOn w:val="Normal"/>
    <w:next w:val="Normal"/>
    <w:uiPriority w:val="42"/>
    <w:semiHidden/>
    <w:qFormat/>
    <w:rsid w:val="00C44F09"/>
    <w:pPr>
      <w:jc w:val="right"/>
    </w:pPr>
    <w:rPr>
      <w:color w:val="C00000"/>
      <w:sz w:val="20"/>
    </w:rPr>
  </w:style>
  <w:style w:type="paragraph" w:customStyle="1" w:styleId="ECHRDecisionBody">
    <w:name w:val="ECHR_Decision_Body"/>
    <w:aliases w:val="_Decision_Body"/>
    <w:basedOn w:val="NormalJustified"/>
    <w:uiPriority w:val="54"/>
    <w:semiHidden/>
    <w:rsid w:val="00C44F0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44F0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44F0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44F0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C44F09"/>
    <w:pPr>
      <w:jc w:val="right"/>
    </w:pPr>
    <w:rPr>
      <w:sz w:val="20"/>
    </w:rPr>
  </w:style>
  <w:style w:type="paragraph" w:customStyle="1" w:styleId="ECHRHeaderRefIt">
    <w:name w:val="ECHR_Header_Ref_It"/>
    <w:aliases w:val="_Ref_Ital"/>
    <w:basedOn w:val="Normal"/>
    <w:next w:val="ECHRHeaderDate"/>
    <w:uiPriority w:val="43"/>
    <w:semiHidden/>
    <w:qFormat/>
    <w:rsid w:val="00C44F09"/>
    <w:pPr>
      <w:jc w:val="right"/>
    </w:pPr>
    <w:rPr>
      <w:i/>
      <w:sz w:val="20"/>
    </w:rPr>
  </w:style>
  <w:style w:type="paragraph" w:customStyle="1" w:styleId="ECHRHeading9">
    <w:name w:val="ECHR_Heading_9"/>
    <w:aliases w:val="_Head_9"/>
    <w:basedOn w:val="Heading9"/>
    <w:uiPriority w:val="17"/>
    <w:semiHidden/>
    <w:rsid w:val="00C44F09"/>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44F0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C44F09"/>
    <w:pPr>
      <w:numPr>
        <w:numId w:val="7"/>
      </w:numPr>
      <w:spacing w:before="60" w:after="60"/>
    </w:pPr>
  </w:style>
  <w:style w:type="paragraph" w:customStyle="1" w:styleId="ECHRNumberedList2">
    <w:name w:val="ECHR_Numbered_List_2"/>
    <w:aliases w:val="_Num_2"/>
    <w:basedOn w:val="ECHRNumberedList1"/>
    <w:uiPriority w:val="23"/>
    <w:semiHidden/>
    <w:rsid w:val="00C44F09"/>
    <w:pPr>
      <w:numPr>
        <w:ilvl w:val="1"/>
      </w:numPr>
    </w:pPr>
  </w:style>
  <w:style w:type="paragraph" w:customStyle="1" w:styleId="ECHRNumberedList3">
    <w:name w:val="ECHR_Numbered_List_3"/>
    <w:aliases w:val="_Num_3"/>
    <w:basedOn w:val="ECHRNumberedList2"/>
    <w:uiPriority w:val="23"/>
    <w:semiHidden/>
    <w:rsid w:val="00C44F09"/>
    <w:pPr>
      <w:numPr>
        <w:ilvl w:val="2"/>
      </w:numPr>
    </w:pPr>
  </w:style>
  <w:style w:type="paragraph" w:customStyle="1" w:styleId="ECHRParaHanging">
    <w:name w:val="ECHR_Para_Hanging"/>
    <w:aliases w:val="_Hanging"/>
    <w:basedOn w:val="Normal"/>
    <w:uiPriority w:val="8"/>
    <w:semiHidden/>
    <w:qFormat/>
    <w:rsid w:val="00C44F09"/>
    <w:pPr>
      <w:ind w:left="567" w:hanging="567"/>
      <w:jc w:val="both"/>
    </w:pPr>
  </w:style>
  <w:style w:type="paragraph" w:customStyle="1" w:styleId="ECHRParaIndent">
    <w:name w:val="ECHR_Para_Indent"/>
    <w:aliases w:val="_Indent"/>
    <w:basedOn w:val="Normal"/>
    <w:uiPriority w:val="7"/>
    <w:semiHidden/>
    <w:qFormat/>
    <w:rsid w:val="00C44F09"/>
    <w:pPr>
      <w:spacing w:before="120" w:after="120"/>
      <w:ind w:left="284"/>
      <w:jc w:val="both"/>
    </w:pPr>
  </w:style>
  <w:style w:type="character" w:customStyle="1" w:styleId="ECHRRed">
    <w:name w:val="ECHR_Red"/>
    <w:aliases w:val="_Red"/>
    <w:basedOn w:val="DefaultParagraphFont"/>
    <w:uiPriority w:val="15"/>
    <w:semiHidden/>
    <w:qFormat/>
    <w:rsid w:val="00C44F09"/>
    <w:rPr>
      <w:color w:val="C00000" w:themeColor="accent2"/>
    </w:rPr>
  </w:style>
  <w:style w:type="paragraph" w:customStyle="1" w:styleId="DecList">
    <w:name w:val="Dec_List"/>
    <w:aliases w:val="_List"/>
    <w:basedOn w:val="JuList"/>
    <w:uiPriority w:val="22"/>
    <w:rsid w:val="00C44F09"/>
    <w:pPr>
      <w:numPr>
        <w:numId w:val="0"/>
      </w:numPr>
      <w:ind w:left="284"/>
    </w:pPr>
  </w:style>
  <w:style w:type="table" w:customStyle="1" w:styleId="ECHRTable2">
    <w:name w:val="ECHR_Table_2"/>
    <w:basedOn w:val="TableNormal"/>
    <w:uiPriority w:val="99"/>
    <w:rsid w:val="00C44F0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C44F0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44F0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44F0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C44F0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C44F0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C44F0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C44F09"/>
    <w:pPr>
      <w:outlineLvl w:val="0"/>
    </w:pPr>
  </w:style>
  <w:style w:type="paragraph" w:customStyle="1" w:styleId="ECHRTitleTOC1">
    <w:name w:val="ECHR_Title_TOC_1"/>
    <w:aliases w:val="_Title_L_TOC"/>
    <w:basedOn w:val="ECHRTitle1"/>
    <w:next w:val="Normal"/>
    <w:uiPriority w:val="27"/>
    <w:semiHidden/>
    <w:qFormat/>
    <w:rsid w:val="00C44F09"/>
    <w:pPr>
      <w:outlineLvl w:val="0"/>
    </w:pPr>
  </w:style>
  <w:style w:type="paragraph" w:customStyle="1" w:styleId="ECHRPlaceholder">
    <w:name w:val="ECHR_Placeholder"/>
    <w:aliases w:val="_Placeholder"/>
    <w:basedOn w:val="JuSigned"/>
    <w:uiPriority w:val="31"/>
    <w:rsid w:val="00C44F09"/>
    <w:rPr>
      <w:color w:val="FFFFFF"/>
    </w:rPr>
  </w:style>
  <w:style w:type="paragraph" w:customStyle="1" w:styleId="ECHRSpacer">
    <w:name w:val="ECHR_Spacer"/>
    <w:aliases w:val="_Spacer"/>
    <w:basedOn w:val="Normal"/>
    <w:uiPriority w:val="45"/>
    <w:semiHidden/>
    <w:rsid w:val="00C44F09"/>
    <w:rPr>
      <w:sz w:val="4"/>
    </w:rPr>
  </w:style>
  <w:style w:type="table" w:customStyle="1" w:styleId="ECHRTableGrey">
    <w:name w:val="ECHR_Table_Grey"/>
    <w:basedOn w:val="TableNormal"/>
    <w:uiPriority w:val="99"/>
    <w:rsid w:val="00C44F0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C706B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2BCD50-9E21-4995-8CA8-2A0777BE013D}">
  <ds:schemaRefs>
    <ds:schemaRef ds:uri="http://schemas.openxmlformats.org/officeDocument/2006/bibliography"/>
  </ds:schemaRefs>
</ds:datastoreItem>
</file>

<file path=customXml/itemProps2.xml><?xml version="1.0" encoding="utf-8"?>
<ds:datastoreItem xmlns:ds="http://schemas.openxmlformats.org/officeDocument/2006/customXml" ds:itemID="{05E69896-F8CA-4704-A27E-43ACEB82E6AC}"/>
</file>

<file path=customXml/itemProps3.xml><?xml version="1.0" encoding="utf-8"?>
<ds:datastoreItem xmlns:ds="http://schemas.openxmlformats.org/officeDocument/2006/customXml" ds:itemID="{209D1491-C080-4C6A-9107-16C8680B9E20}"/>
</file>

<file path=customXml/itemProps4.xml><?xml version="1.0" encoding="utf-8"?>
<ds:datastoreItem xmlns:ds="http://schemas.openxmlformats.org/officeDocument/2006/customXml" ds:itemID="{ACB9565F-768C-4F28-AA2D-1A129297D03D}"/>
</file>

<file path=docProps/app.xml><?xml version="1.0" encoding="utf-8"?>
<Properties xmlns="http://schemas.openxmlformats.org/officeDocument/2006/extended-properties" xmlns:vt="http://schemas.openxmlformats.org/officeDocument/2006/docPropsVTypes">
  <Template>Normal.dotm</Template>
  <TotalTime>0</TotalTime>
  <Pages>1</Pages>
  <Words>3331</Words>
  <Characters>18990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22277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2021-04-15T07:50:00Z</dcterms:created>
  <dcterms:modified xsi:type="dcterms:W3CDTF">2021-04-15T07:50:00Z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61039/16</vt:lpwstr>
  </property>
  <property fmtid="{D5CDD505-2E9C-101B-9397-08002B2CF9AE}" pid="4" name="CASEID">
    <vt:lpwstr>1254530</vt:lpwstr>
  </property>
  <property fmtid="{D5CDD505-2E9C-101B-9397-08002B2CF9AE}" pid="5" name="ContentTypeId">
    <vt:lpwstr>0x010100558EB02BDB9E204AB350EDD385B68E10</vt:lpwstr>
  </property>
</Properties>
</file>