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3F11" w14:textId="144B16CC" w:rsidR="0003434B" w:rsidRPr="00E25BA9" w:rsidRDefault="00A5794B" w:rsidP="00251AA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EUROPEJSKI TRYBUNAŁ PRAW CZŁOWIEKA</w:t>
      </w:r>
    </w:p>
    <w:p w14:paraId="7C6472AC" w14:textId="77777777" w:rsidR="0098410D" w:rsidRPr="00E25BA9" w:rsidRDefault="0098410D" w:rsidP="00251AA0">
      <w:pPr>
        <w:jc w:val="center"/>
      </w:pPr>
    </w:p>
    <w:p w14:paraId="3490284C" w14:textId="69F72EE1" w:rsidR="0098410D" w:rsidRPr="00E25BA9" w:rsidRDefault="00996BE7" w:rsidP="00251AA0">
      <w:pPr>
        <w:pStyle w:val="DecHCase"/>
      </w:pPr>
      <w:r w:rsidRPr="00E25BA9">
        <w:t xml:space="preserve">SEKCJA </w:t>
      </w:r>
      <w:r w:rsidR="0003434B" w:rsidRPr="00E25BA9">
        <w:t>PIERWSZA</w:t>
      </w:r>
    </w:p>
    <w:p w14:paraId="1966B02C" w14:textId="77777777" w:rsidR="008E6217" w:rsidRPr="00E25BA9" w:rsidRDefault="008E6217" w:rsidP="00251AA0">
      <w:pPr>
        <w:pStyle w:val="JuTitle"/>
      </w:pPr>
      <w:bookmarkStart w:id="0" w:name="To"/>
      <w:r w:rsidRPr="00E25BA9">
        <w:rPr>
          <w:color w:val="000000" w:themeColor="text1"/>
        </w:rPr>
        <w:t xml:space="preserve">SPRAWA </w:t>
      </w:r>
      <w:bookmarkEnd w:id="0"/>
      <w:r w:rsidRPr="00E25BA9">
        <w:t>BECHTA przeciwko POLSCE</w:t>
      </w:r>
    </w:p>
    <w:p w14:paraId="1381432E" w14:textId="77777777" w:rsidR="00D74888" w:rsidRPr="00E25BA9" w:rsidRDefault="008E6217" w:rsidP="00251AA0">
      <w:pPr>
        <w:pStyle w:val="ECHRCoverTitle4"/>
      </w:pPr>
      <w:r w:rsidRPr="00E25BA9">
        <w:t>(skarga nr 39496/17)</w:t>
      </w:r>
    </w:p>
    <w:p w14:paraId="60FB0237" w14:textId="77777777" w:rsidR="0098410D" w:rsidRPr="00E25BA9" w:rsidRDefault="0098410D" w:rsidP="00251AA0">
      <w:pPr>
        <w:pStyle w:val="DecHCase"/>
      </w:pPr>
    </w:p>
    <w:p w14:paraId="1890F543" w14:textId="77777777" w:rsidR="0098410D" w:rsidRPr="00E25BA9" w:rsidRDefault="0098410D" w:rsidP="00251AA0">
      <w:pPr>
        <w:pStyle w:val="DecHCase"/>
      </w:pPr>
    </w:p>
    <w:p w14:paraId="0C1DD9CB" w14:textId="77777777" w:rsidR="00EA4791" w:rsidRPr="00E25BA9" w:rsidRDefault="00EA4791" w:rsidP="00251AA0">
      <w:pPr>
        <w:pStyle w:val="DecHCase"/>
      </w:pPr>
    </w:p>
    <w:p w14:paraId="7038FB0A" w14:textId="77777777" w:rsidR="00EA4791" w:rsidRPr="00E25BA9" w:rsidRDefault="00EA4791" w:rsidP="00251AA0">
      <w:pPr>
        <w:pStyle w:val="DecHCase"/>
      </w:pPr>
    </w:p>
    <w:p w14:paraId="5503949C" w14:textId="77777777" w:rsidR="00AC4CD4" w:rsidRPr="00E25BA9" w:rsidRDefault="00AC4CD4" w:rsidP="00251AA0">
      <w:pPr>
        <w:pStyle w:val="DecHCase"/>
      </w:pPr>
    </w:p>
    <w:p w14:paraId="056906C2" w14:textId="77777777" w:rsidR="0098410D" w:rsidRPr="00E25BA9" w:rsidRDefault="0098410D" w:rsidP="00251AA0">
      <w:pPr>
        <w:pStyle w:val="DecHCase"/>
      </w:pPr>
    </w:p>
    <w:p w14:paraId="2934EB0A" w14:textId="77777777" w:rsidR="0098410D" w:rsidRPr="00E25BA9" w:rsidRDefault="0098410D" w:rsidP="00251AA0">
      <w:pPr>
        <w:pStyle w:val="DecHCase"/>
      </w:pPr>
      <w:r w:rsidRPr="00E25BA9">
        <w:t>WYROK</w:t>
      </w:r>
      <w:r w:rsidRPr="00E25BA9">
        <w:br/>
      </w:r>
    </w:p>
    <w:p w14:paraId="6E2998B3" w14:textId="77777777" w:rsidR="0098410D" w:rsidRPr="00E25BA9" w:rsidRDefault="0098410D" w:rsidP="00251AA0">
      <w:pPr>
        <w:pStyle w:val="DecHCase"/>
      </w:pPr>
      <w:r w:rsidRPr="00E25BA9">
        <w:t>STRASBURG</w:t>
      </w:r>
    </w:p>
    <w:p w14:paraId="4CD40276" w14:textId="38EBC96B" w:rsidR="0098410D" w:rsidRPr="00E25BA9" w:rsidRDefault="0003434B" w:rsidP="00251AA0">
      <w:pPr>
        <w:pStyle w:val="DecHCase"/>
      </w:pPr>
      <w:r w:rsidRPr="00E25BA9">
        <w:t>20 maja 2021</w:t>
      </w:r>
      <w:r w:rsidR="00971C71">
        <w:t xml:space="preserve"> </w:t>
      </w:r>
      <w:r w:rsidRPr="00E25BA9">
        <w:t>r.</w:t>
      </w:r>
    </w:p>
    <w:p w14:paraId="7C6F5762" w14:textId="77777777" w:rsidR="00AC4CD4" w:rsidRPr="00E25BA9" w:rsidRDefault="00AC4CD4" w:rsidP="00251AA0">
      <w:pPr>
        <w:pStyle w:val="JuPara"/>
      </w:pPr>
    </w:p>
    <w:p w14:paraId="567847BB" w14:textId="77777777" w:rsidR="002422B6" w:rsidRPr="00E25BA9" w:rsidRDefault="0098410D" w:rsidP="00251AA0">
      <w:pPr>
        <w:jc w:val="center"/>
        <w:rPr>
          <w:i/>
          <w:sz w:val="22"/>
        </w:rPr>
      </w:pPr>
      <w:r w:rsidRPr="00E25BA9">
        <w:rPr>
          <w:i/>
          <w:sz w:val="22"/>
        </w:rPr>
        <w:t>Niniejszy wyrok jest ostateczny, ale może podlegać korekcie wydawniczej.</w:t>
      </w:r>
    </w:p>
    <w:p w14:paraId="5F64B7F5" w14:textId="77777777" w:rsidR="0098410D" w:rsidRPr="00E25BA9" w:rsidRDefault="0098410D" w:rsidP="00251AA0">
      <w:pPr>
        <w:sectPr w:rsidR="0098410D" w:rsidRPr="00E25BA9" w:rsidSect="00D66471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14:paraId="35F228D7" w14:textId="77777777" w:rsidR="0098410D" w:rsidRPr="00E25BA9" w:rsidRDefault="0098410D" w:rsidP="00251AA0">
      <w:pPr>
        <w:pStyle w:val="JuCase"/>
      </w:pPr>
      <w:r w:rsidRPr="00E25BA9">
        <w:lastRenderedPageBreak/>
        <w:t>W sprawie Bechta przeciwko Polsce</w:t>
      </w:r>
    </w:p>
    <w:p w14:paraId="26159D18" w14:textId="77777777" w:rsidR="009F4C8F" w:rsidRPr="00E25BA9" w:rsidRDefault="009F4C8F" w:rsidP="00251AA0">
      <w:pPr>
        <w:pStyle w:val="JuPara"/>
      </w:pPr>
      <w:r w:rsidRPr="00E25BA9">
        <w:t>Europejski Trybunał Praw Człowieka (Pierwsza Sekcja), zasiadając jako Komitet w składzie:</w:t>
      </w:r>
    </w:p>
    <w:p w14:paraId="26386528" w14:textId="77777777" w:rsidR="009F4C8F" w:rsidRPr="00E25BA9" w:rsidRDefault="00DD2115" w:rsidP="00251AA0">
      <w:pPr>
        <w:pStyle w:val="JuJudges"/>
      </w:pPr>
      <w:r w:rsidRPr="00E25BA9">
        <w:tab/>
        <w:t xml:space="preserve">Erik </w:t>
      </w:r>
      <w:proofErr w:type="spellStart"/>
      <w:r w:rsidRPr="00E25BA9">
        <w:t>Wennerström</w:t>
      </w:r>
      <w:proofErr w:type="spellEnd"/>
      <w:r w:rsidRPr="00E25BA9">
        <w:t>,</w:t>
      </w:r>
      <w:r w:rsidRPr="00E25BA9">
        <w:rPr>
          <w:i/>
        </w:rPr>
        <w:t xml:space="preserve"> Przewodniczący,</w:t>
      </w:r>
      <w:r w:rsidRPr="00E25BA9">
        <w:rPr>
          <w:i/>
        </w:rPr>
        <w:br/>
      </w:r>
      <w:r w:rsidRPr="00E25BA9">
        <w:tab/>
        <w:t>Krzysztof Wojtyczek,</w:t>
      </w:r>
      <w:r w:rsidRPr="00E25BA9">
        <w:rPr>
          <w:i/>
        </w:rPr>
        <w:br/>
      </w:r>
      <w:r w:rsidRPr="00E25BA9">
        <w:tab/>
      </w:r>
      <w:proofErr w:type="spellStart"/>
      <w:r w:rsidRPr="00E25BA9">
        <w:t>Ioannis</w:t>
      </w:r>
      <w:proofErr w:type="spellEnd"/>
      <w:r w:rsidRPr="00E25BA9">
        <w:t xml:space="preserve"> </w:t>
      </w:r>
      <w:proofErr w:type="spellStart"/>
      <w:r w:rsidRPr="00E25BA9">
        <w:t>Ktistakis</w:t>
      </w:r>
      <w:proofErr w:type="spellEnd"/>
      <w:r w:rsidRPr="00E25BA9">
        <w:t xml:space="preserve">, </w:t>
      </w:r>
      <w:r w:rsidRPr="00E25BA9">
        <w:rPr>
          <w:i/>
        </w:rPr>
        <w:t>sędziowie</w:t>
      </w:r>
      <w:r w:rsidRPr="00E25BA9">
        <w:rPr>
          <w:i/>
        </w:rPr>
        <w:br/>
      </w:r>
      <w:r w:rsidRPr="00E25BA9">
        <w:t xml:space="preserve">i </w:t>
      </w:r>
      <w:proofErr w:type="spellStart"/>
      <w:r w:rsidRPr="00E25BA9">
        <w:t>Liv</w:t>
      </w:r>
      <w:proofErr w:type="spellEnd"/>
      <w:r w:rsidRPr="00E25BA9">
        <w:t xml:space="preserve"> </w:t>
      </w:r>
      <w:proofErr w:type="spellStart"/>
      <w:r w:rsidRPr="00E25BA9">
        <w:t>Tigerstedt</w:t>
      </w:r>
      <w:proofErr w:type="spellEnd"/>
      <w:r w:rsidRPr="00E25BA9">
        <w:t xml:space="preserve">, </w:t>
      </w:r>
      <w:r w:rsidRPr="00E25BA9">
        <w:rPr>
          <w:i/>
        </w:rPr>
        <w:t>Zastępca Kanclerza Sekcji,</w:t>
      </w:r>
    </w:p>
    <w:p w14:paraId="5C8D754A" w14:textId="77777777" w:rsidR="0003434B" w:rsidRPr="00E25BA9" w:rsidRDefault="0003434B" w:rsidP="00251AA0">
      <w:pPr>
        <w:pStyle w:val="JuPara"/>
      </w:pPr>
      <w:bookmarkStart w:id="1" w:name="ITMARKHavingStart"/>
      <w:bookmarkEnd w:id="1"/>
      <w:r w:rsidRPr="00E25BA9">
        <w:t>mając na uwadze</w:t>
      </w:r>
    </w:p>
    <w:p w14:paraId="39D975D8" w14:textId="6E47273E" w:rsidR="0003434B" w:rsidRPr="00E25BA9" w:rsidRDefault="0003434B" w:rsidP="00251AA0">
      <w:pPr>
        <w:pStyle w:val="JuPara"/>
      </w:pPr>
      <w:r w:rsidRPr="00E25BA9">
        <w:t>skargę (nr</w:t>
      </w:r>
      <w:r w:rsidR="00971C71">
        <w:t xml:space="preserve"> </w:t>
      </w:r>
      <w:r w:rsidRPr="00E25BA9">
        <w:t>39496/17) przeciwko Rzeczypospolitej Polskiej wniesioną do</w:t>
      </w:r>
      <w:r w:rsidR="00DE75FC">
        <w:t> </w:t>
      </w:r>
      <w:r w:rsidRPr="00E25BA9">
        <w:t>Trybunału w dniu 29 maja 2017</w:t>
      </w:r>
      <w:r w:rsidR="00971C71">
        <w:t xml:space="preserve"> </w:t>
      </w:r>
      <w:r w:rsidRPr="00E25BA9">
        <w:t>r. na podstawie art.</w:t>
      </w:r>
      <w:r w:rsidR="00971C71">
        <w:t xml:space="preserve"> </w:t>
      </w:r>
      <w:r w:rsidRPr="00E25BA9">
        <w:t>34 Konwencji o</w:t>
      </w:r>
      <w:r w:rsidR="00DE75FC">
        <w:t> </w:t>
      </w:r>
      <w:r w:rsidRPr="00E25BA9">
        <w:t xml:space="preserve">ochronie praw człowieka i podstawowych wolności („Konwencji”) przez obywatela polskiego, Sławomira </w:t>
      </w:r>
      <w:proofErr w:type="spellStart"/>
      <w:r w:rsidRPr="00E25BA9">
        <w:t>Bechtę</w:t>
      </w:r>
      <w:proofErr w:type="spellEnd"/>
      <w:r w:rsidRPr="00E25BA9">
        <w:t xml:space="preserve"> („skarżącego”).</w:t>
      </w:r>
    </w:p>
    <w:p w14:paraId="668AB0C4" w14:textId="77777777" w:rsidR="0003434B" w:rsidRPr="00E25BA9" w:rsidRDefault="0003434B" w:rsidP="00251AA0">
      <w:pPr>
        <w:pStyle w:val="JuPara"/>
      </w:pPr>
      <w:r w:rsidRPr="00E25BA9">
        <w:t>decyzję o zakomunikowaniu sprawy rządowi polskiemu („Rządowi”);</w:t>
      </w:r>
    </w:p>
    <w:p w14:paraId="71AC2C1D" w14:textId="77777777" w:rsidR="0003434B" w:rsidRPr="00E25BA9" w:rsidRDefault="0003434B" w:rsidP="00251AA0">
      <w:pPr>
        <w:pStyle w:val="JuPara"/>
      </w:pPr>
      <w:r w:rsidRPr="00E25BA9">
        <w:t>uwagi stron;</w:t>
      </w:r>
    </w:p>
    <w:p w14:paraId="7525375D" w14:textId="3AB97115" w:rsidR="009F4C8F" w:rsidRPr="00E25BA9" w:rsidRDefault="009F4C8F" w:rsidP="00251AA0">
      <w:pPr>
        <w:pStyle w:val="JuPara"/>
      </w:pPr>
      <w:r w:rsidRPr="00E25BA9">
        <w:t>obradując na posiedzeniu niejawnym w dniu 13 kwietnia 2021</w:t>
      </w:r>
      <w:r w:rsidR="00971C71">
        <w:t xml:space="preserve"> </w:t>
      </w:r>
      <w:r w:rsidRPr="00E25BA9">
        <w:t>r.</w:t>
      </w:r>
    </w:p>
    <w:p w14:paraId="2FC9DB1B" w14:textId="77777777" w:rsidR="009F4C8F" w:rsidRPr="00E25BA9" w:rsidRDefault="009F4C8F" w:rsidP="00251AA0">
      <w:pPr>
        <w:pStyle w:val="JuPara"/>
      </w:pPr>
      <w:r w:rsidRPr="00E25BA9">
        <w:t>wydaje następujący wyrok, który w tym dniu został przyjęty:</w:t>
      </w:r>
    </w:p>
    <w:p w14:paraId="6DE75912" w14:textId="77777777" w:rsidR="0003434B" w:rsidRPr="00E25BA9" w:rsidRDefault="0003434B" w:rsidP="00251AA0">
      <w:pPr>
        <w:pStyle w:val="JuHHead"/>
        <w:numPr>
          <w:ilvl w:val="0"/>
          <w:numId w:val="0"/>
        </w:numPr>
      </w:pPr>
      <w:r w:rsidRPr="00E25BA9">
        <w:t>WPROWADZENIE</w:t>
      </w:r>
    </w:p>
    <w:p w14:paraId="5F510591" w14:textId="29CB2D5F" w:rsidR="0003434B" w:rsidRPr="00E25BA9" w:rsidRDefault="0073202D" w:rsidP="00251AA0">
      <w:pPr>
        <w:pStyle w:val="JuPara"/>
      </w:pPr>
      <w:r w:rsidRPr="00E25BA9">
        <w:t>1</w:t>
      </w:r>
      <w:r w:rsidR="0003434B" w:rsidRPr="00E25BA9">
        <w:t>.</w:t>
      </w:r>
      <w:r w:rsidR="00971C71">
        <w:t xml:space="preserve"> </w:t>
      </w:r>
      <w:r w:rsidR="00C04BDE" w:rsidRPr="00C04BDE">
        <w:t>Sprawa dotyczy długotrwałego stosowania wobec skarżącego reżimu związanego ze statusem „osadzonego niebezpiecznego”.</w:t>
      </w:r>
    </w:p>
    <w:p w14:paraId="424F7999" w14:textId="77777777" w:rsidR="0003434B" w:rsidRPr="00E25BA9" w:rsidRDefault="0003434B" w:rsidP="00251AA0">
      <w:pPr>
        <w:pStyle w:val="JuHHead"/>
        <w:jc w:val="left"/>
      </w:pPr>
      <w:r w:rsidRPr="00E25BA9">
        <w:t>STAN FAKTYCZNY</w:t>
      </w:r>
    </w:p>
    <w:p w14:paraId="7DF8A7F6" w14:textId="6D96CA1C" w:rsidR="0003434B" w:rsidRPr="00E25BA9" w:rsidRDefault="0073202D" w:rsidP="00251AA0">
      <w:pPr>
        <w:pStyle w:val="JuPara"/>
      </w:pPr>
      <w:r w:rsidRPr="00E25BA9">
        <w:t>2</w:t>
      </w:r>
      <w:r w:rsidR="0003434B" w:rsidRPr="00E25BA9">
        <w:t>.</w:t>
      </w:r>
      <w:r w:rsidR="00971C71">
        <w:t xml:space="preserve"> </w:t>
      </w:r>
      <w:r w:rsidR="0003434B" w:rsidRPr="00E25BA9">
        <w:t>Skarżący urodził się w</w:t>
      </w:r>
      <w:r w:rsidR="00971C71">
        <w:t xml:space="preserve"> </w:t>
      </w:r>
      <w:r w:rsidR="0003434B" w:rsidRPr="00E25BA9">
        <w:t>1977</w:t>
      </w:r>
      <w:r w:rsidR="00971C71">
        <w:t xml:space="preserve"> </w:t>
      </w:r>
      <w:r w:rsidR="0003434B" w:rsidRPr="00E25BA9">
        <w:t xml:space="preserve">r. i przebywa w </w:t>
      </w:r>
      <w:r w:rsidR="00F758AF">
        <w:t>A</w:t>
      </w:r>
      <w:r w:rsidR="0003434B" w:rsidRPr="00E25BA9">
        <w:t xml:space="preserve">reszcie </w:t>
      </w:r>
      <w:r w:rsidR="00F758AF">
        <w:t>Ś</w:t>
      </w:r>
      <w:r w:rsidR="0003434B" w:rsidRPr="00E25BA9">
        <w:t>ledczym w</w:t>
      </w:r>
      <w:r w:rsidR="00DE75FC">
        <w:t> </w:t>
      </w:r>
      <w:r w:rsidR="0003434B" w:rsidRPr="00E25BA9">
        <w:t>Zamościu.</w:t>
      </w:r>
    </w:p>
    <w:p w14:paraId="47509036" w14:textId="7D43A0B0" w:rsidR="0003434B" w:rsidRPr="00E25BA9" w:rsidRDefault="0073202D" w:rsidP="00251AA0">
      <w:pPr>
        <w:pStyle w:val="JuPara"/>
      </w:pPr>
      <w:r w:rsidRPr="00E25BA9">
        <w:t>3</w:t>
      </w:r>
      <w:r w:rsidR="0003434B" w:rsidRPr="00E25BA9">
        <w:t>.</w:t>
      </w:r>
      <w:r w:rsidR="00971C71">
        <w:t xml:space="preserve"> </w:t>
      </w:r>
      <w:r w:rsidR="0003434B" w:rsidRPr="00E25BA9">
        <w:t>Rząd polski („Rząd”) był re</w:t>
      </w:r>
      <w:r w:rsidR="00C04BDE">
        <w:t>prezentowany przez pełnomocnika</w:t>
      </w:r>
      <w:r w:rsidR="0003434B" w:rsidRPr="00E25BA9">
        <w:t xml:space="preserve"> J.</w:t>
      </w:r>
      <w:r w:rsidR="00DE75FC">
        <w:t> </w:t>
      </w:r>
      <w:r w:rsidR="0003434B" w:rsidRPr="00E25BA9">
        <w:t>Sobczaka z Ministerstwa Spraw Zagranicznych.</w:t>
      </w:r>
    </w:p>
    <w:p w14:paraId="78B94D97" w14:textId="75AB0FE9" w:rsidR="0003434B" w:rsidRPr="00E25BA9" w:rsidRDefault="0073202D" w:rsidP="00251AA0">
      <w:pPr>
        <w:pStyle w:val="JuPara"/>
      </w:pPr>
      <w:r w:rsidRPr="00E25BA9">
        <w:t>4</w:t>
      </w:r>
      <w:r w:rsidR="0003434B" w:rsidRPr="00E25BA9">
        <w:t>.</w:t>
      </w:r>
      <w:r w:rsidR="00971C71">
        <w:t xml:space="preserve"> </w:t>
      </w:r>
      <w:r w:rsidR="0003434B" w:rsidRPr="00E25BA9">
        <w:t>Stan faktyczny sprawy, przedstawiony przez strony, można streścić następująco.</w:t>
      </w:r>
    </w:p>
    <w:p w14:paraId="77E2A239" w14:textId="1B1B3086" w:rsidR="0003434B" w:rsidRPr="00E25BA9" w:rsidRDefault="0073202D" w:rsidP="00251AA0">
      <w:pPr>
        <w:pStyle w:val="JuPara"/>
      </w:pPr>
      <w:r w:rsidRPr="00E25BA9">
        <w:t>5</w:t>
      </w:r>
      <w:r w:rsidR="0003434B" w:rsidRPr="00E25BA9">
        <w:t>.</w:t>
      </w:r>
      <w:r w:rsidR="00971C71">
        <w:t xml:space="preserve"> </w:t>
      </w:r>
      <w:r w:rsidR="0003434B" w:rsidRPr="00E25BA9">
        <w:t>W 1999 r. skarżący został uznany za winnego m.in. zabójstwa i</w:t>
      </w:r>
      <w:r w:rsidR="00971C71">
        <w:t xml:space="preserve"> </w:t>
      </w:r>
      <w:r w:rsidR="0003434B" w:rsidRPr="00E25BA9">
        <w:t xml:space="preserve">rozboju oraz skazany na karę dwudziestu pięciu lat pozbawienia wolności. Skarżący </w:t>
      </w:r>
      <w:r w:rsidR="00C325A6">
        <w:t xml:space="preserve">był pozbawiony wolności </w:t>
      </w:r>
      <w:r w:rsidR="0003434B" w:rsidRPr="00E25BA9">
        <w:t>bez przerwy od 1995</w:t>
      </w:r>
      <w:r w:rsidR="00971C71">
        <w:t xml:space="preserve"> </w:t>
      </w:r>
      <w:r w:rsidR="0003434B" w:rsidRPr="00E25BA9">
        <w:t>r.</w:t>
      </w:r>
    </w:p>
    <w:p w14:paraId="4C765506" w14:textId="3FFA79EB" w:rsidR="0003434B" w:rsidRPr="00E25BA9" w:rsidRDefault="0073202D" w:rsidP="00251AA0">
      <w:pPr>
        <w:pStyle w:val="JuPara"/>
      </w:pPr>
      <w:bookmarkStart w:id="2" w:name="PrisCommAppl"/>
      <w:r w:rsidRPr="00E25BA9">
        <w:t>6</w:t>
      </w:r>
      <w:bookmarkEnd w:id="2"/>
      <w:r w:rsidR="0003434B" w:rsidRPr="00E25BA9">
        <w:t>.</w:t>
      </w:r>
      <w:r w:rsidR="00971C71">
        <w:t xml:space="preserve"> </w:t>
      </w:r>
      <w:r w:rsidR="0003434B" w:rsidRPr="00E25BA9">
        <w:t>W dniu 5 maja 2016</w:t>
      </w:r>
      <w:r w:rsidR="00971C71">
        <w:t xml:space="preserve"> </w:t>
      </w:r>
      <w:r w:rsidR="0003434B" w:rsidRPr="00E25BA9">
        <w:t>r. komisja penitencjarna w Zakładzie Karnym w</w:t>
      </w:r>
      <w:r w:rsidR="00DE75FC">
        <w:t> </w:t>
      </w:r>
      <w:r w:rsidR="0003434B" w:rsidRPr="00E25BA9">
        <w:t>Opolu Lubelskim uznała skarżącego za „osadzonego niebezpiecznego” i</w:t>
      </w:r>
      <w:r w:rsidR="00DE75FC">
        <w:t> </w:t>
      </w:r>
      <w:r w:rsidR="0003434B" w:rsidRPr="00E25BA9">
        <w:t>zdecydowała o odbywaniu przez niego kary w</w:t>
      </w:r>
      <w:r w:rsidR="00971C71">
        <w:t xml:space="preserve"> </w:t>
      </w:r>
      <w:r w:rsidR="0003434B" w:rsidRPr="00E25BA9">
        <w:t>warunkach przewidzianych dla tak zakwalifikowanych skazanych, przez okres trzech miesięcy. Komisja zastosowała art.</w:t>
      </w:r>
      <w:r w:rsidR="00971C71">
        <w:t xml:space="preserve"> </w:t>
      </w:r>
      <w:r w:rsidR="0003434B" w:rsidRPr="00E25BA9">
        <w:t xml:space="preserve">88a § 1 </w:t>
      </w:r>
      <w:r w:rsidR="00F758AF">
        <w:t>K</w:t>
      </w:r>
      <w:r w:rsidR="0003434B" w:rsidRPr="00E25BA9">
        <w:t>odeksu karnego wykonawczego („</w:t>
      </w:r>
      <w:r w:rsidR="009B3EF6" w:rsidRPr="00E25BA9">
        <w:t>Kodeksu</w:t>
      </w:r>
      <w:r w:rsidR="0003434B" w:rsidRPr="00E25BA9">
        <w:t>”)</w:t>
      </w:r>
      <w:r w:rsidR="00C325A6">
        <w:t>,</w:t>
      </w:r>
      <w:r w:rsidR="0003434B" w:rsidRPr="00E25BA9">
        <w:t xml:space="preserve"> ustaliwszy, że skarżący brał czynny </w:t>
      </w:r>
      <w:r w:rsidR="00C325A6">
        <w:t xml:space="preserve">i wiodący </w:t>
      </w:r>
      <w:r w:rsidR="0003434B" w:rsidRPr="00E25BA9">
        <w:t>udział w</w:t>
      </w:r>
      <w:r w:rsidR="00971C71">
        <w:t xml:space="preserve"> </w:t>
      </w:r>
      <w:r w:rsidR="0003434B" w:rsidRPr="00E25BA9">
        <w:t>zbiorowym proteście w dniu 4 maja 2016</w:t>
      </w:r>
      <w:r w:rsidR="00971C71">
        <w:t xml:space="preserve"> </w:t>
      </w:r>
      <w:r w:rsidR="0003434B" w:rsidRPr="00E25BA9">
        <w:t>r. Tego dnia skarżący wraz z</w:t>
      </w:r>
      <w:r w:rsidR="00971C71">
        <w:t xml:space="preserve"> </w:t>
      </w:r>
      <w:r w:rsidR="0003434B" w:rsidRPr="00E25BA9">
        <w:t>innymi osadzonymi odmówili przyjmowania posiłków w geście sprzeciwu wobec sposobu rozmieszczenia osadzonych w celach. Komisja ponadto stwierdziła, że</w:t>
      </w:r>
      <w:r w:rsidR="00DE75FC">
        <w:t> </w:t>
      </w:r>
      <w:r w:rsidR="0003434B" w:rsidRPr="00E25BA9">
        <w:t xml:space="preserve">skarżący przejawiał wysoki stopień demoralizacji i zajmował wysoką pozycję w hierarchii więźniów, przez co stanowczo mógł wywierać na nich </w:t>
      </w:r>
      <w:r w:rsidR="0003434B" w:rsidRPr="00E25BA9">
        <w:lastRenderedPageBreak/>
        <w:t>wpływ. Skarżący zamierzał kontynuować protest, co stanowiło rzeczywiste i</w:t>
      </w:r>
      <w:r w:rsidR="00DE75FC">
        <w:t> </w:t>
      </w:r>
      <w:r w:rsidR="0003434B" w:rsidRPr="00E25BA9">
        <w:t>poważne zagrożenie dla bezpieczeństwa zakładu. Komisja uznała też za</w:t>
      </w:r>
      <w:r w:rsidR="002A1009">
        <w:t> </w:t>
      </w:r>
      <w:r w:rsidR="0003434B" w:rsidRPr="00E25BA9">
        <w:t>konieczne zastosowanie wszystkich środków przewidzianych w art.</w:t>
      </w:r>
      <w:r w:rsidR="00971C71">
        <w:t xml:space="preserve"> </w:t>
      </w:r>
      <w:r w:rsidR="0003434B" w:rsidRPr="00E25BA9">
        <w:t>88b §</w:t>
      </w:r>
      <w:r w:rsidR="002A1009">
        <w:t> </w:t>
      </w:r>
      <w:r w:rsidR="0003434B" w:rsidRPr="00E25BA9">
        <w:t xml:space="preserve">1 </w:t>
      </w:r>
      <w:r w:rsidR="00C325A6" w:rsidRPr="00E25BA9">
        <w:t>Kodeksu</w:t>
      </w:r>
      <w:r w:rsidR="0003434B" w:rsidRPr="00E25BA9">
        <w:t>. Komisja podjęła decyzję po posiedzeniu z udziałem skarżącego, wysłuchawszy jego argumentów; skarżący został pouczony o</w:t>
      </w:r>
      <w:r w:rsidR="002A1009">
        <w:t> </w:t>
      </w:r>
      <w:r w:rsidR="0003434B" w:rsidRPr="00E25BA9">
        <w:t>prawie do</w:t>
      </w:r>
      <w:r w:rsidR="00DE75FC">
        <w:t> </w:t>
      </w:r>
      <w:r w:rsidR="0003434B" w:rsidRPr="00E25BA9">
        <w:t>skargi.</w:t>
      </w:r>
    </w:p>
    <w:p w14:paraId="72A8ABCE" w14:textId="512EC7F8" w:rsidR="0003434B" w:rsidRPr="00E25BA9" w:rsidRDefault="0073202D" w:rsidP="00251AA0">
      <w:pPr>
        <w:pStyle w:val="JuPara"/>
      </w:pPr>
      <w:r w:rsidRPr="00E25BA9">
        <w:t>7</w:t>
      </w:r>
      <w:r w:rsidR="0003434B" w:rsidRPr="00E25BA9">
        <w:t>.</w:t>
      </w:r>
      <w:r w:rsidR="00971C71">
        <w:t xml:space="preserve"> </w:t>
      </w:r>
      <w:r w:rsidR="0003434B" w:rsidRPr="00E25BA9">
        <w:t>Tego samego dnia skarżący został przeniesiony do Aresztu Śledczego w Lublinie.</w:t>
      </w:r>
    </w:p>
    <w:p w14:paraId="4BD3FBDD" w14:textId="04C8F4BE" w:rsidR="0003434B" w:rsidRPr="00E25BA9" w:rsidRDefault="0073202D" w:rsidP="00251AA0">
      <w:pPr>
        <w:pStyle w:val="JuPara"/>
      </w:pPr>
      <w:r w:rsidRPr="00E25BA9">
        <w:t>8</w:t>
      </w:r>
      <w:r w:rsidR="0003434B" w:rsidRPr="00E25BA9">
        <w:t>.</w:t>
      </w:r>
      <w:r w:rsidR="00971C71">
        <w:t xml:space="preserve"> </w:t>
      </w:r>
      <w:r w:rsidR="0003434B" w:rsidRPr="00E25BA9">
        <w:t>W dniu 14 lipca 2016</w:t>
      </w:r>
      <w:r w:rsidR="00971C71">
        <w:t xml:space="preserve"> </w:t>
      </w:r>
      <w:r w:rsidR="0003434B" w:rsidRPr="00E25BA9">
        <w:t>r. Sąd Okręgowy w Lublinie oddalił wniesioną przez skarżącego skargę na decyzję z dnia 5 maja 2016</w:t>
      </w:r>
      <w:r w:rsidR="00971C71">
        <w:t xml:space="preserve"> </w:t>
      </w:r>
      <w:r w:rsidRPr="00E25BA9">
        <w:t>r</w:t>
      </w:r>
      <w:r w:rsidR="0003434B" w:rsidRPr="00E25BA9">
        <w:t>. Sąd stwierdził, że</w:t>
      </w:r>
      <w:r w:rsidR="00DE75FC">
        <w:t> </w:t>
      </w:r>
      <w:r w:rsidR="0003434B" w:rsidRPr="00E25BA9">
        <w:t>skazany nie może odmawiać przyjmowania posiłków ani namawiać do</w:t>
      </w:r>
      <w:r w:rsidR="00DE75FC">
        <w:t> </w:t>
      </w:r>
      <w:r w:rsidR="0003434B" w:rsidRPr="00E25BA9">
        <w:t>tego innych w zamiarze wywarcia nacisku na władze zakładu karnego. Uznał, że decyzja komisji była prawidłowa i uzasadniona.</w:t>
      </w:r>
    </w:p>
    <w:p w14:paraId="1E723B35" w14:textId="6ACFCA15" w:rsidR="0003434B" w:rsidRPr="00E25BA9" w:rsidRDefault="0073202D" w:rsidP="00251AA0">
      <w:pPr>
        <w:pStyle w:val="JuPara"/>
      </w:pPr>
      <w:bookmarkStart w:id="3" w:name="PrisComm1extens"/>
      <w:r w:rsidRPr="00E25BA9">
        <w:t>9</w:t>
      </w:r>
      <w:bookmarkEnd w:id="3"/>
      <w:r w:rsidR="0003434B" w:rsidRPr="00E25BA9">
        <w:t>.</w:t>
      </w:r>
      <w:r w:rsidR="00971C71">
        <w:t xml:space="preserve"> </w:t>
      </w:r>
      <w:r w:rsidR="0003434B" w:rsidRPr="00E25BA9">
        <w:t>W dniu 4 sierpnia 2016</w:t>
      </w:r>
      <w:r w:rsidR="00971C71">
        <w:t xml:space="preserve"> </w:t>
      </w:r>
      <w:r w:rsidR="0003434B" w:rsidRPr="00E25BA9">
        <w:t>r. komisja penitencjarna w Areszcie Śledczym w Lublinie przedłużyła te warunki odbywania kary na kolejne trzy miesiące. Komisja stwierdziła, że sprawowanie osadzonego nie uległo poprawie, gdyż</w:t>
      </w:r>
      <w:r w:rsidR="00DE75FC">
        <w:t> </w:t>
      </w:r>
      <w:r w:rsidR="0003434B" w:rsidRPr="00E25BA9">
        <w:t>w ostatnim czasie wymierzono mu dwie kary dyscyplinarne. Skarżący zachowywał się konfrontacyjnie wobec funk</w:t>
      </w:r>
      <w:r w:rsidR="00BE1E37">
        <w:t>cjonariuszy służby więziennej i</w:t>
      </w:r>
      <w:r w:rsidR="00DE75FC">
        <w:t> </w:t>
      </w:r>
      <w:r w:rsidR="0003434B" w:rsidRPr="00E25BA9">
        <w:t>nie przestrzegał regulaminu. Komisja stwierdziła, że skarżący nadal stanowił zagrożenie dla bezpieczeństwa zakładu, a przedłużenie zastosowanych wobec niego warunków odbywania kary może pozytywnie wpłynąć na jego sprawowanie w zakładzie karnym. Jednocześnie na</w:t>
      </w:r>
      <w:r w:rsidR="00DE75FC">
        <w:t> </w:t>
      </w:r>
      <w:r w:rsidR="0003434B" w:rsidRPr="00E25BA9">
        <w:t>podstawie art.</w:t>
      </w:r>
      <w:r w:rsidR="00971C71">
        <w:t xml:space="preserve"> </w:t>
      </w:r>
      <w:r w:rsidR="0003434B" w:rsidRPr="00E25BA9">
        <w:t xml:space="preserve">88b § 2 </w:t>
      </w:r>
      <w:r w:rsidR="00470872" w:rsidRPr="00E25BA9">
        <w:t xml:space="preserve">Kodeksu </w:t>
      </w:r>
      <w:r w:rsidR="0003434B" w:rsidRPr="00E25BA9">
        <w:t>komisja zdecydowała o odstąpieniu od</w:t>
      </w:r>
      <w:r w:rsidR="00DE75FC">
        <w:t> </w:t>
      </w:r>
      <w:r w:rsidR="00C502D1">
        <w:t xml:space="preserve">automatycznego </w:t>
      </w:r>
      <w:r w:rsidR="0003434B" w:rsidRPr="00E25BA9">
        <w:t>stosowania kontroli osobistej wobec skarżącego przy każdorazowym wyjściu i powrocie do celi. Kontrole osobiste miały być stosowane tylko przy każdorazowym wyjściu z oddziału zakładu karnego i</w:t>
      </w:r>
      <w:r w:rsidR="00DE75FC">
        <w:t> </w:t>
      </w:r>
      <w:r w:rsidR="0003434B" w:rsidRPr="00E25BA9">
        <w:t>powrocie na oddział. Ponadto zezwolono skarżącemu na noszenie własnego obuwia (odstąpienie od środków opisanych w art.</w:t>
      </w:r>
      <w:r w:rsidR="00971C71">
        <w:t xml:space="preserve"> </w:t>
      </w:r>
      <w:r w:rsidR="0003434B" w:rsidRPr="00E25BA9">
        <w:t>88b § 1 pkt 5 i 10). Komisja podjęła decyzję po posiedzeniu z udziałem skarżącego, wysłuchawszy jego argumentów; skarżący został pouczony o prawie do skargi.</w:t>
      </w:r>
    </w:p>
    <w:p w14:paraId="1F5625A4" w14:textId="62937046" w:rsidR="0003434B" w:rsidRPr="00E25BA9" w:rsidRDefault="0073202D" w:rsidP="00251AA0">
      <w:pPr>
        <w:pStyle w:val="JuPara"/>
      </w:pPr>
      <w:r w:rsidRPr="00E25BA9">
        <w:t>10</w:t>
      </w:r>
      <w:r w:rsidR="0003434B" w:rsidRPr="00E25BA9">
        <w:t>.</w:t>
      </w:r>
      <w:r w:rsidR="00971C71">
        <w:t xml:space="preserve"> </w:t>
      </w:r>
      <w:r w:rsidR="0003434B" w:rsidRPr="00E25BA9">
        <w:t>W dniu 19 września 2016</w:t>
      </w:r>
      <w:r w:rsidR="00971C71">
        <w:t xml:space="preserve"> </w:t>
      </w:r>
      <w:r w:rsidR="0003434B" w:rsidRPr="00E25BA9">
        <w:t>r. Sąd Okręgowy w Lublinie oddalił wniesioną przez skarżącego skargę na tę decyzję. Sąd stwierdził, że decyzja została wydana zgodnie z prawem oraz była uzasadniona w świetle okoliczności sprawy. Przypomniał, że warunki od</w:t>
      </w:r>
      <w:r w:rsidR="00470872">
        <w:t>bywania kary zostały przedłużone</w:t>
      </w:r>
      <w:r w:rsidR="0003434B" w:rsidRPr="00E25BA9">
        <w:t xml:space="preserve"> z uwagi na charakter przestępstwa popełnionego przez skarżącego, okoliczność, że zorganizował on protest w Zakładzie Karnym w</w:t>
      </w:r>
      <w:r w:rsidR="00DE75FC">
        <w:t> </w:t>
      </w:r>
      <w:r w:rsidR="0003434B" w:rsidRPr="00E25BA9">
        <w:t>Opolu Lubelskim</w:t>
      </w:r>
      <w:r w:rsidR="00470872">
        <w:t>,</w:t>
      </w:r>
      <w:r w:rsidR="0003434B" w:rsidRPr="00E25BA9">
        <w:t xml:space="preserve"> oraz z uwagi na jego złe sprawowanie w zakładzie karnym. Sąd odnotował, że od czasu nałożenia szczególnych warunków odbywania kary na skarżącego, dwukrotnie wymierzono mu karę dyscyplinarną. Sąd uznał zatem, że skarżący wciąż stanowił zagrożenie dla</w:t>
      </w:r>
      <w:r w:rsidR="00DE75FC">
        <w:t> </w:t>
      </w:r>
      <w:r w:rsidR="0003434B" w:rsidRPr="00E25BA9">
        <w:t>bezpieczeństwa zakładu, a jego agresywne zachowanie wobec funkcjonariuszy służby więziennej może się powtarzać.</w:t>
      </w:r>
    </w:p>
    <w:p w14:paraId="46EEBFB2" w14:textId="5FD8D596" w:rsidR="0003434B" w:rsidRPr="00E25BA9" w:rsidRDefault="0073202D" w:rsidP="00251AA0">
      <w:pPr>
        <w:pStyle w:val="JuPara"/>
      </w:pPr>
      <w:bookmarkStart w:id="4" w:name="PrisComm2extens"/>
      <w:r w:rsidRPr="00E25BA9">
        <w:t>11</w:t>
      </w:r>
      <w:bookmarkEnd w:id="4"/>
      <w:r w:rsidR="0003434B" w:rsidRPr="00E25BA9">
        <w:t>.</w:t>
      </w:r>
      <w:r w:rsidR="00971C71">
        <w:t xml:space="preserve"> </w:t>
      </w:r>
      <w:r w:rsidR="0003434B" w:rsidRPr="00E25BA9">
        <w:t>W dniu 3 listopada 2016</w:t>
      </w:r>
      <w:r w:rsidR="00971C71">
        <w:t xml:space="preserve"> </w:t>
      </w:r>
      <w:r w:rsidR="0003434B" w:rsidRPr="00E25BA9">
        <w:t xml:space="preserve">r. komisja penitencjarna w Areszcie Śledczym w Lublinie przedłużyła te warunki odbywania kary na kolejne trzy miesiące. </w:t>
      </w:r>
      <w:r w:rsidR="0003434B" w:rsidRPr="00E25BA9">
        <w:lastRenderedPageBreak/>
        <w:t>Komisja zdecydowała także o złagodzeniu warunków polegającym na tym, że skarżący, przebywając poza celą, będzie miał ręce skute kajdanami z</w:t>
      </w:r>
      <w:r w:rsidR="00DE75FC">
        <w:t> </w:t>
      </w:r>
      <w:r w:rsidR="0003434B" w:rsidRPr="00E25BA9">
        <w:t>przodu tułowia, a nie za plecami. Komisja podtrzymała też swoją wcześniejszą decyzję o odstąpieniu od stosowania pierwotnie zarządzonej kontroli osobistej wobec skarżącego przy każdorazowym wyjściu i powrocie do celi. Skarżący nadal mógł też nosić własne obuwie.</w:t>
      </w:r>
    </w:p>
    <w:p w14:paraId="503CF591" w14:textId="408883EF" w:rsidR="0003434B" w:rsidRPr="00E25BA9" w:rsidRDefault="0073202D" w:rsidP="00251AA0">
      <w:pPr>
        <w:pStyle w:val="JuPara"/>
      </w:pPr>
      <w:r w:rsidRPr="00E25BA9">
        <w:t>12</w:t>
      </w:r>
      <w:r w:rsidR="0003434B" w:rsidRPr="00E25BA9">
        <w:t>.</w:t>
      </w:r>
      <w:r w:rsidR="00971C71">
        <w:t xml:space="preserve"> </w:t>
      </w:r>
      <w:r w:rsidR="0003434B" w:rsidRPr="00E25BA9">
        <w:t>W dniu 10 stycznia 2017</w:t>
      </w:r>
      <w:r w:rsidR="00971C71">
        <w:t xml:space="preserve"> </w:t>
      </w:r>
      <w:r w:rsidR="0003434B" w:rsidRPr="00E25BA9">
        <w:t>r. Sąd Okręgowy w Lublinie oddalił wniesioną przez skarżącego skargę na tę decyzję. Sąd ustalił, że skarżącemu w ostatnim czasie wymierzono kolejną karę dyscyplinarną za obrażanie funkcjonar</w:t>
      </w:r>
      <w:r w:rsidR="0042146F">
        <w:t>iuszy służby więziennej</w:t>
      </w:r>
      <w:r w:rsidR="00C502D1">
        <w:t xml:space="preserve">, </w:t>
      </w:r>
      <w:r w:rsidR="00A91E13">
        <w:t>oraz</w:t>
      </w:r>
      <w:r w:rsidR="00C502D1">
        <w:t xml:space="preserve"> że</w:t>
      </w:r>
      <w:r w:rsidR="0042146F">
        <w:t xml:space="preserve"> odmówił</w:t>
      </w:r>
      <w:r w:rsidR="0003434B" w:rsidRPr="00E25BA9">
        <w:t xml:space="preserve"> </w:t>
      </w:r>
      <w:r w:rsidR="00A91E13">
        <w:t xml:space="preserve">on </w:t>
      </w:r>
      <w:r w:rsidR="0003434B" w:rsidRPr="00E25BA9">
        <w:t>udział</w:t>
      </w:r>
      <w:r w:rsidR="0042146F">
        <w:t>u</w:t>
      </w:r>
      <w:r w:rsidR="0003434B" w:rsidRPr="00E25BA9">
        <w:t xml:space="preserve"> w programie resocjalizacji. Zachowanie skarżącego wobec służby więziennej nadal było konfrontacyjne i agresywne.</w:t>
      </w:r>
    </w:p>
    <w:p w14:paraId="4DA596B7" w14:textId="5C3EC3FE" w:rsidR="0003434B" w:rsidRPr="00E25BA9" w:rsidRDefault="0073202D" w:rsidP="00251AA0">
      <w:pPr>
        <w:pStyle w:val="JuPara"/>
      </w:pPr>
      <w:bookmarkStart w:id="5" w:name="PrisCommLifted"/>
      <w:r w:rsidRPr="00E25BA9">
        <w:t>13</w:t>
      </w:r>
      <w:bookmarkEnd w:id="5"/>
      <w:r w:rsidR="0003434B" w:rsidRPr="00E25BA9">
        <w:t>.</w:t>
      </w:r>
      <w:r w:rsidR="00971C71">
        <w:t xml:space="preserve"> </w:t>
      </w:r>
      <w:r w:rsidR="0003434B" w:rsidRPr="00E25BA9">
        <w:t>W dniu 25 stycznia 2017</w:t>
      </w:r>
      <w:r w:rsidR="00971C71">
        <w:t xml:space="preserve"> </w:t>
      </w:r>
      <w:r w:rsidR="0003434B" w:rsidRPr="00E25BA9">
        <w:t>r. komisja penitencjarna w Areszcie Śledczym w Lublinie zniosła warunki odbywania kary nałożone na</w:t>
      </w:r>
      <w:r w:rsidR="00DE75FC">
        <w:t> </w:t>
      </w:r>
      <w:r w:rsidR="0003434B" w:rsidRPr="00E25BA9">
        <w:t>skarżącego. Komisja stwierdziła stopniową poprawę sprawowania skarżącego, w szczególności zauważyła, że nie otrzymywał on kolejnych kar dyscyplinarnych w poprzedzającym trzymiesięcznym okresie. Komisja uznała, że istnieją względy pozwalające założyć, że skarżący nie będzie dłużej stanowił rzeczywistego zagrożenia dla bezpieczeństwa zakładu. Ponadto dalsze stosowanie warunków odbywania kary przewidzianych dla</w:t>
      </w:r>
      <w:r w:rsidR="00DE75FC">
        <w:t> </w:t>
      </w:r>
      <w:r w:rsidR="0003434B" w:rsidRPr="00E25BA9">
        <w:t>osadzonych szczególnie niebezpiecznych nie będzie miało pozytywnego wpływu na sprawowanie skarżącego.</w:t>
      </w:r>
    </w:p>
    <w:p w14:paraId="6493B88E" w14:textId="0ED456DB" w:rsidR="0003434B" w:rsidRPr="00E25BA9" w:rsidRDefault="0073202D" w:rsidP="00251AA0">
      <w:pPr>
        <w:pStyle w:val="JuPara"/>
      </w:pPr>
      <w:bookmarkStart w:id="6" w:name="par11"/>
      <w:bookmarkStart w:id="7" w:name="aspectsoftheRegime"/>
      <w:r w:rsidRPr="00E25BA9">
        <w:t>14</w:t>
      </w:r>
      <w:bookmarkEnd w:id="6"/>
      <w:bookmarkEnd w:id="7"/>
      <w:r w:rsidR="0003434B" w:rsidRPr="00E25BA9">
        <w:t>.</w:t>
      </w:r>
      <w:r w:rsidR="00971C71">
        <w:t xml:space="preserve"> </w:t>
      </w:r>
      <w:r w:rsidR="0003434B" w:rsidRPr="00E25BA9">
        <w:t>Podczas odbywania kary pozbawienia wolności skarżący przebywał w</w:t>
      </w:r>
      <w:r w:rsidR="00DE75FC">
        <w:t> </w:t>
      </w:r>
      <w:r w:rsidR="0003434B" w:rsidRPr="00E25BA9">
        <w:t>jednoosobowych celach. Cela wraz z wydzieloną strefą sanitariatu była monitorowana za pomocą telewizji dozorowej. Skarżący był poddawany kontroli osobistej przy każdorazowym wyjściu i powrocie do celi. Skarżący, kiedy przebywał poza celą, był skuty tzw. kajdankami zespolonymi (</w:t>
      </w:r>
      <w:r w:rsidR="0042146F" w:rsidRPr="0042146F">
        <w:t>kajdanki zakładane na ręce i nogi połączone łańcuchem</w:t>
      </w:r>
      <w:r w:rsidR="0003434B" w:rsidRPr="00E25BA9">
        <w:t>).</w:t>
      </w:r>
    </w:p>
    <w:p w14:paraId="121C03C5" w14:textId="77777777" w:rsidR="0003434B" w:rsidRPr="00E25BA9" w:rsidRDefault="0003434B" w:rsidP="00251AA0">
      <w:pPr>
        <w:pStyle w:val="JuHHead"/>
        <w:jc w:val="left"/>
      </w:pPr>
      <w:r w:rsidRPr="00E25BA9">
        <w:t>WŁAŚCIWE RAMY PRAWNE I PRAKTYKA</w:t>
      </w:r>
    </w:p>
    <w:p w14:paraId="57C94A6C" w14:textId="13224006" w:rsidR="0003434B" w:rsidRPr="00E25BA9" w:rsidRDefault="0073202D" w:rsidP="00251AA0">
      <w:pPr>
        <w:pStyle w:val="JuPara"/>
      </w:pPr>
      <w:r w:rsidRPr="00E25BA9">
        <w:t>15</w:t>
      </w:r>
      <w:r w:rsidR="0003434B" w:rsidRPr="00E25BA9">
        <w:t>.</w:t>
      </w:r>
      <w:r w:rsidR="00971C71">
        <w:t xml:space="preserve"> </w:t>
      </w:r>
      <w:r w:rsidR="0003434B" w:rsidRPr="00E25BA9">
        <w:t xml:space="preserve">Właściwe prawo i praktyka dotyczące statusu „osadzonego niebezpiecznego” wskazano w </w:t>
      </w:r>
      <w:r w:rsidR="0042146F">
        <w:t>wyrokach</w:t>
      </w:r>
      <w:r w:rsidR="0003434B" w:rsidRPr="00E25BA9">
        <w:t xml:space="preserve"> Trybunału w</w:t>
      </w:r>
      <w:r w:rsidR="00971C71">
        <w:t xml:space="preserve"> </w:t>
      </w:r>
      <w:r w:rsidR="0003434B" w:rsidRPr="00E25BA9">
        <w:t xml:space="preserve">sprawach </w:t>
      </w:r>
      <w:r w:rsidR="0042146F">
        <w:rPr>
          <w:i/>
        </w:rPr>
        <w:t xml:space="preserve">Piechowicz </w:t>
      </w:r>
      <w:r w:rsidR="0003434B" w:rsidRPr="00E25BA9">
        <w:rPr>
          <w:i/>
        </w:rPr>
        <w:t>przeciwko Polsce</w:t>
      </w:r>
      <w:r w:rsidR="0003434B" w:rsidRPr="00E25BA9">
        <w:t>, (nr 20071/07, §§</w:t>
      </w:r>
      <w:r w:rsidR="00971C71">
        <w:t xml:space="preserve"> </w:t>
      </w:r>
      <w:r w:rsidR="0003434B" w:rsidRPr="00E25BA9">
        <w:t>105</w:t>
      </w:r>
      <w:r w:rsidR="00282074">
        <w:t>-</w:t>
      </w:r>
      <w:r w:rsidR="0003434B" w:rsidRPr="00E25BA9">
        <w:t>117, 17</w:t>
      </w:r>
      <w:r w:rsidR="00971C71">
        <w:t xml:space="preserve"> </w:t>
      </w:r>
      <w:r w:rsidR="0003434B" w:rsidRPr="00E25BA9">
        <w:t>kwietnia 2012</w:t>
      </w:r>
      <w:r w:rsidR="00971C71">
        <w:t xml:space="preserve"> </w:t>
      </w:r>
      <w:r w:rsidR="0003434B" w:rsidRPr="00E25BA9">
        <w:t xml:space="preserve">r.) oraz </w:t>
      </w:r>
      <w:r w:rsidR="0003434B" w:rsidRPr="00E25BA9">
        <w:rPr>
          <w:i/>
        </w:rPr>
        <w:t>Prus przeciwko Polsce</w:t>
      </w:r>
      <w:r w:rsidR="0003434B" w:rsidRPr="00E25BA9">
        <w:t>, (nr</w:t>
      </w:r>
      <w:r w:rsidR="00971C71">
        <w:t xml:space="preserve"> </w:t>
      </w:r>
      <w:r w:rsidR="0003434B" w:rsidRPr="00E25BA9">
        <w:t>5136/11, §§</w:t>
      </w:r>
      <w:r w:rsidR="00971C71">
        <w:t xml:space="preserve"> </w:t>
      </w:r>
      <w:r w:rsidR="0003434B" w:rsidRPr="00E25BA9">
        <w:t>16</w:t>
      </w:r>
      <w:r w:rsidR="00282074">
        <w:t>-</w:t>
      </w:r>
      <w:r w:rsidR="00BE1E37">
        <w:t xml:space="preserve">17, </w:t>
      </w:r>
      <w:r w:rsidR="0003434B" w:rsidRPr="00E25BA9">
        <w:t>12</w:t>
      </w:r>
      <w:r w:rsidR="00971C71">
        <w:t xml:space="preserve"> </w:t>
      </w:r>
      <w:r w:rsidR="0003434B" w:rsidRPr="00E25BA9">
        <w:t>stycznia 2016</w:t>
      </w:r>
      <w:r w:rsidR="00971C71">
        <w:t xml:space="preserve"> </w:t>
      </w:r>
      <w:r w:rsidR="0003434B" w:rsidRPr="00E25BA9">
        <w:t>r.).</w:t>
      </w:r>
    </w:p>
    <w:p w14:paraId="6038F15E" w14:textId="7F2ED8F3" w:rsidR="0003434B" w:rsidRPr="00E25BA9" w:rsidRDefault="0073202D" w:rsidP="00251AA0">
      <w:pPr>
        <w:pStyle w:val="JuPara"/>
      </w:pPr>
      <w:bookmarkStart w:id="8" w:name="amendment2015"/>
      <w:r w:rsidRPr="00E25BA9">
        <w:t>16</w:t>
      </w:r>
      <w:bookmarkEnd w:id="8"/>
      <w:r w:rsidR="0003434B" w:rsidRPr="00E25BA9">
        <w:t>.</w:t>
      </w:r>
      <w:r w:rsidR="00971C71">
        <w:t xml:space="preserve"> </w:t>
      </w:r>
      <w:r w:rsidR="0003434B" w:rsidRPr="00E25BA9">
        <w:t>W dniu 10 września 2015</w:t>
      </w:r>
      <w:r w:rsidR="00971C71">
        <w:t xml:space="preserve"> </w:t>
      </w:r>
      <w:r w:rsidR="0003434B" w:rsidRPr="00E25BA9">
        <w:t xml:space="preserve">r. zmieniono odpowiednie artykuły </w:t>
      </w:r>
      <w:r w:rsidR="00282074" w:rsidRPr="00E25BA9">
        <w:t xml:space="preserve">Kodeksu </w:t>
      </w:r>
      <w:r w:rsidR="0003434B" w:rsidRPr="00E25BA9">
        <w:t xml:space="preserve">karnego wykonawczego. Weszły one w życie </w:t>
      </w:r>
      <w:r w:rsidR="00282074">
        <w:t>w</w:t>
      </w:r>
      <w:r w:rsidR="0003434B" w:rsidRPr="00E25BA9">
        <w:t xml:space="preserve"> dniu 24</w:t>
      </w:r>
      <w:r w:rsidR="00971C71">
        <w:t xml:space="preserve"> </w:t>
      </w:r>
      <w:r w:rsidR="0003434B" w:rsidRPr="00E25BA9">
        <w:t>października 2015</w:t>
      </w:r>
      <w:r w:rsidR="00971C71">
        <w:t xml:space="preserve"> </w:t>
      </w:r>
      <w:r w:rsidR="0003434B" w:rsidRPr="00E25BA9">
        <w:t>r. Aktualnie brzmią</w:t>
      </w:r>
      <w:r w:rsidR="00282074">
        <w:t>,</w:t>
      </w:r>
      <w:r w:rsidR="0003434B" w:rsidRPr="00E25BA9">
        <w:t xml:space="preserve"> jak następuje:</w:t>
      </w:r>
    </w:p>
    <w:p w14:paraId="03907EB7" w14:textId="77777777" w:rsidR="0003434B" w:rsidRPr="00E25BA9" w:rsidRDefault="0003434B" w:rsidP="00251AA0">
      <w:pPr>
        <w:pStyle w:val="JuHArticle"/>
      </w:pPr>
      <w:r w:rsidRPr="00E25BA9">
        <w:t>Art. 88a</w:t>
      </w:r>
    </w:p>
    <w:p w14:paraId="5959E49B" w14:textId="0AED55BE" w:rsidR="0003434B" w:rsidRPr="00E25BA9" w:rsidRDefault="0003434B" w:rsidP="00251AA0">
      <w:pPr>
        <w:pStyle w:val="JuQuot"/>
      </w:pPr>
      <w:r w:rsidRPr="00E25BA9">
        <w:t>„2.</w:t>
      </w:r>
      <w:r w:rsidR="00971C71">
        <w:t xml:space="preserve"> </w:t>
      </w:r>
      <w:r w:rsidRPr="00E25BA9">
        <w:t>Przy podjęciu i każdorazowej weryfikacji decyzji o uznaniu skazanego za</w:t>
      </w:r>
      <w:r w:rsidR="00DE75FC">
        <w:t> </w:t>
      </w:r>
      <w:r w:rsidRPr="00E25BA9">
        <w:t>stwarzającego poważne zagrożenie społeczne albo poważne zagrożenie dla</w:t>
      </w:r>
      <w:r w:rsidR="00DE75FC">
        <w:t> </w:t>
      </w:r>
      <w:r w:rsidRPr="00E25BA9">
        <w:t>bezpieczeństwa zakładu komisja penitencjarna uwzględnia”</w:t>
      </w:r>
    </w:p>
    <w:p w14:paraId="68A3FC00" w14:textId="4DFF0FE5" w:rsidR="0003434B" w:rsidRPr="00E25BA9" w:rsidRDefault="0003434B" w:rsidP="00251AA0">
      <w:pPr>
        <w:pStyle w:val="JuQuot"/>
      </w:pPr>
      <w:r w:rsidRPr="00E25BA9">
        <w:t>1)</w:t>
      </w:r>
      <w:r w:rsidR="00971C71">
        <w:t xml:space="preserve"> </w:t>
      </w:r>
      <w:r w:rsidRPr="00E25BA9">
        <w:t>właściwości i warunki osobiste skazanego;</w:t>
      </w:r>
    </w:p>
    <w:p w14:paraId="76078934" w14:textId="4D11B508" w:rsidR="0003434B" w:rsidRPr="00E25BA9" w:rsidRDefault="0003434B" w:rsidP="00251AA0">
      <w:pPr>
        <w:pStyle w:val="JuQuot"/>
      </w:pPr>
      <w:r w:rsidRPr="00E25BA9">
        <w:lastRenderedPageBreak/>
        <w:t>2)</w:t>
      </w:r>
      <w:r w:rsidR="00971C71">
        <w:t xml:space="preserve"> </w:t>
      </w:r>
      <w:r w:rsidRPr="00E25BA9">
        <w:t xml:space="preserve">motywacje i sposób zachowania się przy popełnieniu przestępstwa [za które został skazany] oraz rodzaj </w:t>
      </w:r>
      <w:r w:rsidR="009505C8" w:rsidRPr="00E25BA9">
        <w:t>[…]</w:t>
      </w:r>
      <w:r w:rsidR="00282074">
        <w:t xml:space="preserve"> przestępstwa;</w:t>
      </w:r>
    </w:p>
    <w:p w14:paraId="1A277DBD" w14:textId="3B5AE2E0" w:rsidR="0003434B" w:rsidRPr="00E25BA9" w:rsidRDefault="0003434B" w:rsidP="00251AA0">
      <w:pPr>
        <w:pStyle w:val="JuQuot"/>
      </w:pPr>
      <w:r w:rsidRPr="00E25BA9">
        <w:t>3)</w:t>
      </w:r>
      <w:r w:rsidR="00971C71">
        <w:t xml:space="preserve"> </w:t>
      </w:r>
      <w:r w:rsidRPr="00E25BA9">
        <w:t>sposób zachowania się w trakcie pobytu w zakładzie karnym;</w:t>
      </w:r>
    </w:p>
    <w:p w14:paraId="780F7A39" w14:textId="28BE8597" w:rsidR="0003434B" w:rsidRPr="00E25BA9" w:rsidRDefault="0003434B" w:rsidP="00251AA0">
      <w:pPr>
        <w:pStyle w:val="JuQuot"/>
      </w:pPr>
      <w:r w:rsidRPr="00E25BA9">
        <w:t>4)</w:t>
      </w:r>
      <w:r w:rsidR="00971C71">
        <w:t xml:space="preserve"> </w:t>
      </w:r>
      <w:r w:rsidRPr="00E25BA9">
        <w:t>stopień demoralizacji lub postępy w resocjalizacji</w:t>
      </w:r>
      <w:r w:rsidR="00282074">
        <w:t xml:space="preserve"> […]</w:t>
      </w:r>
      <w:r w:rsidR="009505C8" w:rsidRPr="00E25BA9">
        <w:t>.”</w:t>
      </w:r>
    </w:p>
    <w:p w14:paraId="04D0D040" w14:textId="77777777" w:rsidR="0003434B" w:rsidRPr="00E25BA9" w:rsidRDefault="0003434B" w:rsidP="00251AA0">
      <w:pPr>
        <w:pStyle w:val="JuHArticle"/>
      </w:pPr>
      <w:r w:rsidRPr="00E25BA9">
        <w:t>Artykuł 88b</w:t>
      </w:r>
    </w:p>
    <w:p w14:paraId="59D1DE52" w14:textId="6ACB5EB0" w:rsidR="0003434B" w:rsidRPr="00E25BA9" w:rsidRDefault="0003434B" w:rsidP="00251AA0">
      <w:pPr>
        <w:pStyle w:val="JuQuot"/>
      </w:pPr>
      <w:r w:rsidRPr="00E25BA9">
        <w:t>§</w:t>
      </w:r>
      <w:r w:rsidR="00971C71">
        <w:t xml:space="preserve"> </w:t>
      </w:r>
      <w:r w:rsidRPr="00E25BA9">
        <w:t>1</w:t>
      </w:r>
      <w:r w:rsidR="009505C8" w:rsidRPr="00E25BA9">
        <w:t>.</w:t>
      </w:r>
      <w:r w:rsidR="00971C71">
        <w:t xml:space="preserve"> </w:t>
      </w:r>
      <w:r w:rsidRPr="00E25BA9">
        <w:t>W zakładzie karnym typu zamkniętego skazani stwarzający poważne zagrożenie społeczne albo poważne zagrożenie dla bezpieczeństwa zakładu odbywają karę w</w:t>
      </w:r>
      <w:r w:rsidR="00DE75FC">
        <w:t> </w:t>
      </w:r>
      <w:r w:rsidRPr="00E25BA9">
        <w:t>następujących warunkach:</w:t>
      </w:r>
    </w:p>
    <w:p w14:paraId="634ADD08" w14:textId="16FC6673" w:rsidR="0003434B" w:rsidRPr="00E25BA9" w:rsidRDefault="0003434B" w:rsidP="00251AA0">
      <w:pPr>
        <w:pStyle w:val="JuQuot"/>
      </w:pPr>
      <w:r w:rsidRPr="00E25BA9">
        <w:t>1)</w:t>
      </w:r>
      <w:r w:rsidR="00971C71">
        <w:t xml:space="preserve"> </w:t>
      </w:r>
      <w:r w:rsidRPr="00E25BA9">
        <w:t>cele mieszkalne oraz miejsca i pomieszczenia wyznaczone do: pracy, nauki, przeprowadzania spacerów, widzeń, odprawiania nabożeństw, spotkań religijnych i</w:t>
      </w:r>
      <w:r w:rsidR="00DE75FC">
        <w:t> </w:t>
      </w:r>
      <w:r w:rsidRPr="00E25BA9">
        <w:t>nauczania religii oraz zajęć kulturalno-oświatowych, z zakresu kultury fizycznej i</w:t>
      </w:r>
      <w:r w:rsidR="00DE75FC">
        <w:t> </w:t>
      </w:r>
      <w:r w:rsidRPr="00E25BA9">
        <w:t>sportu wyposaża się w odpowiednie zabezpieczenia techniczno-ochronne;</w:t>
      </w:r>
    </w:p>
    <w:p w14:paraId="4A0E75AA" w14:textId="413830BF" w:rsidR="0003434B" w:rsidRPr="00E25BA9" w:rsidRDefault="0003434B" w:rsidP="00251AA0">
      <w:pPr>
        <w:pStyle w:val="JuQuot"/>
      </w:pPr>
      <w:r w:rsidRPr="00E25BA9">
        <w:t>2)</w:t>
      </w:r>
      <w:r w:rsidR="00971C71">
        <w:t xml:space="preserve"> </w:t>
      </w:r>
      <w:r w:rsidRPr="00E25BA9">
        <w:t>cele mieszkalne pozostają zamknięte całą dobę i są częściej kontrolowane [</w:t>
      </w:r>
      <w:r w:rsidR="009505C8" w:rsidRPr="00E25BA9">
        <w:t>…</w:t>
      </w:r>
      <w:r w:rsidRPr="00E25BA9">
        <w:t>]</w:t>
      </w:r>
      <w:r w:rsidR="00282074">
        <w:t>;</w:t>
      </w:r>
    </w:p>
    <w:p w14:paraId="27C4DAF8" w14:textId="23B2DAB1" w:rsidR="0003434B" w:rsidRPr="00E25BA9" w:rsidRDefault="0003434B" w:rsidP="00251AA0">
      <w:pPr>
        <w:pStyle w:val="JuQuot"/>
      </w:pPr>
      <w:r w:rsidRPr="00E25BA9">
        <w:t>3)</w:t>
      </w:r>
      <w:r w:rsidR="00971C71">
        <w:t xml:space="preserve"> </w:t>
      </w:r>
      <w:r w:rsidRPr="00E25BA9">
        <w:t>skazani mogą uczyć się, pracować, bezpośrednio uczestniczyć w nabożeństwach, spotkaniach religijnych i nauce religii oraz korzystać z zajęć kulturalno-oświatowych, z zakresu kultury fizycznej i sportu, tylko w oddziale, w którym są osadzeni;</w:t>
      </w:r>
    </w:p>
    <w:p w14:paraId="46111843" w14:textId="06673EA1" w:rsidR="0003434B" w:rsidRPr="00E25BA9" w:rsidRDefault="0003434B" w:rsidP="00251AA0">
      <w:pPr>
        <w:pStyle w:val="JuQuot"/>
      </w:pPr>
      <w:r w:rsidRPr="00E25BA9">
        <w:t>4)</w:t>
      </w:r>
      <w:r w:rsidR="00971C71">
        <w:t xml:space="preserve"> </w:t>
      </w:r>
      <w:r w:rsidRPr="00E25BA9">
        <w:t>poruszanie się skazanych po terenie zakładu karnego odbywa się pod</w:t>
      </w:r>
      <w:r w:rsidR="00DE75FC">
        <w:t> </w:t>
      </w:r>
      <w:r w:rsidRPr="00E25BA9">
        <w:t>wzmocnionym dozorem i jest ograniczone tylko do niezbędnych potrzeb;</w:t>
      </w:r>
    </w:p>
    <w:p w14:paraId="18DC96B6" w14:textId="41DA5265" w:rsidR="0003434B" w:rsidRPr="00E25BA9" w:rsidRDefault="0003434B" w:rsidP="00251AA0">
      <w:pPr>
        <w:pStyle w:val="JuQuot"/>
      </w:pPr>
      <w:r w:rsidRPr="00E25BA9">
        <w:t>5)</w:t>
      </w:r>
      <w:r w:rsidR="00971C71">
        <w:t xml:space="preserve"> </w:t>
      </w:r>
      <w:r w:rsidRPr="00E25BA9">
        <w:t>skazanych poddaje się kontroli osobistej przy każdorazowym wyjściu i powrocie do cel</w:t>
      </w:r>
      <w:r w:rsidR="00282074">
        <w:t>;</w:t>
      </w:r>
      <w:r w:rsidRPr="00E25BA9">
        <w:t xml:space="preserve"> [</w:t>
      </w:r>
      <w:r w:rsidR="009505C8" w:rsidRPr="00E25BA9">
        <w:t>…</w:t>
      </w:r>
      <w:r w:rsidRPr="00E25BA9">
        <w:t>]</w:t>
      </w:r>
    </w:p>
    <w:p w14:paraId="618E8BD2" w14:textId="6F97D776" w:rsidR="0003434B" w:rsidRPr="00E25BA9" w:rsidRDefault="0003434B" w:rsidP="00251AA0">
      <w:pPr>
        <w:pStyle w:val="JuQuot"/>
      </w:pPr>
      <w:r w:rsidRPr="00E25BA9">
        <w:t>10)</w:t>
      </w:r>
      <w:r w:rsidR="00971C71">
        <w:t xml:space="preserve"> </w:t>
      </w:r>
      <w:r w:rsidRPr="00E25BA9">
        <w:t>skazani nie mogą korzystać z własnej odzieży i obuwia.</w:t>
      </w:r>
    </w:p>
    <w:p w14:paraId="3496F0F9" w14:textId="7B1C3D1E" w:rsidR="0003434B" w:rsidRPr="00E25BA9" w:rsidRDefault="0003434B" w:rsidP="00251AA0">
      <w:pPr>
        <w:pStyle w:val="JuQuot"/>
      </w:pPr>
      <w:r w:rsidRPr="00E25BA9">
        <w:t>§</w:t>
      </w:r>
      <w:r w:rsidR="00971C71">
        <w:t xml:space="preserve"> </w:t>
      </w:r>
      <w:r w:rsidRPr="00E25BA9">
        <w:t>2.</w:t>
      </w:r>
      <w:r w:rsidR="00971C71">
        <w:t xml:space="preserve"> </w:t>
      </w:r>
      <w:r w:rsidRPr="00E25BA9">
        <w:t>Komisja penitencjarna może uznać, że nie zachodzi potrzeba stosowania wszystkich warunków, o których mowa w § 1, i odstąpić od stosowania jednego lub</w:t>
      </w:r>
      <w:r w:rsidR="00DE75FC">
        <w:t> </w:t>
      </w:r>
      <w:r w:rsidRPr="00E25BA9">
        <w:t>więcej z nich [</w:t>
      </w:r>
      <w:r w:rsidR="009505C8" w:rsidRPr="00E25BA9">
        <w:t>…</w:t>
      </w:r>
      <w:r w:rsidRPr="00E25BA9">
        <w:t>] Jeżeli jest to uzasadnione okolicznościami, można przywrócić stosowanie warunków, od których odstąpiono, lub zmienić ich zakres</w:t>
      </w:r>
      <w:r w:rsidR="00282074">
        <w:t xml:space="preserve"> […]</w:t>
      </w:r>
      <w:r w:rsidRPr="00E25BA9">
        <w:t>.</w:t>
      </w:r>
    </w:p>
    <w:p w14:paraId="1DA759B3" w14:textId="38F0E5E5" w:rsidR="0003434B" w:rsidRPr="00E25BA9" w:rsidRDefault="0003434B" w:rsidP="00251AA0">
      <w:pPr>
        <w:pStyle w:val="JuQuot"/>
      </w:pPr>
      <w:r w:rsidRPr="00E25BA9">
        <w:t>§</w:t>
      </w:r>
      <w:r w:rsidR="00971C71">
        <w:t xml:space="preserve"> </w:t>
      </w:r>
      <w:r w:rsidRPr="00E25BA9">
        <w:t>3</w:t>
      </w:r>
      <w:r w:rsidR="00D63F47">
        <w:t>.</w:t>
      </w:r>
      <w:r w:rsidR="00971C71">
        <w:t xml:space="preserve"> </w:t>
      </w:r>
      <w:r w:rsidRPr="00E25BA9">
        <w:t>Na wniosek skazanego lub jego obrońcy, nie częściej jednak niż raz na 3</w:t>
      </w:r>
      <w:r w:rsidR="00971C71">
        <w:t xml:space="preserve"> </w:t>
      </w:r>
      <w:r w:rsidRPr="00E25BA9">
        <w:t>miesiące, komisja penitencjarna wskazuje przyczyny uzasadniające kwalifikację skazanego jako stwarzającego poważne zagrożenie społeczne albo poważne zagrożenie dla</w:t>
      </w:r>
      <w:r w:rsidR="00DE75FC">
        <w:t> </w:t>
      </w:r>
      <w:r w:rsidRPr="00E25BA9">
        <w:t>bezpieczeństwa zakładu [</w:t>
      </w:r>
      <w:r w:rsidR="009505C8" w:rsidRPr="00E25BA9">
        <w:t>…</w:t>
      </w:r>
      <w:r w:rsidRPr="00E25BA9">
        <w:t>]”</w:t>
      </w:r>
      <w:r w:rsidR="00282074">
        <w:t>.</w:t>
      </w:r>
    </w:p>
    <w:p w14:paraId="3828E851" w14:textId="77777777" w:rsidR="0003434B" w:rsidRPr="00E25BA9" w:rsidRDefault="0003434B" w:rsidP="00251AA0">
      <w:pPr>
        <w:pStyle w:val="JuHHead"/>
        <w:numPr>
          <w:ilvl w:val="0"/>
          <w:numId w:val="2"/>
        </w:numPr>
        <w:jc w:val="left"/>
      </w:pPr>
      <w:r w:rsidRPr="00E25BA9">
        <w:t>PRAWO</w:t>
      </w:r>
    </w:p>
    <w:p w14:paraId="14653F6C" w14:textId="0CB05032" w:rsidR="0003434B" w:rsidRPr="00E25BA9" w:rsidRDefault="0003434B" w:rsidP="00251AA0">
      <w:pPr>
        <w:pStyle w:val="JuHIRoman"/>
      </w:pPr>
      <w:r w:rsidRPr="00E25BA9">
        <w:t>ZARZUT NARUSZENIA ART</w:t>
      </w:r>
      <w:r w:rsidR="00B71579">
        <w:t>.</w:t>
      </w:r>
      <w:r w:rsidRPr="00E25BA9">
        <w:t xml:space="preserve"> 3 KONWENCJI</w:t>
      </w:r>
    </w:p>
    <w:p w14:paraId="0B3EDD77" w14:textId="6D2BEC9F" w:rsidR="0003434B" w:rsidRPr="00E25BA9" w:rsidRDefault="0073202D" w:rsidP="00251AA0">
      <w:pPr>
        <w:pStyle w:val="JuPara"/>
      </w:pPr>
      <w:r w:rsidRPr="00E25BA9">
        <w:t>17</w:t>
      </w:r>
      <w:r w:rsidR="0003434B" w:rsidRPr="00E25BA9">
        <w:t>.</w:t>
      </w:r>
      <w:r w:rsidR="00971C71">
        <w:t xml:space="preserve"> </w:t>
      </w:r>
      <w:r w:rsidR="0003434B" w:rsidRPr="00E25BA9">
        <w:t xml:space="preserve">Skarżący zarzucił, że </w:t>
      </w:r>
      <w:r w:rsidR="00D63F47">
        <w:t>długotrwałe</w:t>
      </w:r>
      <w:r w:rsidR="0003434B" w:rsidRPr="00E25BA9">
        <w:t xml:space="preserve"> stosowanie </w:t>
      </w:r>
      <w:r w:rsidR="00D63F47">
        <w:t xml:space="preserve">wobec niego reżimu związanego ze statusem „osadzonego niebezpiecznego” </w:t>
      </w:r>
      <w:r w:rsidR="0003434B" w:rsidRPr="00E25BA9">
        <w:t>stanowi</w:t>
      </w:r>
      <w:r w:rsidR="00D63F47">
        <w:t>ło</w:t>
      </w:r>
      <w:r w:rsidR="0003434B" w:rsidRPr="00E25BA9">
        <w:t xml:space="preserve"> naruszenie art.</w:t>
      </w:r>
      <w:r w:rsidR="00971C71">
        <w:t xml:space="preserve"> </w:t>
      </w:r>
      <w:r w:rsidR="0003434B" w:rsidRPr="00E25BA9">
        <w:t xml:space="preserve">3 Konwencji, </w:t>
      </w:r>
      <w:r w:rsidR="00D63F47">
        <w:t>który stanowi</w:t>
      </w:r>
      <w:r w:rsidR="0003434B" w:rsidRPr="00E25BA9">
        <w:t>:</w:t>
      </w:r>
    </w:p>
    <w:p w14:paraId="05C2DFCC" w14:textId="77777777" w:rsidR="0003434B" w:rsidRPr="00E25BA9" w:rsidRDefault="0003434B" w:rsidP="00251AA0">
      <w:pPr>
        <w:pStyle w:val="JuQuot"/>
      </w:pPr>
      <w:r w:rsidRPr="00E25BA9">
        <w:t>„Nikt nie może być poddany torturom ani nieludzkiemu lub poniżającemu traktowaniu albo karaniu”.</w:t>
      </w:r>
    </w:p>
    <w:p w14:paraId="2010461D" w14:textId="77777777" w:rsidR="0003434B" w:rsidRPr="00E25BA9" w:rsidRDefault="0003434B" w:rsidP="00251AA0">
      <w:pPr>
        <w:pStyle w:val="JuHA"/>
        <w:ind w:left="584" w:hanging="352"/>
        <w:jc w:val="left"/>
      </w:pPr>
      <w:r w:rsidRPr="00E25BA9">
        <w:lastRenderedPageBreak/>
        <w:t>Dopuszczalność</w:t>
      </w:r>
    </w:p>
    <w:p w14:paraId="2B5E986F" w14:textId="37959136" w:rsidR="0003434B" w:rsidRPr="00E25BA9" w:rsidRDefault="0073202D" w:rsidP="00251AA0">
      <w:pPr>
        <w:pStyle w:val="JuPara"/>
      </w:pPr>
      <w:r w:rsidRPr="00E25BA9">
        <w:t>18</w:t>
      </w:r>
      <w:r w:rsidR="0003434B" w:rsidRPr="00E25BA9">
        <w:t>.</w:t>
      </w:r>
      <w:r w:rsidR="00971C71">
        <w:t xml:space="preserve"> </w:t>
      </w:r>
      <w:r w:rsidR="0003434B" w:rsidRPr="00E25BA9">
        <w:t>Rząd podniósł zastrzeżenie wstępne, że skarżący nie wyczerpał krajowych środków odwoławczych. Rząd stwierdził, że skoro skarżący uważał, iż jego</w:t>
      </w:r>
      <w:r w:rsidR="00D63F47">
        <w:t xml:space="preserve"> dobra osobiste</w:t>
      </w:r>
      <w:r w:rsidR="0003434B" w:rsidRPr="00E25BA9">
        <w:t xml:space="preserve"> zostały naruszone, to mógł ubiegać się o</w:t>
      </w:r>
      <w:r w:rsidR="00DE75FC">
        <w:t> </w:t>
      </w:r>
      <w:r w:rsidR="0003434B" w:rsidRPr="00E25BA9">
        <w:t>odszkodowanie od Skarbu Państwa.</w:t>
      </w:r>
    </w:p>
    <w:p w14:paraId="670AA241" w14:textId="5C805C37" w:rsidR="0003434B" w:rsidRPr="00E25BA9" w:rsidRDefault="0073202D" w:rsidP="00251AA0">
      <w:pPr>
        <w:pStyle w:val="JuPara"/>
      </w:pPr>
      <w:r w:rsidRPr="00E25BA9">
        <w:t>19</w:t>
      </w:r>
      <w:r w:rsidR="0003434B" w:rsidRPr="00E25BA9">
        <w:t>.</w:t>
      </w:r>
      <w:r w:rsidR="00971C71">
        <w:t xml:space="preserve"> </w:t>
      </w:r>
      <w:r w:rsidR="0003434B" w:rsidRPr="00E25BA9">
        <w:t>Skarżący ogólni</w:t>
      </w:r>
      <w:r w:rsidR="00D63F47">
        <w:t>e</w:t>
      </w:r>
      <w:r w:rsidR="0003434B" w:rsidRPr="00E25BA9">
        <w:t xml:space="preserve"> stwierdził, że wyczerpał wszystkie odpowiednie i</w:t>
      </w:r>
      <w:r w:rsidR="00DE75FC">
        <w:t> </w:t>
      </w:r>
      <w:r w:rsidR="0003434B" w:rsidRPr="00E25BA9">
        <w:t>dostępne krajowe środki odwoławcze.</w:t>
      </w:r>
    </w:p>
    <w:p w14:paraId="1DFF7FD7" w14:textId="26F2C9DB" w:rsidR="0003434B" w:rsidRPr="00E25BA9" w:rsidRDefault="0073202D" w:rsidP="00251AA0">
      <w:pPr>
        <w:pStyle w:val="JuPara"/>
      </w:pPr>
      <w:r w:rsidRPr="00E25BA9">
        <w:t>20</w:t>
      </w:r>
      <w:r w:rsidR="0003434B" w:rsidRPr="00E25BA9">
        <w:t>.</w:t>
      </w:r>
      <w:r w:rsidR="00971C71">
        <w:t xml:space="preserve"> </w:t>
      </w:r>
      <w:r w:rsidR="0003434B" w:rsidRPr="00E25BA9">
        <w:t xml:space="preserve">W kilku sprawach przeciwko Polsce dotyczących </w:t>
      </w:r>
      <w:r w:rsidR="00FE3AE7">
        <w:t xml:space="preserve">stosowania </w:t>
      </w:r>
      <w:r w:rsidR="0003434B" w:rsidRPr="00E25BA9">
        <w:t>warunków odbywania kary przewidzianych dla osadzonych niebezpiecznych</w:t>
      </w:r>
      <w:r w:rsidR="001E69AD" w:rsidRPr="00E25BA9">
        <w:t xml:space="preserve"> Trybunał</w:t>
      </w:r>
      <w:r w:rsidR="0003434B" w:rsidRPr="00E25BA9">
        <w:t xml:space="preserve"> odrzucił argument Rządu, że skarżący powinni byli dochodzić roszczenia o ochronę dóbr</w:t>
      </w:r>
      <w:r w:rsidR="00DE75FC">
        <w:t> </w:t>
      </w:r>
      <w:r w:rsidR="0003434B" w:rsidRPr="00E25BA9">
        <w:t xml:space="preserve">osobistych (zob. na przykład </w:t>
      </w:r>
      <w:r w:rsidR="0003434B" w:rsidRPr="00E25BA9">
        <w:rPr>
          <w:i/>
        </w:rPr>
        <w:t>Głowacki przeciwko Polsce</w:t>
      </w:r>
      <w:r w:rsidR="0003434B" w:rsidRPr="00E25BA9">
        <w:t>, nr 1608/08, §§ 60</w:t>
      </w:r>
      <w:r w:rsidR="00DE75FC">
        <w:t>-</w:t>
      </w:r>
      <w:r w:rsidR="0003434B" w:rsidRPr="00E25BA9">
        <w:t>63, 30 października 2012</w:t>
      </w:r>
      <w:r w:rsidR="00971C71">
        <w:t xml:space="preserve"> </w:t>
      </w:r>
      <w:r w:rsidR="0003434B" w:rsidRPr="00E25BA9">
        <w:t xml:space="preserve">r.; </w:t>
      </w:r>
      <w:r w:rsidR="0003434B" w:rsidRPr="00E25BA9">
        <w:rPr>
          <w:i/>
        </w:rPr>
        <w:t>Chyła przeciwko Polsce</w:t>
      </w:r>
      <w:r w:rsidR="0003434B" w:rsidRPr="00E25BA9">
        <w:t>, nr 8384/08, § 69, 3 listopada 2015</w:t>
      </w:r>
      <w:r w:rsidR="00971C71">
        <w:t xml:space="preserve"> </w:t>
      </w:r>
      <w:r w:rsidR="0003434B" w:rsidRPr="00E25BA9">
        <w:t xml:space="preserve">r. oraz </w:t>
      </w:r>
      <w:proofErr w:type="spellStart"/>
      <w:r w:rsidR="0003434B" w:rsidRPr="00E25BA9">
        <w:rPr>
          <w:i/>
        </w:rPr>
        <w:t>Klibisz</w:t>
      </w:r>
      <w:proofErr w:type="spellEnd"/>
      <w:r w:rsidR="0003434B" w:rsidRPr="00E25BA9">
        <w:rPr>
          <w:i/>
        </w:rPr>
        <w:t xml:space="preserve"> przeciwko Polsce</w:t>
      </w:r>
      <w:r w:rsidR="0003434B" w:rsidRPr="00E25BA9">
        <w:t>, nr 2235/02, §§ 301</w:t>
      </w:r>
      <w:r w:rsidR="00DE75FC">
        <w:t>-</w:t>
      </w:r>
      <w:r w:rsidR="0003434B" w:rsidRPr="00E25BA9">
        <w:t>302, 4</w:t>
      </w:r>
      <w:r w:rsidR="00DE75FC">
        <w:t> </w:t>
      </w:r>
      <w:r w:rsidR="0003434B" w:rsidRPr="00E25BA9">
        <w:t>października 2016</w:t>
      </w:r>
      <w:r w:rsidR="00971C71">
        <w:t xml:space="preserve"> </w:t>
      </w:r>
      <w:r w:rsidR="0003434B" w:rsidRPr="00E25BA9">
        <w:t>r.). W rozpatrywanej sprawie Rząd nie przytoczył żadnych przykładów z praktyki krajowej, które wskazywałyby na</w:t>
      </w:r>
      <w:r w:rsidR="00DE75FC">
        <w:t> </w:t>
      </w:r>
      <w:r w:rsidR="0003434B" w:rsidRPr="00E25BA9">
        <w:t xml:space="preserve">skuteczność tego środka do celów </w:t>
      </w:r>
      <w:r w:rsidR="001E69AD">
        <w:t xml:space="preserve">art. </w:t>
      </w:r>
      <w:r w:rsidR="0003434B" w:rsidRPr="00E25BA9">
        <w:t xml:space="preserve">35 ust. 1 Konwencji (zob. </w:t>
      </w:r>
      <w:proofErr w:type="spellStart"/>
      <w:r w:rsidR="0003434B" w:rsidRPr="00E25BA9">
        <w:rPr>
          <w:i/>
        </w:rPr>
        <w:t>Dejnek</w:t>
      </w:r>
      <w:proofErr w:type="spellEnd"/>
      <w:r w:rsidR="0003434B" w:rsidRPr="00E25BA9">
        <w:rPr>
          <w:i/>
        </w:rPr>
        <w:t xml:space="preserve"> przeciwko Polsce</w:t>
      </w:r>
      <w:r w:rsidR="0003434B" w:rsidRPr="00E25BA9">
        <w:t>, nr 9635/13, § 54, 1 czerwca 2017</w:t>
      </w:r>
      <w:r w:rsidR="00971C71">
        <w:t xml:space="preserve"> </w:t>
      </w:r>
      <w:r w:rsidR="0003434B" w:rsidRPr="00E25BA9">
        <w:t>r.). Zatem podniesiony przez Rząd zarzut niedopuszczalności ze względu na</w:t>
      </w:r>
      <w:r w:rsidR="002A1009">
        <w:t> </w:t>
      </w:r>
      <w:bookmarkStart w:id="9" w:name="_GoBack"/>
      <w:bookmarkEnd w:id="9"/>
      <w:r w:rsidR="0003434B" w:rsidRPr="00E25BA9">
        <w:t>niewyczerpanie krajowych środków odwoławczych należy oddalić.</w:t>
      </w:r>
    </w:p>
    <w:p w14:paraId="6DD827FB" w14:textId="47501AD9" w:rsidR="0003434B" w:rsidRPr="00E25BA9" w:rsidRDefault="0073202D" w:rsidP="00251AA0">
      <w:pPr>
        <w:pStyle w:val="JuPara"/>
      </w:pPr>
      <w:r w:rsidRPr="00E25BA9">
        <w:t>21</w:t>
      </w:r>
      <w:r w:rsidR="0003434B" w:rsidRPr="00E25BA9">
        <w:t>.</w:t>
      </w:r>
      <w:r w:rsidR="00971C71">
        <w:t xml:space="preserve"> </w:t>
      </w:r>
      <w:r w:rsidR="0003434B" w:rsidRPr="00E25BA9">
        <w:t>Trybunał stwierdza, że skarga nie jest w sposób oczywisty nieuzasadniona w</w:t>
      </w:r>
      <w:r w:rsidR="00971C71">
        <w:t xml:space="preserve"> </w:t>
      </w:r>
      <w:r w:rsidR="0003434B" w:rsidRPr="00E25BA9">
        <w:t>rozumieniu art.</w:t>
      </w:r>
      <w:r w:rsidR="00971C71">
        <w:t xml:space="preserve"> </w:t>
      </w:r>
      <w:r w:rsidR="00C922EF">
        <w:t>35 ust. 3 lit. a</w:t>
      </w:r>
      <w:r w:rsidR="0003434B" w:rsidRPr="00E25BA9">
        <w:t xml:space="preserve"> Konwencji. Nie jest ona też</w:t>
      </w:r>
      <w:r w:rsidR="00DE75FC">
        <w:t> </w:t>
      </w:r>
      <w:r w:rsidR="0003434B" w:rsidRPr="00E25BA9">
        <w:t>niedopuszczalna z jakichkolwiek innych względów. Musi zatem zostać uznana za dopuszczalną.</w:t>
      </w:r>
    </w:p>
    <w:p w14:paraId="1882AFF6" w14:textId="77777777" w:rsidR="0003434B" w:rsidRPr="00E25BA9" w:rsidRDefault="0003434B" w:rsidP="00251AA0">
      <w:pPr>
        <w:pStyle w:val="JuHA"/>
        <w:ind w:left="584" w:hanging="352"/>
        <w:jc w:val="left"/>
      </w:pPr>
      <w:r w:rsidRPr="00E25BA9">
        <w:t>Przedmiot skargi</w:t>
      </w:r>
    </w:p>
    <w:p w14:paraId="68A539DF" w14:textId="77777777" w:rsidR="0003434B" w:rsidRPr="00E25BA9" w:rsidRDefault="0003434B" w:rsidP="00251AA0">
      <w:pPr>
        <w:pStyle w:val="JuH1"/>
        <w:ind w:left="731" w:hanging="300"/>
        <w:jc w:val="left"/>
      </w:pPr>
      <w:r w:rsidRPr="00E25BA9">
        <w:t>Argumenty stron</w:t>
      </w:r>
    </w:p>
    <w:p w14:paraId="25AA011F" w14:textId="4AB2B986" w:rsidR="0003434B" w:rsidRPr="00E25BA9" w:rsidRDefault="0073202D" w:rsidP="00251AA0">
      <w:pPr>
        <w:pStyle w:val="JuPara"/>
      </w:pPr>
      <w:r w:rsidRPr="00E25BA9">
        <w:t>22</w:t>
      </w:r>
      <w:r w:rsidR="0003434B" w:rsidRPr="00E25BA9">
        <w:t>.</w:t>
      </w:r>
      <w:r w:rsidR="00971C71">
        <w:t xml:space="preserve"> </w:t>
      </w:r>
      <w:r w:rsidR="0003434B" w:rsidRPr="00E25BA9">
        <w:t xml:space="preserve">Skarżący nie przedstawił żadnych argumentów dotyczących </w:t>
      </w:r>
      <w:r w:rsidR="001E69AD">
        <w:t>przedmiotu</w:t>
      </w:r>
      <w:r w:rsidR="0003434B" w:rsidRPr="00E25BA9">
        <w:t xml:space="preserve"> sp</w:t>
      </w:r>
      <w:r w:rsidR="001E69AD">
        <w:t xml:space="preserve">rawy. Ogólnie podtrzymał on swoją </w:t>
      </w:r>
      <w:r w:rsidR="00FE3AE7">
        <w:t xml:space="preserve">pierwotną </w:t>
      </w:r>
      <w:r w:rsidR="001E69AD">
        <w:t>skargę</w:t>
      </w:r>
      <w:r w:rsidR="0003434B" w:rsidRPr="00E25BA9">
        <w:t>.</w:t>
      </w:r>
    </w:p>
    <w:p w14:paraId="05F9C554" w14:textId="08FA6F6E" w:rsidR="0003434B" w:rsidRPr="00E25BA9" w:rsidRDefault="0073202D" w:rsidP="00251AA0">
      <w:pPr>
        <w:pStyle w:val="JuPara"/>
      </w:pPr>
      <w:r w:rsidRPr="00E25BA9">
        <w:t>23</w:t>
      </w:r>
      <w:r w:rsidR="0003434B" w:rsidRPr="00E25BA9">
        <w:t>.</w:t>
      </w:r>
      <w:r w:rsidR="00971C71">
        <w:t xml:space="preserve"> </w:t>
      </w:r>
      <w:r w:rsidR="0003434B" w:rsidRPr="00E25BA9">
        <w:t>Rząd podkreślił, że w 2015</w:t>
      </w:r>
      <w:r w:rsidR="00971C71">
        <w:t xml:space="preserve"> </w:t>
      </w:r>
      <w:r w:rsidR="0003434B" w:rsidRPr="00E25BA9">
        <w:t>r. prawo krajowe uległo zmianie, co</w:t>
      </w:r>
      <w:r w:rsidR="00DE75FC">
        <w:t> </w:t>
      </w:r>
      <w:r w:rsidR="0003434B" w:rsidRPr="00E25BA9">
        <w:t>doprowadziło do zmniejszenia liczby osadzonych sklasyfikowanych jako niebezpieczni oraz zmniejszenia liczby środków stosowanych wobec nich.</w:t>
      </w:r>
    </w:p>
    <w:p w14:paraId="5A13CA6E" w14:textId="1D8BFF3D" w:rsidR="0003434B" w:rsidRPr="00E25BA9" w:rsidRDefault="0073202D" w:rsidP="00251AA0">
      <w:pPr>
        <w:pStyle w:val="JuPara"/>
      </w:pPr>
      <w:r w:rsidRPr="00E25BA9">
        <w:t>24</w:t>
      </w:r>
      <w:r w:rsidR="0003434B" w:rsidRPr="00E25BA9">
        <w:t>.</w:t>
      </w:r>
      <w:r w:rsidR="00971C71">
        <w:t xml:space="preserve"> </w:t>
      </w:r>
      <w:r w:rsidR="0003434B" w:rsidRPr="00E25BA9">
        <w:t>Rząd podkreślił, że decyzje o zastosowaniu i przedłużeniu stosowania warunków odbywania kary wobec skarżącego były dobrze uzasadnione i</w:t>
      </w:r>
      <w:r w:rsidR="00DE75FC">
        <w:t> </w:t>
      </w:r>
      <w:r w:rsidR="0003434B" w:rsidRPr="00E25BA9">
        <w:t>podtrzymane przez sąd. Decyzje te zapadły na skutek konkretnych zdarzeń, w które skarżący był zamieszany, a mianowicie zbiorowego protestu, a</w:t>
      </w:r>
      <w:r w:rsidR="00DE75FC">
        <w:t> </w:t>
      </w:r>
      <w:r w:rsidR="0003434B" w:rsidRPr="00E25BA9">
        <w:t>następnie kilku incydentów dyscyplinarnych, za które wymierzono kary. Rząd podkreślił, że środki stosowane wobec skarżącego były każdorazowo badane, a z racji ogólnej poprawy jego zachowania w zakładzie karnym, były łagodzone. Na przykład od 4 sierpnia 2016</w:t>
      </w:r>
      <w:r w:rsidR="00971C71">
        <w:t xml:space="preserve"> </w:t>
      </w:r>
      <w:r w:rsidR="0003434B" w:rsidRPr="00E25BA9">
        <w:t xml:space="preserve">r. skarżącego nie poddawano już kontrolom osobistym przy każdorazowym wyjściu i powrocie do celi. Ponadto Rząd utrzymywał, że chociaż skarżący był jedynym lokatorem celi, to nigdy nie został całkowicie odizolowany, gdyż zachował prawo </w:t>
      </w:r>
      <w:r w:rsidR="0003434B" w:rsidRPr="00E25BA9">
        <w:lastRenderedPageBreak/>
        <w:t>do</w:t>
      </w:r>
      <w:r w:rsidR="00DE75FC">
        <w:t> </w:t>
      </w:r>
      <w:r w:rsidR="0003434B" w:rsidRPr="00E25BA9">
        <w:t>codziennego spaceru oraz dostępu do świetlicy i biblioteki. Rząd stwierdził, że skarżący wykazywał konfrontacyjną postawę wobec funkcjonariuszy służby więziennej i miał trudności z przestrzeganiem regulaminu zakładu karnego, za co otrzymywał kary dyscyplinarne.</w:t>
      </w:r>
    </w:p>
    <w:p w14:paraId="4449D087" w14:textId="77777777" w:rsidR="0003434B" w:rsidRPr="00E25BA9" w:rsidRDefault="0003434B" w:rsidP="00251AA0">
      <w:pPr>
        <w:pStyle w:val="JuH1"/>
        <w:ind w:left="731" w:hanging="300"/>
        <w:jc w:val="left"/>
      </w:pPr>
      <w:r w:rsidRPr="00E25BA9">
        <w:t>Ocena Trybunału</w:t>
      </w:r>
    </w:p>
    <w:p w14:paraId="5ED19A77" w14:textId="45ABA22B" w:rsidR="0003434B" w:rsidRPr="00E25BA9" w:rsidRDefault="0073202D" w:rsidP="00251AA0">
      <w:pPr>
        <w:pStyle w:val="JuPara"/>
      </w:pPr>
      <w:r w:rsidRPr="00E25BA9">
        <w:t>25</w:t>
      </w:r>
      <w:r w:rsidR="0003434B" w:rsidRPr="00E25BA9">
        <w:t>.</w:t>
      </w:r>
      <w:r w:rsidR="00971C71">
        <w:t xml:space="preserve"> </w:t>
      </w:r>
      <w:r w:rsidR="0003434B" w:rsidRPr="00E25BA9">
        <w:t xml:space="preserve">Odpowiednie zasady ogólne wynikające z orzecznictwa Trybunału zostały streszczone w sprawach </w:t>
      </w:r>
      <w:r w:rsidR="0003434B" w:rsidRPr="00E25BA9">
        <w:rPr>
          <w:i/>
        </w:rPr>
        <w:t>Piechowicz</w:t>
      </w:r>
      <w:r w:rsidR="0003434B" w:rsidRPr="00E25BA9">
        <w:t xml:space="preserve"> (</w:t>
      </w:r>
      <w:r w:rsidR="0003434B" w:rsidRPr="0037470F">
        <w:t>op.</w:t>
      </w:r>
      <w:r w:rsidR="0050785B" w:rsidRPr="0037470F">
        <w:t xml:space="preserve"> </w:t>
      </w:r>
      <w:r w:rsidR="0003434B" w:rsidRPr="0037470F">
        <w:t>cit.,</w:t>
      </w:r>
      <w:r w:rsidR="0003434B" w:rsidRPr="00E25BA9">
        <w:t xml:space="preserve"> §§ 158</w:t>
      </w:r>
      <w:r w:rsidR="001C5406" w:rsidRPr="00E25BA9">
        <w:t>–</w:t>
      </w:r>
      <w:r w:rsidR="0003434B" w:rsidRPr="00E25BA9">
        <w:t xml:space="preserve">165) oraz </w:t>
      </w:r>
      <w:proofErr w:type="spellStart"/>
      <w:r w:rsidR="0003434B" w:rsidRPr="00E25BA9">
        <w:rPr>
          <w:i/>
        </w:rPr>
        <w:t>Horych</w:t>
      </w:r>
      <w:proofErr w:type="spellEnd"/>
      <w:r w:rsidR="0003434B" w:rsidRPr="00E25BA9">
        <w:rPr>
          <w:i/>
        </w:rPr>
        <w:t xml:space="preserve"> przeciwko Polsce</w:t>
      </w:r>
      <w:r w:rsidR="0003434B" w:rsidRPr="00E25BA9">
        <w:t xml:space="preserve"> (nr 13621/08, §§ 85</w:t>
      </w:r>
      <w:r w:rsidR="001C5406" w:rsidRPr="00E25BA9">
        <w:t>–</w:t>
      </w:r>
      <w:r w:rsidR="0003434B" w:rsidRPr="00E25BA9">
        <w:t>92, 17 kwietnia 2012</w:t>
      </w:r>
      <w:r w:rsidR="00971C71">
        <w:t xml:space="preserve"> </w:t>
      </w:r>
      <w:r w:rsidR="0003434B" w:rsidRPr="00E25BA9">
        <w:t>r.).</w:t>
      </w:r>
    </w:p>
    <w:p w14:paraId="2A1FB5C0" w14:textId="5BB38518" w:rsidR="0003434B" w:rsidRPr="00E25BA9" w:rsidRDefault="0073202D" w:rsidP="00251AA0">
      <w:pPr>
        <w:pStyle w:val="JuPara"/>
      </w:pPr>
      <w:r w:rsidRPr="00E25BA9">
        <w:t>26</w:t>
      </w:r>
      <w:r w:rsidR="0003434B" w:rsidRPr="00E25BA9">
        <w:t>.</w:t>
      </w:r>
      <w:r w:rsidR="00971C71">
        <w:t xml:space="preserve"> </w:t>
      </w:r>
      <w:r w:rsidR="0003434B" w:rsidRPr="00E25BA9">
        <w:t>Jeżeli zaś chodzi o rozpatrywaną sprawę, Trybunał zauważa, że w</w:t>
      </w:r>
      <w:r w:rsidR="00971C71">
        <w:t xml:space="preserve"> </w:t>
      </w:r>
      <w:r w:rsidR="0003434B" w:rsidRPr="00E25BA9">
        <w:t>dniu 5 maja 2016</w:t>
      </w:r>
      <w:r w:rsidR="00971C71">
        <w:t xml:space="preserve"> </w:t>
      </w:r>
      <w:r w:rsidR="0003434B" w:rsidRPr="00E25BA9">
        <w:t>r. komisja penitencjarna zdecydowała o zastosowaniu wobec skarżącego warunków odbywania kary przewidzianych dla „osadzonych niebezpiecznych” i wskazała, że owe warunki powinny obejmować wszystkie środki wymienione w ustawie. Takie warunki odbywania kary zastosowano wobec skarżącego, gdyż miał on brać udział w zbiorowym proteście w zakładzie karnym (zob. par.</w:t>
      </w:r>
      <w:r w:rsidR="00971C71">
        <w:t xml:space="preserve"> </w:t>
      </w:r>
      <w:r w:rsidRPr="00E25BA9">
        <w:t>6</w:t>
      </w:r>
      <w:r w:rsidR="0003434B" w:rsidRPr="00E25BA9">
        <w:t xml:space="preserve"> powyżej). Główne aspekty warunków odbywania kary wskazane przez skarżącego i</w:t>
      </w:r>
      <w:r w:rsidR="00971C71">
        <w:t xml:space="preserve"> </w:t>
      </w:r>
      <w:r w:rsidR="0003434B" w:rsidRPr="00E25BA9">
        <w:t>wyszczególnione poniżej nie były kwestionowane przez Rząd (zob. par.</w:t>
      </w:r>
      <w:r w:rsidR="00971C71">
        <w:t xml:space="preserve"> </w:t>
      </w:r>
      <w:r w:rsidRPr="00E25BA9">
        <w:t>14</w:t>
      </w:r>
      <w:r w:rsidR="0003434B" w:rsidRPr="00E25BA9">
        <w:t xml:space="preserve"> powyżej).</w:t>
      </w:r>
    </w:p>
    <w:p w14:paraId="1D8C5D85" w14:textId="5CB0A6A8" w:rsidR="0003434B" w:rsidRPr="00E25BA9" w:rsidRDefault="0073202D" w:rsidP="00251AA0">
      <w:pPr>
        <w:pStyle w:val="JuPara"/>
      </w:pPr>
      <w:r w:rsidRPr="00E25BA9">
        <w:t>27</w:t>
      </w:r>
      <w:r w:rsidR="0003434B" w:rsidRPr="00E25BA9">
        <w:t>.</w:t>
      </w:r>
      <w:r w:rsidR="00971C71">
        <w:t xml:space="preserve"> </w:t>
      </w:r>
      <w:r w:rsidR="0003434B" w:rsidRPr="00E25BA9">
        <w:t>Trybunał po pierwsze zauważa, że w następstwie zmian w prawie krajowym, które weszły w życie w dniu 24 października 2015</w:t>
      </w:r>
      <w:r w:rsidR="00971C71">
        <w:t xml:space="preserve"> </w:t>
      </w:r>
      <w:r w:rsidR="0003434B" w:rsidRPr="00E25BA9">
        <w:t>r., nowy art.</w:t>
      </w:r>
      <w:r w:rsidR="00DE75FC">
        <w:t> </w:t>
      </w:r>
      <w:r w:rsidR="0003434B" w:rsidRPr="00E25BA9">
        <w:t xml:space="preserve">88b § 2 </w:t>
      </w:r>
      <w:r w:rsidR="0050785B">
        <w:t xml:space="preserve">Kodeksu </w:t>
      </w:r>
      <w:r w:rsidR="0003434B" w:rsidRPr="00E25BA9">
        <w:t>umożliwił komisji penitencjarnej zmianę zakresu środków bezpieczeństwa mających zastosowanie wobec osadzonych (zob.</w:t>
      </w:r>
      <w:r w:rsidR="00DE75FC">
        <w:t> </w:t>
      </w:r>
      <w:r w:rsidR="0003434B" w:rsidRPr="00E25BA9">
        <w:t>par.</w:t>
      </w:r>
      <w:r w:rsidR="00971C71">
        <w:t xml:space="preserve"> </w:t>
      </w:r>
      <w:r w:rsidRPr="00E25BA9">
        <w:t>16</w:t>
      </w:r>
      <w:r w:rsidR="0003434B" w:rsidRPr="00E25BA9">
        <w:t xml:space="preserve"> powyżej). Stosując ów przepis, w dniu 4 sierpnia 2016</w:t>
      </w:r>
      <w:r w:rsidR="00971C71">
        <w:t xml:space="preserve"> </w:t>
      </w:r>
      <w:r w:rsidR="0003434B" w:rsidRPr="00E25BA9">
        <w:t>r. komisja penitencjarna zdecydowała o odstąpieniu od kontroli osobistej skarżącego przy każdorazowym wyjściu i powrocie do celi (zob. par.</w:t>
      </w:r>
      <w:r w:rsidR="00971C71">
        <w:t xml:space="preserve"> </w:t>
      </w:r>
      <w:r w:rsidRPr="00E25BA9">
        <w:t>9</w:t>
      </w:r>
      <w:r w:rsidR="0003434B" w:rsidRPr="00E25BA9">
        <w:t xml:space="preserve"> powyżej). Kiedy w dniu 3 listopada 2016</w:t>
      </w:r>
      <w:r w:rsidR="00971C71">
        <w:t xml:space="preserve"> </w:t>
      </w:r>
      <w:r w:rsidR="0003434B" w:rsidRPr="00E25BA9">
        <w:t>r. komisja po raz kolejny badała przyczyny uzasadniające kwalifikację skarżącego, znów złagodziła stosowane wobec niego środki (zob. par.</w:t>
      </w:r>
      <w:r w:rsidR="00971C71">
        <w:t xml:space="preserve"> </w:t>
      </w:r>
      <w:r w:rsidRPr="00E25BA9">
        <w:t>11</w:t>
      </w:r>
      <w:r w:rsidR="0003434B" w:rsidRPr="00E25BA9">
        <w:t xml:space="preserve"> powyżej).</w:t>
      </w:r>
    </w:p>
    <w:p w14:paraId="2CEC77D5" w14:textId="7C95CA29" w:rsidR="0003434B" w:rsidRPr="00E25BA9" w:rsidRDefault="0073202D" w:rsidP="00251AA0">
      <w:pPr>
        <w:pStyle w:val="JuPara"/>
      </w:pPr>
      <w:r w:rsidRPr="00E25BA9">
        <w:t>28</w:t>
      </w:r>
      <w:r w:rsidR="0003434B" w:rsidRPr="00E25BA9">
        <w:t>.</w:t>
      </w:r>
      <w:r w:rsidR="00971C71">
        <w:t xml:space="preserve"> </w:t>
      </w:r>
      <w:r w:rsidR="0003434B" w:rsidRPr="00E25BA9">
        <w:t>Ponadto Trybunał zauważa, że decyzje komisji penitencjarnej z</w:t>
      </w:r>
      <w:r w:rsidR="0037470F">
        <w:t xml:space="preserve">godnie z </w:t>
      </w:r>
      <w:r w:rsidR="0003434B" w:rsidRPr="00E25BA9">
        <w:t>art.</w:t>
      </w:r>
      <w:r w:rsidR="00971C71">
        <w:t xml:space="preserve"> </w:t>
      </w:r>
      <w:r w:rsidR="0003434B" w:rsidRPr="00E25BA9">
        <w:t>88a</w:t>
      </w:r>
      <w:r w:rsidR="00971C71">
        <w:t xml:space="preserve"> </w:t>
      </w:r>
      <w:r w:rsidR="0003434B" w:rsidRPr="00E25BA9">
        <w:t xml:space="preserve">§ 2 </w:t>
      </w:r>
      <w:r w:rsidR="0037470F" w:rsidRPr="00E25BA9">
        <w:t xml:space="preserve">Kodeksu </w:t>
      </w:r>
      <w:r w:rsidR="0037470F">
        <w:t>oparte były na konkretnych powodach związanych</w:t>
      </w:r>
      <w:r w:rsidR="0003434B" w:rsidRPr="00E25BA9">
        <w:t xml:space="preserve"> z</w:t>
      </w:r>
      <w:r w:rsidR="00DE75FC">
        <w:t> </w:t>
      </w:r>
      <w:r w:rsidR="0003434B" w:rsidRPr="00E25BA9">
        <w:t>niedawnym zachowaniem skarżącego (por. wcześniejsze sprawy, m.in.</w:t>
      </w:r>
      <w:r w:rsidR="00DE75FC">
        <w:t> </w:t>
      </w:r>
      <w:r w:rsidR="0003434B" w:rsidRPr="00E25BA9">
        <w:rPr>
          <w:i/>
        </w:rPr>
        <w:t>Prus</w:t>
      </w:r>
      <w:r w:rsidR="0003434B" w:rsidRPr="00E25BA9">
        <w:t>, op.</w:t>
      </w:r>
      <w:r w:rsidR="0037470F">
        <w:t xml:space="preserve"> </w:t>
      </w:r>
      <w:r w:rsidR="0003434B" w:rsidRPr="00E25BA9">
        <w:t>cit., § 37</w:t>
      </w:r>
      <w:r w:rsidR="0037470F">
        <w:t>,</w:t>
      </w:r>
      <w:r w:rsidR="0003434B" w:rsidRPr="00E25BA9">
        <w:t xml:space="preserve"> oraz zob. par.</w:t>
      </w:r>
      <w:r w:rsidR="00971C71">
        <w:t xml:space="preserve"> </w:t>
      </w:r>
      <w:r w:rsidRPr="00E25BA9">
        <w:t>16</w:t>
      </w:r>
      <w:r w:rsidR="0003434B" w:rsidRPr="00E25BA9">
        <w:t xml:space="preserve"> powyżej). Za każdym razem władze badały sytuację osobistą skarżącego, a mianowicie jego zachowanie, oraz oceniały potrzebę dalszego stosowania reżimu w świetle nowej oceny zagrożenia, jakie stanowił dla bezpieczeństwa zakładu i jego personelu. Gdy</w:t>
      </w:r>
      <w:r w:rsidR="00DE75FC">
        <w:t> </w:t>
      </w:r>
      <w:r w:rsidR="0003434B" w:rsidRPr="00E25BA9">
        <w:t>zagrożenie to zmniejszyło się, a zachowanie skarżącego w zakładzie uległo poprawie, w dniu 25 stycznia 2017</w:t>
      </w:r>
      <w:r w:rsidR="00971C71">
        <w:t xml:space="preserve"> </w:t>
      </w:r>
      <w:r w:rsidR="0003434B" w:rsidRPr="00E25BA9">
        <w:t xml:space="preserve">r. komisja postanowiła znieść zastosowane warunki odbywania kary (zob. par. </w:t>
      </w:r>
      <w:r w:rsidR="0037470F">
        <w:t xml:space="preserve">13 </w:t>
      </w:r>
      <w:r w:rsidR="0003434B" w:rsidRPr="00E25BA9">
        <w:t>powyżej).</w:t>
      </w:r>
    </w:p>
    <w:p w14:paraId="06BDE8EB" w14:textId="64499262" w:rsidR="0003434B" w:rsidRPr="00E25BA9" w:rsidRDefault="0073202D" w:rsidP="00251AA0">
      <w:pPr>
        <w:pStyle w:val="JuPara"/>
      </w:pPr>
      <w:r w:rsidRPr="00E25BA9">
        <w:t>29</w:t>
      </w:r>
      <w:r w:rsidR="0003434B" w:rsidRPr="00E25BA9">
        <w:t>.</w:t>
      </w:r>
      <w:r w:rsidR="00971C71">
        <w:t xml:space="preserve"> </w:t>
      </w:r>
      <w:r w:rsidR="0003434B" w:rsidRPr="00E25BA9">
        <w:t xml:space="preserve">W związku z powyższym Trybunał uważa, że władze, stosując znowelizowane prawo krajowe, stopniowo łagodziły warunki odbywania kary poprzez znoszenie niektórych środków, biorąc pod uwagę zachowanie skarżącego (por. </w:t>
      </w:r>
      <w:r w:rsidR="0003434B" w:rsidRPr="00E25BA9">
        <w:rPr>
          <w:i/>
        </w:rPr>
        <w:t>Piechowicz</w:t>
      </w:r>
      <w:r w:rsidR="0003434B" w:rsidRPr="00E25BA9">
        <w:t>, op.</w:t>
      </w:r>
      <w:r w:rsidR="0037470F">
        <w:t xml:space="preserve"> </w:t>
      </w:r>
      <w:r w:rsidR="0003434B" w:rsidRPr="00E25BA9">
        <w:t>cit., § 166).</w:t>
      </w:r>
    </w:p>
    <w:p w14:paraId="3E9D3E3D" w14:textId="602D8664" w:rsidR="0003434B" w:rsidRPr="00E25BA9" w:rsidRDefault="0073202D" w:rsidP="00251AA0">
      <w:pPr>
        <w:pStyle w:val="JuPara"/>
      </w:pPr>
      <w:r w:rsidRPr="00E25BA9">
        <w:t>30</w:t>
      </w:r>
      <w:r w:rsidR="0003434B" w:rsidRPr="00E25BA9">
        <w:t>.</w:t>
      </w:r>
      <w:r w:rsidR="00971C71">
        <w:t xml:space="preserve"> </w:t>
      </w:r>
      <w:r w:rsidR="0003434B" w:rsidRPr="00E25BA9">
        <w:t xml:space="preserve">Niemniej jednak Trybunał zauważa, że w ciągu pierwszych trzech miesięcy stosowania zaostrzonych warunków odbywania kary skarżący był </w:t>
      </w:r>
      <w:r w:rsidR="0003434B" w:rsidRPr="00E25BA9">
        <w:lastRenderedPageBreak/>
        <w:t xml:space="preserve">codziennie, a nawet kilka razy dziennie poddawany pełnej kontroli osobistej </w:t>
      </w:r>
      <w:r w:rsidR="0037470F">
        <w:t>–</w:t>
      </w:r>
      <w:r w:rsidR="001C5406" w:rsidRPr="00E25BA9">
        <w:t xml:space="preserve"> </w:t>
      </w:r>
      <w:r w:rsidR="0003434B" w:rsidRPr="00E25BA9">
        <w:t>ilekroć opuszczał celę lub do niej wracał. Kontrola osobista polegała na</w:t>
      </w:r>
      <w:r w:rsidR="00DE75FC">
        <w:t> </w:t>
      </w:r>
      <w:r w:rsidR="0003434B" w:rsidRPr="00E25BA9">
        <w:t xml:space="preserve">dokładnym sprawdzeniu jego ciała i odzieży, co wymagało od niego rozebrania się do naga i pochylenia się w celu umożliwienia sprawdzenia odbytu (zob. </w:t>
      </w:r>
      <w:r w:rsidR="0003434B" w:rsidRPr="00E25BA9">
        <w:rPr>
          <w:i/>
        </w:rPr>
        <w:t>Piechowicz</w:t>
      </w:r>
      <w:r w:rsidR="0003434B" w:rsidRPr="00E25BA9">
        <w:t>, op. cit., § 166). Kontrole te były przeprowadzane rutynowo, bez związku z żadnymi konkretnymi potrzebami z zakresu bezpieczeństwa ani żadnym konkretnym podejrzeniem dotyczącym postępowania skarżącego.</w:t>
      </w:r>
    </w:p>
    <w:p w14:paraId="31696CD9" w14:textId="31F84764" w:rsidR="0003434B" w:rsidRPr="00E25BA9" w:rsidRDefault="0073202D" w:rsidP="00251AA0">
      <w:pPr>
        <w:pStyle w:val="JuPara"/>
      </w:pPr>
      <w:r w:rsidRPr="00E25BA9">
        <w:t>31</w:t>
      </w:r>
      <w:r w:rsidR="0003434B" w:rsidRPr="00E25BA9">
        <w:t>.</w:t>
      </w:r>
      <w:r w:rsidR="00971C71">
        <w:t xml:space="preserve"> </w:t>
      </w:r>
      <w:r w:rsidR="0003434B" w:rsidRPr="00E25BA9">
        <w:t xml:space="preserve">Trybunał stwierdził już w sprawie </w:t>
      </w:r>
      <w:r w:rsidR="0003434B" w:rsidRPr="00E25BA9">
        <w:rPr>
          <w:i/>
        </w:rPr>
        <w:t>Piechowicz</w:t>
      </w:r>
      <w:r w:rsidR="0003434B" w:rsidRPr="00E25BA9">
        <w:t>, że jakkolwiek kontrole osobiste mogą być konieczne do zapewnienia bezpieczeństwa w</w:t>
      </w:r>
      <w:r w:rsidR="00971C71">
        <w:t xml:space="preserve"> </w:t>
      </w:r>
      <w:r w:rsidR="0003434B" w:rsidRPr="00E25BA9">
        <w:t>więzieniu, ochrony porządku lub zapobieżenia popełnieniu przestępstwa, to</w:t>
      </w:r>
      <w:r w:rsidR="00DE75FC">
        <w:t> </w:t>
      </w:r>
      <w:r w:rsidR="0003434B" w:rsidRPr="00E25BA9">
        <w:t>nie</w:t>
      </w:r>
      <w:r w:rsidR="00DE75FC">
        <w:t> </w:t>
      </w:r>
      <w:r w:rsidR="0003434B" w:rsidRPr="00E25BA9">
        <w:t xml:space="preserve">przekonuje go argument Rządu, jakoby takie systematyczne, </w:t>
      </w:r>
      <w:r w:rsidR="007D4E27">
        <w:t>uciążliwe</w:t>
      </w:r>
      <w:r w:rsidR="0003434B" w:rsidRPr="00E25BA9">
        <w:t xml:space="preserve"> i wyjątkowo krępujące kontro</w:t>
      </w:r>
      <w:r w:rsidR="00BE1E37">
        <w:t>le przeprowadzane codziennie, a</w:t>
      </w:r>
      <w:r w:rsidR="00971C71">
        <w:t xml:space="preserve"> </w:t>
      </w:r>
      <w:r w:rsidR="0003434B" w:rsidRPr="00E25BA9">
        <w:t xml:space="preserve">nawet kilka razy dziennie, były niezbędne do zapewnienia bezpieczeństwa w zakładzie karnym (zob. </w:t>
      </w:r>
      <w:r w:rsidR="0003434B" w:rsidRPr="00E25BA9">
        <w:rPr>
          <w:i/>
        </w:rPr>
        <w:t>Piechowicz</w:t>
      </w:r>
      <w:r w:rsidR="0003434B" w:rsidRPr="00E25BA9">
        <w:t>, op.</w:t>
      </w:r>
      <w:r w:rsidR="007D4E27">
        <w:t xml:space="preserve"> </w:t>
      </w:r>
      <w:r w:rsidR="0003434B" w:rsidRPr="00E25BA9">
        <w:t>cit., § 176). Biorąc pod uwagę, że wobec skarżącego zastosowano kilka innych środków ścisłego nadzoru, oraz że</w:t>
      </w:r>
      <w:r w:rsidR="00DE75FC">
        <w:t> </w:t>
      </w:r>
      <w:r w:rsidR="0003434B" w:rsidRPr="00E25BA9">
        <w:t>władze nie powołały się na żadne konkretne lub przekonujące wymogi z</w:t>
      </w:r>
      <w:r w:rsidR="00DE75FC">
        <w:t> </w:t>
      </w:r>
      <w:r w:rsidR="0003434B" w:rsidRPr="00E25BA9">
        <w:t xml:space="preserve">zakresu bezpieczeństwa, Trybunał uważa, że praktyka codziennych kontroli osobistych stosowana wobec skarżącego przez trzy miesiące musiała wzbudzić w </w:t>
      </w:r>
      <w:r w:rsidR="001C5406" w:rsidRPr="00E25BA9">
        <w:t xml:space="preserve">nim </w:t>
      </w:r>
      <w:r w:rsidR="0003434B" w:rsidRPr="00E25BA9">
        <w:t>p</w:t>
      </w:r>
      <w:r w:rsidR="00BE1E37">
        <w:t>oczucie poniżenia, udręczenia i</w:t>
      </w:r>
      <w:r w:rsidR="00971C71">
        <w:t xml:space="preserve"> </w:t>
      </w:r>
      <w:r w:rsidR="0003434B" w:rsidRPr="00E25BA9">
        <w:t>nagromadzonego cierpienia, które wykraczały poza poziom nieuniknionego cierpienia i</w:t>
      </w:r>
      <w:r w:rsidR="00DE75FC">
        <w:t> </w:t>
      </w:r>
      <w:r w:rsidR="0003434B" w:rsidRPr="00E25BA9">
        <w:t>upokorzenia związanego z odbywaniem kary pozbawienia wolności (zob.</w:t>
      </w:r>
      <w:r w:rsidR="00DE75FC">
        <w:t> </w:t>
      </w:r>
      <w:proofErr w:type="spellStart"/>
      <w:r w:rsidR="0003434B" w:rsidRPr="00E25BA9">
        <w:rPr>
          <w:i/>
        </w:rPr>
        <w:t>Horych</w:t>
      </w:r>
      <w:proofErr w:type="spellEnd"/>
      <w:r w:rsidR="0003434B" w:rsidRPr="00E25BA9">
        <w:t>, op.</w:t>
      </w:r>
      <w:r w:rsidR="007D4E27">
        <w:t xml:space="preserve"> </w:t>
      </w:r>
      <w:r w:rsidR="0003434B" w:rsidRPr="00E25BA9">
        <w:t xml:space="preserve">cit., § 101, oraz </w:t>
      </w:r>
      <w:r w:rsidR="0003434B" w:rsidRPr="00E25BA9">
        <w:rPr>
          <w:i/>
        </w:rPr>
        <w:t>Piechowicz</w:t>
      </w:r>
      <w:r w:rsidR="0003434B" w:rsidRPr="00E25BA9">
        <w:t>, op.</w:t>
      </w:r>
      <w:r w:rsidR="007D4E27">
        <w:t xml:space="preserve"> </w:t>
      </w:r>
      <w:r w:rsidR="0003434B" w:rsidRPr="00E25BA9">
        <w:t>cit., §§ 175 i 176).</w:t>
      </w:r>
    </w:p>
    <w:p w14:paraId="34818DA2" w14:textId="631774F0" w:rsidR="0003434B" w:rsidRPr="00E25BA9" w:rsidRDefault="0073202D" w:rsidP="00251AA0">
      <w:pPr>
        <w:pStyle w:val="JuPara"/>
      </w:pPr>
      <w:r w:rsidRPr="00E25BA9">
        <w:t>32</w:t>
      </w:r>
      <w:r w:rsidR="0003434B" w:rsidRPr="00E25BA9">
        <w:t>.</w:t>
      </w:r>
      <w:r w:rsidR="00971C71">
        <w:t xml:space="preserve"> </w:t>
      </w:r>
      <w:r w:rsidR="0003434B" w:rsidRPr="00E25BA9">
        <w:t xml:space="preserve">Ponadto Trybunał uważa, że Rząd nie przedstawił wystarczających powodów uzasadniających skuwanie skarżącego kajdankami, ilekroć opuszczał on swoją celę przez cały czas odbywania kary na warunkach przewidzianych dla osadzonych niebezpiecznych (zob. </w:t>
      </w:r>
      <w:r w:rsidR="0003434B" w:rsidRPr="00E25BA9">
        <w:rPr>
          <w:i/>
        </w:rPr>
        <w:t>Piechowicz</w:t>
      </w:r>
      <w:r w:rsidR="0003434B" w:rsidRPr="00E25BA9">
        <w:t>, op.</w:t>
      </w:r>
      <w:r w:rsidR="00B0711B">
        <w:t xml:space="preserve"> </w:t>
      </w:r>
      <w:r w:rsidR="0003434B" w:rsidRPr="00E25BA9">
        <w:t>cit., § 174).</w:t>
      </w:r>
    </w:p>
    <w:p w14:paraId="692360A8" w14:textId="548F49B6" w:rsidR="0003434B" w:rsidRPr="00E25BA9" w:rsidRDefault="0073202D" w:rsidP="00251AA0">
      <w:pPr>
        <w:pStyle w:val="JuPara"/>
      </w:pPr>
      <w:r w:rsidRPr="00E25BA9">
        <w:t>33</w:t>
      </w:r>
      <w:r w:rsidR="0003434B" w:rsidRPr="00E25BA9">
        <w:t>.</w:t>
      </w:r>
      <w:r w:rsidR="00971C71">
        <w:t xml:space="preserve"> </w:t>
      </w:r>
      <w:r w:rsidR="0003434B" w:rsidRPr="00E25BA9">
        <w:t xml:space="preserve">Podsumowując, zważywszy na kumulatywne skutki dla skarżącego warunków odbywania kary przewidzianych dla </w:t>
      </w:r>
      <w:r w:rsidR="001C5406" w:rsidRPr="00E25BA9">
        <w:t>„</w:t>
      </w:r>
      <w:r w:rsidR="0003434B" w:rsidRPr="00E25BA9">
        <w:t>osadzonych niebezpiecznych”, Trybunał stwierdza, że władze nie wykazały, jakoby zastosowanie całego szerokiego wachlarza środków, zwłaszcza w</w:t>
      </w:r>
      <w:r w:rsidR="00DE75FC">
        <w:t> </w:t>
      </w:r>
      <w:r w:rsidR="0003434B" w:rsidRPr="00E25BA9">
        <w:t>początkowym okresie po nałożeniu ww. warunków, było niezbędne do</w:t>
      </w:r>
      <w:r w:rsidR="00DE75FC">
        <w:t> </w:t>
      </w:r>
      <w:r w:rsidR="0003434B" w:rsidRPr="00E25BA9">
        <w:t>osiągnięcia u</w:t>
      </w:r>
      <w:r w:rsidR="00B0711B">
        <w:t>prawnionego</w:t>
      </w:r>
      <w:r w:rsidR="0003434B" w:rsidRPr="00E25BA9">
        <w:t xml:space="preserve"> celu polegającego na zapewnieniu bezpieczeństwa zakładu</w:t>
      </w:r>
      <w:r w:rsidR="00B0711B">
        <w:t xml:space="preserve"> karnego</w:t>
      </w:r>
      <w:r w:rsidR="0003434B" w:rsidRPr="00E25BA9">
        <w:t>.</w:t>
      </w:r>
    </w:p>
    <w:p w14:paraId="0D4000F3" w14:textId="180B9DB1" w:rsidR="0003434B" w:rsidRPr="00E25BA9" w:rsidRDefault="0003434B" w:rsidP="00251AA0">
      <w:pPr>
        <w:pStyle w:val="JuPara"/>
      </w:pPr>
      <w:r w:rsidRPr="00E25BA9">
        <w:t>W związku z powyższym doszło do naruszenia art.</w:t>
      </w:r>
      <w:r w:rsidR="00971C71">
        <w:t xml:space="preserve"> </w:t>
      </w:r>
      <w:r w:rsidRPr="00E25BA9">
        <w:t>3 Konwencji.</w:t>
      </w:r>
    </w:p>
    <w:p w14:paraId="6B711DAD" w14:textId="10AD4939" w:rsidR="0003434B" w:rsidRPr="00E25BA9" w:rsidRDefault="0003434B" w:rsidP="00251AA0">
      <w:pPr>
        <w:pStyle w:val="JuHIRoman"/>
        <w:tabs>
          <w:tab w:val="clear" w:pos="454"/>
          <w:tab w:val="clear" w:pos="567"/>
          <w:tab w:val="clear" w:pos="680"/>
        </w:tabs>
        <w:ind w:left="357" w:hanging="357"/>
        <w:jc w:val="left"/>
      </w:pPr>
      <w:r w:rsidRPr="00E25BA9">
        <w:t>ZASTOSOWANIE ART.</w:t>
      </w:r>
      <w:r w:rsidR="00971C71">
        <w:t xml:space="preserve"> </w:t>
      </w:r>
      <w:r w:rsidRPr="00E25BA9">
        <w:t>41 KONWENCJI</w:t>
      </w:r>
    </w:p>
    <w:p w14:paraId="6D8C66E9" w14:textId="194B78B8" w:rsidR="0003434B" w:rsidRPr="00E25BA9" w:rsidRDefault="0073202D" w:rsidP="00251AA0">
      <w:pPr>
        <w:pStyle w:val="JuPara"/>
        <w:keepNext/>
        <w:keepLines/>
      </w:pPr>
      <w:r w:rsidRPr="00E25BA9">
        <w:t>34</w:t>
      </w:r>
      <w:r w:rsidR="0003434B" w:rsidRPr="00E25BA9">
        <w:t>.</w:t>
      </w:r>
      <w:r w:rsidR="00971C71">
        <w:t xml:space="preserve"> </w:t>
      </w:r>
      <w:r w:rsidR="0003434B" w:rsidRPr="00E25BA9">
        <w:t>Art. 41 Konwencji stanowi:</w:t>
      </w:r>
    </w:p>
    <w:p w14:paraId="3E54FC98" w14:textId="07A2A01A" w:rsidR="0003434B" w:rsidRPr="00E25BA9" w:rsidRDefault="0003434B" w:rsidP="00251AA0">
      <w:pPr>
        <w:pStyle w:val="JuQuot"/>
      </w:pPr>
      <w:r w:rsidRPr="00E25BA9">
        <w:t>„</w:t>
      </w:r>
      <w:r w:rsidR="00C922EF" w:rsidRPr="00C922EF">
        <w:t xml:space="preserve">Jeśli Trybunał stwierdzi, że nastąpiło naruszenie Konwencji lub jej </w:t>
      </w:r>
      <w:r w:rsidR="00971C71" w:rsidRPr="00C922EF">
        <w:t>Protokołów</w:t>
      </w:r>
      <w:r w:rsidR="00C922EF" w:rsidRPr="00C922EF">
        <w:t>, oraz</w:t>
      </w:r>
      <w:r w:rsidR="00DE75FC">
        <w:t> </w:t>
      </w:r>
      <w:r w:rsidR="00C922EF" w:rsidRPr="00C922EF">
        <w:t>jeśli prawo wewnętrzne zainteresowanej Wysokiej Układającej się Strony pozwala tylko na częściowe usunięcie konsekwencji tego naruszenia, Trybunał orzeka, gdy</w:t>
      </w:r>
      <w:r w:rsidR="00DE75FC">
        <w:t> </w:t>
      </w:r>
      <w:r w:rsidR="00C922EF" w:rsidRPr="00C922EF">
        <w:t>zachodzi potrzeba, słuszne zadośćuczynienie</w:t>
      </w:r>
      <w:r w:rsidR="00C922EF">
        <w:t xml:space="preserve"> pokrzywdzonej stronie</w:t>
      </w:r>
      <w:r w:rsidRPr="00E25BA9">
        <w:t>”</w:t>
      </w:r>
      <w:r w:rsidR="001C5406" w:rsidRPr="00E25BA9">
        <w:t>.</w:t>
      </w:r>
    </w:p>
    <w:p w14:paraId="5D6B281C" w14:textId="3842D201" w:rsidR="0003434B" w:rsidRPr="00E25BA9" w:rsidRDefault="0073202D" w:rsidP="00251AA0">
      <w:pPr>
        <w:pStyle w:val="JuPara"/>
      </w:pPr>
      <w:r w:rsidRPr="00E25BA9">
        <w:lastRenderedPageBreak/>
        <w:t>35</w:t>
      </w:r>
      <w:r w:rsidR="0003434B" w:rsidRPr="00E25BA9">
        <w:t>.</w:t>
      </w:r>
      <w:r w:rsidR="00971C71">
        <w:t xml:space="preserve"> </w:t>
      </w:r>
      <w:r w:rsidR="0003434B" w:rsidRPr="00E25BA9">
        <w:t xml:space="preserve">Skarżący nie </w:t>
      </w:r>
      <w:r w:rsidR="00B0711B">
        <w:t>zgłosił roszczenia o słuszne</w:t>
      </w:r>
      <w:r w:rsidR="0003434B" w:rsidRPr="00E25BA9">
        <w:t xml:space="preserve"> </w:t>
      </w:r>
      <w:r w:rsidR="00B0711B">
        <w:t xml:space="preserve">zadośćuczynienie. Trybunał uznaje </w:t>
      </w:r>
      <w:r w:rsidR="0003434B" w:rsidRPr="00E25BA9">
        <w:t>zatem, że nie ma podstaw do przyznania mu jakiejkolwiek kwoty z</w:t>
      </w:r>
      <w:r w:rsidR="00DE75FC">
        <w:t> </w:t>
      </w:r>
      <w:r w:rsidR="0003434B" w:rsidRPr="00E25BA9">
        <w:t>tego tytułu.</w:t>
      </w:r>
    </w:p>
    <w:p w14:paraId="72EEB2A7" w14:textId="77777777" w:rsidR="0003434B" w:rsidRPr="00E25BA9" w:rsidRDefault="0003434B" w:rsidP="001C5406">
      <w:pPr>
        <w:pStyle w:val="JuHHead"/>
        <w:numPr>
          <w:ilvl w:val="0"/>
          <w:numId w:val="3"/>
        </w:numPr>
        <w:jc w:val="left"/>
      </w:pPr>
      <w:r w:rsidRPr="00E25BA9">
        <w:t>Z POWYŻSZYCH WZGLĘDÓW TRYBUNAŁ JEDNOGŁOŚNIE</w:t>
      </w:r>
    </w:p>
    <w:p w14:paraId="4A48B3DE" w14:textId="77777777" w:rsidR="0003434B" w:rsidRPr="00E25BA9" w:rsidRDefault="0003434B" w:rsidP="00251AA0">
      <w:pPr>
        <w:pStyle w:val="JuList"/>
        <w:numPr>
          <w:ilvl w:val="0"/>
          <w:numId w:val="1"/>
        </w:numPr>
      </w:pPr>
      <w:r w:rsidRPr="00E25BA9">
        <w:rPr>
          <w:i/>
        </w:rPr>
        <w:t>uznaje</w:t>
      </w:r>
      <w:r w:rsidRPr="00E25BA9">
        <w:t>, że skarga jest dopuszczalna;</w:t>
      </w:r>
    </w:p>
    <w:p w14:paraId="62292795" w14:textId="767F3166" w:rsidR="004D0EC7" w:rsidRPr="00E25BA9" w:rsidRDefault="0003434B" w:rsidP="00251AA0">
      <w:pPr>
        <w:pStyle w:val="JuList"/>
      </w:pPr>
      <w:r w:rsidRPr="00E25BA9">
        <w:rPr>
          <w:i/>
        </w:rPr>
        <w:t>orzeka</w:t>
      </w:r>
      <w:r w:rsidRPr="00E25BA9">
        <w:t>, że doszło do naruszenia art.</w:t>
      </w:r>
      <w:r w:rsidR="00971C71">
        <w:t xml:space="preserve"> </w:t>
      </w:r>
      <w:r w:rsidRPr="00E25BA9">
        <w:t>3 Konwencji</w:t>
      </w:r>
      <w:r w:rsidR="001C5406" w:rsidRPr="00E25BA9">
        <w:t>.</w:t>
      </w:r>
    </w:p>
    <w:p w14:paraId="5FE07A76" w14:textId="0897095F" w:rsidR="008E3A08" w:rsidRPr="00E25BA9" w:rsidRDefault="007E2C8C" w:rsidP="00251AA0">
      <w:pPr>
        <w:pStyle w:val="JuParaLast"/>
      </w:pPr>
      <w:r w:rsidRPr="00E25BA9">
        <w:t>Sporządzono w języku angielskim i obwieszczono pisemnie w dniu 20</w:t>
      </w:r>
      <w:r w:rsidR="00DE75FC">
        <w:t> </w:t>
      </w:r>
      <w:r w:rsidRPr="00E25BA9">
        <w:t>maja 2021</w:t>
      </w:r>
      <w:r w:rsidR="00971C71">
        <w:t xml:space="preserve"> </w:t>
      </w:r>
      <w:r w:rsidRPr="00E25BA9">
        <w:t>r., zgodnie z Regułą 77 §§ 2 i 3 Regulaminu Trybunału.</w:t>
      </w:r>
    </w:p>
    <w:p w14:paraId="41C6D9F5" w14:textId="77777777" w:rsidR="001C055B" w:rsidRPr="00E25BA9" w:rsidRDefault="00EA4791" w:rsidP="00251AA0">
      <w:pPr>
        <w:pStyle w:val="JuSigned"/>
      </w:pPr>
      <w:r w:rsidRPr="00E25BA9">
        <w:tab/>
      </w:r>
      <w:proofErr w:type="spellStart"/>
      <w:r w:rsidRPr="00E25BA9">
        <w:t>Liv</w:t>
      </w:r>
      <w:proofErr w:type="spellEnd"/>
      <w:r w:rsidRPr="00E25BA9">
        <w:t xml:space="preserve"> </w:t>
      </w:r>
      <w:proofErr w:type="spellStart"/>
      <w:r w:rsidRPr="00E25BA9">
        <w:t>Tigerstedt</w:t>
      </w:r>
      <w:proofErr w:type="spellEnd"/>
      <w:r w:rsidRPr="00E25BA9">
        <w:t xml:space="preserve"> </w:t>
      </w:r>
      <w:r w:rsidRPr="00E25BA9">
        <w:tab/>
        <w:t xml:space="preserve">Erik </w:t>
      </w:r>
      <w:proofErr w:type="spellStart"/>
      <w:r w:rsidRPr="00E25BA9">
        <w:t>Wennerström</w:t>
      </w:r>
      <w:proofErr w:type="spellEnd"/>
      <w:r w:rsidRPr="00E25BA9">
        <w:br/>
      </w:r>
      <w:r w:rsidRPr="00E25BA9">
        <w:tab/>
      </w:r>
      <w:r w:rsidRPr="00B0711B">
        <w:t>Zastępca Kanclerza</w:t>
      </w:r>
      <w:r w:rsidRPr="00E25BA9">
        <w:tab/>
        <w:t>Przewodniczący</w:t>
      </w:r>
    </w:p>
    <w:sectPr w:rsidR="001C055B" w:rsidRPr="00E25BA9" w:rsidSect="007D3701">
      <w:headerReference w:type="even" r:id="rId17"/>
      <w:headerReference w:type="default" r:id="rId18"/>
      <w:footerReference w:type="even" r:id="rId19"/>
      <w:footerReference w:type="default" r:id="rId20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16C1B4" w14:textId="77777777" w:rsidR="00EB217C" w:rsidRPr="0003434B" w:rsidRDefault="00EB217C" w:rsidP="0098410D">
      <w:r w:rsidRPr="0003434B">
        <w:separator/>
      </w:r>
    </w:p>
  </w:endnote>
  <w:endnote w:type="continuationSeparator" w:id="0">
    <w:p w14:paraId="225EE068" w14:textId="77777777" w:rsidR="00EB217C" w:rsidRPr="0003434B" w:rsidRDefault="00EB217C" w:rsidP="0098410D">
      <w:r w:rsidRPr="0003434B">
        <w:continuationSeparator/>
      </w:r>
    </w:p>
  </w:endnote>
  <w:endnote w:type="continuationNotice" w:id="1">
    <w:p w14:paraId="51C5DB7B" w14:textId="77777777" w:rsidR="00EB217C" w:rsidRDefault="00EB217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554A07" w14:textId="77777777" w:rsidR="00C502D1" w:rsidRDefault="00C502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D0E3CC" w14:textId="77777777" w:rsidR="00C502D1" w:rsidRPr="00150BFA" w:rsidRDefault="00C502D1" w:rsidP="00C502D1">
    <w:pPr>
      <w:jc w:val="center"/>
    </w:pPr>
    <w:r>
      <w:rPr>
        <w:noProof/>
        <w:lang w:eastAsia="pl-PL"/>
      </w:rPr>
      <w:drawing>
        <wp:inline distT="0" distB="0" distL="0" distR="0" wp14:anchorId="186404B8" wp14:editId="5015C209">
          <wp:extent cx="771525" cy="619125"/>
          <wp:effectExtent l="0" t="0" r="9525" b="9525"/>
          <wp:docPr id="41" name="Picture 41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BFDCA7" w14:textId="77777777" w:rsidR="00C502D1" w:rsidRPr="0003434B" w:rsidRDefault="00C502D1" w:rsidP="00C502D1">
    <w:pPr>
      <w:pStyle w:val="Stopka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E0303B" w14:textId="77777777" w:rsidR="00C502D1" w:rsidRPr="00150BFA" w:rsidRDefault="00C502D1" w:rsidP="00C502D1">
    <w:pPr>
      <w:jc w:val="center"/>
    </w:pPr>
    <w:r>
      <w:rPr>
        <w:noProof/>
        <w:lang w:eastAsia="pl-PL"/>
      </w:rPr>
      <w:drawing>
        <wp:inline distT="0" distB="0" distL="0" distR="0" wp14:anchorId="1D743417" wp14:editId="0DFF10A7">
          <wp:extent cx="771525" cy="619125"/>
          <wp:effectExtent l="0" t="0" r="9525" b="9525"/>
          <wp:docPr id="39" name="Picture 3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A743BD" w14:textId="77777777" w:rsidR="00C502D1" w:rsidRPr="0003434B" w:rsidRDefault="00C502D1" w:rsidP="009E7A6F">
    <w:pPr>
      <w:pStyle w:val="Stopka"/>
      <w:jc w:val="center"/>
      <w:rPr>
        <w:sz w:val="4"/>
        <w:szCs w:val="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D56F22" w14:textId="1F7CEA6E" w:rsidR="00C502D1" w:rsidRDefault="00C502D1" w:rsidP="009A115C">
    <w:pPr>
      <w:pStyle w:val="Ju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A1009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7F8C52" w14:textId="1F6878BB" w:rsidR="00C502D1" w:rsidRPr="000B7195" w:rsidRDefault="00C502D1" w:rsidP="007D3701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2A1009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34CE75" w14:textId="77777777" w:rsidR="00EB217C" w:rsidRPr="0003434B" w:rsidRDefault="00EB217C" w:rsidP="0098410D">
      <w:r w:rsidRPr="0003434B">
        <w:separator/>
      </w:r>
    </w:p>
  </w:footnote>
  <w:footnote w:type="continuationSeparator" w:id="0">
    <w:p w14:paraId="1E80820D" w14:textId="77777777" w:rsidR="00EB217C" w:rsidRPr="0003434B" w:rsidRDefault="00EB217C" w:rsidP="0098410D">
      <w:r w:rsidRPr="0003434B">
        <w:continuationSeparator/>
      </w:r>
    </w:p>
  </w:footnote>
  <w:footnote w:type="continuationNotice" w:id="1">
    <w:p w14:paraId="6CBFB823" w14:textId="77777777" w:rsidR="00EB217C" w:rsidRDefault="00EB217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4D465B" w14:textId="77777777" w:rsidR="00C502D1" w:rsidRDefault="00C502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435403" w14:textId="77777777" w:rsidR="00C502D1" w:rsidRPr="00A45145" w:rsidRDefault="00C502D1" w:rsidP="00C502D1">
    <w:pPr>
      <w:jc w:val="center"/>
    </w:pPr>
    <w:r>
      <w:rPr>
        <w:noProof/>
        <w:lang w:eastAsia="pl-PL"/>
      </w:rPr>
      <w:drawing>
        <wp:inline distT="0" distB="0" distL="0" distR="0" wp14:anchorId="197469C8" wp14:editId="220AEE48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FAE156" w14:textId="77777777" w:rsidR="00C502D1" w:rsidRPr="0003434B" w:rsidRDefault="00C502D1" w:rsidP="00C502D1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3D6600" w14:textId="77777777" w:rsidR="00C502D1" w:rsidRPr="00A45145" w:rsidRDefault="00C502D1" w:rsidP="00C502D1">
    <w:pPr>
      <w:jc w:val="center"/>
    </w:pPr>
    <w:r>
      <w:rPr>
        <w:noProof/>
        <w:lang w:eastAsia="pl-PL"/>
      </w:rPr>
      <w:drawing>
        <wp:inline distT="0" distB="0" distL="0" distR="0" wp14:anchorId="6DC1C023" wp14:editId="3CF4FBFF">
          <wp:extent cx="2962275" cy="1219200"/>
          <wp:effectExtent l="0" t="0" r="9525" b="0"/>
          <wp:docPr id="33" name="Picture 33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7EF10E" w14:textId="77777777" w:rsidR="00C502D1" w:rsidRPr="0003434B" w:rsidRDefault="00C502D1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5EA08B" w14:textId="6DEF9006" w:rsidR="00C502D1" w:rsidRPr="004D0EC7" w:rsidRDefault="00C502D1" w:rsidP="004D0EC7">
    <w:pPr>
      <w:pStyle w:val="JuHeader"/>
    </w:pPr>
    <w:r>
      <w:t>WYROK W SPRAWIE BECHTA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ECA097" w14:textId="0C367682" w:rsidR="00C502D1" w:rsidRPr="00882CD5" w:rsidRDefault="00C502D1" w:rsidP="007D3701">
    <w:pPr>
      <w:pStyle w:val="JuHeader"/>
    </w:pPr>
    <w:r>
      <w:t>WYROK W SPRAWIE BECHTA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C0F5BFC"/>
    <w:multiLevelType w:val="multilevel"/>
    <w:tmpl w:val="79FEA660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97" w:hanging="397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w:numFmt w:val="decimal"/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0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5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6" w15:restartNumberingAfterBreak="0">
    <w:nsid w:val="56B9429C"/>
    <w:multiLevelType w:val="multilevel"/>
    <w:tmpl w:val="EAA66700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suff w:val="space"/>
      <w:lvlText w:val="%2."/>
      <w:lvlJc w:val="left"/>
      <w:pPr>
        <w:ind w:left="357" w:hanging="357"/>
      </w:pPr>
      <w:rPr>
        <w:rFonts w:hint="default"/>
        <w:sz w:val="24"/>
      </w:rPr>
    </w:lvl>
    <w:lvl w:ilvl="2">
      <w:start w:val="1"/>
      <w:numFmt w:val="upperLetter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w:numFmt w:val="lowerLetter"/>
      <w:lvlText w:val="(%7)"/>
      <w:lvlJc w:val="left"/>
      <w:pPr>
        <w:ind w:left="1372" w:hanging="334"/>
      </w:pPr>
      <w:rPr>
        <w:rFonts w:ascii="Symbol" w:hAnsi="Symbol" w:hint="default"/>
        <w:sz w:val="20"/>
      </w:rPr>
    </w:lvl>
    <w:lvl w:ilvl="7">
      <w:start w:val="1"/>
      <w:numFmt w:val="bullet"/>
      <w:lvlText w:val="‒"/>
      <w:lvlJc w:val="left"/>
      <w:pPr>
        <w:ind w:left="1304" w:hanging="68"/>
      </w:pPr>
      <w:rPr>
        <w:rFonts w:ascii="Calibri" w:hAnsi="Calibri" w:hint="default"/>
        <w:color w:val="auto"/>
      </w:rPr>
    </w:lvl>
    <w:lvl w:ilvl="8">
      <w:start w:val="1"/>
      <w:numFmt w:val="none"/>
      <w:lvlText w:val="%9"/>
      <w:lvlJc w:val="right"/>
      <w:pPr>
        <w:ind w:left="7313" w:hanging="180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7D35409C"/>
    <w:multiLevelType w:val="multilevel"/>
    <w:tmpl w:val="EAA66700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suff w:val="space"/>
      <w:lvlText w:val="%2."/>
      <w:lvlJc w:val="left"/>
      <w:pPr>
        <w:ind w:left="357" w:hanging="357"/>
      </w:pPr>
      <w:rPr>
        <w:rFonts w:hint="default"/>
        <w:sz w:val="24"/>
      </w:rPr>
    </w:lvl>
    <w:lvl w:ilvl="2">
      <w:start w:val="1"/>
      <w:numFmt w:val="upperLetter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w:numFmt w:val="lowerLetter"/>
      <w:lvlText w:val="(%7)"/>
      <w:lvlJc w:val="left"/>
      <w:pPr>
        <w:ind w:left="1372" w:hanging="334"/>
      </w:pPr>
      <w:rPr>
        <w:rFonts w:ascii="Symbol" w:hAnsi="Symbol" w:hint="default"/>
        <w:sz w:val="20"/>
      </w:rPr>
    </w:lvl>
    <w:lvl w:ilvl="7">
      <w:start w:val="1"/>
      <w:numFmt w:val="bullet"/>
      <w:lvlText w:val="‒"/>
      <w:lvlJc w:val="left"/>
      <w:pPr>
        <w:ind w:left="1304" w:hanging="68"/>
      </w:pPr>
      <w:rPr>
        <w:rFonts w:ascii="Calibri" w:hAnsi="Calibri" w:hint="default"/>
        <w:color w:val="auto"/>
      </w:rPr>
    </w:lvl>
    <w:lvl w:ilvl="8">
      <w:start w:val="1"/>
      <w:numFmt w:val="none"/>
      <w:lvlText w:val="%9"/>
      <w:lvlJc w:val="right"/>
      <w:pPr>
        <w:ind w:left="7313" w:hanging="180"/>
      </w:pPr>
      <w:rPr>
        <w:rFonts w:hint="default"/>
      </w:rPr>
    </w:lvl>
  </w:abstractNum>
  <w:num w:numId="1">
    <w:abstractNumId w:val="12"/>
  </w:num>
  <w:num w:numId="2">
    <w:abstractNumId w:val="16"/>
  </w:num>
  <w:num w:numId="3">
    <w:abstractNumId w:val="18"/>
  </w:num>
  <w:num w:numId="4">
    <w:abstractNumId w:val="9"/>
  </w:num>
  <w:num w:numId="5">
    <w:abstractNumId w:val="13"/>
  </w:num>
  <w:num w:numId="6">
    <w:abstractNumId w:val="11"/>
  </w:num>
  <w:num w:numId="7">
    <w:abstractNumId w:val="10"/>
  </w:num>
  <w:num w:numId="8">
    <w:abstractNumId w:val="14"/>
  </w:num>
  <w:num w:numId="9">
    <w:abstractNumId w:val="12"/>
  </w:num>
  <w:num w:numId="10">
    <w:abstractNumId w:val="15"/>
  </w:num>
  <w:num w:numId="11">
    <w:abstractNumId w:val="17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1"/>
    <w:docVar w:name="EMM" w:val="0"/>
    <w:docVar w:name="LW_DocType" w:val="NORMAL"/>
    <w:docVar w:name="NBEMMDOC" w:val="0"/>
  </w:docVars>
  <w:rsids>
    <w:rsidRoot w:val="0003434B"/>
    <w:rsid w:val="000041F8"/>
    <w:rsid w:val="000042A8"/>
    <w:rsid w:val="00004308"/>
    <w:rsid w:val="00005BF0"/>
    <w:rsid w:val="0000617D"/>
    <w:rsid w:val="00007154"/>
    <w:rsid w:val="000103AE"/>
    <w:rsid w:val="00011D69"/>
    <w:rsid w:val="00012AD3"/>
    <w:rsid w:val="00015C2D"/>
    <w:rsid w:val="00015F00"/>
    <w:rsid w:val="00022C1D"/>
    <w:rsid w:val="00031428"/>
    <w:rsid w:val="0003434B"/>
    <w:rsid w:val="000343C8"/>
    <w:rsid w:val="00034987"/>
    <w:rsid w:val="00041560"/>
    <w:rsid w:val="000602DF"/>
    <w:rsid w:val="00061B05"/>
    <w:rsid w:val="000632D5"/>
    <w:rsid w:val="000644EE"/>
    <w:rsid w:val="0007780A"/>
    <w:rsid w:val="00085457"/>
    <w:rsid w:val="000925AD"/>
    <w:rsid w:val="00096FE1"/>
    <w:rsid w:val="00097A62"/>
    <w:rsid w:val="000A24EB"/>
    <w:rsid w:val="000B686A"/>
    <w:rsid w:val="000B6923"/>
    <w:rsid w:val="000B7195"/>
    <w:rsid w:val="000C2BC6"/>
    <w:rsid w:val="000C5F3C"/>
    <w:rsid w:val="000C6DCC"/>
    <w:rsid w:val="000D47AA"/>
    <w:rsid w:val="000D721F"/>
    <w:rsid w:val="000E069B"/>
    <w:rsid w:val="000E0E82"/>
    <w:rsid w:val="000E1DC5"/>
    <w:rsid w:val="000E223F"/>
    <w:rsid w:val="000E46B8"/>
    <w:rsid w:val="000E7D45"/>
    <w:rsid w:val="000F7851"/>
    <w:rsid w:val="00101505"/>
    <w:rsid w:val="00104E23"/>
    <w:rsid w:val="00110DA8"/>
    <w:rsid w:val="00111B0C"/>
    <w:rsid w:val="00120D6C"/>
    <w:rsid w:val="001257EC"/>
    <w:rsid w:val="00133D33"/>
    <w:rsid w:val="00134B6A"/>
    <w:rsid w:val="00134D64"/>
    <w:rsid w:val="00135A30"/>
    <w:rsid w:val="0013612C"/>
    <w:rsid w:val="00137FF6"/>
    <w:rsid w:val="00141650"/>
    <w:rsid w:val="001561B6"/>
    <w:rsid w:val="00162A12"/>
    <w:rsid w:val="00166530"/>
    <w:rsid w:val="00170027"/>
    <w:rsid w:val="001832BD"/>
    <w:rsid w:val="00183DB8"/>
    <w:rsid w:val="001943B5"/>
    <w:rsid w:val="00195134"/>
    <w:rsid w:val="001A145B"/>
    <w:rsid w:val="001A3E09"/>
    <w:rsid w:val="001A674C"/>
    <w:rsid w:val="001B3B24"/>
    <w:rsid w:val="001B7D35"/>
    <w:rsid w:val="001C055B"/>
    <w:rsid w:val="001C0F98"/>
    <w:rsid w:val="001C2A42"/>
    <w:rsid w:val="001C5406"/>
    <w:rsid w:val="001D63ED"/>
    <w:rsid w:val="001D7348"/>
    <w:rsid w:val="001E035B"/>
    <w:rsid w:val="001E0961"/>
    <w:rsid w:val="001E3EAE"/>
    <w:rsid w:val="001E6857"/>
    <w:rsid w:val="001E69AD"/>
    <w:rsid w:val="001E6F32"/>
    <w:rsid w:val="001F2145"/>
    <w:rsid w:val="001F6262"/>
    <w:rsid w:val="001F67B0"/>
    <w:rsid w:val="001F7B3D"/>
    <w:rsid w:val="00202752"/>
    <w:rsid w:val="0020335A"/>
    <w:rsid w:val="002052BC"/>
    <w:rsid w:val="00205F9F"/>
    <w:rsid w:val="00210338"/>
    <w:rsid w:val="002115FC"/>
    <w:rsid w:val="0021423C"/>
    <w:rsid w:val="00230D00"/>
    <w:rsid w:val="00231DF7"/>
    <w:rsid w:val="00231FD1"/>
    <w:rsid w:val="002339E0"/>
    <w:rsid w:val="00233CF8"/>
    <w:rsid w:val="0023575D"/>
    <w:rsid w:val="00237148"/>
    <w:rsid w:val="0024222D"/>
    <w:rsid w:val="002422B6"/>
    <w:rsid w:val="00242BBC"/>
    <w:rsid w:val="00244B0E"/>
    <w:rsid w:val="00244F6C"/>
    <w:rsid w:val="00246B89"/>
    <w:rsid w:val="00251AA0"/>
    <w:rsid w:val="00252C4E"/>
    <w:rsid w:val="002532C5"/>
    <w:rsid w:val="00254DF2"/>
    <w:rsid w:val="00260C03"/>
    <w:rsid w:val="0026540E"/>
    <w:rsid w:val="00275123"/>
    <w:rsid w:val="00282074"/>
    <w:rsid w:val="00282240"/>
    <w:rsid w:val="0028498B"/>
    <w:rsid w:val="00287AD5"/>
    <w:rsid w:val="002934D0"/>
    <w:rsid w:val="00293676"/>
    <w:rsid w:val="00293BD9"/>
    <w:rsid w:val="002948AD"/>
    <w:rsid w:val="002A01CC"/>
    <w:rsid w:val="002A1009"/>
    <w:rsid w:val="002A613A"/>
    <w:rsid w:val="002A61B1"/>
    <w:rsid w:val="002A663C"/>
    <w:rsid w:val="002B444B"/>
    <w:rsid w:val="002B5887"/>
    <w:rsid w:val="002C0E27"/>
    <w:rsid w:val="002C3040"/>
    <w:rsid w:val="002C4433"/>
    <w:rsid w:val="002C7826"/>
    <w:rsid w:val="002D022D"/>
    <w:rsid w:val="002D24BB"/>
    <w:rsid w:val="002D2FA7"/>
    <w:rsid w:val="002D47BA"/>
    <w:rsid w:val="002D77B9"/>
    <w:rsid w:val="002E46DA"/>
    <w:rsid w:val="002F2AF7"/>
    <w:rsid w:val="002F69C4"/>
    <w:rsid w:val="002F7D9E"/>
    <w:rsid w:val="002F7E1C"/>
    <w:rsid w:val="00301A75"/>
    <w:rsid w:val="00302F70"/>
    <w:rsid w:val="0030336F"/>
    <w:rsid w:val="0030375E"/>
    <w:rsid w:val="00310B46"/>
    <w:rsid w:val="00312A30"/>
    <w:rsid w:val="003201D8"/>
    <w:rsid w:val="00320F72"/>
    <w:rsid w:val="0032463E"/>
    <w:rsid w:val="00326224"/>
    <w:rsid w:val="00337EE4"/>
    <w:rsid w:val="00340FFD"/>
    <w:rsid w:val="00345C41"/>
    <w:rsid w:val="003506B1"/>
    <w:rsid w:val="00355877"/>
    <w:rsid w:val="00356AC7"/>
    <w:rsid w:val="003609FA"/>
    <w:rsid w:val="003710C8"/>
    <w:rsid w:val="0037470F"/>
    <w:rsid w:val="003750BE"/>
    <w:rsid w:val="00385A36"/>
    <w:rsid w:val="00385F3D"/>
    <w:rsid w:val="00387B9D"/>
    <w:rsid w:val="00387C70"/>
    <w:rsid w:val="00390294"/>
    <w:rsid w:val="0039364F"/>
    <w:rsid w:val="00396686"/>
    <w:rsid w:val="0039778E"/>
    <w:rsid w:val="003B4941"/>
    <w:rsid w:val="003C5714"/>
    <w:rsid w:val="003C6B9F"/>
    <w:rsid w:val="003C6E2A"/>
    <w:rsid w:val="003D0299"/>
    <w:rsid w:val="003E6D80"/>
    <w:rsid w:val="003E6E24"/>
    <w:rsid w:val="003F05FA"/>
    <w:rsid w:val="003F244A"/>
    <w:rsid w:val="003F2517"/>
    <w:rsid w:val="003F30B8"/>
    <w:rsid w:val="003F4C45"/>
    <w:rsid w:val="003F5F7B"/>
    <w:rsid w:val="003F7D64"/>
    <w:rsid w:val="0040433A"/>
    <w:rsid w:val="00414300"/>
    <w:rsid w:val="00414F27"/>
    <w:rsid w:val="00420703"/>
    <w:rsid w:val="0042146F"/>
    <w:rsid w:val="00425C67"/>
    <w:rsid w:val="00426B28"/>
    <w:rsid w:val="00427E7A"/>
    <w:rsid w:val="004355AC"/>
    <w:rsid w:val="00436C49"/>
    <w:rsid w:val="00443D98"/>
    <w:rsid w:val="00445366"/>
    <w:rsid w:val="00447F5B"/>
    <w:rsid w:val="00461DB0"/>
    <w:rsid w:val="00463926"/>
    <w:rsid w:val="00464C9A"/>
    <w:rsid w:val="00470872"/>
    <w:rsid w:val="00474F3D"/>
    <w:rsid w:val="00477E3A"/>
    <w:rsid w:val="00483E5F"/>
    <w:rsid w:val="00485FF9"/>
    <w:rsid w:val="004907F0"/>
    <w:rsid w:val="0049140B"/>
    <w:rsid w:val="004923A5"/>
    <w:rsid w:val="0049310E"/>
    <w:rsid w:val="004950E2"/>
    <w:rsid w:val="00496BFB"/>
    <w:rsid w:val="004A15C7"/>
    <w:rsid w:val="004A3201"/>
    <w:rsid w:val="004B013B"/>
    <w:rsid w:val="004B112B"/>
    <w:rsid w:val="004B444E"/>
    <w:rsid w:val="004C01E4"/>
    <w:rsid w:val="004C086C"/>
    <w:rsid w:val="004C1F56"/>
    <w:rsid w:val="004C27BC"/>
    <w:rsid w:val="004C6621"/>
    <w:rsid w:val="004D0EC7"/>
    <w:rsid w:val="004D15F3"/>
    <w:rsid w:val="004D3B3D"/>
    <w:rsid w:val="004D4EF1"/>
    <w:rsid w:val="004D5311"/>
    <w:rsid w:val="004D5DCC"/>
    <w:rsid w:val="004D7E45"/>
    <w:rsid w:val="004E1F39"/>
    <w:rsid w:val="004F10AF"/>
    <w:rsid w:val="004F11A4"/>
    <w:rsid w:val="004F2389"/>
    <w:rsid w:val="004F304D"/>
    <w:rsid w:val="004F4290"/>
    <w:rsid w:val="004F61BE"/>
    <w:rsid w:val="004F66B1"/>
    <w:rsid w:val="0050785B"/>
    <w:rsid w:val="00510A97"/>
    <w:rsid w:val="00511C07"/>
    <w:rsid w:val="005125CB"/>
    <w:rsid w:val="00512EC4"/>
    <w:rsid w:val="0051725A"/>
    <w:rsid w:val="005173A6"/>
    <w:rsid w:val="00520354"/>
    <w:rsid w:val="00520BAA"/>
    <w:rsid w:val="005217D8"/>
    <w:rsid w:val="00525208"/>
    <w:rsid w:val="005257A5"/>
    <w:rsid w:val="005264C0"/>
    <w:rsid w:val="00526A8A"/>
    <w:rsid w:val="00527FB1"/>
    <w:rsid w:val="00530FE6"/>
    <w:rsid w:val="00531DF2"/>
    <w:rsid w:val="0053315C"/>
    <w:rsid w:val="00537476"/>
    <w:rsid w:val="005442EE"/>
    <w:rsid w:val="00545DA6"/>
    <w:rsid w:val="00547353"/>
    <w:rsid w:val="005474E7"/>
    <w:rsid w:val="005512A3"/>
    <w:rsid w:val="005578CE"/>
    <w:rsid w:val="00562781"/>
    <w:rsid w:val="00562B6C"/>
    <w:rsid w:val="0057271C"/>
    <w:rsid w:val="00572845"/>
    <w:rsid w:val="005879A2"/>
    <w:rsid w:val="00592772"/>
    <w:rsid w:val="0059574A"/>
    <w:rsid w:val="005A1B9B"/>
    <w:rsid w:val="005A2E79"/>
    <w:rsid w:val="005A6751"/>
    <w:rsid w:val="005B092E"/>
    <w:rsid w:val="005B152C"/>
    <w:rsid w:val="005B1EE0"/>
    <w:rsid w:val="005B2B24"/>
    <w:rsid w:val="005B4425"/>
    <w:rsid w:val="005B4B94"/>
    <w:rsid w:val="005C3EE8"/>
    <w:rsid w:val="005D2F2A"/>
    <w:rsid w:val="005D34F9"/>
    <w:rsid w:val="005D4190"/>
    <w:rsid w:val="005D67A3"/>
    <w:rsid w:val="005E2988"/>
    <w:rsid w:val="005E3085"/>
    <w:rsid w:val="005F0EB3"/>
    <w:rsid w:val="005F2D9B"/>
    <w:rsid w:val="005F51E1"/>
    <w:rsid w:val="00611677"/>
    <w:rsid w:val="00611C80"/>
    <w:rsid w:val="00620692"/>
    <w:rsid w:val="006242CA"/>
    <w:rsid w:val="00627507"/>
    <w:rsid w:val="00633717"/>
    <w:rsid w:val="006344E1"/>
    <w:rsid w:val="00643524"/>
    <w:rsid w:val="0064393B"/>
    <w:rsid w:val="006545C4"/>
    <w:rsid w:val="00661971"/>
    <w:rsid w:val="00661CE8"/>
    <w:rsid w:val="006623D9"/>
    <w:rsid w:val="006642A5"/>
    <w:rsid w:val="0066550C"/>
    <w:rsid w:val="00665BD2"/>
    <w:rsid w:val="006716F2"/>
    <w:rsid w:val="00682BF2"/>
    <w:rsid w:val="0068573E"/>
    <w:rsid w:val="006859CE"/>
    <w:rsid w:val="00691270"/>
    <w:rsid w:val="00694BA8"/>
    <w:rsid w:val="006A037C"/>
    <w:rsid w:val="006A36F4"/>
    <w:rsid w:val="006A406F"/>
    <w:rsid w:val="006A5D3A"/>
    <w:rsid w:val="006C23D4"/>
    <w:rsid w:val="006C7BB0"/>
    <w:rsid w:val="006D3237"/>
    <w:rsid w:val="006E2E37"/>
    <w:rsid w:val="006E3CF1"/>
    <w:rsid w:val="006E68A3"/>
    <w:rsid w:val="006E7E80"/>
    <w:rsid w:val="006F1C2D"/>
    <w:rsid w:val="006F48CA"/>
    <w:rsid w:val="006F64DD"/>
    <w:rsid w:val="006F712D"/>
    <w:rsid w:val="00715127"/>
    <w:rsid w:val="00715E8E"/>
    <w:rsid w:val="00723580"/>
    <w:rsid w:val="00723755"/>
    <w:rsid w:val="0073136C"/>
    <w:rsid w:val="00731F0F"/>
    <w:rsid w:val="0073202D"/>
    <w:rsid w:val="00733250"/>
    <w:rsid w:val="00741404"/>
    <w:rsid w:val="007449E5"/>
    <w:rsid w:val="0074750E"/>
    <w:rsid w:val="00747FF0"/>
    <w:rsid w:val="0075566E"/>
    <w:rsid w:val="00763602"/>
    <w:rsid w:val="00764D4E"/>
    <w:rsid w:val="00765A1F"/>
    <w:rsid w:val="00775B6D"/>
    <w:rsid w:val="00776D68"/>
    <w:rsid w:val="0078323E"/>
    <w:rsid w:val="007850EE"/>
    <w:rsid w:val="00785B95"/>
    <w:rsid w:val="00790E96"/>
    <w:rsid w:val="00793366"/>
    <w:rsid w:val="007A716F"/>
    <w:rsid w:val="007B270A"/>
    <w:rsid w:val="007B2A1E"/>
    <w:rsid w:val="007B4182"/>
    <w:rsid w:val="007C0695"/>
    <w:rsid w:val="007C419A"/>
    <w:rsid w:val="007C4CC8"/>
    <w:rsid w:val="007C5426"/>
    <w:rsid w:val="007C5798"/>
    <w:rsid w:val="007D1ECD"/>
    <w:rsid w:val="007D3701"/>
    <w:rsid w:val="007D4832"/>
    <w:rsid w:val="007D4E27"/>
    <w:rsid w:val="007E21B2"/>
    <w:rsid w:val="007E2C4E"/>
    <w:rsid w:val="007E2C8C"/>
    <w:rsid w:val="007E51BA"/>
    <w:rsid w:val="007E73D7"/>
    <w:rsid w:val="007F1905"/>
    <w:rsid w:val="007F27E4"/>
    <w:rsid w:val="007F3437"/>
    <w:rsid w:val="00802C64"/>
    <w:rsid w:val="00805E52"/>
    <w:rsid w:val="008061D0"/>
    <w:rsid w:val="00810B38"/>
    <w:rsid w:val="008204C7"/>
    <w:rsid w:val="00820992"/>
    <w:rsid w:val="00823602"/>
    <w:rsid w:val="008255F5"/>
    <w:rsid w:val="0083014E"/>
    <w:rsid w:val="00830D3C"/>
    <w:rsid w:val="0083214A"/>
    <w:rsid w:val="00834220"/>
    <w:rsid w:val="00845723"/>
    <w:rsid w:val="008519E7"/>
    <w:rsid w:val="00851EF9"/>
    <w:rsid w:val="008577FD"/>
    <w:rsid w:val="00860B03"/>
    <w:rsid w:val="0086497A"/>
    <w:rsid w:val="00867066"/>
    <w:rsid w:val="008713A1"/>
    <w:rsid w:val="00872584"/>
    <w:rsid w:val="00875142"/>
    <w:rsid w:val="008754AB"/>
    <w:rsid w:val="0088060C"/>
    <w:rsid w:val="00882CD5"/>
    <w:rsid w:val="00883151"/>
    <w:rsid w:val="00893576"/>
    <w:rsid w:val="00893E73"/>
    <w:rsid w:val="008B02DC"/>
    <w:rsid w:val="008B092C"/>
    <w:rsid w:val="008B2C85"/>
    <w:rsid w:val="008B57CE"/>
    <w:rsid w:val="008C26DE"/>
    <w:rsid w:val="008D2225"/>
    <w:rsid w:val="008D4752"/>
    <w:rsid w:val="008D5A13"/>
    <w:rsid w:val="008E271C"/>
    <w:rsid w:val="008E3A08"/>
    <w:rsid w:val="008E418E"/>
    <w:rsid w:val="008E5BC6"/>
    <w:rsid w:val="008E6217"/>
    <w:rsid w:val="008E6A25"/>
    <w:rsid w:val="008F2554"/>
    <w:rsid w:val="008F3AEC"/>
    <w:rsid w:val="008F4D80"/>
    <w:rsid w:val="008F5193"/>
    <w:rsid w:val="008F6B36"/>
    <w:rsid w:val="009013A7"/>
    <w:rsid w:val="009017FB"/>
    <w:rsid w:val="009017FC"/>
    <w:rsid w:val="0090506B"/>
    <w:rsid w:val="009050C9"/>
    <w:rsid w:val="009066FC"/>
    <w:rsid w:val="009140A3"/>
    <w:rsid w:val="009144A2"/>
    <w:rsid w:val="0091510C"/>
    <w:rsid w:val="009259AC"/>
    <w:rsid w:val="00926F38"/>
    <w:rsid w:val="00927BEB"/>
    <w:rsid w:val="009333DC"/>
    <w:rsid w:val="00934301"/>
    <w:rsid w:val="00936CD1"/>
    <w:rsid w:val="00941747"/>
    <w:rsid w:val="00941EFB"/>
    <w:rsid w:val="00947AFB"/>
    <w:rsid w:val="009505C8"/>
    <w:rsid w:val="00951AA3"/>
    <w:rsid w:val="00951D7D"/>
    <w:rsid w:val="00956D0C"/>
    <w:rsid w:val="009630C7"/>
    <w:rsid w:val="00971C71"/>
    <w:rsid w:val="00972B55"/>
    <w:rsid w:val="009743B7"/>
    <w:rsid w:val="0098228B"/>
    <w:rsid w:val="009828DA"/>
    <w:rsid w:val="0098410D"/>
    <w:rsid w:val="00985BAB"/>
    <w:rsid w:val="00986B3C"/>
    <w:rsid w:val="00996BE7"/>
    <w:rsid w:val="009A115C"/>
    <w:rsid w:val="009B1606"/>
    <w:rsid w:val="009B1B5F"/>
    <w:rsid w:val="009B3EF6"/>
    <w:rsid w:val="009B6673"/>
    <w:rsid w:val="009C11D4"/>
    <w:rsid w:val="009C191B"/>
    <w:rsid w:val="009C2AEC"/>
    <w:rsid w:val="009C2BD6"/>
    <w:rsid w:val="009E1F32"/>
    <w:rsid w:val="009E2CC2"/>
    <w:rsid w:val="009E47A2"/>
    <w:rsid w:val="009E776C"/>
    <w:rsid w:val="009E7A6F"/>
    <w:rsid w:val="009F4C8F"/>
    <w:rsid w:val="00A05588"/>
    <w:rsid w:val="00A15601"/>
    <w:rsid w:val="00A1726E"/>
    <w:rsid w:val="00A204CF"/>
    <w:rsid w:val="00A21D2B"/>
    <w:rsid w:val="00A22745"/>
    <w:rsid w:val="00A23D49"/>
    <w:rsid w:val="00A27004"/>
    <w:rsid w:val="00A308CE"/>
    <w:rsid w:val="00A30C29"/>
    <w:rsid w:val="00A34DD6"/>
    <w:rsid w:val="00A35683"/>
    <w:rsid w:val="00A36819"/>
    <w:rsid w:val="00A36989"/>
    <w:rsid w:val="00A43628"/>
    <w:rsid w:val="00A51D0F"/>
    <w:rsid w:val="00A54192"/>
    <w:rsid w:val="00A57147"/>
    <w:rsid w:val="00A5794B"/>
    <w:rsid w:val="00A6035E"/>
    <w:rsid w:val="00A6144C"/>
    <w:rsid w:val="00A66617"/>
    <w:rsid w:val="00A671F8"/>
    <w:rsid w:val="00A673A4"/>
    <w:rsid w:val="00A724AE"/>
    <w:rsid w:val="00A73329"/>
    <w:rsid w:val="00A82359"/>
    <w:rsid w:val="00A865D2"/>
    <w:rsid w:val="00A90BCD"/>
    <w:rsid w:val="00A91E13"/>
    <w:rsid w:val="00A94C20"/>
    <w:rsid w:val="00AA1B09"/>
    <w:rsid w:val="00AA227F"/>
    <w:rsid w:val="00AA3BC7"/>
    <w:rsid w:val="00AA754A"/>
    <w:rsid w:val="00AB099E"/>
    <w:rsid w:val="00AB4328"/>
    <w:rsid w:val="00AC4BD2"/>
    <w:rsid w:val="00AC4CD4"/>
    <w:rsid w:val="00AE0A2E"/>
    <w:rsid w:val="00AE354C"/>
    <w:rsid w:val="00AF101A"/>
    <w:rsid w:val="00AF4B07"/>
    <w:rsid w:val="00AF6186"/>
    <w:rsid w:val="00AF7A3A"/>
    <w:rsid w:val="00B02587"/>
    <w:rsid w:val="00B0711B"/>
    <w:rsid w:val="00B160DB"/>
    <w:rsid w:val="00B20836"/>
    <w:rsid w:val="00B235BB"/>
    <w:rsid w:val="00B27A44"/>
    <w:rsid w:val="00B30BBF"/>
    <w:rsid w:val="00B33C03"/>
    <w:rsid w:val="00B4421F"/>
    <w:rsid w:val="00B44E56"/>
    <w:rsid w:val="00B45917"/>
    <w:rsid w:val="00B46543"/>
    <w:rsid w:val="00B47D33"/>
    <w:rsid w:val="00B52BE0"/>
    <w:rsid w:val="00B54133"/>
    <w:rsid w:val="00B701ED"/>
    <w:rsid w:val="00B71579"/>
    <w:rsid w:val="00B748F7"/>
    <w:rsid w:val="00B8086C"/>
    <w:rsid w:val="00B81C58"/>
    <w:rsid w:val="00B861B4"/>
    <w:rsid w:val="00B86DFE"/>
    <w:rsid w:val="00B90990"/>
    <w:rsid w:val="00B922FF"/>
    <w:rsid w:val="00B9281E"/>
    <w:rsid w:val="00B93925"/>
    <w:rsid w:val="00B95187"/>
    <w:rsid w:val="00BA2D55"/>
    <w:rsid w:val="00BA71B1"/>
    <w:rsid w:val="00BB0637"/>
    <w:rsid w:val="00BB345F"/>
    <w:rsid w:val="00BB68EA"/>
    <w:rsid w:val="00BC0B99"/>
    <w:rsid w:val="00BC1C27"/>
    <w:rsid w:val="00BC6BBF"/>
    <w:rsid w:val="00BD1572"/>
    <w:rsid w:val="00BE14E3"/>
    <w:rsid w:val="00BE1E37"/>
    <w:rsid w:val="00BE3774"/>
    <w:rsid w:val="00BE41E5"/>
    <w:rsid w:val="00BF118F"/>
    <w:rsid w:val="00BF4109"/>
    <w:rsid w:val="00BF4CC3"/>
    <w:rsid w:val="00C04BDE"/>
    <w:rsid w:val="00C054C7"/>
    <w:rsid w:val="00C057B5"/>
    <w:rsid w:val="00C07D0E"/>
    <w:rsid w:val="00C115C3"/>
    <w:rsid w:val="00C15547"/>
    <w:rsid w:val="00C1672D"/>
    <w:rsid w:val="00C22687"/>
    <w:rsid w:val="00C26A92"/>
    <w:rsid w:val="00C26B1C"/>
    <w:rsid w:val="00C325A6"/>
    <w:rsid w:val="00C32E4D"/>
    <w:rsid w:val="00C333A0"/>
    <w:rsid w:val="00C36A81"/>
    <w:rsid w:val="00C41974"/>
    <w:rsid w:val="00C44A2C"/>
    <w:rsid w:val="00C44F09"/>
    <w:rsid w:val="00C477F7"/>
    <w:rsid w:val="00C502D1"/>
    <w:rsid w:val="00C509A6"/>
    <w:rsid w:val="00C53F4A"/>
    <w:rsid w:val="00C54125"/>
    <w:rsid w:val="00C55B54"/>
    <w:rsid w:val="00C6098E"/>
    <w:rsid w:val="00C6152C"/>
    <w:rsid w:val="00C733FC"/>
    <w:rsid w:val="00C74810"/>
    <w:rsid w:val="00C90972"/>
    <w:rsid w:val="00C90D68"/>
    <w:rsid w:val="00C90EB2"/>
    <w:rsid w:val="00C922EF"/>
    <w:rsid w:val="00C939FE"/>
    <w:rsid w:val="00CA4BDA"/>
    <w:rsid w:val="00CB13E3"/>
    <w:rsid w:val="00CB1F66"/>
    <w:rsid w:val="00CB232C"/>
    <w:rsid w:val="00CB2951"/>
    <w:rsid w:val="00CB4277"/>
    <w:rsid w:val="00CC5067"/>
    <w:rsid w:val="00CD11D3"/>
    <w:rsid w:val="00CD282B"/>
    <w:rsid w:val="00CD447B"/>
    <w:rsid w:val="00CD4C35"/>
    <w:rsid w:val="00CD7369"/>
    <w:rsid w:val="00CE0B0E"/>
    <w:rsid w:val="00CE3831"/>
    <w:rsid w:val="00CF2397"/>
    <w:rsid w:val="00CF24CF"/>
    <w:rsid w:val="00D00ABB"/>
    <w:rsid w:val="00D02EEC"/>
    <w:rsid w:val="00D03551"/>
    <w:rsid w:val="00D06A63"/>
    <w:rsid w:val="00D07E0E"/>
    <w:rsid w:val="00D10CD6"/>
    <w:rsid w:val="00D11478"/>
    <w:rsid w:val="00D15ED0"/>
    <w:rsid w:val="00D164BF"/>
    <w:rsid w:val="00D21B3E"/>
    <w:rsid w:val="00D21FED"/>
    <w:rsid w:val="00D23048"/>
    <w:rsid w:val="00D24251"/>
    <w:rsid w:val="00D26E72"/>
    <w:rsid w:val="00D343E2"/>
    <w:rsid w:val="00D361A2"/>
    <w:rsid w:val="00D37272"/>
    <w:rsid w:val="00D44C2E"/>
    <w:rsid w:val="00D45414"/>
    <w:rsid w:val="00D50A0A"/>
    <w:rsid w:val="00D53548"/>
    <w:rsid w:val="00D566BD"/>
    <w:rsid w:val="00D57A4D"/>
    <w:rsid w:val="00D60AA7"/>
    <w:rsid w:val="00D63F47"/>
    <w:rsid w:val="00D6435F"/>
    <w:rsid w:val="00D66471"/>
    <w:rsid w:val="00D70641"/>
    <w:rsid w:val="00D74888"/>
    <w:rsid w:val="00D75E28"/>
    <w:rsid w:val="00D772C2"/>
    <w:rsid w:val="00D8008E"/>
    <w:rsid w:val="00D82C45"/>
    <w:rsid w:val="00D908A8"/>
    <w:rsid w:val="00D977B6"/>
    <w:rsid w:val="00DA1223"/>
    <w:rsid w:val="00DA4A31"/>
    <w:rsid w:val="00DA7B04"/>
    <w:rsid w:val="00DB36C2"/>
    <w:rsid w:val="00DC169B"/>
    <w:rsid w:val="00DC2AB9"/>
    <w:rsid w:val="00DC63F0"/>
    <w:rsid w:val="00DD2115"/>
    <w:rsid w:val="00DD37EA"/>
    <w:rsid w:val="00DD6EE5"/>
    <w:rsid w:val="00DE3144"/>
    <w:rsid w:val="00DE386C"/>
    <w:rsid w:val="00DE4799"/>
    <w:rsid w:val="00DE4D35"/>
    <w:rsid w:val="00DE61AD"/>
    <w:rsid w:val="00DE75FC"/>
    <w:rsid w:val="00DF098B"/>
    <w:rsid w:val="00DF11C4"/>
    <w:rsid w:val="00DF210C"/>
    <w:rsid w:val="00DF4B6A"/>
    <w:rsid w:val="00E004C0"/>
    <w:rsid w:val="00E02C09"/>
    <w:rsid w:val="00E04D59"/>
    <w:rsid w:val="00E07DA1"/>
    <w:rsid w:val="00E123CB"/>
    <w:rsid w:val="00E13B09"/>
    <w:rsid w:val="00E15623"/>
    <w:rsid w:val="00E20E13"/>
    <w:rsid w:val="00E21D54"/>
    <w:rsid w:val="00E21DBC"/>
    <w:rsid w:val="00E25BA9"/>
    <w:rsid w:val="00E275D7"/>
    <w:rsid w:val="00E27DBE"/>
    <w:rsid w:val="00E32AB1"/>
    <w:rsid w:val="00E36C71"/>
    <w:rsid w:val="00E40404"/>
    <w:rsid w:val="00E4126A"/>
    <w:rsid w:val="00E42A06"/>
    <w:rsid w:val="00E459C6"/>
    <w:rsid w:val="00E47589"/>
    <w:rsid w:val="00E63EC7"/>
    <w:rsid w:val="00E64915"/>
    <w:rsid w:val="00E64D3A"/>
    <w:rsid w:val="00E661D4"/>
    <w:rsid w:val="00E70091"/>
    <w:rsid w:val="00E70D2E"/>
    <w:rsid w:val="00E720F5"/>
    <w:rsid w:val="00E76D47"/>
    <w:rsid w:val="00E827BC"/>
    <w:rsid w:val="00E849F7"/>
    <w:rsid w:val="00E86346"/>
    <w:rsid w:val="00E90302"/>
    <w:rsid w:val="00E91D05"/>
    <w:rsid w:val="00E95C1E"/>
    <w:rsid w:val="00E97396"/>
    <w:rsid w:val="00EA185E"/>
    <w:rsid w:val="00EA4791"/>
    <w:rsid w:val="00EA592A"/>
    <w:rsid w:val="00EB14E4"/>
    <w:rsid w:val="00EB217C"/>
    <w:rsid w:val="00EB32A5"/>
    <w:rsid w:val="00EB34ED"/>
    <w:rsid w:val="00EB447C"/>
    <w:rsid w:val="00EB7BE0"/>
    <w:rsid w:val="00EC315E"/>
    <w:rsid w:val="00ED077C"/>
    <w:rsid w:val="00ED10A9"/>
    <w:rsid w:val="00ED1190"/>
    <w:rsid w:val="00ED34AC"/>
    <w:rsid w:val="00ED6544"/>
    <w:rsid w:val="00EE0277"/>
    <w:rsid w:val="00EE2899"/>
    <w:rsid w:val="00EE3E00"/>
    <w:rsid w:val="00EE4642"/>
    <w:rsid w:val="00EE5DD2"/>
    <w:rsid w:val="00EF36C5"/>
    <w:rsid w:val="00EF3DB4"/>
    <w:rsid w:val="00F00A79"/>
    <w:rsid w:val="00F00D13"/>
    <w:rsid w:val="00F00E86"/>
    <w:rsid w:val="00F07C1E"/>
    <w:rsid w:val="00F105DB"/>
    <w:rsid w:val="00F132BC"/>
    <w:rsid w:val="00F13D80"/>
    <w:rsid w:val="00F15B4D"/>
    <w:rsid w:val="00F16A7C"/>
    <w:rsid w:val="00F16AAA"/>
    <w:rsid w:val="00F1709C"/>
    <w:rsid w:val="00F21161"/>
    <w:rsid w:val="00F218EF"/>
    <w:rsid w:val="00F21BC7"/>
    <w:rsid w:val="00F266A2"/>
    <w:rsid w:val="00F32269"/>
    <w:rsid w:val="00F35B7A"/>
    <w:rsid w:val="00F562FA"/>
    <w:rsid w:val="00F56A6F"/>
    <w:rsid w:val="00F5709C"/>
    <w:rsid w:val="00F60B85"/>
    <w:rsid w:val="00F6163E"/>
    <w:rsid w:val="00F64EF1"/>
    <w:rsid w:val="00F7213B"/>
    <w:rsid w:val="00F72B14"/>
    <w:rsid w:val="00F7349B"/>
    <w:rsid w:val="00F758AF"/>
    <w:rsid w:val="00F8765F"/>
    <w:rsid w:val="00F90767"/>
    <w:rsid w:val="00F9263C"/>
    <w:rsid w:val="00FA1637"/>
    <w:rsid w:val="00FA685B"/>
    <w:rsid w:val="00FB0C01"/>
    <w:rsid w:val="00FB5934"/>
    <w:rsid w:val="00FC18F2"/>
    <w:rsid w:val="00FC2A17"/>
    <w:rsid w:val="00FC38CF"/>
    <w:rsid w:val="00FC39E5"/>
    <w:rsid w:val="00FC3A78"/>
    <w:rsid w:val="00FD1005"/>
    <w:rsid w:val="00FD1F7F"/>
    <w:rsid w:val="00FD6C75"/>
    <w:rsid w:val="00FD7972"/>
    <w:rsid w:val="00FE0401"/>
    <w:rsid w:val="00FE3AE7"/>
    <w:rsid w:val="00FE71B3"/>
    <w:rsid w:val="00FF42C5"/>
    <w:rsid w:val="00FF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F482A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rsid w:val="00EA479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EA4791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EA4791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EA4791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EA4791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EA4791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EA4791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EA4791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EA4791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EA4791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EA47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EA4791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EA4791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EA4791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ny"/>
    <w:semiHidden/>
    <w:rsid w:val="00EA4791"/>
    <w:pPr>
      <w:jc w:val="both"/>
    </w:pPr>
  </w:style>
  <w:style w:type="character" w:styleId="Pogrubienie">
    <w:name w:val="Strong"/>
    <w:uiPriority w:val="98"/>
    <w:semiHidden/>
    <w:qFormat/>
    <w:rsid w:val="00EA4791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EA4791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EA4791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EA4791"/>
    <w:pPr>
      <w:spacing w:before="120" w:after="120"/>
      <w:ind w:left="425" w:firstLine="142"/>
    </w:pPr>
    <w:rPr>
      <w:sz w:val="20"/>
    </w:rPr>
  </w:style>
  <w:style w:type="paragraph" w:customStyle="1" w:styleId="DummyStyle">
    <w:name w:val="Dummy_Style"/>
    <w:aliases w:val="_Dummy"/>
    <w:basedOn w:val="Normalny"/>
    <w:semiHidden/>
    <w:qFormat/>
    <w:rsid w:val="00EA4791"/>
    <w:rPr>
      <w:color w:val="00B050"/>
      <w:sz w:val="22"/>
    </w:rPr>
  </w:style>
  <w:style w:type="paragraph" w:customStyle="1" w:styleId="JuList">
    <w:name w:val="Ju_List"/>
    <w:aliases w:val="_List_1"/>
    <w:basedOn w:val="NormalJustified"/>
    <w:uiPriority w:val="23"/>
    <w:qFormat/>
    <w:rsid w:val="00EA4791"/>
    <w:pPr>
      <w:numPr>
        <w:numId w:val="9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EA4791"/>
    <w:pPr>
      <w:numPr>
        <w:ilvl w:val="1"/>
        <w:numId w:val="9"/>
      </w:numPr>
    </w:pPr>
  </w:style>
  <w:style w:type="paragraph" w:customStyle="1" w:styleId="JuListi">
    <w:name w:val="Ju_List_i"/>
    <w:aliases w:val="_List_3"/>
    <w:basedOn w:val="NormalJustified"/>
    <w:uiPriority w:val="23"/>
    <w:rsid w:val="00EA4791"/>
    <w:pPr>
      <w:numPr>
        <w:ilvl w:val="2"/>
        <w:numId w:val="9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EA4791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EA4791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EA4791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EA4791"/>
    <w:pPr>
      <w:keepNext/>
      <w:keepLines/>
      <w:numPr>
        <w:numId w:val="4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BulletedSquare">
    <w:name w:val="ECHR_A1_Style_Bulleted_Square"/>
    <w:basedOn w:val="Bezlisty"/>
    <w:rsid w:val="00EA4791"/>
    <w:pPr>
      <w:numPr>
        <w:numId w:val="8"/>
      </w:numPr>
    </w:p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EA4791"/>
    <w:pPr>
      <w:tabs>
        <w:tab w:val="center" w:pos="851"/>
        <w:tab w:val="center" w:pos="6407"/>
      </w:tabs>
      <w:spacing w:before="720"/>
    </w:pPr>
  </w:style>
  <w:style w:type="paragraph" w:styleId="Tytu">
    <w:name w:val="Title"/>
    <w:basedOn w:val="Normalny"/>
    <w:next w:val="Normalny"/>
    <w:link w:val="TytuZnak"/>
    <w:uiPriority w:val="98"/>
    <w:semiHidden/>
    <w:qFormat/>
    <w:rsid w:val="00EA4791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EA4791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numbering" w:customStyle="1" w:styleId="ECHRA1StyleList">
    <w:name w:val="ECHR_A1_Style_List"/>
    <w:basedOn w:val="Bezlisty"/>
    <w:uiPriority w:val="99"/>
    <w:rsid w:val="00EA4791"/>
    <w:pPr>
      <w:numPr>
        <w:numId w:val="1"/>
      </w:numPr>
    </w:pPr>
  </w:style>
  <w:style w:type="numbering" w:customStyle="1" w:styleId="ECHRA1StyleNumberedList">
    <w:name w:val="ECHR_A1_Style_Numbered_List"/>
    <w:basedOn w:val="Bezlisty"/>
    <w:rsid w:val="00EA4791"/>
    <w:pPr>
      <w:numPr>
        <w:numId w:val="10"/>
      </w:numPr>
    </w:pPr>
  </w:style>
  <w:style w:type="table" w:customStyle="1" w:styleId="ECHRTable2019">
    <w:name w:val="ECHR_Table_2019"/>
    <w:basedOn w:val="Standardowy"/>
    <w:uiPriority w:val="99"/>
    <w:rsid w:val="00EA4791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7D3701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EA4791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EA4791"/>
    <w:pPr>
      <w:keepNext/>
      <w:keepLines/>
      <w:numPr>
        <w:ilvl w:val="1"/>
        <w:numId w:val="4"/>
      </w:numPr>
      <w:tabs>
        <w:tab w:val="left" w:pos="454"/>
        <w:tab w:val="left" w:pos="567"/>
        <w:tab w:val="left" w:pos="680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EA4791"/>
    <w:pPr>
      <w:keepNext/>
      <w:keepLines/>
      <w:numPr>
        <w:ilvl w:val="2"/>
        <w:numId w:val="4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EA4791"/>
    <w:pPr>
      <w:keepNext/>
      <w:keepLines/>
      <w:numPr>
        <w:ilvl w:val="3"/>
        <w:numId w:val="4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styleId="Nagwek">
    <w:name w:val="header"/>
    <w:basedOn w:val="Normalny"/>
    <w:link w:val="NagwekZnak"/>
    <w:uiPriority w:val="98"/>
    <w:semiHidden/>
    <w:rsid w:val="00EA47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EA4791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EA4791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a0">
    <w:name w:val="Ju_H_a"/>
    <w:aliases w:val="_Head_5"/>
    <w:basedOn w:val="Nagwek5"/>
    <w:next w:val="JuPara"/>
    <w:uiPriority w:val="17"/>
    <w:rsid w:val="00EA4791"/>
    <w:pPr>
      <w:keepNext/>
      <w:keepLines/>
      <w:numPr>
        <w:ilvl w:val="4"/>
        <w:numId w:val="4"/>
      </w:numPr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Nagwek6"/>
    <w:next w:val="JuPara"/>
    <w:uiPriority w:val="17"/>
    <w:rsid w:val="00EA4791"/>
    <w:pPr>
      <w:keepNext/>
      <w:keepLines/>
      <w:numPr>
        <w:ilvl w:val="5"/>
        <w:numId w:val="4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EA4791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EA4791"/>
    <w:pPr>
      <w:keepNext/>
      <w:keepLines/>
      <w:numPr>
        <w:ilvl w:val="6"/>
        <w:numId w:val="4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Nagwek8"/>
    <w:next w:val="JuPara"/>
    <w:uiPriority w:val="17"/>
    <w:rsid w:val="00EA4791"/>
    <w:pPr>
      <w:keepNext/>
      <w:keepLines/>
      <w:numPr>
        <w:ilvl w:val="7"/>
        <w:numId w:val="4"/>
      </w:numPr>
      <w:spacing w:before="100" w:beforeAutospacing="1" w:after="120"/>
      <w:jc w:val="both"/>
    </w:pPr>
    <w:rPr>
      <w:i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EA4791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EA4791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2"/>
    <w:qFormat/>
    <w:rsid w:val="00EA4791"/>
    <w:pPr>
      <w:tabs>
        <w:tab w:val="left" w:pos="567"/>
        <w:tab w:val="left" w:pos="1134"/>
      </w:tabs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EA4791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paragraph" w:customStyle="1" w:styleId="JuInitialled">
    <w:name w:val="Ju_Initialled"/>
    <w:aliases w:val="_Right"/>
    <w:basedOn w:val="Normalny"/>
    <w:uiPriority w:val="30"/>
    <w:qFormat/>
    <w:rsid w:val="00EA4791"/>
    <w:pPr>
      <w:tabs>
        <w:tab w:val="center" w:pos="6407"/>
      </w:tabs>
      <w:spacing w:before="720"/>
      <w:jc w:val="right"/>
    </w:p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EA4791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customStyle="1" w:styleId="JuITMark">
    <w:name w:val="Ju_ITMark"/>
    <w:aliases w:val="_ITMark"/>
    <w:basedOn w:val="Domylnaczcionkaakapitu"/>
    <w:uiPriority w:val="54"/>
    <w:qFormat/>
    <w:rsid w:val="00EA4791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customStyle="1" w:styleId="JUNAMES">
    <w:name w:val="JU_NAMES"/>
    <w:aliases w:val="_Ju_Names"/>
    <w:uiPriority w:val="33"/>
    <w:qFormat/>
    <w:rsid w:val="00EA4791"/>
    <w:rPr>
      <w:caps w:val="0"/>
      <w:smallCaps/>
    </w:rPr>
  </w:style>
  <w:style w:type="character" w:styleId="Wyrnieniedelikatne">
    <w:name w:val="Subtle Emphasis"/>
    <w:uiPriority w:val="98"/>
    <w:semiHidden/>
    <w:qFormat/>
    <w:rsid w:val="00EA4791"/>
    <w:rPr>
      <w:i/>
      <w:iCs/>
    </w:rPr>
  </w:style>
  <w:style w:type="table" w:customStyle="1" w:styleId="ECHRTable">
    <w:name w:val="ECHR_Table"/>
    <w:basedOn w:val="Standardowy"/>
    <w:rsid w:val="00EA4791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EA4791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character" w:styleId="Uwydatnienie">
    <w:name w:val="Emphasis"/>
    <w:uiPriority w:val="98"/>
    <w:semiHidden/>
    <w:qFormat/>
    <w:rsid w:val="00EA4791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EA4791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EA4791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EA479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EA47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EA4791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EA4791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EA4791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EA4791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EA4791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Hipercze">
    <w:name w:val="Hyperlink"/>
    <w:basedOn w:val="Domylnaczcionkaakapitu"/>
    <w:uiPriority w:val="98"/>
    <w:semiHidden/>
    <w:rsid w:val="00EA4791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EA4791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EA4791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EA4791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EA4791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EA4791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EA4791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EA4791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EA4791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EA4791"/>
    <w:rPr>
      <w:smallCaps/>
    </w:rPr>
  </w:style>
  <w:style w:type="table" w:styleId="Tabela-Siatka">
    <w:name w:val="Table Grid"/>
    <w:basedOn w:val="Standardowy"/>
    <w:uiPriority w:val="59"/>
    <w:semiHidden/>
    <w:rsid w:val="00EA4791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EA4791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EA4791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EA4791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EA4791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EA4791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EA4791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EA4791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EA4791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EA4791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EA4791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EA4791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EA4791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EA4791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EA4791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EA4791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numbering" w:styleId="111111">
    <w:name w:val="Outline List 2"/>
    <w:basedOn w:val="Bezlisty"/>
    <w:uiPriority w:val="99"/>
    <w:semiHidden/>
    <w:unhideWhenUsed/>
    <w:rsid w:val="00EA4791"/>
    <w:pPr>
      <w:numPr>
        <w:numId w:val="5"/>
      </w:numPr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EA4791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EA4791"/>
    <w:pPr>
      <w:numPr>
        <w:numId w:val="6"/>
      </w:numPr>
    </w:pPr>
  </w:style>
  <w:style w:type="table" w:customStyle="1" w:styleId="ECHRTableSimpleBox">
    <w:name w:val="ECHR_Table_Simple_Box"/>
    <w:basedOn w:val="Standardowy"/>
    <w:uiPriority w:val="99"/>
    <w:rsid w:val="00EA4791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EA4791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EA4791"/>
    <w:pPr>
      <w:numPr>
        <w:numId w:val="7"/>
      </w:numPr>
    </w:pPr>
  </w:style>
  <w:style w:type="table" w:customStyle="1" w:styleId="ECHRTableForInternalUse">
    <w:name w:val="ECHR_Table_For_Internal_Use"/>
    <w:basedOn w:val="Standardowy"/>
    <w:uiPriority w:val="99"/>
    <w:rsid w:val="00EA4791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EA4791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8"/>
    <w:semiHidden/>
    <w:rsid w:val="00EA4791"/>
  </w:style>
  <w:style w:type="paragraph" w:styleId="Tekstblokowy">
    <w:name w:val="Block Text"/>
    <w:basedOn w:val="Normalny"/>
    <w:uiPriority w:val="98"/>
    <w:semiHidden/>
    <w:rsid w:val="00EA4791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EA4791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8"/>
    <w:semiHidden/>
    <w:rsid w:val="00EA479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EA4791"/>
    <w:rPr>
      <w:sz w:val="24"/>
      <w:szCs w:val="24"/>
      <w:lang w:val="pl-PL"/>
    </w:rPr>
  </w:style>
  <w:style w:type="table" w:customStyle="1" w:styleId="ECHRTableOddBanded">
    <w:name w:val="ECHR_Table_Odd_Banded"/>
    <w:basedOn w:val="Standardowy"/>
    <w:uiPriority w:val="99"/>
    <w:rsid w:val="00EA4791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8"/>
    <w:semiHidden/>
    <w:rsid w:val="00EA4791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EA4791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ny"/>
    <w:next w:val="JuPara"/>
    <w:uiPriority w:val="32"/>
    <w:rsid w:val="00EA4791"/>
    <w:pPr>
      <w:ind w:firstLine="284"/>
    </w:pPr>
    <w:rPr>
      <w:b/>
    </w:rPr>
  </w:style>
  <w:style w:type="character" w:styleId="Numerstrony">
    <w:name w:val="page number"/>
    <w:uiPriority w:val="98"/>
    <w:semiHidden/>
    <w:rsid w:val="00EA4791"/>
    <w:rPr>
      <w:sz w:val="18"/>
    </w:rPr>
  </w:style>
  <w:style w:type="paragraph" w:styleId="Listapunktowana">
    <w:name w:val="List Bullet"/>
    <w:basedOn w:val="Normalny"/>
    <w:uiPriority w:val="98"/>
    <w:semiHidden/>
    <w:rsid w:val="00EA4791"/>
    <w:pPr>
      <w:numPr>
        <w:numId w:val="11"/>
      </w:numPr>
    </w:pPr>
  </w:style>
  <w:style w:type="paragraph" w:styleId="Listapunktowana3">
    <w:name w:val="List Bullet 3"/>
    <w:basedOn w:val="Normalny"/>
    <w:uiPriority w:val="98"/>
    <w:semiHidden/>
    <w:rsid w:val="00EA4791"/>
    <w:pPr>
      <w:numPr>
        <w:numId w:val="13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EA4791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EA479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EA4791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EA4791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EA4791"/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EA479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EA4791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EA4791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EA4791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EA479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EA4791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EA479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EA4791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EA4791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EA4791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EA4791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EA479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EA479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EA479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EA479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EA479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EA479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EA479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EA479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EA479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EA479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EA479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EA479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EA479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EA479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EA479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EA479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EA479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EA479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EA479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EA479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EA479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uiPriority w:val="99"/>
    <w:semiHidden/>
    <w:unhideWhenUsed/>
    <w:rsid w:val="00DE61AD"/>
    <w:rPr>
      <w:sz w:val="16"/>
      <w:szCs w:val="16"/>
    </w:rPr>
  </w:style>
  <w:style w:type="paragraph" w:styleId="Tekstkomentarza">
    <w:name w:val="annotation text"/>
    <w:link w:val="TekstkomentarzaZnak"/>
    <w:uiPriority w:val="99"/>
    <w:semiHidden/>
    <w:unhideWhenUsed/>
    <w:rsid w:val="00DE61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EA4791"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EA47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EA4791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EA479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EA479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EA479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EA479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EA479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EA479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EA479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EA4791"/>
  </w:style>
  <w:style w:type="character" w:customStyle="1" w:styleId="DataZnak">
    <w:name w:val="Data Znak"/>
    <w:basedOn w:val="Domylnaczcionkaakapitu"/>
    <w:link w:val="Data"/>
    <w:uiPriority w:val="98"/>
    <w:semiHidden/>
    <w:rsid w:val="00EA4791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EA4791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EA4791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EA4791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EA4791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EA4791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EA479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EA4791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EA4791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EA4791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EA4791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EA4791"/>
  </w:style>
  <w:style w:type="paragraph" w:styleId="HTML-adres">
    <w:name w:val="HTML Address"/>
    <w:basedOn w:val="Normalny"/>
    <w:link w:val="HTML-adresZnak"/>
    <w:uiPriority w:val="98"/>
    <w:semiHidden/>
    <w:rsid w:val="00EA4791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EA4791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EA4791"/>
    <w:rPr>
      <w:i/>
      <w:iCs/>
    </w:rPr>
  </w:style>
  <w:style w:type="character" w:styleId="HTML-kod">
    <w:name w:val="HTML Code"/>
    <w:basedOn w:val="Domylnaczcionkaakapitu"/>
    <w:uiPriority w:val="98"/>
    <w:semiHidden/>
    <w:rsid w:val="00EA4791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EA4791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EA4791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EA4791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EA4791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EA4791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EA4791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EA4791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EA4791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EA4791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EA4791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EA4791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EA4791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EA4791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EA4791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EA4791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EA4791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EA4791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EA4791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EA4791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EA4791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EA4791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EA4791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EA4791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EA4791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EA4791"/>
  </w:style>
  <w:style w:type="paragraph" w:styleId="Lista">
    <w:name w:val="List"/>
    <w:basedOn w:val="Normalny"/>
    <w:uiPriority w:val="98"/>
    <w:semiHidden/>
    <w:rsid w:val="00EA4791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EA4791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EA4791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EA4791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EA4791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EA4791"/>
    <w:pPr>
      <w:numPr>
        <w:numId w:val="12"/>
      </w:numPr>
      <w:contextualSpacing/>
    </w:pPr>
  </w:style>
  <w:style w:type="paragraph" w:styleId="Listapunktowana4">
    <w:name w:val="List Bullet 4"/>
    <w:basedOn w:val="Normalny"/>
    <w:uiPriority w:val="98"/>
    <w:semiHidden/>
    <w:rsid w:val="00EA4791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EA4791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EA4791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EA4791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EA4791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EA4791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EA4791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EA4791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EA4791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EA4791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EA4791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EA4791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EA479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EA4791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EA479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EA479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EA479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EA479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EA479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EA479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EA479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EA479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EA479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EA479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EA479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EA479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EA479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EA479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EA479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EA479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EA479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EA479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EA479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EA479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EA479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EA479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EA479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EA4791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EA4791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EA4791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EA4791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EA4791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EA4791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EA4791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EA4791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EA4791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EA4791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EA4791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EA4791"/>
    <w:rPr>
      <w:sz w:val="24"/>
      <w:szCs w:val="24"/>
      <w:lang w:val="pl-PL"/>
    </w:rPr>
  </w:style>
  <w:style w:type="table" w:styleId="Tabela-Efekty3W1">
    <w:name w:val="Table 3D effects 1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EA4791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EA4791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EA4791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EA4791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EA4791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EA4791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EA4791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EA4791"/>
  </w:style>
  <w:style w:type="table" w:styleId="Tabela-Profesjonalny">
    <w:name w:val="Table Professional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EA4791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EA4791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EA4791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EA4791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EA4791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64393B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EA4791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EA4791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EA4791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EA4791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EA4791"/>
    <w:pPr>
      <w:numPr>
        <w:numId w:val="8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EA4791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EA4791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EA4791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EA4791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EA4791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EA4791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EA4791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EA4791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EA4791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EA4791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EA4791"/>
    <w:pPr>
      <w:keepNext/>
      <w:keepLines/>
      <w:numPr>
        <w:ilvl w:val="8"/>
        <w:numId w:val="4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EA4791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EA4791"/>
    <w:pPr>
      <w:numPr>
        <w:numId w:val="10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EA4791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EA4791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EA4791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EA4791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EA4791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EA4791"/>
    <w:pPr>
      <w:numPr>
        <w:numId w:val="0"/>
      </w:numPr>
      <w:ind w:left="284"/>
    </w:pPr>
  </w:style>
  <w:style w:type="table" w:customStyle="1" w:styleId="ECHRTable2">
    <w:name w:val="ECHR_Table_2"/>
    <w:basedOn w:val="Standardowy"/>
    <w:uiPriority w:val="99"/>
    <w:rsid w:val="00EA4791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EA4791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EA4791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EA4791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EA4791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EA4791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EA4791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EA4791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EA4791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EA4791"/>
    <w:pPr>
      <w:outlineLvl w:val="0"/>
    </w:pPr>
  </w:style>
  <w:style w:type="paragraph" w:customStyle="1" w:styleId="ECHRPlaceholder">
    <w:name w:val="ECHR_Placeholder"/>
    <w:aliases w:val="_Placeholder"/>
    <w:basedOn w:val="JuSigned"/>
    <w:uiPriority w:val="31"/>
    <w:rsid w:val="00EA4791"/>
    <w:rPr>
      <w:color w:val="FFFFFF"/>
    </w:rPr>
  </w:style>
  <w:style w:type="paragraph" w:customStyle="1" w:styleId="ECHRSpacer">
    <w:name w:val="ECHR_Spacer"/>
    <w:aliases w:val="_Spacer"/>
    <w:basedOn w:val="Normalny"/>
    <w:uiPriority w:val="45"/>
    <w:semiHidden/>
    <w:rsid w:val="00EA4791"/>
    <w:rPr>
      <w:sz w:val="4"/>
    </w:rPr>
  </w:style>
  <w:style w:type="table" w:customStyle="1" w:styleId="ECHRTableGrey">
    <w:name w:val="ECHR_Table_Grey"/>
    <w:basedOn w:val="Standardowy"/>
    <w:uiPriority w:val="99"/>
    <w:rsid w:val="00EA4791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JuParaChar">
    <w:name w:val="Ju_Para Char"/>
    <w:aliases w:val="_Para Char"/>
    <w:link w:val="JuPara"/>
    <w:uiPriority w:val="4"/>
    <w:rsid w:val="0003434B"/>
    <w:rPr>
      <w:sz w:val="24"/>
      <w:szCs w:val="24"/>
      <w:lang w:val="pl-PL"/>
    </w:rPr>
  </w:style>
  <w:style w:type="table" w:customStyle="1" w:styleId="Tabelasiatki1jasna1">
    <w:name w:val="Tabela siatki 1 — jasna1"/>
    <w:basedOn w:val="Standardowy"/>
    <w:uiPriority w:val="46"/>
    <w:semiHidden/>
    <w:rsid w:val="00EA4791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11">
    <w:name w:val="Tabela siatki 1 — jasna — akcent 11"/>
    <w:basedOn w:val="Standardowy"/>
    <w:uiPriority w:val="46"/>
    <w:semiHidden/>
    <w:rsid w:val="00EA4791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21">
    <w:name w:val="Tabela siatki 1 — jasna — akcent 21"/>
    <w:basedOn w:val="Standardowy"/>
    <w:uiPriority w:val="46"/>
    <w:semiHidden/>
    <w:rsid w:val="00EA4791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31">
    <w:name w:val="Tabela siatki 1 — jasna — akcent 31"/>
    <w:basedOn w:val="Standardowy"/>
    <w:uiPriority w:val="46"/>
    <w:semiHidden/>
    <w:rsid w:val="00EA4791"/>
    <w:tblPr>
      <w:tblStyleRowBandSize w:val="1"/>
      <w:tblStyleColBandSize w:val="1"/>
      <w:tblBorders>
        <w:top w:val="single" w:sz="4" w:space="0" w:color="BFBFBF" w:themeColor="accent3" w:themeTint="66"/>
        <w:left w:val="single" w:sz="4" w:space="0" w:color="BFBFBF" w:themeColor="accent3" w:themeTint="66"/>
        <w:bottom w:val="single" w:sz="4" w:space="0" w:color="BFBFBF" w:themeColor="accent3" w:themeTint="66"/>
        <w:right w:val="single" w:sz="4" w:space="0" w:color="BFBFBF" w:themeColor="accent3" w:themeTint="66"/>
        <w:insideH w:val="single" w:sz="4" w:space="0" w:color="BFBFBF" w:themeColor="accent3" w:themeTint="66"/>
        <w:insideV w:val="single" w:sz="4" w:space="0" w:color="BFBFB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41">
    <w:name w:val="Tabela siatki 1 — jasna — akcent 41"/>
    <w:basedOn w:val="Standardowy"/>
    <w:uiPriority w:val="46"/>
    <w:semiHidden/>
    <w:rsid w:val="00EA4791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51">
    <w:name w:val="Tabela siatki 1 — jasna — akcent 51"/>
    <w:basedOn w:val="Standardowy"/>
    <w:uiPriority w:val="46"/>
    <w:semiHidden/>
    <w:rsid w:val="00EA4791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61">
    <w:name w:val="Tabela siatki 1 — jasna — akcent 61"/>
    <w:basedOn w:val="Standardowy"/>
    <w:uiPriority w:val="46"/>
    <w:semiHidden/>
    <w:rsid w:val="00EA4791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21">
    <w:name w:val="Tabela siatki 21"/>
    <w:basedOn w:val="Standardowy"/>
    <w:uiPriority w:val="47"/>
    <w:semiHidden/>
    <w:rsid w:val="00EA479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siatki2akcent11">
    <w:name w:val="Tabela siatki 2 — akcent 11"/>
    <w:basedOn w:val="Standardowy"/>
    <w:uiPriority w:val="47"/>
    <w:semiHidden/>
    <w:rsid w:val="00EA4791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siatki2akcent21">
    <w:name w:val="Tabela siatki 2 — akcent 21"/>
    <w:basedOn w:val="Standardowy"/>
    <w:uiPriority w:val="47"/>
    <w:semiHidden/>
    <w:rsid w:val="00EA4791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siatki2akcent31">
    <w:name w:val="Tabela siatki 2 — akcent 31"/>
    <w:basedOn w:val="Standardowy"/>
    <w:uiPriority w:val="47"/>
    <w:semiHidden/>
    <w:rsid w:val="00EA4791"/>
    <w:tblPr>
      <w:tblStyleRowBandSize w:val="1"/>
      <w:tblStyleColBandSize w:val="1"/>
      <w:tblBorders>
        <w:top w:val="single" w:sz="2" w:space="0" w:color="9F9F9F" w:themeColor="accent3" w:themeTint="99"/>
        <w:bottom w:val="single" w:sz="2" w:space="0" w:color="9F9F9F" w:themeColor="accent3" w:themeTint="99"/>
        <w:insideH w:val="single" w:sz="2" w:space="0" w:color="9F9F9F" w:themeColor="accent3" w:themeTint="99"/>
        <w:insideV w:val="single" w:sz="2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3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siatki2akcent41">
    <w:name w:val="Tabela siatki 2 — akcent 41"/>
    <w:basedOn w:val="Standardowy"/>
    <w:uiPriority w:val="47"/>
    <w:semiHidden/>
    <w:rsid w:val="00EA4791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siatki2akcent51">
    <w:name w:val="Tabela siatki 2 — akcent 51"/>
    <w:basedOn w:val="Standardowy"/>
    <w:uiPriority w:val="47"/>
    <w:semiHidden/>
    <w:rsid w:val="00EA4791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siatki2akcent61">
    <w:name w:val="Tabela siatki 2 — akcent 61"/>
    <w:basedOn w:val="Standardowy"/>
    <w:uiPriority w:val="47"/>
    <w:semiHidden/>
    <w:rsid w:val="00EA4791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siatki31">
    <w:name w:val="Tabela siatki 31"/>
    <w:basedOn w:val="Standardowy"/>
    <w:uiPriority w:val="48"/>
    <w:semiHidden/>
    <w:rsid w:val="00EA479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elasiatki3akcent11">
    <w:name w:val="Tabela siatki 3 — akcent 11"/>
    <w:basedOn w:val="Standardowy"/>
    <w:uiPriority w:val="48"/>
    <w:semiHidden/>
    <w:rsid w:val="00EA4791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customStyle="1" w:styleId="Tabelasiatki3akcent21">
    <w:name w:val="Tabela siatki 3 — akcent 21"/>
    <w:basedOn w:val="Standardowy"/>
    <w:uiPriority w:val="48"/>
    <w:semiHidden/>
    <w:rsid w:val="00EA4791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customStyle="1" w:styleId="Tabelasiatki3akcent31">
    <w:name w:val="Tabela siatki 3 — akcent 31"/>
    <w:basedOn w:val="Standardowy"/>
    <w:uiPriority w:val="48"/>
    <w:semiHidden/>
    <w:rsid w:val="00EA4791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customStyle="1" w:styleId="Tabelasiatki3akcent41">
    <w:name w:val="Tabela siatki 3 — akcent 41"/>
    <w:basedOn w:val="Standardowy"/>
    <w:uiPriority w:val="48"/>
    <w:semiHidden/>
    <w:rsid w:val="00EA4791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customStyle="1" w:styleId="Tabelasiatki3akcent51">
    <w:name w:val="Tabela siatki 3 — akcent 51"/>
    <w:basedOn w:val="Standardowy"/>
    <w:uiPriority w:val="48"/>
    <w:semiHidden/>
    <w:rsid w:val="00EA4791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Tabelasiatki3akcent61">
    <w:name w:val="Tabela siatki 3 — akcent 61"/>
    <w:basedOn w:val="Standardowy"/>
    <w:uiPriority w:val="48"/>
    <w:semiHidden/>
    <w:rsid w:val="00EA4791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customStyle="1" w:styleId="Tabelasiatki41">
    <w:name w:val="Tabela siatki 41"/>
    <w:basedOn w:val="Standardowy"/>
    <w:uiPriority w:val="49"/>
    <w:semiHidden/>
    <w:rsid w:val="00EA479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siatki4akcent11">
    <w:name w:val="Tabela siatki 4 — akcent 11"/>
    <w:basedOn w:val="Standardowy"/>
    <w:uiPriority w:val="49"/>
    <w:semiHidden/>
    <w:rsid w:val="00EA4791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siatki4akcent21">
    <w:name w:val="Tabela siatki 4 — akcent 21"/>
    <w:basedOn w:val="Standardowy"/>
    <w:uiPriority w:val="49"/>
    <w:semiHidden/>
    <w:rsid w:val="00EA4791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siatki4akcent31">
    <w:name w:val="Tabela siatki 4 — akcent 31"/>
    <w:basedOn w:val="Standardowy"/>
    <w:uiPriority w:val="49"/>
    <w:semiHidden/>
    <w:rsid w:val="00EA4791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siatki4akcent41">
    <w:name w:val="Tabela siatki 4 — akcent 41"/>
    <w:basedOn w:val="Standardowy"/>
    <w:uiPriority w:val="49"/>
    <w:semiHidden/>
    <w:rsid w:val="00EA4791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siatki4akcent51">
    <w:name w:val="Tabela siatki 4 — akcent 51"/>
    <w:basedOn w:val="Standardowy"/>
    <w:uiPriority w:val="49"/>
    <w:semiHidden/>
    <w:rsid w:val="00EA4791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siatki4akcent61">
    <w:name w:val="Tabela siatki 4 — akcent 61"/>
    <w:basedOn w:val="Standardowy"/>
    <w:uiPriority w:val="49"/>
    <w:semiHidden/>
    <w:rsid w:val="00EA4791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siatki5ciemna1">
    <w:name w:val="Tabela siatki 5 — ciemna1"/>
    <w:basedOn w:val="Standardowy"/>
    <w:uiPriority w:val="50"/>
    <w:semiHidden/>
    <w:rsid w:val="00EA4791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Tabelasiatki5ciemnaakcent11">
    <w:name w:val="Tabela siatki 5 — ciemna — akcent 11"/>
    <w:basedOn w:val="Standardowy"/>
    <w:uiPriority w:val="50"/>
    <w:semiHidden/>
    <w:rsid w:val="00EA4791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customStyle="1" w:styleId="Tabelasiatki5ciemnaakcent21">
    <w:name w:val="Tabela siatki 5 — ciemna — akcent 21"/>
    <w:basedOn w:val="Standardowy"/>
    <w:uiPriority w:val="50"/>
    <w:semiHidden/>
    <w:rsid w:val="00EA4791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customStyle="1" w:styleId="Tabelasiatki5ciemnaakcent31">
    <w:name w:val="Tabela siatki 5 — ciemna — akcent 31"/>
    <w:basedOn w:val="Standardowy"/>
    <w:uiPriority w:val="50"/>
    <w:semiHidden/>
    <w:rsid w:val="00EA4791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BFBFBF" w:themeFill="accent3" w:themeFillTint="66"/>
      </w:tcPr>
    </w:tblStylePr>
  </w:style>
  <w:style w:type="table" w:customStyle="1" w:styleId="Tabelasiatki5ciemnaakcent41">
    <w:name w:val="Tabela siatki 5 — ciemna — akcent 41"/>
    <w:basedOn w:val="Standardowy"/>
    <w:uiPriority w:val="50"/>
    <w:semiHidden/>
    <w:rsid w:val="00EA4791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customStyle="1" w:styleId="Tabelasiatki5ciemnaakcent51">
    <w:name w:val="Tabela siatki 5 — ciemna — akcent 51"/>
    <w:basedOn w:val="Standardowy"/>
    <w:uiPriority w:val="50"/>
    <w:semiHidden/>
    <w:rsid w:val="00EA4791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customStyle="1" w:styleId="Tabelasiatki5ciemnaakcent61">
    <w:name w:val="Tabela siatki 5 — ciemna — akcent 61"/>
    <w:basedOn w:val="Standardowy"/>
    <w:uiPriority w:val="50"/>
    <w:semiHidden/>
    <w:rsid w:val="00EA4791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customStyle="1" w:styleId="Tabelasiatki6kolorowa1">
    <w:name w:val="Tabela siatki 6 — kolorowa1"/>
    <w:basedOn w:val="Standardowy"/>
    <w:uiPriority w:val="51"/>
    <w:semiHidden/>
    <w:rsid w:val="00EA4791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siatki6kolorowaakcent11">
    <w:name w:val="Tabela siatki 6 — kolorowa — akcent 11"/>
    <w:basedOn w:val="Standardowy"/>
    <w:uiPriority w:val="51"/>
    <w:semiHidden/>
    <w:rsid w:val="00EA4791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siatki6kolorowaakcent21">
    <w:name w:val="Tabela siatki 6 — kolorowa — akcent 21"/>
    <w:basedOn w:val="Standardowy"/>
    <w:uiPriority w:val="51"/>
    <w:semiHidden/>
    <w:rsid w:val="00EA4791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siatki6kolorowaakcent31">
    <w:name w:val="Tabela siatki 6 — kolorowa — akcent 31"/>
    <w:basedOn w:val="Standardowy"/>
    <w:uiPriority w:val="51"/>
    <w:semiHidden/>
    <w:rsid w:val="00EA4791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siatki6kolorowaakcent41">
    <w:name w:val="Tabela siatki 6 — kolorowa — akcent 41"/>
    <w:basedOn w:val="Standardowy"/>
    <w:uiPriority w:val="51"/>
    <w:semiHidden/>
    <w:rsid w:val="00EA4791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siatki6kolorowaakcent51">
    <w:name w:val="Tabela siatki 6 — kolorowa — akcent 51"/>
    <w:basedOn w:val="Standardowy"/>
    <w:uiPriority w:val="51"/>
    <w:semiHidden/>
    <w:rsid w:val="00EA4791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siatki6kolorowaakcent61">
    <w:name w:val="Tabela siatki 6 — kolorowa — akcent 61"/>
    <w:basedOn w:val="Standardowy"/>
    <w:uiPriority w:val="51"/>
    <w:semiHidden/>
    <w:rsid w:val="00EA4791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siatki7kolorowa1">
    <w:name w:val="Tabela siatki 7 — kolorowa1"/>
    <w:basedOn w:val="Standardowy"/>
    <w:uiPriority w:val="52"/>
    <w:semiHidden/>
    <w:rsid w:val="00EA4791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elasiatki7kolorowaakcent11">
    <w:name w:val="Tabela siatki 7 — kolorowa — akcent 11"/>
    <w:basedOn w:val="Standardowy"/>
    <w:uiPriority w:val="52"/>
    <w:semiHidden/>
    <w:rsid w:val="00EA4791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customStyle="1" w:styleId="Tabelasiatki7kolorowaakcent21">
    <w:name w:val="Tabela siatki 7 — kolorowa — akcent 21"/>
    <w:basedOn w:val="Standardowy"/>
    <w:uiPriority w:val="52"/>
    <w:semiHidden/>
    <w:rsid w:val="00EA4791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customStyle="1" w:styleId="Tabelasiatki7kolorowaakcent31">
    <w:name w:val="Tabela siatki 7 — kolorowa — akcent 31"/>
    <w:basedOn w:val="Standardowy"/>
    <w:uiPriority w:val="52"/>
    <w:semiHidden/>
    <w:rsid w:val="00EA4791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customStyle="1" w:styleId="Tabelasiatki7kolorowaakcent41">
    <w:name w:val="Tabela siatki 7 — kolorowa — akcent 41"/>
    <w:basedOn w:val="Standardowy"/>
    <w:uiPriority w:val="52"/>
    <w:semiHidden/>
    <w:rsid w:val="00EA4791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customStyle="1" w:styleId="Tabelasiatki7kolorowaakcent51">
    <w:name w:val="Tabela siatki 7 — kolorowa — akcent 51"/>
    <w:basedOn w:val="Standardowy"/>
    <w:uiPriority w:val="52"/>
    <w:semiHidden/>
    <w:rsid w:val="00EA4791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Tabelasiatki7kolorowaakcent61">
    <w:name w:val="Tabela siatki 7 — kolorowa — akcent 61"/>
    <w:basedOn w:val="Standardowy"/>
    <w:uiPriority w:val="52"/>
    <w:semiHidden/>
    <w:rsid w:val="00EA4791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EA4791"/>
    <w:rPr>
      <w:color w:val="2B579A"/>
      <w:shd w:val="clear" w:color="auto" w:fill="E1DFDD"/>
    </w:rPr>
  </w:style>
  <w:style w:type="table" w:customStyle="1" w:styleId="Tabelalisty1jasna1">
    <w:name w:val="Tabela listy 1 — jasna1"/>
    <w:basedOn w:val="Standardowy"/>
    <w:uiPriority w:val="46"/>
    <w:semiHidden/>
    <w:rsid w:val="00EA479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listy1jasnaakcent11">
    <w:name w:val="Tabela listy 1 — jasna — akcent 11"/>
    <w:basedOn w:val="Standardowy"/>
    <w:uiPriority w:val="46"/>
    <w:semiHidden/>
    <w:rsid w:val="00EA479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listy1jasnaakcent21">
    <w:name w:val="Tabela listy 1 — jasna — akcent 21"/>
    <w:basedOn w:val="Standardowy"/>
    <w:uiPriority w:val="46"/>
    <w:semiHidden/>
    <w:rsid w:val="00EA479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listy1jasnaakcent31">
    <w:name w:val="Tabela listy 1 — jasna — akcent 31"/>
    <w:basedOn w:val="Standardowy"/>
    <w:uiPriority w:val="46"/>
    <w:semiHidden/>
    <w:rsid w:val="00EA479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listy1jasnaakcent41">
    <w:name w:val="Tabela listy 1 — jasna — akcent 41"/>
    <w:basedOn w:val="Standardowy"/>
    <w:uiPriority w:val="46"/>
    <w:semiHidden/>
    <w:rsid w:val="00EA479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listy1jasnaakcent51">
    <w:name w:val="Tabela listy 1 — jasna — akcent 51"/>
    <w:basedOn w:val="Standardowy"/>
    <w:uiPriority w:val="46"/>
    <w:semiHidden/>
    <w:rsid w:val="00EA479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listy1jasnaakcent61">
    <w:name w:val="Tabela listy 1 — jasna — akcent 61"/>
    <w:basedOn w:val="Standardowy"/>
    <w:uiPriority w:val="46"/>
    <w:semiHidden/>
    <w:rsid w:val="00EA479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listy21">
    <w:name w:val="Tabela listy 21"/>
    <w:basedOn w:val="Standardowy"/>
    <w:uiPriority w:val="47"/>
    <w:semiHidden/>
    <w:rsid w:val="00EA479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listy2akcent11">
    <w:name w:val="Tabela listy 2 — akcent 11"/>
    <w:basedOn w:val="Standardowy"/>
    <w:uiPriority w:val="47"/>
    <w:semiHidden/>
    <w:rsid w:val="00EA4791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listy2akcent21">
    <w:name w:val="Tabela listy 2 — akcent 21"/>
    <w:basedOn w:val="Standardowy"/>
    <w:uiPriority w:val="47"/>
    <w:semiHidden/>
    <w:rsid w:val="00EA4791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listy2akcent31">
    <w:name w:val="Tabela listy 2 — akcent 31"/>
    <w:basedOn w:val="Standardowy"/>
    <w:uiPriority w:val="47"/>
    <w:semiHidden/>
    <w:rsid w:val="00EA4791"/>
    <w:tblPr>
      <w:tblStyleRowBandSize w:val="1"/>
      <w:tblStyleColBandSize w:val="1"/>
      <w:tblBorders>
        <w:top w:val="single" w:sz="4" w:space="0" w:color="9F9F9F" w:themeColor="accent3" w:themeTint="99"/>
        <w:bottom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listy2akcent41">
    <w:name w:val="Tabela listy 2 — akcent 41"/>
    <w:basedOn w:val="Standardowy"/>
    <w:uiPriority w:val="47"/>
    <w:semiHidden/>
    <w:rsid w:val="00EA4791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listy2akcent51">
    <w:name w:val="Tabela listy 2 — akcent 51"/>
    <w:basedOn w:val="Standardowy"/>
    <w:uiPriority w:val="47"/>
    <w:semiHidden/>
    <w:rsid w:val="00EA4791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listy2akcent61">
    <w:name w:val="Tabela listy 2 — akcent 61"/>
    <w:basedOn w:val="Standardowy"/>
    <w:uiPriority w:val="47"/>
    <w:semiHidden/>
    <w:rsid w:val="00EA4791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listy31">
    <w:name w:val="Tabela listy 31"/>
    <w:basedOn w:val="Standardowy"/>
    <w:uiPriority w:val="48"/>
    <w:semiHidden/>
    <w:rsid w:val="00EA479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Tabelalisty3akcent11">
    <w:name w:val="Tabela listy 3 — akcent 11"/>
    <w:basedOn w:val="Standardowy"/>
    <w:uiPriority w:val="48"/>
    <w:semiHidden/>
    <w:rsid w:val="00EA4791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customStyle="1" w:styleId="Tabelalisty3akcent21">
    <w:name w:val="Tabela listy 3 — akcent 21"/>
    <w:basedOn w:val="Standardowy"/>
    <w:uiPriority w:val="48"/>
    <w:semiHidden/>
    <w:rsid w:val="00EA4791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customStyle="1" w:styleId="Tabelalisty3akcent31">
    <w:name w:val="Tabela listy 3 — akcent 31"/>
    <w:basedOn w:val="Standardowy"/>
    <w:uiPriority w:val="48"/>
    <w:semiHidden/>
    <w:rsid w:val="00EA4791"/>
    <w:tblPr>
      <w:tblStyleRowBandSize w:val="1"/>
      <w:tblStyleColBandSize w:val="1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3"/>
          <w:right w:val="single" w:sz="4" w:space="0" w:color="5F5F5F" w:themeColor="accent3"/>
        </w:tcBorders>
      </w:tcPr>
    </w:tblStylePr>
    <w:tblStylePr w:type="band1Horz">
      <w:tblPr/>
      <w:tcPr>
        <w:tcBorders>
          <w:top w:val="single" w:sz="4" w:space="0" w:color="5F5F5F" w:themeColor="accent3"/>
          <w:bottom w:val="single" w:sz="4" w:space="0" w:color="5F5F5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3"/>
          <w:left w:val="nil"/>
        </w:tcBorders>
      </w:tcPr>
    </w:tblStylePr>
    <w:tblStylePr w:type="swCell">
      <w:tblPr/>
      <w:tcPr>
        <w:tcBorders>
          <w:top w:val="double" w:sz="4" w:space="0" w:color="5F5F5F" w:themeColor="accent3"/>
          <w:right w:val="nil"/>
        </w:tcBorders>
      </w:tcPr>
    </w:tblStylePr>
  </w:style>
  <w:style w:type="table" w:customStyle="1" w:styleId="Tabelalisty3akcent41">
    <w:name w:val="Tabela listy 3 — akcent 41"/>
    <w:basedOn w:val="Standardowy"/>
    <w:uiPriority w:val="48"/>
    <w:semiHidden/>
    <w:rsid w:val="00EA4791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customStyle="1" w:styleId="Tabelalisty3akcent51">
    <w:name w:val="Tabela listy 3 — akcent 51"/>
    <w:basedOn w:val="Standardowy"/>
    <w:uiPriority w:val="48"/>
    <w:semiHidden/>
    <w:rsid w:val="00EA4791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customStyle="1" w:styleId="Tabelalisty3akcent61">
    <w:name w:val="Tabela listy 3 — akcent 61"/>
    <w:basedOn w:val="Standardowy"/>
    <w:uiPriority w:val="48"/>
    <w:semiHidden/>
    <w:rsid w:val="00EA4791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customStyle="1" w:styleId="Tabelalisty41">
    <w:name w:val="Tabela listy 41"/>
    <w:basedOn w:val="Standardowy"/>
    <w:uiPriority w:val="49"/>
    <w:semiHidden/>
    <w:rsid w:val="00EA479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listy4akcent11">
    <w:name w:val="Tabela listy 4 — akcent 11"/>
    <w:basedOn w:val="Standardowy"/>
    <w:uiPriority w:val="49"/>
    <w:semiHidden/>
    <w:rsid w:val="00EA4791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listy4akcent21">
    <w:name w:val="Tabela listy 4 — akcent 21"/>
    <w:basedOn w:val="Standardowy"/>
    <w:uiPriority w:val="49"/>
    <w:semiHidden/>
    <w:rsid w:val="00EA4791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listy4akcent31">
    <w:name w:val="Tabela listy 4 — akcent 31"/>
    <w:basedOn w:val="Standardowy"/>
    <w:uiPriority w:val="49"/>
    <w:semiHidden/>
    <w:rsid w:val="00EA4791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listy4akcent41">
    <w:name w:val="Tabela listy 4 — akcent 41"/>
    <w:basedOn w:val="Standardowy"/>
    <w:uiPriority w:val="49"/>
    <w:semiHidden/>
    <w:rsid w:val="00EA4791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listy4akcent51">
    <w:name w:val="Tabela listy 4 — akcent 51"/>
    <w:basedOn w:val="Standardowy"/>
    <w:uiPriority w:val="49"/>
    <w:semiHidden/>
    <w:rsid w:val="00EA4791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listy4akcent61">
    <w:name w:val="Tabela listy 4 — akcent 61"/>
    <w:basedOn w:val="Standardowy"/>
    <w:uiPriority w:val="49"/>
    <w:semiHidden/>
    <w:rsid w:val="00EA4791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listy5ciemna1">
    <w:name w:val="Tabela listy 5 — ciemna1"/>
    <w:basedOn w:val="Standardowy"/>
    <w:uiPriority w:val="50"/>
    <w:semiHidden/>
    <w:rsid w:val="00EA4791"/>
    <w:rPr>
      <w:color w:val="0072BC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11">
    <w:name w:val="Tabela listy 5 — ciemna — akcent 11"/>
    <w:basedOn w:val="Standardowy"/>
    <w:uiPriority w:val="50"/>
    <w:semiHidden/>
    <w:rsid w:val="00EA4791"/>
    <w:rPr>
      <w:color w:val="0072BC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21">
    <w:name w:val="Tabela listy 5 — ciemna — akcent 21"/>
    <w:basedOn w:val="Standardowy"/>
    <w:uiPriority w:val="50"/>
    <w:semiHidden/>
    <w:rsid w:val="00EA4791"/>
    <w:rPr>
      <w:color w:val="0072BC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31">
    <w:name w:val="Tabela listy 5 — ciemna — akcent 31"/>
    <w:basedOn w:val="Standardowy"/>
    <w:uiPriority w:val="50"/>
    <w:semiHidden/>
    <w:rsid w:val="00EA4791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3"/>
        <w:left w:val="single" w:sz="24" w:space="0" w:color="5F5F5F" w:themeColor="accent3"/>
        <w:bottom w:val="single" w:sz="24" w:space="0" w:color="5F5F5F" w:themeColor="accent3"/>
        <w:right w:val="single" w:sz="24" w:space="0" w:color="5F5F5F" w:themeColor="accent3"/>
      </w:tblBorders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41">
    <w:name w:val="Tabela listy 5 — ciemna — akcent 41"/>
    <w:basedOn w:val="Standardowy"/>
    <w:uiPriority w:val="50"/>
    <w:semiHidden/>
    <w:rsid w:val="00EA4791"/>
    <w:rPr>
      <w:color w:val="0072BC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51">
    <w:name w:val="Tabela listy 5 — ciemna — akcent 51"/>
    <w:basedOn w:val="Standardowy"/>
    <w:uiPriority w:val="50"/>
    <w:semiHidden/>
    <w:rsid w:val="00EA4791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61">
    <w:name w:val="Tabela listy 5 — ciemna — akcent 61"/>
    <w:basedOn w:val="Standardowy"/>
    <w:uiPriority w:val="50"/>
    <w:semiHidden/>
    <w:rsid w:val="00EA4791"/>
    <w:rPr>
      <w:color w:val="0072BC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6kolorowa1">
    <w:name w:val="Tabela listy 6 — kolorowa1"/>
    <w:basedOn w:val="Standardowy"/>
    <w:uiPriority w:val="51"/>
    <w:semiHidden/>
    <w:rsid w:val="00EA4791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listy6kolorowaakcent11">
    <w:name w:val="Tabela listy 6 — kolorowa — akcent 11"/>
    <w:basedOn w:val="Standardowy"/>
    <w:uiPriority w:val="51"/>
    <w:semiHidden/>
    <w:rsid w:val="00EA4791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listy6kolorowaakcent21">
    <w:name w:val="Tabela listy 6 — kolorowa — akcent 21"/>
    <w:basedOn w:val="Standardowy"/>
    <w:uiPriority w:val="51"/>
    <w:semiHidden/>
    <w:rsid w:val="00EA4791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listy6kolorowaakcent31">
    <w:name w:val="Tabela listy 6 — kolorowa — akcent 31"/>
    <w:basedOn w:val="Standardowy"/>
    <w:uiPriority w:val="51"/>
    <w:semiHidden/>
    <w:rsid w:val="00EA4791"/>
    <w:rPr>
      <w:color w:val="474747" w:themeColor="accent3" w:themeShade="BF"/>
    </w:rPr>
    <w:tblPr>
      <w:tblStyleRowBandSize w:val="1"/>
      <w:tblStyleColBandSize w:val="1"/>
      <w:tblBorders>
        <w:top w:val="single" w:sz="4" w:space="0" w:color="5F5F5F" w:themeColor="accent3"/>
        <w:bottom w:val="single" w:sz="4" w:space="0" w:color="5F5F5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listy6kolorowaakcent41">
    <w:name w:val="Tabela listy 6 — kolorowa — akcent 41"/>
    <w:basedOn w:val="Standardowy"/>
    <w:uiPriority w:val="51"/>
    <w:semiHidden/>
    <w:rsid w:val="00EA4791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listy6kolorowaakcent51">
    <w:name w:val="Tabela listy 6 — kolorowa — akcent 51"/>
    <w:basedOn w:val="Standardowy"/>
    <w:uiPriority w:val="51"/>
    <w:semiHidden/>
    <w:rsid w:val="00EA4791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listy6kolorowaakcent61">
    <w:name w:val="Tabela listy 6 — kolorowa — akcent 61"/>
    <w:basedOn w:val="Standardowy"/>
    <w:uiPriority w:val="51"/>
    <w:semiHidden/>
    <w:rsid w:val="00EA4791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listy7kolorowa1">
    <w:name w:val="Tabela listy 7 — kolorowa1"/>
    <w:basedOn w:val="Standardowy"/>
    <w:uiPriority w:val="52"/>
    <w:semiHidden/>
    <w:rsid w:val="00EA4791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11">
    <w:name w:val="Tabela listy 7 — kolorowa — akcent 11"/>
    <w:basedOn w:val="Standardowy"/>
    <w:uiPriority w:val="52"/>
    <w:semiHidden/>
    <w:rsid w:val="00EA4791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21">
    <w:name w:val="Tabela listy 7 — kolorowa — akcent 21"/>
    <w:basedOn w:val="Standardowy"/>
    <w:uiPriority w:val="52"/>
    <w:semiHidden/>
    <w:rsid w:val="00EA4791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31">
    <w:name w:val="Tabela listy 7 — kolorowa — akcent 31"/>
    <w:basedOn w:val="Standardowy"/>
    <w:uiPriority w:val="52"/>
    <w:semiHidden/>
    <w:rsid w:val="00EA4791"/>
    <w:rPr>
      <w:color w:val="47474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3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3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3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3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41">
    <w:name w:val="Tabela listy 7 — kolorowa — akcent 41"/>
    <w:basedOn w:val="Standardowy"/>
    <w:uiPriority w:val="52"/>
    <w:semiHidden/>
    <w:rsid w:val="00EA4791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51">
    <w:name w:val="Tabela listy 7 — kolorowa — akcent 51"/>
    <w:basedOn w:val="Standardowy"/>
    <w:uiPriority w:val="52"/>
    <w:semiHidden/>
    <w:rsid w:val="00EA4791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61">
    <w:name w:val="Tabela listy 7 — kolorowa — akcent 61"/>
    <w:basedOn w:val="Standardowy"/>
    <w:uiPriority w:val="52"/>
    <w:semiHidden/>
    <w:rsid w:val="00EA4791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EA4791"/>
    <w:rPr>
      <w:color w:val="2B579A"/>
      <w:shd w:val="clear" w:color="auto" w:fill="E1DFDD"/>
    </w:rPr>
  </w:style>
  <w:style w:type="table" w:customStyle="1" w:styleId="Zwykatabela11">
    <w:name w:val="Zwykła tabela 11"/>
    <w:basedOn w:val="Standardowy"/>
    <w:uiPriority w:val="41"/>
    <w:semiHidden/>
    <w:rsid w:val="00EA4791"/>
    <w:tblPr>
      <w:tblStyleRowBandSize w:val="1"/>
      <w:tblStyleColBandSize w:val="1"/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00548C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customStyle="1" w:styleId="Zwykatabela21">
    <w:name w:val="Zwykła tabela 21"/>
    <w:basedOn w:val="Standardowy"/>
    <w:uiPriority w:val="42"/>
    <w:semiHidden/>
    <w:rsid w:val="00EA4791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Zwykatabela31">
    <w:name w:val="Zwykła tabela 31"/>
    <w:basedOn w:val="Standardowy"/>
    <w:uiPriority w:val="43"/>
    <w:semiHidden/>
    <w:rsid w:val="00EA4791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Zwykatabela41">
    <w:name w:val="Zwykła tabela 41"/>
    <w:basedOn w:val="Standardowy"/>
    <w:uiPriority w:val="44"/>
    <w:semiHidden/>
    <w:rsid w:val="00EA4791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customStyle="1" w:styleId="Zwykatabela51">
    <w:name w:val="Zwykła tabela 51"/>
    <w:basedOn w:val="Standardowy"/>
    <w:uiPriority w:val="45"/>
    <w:semiHidden/>
    <w:rsid w:val="00EA479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0072BC" w:themeFill="background1"/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EA4791"/>
    <w:rPr>
      <w:u w:val="dotted"/>
    </w:rPr>
  </w:style>
  <w:style w:type="character" w:customStyle="1" w:styleId="Inteligentnylink1">
    <w:name w:val="Inteligentny link1"/>
    <w:basedOn w:val="Domylnaczcionkaakapitu"/>
    <w:uiPriority w:val="99"/>
    <w:semiHidden/>
    <w:unhideWhenUsed/>
    <w:rsid w:val="00EA4791"/>
    <w:rPr>
      <w:color w:val="0000FF"/>
      <w:u w:val="single"/>
      <w:shd w:val="clear" w:color="auto" w:fill="F3F2F1"/>
    </w:rPr>
  </w:style>
  <w:style w:type="table" w:customStyle="1" w:styleId="Siatkatabelijasna1">
    <w:name w:val="Siatka tabeli — jasna1"/>
    <w:basedOn w:val="Standardowy"/>
    <w:uiPriority w:val="40"/>
    <w:semiHidden/>
    <w:rsid w:val="00EA4791"/>
    <w:tblPr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A47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2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8BCBA-38A5-4BA2-8789-3A8191A0FA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4CE3B8D-D919-48ED-9F60-E052605F04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BEA8134-6C41-4108-B187-C1DE3527EE7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D2B34BD-64C1-42F1-85A5-3EAAFE144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2654</Words>
  <Characters>15928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2021-07-06T15:06:00Z</dcterms:created>
  <dcterms:modified xsi:type="dcterms:W3CDTF">2021-07-06T15:08:00Z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2057</vt:i4>
  </property>
  <property fmtid="{D5CDD505-2E9C-101B-9397-08002B2CF9AE}" pid="3" name="RegisteredNo">
    <vt:lpwstr>39496/17</vt:lpwstr>
  </property>
  <property fmtid="{D5CDD505-2E9C-101B-9397-08002B2CF9AE}" pid="4" name="CASEID">
    <vt:lpwstr>1312753</vt:lpwstr>
  </property>
  <property fmtid="{D5CDD505-2E9C-101B-9397-08002B2CF9AE}" pid="5" name="ContentTypeId">
    <vt:lpwstr>0x010100558EB02BDB9E204AB350EDD385B68E10</vt:lpwstr>
  </property>
</Properties>
</file>