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1954E6" w14:textId="44CF302D" w:rsidR="00B77507" w:rsidRPr="00CA4512" w:rsidRDefault="00797AC3" w:rsidP="00CA451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EUROPEJSKI TRYBUNAŁ PRAW CZŁOWIEKA</w:t>
      </w:r>
    </w:p>
    <w:p w14:paraId="1CDAD8B1" w14:textId="77777777" w:rsidR="0098410D" w:rsidRPr="00CA4512" w:rsidRDefault="0098410D" w:rsidP="00CA4512">
      <w:pPr>
        <w:jc w:val="center"/>
      </w:pPr>
    </w:p>
    <w:p w14:paraId="12B7CFAD" w14:textId="65CC8621" w:rsidR="0098410D" w:rsidRPr="00CA4512" w:rsidRDefault="00B77507" w:rsidP="00CA4512">
      <w:pPr>
        <w:pStyle w:val="DecHCase"/>
        <w:keepNext w:val="0"/>
        <w:keepLines w:val="0"/>
      </w:pPr>
      <w:r>
        <w:t>PIERWSZA SEKCJA</w:t>
      </w:r>
    </w:p>
    <w:p w14:paraId="30A6DD5D" w14:textId="77777777" w:rsidR="008E6217" w:rsidRPr="00CA4512" w:rsidRDefault="008E6217" w:rsidP="00CA4512">
      <w:pPr>
        <w:pStyle w:val="JuTitle"/>
        <w:keepNext w:val="0"/>
        <w:keepLines w:val="0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DOROŻ przeciwko POLSCE</w:t>
      </w:r>
    </w:p>
    <w:p w14:paraId="0C87177F" w14:textId="77777777" w:rsidR="00D74888" w:rsidRPr="00CA4512" w:rsidRDefault="008E6217" w:rsidP="00CA4512">
      <w:pPr>
        <w:pStyle w:val="ECHRCoverTitle4"/>
        <w:keepNext w:val="0"/>
        <w:keepLines w:val="0"/>
      </w:pPr>
      <w:r>
        <w:t>(skarga nr 71205/11)</w:t>
      </w:r>
    </w:p>
    <w:p w14:paraId="359D2D64" w14:textId="77777777" w:rsidR="0098410D" w:rsidRPr="00CA4512" w:rsidRDefault="0098410D" w:rsidP="00CA4512">
      <w:pPr>
        <w:pStyle w:val="DecHCase"/>
        <w:keepNext w:val="0"/>
        <w:keepLines w:val="0"/>
      </w:pPr>
    </w:p>
    <w:p w14:paraId="69E32F64" w14:textId="77777777" w:rsidR="0098410D" w:rsidRPr="00CA4512" w:rsidRDefault="0098410D" w:rsidP="00CA4512">
      <w:pPr>
        <w:pStyle w:val="DecHCase"/>
        <w:keepNext w:val="0"/>
        <w:keepLines w:val="0"/>
      </w:pPr>
    </w:p>
    <w:p w14:paraId="52CCB00C" w14:textId="4DD9AF4C" w:rsidR="00CA4512" w:rsidRDefault="00CA4512" w:rsidP="00CA4512">
      <w:pPr>
        <w:pStyle w:val="DecHCase"/>
        <w:keepNext w:val="0"/>
        <w:keepLines w:val="0"/>
      </w:pPr>
    </w:p>
    <w:p w14:paraId="3326CFDA" w14:textId="77777777" w:rsidR="00067564" w:rsidRPr="00067564" w:rsidRDefault="00067564" w:rsidP="00067564">
      <w:pPr>
        <w:pStyle w:val="JuPara"/>
      </w:pPr>
    </w:p>
    <w:p w14:paraId="72573CBF" w14:textId="77777777" w:rsidR="00067564" w:rsidRPr="00067564" w:rsidRDefault="00067564" w:rsidP="00067564">
      <w:pPr>
        <w:pStyle w:val="JuPara"/>
      </w:pPr>
    </w:p>
    <w:p w14:paraId="118AA3EA" w14:textId="77777777" w:rsidR="0098410D" w:rsidRPr="00CA4512" w:rsidRDefault="0098410D" w:rsidP="00CA4512">
      <w:pPr>
        <w:pStyle w:val="DecHCase"/>
        <w:keepNext w:val="0"/>
        <w:keepLines w:val="0"/>
      </w:pPr>
      <w:r>
        <w:t>WYROK</w:t>
      </w:r>
    </w:p>
    <w:p w14:paraId="0EBEFC89" w14:textId="79075E53" w:rsidR="00CA4512" w:rsidRPr="00CA4512" w:rsidRDefault="00CA4512" w:rsidP="00CA4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 xml:space="preserve">Art 8 • Poszanowanie </w:t>
      </w:r>
      <w:r w:rsidR="008F71C8">
        <w:t>mieszkania</w:t>
      </w:r>
      <w:r>
        <w:t xml:space="preserve"> • Przeszukanie </w:t>
      </w:r>
      <w:r w:rsidRPr="00BD649E">
        <w:t>domu</w:t>
      </w:r>
      <w:r>
        <w:t xml:space="preserve"> </w:t>
      </w:r>
      <w:r w:rsidR="00DE5B13">
        <w:t>na podstawie</w:t>
      </w:r>
      <w:r>
        <w:t xml:space="preserve"> postanowienia prokuratora w toku </w:t>
      </w:r>
      <w:r w:rsidR="00DE5B13">
        <w:t>postępowania</w:t>
      </w:r>
      <w:r>
        <w:t xml:space="preserve"> w sprawie o wykroczenie • </w:t>
      </w:r>
      <w:r w:rsidR="00DE5B13">
        <w:t>Nakaz</w:t>
      </w:r>
      <w:r>
        <w:t xml:space="preserve"> przeszukania opart</w:t>
      </w:r>
      <w:r w:rsidR="00FA1BCE">
        <w:t>y</w:t>
      </w:r>
      <w:r>
        <w:t xml:space="preserve"> na ogóln</w:t>
      </w:r>
      <w:r w:rsidR="00FA1BCE">
        <w:t>ikowy</w:t>
      </w:r>
      <w:r>
        <w:t xml:space="preserve">ch przesłankach • Brak wcześniejszego </w:t>
      </w:r>
      <w:r w:rsidR="00FA1BCE">
        <w:t xml:space="preserve">zezwolenia sądowego </w:t>
      </w:r>
      <w:r>
        <w:t xml:space="preserve">niezrównoważony dostępnością kontroli sądowej </w:t>
      </w:r>
      <w:r>
        <w:rPr>
          <w:i/>
          <w:iCs/>
        </w:rPr>
        <w:t>ex post facto</w:t>
      </w:r>
      <w:r>
        <w:t xml:space="preserve"> • Nieproporcjonalna ingerencja</w:t>
      </w:r>
    </w:p>
    <w:p w14:paraId="4FEAD3E8" w14:textId="77777777" w:rsidR="00CA4512" w:rsidRPr="00CA4512" w:rsidRDefault="00CA4512" w:rsidP="00CA4512">
      <w:pPr>
        <w:pStyle w:val="DecHCase"/>
        <w:keepNext w:val="0"/>
        <w:keepLines w:val="0"/>
      </w:pPr>
    </w:p>
    <w:p w14:paraId="7ED057B3" w14:textId="77777777" w:rsidR="0098410D" w:rsidRPr="00CA4512" w:rsidRDefault="0098410D" w:rsidP="00CA4512">
      <w:pPr>
        <w:pStyle w:val="DecHCase"/>
        <w:keepNext w:val="0"/>
        <w:keepLines w:val="0"/>
      </w:pPr>
      <w:r>
        <w:t>STRASBURG</w:t>
      </w:r>
    </w:p>
    <w:p w14:paraId="19C167DD" w14:textId="64D7C449" w:rsidR="0098410D" w:rsidRDefault="00B77507" w:rsidP="00CA4512">
      <w:pPr>
        <w:pStyle w:val="DecHCase"/>
        <w:keepNext w:val="0"/>
        <w:keepLines w:val="0"/>
      </w:pPr>
      <w:r>
        <w:t>29 października 2020 r.</w:t>
      </w:r>
    </w:p>
    <w:p w14:paraId="257709BE" w14:textId="41032F6C" w:rsidR="00067564" w:rsidRPr="004C79F8" w:rsidRDefault="00067564" w:rsidP="00067564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4C79F8">
        <w:rPr>
          <w:color w:val="FF0000"/>
          <w:sz w:val="28"/>
          <w:szCs w:val="28"/>
          <w:u w:val="single"/>
          <w:lang w:val="pl-PL"/>
        </w:rPr>
        <w:t>OSTATECZNY</w:t>
      </w:r>
    </w:p>
    <w:p w14:paraId="62BD72B2" w14:textId="77777777" w:rsidR="00067564" w:rsidRPr="004C79F8" w:rsidRDefault="00067564" w:rsidP="00067564">
      <w:pPr>
        <w:pStyle w:val="jucase0"/>
        <w:ind w:firstLine="0"/>
        <w:jc w:val="center"/>
        <w:rPr>
          <w:b w:val="0"/>
          <w:bCs w:val="0"/>
          <w:color w:val="FF0000"/>
          <w:sz w:val="22"/>
          <w:szCs w:val="22"/>
          <w:u w:val="single"/>
          <w:lang w:val="pl-PL"/>
        </w:rPr>
      </w:pPr>
    </w:p>
    <w:p w14:paraId="18E60B1B" w14:textId="77777777" w:rsidR="00067564" w:rsidRPr="004C79F8" w:rsidRDefault="00067564" w:rsidP="00067564">
      <w:pPr>
        <w:pStyle w:val="jucase0"/>
        <w:ind w:firstLine="0"/>
        <w:jc w:val="center"/>
        <w:rPr>
          <w:b w:val="0"/>
          <w:color w:val="FF0000"/>
          <w:sz w:val="28"/>
          <w:szCs w:val="28"/>
          <w:lang w:val="pl-PL"/>
        </w:rPr>
      </w:pPr>
      <w:r w:rsidRPr="004C79F8">
        <w:rPr>
          <w:b w:val="0"/>
          <w:color w:val="FF0000"/>
          <w:sz w:val="28"/>
          <w:szCs w:val="28"/>
          <w:lang w:val="pl-PL"/>
        </w:rPr>
        <w:t>29/01/2021</w:t>
      </w:r>
    </w:p>
    <w:p w14:paraId="2BBA4A40" w14:textId="77777777" w:rsidR="0007295F" w:rsidRPr="00CA4512" w:rsidRDefault="0007295F" w:rsidP="00CA4512">
      <w:pPr>
        <w:pStyle w:val="JuPara"/>
      </w:pPr>
    </w:p>
    <w:p w14:paraId="24BF3F3C" w14:textId="0A92F54D" w:rsidR="002422B6" w:rsidRPr="00CA4512" w:rsidRDefault="0098410D" w:rsidP="00067564">
      <w:pPr>
        <w:jc w:val="center"/>
        <w:rPr>
          <w:i/>
          <w:sz w:val="22"/>
        </w:rPr>
      </w:pPr>
      <w:r>
        <w:rPr>
          <w:i/>
          <w:sz w:val="22"/>
        </w:rPr>
        <w:t>Wyrok ten sta</w:t>
      </w:r>
      <w:r w:rsidR="00067564">
        <w:rPr>
          <w:i/>
          <w:sz w:val="22"/>
        </w:rPr>
        <w:t>ł</w:t>
      </w:r>
      <w:r>
        <w:rPr>
          <w:i/>
          <w:sz w:val="22"/>
        </w:rPr>
        <w:t xml:space="preserve"> się ostateczny </w:t>
      </w:r>
      <w:r w:rsidR="00FA1BCE">
        <w:rPr>
          <w:i/>
          <w:sz w:val="22"/>
        </w:rPr>
        <w:t>w okolicznościach wskazanych</w:t>
      </w:r>
      <w:r>
        <w:rPr>
          <w:i/>
          <w:sz w:val="22"/>
        </w:rPr>
        <w:t xml:space="preserve"> w art.</w:t>
      </w:r>
      <w:r w:rsidR="008F3193">
        <w:rPr>
          <w:i/>
          <w:sz w:val="22"/>
        </w:rPr>
        <w:t xml:space="preserve"> </w:t>
      </w:r>
      <w:r>
        <w:rPr>
          <w:i/>
          <w:sz w:val="22"/>
        </w:rPr>
        <w:t>44 ust.</w:t>
      </w:r>
      <w:r w:rsidR="008F3193">
        <w:rPr>
          <w:i/>
          <w:sz w:val="22"/>
        </w:rPr>
        <w:t xml:space="preserve"> </w:t>
      </w:r>
      <w:r>
        <w:rPr>
          <w:i/>
          <w:sz w:val="22"/>
        </w:rPr>
        <w:t>2 Konwencji. Może podlegać korekcie wydawniczej.</w:t>
      </w:r>
    </w:p>
    <w:p w14:paraId="57E9AD4C" w14:textId="77777777" w:rsidR="0098410D" w:rsidRPr="00CA4512" w:rsidRDefault="0098410D" w:rsidP="00CA4512">
      <w:pPr>
        <w:sectPr w:rsidR="0098410D" w:rsidRPr="00CA4512" w:rsidSect="00D6647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3AAA27E8" w14:textId="77777777" w:rsidR="0098410D" w:rsidRPr="00CA4512" w:rsidRDefault="0098410D" w:rsidP="00CA4512">
      <w:pPr>
        <w:pStyle w:val="JuCase"/>
      </w:pPr>
      <w:r>
        <w:lastRenderedPageBreak/>
        <w:t>W sprawie Doroż przeciwko Polsce</w:t>
      </w:r>
    </w:p>
    <w:p w14:paraId="2CC9CD51" w14:textId="22D0585E" w:rsidR="009F4C8F" w:rsidRPr="00CA4512" w:rsidRDefault="009F4C8F" w:rsidP="00CA4512">
      <w:pPr>
        <w:pStyle w:val="JuPara"/>
      </w:pPr>
      <w:r>
        <w:t>Europejski Trybunał Praw Człowieka (</w:t>
      </w:r>
      <w:r w:rsidR="00067564">
        <w:t>Sekcja Pier</w:t>
      </w:r>
      <w:r>
        <w:t>wsza), zasiadając jako Izba w składzie:</w:t>
      </w:r>
    </w:p>
    <w:p w14:paraId="54D674B1" w14:textId="77777777" w:rsidR="009F4C8F" w:rsidRPr="00CA4512" w:rsidRDefault="001D125C" w:rsidP="00CA4512">
      <w:pPr>
        <w:pStyle w:val="JuJudges"/>
      </w:pPr>
      <w:r>
        <w:tab/>
        <w:t>Ksenija Turković,</w:t>
      </w:r>
      <w:r>
        <w:rPr>
          <w:i/>
        </w:rPr>
        <w:t xml:space="preserve"> Przewodnicząca,</w:t>
      </w:r>
      <w:r>
        <w:rPr>
          <w:i/>
        </w:rPr>
        <w:br/>
      </w:r>
      <w:r>
        <w:rPr>
          <w:i/>
        </w:rPr>
        <w:tab/>
      </w:r>
      <w:r w:rsidRPr="00FA1BCE">
        <w:rPr>
          <w:iCs/>
        </w:rPr>
        <w:t>Krzysztof Wojtyczek,</w:t>
      </w:r>
      <w:r w:rsidRPr="00FA1BCE">
        <w:rPr>
          <w:iCs/>
        </w:rPr>
        <w:br/>
      </w:r>
      <w:r w:rsidRPr="00FA1BCE">
        <w:rPr>
          <w:iCs/>
        </w:rPr>
        <w:tab/>
        <w:t>Alena Poláčková,</w:t>
      </w:r>
      <w:r w:rsidRPr="00FA1BCE">
        <w:rPr>
          <w:iCs/>
        </w:rPr>
        <w:br/>
      </w:r>
      <w:r w:rsidRPr="00FA1BCE">
        <w:rPr>
          <w:iCs/>
        </w:rPr>
        <w:tab/>
        <w:t>Péter Paczolay,</w:t>
      </w:r>
      <w:r w:rsidRPr="00FA1BCE">
        <w:rPr>
          <w:iCs/>
        </w:rPr>
        <w:br/>
      </w:r>
      <w:r w:rsidRPr="00FA1BCE">
        <w:rPr>
          <w:iCs/>
        </w:rPr>
        <w:tab/>
        <w:t>Gilberto Felici,</w:t>
      </w:r>
      <w:r w:rsidRPr="00FA1BCE">
        <w:rPr>
          <w:iCs/>
        </w:rPr>
        <w:br/>
      </w:r>
      <w:r w:rsidRPr="00FA1BCE">
        <w:rPr>
          <w:iCs/>
        </w:rPr>
        <w:tab/>
        <w:t>Erik Wennerström,</w:t>
      </w:r>
      <w:r w:rsidRPr="00FA1BCE">
        <w:rPr>
          <w:iCs/>
        </w:rPr>
        <w:br/>
      </w:r>
      <w:r w:rsidRPr="00FA1BCE">
        <w:rPr>
          <w:iCs/>
        </w:rPr>
        <w:tab/>
        <w:t>Raffaele Sabato</w:t>
      </w:r>
      <w:r>
        <w:rPr>
          <w:i/>
        </w:rPr>
        <w:t>, sędziowie,</w:t>
      </w:r>
      <w:r>
        <w:br/>
        <w:t xml:space="preserve">i Abel Campos, </w:t>
      </w:r>
      <w:r>
        <w:rPr>
          <w:i/>
        </w:rPr>
        <w:t>Kanclerz Sekcji,</w:t>
      </w:r>
    </w:p>
    <w:p w14:paraId="42478317" w14:textId="4CB84CF6" w:rsidR="00B77507" w:rsidRPr="00CA4512" w:rsidRDefault="00B77507" w:rsidP="00CA4512">
      <w:pPr>
        <w:pStyle w:val="JuPara"/>
      </w:pPr>
      <w:bookmarkStart w:id="1" w:name="ITMARKHavingStart"/>
      <w:bookmarkEnd w:id="1"/>
      <w:r>
        <w:t>mając na uwadze</w:t>
      </w:r>
      <w:r w:rsidR="001C76E8">
        <w:t>:</w:t>
      </w:r>
    </w:p>
    <w:p w14:paraId="4C7CEC8F" w14:textId="06720B9C" w:rsidR="00B77507" w:rsidRPr="00CA4512" w:rsidRDefault="00B77507" w:rsidP="00CA4512">
      <w:pPr>
        <w:pStyle w:val="JuPara"/>
      </w:pPr>
      <w:r>
        <w:t>skargę (nr</w:t>
      </w:r>
      <w:r w:rsidR="008F3193">
        <w:t xml:space="preserve"> </w:t>
      </w:r>
      <w:r>
        <w:t>71205/11) przeciwko Rzeczypospolitej Polskiej wniesioną do</w:t>
      </w:r>
      <w:r w:rsidR="00BD649E">
        <w:t> </w:t>
      </w:r>
      <w:r>
        <w:t>Trybunału w dniu 5 listopada 2011</w:t>
      </w:r>
      <w:r w:rsidR="008F3193">
        <w:t xml:space="preserve"> </w:t>
      </w:r>
      <w:r>
        <w:t>r. na podstawie art.</w:t>
      </w:r>
      <w:r w:rsidR="008F3193">
        <w:t xml:space="preserve"> </w:t>
      </w:r>
      <w:r>
        <w:t>34 Konwencji o</w:t>
      </w:r>
      <w:r w:rsidR="00BD649E">
        <w:t> </w:t>
      </w:r>
      <w:r>
        <w:t>ochronie praw człowieka i podstawowych wolności („Konwencj</w:t>
      </w:r>
      <w:r w:rsidR="001C76E8">
        <w:t>a</w:t>
      </w:r>
      <w:r>
        <w:t>”) przez obywatela polskiego</w:t>
      </w:r>
      <w:r w:rsidR="00797AC3">
        <w:t xml:space="preserve"> p.</w:t>
      </w:r>
      <w:r>
        <w:t xml:space="preserve"> Artura Doroża („skarżąc</w:t>
      </w:r>
      <w:r w:rsidR="001C76E8">
        <w:t>y</w:t>
      </w:r>
      <w:r>
        <w:t>”).</w:t>
      </w:r>
    </w:p>
    <w:p w14:paraId="6F8C16AB" w14:textId="60341EC3" w:rsidR="00B77507" w:rsidRPr="00CA4512" w:rsidRDefault="00B77507" w:rsidP="00CA4512">
      <w:pPr>
        <w:pStyle w:val="JuPara"/>
      </w:pPr>
      <w:r>
        <w:t>decyzję o zakomunikowaniu s</w:t>
      </w:r>
      <w:r w:rsidR="008F71C8">
        <w:t>kargi</w:t>
      </w:r>
      <w:r>
        <w:t xml:space="preserve"> rządowi polskiemu („Rząd”);</w:t>
      </w:r>
    </w:p>
    <w:p w14:paraId="6C4E8D76" w14:textId="42302997" w:rsidR="00B77507" w:rsidRPr="00CA4512" w:rsidRDefault="001C76E8" w:rsidP="00CA4512">
      <w:pPr>
        <w:pStyle w:val="JuPara"/>
      </w:pPr>
      <w:r>
        <w:t>stanowiska</w:t>
      </w:r>
      <w:r w:rsidR="00B77507">
        <w:t xml:space="preserve"> stron;</w:t>
      </w:r>
    </w:p>
    <w:p w14:paraId="1C95E513" w14:textId="77777777" w:rsidR="009F4C8F" w:rsidRPr="00CA4512" w:rsidRDefault="009F4C8F" w:rsidP="00CA4512">
      <w:pPr>
        <w:pStyle w:val="JuPara"/>
      </w:pPr>
      <w:r>
        <w:t>obradując na posiedzeniu niejawnym w dniu 6 października 2020 r.</w:t>
      </w:r>
    </w:p>
    <w:p w14:paraId="3D81D176" w14:textId="77777777" w:rsidR="009F4C8F" w:rsidRPr="00CA4512" w:rsidRDefault="009F4C8F" w:rsidP="00CA4512">
      <w:pPr>
        <w:pStyle w:val="JuPara"/>
      </w:pPr>
      <w:r>
        <w:t>wydaje następujący wyrok, który w tym dniu został przyjęty:</w:t>
      </w:r>
    </w:p>
    <w:p w14:paraId="384D6140" w14:textId="77777777" w:rsidR="00B77507" w:rsidRPr="00CA4512" w:rsidRDefault="00B77507" w:rsidP="00CA4512">
      <w:pPr>
        <w:pStyle w:val="JuHHead"/>
        <w:numPr>
          <w:ilvl w:val="0"/>
          <w:numId w:val="0"/>
        </w:numPr>
      </w:pPr>
      <w:r>
        <w:t>WPROWADZENIE</w:t>
      </w:r>
    </w:p>
    <w:p w14:paraId="0B98B5BC" w14:textId="1CD6C0C4" w:rsidR="00B77507" w:rsidRPr="00CA4512" w:rsidRDefault="002240A4" w:rsidP="00CA4512">
      <w:pPr>
        <w:pStyle w:val="JuPara"/>
      </w:pPr>
      <w:r>
        <w:rPr>
          <w:noProof/>
        </w:rPr>
        <w:t>1</w:t>
      </w:r>
      <w:r w:rsidR="00B77507">
        <w:t>.</w:t>
      </w:r>
      <w:r w:rsidR="008F3193">
        <w:t xml:space="preserve"> </w:t>
      </w:r>
      <w:r w:rsidR="00B77507">
        <w:t xml:space="preserve">Sprawa dotyczy przeszukania domu skarżącego </w:t>
      </w:r>
      <w:r w:rsidR="001C76E8">
        <w:t>zarządzonego na mocy</w:t>
      </w:r>
      <w:r w:rsidR="00B77507">
        <w:t xml:space="preserve"> postanowienia prokuratora w </w:t>
      </w:r>
      <w:r w:rsidR="001C76E8">
        <w:t>toku</w:t>
      </w:r>
      <w:r w:rsidR="00B77507">
        <w:t xml:space="preserve"> postępowania w sprawie o wykroczenie.</w:t>
      </w:r>
    </w:p>
    <w:p w14:paraId="7C80ACD5" w14:textId="2B6019D6" w:rsidR="00B77507" w:rsidRPr="00CA4512" w:rsidRDefault="008F71C8" w:rsidP="00CA4512">
      <w:pPr>
        <w:pStyle w:val="JuHHead"/>
      </w:pPr>
      <w:r>
        <w:t>FAKTY</w:t>
      </w:r>
    </w:p>
    <w:p w14:paraId="6F7368C7" w14:textId="48290063" w:rsidR="00B77507" w:rsidRPr="00CA4512" w:rsidRDefault="002240A4" w:rsidP="00CA4512">
      <w:pPr>
        <w:pStyle w:val="JuPara"/>
      </w:pPr>
      <w:r>
        <w:rPr>
          <w:noProof/>
        </w:rPr>
        <w:t>2</w:t>
      </w:r>
      <w:r w:rsidR="00B77507">
        <w:t>.</w:t>
      </w:r>
      <w:r w:rsidR="008F3193">
        <w:t xml:space="preserve"> </w:t>
      </w:r>
      <w:r w:rsidR="00B77507">
        <w:t>Skarżący urodził się w 1983 r. i mieszka w Dąbrowie Tarnowskiej. Skarżącemu przyznano pomoc prawną</w:t>
      </w:r>
      <w:r w:rsidR="00F96D7C">
        <w:t>,</w:t>
      </w:r>
      <w:r w:rsidR="00B77507">
        <w:t xml:space="preserve"> był reprezentowany przez </w:t>
      </w:r>
      <w:r w:rsidR="00F96D7C">
        <w:t>p.</w:t>
      </w:r>
      <w:r w:rsidR="00BD649E">
        <w:t> </w:t>
      </w:r>
      <w:r w:rsidR="00B77507">
        <w:t>M</w:t>
      </w:r>
      <w:r w:rsidR="00797AC3">
        <w:t>.</w:t>
      </w:r>
      <w:r w:rsidR="00BD649E">
        <w:t> </w:t>
      </w:r>
      <w:r w:rsidR="00B77507">
        <w:t>Pecynę, adwokat prowadzącą praktykę w Krakowie.</w:t>
      </w:r>
    </w:p>
    <w:p w14:paraId="39878ECF" w14:textId="57D7D81F" w:rsidR="00B77507" w:rsidRPr="00CA4512" w:rsidRDefault="002240A4" w:rsidP="00CA4512">
      <w:pPr>
        <w:pStyle w:val="JuPara"/>
      </w:pPr>
      <w:r>
        <w:rPr>
          <w:noProof/>
        </w:rPr>
        <w:t>3</w:t>
      </w:r>
      <w:r w:rsidR="00B77507">
        <w:t>.</w:t>
      </w:r>
      <w:r w:rsidR="008F3193">
        <w:t xml:space="preserve"> </w:t>
      </w:r>
      <w:r w:rsidR="00B77507">
        <w:t>Rząd polski („Rząd”) reprezentowany był przez swojego pełnomocnika,</w:t>
      </w:r>
      <w:r w:rsidR="00F96D7C">
        <w:t xml:space="preserve"> p.</w:t>
      </w:r>
      <w:r w:rsidR="008F3193">
        <w:t xml:space="preserve"> </w:t>
      </w:r>
      <w:r w:rsidR="00B77507">
        <w:t>J.</w:t>
      </w:r>
      <w:r w:rsidR="008F3193">
        <w:t xml:space="preserve"> </w:t>
      </w:r>
      <w:r w:rsidR="00B77507">
        <w:t>Chrzanowską, a następnie przez</w:t>
      </w:r>
      <w:r w:rsidR="00F96D7C">
        <w:t xml:space="preserve"> p.</w:t>
      </w:r>
      <w:r w:rsidR="008F3193">
        <w:t xml:space="preserve"> </w:t>
      </w:r>
      <w:r w:rsidR="00B77507">
        <w:t>J.</w:t>
      </w:r>
      <w:r w:rsidR="008F3193">
        <w:t xml:space="preserve"> </w:t>
      </w:r>
      <w:r w:rsidR="00B77507">
        <w:t>Sobczaka z</w:t>
      </w:r>
      <w:r w:rsidR="008F3193">
        <w:t xml:space="preserve"> </w:t>
      </w:r>
      <w:r w:rsidR="00B77507">
        <w:t>Ministerstwa Spraw Zagranicznych.</w:t>
      </w:r>
    </w:p>
    <w:p w14:paraId="207E6010" w14:textId="0344FCFC" w:rsidR="00B77507" w:rsidRPr="00CA4512" w:rsidRDefault="002240A4" w:rsidP="00CA4512">
      <w:pPr>
        <w:pStyle w:val="JuPara"/>
      </w:pPr>
      <w:r>
        <w:rPr>
          <w:noProof/>
        </w:rPr>
        <w:t>4</w:t>
      </w:r>
      <w:r w:rsidR="00B77507">
        <w:t>.</w:t>
      </w:r>
      <w:r w:rsidR="008F3193">
        <w:t xml:space="preserve"> </w:t>
      </w:r>
      <w:r w:rsidR="00B77507">
        <w:t>Stan faktyczny sprawy, przedstawiony przez strony, można streścić następująco.</w:t>
      </w:r>
    </w:p>
    <w:p w14:paraId="2B37F684" w14:textId="7D540E13" w:rsidR="00B77507" w:rsidRPr="00CA4512" w:rsidRDefault="002240A4" w:rsidP="00CA4512">
      <w:pPr>
        <w:pStyle w:val="JuPara"/>
      </w:pPr>
      <w:r>
        <w:rPr>
          <w:noProof/>
        </w:rPr>
        <w:t>5</w:t>
      </w:r>
      <w:r w:rsidR="00B77507">
        <w:t>.</w:t>
      </w:r>
      <w:r w:rsidR="008F3193">
        <w:t xml:space="preserve"> </w:t>
      </w:r>
      <w:r w:rsidR="00B77507">
        <w:t>W dniu 3 kwietnia 2011</w:t>
      </w:r>
      <w:r w:rsidR="00F96D7C">
        <w:t xml:space="preserve"> r.</w:t>
      </w:r>
      <w:r w:rsidR="00B77507">
        <w:t xml:space="preserve"> rozpowszechniono ulotki zawierające informacje o wynagrodzeniu burmistrza Dąbrowy Tarnowskiej, opatrzone jego zdjęciem. Ulotki – anonimowego autora – pozostawiono w miejscach publicznych w trzech miejscowościach położonych nieopodal Dąbrowy Tarnowskiej. </w:t>
      </w:r>
    </w:p>
    <w:p w14:paraId="1CF90258" w14:textId="568A2653" w:rsidR="00B77507" w:rsidRPr="00CA4512" w:rsidRDefault="002240A4" w:rsidP="00CA4512">
      <w:pPr>
        <w:pStyle w:val="JuPara"/>
      </w:pPr>
      <w:r>
        <w:rPr>
          <w:noProof/>
        </w:rPr>
        <w:t>6</w:t>
      </w:r>
      <w:r w:rsidR="00B77507">
        <w:t>.</w:t>
      </w:r>
      <w:r w:rsidR="008F3193">
        <w:t xml:space="preserve"> </w:t>
      </w:r>
      <w:r w:rsidR="00797AC3">
        <w:t>W związku ze zdarzeniem p</w:t>
      </w:r>
      <w:r w:rsidR="00B77507">
        <w:t>olicja podjęła czynności wyjaśniające. W</w:t>
      </w:r>
      <w:r w:rsidR="00BD649E">
        <w:t> </w:t>
      </w:r>
      <w:r w:rsidR="00B77507">
        <w:t xml:space="preserve">dniu 5 kwietnia 2011 r. policja otrzymała informację, że skarżący </w:t>
      </w:r>
      <w:r w:rsidR="00F96D7C">
        <w:t>może</w:t>
      </w:r>
      <w:r w:rsidR="00B77507">
        <w:t xml:space="preserve"> być w posiadaniu większej liczby ulotek oraz że dyspon</w:t>
      </w:r>
      <w:r w:rsidR="00F96D7C">
        <w:t>uje</w:t>
      </w:r>
      <w:r w:rsidR="00B77507">
        <w:t xml:space="preserve"> środkami </w:t>
      </w:r>
      <w:r w:rsidR="00B77507">
        <w:lastRenderedPageBreak/>
        <w:t>technicznymi umożliwiającymi ich druk</w:t>
      </w:r>
      <w:r w:rsidR="00F96D7C">
        <w:t xml:space="preserve"> na dużą skalę</w:t>
      </w:r>
      <w:r w:rsidR="00B77507">
        <w:t xml:space="preserve">. Rząd </w:t>
      </w:r>
      <w:r w:rsidR="00797AC3">
        <w:t>twierdził</w:t>
      </w:r>
      <w:r w:rsidR="00B77507">
        <w:t>, że</w:t>
      </w:r>
      <w:r w:rsidR="00BD649E">
        <w:t> </w:t>
      </w:r>
      <w:r w:rsidR="00F96D7C">
        <w:t>p</w:t>
      </w:r>
      <w:r w:rsidR="00B77507">
        <w:t xml:space="preserve">olicja dostała od swojego informatora sygnał, że skarżący </w:t>
      </w:r>
      <w:r w:rsidR="008F71C8">
        <w:t xml:space="preserve">może </w:t>
      </w:r>
      <w:r w:rsidR="00B77507">
        <w:t>przystąpić do niszczenia ulotek.</w:t>
      </w:r>
    </w:p>
    <w:p w14:paraId="17DB9C06" w14:textId="0A56C08C" w:rsidR="00B77507" w:rsidRPr="00CA4512" w:rsidRDefault="002240A4" w:rsidP="00CA4512">
      <w:pPr>
        <w:pStyle w:val="JuPara"/>
      </w:pPr>
      <w:r>
        <w:rPr>
          <w:noProof/>
        </w:rPr>
        <w:t>7</w:t>
      </w:r>
      <w:r w:rsidR="00B77507">
        <w:t>.</w:t>
      </w:r>
      <w:r w:rsidR="008F3193">
        <w:t xml:space="preserve"> </w:t>
      </w:r>
      <w:r w:rsidR="00B77507">
        <w:t xml:space="preserve">Prokurator </w:t>
      </w:r>
      <w:r w:rsidR="005B0B88">
        <w:t xml:space="preserve">Prokuratury </w:t>
      </w:r>
      <w:r w:rsidR="00B77507">
        <w:t>Rejonow</w:t>
      </w:r>
      <w:r w:rsidR="005B0B88">
        <w:t>ej</w:t>
      </w:r>
      <w:r w:rsidR="00B77507">
        <w:t xml:space="preserve"> w Dąbrowie Tarnowskiej wszczął postępowanie w sprawie o wykroczenie </w:t>
      </w:r>
      <w:r w:rsidR="0087138E">
        <w:t xml:space="preserve">z art. </w:t>
      </w:r>
      <w:r w:rsidR="0087138E" w:rsidRPr="00D30125">
        <w:t>63a</w:t>
      </w:r>
      <w:r w:rsidR="0087138E">
        <w:t xml:space="preserve"> Kodeksu wykroczeń (</w:t>
      </w:r>
      <w:r w:rsidR="00797AC3">
        <w:t>nielegaln</w:t>
      </w:r>
      <w:r w:rsidR="0087138E">
        <w:t>e</w:t>
      </w:r>
      <w:r w:rsidR="00797AC3">
        <w:t xml:space="preserve"> ogłoszeni</w:t>
      </w:r>
      <w:r w:rsidR="0087138E">
        <w:t>e)</w:t>
      </w:r>
      <w:r w:rsidR="00B77507">
        <w:t>.</w:t>
      </w:r>
    </w:p>
    <w:p w14:paraId="5EFD528B" w14:textId="3BBB3F90" w:rsidR="00B77507" w:rsidRPr="00CA4512" w:rsidRDefault="002240A4" w:rsidP="00CA4512">
      <w:pPr>
        <w:pStyle w:val="JuPara"/>
      </w:pPr>
      <w:bookmarkStart w:id="2" w:name="searchorderprosecuotr"/>
      <w:r>
        <w:rPr>
          <w:noProof/>
        </w:rPr>
        <w:t>8</w:t>
      </w:r>
      <w:bookmarkEnd w:id="2"/>
      <w:r w:rsidR="00B77507">
        <w:t>.</w:t>
      </w:r>
      <w:r w:rsidR="008F3193">
        <w:t xml:space="preserve"> </w:t>
      </w:r>
      <w:r w:rsidR="00B77507">
        <w:t xml:space="preserve">W dniu 6 kwietnia 2011 r. </w:t>
      </w:r>
      <w:r w:rsidR="005B0B88">
        <w:t xml:space="preserve">prokurator </w:t>
      </w:r>
      <w:r w:rsidR="00B77507">
        <w:t>Prokurat</w:t>
      </w:r>
      <w:r w:rsidR="005B0B88">
        <w:t>u</w:t>
      </w:r>
      <w:r w:rsidR="00B77507">
        <w:t>r</w:t>
      </w:r>
      <w:r w:rsidR="005B0B88">
        <w:t>y</w:t>
      </w:r>
      <w:r w:rsidR="00B77507">
        <w:t xml:space="preserve"> Rejonow</w:t>
      </w:r>
      <w:r w:rsidR="005B0B88">
        <w:t>ej</w:t>
      </w:r>
      <w:r w:rsidR="00B77507">
        <w:t xml:space="preserve"> w</w:t>
      </w:r>
      <w:r w:rsidR="00BD649E">
        <w:t> </w:t>
      </w:r>
      <w:r w:rsidR="00B77507">
        <w:t>Dąbrowie Tarnowskiej wydał postanowienie o przeszukaniu pomieszczeń należących do skarżącego. Treść uzasadnienia postanowienia była następująca:</w:t>
      </w:r>
    </w:p>
    <w:p w14:paraId="37547976" w14:textId="19824577" w:rsidR="00B77507" w:rsidRPr="00CA4512" w:rsidRDefault="00B77507" w:rsidP="00CA4512">
      <w:pPr>
        <w:pStyle w:val="JuQuot"/>
      </w:pPr>
      <w:r>
        <w:t xml:space="preserve">„W toku czynności wyjaśniających ustalono, że [skarżący] może być w posiadaniu przedmiotów, które mogą </w:t>
      </w:r>
      <w:r w:rsidR="005B0B88">
        <w:t>stanowić dowody</w:t>
      </w:r>
      <w:r>
        <w:t xml:space="preserve"> w </w:t>
      </w:r>
      <w:r w:rsidR="005B0B88">
        <w:t xml:space="preserve">niniejszej </w:t>
      </w:r>
      <w:r>
        <w:t>sprawie, mianowicie ulotek z</w:t>
      </w:r>
      <w:r w:rsidR="00BD649E">
        <w:t> </w:t>
      </w:r>
      <w:r>
        <w:t>informacjami o wynagrodzeniu burmistrza</w:t>
      </w:r>
      <w:r w:rsidR="005B0B88">
        <w:t xml:space="preserve"> oraz </w:t>
      </w:r>
      <w:r>
        <w:t>jego zdjęciem.</w:t>
      </w:r>
    </w:p>
    <w:p w14:paraId="3EC46AF9" w14:textId="48D1C165" w:rsidR="00B77507" w:rsidRPr="00CA4512" w:rsidRDefault="00B77507" w:rsidP="00CA4512">
      <w:pPr>
        <w:pStyle w:val="JuQuot"/>
      </w:pPr>
      <w:r>
        <w:t>Stąd, w celu sprawdzenia informacji oraz zabezpieczenia ewentualnych dowodów, postanowiono jak w sentencji.”</w:t>
      </w:r>
    </w:p>
    <w:p w14:paraId="1048BAC3" w14:textId="046BAD7F" w:rsidR="00B77507" w:rsidRPr="00CA4512" w:rsidRDefault="002240A4" w:rsidP="00CA4512">
      <w:pPr>
        <w:pStyle w:val="JuPara"/>
      </w:pPr>
      <w:bookmarkStart w:id="3" w:name="thesearch"/>
      <w:r>
        <w:rPr>
          <w:noProof/>
        </w:rPr>
        <w:t>9</w:t>
      </w:r>
      <w:bookmarkEnd w:id="3"/>
      <w:r w:rsidR="00B77507">
        <w:t>.</w:t>
      </w:r>
      <w:r w:rsidR="008F3193">
        <w:t xml:space="preserve"> </w:t>
      </w:r>
      <w:r w:rsidR="00B77507">
        <w:t xml:space="preserve">W dniu 11 kwietnia </w:t>
      </w:r>
      <w:r w:rsidR="005B0B88">
        <w:t xml:space="preserve">2011 r. </w:t>
      </w:r>
      <w:r w:rsidR="0074374F">
        <w:t xml:space="preserve">o </w:t>
      </w:r>
      <w:r w:rsidR="00B77507">
        <w:t xml:space="preserve">godz. 6.20 rano policja weszła do domu skarżącego i przeprowadziła przeszukanie. Przeszukanie trwało do godz. 7 rano. Nie znaleziono ulotek ani innych dowodów. Rząd </w:t>
      </w:r>
      <w:r w:rsidR="005B0B88">
        <w:t>stwierdził</w:t>
      </w:r>
      <w:r w:rsidR="00B77507">
        <w:t>, że</w:t>
      </w:r>
      <w:r w:rsidR="00BD649E">
        <w:t> </w:t>
      </w:r>
      <w:r w:rsidR="00B77507">
        <w:t xml:space="preserve">przeszukanie </w:t>
      </w:r>
      <w:r w:rsidR="005B0B88">
        <w:t xml:space="preserve">zostało </w:t>
      </w:r>
      <w:r w:rsidR="00B77507">
        <w:t>przeprowadz</w:t>
      </w:r>
      <w:r w:rsidR="005B0B88">
        <w:t>one przez</w:t>
      </w:r>
      <w:r w:rsidR="00B77507">
        <w:t xml:space="preserve"> trze</w:t>
      </w:r>
      <w:r w:rsidR="005B0B88">
        <w:t>ch</w:t>
      </w:r>
      <w:r w:rsidR="00B77507">
        <w:t xml:space="preserve"> funkcjonariusz</w:t>
      </w:r>
      <w:r w:rsidR="005B0B88">
        <w:t>y</w:t>
      </w:r>
      <w:r w:rsidR="00B77507">
        <w:t xml:space="preserve"> </w:t>
      </w:r>
      <w:r w:rsidR="005B0B88">
        <w:t>P</w:t>
      </w:r>
      <w:r w:rsidR="00B77507">
        <w:t>olicji w obecności skarżącego.</w:t>
      </w:r>
    </w:p>
    <w:p w14:paraId="51317852" w14:textId="07290DF3" w:rsidR="00B77507" w:rsidRPr="00CA4512" w:rsidRDefault="002240A4" w:rsidP="00CA4512">
      <w:pPr>
        <w:pStyle w:val="JuPara"/>
      </w:pPr>
      <w:r>
        <w:rPr>
          <w:noProof/>
        </w:rPr>
        <w:t>10</w:t>
      </w:r>
      <w:r w:rsidR="00B77507">
        <w:t>.</w:t>
      </w:r>
      <w:r w:rsidR="008F3193">
        <w:t xml:space="preserve"> </w:t>
      </w:r>
      <w:r w:rsidR="00B77507">
        <w:t>W dniu 18 kwietnia 2011 r. skarżący wniósł zażalenie na</w:t>
      </w:r>
      <w:r w:rsidR="00BD649E">
        <w:t> </w:t>
      </w:r>
      <w:r w:rsidR="00B77507">
        <w:t xml:space="preserve">postanowienie o przeszukaniu. </w:t>
      </w:r>
      <w:r w:rsidR="0074374F">
        <w:t>Twierdził</w:t>
      </w:r>
      <w:r w:rsidR="00B77507">
        <w:t xml:space="preserve">, że postanowienie nie </w:t>
      </w:r>
      <w:r w:rsidR="005B0B88">
        <w:t>było</w:t>
      </w:r>
      <w:r w:rsidR="0074374F">
        <w:t xml:space="preserve"> dostatecznie uzasadnione</w:t>
      </w:r>
      <w:r w:rsidR="00B77507">
        <w:t xml:space="preserve"> </w:t>
      </w:r>
      <w:r w:rsidR="005B0B88">
        <w:t>i</w:t>
      </w:r>
      <w:r w:rsidR="0074374F">
        <w:t xml:space="preserve"> nie było podstaw do </w:t>
      </w:r>
      <w:r w:rsidR="00B77507">
        <w:t>naruszenia jego prawa do</w:t>
      </w:r>
      <w:r w:rsidR="00BD649E">
        <w:t> </w:t>
      </w:r>
      <w:r w:rsidR="00B77507">
        <w:t xml:space="preserve">poszanowania życia prywatnego i </w:t>
      </w:r>
      <w:r w:rsidR="00D87D72">
        <w:t>mieszkania.</w:t>
      </w:r>
    </w:p>
    <w:p w14:paraId="71E1C571" w14:textId="79F69EE9" w:rsidR="00B77507" w:rsidRPr="00CA4512" w:rsidRDefault="002240A4" w:rsidP="00CA4512">
      <w:pPr>
        <w:pStyle w:val="JuPara"/>
      </w:pPr>
      <w:r>
        <w:rPr>
          <w:noProof/>
        </w:rPr>
        <w:t>11</w:t>
      </w:r>
      <w:r w:rsidR="00B77507">
        <w:t>.</w:t>
      </w:r>
      <w:r w:rsidR="008F3193">
        <w:t xml:space="preserve"> </w:t>
      </w:r>
      <w:r w:rsidR="00B77507">
        <w:t xml:space="preserve">Helsińska Fundacja Praw Człowieka z siedzibą w Warszawie </w:t>
      </w:r>
      <w:r w:rsidR="00FD1333">
        <w:t>dołączyła do postępowania</w:t>
      </w:r>
      <w:r w:rsidR="00B77507">
        <w:t xml:space="preserve"> jako </w:t>
      </w:r>
      <w:r w:rsidR="00B77507">
        <w:rPr>
          <w:i/>
        </w:rPr>
        <w:t>amicus curiae</w:t>
      </w:r>
      <w:r w:rsidR="00B77507">
        <w:t xml:space="preserve">. Fundacja przygotowała opinię, w której wyraziła wątpliwości co do konieczności i proporcjonalności środka zastosowanego przez władze. </w:t>
      </w:r>
      <w:r w:rsidR="00E80C5F">
        <w:t>Stwierdziła, że</w:t>
      </w:r>
      <w:r w:rsidR="00B77507">
        <w:t xml:space="preserve"> </w:t>
      </w:r>
      <w:r w:rsidR="00E80C5F">
        <w:t>decyzja</w:t>
      </w:r>
      <w:r w:rsidR="00B77507">
        <w:t xml:space="preserve"> prokuratora nie</w:t>
      </w:r>
      <w:r w:rsidR="00BD649E">
        <w:t> </w:t>
      </w:r>
      <w:r w:rsidR="00B77507">
        <w:t>był</w:t>
      </w:r>
      <w:r w:rsidR="00E80C5F">
        <w:t>a</w:t>
      </w:r>
      <w:r w:rsidR="00B77507">
        <w:t xml:space="preserve"> dostatecznie uzasadnione. Ulotki </w:t>
      </w:r>
      <w:r w:rsidR="00E80C5F">
        <w:t>będące przedmiotem postępowania</w:t>
      </w:r>
      <w:r w:rsidR="00B77507">
        <w:t xml:space="preserve"> zawierały zdjęcie osoby publicznej – burmistrza Dąbrowy Tarnowskiej T.K., a także informacje o jego wynagrodzeniu, które </w:t>
      </w:r>
      <w:r w:rsidR="0074374F">
        <w:t xml:space="preserve">były </w:t>
      </w:r>
      <w:r w:rsidR="00E80C5F">
        <w:t>już wtedy</w:t>
      </w:r>
      <w:r w:rsidR="0074374F">
        <w:t xml:space="preserve"> publicznie dostępne</w:t>
      </w:r>
      <w:r w:rsidR="00B77507">
        <w:t xml:space="preserve">. Takie działanie mieściło się w zakresie </w:t>
      </w:r>
      <w:r w:rsidR="00D87D72">
        <w:t>wolności</w:t>
      </w:r>
      <w:r w:rsidR="00B77507">
        <w:t xml:space="preserve"> wyrażania opinii i nie powinno </w:t>
      </w:r>
      <w:r w:rsidR="00D87D72">
        <w:t>być</w:t>
      </w:r>
      <w:r w:rsidR="00B77507">
        <w:t xml:space="preserve"> uzna</w:t>
      </w:r>
      <w:r w:rsidR="00AA61B4">
        <w:t>wan</w:t>
      </w:r>
      <w:r w:rsidR="00B77507">
        <w:t>e za wykroczenie.</w:t>
      </w:r>
    </w:p>
    <w:p w14:paraId="7D607037" w14:textId="28F6C36F" w:rsidR="00B77507" w:rsidRPr="00CA4512" w:rsidRDefault="002240A4" w:rsidP="00CA4512">
      <w:pPr>
        <w:pStyle w:val="JuPara"/>
      </w:pPr>
      <w:bookmarkStart w:id="4" w:name="judicialreview"/>
      <w:r>
        <w:rPr>
          <w:noProof/>
        </w:rPr>
        <w:t>12</w:t>
      </w:r>
      <w:bookmarkEnd w:id="4"/>
      <w:r w:rsidR="00B77507">
        <w:t>.</w:t>
      </w:r>
      <w:r w:rsidR="008F3193">
        <w:t xml:space="preserve"> </w:t>
      </w:r>
      <w:r w:rsidR="00B77507">
        <w:t xml:space="preserve">W dniu 20 czerwca 2011 </w:t>
      </w:r>
      <w:r w:rsidR="00AA61B4">
        <w:t xml:space="preserve">r. </w:t>
      </w:r>
      <w:r w:rsidR="00B77507">
        <w:t xml:space="preserve">Sąd Rejonowy </w:t>
      </w:r>
      <w:r w:rsidR="00AA61B4">
        <w:t>w</w:t>
      </w:r>
      <w:r w:rsidR="00B77507">
        <w:t xml:space="preserve"> </w:t>
      </w:r>
      <w:r w:rsidR="0074374F">
        <w:t>D</w:t>
      </w:r>
      <w:r w:rsidR="00B77507">
        <w:t xml:space="preserve">ąbrowie Tarnowskiej </w:t>
      </w:r>
      <w:r w:rsidR="0074374F">
        <w:t xml:space="preserve">utrzymał w mocy </w:t>
      </w:r>
      <w:r w:rsidR="00B77507">
        <w:t xml:space="preserve">postanowienie o przeszukaniu i oddalił zażalenie skarżącego. Sąd </w:t>
      </w:r>
      <w:r w:rsidR="00AA61B4">
        <w:t>ustalił</w:t>
      </w:r>
      <w:r w:rsidR="00B77507">
        <w:t>, że przeszukanie było zgodne z prawem i</w:t>
      </w:r>
      <w:r w:rsidR="00BD649E">
        <w:t> </w:t>
      </w:r>
      <w:r w:rsidR="00B77507">
        <w:t>uzasadnione. Policja otrzymała informację, że skarżący był w posiadaniu ulotek rozpowszechnianych w niektórych miejscowościach na terenie gminy. Jedynym sposobem na sprawdzenie tej informacji było przeprowadzenie przeszukania domu skarżącego.</w:t>
      </w:r>
    </w:p>
    <w:p w14:paraId="77BDEB08" w14:textId="0AC110D2" w:rsidR="00B77507" w:rsidRPr="00CA4512" w:rsidRDefault="00B77507" w:rsidP="00CA4512">
      <w:pPr>
        <w:pStyle w:val="JuHHead"/>
      </w:pPr>
      <w:r>
        <w:t xml:space="preserve">WŁAŚCIWE </w:t>
      </w:r>
      <w:r w:rsidR="00AA61B4">
        <w:t>PRZEPISY</w:t>
      </w:r>
      <w:r>
        <w:t xml:space="preserve"> PRAWNE I PRAKTYKA</w:t>
      </w:r>
    </w:p>
    <w:p w14:paraId="4BEE9841" w14:textId="131AF10B" w:rsidR="00B77507" w:rsidRPr="00CA4512" w:rsidRDefault="002240A4" w:rsidP="00CA4512">
      <w:pPr>
        <w:pStyle w:val="JuPara"/>
      </w:pPr>
      <w:r>
        <w:rPr>
          <w:noProof/>
        </w:rPr>
        <w:t>13</w:t>
      </w:r>
      <w:r w:rsidR="00B77507">
        <w:t>.</w:t>
      </w:r>
      <w:r w:rsidR="008F3193">
        <w:t xml:space="preserve"> </w:t>
      </w:r>
      <w:r w:rsidR="00B77507">
        <w:t>Artykuł</w:t>
      </w:r>
      <w:r w:rsidR="008F3193">
        <w:t xml:space="preserve"> </w:t>
      </w:r>
      <w:r w:rsidR="00B77507">
        <w:t xml:space="preserve">63a </w:t>
      </w:r>
      <w:r w:rsidR="0074374F">
        <w:t xml:space="preserve">§ </w:t>
      </w:r>
      <w:r w:rsidR="00B77507">
        <w:t xml:space="preserve">1 Kodeksu wykroczeń </w:t>
      </w:r>
      <w:r w:rsidR="00AA61B4">
        <w:t>stanowi</w:t>
      </w:r>
      <w:r w:rsidR="00B77507">
        <w:t>:</w:t>
      </w:r>
    </w:p>
    <w:p w14:paraId="1B53C351" w14:textId="77777777" w:rsidR="00B77507" w:rsidRPr="00CA4512" w:rsidRDefault="00B77507" w:rsidP="00CA4512">
      <w:pPr>
        <w:pStyle w:val="JuQuot"/>
      </w:pPr>
      <w:r>
        <w:lastRenderedPageBreak/>
        <w:t>„Kto umieszcza w miejscu publicznym do tego nieprzeznaczonym ogłoszenie, plakat, afisz, apel, ulotkę, napis lub rysunek albo wystawia je na widok publiczny w innym miejscu bez zgody zarządzającego tym miejscem, podlega karze ograniczenia wolności albo grzywny.”</w:t>
      </w:r>
    </w:p>
    <w:p w14:paraId="7778BBC3" w14:textId="6E163007" w:rsidR="00B77507" w:rsidRPr="00CA4512" w:rsidRDefault="002240A4" w:rsidP="00CA4512">
      <w:pPr>
        <w:pStyle w:val="JuPara"/>
      </w:pPr>
      <w:bookmarkStart w:id="5" w:name="domesticlawsearch"/>
      <w:r>
        <w:rPr>
          <w:noProof/>
        </w:rPr>
        <w:t>14</w:t>
      </w:r>
      <w:bookmarkEnd w:id="5"/>
      <w:r w:rsidR="00B77507">
        <w:t>.</w:t>
      </w:r>
      <w:r w:rsidR="008F3193">
        <w:t xml:space="preserve"> </w:t>
      </w:r>
      <w:r w:rsidR="00B77507">
        <w:t>Artykuł 44 Kodeksu postępowania w sprawach o wykroczenia w</w:t>
      </w:r>
      <w:r w:rsidR="00BD649E">
        <w:t> </w:t>
      </w:r>
      <w:r w:rsidR="00AA61B4">
        <w:t>odpowiednich</w:t>
      </w:r>
      <w:r w:rsidR="00B77507">
        <w:t xml:space="preserve"> fragmentach </w:t>
      </w:r>
      <w:r w:rsidR="00AA61B4">
        <w:t>stwierdza</w:t>
      </w:r>
      <w:r w:rsidR="00B77507">
        <w:t>:</w:t>
      </w:r>
    </w:p>
    <w:p w14:paraId="6DC810A9" w14:textId="4166113D" w:rsidR="00B77507" w:rsidRPr="00CA4512" w:rsidRDefault="00B77507" w:rsidP="00CA4512">
      <w:pPr>
        <w:pStyle w:val="JuQuot"/>
      </w:pPr>
      <w:r>
        <w:t>„1.</w:t>
      </w:r>
      <w:r w:rsidR="008F3193">
        <w:t xml:space="preserve"> </w:t>
      </w:r>
      <w:r>
        <w:t>W celu znalezienia i zatrzymania przedmiotów podlegających oględzinom lub</w:t>
      </w:r>
      <w:r w:rsidR="00BD649E">
        <w:t> </w:t>
      </w:r>
      <w:r>
        <w:t>mogących stanowić dowód rzeczowy, Policja, a w toku czynności wyjaśniających również inne organy je prowadzące, mogą dokonać przeszukania pomieszczeń i innych miejsc, jeżeli istnieją uzasadnione podstawy do przypuszczenia, że przedmioty te</w:t>
      </w:r>
      <w:r w:rsidR="00BD649E">
        <w:t> </w:t>
      </w:r>
      <w:r>
        <w:t>lub</w:t>
      </w:r>
      <w:r w:rsidR="00BD649E">
        <w:t> </w:t>
      </w:r>
      <w:r>
        <w:t>dowody tam się znajdują [...]</w:t>
      </w:r>
    </w:p>
    <w:p w14:paraId="2F342818" w14:textId="03B036EB" w:rsidR="00B77507" w:rsidRPr="00CA4512" w:rsidRDefault="00B77507" w:rsidP="00CA4512">
      <w:pPr>
        <w:pStyle w:val="JuQuot"/>
      </w:pPr>
      <w:r>
        <w:t>3.</w:t>
      </w:r>
      <w:r w:rsidR="008F3193">
        <w:t xml:space="preserve"> </w:t>
      </w:r>
      <w:r>
        <w:t>Przeszukanie następuje na mocy postanowienia prokuratora lub sądu.</w:t>
      </w:r>
    </w:p>
    <w:p w14:paraId="7EF2EE91" w14:textId="1A377C1D" w:rsidR="00B77507" w:rsidRPr="00CA4512" w:rsidRDefault="00B77507" w:rsidP="00CA4512">
      <w:pPr>
        <w:pStyle w:val="JuQuot"/>
      </w:pPr>
      <w:r>
        <w:t>4. W wypadkach niecierpiących zwłoki, jeżeli postanowienie nie mogło być uprzednio wydane, można przeprowadzić przeszukanie bez takiego postanowienia, jednak organ dokonujący tej czynności zobowiązany jest następnie zwrócić się niezwłocznie do prokuratora o zatwierdzenie przeszukania.</w:t>
      </w:r>
      <w:r w:rsidR="008F3193">
        <w:t xml:space="preserve"> </w:t>
      </w:r>
      <w:r>
        <w:t>Na żądanie osoby, u której dokonano przeszukania, doręcza się jej w terminie 14 dni postanowienie w przedmiocie zatwierdzenia przeszukania [...]</w:t>
      </w:r>
    </w:p>
    <w:p w14:paraId="48B72650" w14:textId="5DA1147D" w:rsidR="00B77507" w:rsidRPr="00CA4512" w:rsidRDefault="00B77507" w:rsidP="00CA4512">
      <w:pPr>
        <w:pStyle w:val="JuQuot"/>
      </w:pPr>
      <w:r>
        <w:t>5.</w:t>
      </w:r>
      <w:r w:rsidR="008F3193">
        <w:t xml:space="preserve"> </w:t>
      </w:r>
      <w:r>
        <w:t>Przy przeprowadzaniu przeszukania i zatrzymania przedmiotów stosuje się odpowiednio przepisy art. 217, 221</w:t>
      </w:r>
      <w:r>
        <w:noBreakHyphen/>
        <w:t>234 i 236 Kodeksu postępowania karnego.”</w:t>
      </w:r>
    </w:p>
    <w:p w14:paraId="3545ABCC" w14:textId="025A2D5F" w:rsidR="00B77507" w:rsidRPr="00CA4512" w:rsidRDefault="002240A4" w:rsidP="00CA4512">
      <w:pPr>
        <w:pStyle w:val="JuPara"/>
      </w:pPr>
      <w:r>
        <w:rPr>
          <w:noProof/>
        </w:rPr>
        <w:t>15</w:t>
      </w:r>
      <w:r w:rsidR="00B77507">
        <w:t>.</w:t>
      </w:r>
      <w:r w:rsidR="008F3193">
        <w:t xml:space="preserve"> </w:t>
      </w:r>
      <w:r w:rsidR="00B77507">
        <w:t>Odpowiednie przepisy Kodeksu postępowania karnego brzmią:</w:t>
      </w:r>
    </w:p>
    <w:p w14:paraId="4CDC77B1" w14:textId="77777777" w:rsidR="00B77507" w:rsidRPr="00CA4512" w:rsidRDefault="00B77507" w:rsidP="00CA4512">
      <w:pPr>
        <w:pStyle w:val="JuHArticle"/>
      </w:pPr>
      <w:r>
        <w:t>Artykuł 217</w:t>
      </w:r>
    </w:p>
    <w:p w14:paraId="40E89F30" w14:textId="588B5221" w:rsidR="00B77507" w:rsidRPr="00CA4512" w:rsidRDefault="00B77507" w:rsidP="00CA4512">
      <w:pPr>
        <w:pStyle w:val="JuQuot"/>
        <w:rPr>
          <w:rFonts w:asciiTheme="majorHAnsi" w:hAnsiTheme="majorHAnsi" w:cstheme="majorHAnsi"/>
        </w:rPr>
      </w:pPr>
      <w:r>
        <w:rPr>
          <w:rFonts w:asciiTheme="majorHAnsi" w:hAnsiTheme="majorHAnsi"/>
        </w:rPr>
        <w:t>„1.</w:t>
      </w:r>
      <w:r w:rsidR="008F319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Rzeczy mogące stanowić dowód w sprawie lub podlegające zajęciu w celu zabezpieczenia kar majątkowych, środków karnych o charakterze majątkowym, przepadku, środków kompensacyjnych albo roszczeń o naprawienie szkody należy wydać na żądanie sądu lub prokuratora, a w wypadkach niecierpiących zwłoki – także na żądanie Policji lub innego uprawnionego organu.</w:t>
      </w:r>
    </w:p>
    <w:p w14:paraId="372FBEC4" w14:textId="73DA93CE" w:rsidR="00B77507" w:rsidRPr="00CA4512" w:rsidRDefault="00B77507" w:rsidP="00CA4512">
      <w:pPr>
        <w:pStyle w:val="JuQuot"/>
        <w:rPr>
          <w:rFonts w:asciiTheme="majorHAnsi" w:hAnsiTheme="majorHAnsi" w:cstheme="majorHAnsi"/>
        </w:rPr>
      </w:pPr>
      <w:r>
        <w:rPr>
          <w:rFonts w:asciiTheme="majorHAnsi" w:hAnsiTheme="majorHAnsi"/>
        </w:rPr>
        <w:t>2.</w:t>
      </w:r>
      <w:r w:rsidR="008F319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Osobę mającą rzecz podlegającą wydaniu wzywa się do wydania jej dobrowolnie.</w:t>
      </w:r>
    </w:p>
    <w:p w14:paraId="3DB6463C" w14:textId="2365322F" w:rsidR="00B77507" w:rsidRPr="00CA4512" w:rsidRDefault="00B77507" w:rsidP="00CA4512">
      <w:pPr>
        <w:pStyle w:val="JuQuot"/>
        <w:rPr>
          <w:rFonts w:asciiTheme="majorHAnsi" w:hAnsiTheme="majorHAnsi" w:cstheme="majorHAnsi"/>
        </w:rPr>
      </w:pPr>
      <w:r>
        <w:rPr>
          <w:rFonts w:asciiTheme="majorHAnsi" w:hAnsiTheme="majorHAnsi"/>
        </w:rPr>
        <w:t>3.</w:t>
      </w:r>
      <w:r w:rsidR="008F319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W razie zatrzymania rzeczy stosuje się odpowiednio przepis art. 228. Protokołu można nie sporządzać, jeżeli rzecz załącza się do akt sprawy.</w:t>
      </w:r>
    </w:p>
    <w:p w14:paraId="14B14E41" w14:textId="4AAB37FE" w:rsidR="00B77507" w:rsidRPr="00CA4512" w:rsidRDefault="00B77507" w:rsidP="00CA4512">
      <w:pPr>
        <w:pStyle w:val="JuQuot"/>
      </w:pPr>
      <w:r>
        <w:t>4.</w:t>
      </w:r>
      <w:r w:rsidR="008F3193">
        <w:t xml:space="preserve"> </w:t>
      </w:r>
      <w:r>
        <w:t>Jeżeli wydania żąda Policja albo inny uprawniony organ działający we własnym zakresie, osoba, która rzecz wyda, ma prawo niezwłocznie złożyć wniosek o</w:t>
      </w:r>
      <w:r w:rsidR="00BD649E">
        <w:t> </w:t>
      </w:r>
      <w:r>
        <w:t>sporządzenie i doręczenie jej postanowienia sądu lub prokuratora o zatwierdzeniu zatrzymania, o czym należy ją pouczyć. Doręczenie powinno nastąpić w terminie 14</w:t>
      </w:r>
      <w:r w:rsidR="00BD649E">
        <w:t> </w:t>
      </w:r>
      <w:r>
        <w:t>dni od zatrzymania rzeczy.</w:t>
      </w:r>
    </w:p>
    <w:p w14:paraId="7113E103" w14:textId="258FF23A" w:rsidR="00B77507" w:rsidRPr="00CA4512" w:rsidRDefault="00B77507" w:rsidP="00CA4512">
      <w:pPr>
        <w:pStyle w:val="JuQuot"/>
      </w:pPr>
      <w:r>
        <w:t>5.</w:t>
      </w:r>
      <w:r w:rsidR="008F3193">
        <w:t xml:space="preserve"> </w:t>
      </w:r>
      <w:r>
        <w:t>W razie odmowy dobrowolnego wydania rzeczy można przeprowadzić jej odebranie. Przepisy art. 220 § 3 i art. 229 stosuje się odpowiednio.”</w:t>
      </w:r>
    </w:p>
    <w:p w14:paraId="22AC2248" w14:textId="77777777" w:rsidR="00B77507" w:rsidRPr="00CA4512" w:rsidRDefault="00B77507" w:rsidP="00CA4512">
      <w:pPr>
        <w:pStyle w:val="JuHArticle"/>
      </w:pPr>
      <w:r>
        <w:t>Artykuł 224</w:t>
      </w:r>
    </w:p>
    <w:p w14:paraId="40ABF71A" w14:textId="1E4C6494" w:rsidR="00B77507" w:rsidRPr="00CA4512" w:rsidRDefault="00B77507" w:rsidP="00CA4512">
      <w:pPr>
        <w:pStyle w:val="JuQuot"/>
      </w:pPr>
      <w:r>
        <w:t>„1.</w:t>
      </w:r>
      <w:r w:rsidR="008F3193">
        <w:t xml:space="preserve"> </w:t>
      </w:r>
      <w:r>
        <w:t>Osobę, u której ma nastąpić przeszukanie, należy przed rozpoczęciem czynności zawiadomić o jej celu i wezwać do wydania poszukiwanych przedmiotów.</w:t>
      </w:r>
    </w:p>
    <w:p w14:paraId="20337D35" w14:textId="73BB3C82" w:rsidR="00B77507" w:rsidRPr="00CA4512" w:rsidRDefault="00B77507" w:rsidP="00CA4512">
      <w:pPr>
        <w:pStyle w:val="JuQuot"/>
      </w:pPr>
      <w:r>
        <w:t>2.</w:t>
      </w:r>
      <w:r w:rsidR="008F3193">
        <w:t xml:space="preserve"> </w:t>
      </w:r>
      <w:r>
        <w:t xml:space="preserve">Podczas przeszukania ma prawo być obecna osoba wymieniona w § 1 oraz osoba przybrana przez prowadzącego czynność. Ponadto może być obecna osoba wskazana </w:t>
      </w:r>
      <w:r>
        <w:lastRenderedPageBreak/>
        <w:t>przez tego, u kogo dokonuje się przeszukania, jeżeli nie uniemożliwia to przeszukania albo nie utrudnia go w istotny sposób.</w:t>
      </w:r>
    </w:p>
    <w:p w14:paraId="72572F25" w14:textId="22104006" w:rsidR="00B77507" w:rsidRPr="00CA4512" w:rsidRDefault="00B77507" w:rsidP="00CA4512">
      <w:pPr>
        <w:pStyle w:val="JuQuot"/>
      </w:pPr>
      <w:r>
        <w:t>3.</w:t>
      </w:r>
      <w:r w:rsidR="008F3193">
        <w:t xml:space="preserve"> </w:t>
      </w:r>
      <w:r>
        <w:t>Jeżeli przy przeszukaniu nie ma na miejscu gospodarza lokalu, należy do</w:t>
      </w:r>
      <w:r w:rsidR="00BD649E">
        <w:t> </w:t>
      </w:r>
      <w:r>
        <w:t>przeszukania przywołać przynajmniej jednego dorosłego domownika lub sąsiada.”</w:t>
      </w:r>
    </w:p>
    <w:p w14:paraId="15B896EE" w14:textId="77777777" w:rsidR="00B77507" w:rsidRPr="00CA4512" w:rsidRDefault="00B77507" w:rsidP="00CA4512">
      <w:pPr>
        <w:pStyle w:val="JuHArticle"/>
      </w:pPr>
      <w:r>
        <w:t>Artykuł 227</w:t>
      </w:r>
    </w:p>
    <w:p w14:paraId="6582DEEF" w14:textId="6474F96C" w:rsidR="00B77507" w:rsidRPr="00CA4512" w:rsidRDefault="00B77507" w:rsidP="00CA4512">
      <w:pPr>
        <w:pStyle w:val="JuQuot"/>
      </w:pPr>
      <w:r>
        <w:t>„Przeszukanie lub zatrzymanie rzeczy powinno być dokonane zgodnie z celem tej czynności, z zachowaniem umiaru, oraz w granicach niezbędnych dla osiągnięcia celu tych czynności przy zachowaniu należytej staranności, w poszanowaniu prywatności i</w:t>
      </w:r>
      <w:r w:rsidR="00BD649E">
        <w:t> </w:t>
      </w:r>
      <w:r>
        <w:t>godności osób, których ta czynność dotyczy, oraz bez wyrządzania niepotrzebnych szkód i dolegliwości.”</w:t>
      </w:r>
    </w:p>
    <w:p w14:paraId="68AF52AF" w14:textId="77777777" w:rsidR="00B77507" w:rsidRPr="00CA4512" w:rsidRDefault="00B77507" w:rsidP="00CA4512">
      <w:pPr>
        <w:pStyle w:val="JuHArticle"/>
      </w:pPr>
      <w:r>
        <w:t>Art. 236</w:t>
      </w:r>
    </w:p>
    <w:p w14:paraId="2903F7F1" w14:textId="77777777" w:rsidR="00B77507" w:rsidRPr="00CA4512" w:rsidRDefault="00B77507" w:rsidP="00CA4512">
      <w:pPr>
        <w:pStyle w:val="JuQuot"/>
      </w:pPr>
      <w:r>
        <w:t>„Na postanowienie dotyczące przeszukania, zatrzymania rzeczy i w przedmiocie dowodów rzeczowych oraz na inne czynności przysługuje zażalenie osobom, których prawa zostały naruszone; zażalenie na postanowienie wydane lub czynność dokonaną w postępowaniu przygotowawczym rozpoznaje sąd rejonowy, w okręgu którego prowadzone jest postępowanie.”</w:t>
      </w:r>
    </w:p>
    <w:p w14:paraId="184B8F67" w14:textId="77777777" w:rsidR="00B77507" w:rsidRPr="00CA4512" w:rsidRDefault="00B77507" w:rsidP="00CA4512">
      <w:pPr>
        <w:pStyle w:val="JuHHead"/>
      </w:pPr>
      <w:r>
        <w:t>PRAWO</w:t>
      </w:r>
    </w:p>
    <w:p w14:paraId="25C91466" w14:textId="6B84AF78" w:rsidR="00B77507" w:rsidRPr="00CA4512" w:rsidRDefault="00B77507" w:rsidP="00CA4512">
      <w:pPr>
        <w:pStyle w:val="JuHIRoman"/>
      </w:pPr>
      <w:r>
        <w:t xml:space="preserve">ZARZUT NARUSZENIA </w:t>
      </w:r>
      <w:r w:rsidR="002F136A">
        <w:t>art.</w:t>
      </w:r>
      <w:r>
        <w:t xml:space="preserve"> 8 KONWENCJI</w:t>
      </w:r>
    </w:p>
    <w:p w14:paraId="2E204674" w14:textId="58D84444" w:rsidR="00B77507" w:rsidRPr="00CA4512" w:rsidRDefault="002240A4" w:rsidP="00CA4512">
      <w:pPr>
        <w:pStyle w:val="JuPara"/>
      </w:pPr>
      <w:r>
        <w:rPr>
          <w:noProof/>
        </w:rPr>
        <w:t>16</w:t>
      </w:r>
      <w:r w:rsidR="00B77507">
        <w:t>.</w:t>
      </w:r>
      <w:r w:rsidR="008F3193">
        <w:t xml:space="preserve"> </w:t>
      </w:r>
      <w:r w:rsidR="00B77507">
        <w:t>Skarżący, powołując się na art. 6, art. 8 i art. 13 Konwencji</w:t>
      </w:r>
      <w:r w:rsidR="00D0319C">
        <w:t>,</w:t>
      </w:r>
      <w:r w:rsidR="00B77507">
        <w:t xml:space="preserve"> zarzucił, że przeszukanie jego domu stanowiło naruszenie jego praw. Trybunał </w:t>
      </w:r>
      <w:r w:rsidR="00405451">
        <w:t>uważa</w:t>
      </w:r>
      <w:r w:rsidR="00B77507">
        <w:t>, że zarzuty skarżącego należy rozpatrywać wyłącznie z perspektywy art.</w:t>
      </w:r>
      <w:r w:rsidR="008F3193">
        <w:t xml:space="preserve"> </w:t>
      </w:r>
      <w:r w:rsidR="00B77507">
        <w:t xml:space="preserve">8, mając na uwadze, że skoro na nim spoczywa </w:t>
      </w:r>
      <w:r w:rsidR="00405451">
        <w:t>kwalifikacja prawna</w:t>
      </w:r>
      <w:r w:rsidR="00B77507">
        <w:t xml:space="preserve"> okoliczności faktycznych sprawy, nie jest </w:t>
      </w:r>
      <w:r w:rsidR="0074374F">
        <w:t xml:space="preserve">związany </w:t>
      </w:r>
      <w:r w:rsidR="00B77507">
        <w:t>opisem przedstawionym przez skarżącego lub rząd (zob.</w:t>
      </w:r>
      <w:r w:rsidR="008F3193">
        <w:t xml:space="preserve"> </w:t>
      </w:r>
      <w:r w:rsidR="00B77507">
        <w:rPr>
          <w:i/>
          <w:iCs/>
        </w:rPr>
        <w:t>Radomilja i Inni przeciwko Chorwacji</w:t>
      </w:r>
      <w:r w:rsidR="00B77507">
        <w:t xml:space="preserve"> [WI], skargi nr</w:t>
      </w:r>
      <w:r w:rsidR="008F3193">
        <w:t xml:space="preserve"> </w:t>
      </w:r>
      <w:r w:rsidR="00B77507">
        <w:t>37685/10 i</w:t>
      </w:r>
      <w:r w:rsidR="008F3193">
        <w:t xml:space="preserve"> </w:t>
      </w:r>
      <w:r w:rsidR="00B77507">
        <w:t>22768/12, § 126, ETPC</w:t>
      </w:r>
      <w:r w:rsidR="008F3193">
        <w:t xml:space="preserve"> </w:t>
      </w:r>
      <w:r w:rsidR="00B77507">
        <w:t xml:space="preserve">2018). </w:t>
      </w:r>
      <w:r w:rsidR="00405451">
        <w:t>Art.</w:t>
      </w:r>
      <w:r w:rsidR="008F3193">
        <w:t xml:space="preserve"> </w:t>
      </w:r>
      <w:r w:rsidR="00B77507">
        <w:t>8 Konwencji stanowi:</w:t>
      </w:r>
    </w:p>
    <w:p w14:paraId="273B88DD" w14:textId="7BBFC56F" w:rsidR="00B77507" w:rsidRPr="00CA4512" w:rsidRDefault="00B77507" w:rsidP="00CA4512">
      <w:pPr>
        <w:pStyle w:val="JuQuot"/>
      </w:pPr>
      <w:r>
        <w:t>„1.</w:t>
      </w:r>
      <w:r w:rsidR="008F3193">
        <w:t xml:space="preserve"> </w:t>
      </w:r>
      <w:r>
        <w:t>Każdy ma prawo do poszanowania swojego życia prywatnego i rodzinnego, swojego mieszkania i swojej korespondencji.</w:t>
      </w:r>
    </w:p>
    <w:p w14:paraId="31FE4D05" w14:textId="1110D51B" w:rsidR="00B77507" w:rsidRPr="00CA4512" w:rsidRDefault="00B77507" w:rsidP="00CA4512">
      <w:pPr>
        <w:pStyle w:val="JuQuot"/>
      </w:pPr>
      <w:r>
        <w:t>2.</w:t>
      </w:r>
      <w:r w:rsidR="008F3193">
        <w:t xml:space="preserve"> </w:t>
      </w:r>
      <w:r>
        <w:t>Niedopuszczalna jest ingerencja władzy publicznej w korzystanie z tego prawa z</w:t>
      </w:r>
      <w:r w:rsidR="00BD649E">
        <w:t> </w:t>
      </w:r>
      <w:r>
        <w:t>wyjątkiem przypadków przewidzianych przez ustawę i koniecznych w</w:t>
      </w:r>
      <w:r w:rsidR="00BD649E">
        <w:t> </w:t>
      </w:r>
      <w:r>
        <w:t>demokratycznym społeczeństwie z uwagi na bezpieczeństwo państwowe, bezpieczeństwo publiczne lub dobrobyt gospodarczy kraju, ochronę porządku i</w:t>
      </w:r>
      <w:r w:rsidR="00BD649E">
        <w:t> </w:t>
      </w:r>
      <w:r>
        <w:t>zapobieganie przestępstwom, ochronę zdrowia i moralności lub ochronę praw i</w:t>
      </w:r>
      <w:r w:rsidR="00BD649E">
        <w:t> </w:t>
      </w:r>
      <w:r>
        <w:t>wolności osób.”</w:t>
      </w:r>
      <w:bookmarkStart w:id="6" w:name="_Hlk34206479"/>
    </w:p>
    <w:bookmarkEnd w:id="6"/>
    <w:p w14:paraId="03DD7E47" w14:textId="77777777" w:rsidR="00B77507" w:rsidRPr="00CA4512" w:rsidRDefault="00B77507" w:rsidP="00CA4512">
      <w:pPr>
        <w:pStyle w:val="JuHA"/>
      </w:pPr>
      <w:r>
        <w:t>Dopuszczalność</w:t>
      </w:r>
    </w:p>
    <w:p w14:paraId="63422BE1" w14:textId="16A01B7D" w:rsidR="00B77507" w:rsidRPr="00CA4512" w:rsidRDefault="002240A4" w:rsidP="00CA4512">
      <w:pPr>
        <w:pStyle w:val="JuPara"/>
      </w:pPr>
      <w:r>
        <w:rPr>
          <w:noProof/>
        </w:rPr>
        <w:t>17</w:t>
      </w:r>
      <w:r w:rsidR="00B77507">
        <w:t>.</w:t>
      </w:r>
      <w:r w:rsidR="008F3193">
        <w:t xml:space="preserve"> </w:t>
      </w:r>
      <w:r w:rsidR="00B77507">
        <w:t>Trybunał stwierdza, że skarga nie jest ani w sposób oczywisty nieuzasadniona, ani niedopuszczalna z innych powodów wymienionych w</w:t>
      </w:r>
      <w:r w:rsidR="00BD649E">
        <w:t> </w:t>
      </w:r>
      <w:r w:rsidR="00B77507">
        <w:t>art. 35 Konwencji. Musi zatem zostać uznana za dopuszczalną.</w:t>
      </w:r>
    </w:p>
    <w:p w14:paraId="7C9A3884" w14:textId="77777777" w:rsidR="00B77507" w:rsidRPr="00CA4512" w:rsidRDefault="00B77507" w:rsidP="00CA4512">
      <w:pPr>
        <w:pStyle w:val="JuHA"/>
        <w:keepNext w:val="0"/>
        <w:keepLines w:val="0"/>
      </w:pPr>
      <w:r>
        <w:lastRenderedPageBreak/>
        <w:t>Przedmiot skargi</w:t>
      </w:r>
    </w:p>
    <w:p w14:paraId="437721BB" w14:textId="7A19A712" w:rsidR="00B77507" w:rsidRPr="00CA4512" w:rsidRDefault="00D1148F" w:rsidP="00CA4512">
      <w:pPr>
        <w:pStyle w:val="JuH1"/>
      </w:pPr>
      <w:r>
        <w:t>Stanowiska</w:t>
      </w:r>
      <w:r w:rsidR="00B77507">
        <w:t xml:space="preserve"> stron</w:t>
      </w:r>
    </w:p>
    <w:p w14:paraId="4C55CD7D" w14:textId="2B9973B1" w:rsidR="00B77507" w:rsidRPr="00CA4512" w:rsidRDefault="002240A4" w:rsidP="00CA4512">
      <w:pPr>
        <w:pStyle w:val="JuPara"/>
      </w:pPr>
      <w:r>
        <w:rPr>
          <w:noProof/>
        </w:rPr>
        <w:t>18</w:t>
      </w:r>
      <w:r w:rsidR="00B77507">
        <w:t>.</w:t>
      </w:r>
      <w:r w:rsidR="008F3193">
        <w:t xml:space="preserve"> </w:t>
      </w:r>
      <w:r w:rsidR="00B77507">
        <w:t xml:space="preserve">Skarżący utrzymywał, że postanowienie prokuratora </w:t>
      </w:r>
      <w:r w:rsidR="00155C5D">
        <w:t>zezwalające na</w:t>
      </w:r>
      <w:r w:rsidR="00BD649E">
        <w:t> </w:t>
      </w:r>
      <w:r w:rsidR="00B77507">
        <w:t>przeszukani</w:t>
      </w:r>
      <w:r w:rsidR="00155C5D">
        <w:t>e</w:t>
      </w:r>
      <w:r w:rsidR="00B77507">
        <w:t xml:space="preserve"> jego domu narusz</w:t>
      </w:r>
      <w:r w:rsidR="00155C5D">
        <w:t>y</w:t>
      </w:r>
      <w:r w:rsidR="00B77507">
        <w:t>ło jego prawa chronione art. 8 Konwencji. Skarżący przyjął do wiadomości, że podstawą prawną przeszukania był art.</w:t>
      </w:r>
      <w:r w:rsidR="00BD649E">
        <w:t> </w:t>
      </w:r>
      <w:r w:rsidR="00B77507">
        <w:t xml:space="preserve">44 Kodeksu postępowania w sprawach o wykroczenia; </w:t>
      </w:r>
      <w:r w:rsidR="0074374F">
        <w:t xml:space="preserve">twierdził </w:t>
      </w:r>
      <w:r w:rsidR="00B77507">
        <w:t xml:space="preserve">jednak, że przepis ów w jego przypadku zastosowano arbitralnie. Prokurator, postanawiając o przeszukaniu, nie zbadał w szczególności, czy taki środek był proporcjonalny i konieczny. Ponadto jego postanowienie zostało </w:t>
      </w:r>
      <w:r w:rsidR="00D05300">
        <w:t xml:space="preserve">utrzymane w mocy </w:t>
      </w:r>
      <w:r w:rsidR="00B77507">
        <w:t>przez sąd rejonowy bez wskazania żadnych dodatkowych argumentów uzasadniających taką ingerencję. Skarżący stwierdził, że prawo krajowe nie zabraniało posiadania ulotek, zwłaszcza takich, które zawierały informacje dostępne</w:t>
      </w:r>
      <w:r w:rsidR="00BC31DC">
        <w:t xml:space="preserve"> publicznie</w:t>
      </w:r>
      <w:r w:rsidR="00B77507">
        <w:t xml:space="preserve">. </w:t>
      </w:r>
      <w:r w:rsidR="00BC31DC">
        <w:t xml:space="preserve">Brak było dowodu na </w:t>
      </w:r>
      <w:r w:rsidR="00B77507">
        <w:t>powiązani</w:t>
      </w:r>
      <w:r w:rsidR="00BC31DC">
        <w:t>e</w:t>
      </w:r>
      <w:r w:rsidR="00B77507">
        <w:t xml:space="preserve"> skarżącego z wykroczeniem </w:t>
      </w:r>
      <w:r w:rsidR="00BC31DC">
        <w:t>nielegalnego</w:t>
      </w:r>
      <w:r w:rsidR="00B77507">
        <w:t xml:space="preserve"> kolportażu ulotek, zatem prawdziwym celem przeszukania było zastraszenie go bez szczególnego powodu. W tych okoliczności</w:t>
      </w:r>
      <w:r w:rsidR="00BC31DC">
        <w:t>ach</w:t>
      </w:r>
      <w:r w:rsidR="00B77507">
        <w:t xml:space="preserve"> nie można twierdzić, że środek </w:t>
      </w:r>
      <w:r w:rsidR="00BC31DC">
        <w:t>ten</w:t>
      </w:r>
      <w:r w:rsidR="00B77507">
        <w:t xml:space="preserve"> służył </w:t>
      </w:r>
      <w:r w:rsidR="00BC31DC">
        <w:t xml:space="preserve">jakiemukolwiek </w:t>
      </w:r>
      <w:r w:rsidR="00B77507">
        <w:t>uprawnionemu celowi. Skarżący podkreślił, że</w:t>
      </w:r>
      <w:r w:rsidR="001957C8">
        <w:t xml:space="preserve"> zastosowane środki nie był</w:t>
      </w:r>
      <w:r w:rsidR="004C79F8">
        <w:t>y</w:t>
      </w:r>
      <w:r w:rsidR="001957C8">
        <w:t xml:space="preserve"> proporcjonalne do celu</w:t>
      </w:r>
      <w:r w:rsidR="00B77507">
        <w:t>, którego osiągnięciu miały służyć.</w:t>
      </w:r>
    </w:p>
    <w:p w14:paraId="12B903FD" w14:textId="009C1AEB" w:rsidR="00B77507" w:rsidRPr="00CA4512" w:rsidRDefault="002240A4" w:rsidP="00CA4512">
      <w:pPr>
        <w:pStyle w:val="JuPara"/>
      </w:pPr>
      <w:r>
        <w:rPr>
          <w:noProof/>
        </w:rPr>
        <w:t>19</w:t>
      </w:r>
      <w:r w:rsidR="00B77507">
        <w:t>.</w:t>
      </w:r>
      <w:r w:rsidR="008F3193">
        <w:t xml:space="preserve"> </w:t>
      </w:r>
      <w:r w:rsidR="00B77507">
        <w:t>Rząd twierdził, że przeszukanie zostało przeprowadzone z</w:t>
      </w:r>
      <w:r w:rsidR="00BD649E">
        <w:t> </w:t>
      </w:r>
      <w:r w:rsidR="00B77507">
        <w:t xml:space="preserve">poszanowaniem wszystkich gwarancji </w:t>
      </w:r>
      <w:r w:rsidR="00305376">
        <w:t>proceduralnych</w:t>
      </w:r>
      <w:r w:rsidR="00B77507">
        <w:t xml:space="preserve"> i nie doszło do</w:t>
      </w:r>
      <w:r w:rsidR="00BD649E">
        <w:t> </w:t>
      </w:r>
      <w:r w:rsidR="00B77507">
        <w:t>naruszenia art. 8 Konwencji. Rząd przyznał, że przeszukanie domu skarżącego stanowiło ingerencję w jego prawo do poszanowania</w:t>
      </w:r>
      <w:r w:rsidR="001957C8">
        <w:t xml:space="preserve"> mieszkania</w:t>
      </w:r>
      <w:r w:rsidR="00B77507">
        <w:t>, ale była to ingerencja przewidziana przez ustawę (</w:t>
      </w:r>
      <w:r w:rsidR="00305376">
        <w:t>art.</w:t>
      </w:r>
      <w:r w:rsidR="00B77507">
        <w:t xml:space="preserve"> 44 § 3 Kodeksu postępowania w sprawach o wykroczenia). Inne przepisy prawa krajowego określały sposób</w:t>
      </w:r>
      <w:r w:rsidR="00305376">
        <w:t>, w jaki przeszukanie winno być przeprowadzane</w:t>
      </w:r>
      <w:r w:rsidR="00B77507">
        <w:t xml:space="preserve"> (przepisy o obecności osoby, u której dokonuje się przeszukania</w:t>
      </w:r>
      <w:r w:rsidR="001957C8">
        <w:t>,</w:t>
      </w:r>
      <w:r w:rsidR="00B77507">
        <w:t xml:space="preserve"> oraz innej, wskazanej przez nią osoby; zakaz przeszukań w porze nocnej; obowiązek niewyrządzania szkód lub </w:t>
      </w:r>
      <w:r w:rsidR="00BD05E6">
        <w:t>niekoniecznych</w:t>
      </w:r>
      <w:r w:rsidR="00B77507">
        <w:t xml:space="preserve"> dolegliwości)</w:t>
      </w:r>
      <w:r w:rsidR="00BD05E6">
        <w:t>.</w:t>
      </w:r>
      <w:r w:rsidR="00B77507">
        <w:t xml:space="preserve"> W </w:t>
      </w:r>
      <w:r w:rsidR="00BD05E6">
        <w:t>niniejszej</w:t>
      </w:r>
      <w:r w:rsidR="00B77507">
        <w:t xml:space="preserve"> sprawie </w:t>
      </w:r>
      <w:r w:rsidR="00BD05E6">
        <w:t>zachowano</w:t>
      </w:r>
      <w:r w:rsidR="00B77507">
        <w:t xml:space="preserve"> wszystkie te gwarancje procesowe. Ponadto Rząd podkreślił, że ingerencja służyła uprawnionemu celowi, mianowicie ochronie porządku publicznego oraz praw i wolności innych osób.</w:t>
      </w:r>
    </w:p>
    <w:p w14:paraId="5EDAB0A3" w14:textId="51E9ABC7" w:rsidR="00B77507" w:rsidRPr="00CA4512" w:rsidRDefault="002240A4" w:rsidP="00CA4512">
      <w:pPr>
        <w:pStyle w:val="JuPara"/>
      </w:pPr>
      <w:r>
        <w:rPr>
          <w:noProof/>
        </w:rPr>
        <w:t>20</w:t>
      </w:r>
      <w:r w:rsidR="00B77507">
        <w:t>.</w:t>
      </w:r>
      <w:r w:rsidR="008F3193">
        <w:t xml:space="preserve"> </w:t>
      </w:r>
      <w:r w:rsidR="00B77507">
        <w:t>Rząd ponadto utrzymywał, że przeszukanie było konieczne w</w:t>
      </w:r>
      <w:r w:rsidR="00BD649E">
        <w:t> </w:t>
      </w:r>
      <w:r w:rsidR="00B77507">
        <w:t xml:space="preserve">demokratycznym społeczeństwie. Ulotki zostały bezprawnie rozmieszczone w licznych miejscach w trzech sąsiadujących miejscowościach. Jak potwierdziły nagrania z monitoringu, </w:t>
      </w:r>
      <w:r w:rsidR="00D05300">
        <w:t>w zdarzeni</w:t>
      </w:r>
      <w:r w:rsidR="00BD05E6">
        <w:t>e zaangażowanych</w:t>
      </w:r>
      <w:r w:rsidR="00D05300">
        <w:t xml:space="preserve"> </w:t>
      </w:r>
      <w:r w:rsidR="00BD05E6">
        <w:t xml:space="preserve">było </w:t>
      </w:r>
      <w:r w:rsidR="00B77507">
        <w:t xml:space="preserve">kilka osób, co uzasadniało „społeczną potrzebę” stanowczego przeciwdziałania naruszeniom prawa na taką skalę. Rząd utrzymywał też, że przeszukanie było proporcjonalne i konieczne. Okoliczność, że </w:t>
      </w:r>
      <w:r w:rsidR="00BD05E6">
        <w:t>było ono bezowocne</w:t>
      </w:r>
      <w:r w:rsidR="00B77507">
        <w:t xml:space="preserve"> nie pozbawi</w:t>
      </w:r>
      <w:r w:rsidR="00BD05E6">
        <w:t>ło</w:t>
      </w:r>
      <w:r w:rsidR="00B77507">
        <w:t xml:space="preserve"> go przymiotu niezbędności.</w:t>
      </w:r>
    </w:p>
    <w:p w14:paraId="06B7521B" w14:textId="77777777" w:rsidR="00B77507" w:rsidRPr="00CA4512" w:rsidRDefault="00B77507" w:rsidP="00CA4512">
      <w:pPr>
        <w:pStyle w:val="JuH1"/>
      </w:pPr>
      <w:r>
        <w:lastRenderedPageBreak/>
        <w:t>Ocena Trybunału</w:t>
      </w:r>
    </w:p>
    <w:p w14:paraId="41D59712" w14:textId="5094E480" w:rsidR="00B77507" w:rsidRPr="00CA4512" w:rsidRDefault="002240A4" w:rsidP="00CA4512">
      <w:pPr>
        <w:pStyle w:val="JuPara"/>
      </w:pPr>
      <w:r>
        <w:rPr>
          <w:noProof/>
        </w:rPr>
        <w:t>21</w:t>
      </w:r>
      <w:r w:rsidR="00B77507">
        <w:t>.</w:t>
      </w:r>
      <w:r w:rsidR="008F3193">
        <w:t xml:space="preserve"> </w:t>
      </w:r>
      <w:r w:rsidR="00B77507">
        <w:t xml:space="preserve">Nie ulega wątpliwości, że przeszukanie przeprowadzone w domu skarżącego stanowiło „ingerencję” w jego prawo do poszanowania </w:t>
      </w:r>
      <w:r w:rsidR="001957C8">
        <w:t xml:space="preserve">mieszkania </w:t>
      </w:r>
      <w:r w:rsidR="00B77507">
        <w:t>zagwarantowane art. 8 Konwencji.</w:t>
      </w:r>
    </w:p>
    <w:p w14:paraId="3A116F65" w14:textId="3631DD89" w:rsidR="00B77507" w:rsidRPr="00CA4512" w:rsidRDefault="002240A4" w:rsidP="00CA4512">
      <w:pPr>
        <w:pStyle w:val="JuPara"/>
      </w:pPr>
      <w:r>
        <w:rPr>
          <w:noProof/>
        </w:rPr>
        <w:t>22</w:t>
      </w:r>
      <w:r w:rsidR="00B77507">
        <w:t>.</w:t>
      </w:r>
      <w:r w:rsidR="008F3193">
        <w:t xml:space="preserve"> </w:t>
      </w:r>
      <w:r w:rsidR="00B77507">
        <w:t>Trybunał zauważa, że celem tego przeszukania</w:t>
      </w:r>
      <w:r w:rsidR="0024066B">
        <w:t xml:space="preserve">, jak wskazano </w:t>
      </w:r>
      <w:r w:rsidR="00B77507">
        <w:t>w</w:t>
      </w:r>
      <w:r w:rsidR="00BD649E">
        <w:t> </w:t>
      </w:r>
      <w:r w:rsidR="00B77507">
        <w:t>postanowienia prokuratora</w:t>
      </w:r>
      <w:r w:rsidR="0024066B">
        <w:t>,</w:t>
      </w:r>
      <w:r w:rsidR="00B77507">
        <w:t xml:space="preserve"> było ujawnienie dowodów </w:t>
      </w:r>
      <w:r w:rsidR="002610E9">
        <w:t xml:space="preserve">rzeczowych </w:t>
      </w:r>
      <w:r w:rsidR="00B77507">
        <w:t>w</w:t>
      </w:r>
      <w:r w:rsidR="00BD649E">
        <w:t> </w:t>
      </w:r>
      <w:r w:rsidR="00B77507">
        <w:t xml:space="preserve">sprawie, w której </w:t>
      </w:r>
      <w:r w:rsidR="002610E9">
        <w:t>prowadzono</w:t>
      </w:r>
      <w:r w:rsidR="00B77507">
        <w:t xml:space="preserve"> postępowanie. Trybunał </w:t>
      </w:r>
      <w:r w:rsidR="0024066B">
        <w:t>akceptuje</w:t>
      </w:r>
      <w:r w:rsidR="002610E9">
        <w:t xml:space="preserve"> zatem stanowisko</w:t>
      </w:r>
      <w:r w:rsidR="00B77507">
        <w:t xml:space="preserve"> Rządu, </w:t>
      </w:r>
      <w:r w:rsidR="002610E9">
        <w:t xml:space="preserve">zgodnie z którym </w:t>
      </w:r>
      <w:r w:rsidR="00B77507">
        <w:t xml:space="preserve">ingerencja była przewidziana ustawą, </w:t>
      </w:r>
      <w:r w:rsidR="002610E9">
        <w:t>a</w:t>
      </w:r>
      <w:r w:rsidR="00BD649E">
        <w:t> </w:t>
      </w:r>
      <w:r w:rsidR="00B77507">
        <w:t>mianowicie art. 44 Kodeksu postępowania w sprawach o wykroczenia</w:t>
      </w:r>
      <w:r w:rsidR="002610E9">
        <w:t>,</w:t>
      </w:r>
      <w:r w:rsidR="00B77507">
        <w:t xml:space="preserve"> oraz</w:t>
      </w:r>
      <w:r w:rsidR="00BD649E">
        <w:t> </w:t>
      </w:r>
      <w:r w:rsidR="00B77507">
        <w:t>służyła uprawnionym celom – utrzymaniu bezpieczeństwa publicznego, ochronie porządku lub zapobieganiu przestępstwom oraz ochronie praw i</w:t>
      </w:r>
      <w:r w:rsidR="00BD649E">
        <w:t> </w:t>
      </w:r>
      <w:r w:rsidR="00B77507">
        <w:t xml:space="preserve">wolności </w:t>
      </w:r>
      <w:r w:rsidR="0024066B">
        <w:t xml:space="preserve">innych </w:t>
      </w:r>
      <w:r w:rsidR="00B77507">
        <w:t xml:space="preserve">osób. Pozostaje zatem ustalić, czy przeszukanie było „konieczne w </w:t>
      </w:r>
      <w:r w:rsidR="00BA2895">
        <w:t xml:space="preserve">społeczeństwie </w:t>
      </w:r>
      <w:r w:rsidR="00B77507">
        <w:t>demokratycznym”.</w:t>
      </w:r>
    </w:p>
    <w:p w14:paraId="49EB5812" w14:textId="4DD7784B" w:rsidR="00B77507" w:rsidRPr="00CA4512" w:rsidRDefault="002240A4" w:rsidP="00CA4512">
      <w:pPr>
        <w:pStyle w:val="JuPara"/>
      </w:pPr>
      <w:r>
        <w:rPr>
          <w:noProof/>
        </w:rPr>
        <w:t>23</w:t>
      </w:r>
      <w:r w:rsidR="00B77507">
        <w:t>.</w:t>
      </w:r>
      <w:r w:rsidR="008F3193">
        <w:t xml:space="preserve"> </w:t>
      </w:r>
      <w:r w:rsidR="00B77507">
        <w:t>Zgodnie z utrwalonym orzecznictwem Trybunału pojęcie „konieczności” oznacza, że ingerencja odpowiada pilnej potrzebie społeczne</w:t>
      </w:r>
      <w:r w:rsidR="00BA2895">
        <w:t>j</w:t>
      </w:r>
      <w:r w:rsidR="00B77507">
        <w:t xml:space="preserve"> oraz</w:t>
      </w:r>
      <w:r w:rsidR="00BA2895">
        <w:t>,</w:t>
      </w:r>
      <w:r w:rsidR="00B77507">
        <w:t xml:space="preserve"> w szczególności</w:t>
      </w:r>
      <w:r w:rsidR="00BA2895">
        <w:t>, że</w:t>
      </w:r>
      <w:r w:rsidR="00B77507">
        <w:t xml:space="preserve"> jest proporcjonalna do uprawnionego celu, który ma zostać osiągnięty (zob. m.in. </w:t>
      </w:r>
      <w:r w:rsidR="00B77507">
        <w:rPr>
          <w:rFonts w:ascii="TimesNewRomanPS-ItalicMT" w:hAnsi="TimesNewRomanPS-ItalicMT"/>
          <w:i/>
          <w:iCs/>
        </w:rPr>
        <w:t>Olsson przeciwko Szwecji (nr 1)</w:t>
      </w:r>
      <w:r w:rsidR="00B77507">
        <w:t>, 24 marca 1988 r., § 67, seria A nr</w:t>
      </w:r>
      <w:r w:rsidR="008F3193">
        <w:t xml:space="preserve"> </w:t>
      </w:r>
      <w:r w:rsidR="00B77507">
        <w:t>130).</w:t>
      </w:r>
    </w:p>
    <w:p w14:paraId="649E9755" w14:textId="36B8AEFF" w:rsidR="00B77507" w:rsidRPr="00CA4512" w:rsidRDefault="002240A4" w:rsidP="00CA4512">
      <w:pPr>
        <w:pStyle w:val="JuPara"/>
      </w:pPr>
      <w:r>
        <w:rPr>
          <w:noProof/>
        </w:rPr>
        <w:t>24</w:t>
      </w:r>
      <w:r w:rsidR="00B77507">
        <w:t>.</w:t>
      </w:r>
      <w:r w:rsidR="008F3193">
        <w:t xml:space="preserve"> </w:t>
      </w:r>
      <w:r w:rsidR="00B77507">
        <w:t xml:space="preserve">Trybunał </w:t>
      </w:r>
      <w:r w:rsidR="00BA2895">
        <w:t>musi</w:t>
      </w:r>
      <w:r w:rsidR="00B77507">
        <w:t xml:space="preserve"> zatem </w:t>
      </w:r>
      <w:r w:rsidR="00BA2895">
        <w:t>ustalić</w:t>
      </w:r>
      <w:r w:rsidR="00B77507">
        <w:t xml:space="preserve">, w okolicznościach </w:t>
      </w:r>
      <w:r w:rsidR="00BA2895">
        <w:t>niniejszej</w:t>
      </w:r>
      <w:r w:rsidR="00B77507">
        <w:t xml:space="preserve"> sprawy</w:t>
      </w:r>
      <w:r w:rsidR="00BA2895">
        <w:t>,</w:t>
      </w:r>
      <w:r w:rsidR="00B77507">
        <w:t xml:space="preserve"> </w:t>
      </w:r>
      <w:r w:rsidR="008D4D3F">
        <w:t>czy</w:t>
      </w:r>
      <w:r w:rsidR="00BD649E">
        <w:t> </w:t>
      </w:r>
      <w:r w:rsidR="008D4D3F">
        <w:t xml:space="preserve">wchodząc </w:t>
      </w:r>
      <w:r w:rsidR="00B77507">
        <w:t>do domu skarżącego</w:t>
      </w:r>
      <w:r w:rsidR="00DB50E0">
        <w:t>,</w:t>
      </w:r>
      <w:r w:rsidR="00B77507">
        <w:t xml:space="preserve"> </w:t>
      </w:r>
      <w:r w:rsidR="000D058F">
        <w:t xml:space="preserve">zachowano </w:t>
      </w:r>
      <w:r w:rsidR="008D4D3F">
        <w:t>właściwą</w:t>
      </w:r>
      <w:r w:rsidR="00B77507">
        <w:t xml:space="preserve"> równowagę </w:t>
      </w:r>
      <w:r w:rsidR="008D4D3F">
        <w:t>po</w:t>
      </w:r>
      <w:r w:rsidR="00B77507">
        <w:t xml:space="preserve">między </w:t>
      </w:r>
      <w:r w:rsidR="008D4D3F">
        <w:t>istotnymi dobrami</w:t>
      </w:r>
      <w:r w:rsidR="00B77507">
        <w:t xml:space="preserve">, mianowicie jego prawem do poszanowania </w:t>
      </w:r>
      <w:r w:rsidR="00DB50E0">
        <w:t xml:space="preserve">mieszkania </w:t>
      </w:r>
      <w:r w:rsidR="00B77507">
        <w:t xml:space="preserve">z jednej strony, a </w:t>
      </w:r>
      <w:r w:rsidR="00DB50E0">
        <w:t>ochroną porządku</w:t>
      </w:r>
      <w:r w:rsidR="008D4D3F">
        <w:t xml:space="preserve"> i </w:t>
      </w:r>
      <w:r w:rsidR="00DB50E0">
        <w:t>zapobieganiem przestępstwom</w:t>
      </w:r>
      <w:r w:rsidR="00C66950">
        <w:t xml:space="preserve"> oraz </w:t>
      </w:r>
      <w:r w:rsidR="00B77507">
        <w:t>ochroną praw i wolności innych osób</w:t>
      </w:r>
      <w:r w:rsidR="00C66950">
        <w:t>, z drugiej strony</w:t>
      </w:r>
      <w:r w:rsidR="00B77507">
        <w:t xml:space="preserve"> (zob. </w:t>
      </w:r>
      <w:r w:rsidR="00B77507">
        <w:rPr>
          <w:i/>
        </w:rPr>
        <w:t xml:space="preserve">McLeod </w:t>
      </w:r>
      <w:r w:rsidR="00B77507" w:rsidRPr="008D3D41">
        <w:rPr>
          <w:i/>
          <w:iCs/>
        </w:rPr>
        <w:t>przeciwko Zjednoczonemu Królestwu</w:t>
      </w:r>
      <w:r w:rsidR="00B77507">
        <w:t>, 23</w:t>
      </w:r>
      <w:r w:rsidR="008F3193">
        <w:t xml:space="preserve"> </w:t>
      </w:r>
      <w:r w:rsidR="00B77507">
        <w:t>września 1998 r., §</w:t>
      </w:r>
      <w:r w:rsidR="00BD649E">
        <w:t> </w:t>
      </w:r>
      <w:r w:rsidR="00B77507">
        <w:t xml:space="preserve">53, Zbiór </w:t>
      </w:r>
      <w:r w:rsidR="00C66950">
        <w:t>w</w:t>
      </w:r>
      <w:r w:rsidR="00B77507">
        <w:t xml:space="preserve">yroków i </w:t>
      </w:r>
      <w:r w:rsidR="00C66950">
        <w:t>d</w:t>
      </w:r>
      <w:r w:rsidR="00B77507">
        <w:t xml:space="preserve">ecyzji 1998-VII oraz </w:t>
      </w:r>
      <w:bookmarkStart w:id="7" w:name="File5"/>
      <w:r w:rsidR="00B77507">
        <w:rPr>
          <w:i/>
        </w:rPr>
        <w:t>National</w:t>
      </w:r>
      <w:bookmarkEnd w:id="7"/>
      <w:r w:rsidR="00B77507">
        <w:rPr>
          <w:i/>
        </w:rPr>
        <w:t xml:space="preserve"> Federation of</w:t>
      </w:r>
      <w:r w:rsidR="00BD649E">
        <w:rPr>
          <w:i/>
        </w:rPr>
        <w:t> </w:t>
      </w:r>
      <w:r w:rsidR="00B77507">
        <w:rPr>
          <w:i/>
        </w:rPr>
        <w:t>Sportspersons’ Associations and Unions (FNASS) i Inni przeciwko Francji</w:t>
      </w:r>
      <w:r w:rsidR="00C66950">
        <w:rPr>
          <w:i/>
        </w:rPr>
        <w:t>,</w:t>
      </w:r>
      <w:r w:rsidR="00B77507">
        <w:t xml:space="preserve"> nr 48151/11 77769/13, 18 stycznia 2018 r., §§</w:t>
      </w:r>
      <w:r w:rsidR="00C66950">
        <w:t xml:space="preserve"> 166 i </w:t>
      </w:r>
      <w:r w:rsidR="00B77507">
        <w:t>170). Choć Układającym się Państwom pozostawiono pewien margines</w:t>
      </w:r>
      <w:r w:rsidR="005366DC">
        <w:t xml:space="preserve"> oceny</w:t>
      </w:r>
      <w:r w:rsidR="00B77507">
        <w:t xml:space="preserve">, to wyjątki przewidziane w art. 8 ust. 2 należy interpretować wąsko, a potrzeba ograniczeń </w:t>
      </w:r>
      <w:r w:rsidR="00C66950">
        <w:t xml:space="preserve">w danej sprawie </w:t>
      </w:r>
      <w:r w:rsidR="00B77507">
        <w:t>musi być ustalona w sposób przekonujący (zob.</w:t>
      </w:r>
      <w:r w:rsidR="00BD649E">
        <w:t> </w:t>
      </w:r>
      <w:r w:rsidR="00B77507">
        <w:rPr>
          <w:i/>
        </w:rPr>
        <w:t>Funke przeciwko Francji</w:t>
      </w:r>
      <w:r w:rsidR="00B77507">
        <w:t>, 25 lutego 1993 r., §</w:t>
      </w:r>
      <w:r w:rsidR="008F3193">
        <w:t xml:space="preserve"> </w:t>
      </w:r>
      <w:r w:rsidR="00B77507">
        <w:t>55, seria A nr 256</w:t>
      </w:r>
      <w:r w:rsidR="00B77507">
        <w:noBreakHyphen/>
        <w:t>A). Trybunał oceni w szczególności, czy względy przytoczone dla uzasadnienia takich środków były odpowiednie i wystarczające oraz czy istniały odpowiednie oraz skuteczne gwarancje zabezpieczające przed nadużyciem (zob</w:t>
      </w:r>
      <w:r w:rsidR="000D058F">
        <w:t>.</w:t>
      </w:r>
      <w:r w:rsidR="00B77507">
        <w:t xml:space="preserve"> m.in. </w:t>
      </w:r>
      <w:r w:rsidR="00B77507">
        <w:rPr>
          <w:i/>
        </w:rPr>
        <w:t xml:space="preserve">Buck </w:t>
      </w:r>
      <w:r w:rsidR="00B77507" w:rsidRPr="008D3D41">
        <w:rPr>
          <w:i/>
          <w:iCs/>
        </w:rPr>
        <w:t>przeciwko Niemcom</w:t>
      </w:r>
      <w:r w:rsidR="000D058F">
        <w:t>,</w:t>
      </w:r>
      <w:r w:rsidR="00B77507">
        <w:t xml:space="preserve"> nr</w:t>
      </w:r>
      <w:r w:rsidR="008F3193">
        <w:t xml:space="preserve"> </w:t>
      </w:r>
      <w:r w:rsidR="00B77507">
        <w:t>41604/98, § 44</w:t>
      </w:r>
      <w:r w:rsidR="00B77507">
        <w:noBreakHyphen/>
        <w:t>45, ETPC 2005-IV).</w:t>
      </w:r>
    </w:p>
    <w:p w14:paraId="33208E31" w14:textId="4F72F0EC" w:rsidR="00B77507" w:rsidRPr="00CA4512" w:rsidRDefault="002240A4" w:rsidP="00CA4512">
      <w:pPr>
        <w:pStyle w:val="JuPara"/>
      </w:pPr>
      <w:r>
        <w:rPr>
          <w:noProof/>
        </w:rPr>
        <w:t>25</w:t>
      </w:r>
      <w:r w:rsidR="00B77507">
        <w:t>.</w:t>
      </w:r>
      <w:r w:rsidR="008F3193">
        <w:t xml:space="preserve"> </w:t>
      </w:r>
      <w:r w:rsidR="00B77507">
        <w:t>Jeżeli chodzi o przeszukania</w:t>
      </w:r>
      <w:r w:rsidR="00DB50E0">
        <w:t>,</w:t>
      </w:r>
      <w:r w:rsidR="00B77507">
        <w:t xml:space="preserve"> Trybunał konsekwentnie stwierdzał, że</w:t>
      </w:r>
      <w:r w:rsidR="00BD649E">
        <w:t> </w:t>
      </w:r>
      <w:r w:rsidR="00B77507">
        <w:t xml:space="preserve">Układające się Państwa mogą uznać za konieczne sięgnięcie po takie środki w celu </w:t>
      </w:r>
      <w:r w:rsidR="000A29B1">
        <w:t>u</w:t>
      </w:r>
      <w:r w:rsidR="00B77507">
        <w:t xml:space="preserve">zyskania </w:t>
      </w:r>
      <w:r w:rsidR="000A29B1">
        <w:t xml:space="preserve">dowodów </w:t>
      </w:r>
      <w:r w:rsidR="000D058F">
        <w:t xml:space="preserve">rzeczowych </w:t>
      </w:r>
      <w:r w:rsidR="00B77507">
        <w:t>określon</w:t>
      </w:r>
      <w:r w:rsidR="000D058F">
        <w:t>ych</w:t>
      </w:r>
      <w:r w:rsidR="00B77507">
        <w:t xml:space="preserve"> czyn</w:t>
      </w:r>
      <w:r w:rsidR="000D058F">
        <w:t>ów</w:t>
      </w:r>
      <w:r w:rsidR="00B77507">
        <w:t xml:space="preserve"> zabronion</w:t>
      </w:r>
      <w:r w:rsidR="000D058F">
        <w:t>ych</w:t>
      </w:r>
      <w:r w:rsidR="00B77507">
        <w:t xml:space="preserve"> Trybunał oceni, czy </w:t>
      </w:r>
      <w:r w:rsidR="003312ED">
        <w:t>powody</w:t>
      </w:r>
      <w:r w:rsidR="00B77507">
        <w:t xml:space="preserve"> przytoczone na uzasadnienie takich środków były „odpowiednie” i „wystarczające”</w:t>
      </w:r>
      <w:r>
        <w:t xml:space="preserve"> </w:t>
      </w:r>
      <w:r w:rsidR="00B77507">
        <w:t>oraz czy przestrzegano wyżej wspomnianej zasady proporcjonalności. Co się tyczy tej ostatniej kwestii, Trybunał musi w</w:t>
      </w:r>
      <w:r w:rsidR="000D058F">
        <w:t xml:space="preserve"> </w:t>
      </w:r>
      <w:r w:rsidR="00B77507">
        <w:t>pierw</w:t>
      </w:r>
      <w:r w:rsidR="000D058F">
        <w:t>szej kolejności</w:t>
      </w:r>
      <w:r w:rsidR="00B77507">
        <w:t xml:space="preserve"> ustalić</w:t>
      </w:r>
      <w:r w:rsidR="003312ED">
        <w:t>,</w:t>
      </w:r>
      <w:r w:rsidR="00B77507">
        <w:t xml:space="preserve"> czy odpowiednie przepisy prawa i praktyka zapewniały jednostkom odpowiednie i skuteczne gwarancje </w:t>
      </w:r>
      <w:r w:rsidR="003312ED">
        <w:t>przeciw</w:t>
      </w:r>
      <w:r w:rsidR="00B77507">
        <w:t xml:space="preserve"> nadużyci</w:t>
      </w:r>
      <w:r w:rsidR="003312ED">
        <w:t>o</w:t>
      </w:r>
      <w:r w:rsidR="00B77507">
        <w:t xml:space="preserve">m. Następnie Trybunał musi rozważyć </w:t>
      </w:r>
      <w:r w:rsidR="00B77507">
        <w:lastRenderedPageBreak/>
        <w:t xml:space="preserve">konkretne okoliczności </w:t>
      </w:r>
      <w:r w:rsidR="003312ED">
        <w:t xml:space="preserve">każdej </w:t>
      </w:r>
      <w:r w:rsidR="00B77507">
        <w:t xml:space="preserve">sprawy, by móc stwierdzić, czy w danej sprawie </w:t>
      </w:r>
      <w:r w:rsidR="003312ED">
        <w:t xml:space="preserve">przedmiotowa </w:t>
      </w:r>
      <w:r w:rsidR="00B77507">
        <w:t xml:space="preserve">ingerencja była proporcjonalna do celu, który miał zostać osiągnięty. Kryteria, które Trybunał </w:t>
      </w:r>
      <w:r w:rsidR="003312ED">
        <w:t xml:space="preserve">bierze pod uwagę przy </w:t>
      </w:r>
      <w:r w:rsidR="00B77507">
        <w:t>ustalani</w:t>
      </w:r>
      <w:r w:rsidR="003312ED">
        <w:t>u</w:t>
      </w:r>
      <w:r w:rsidR="00B77507">
        <w:t xml:space="preserve"> tej ostatniej kwestii</w:t>
      </w:r>
      <w:r w:rsidR="003312ED">
        <w:t>,</w:t>
      </w:r>
      <w:r w:rsidR="00B77507">
        <w:t xml:space="preserve"> to m.in. waga czyn</w:t>
      </w:r>
      <w:r w:rsidR="000D058F">
        <w:t>u</w:t>
      </w:r>
      <w:r w:rsidR="00B77507">
        <w:t xml:space="preserve"> zabronionego, w związku z którym </w:t>
      </w:r>
      <w:r w:rsidR="000D058F">
        <w:t xml:space="preserve">dokonano </w:t>
      </w:r>
      <w:r w:rsidR="00B77507">
        <w:t>przeszukani</w:t>
      </w:r>
      <w:r w:rsidR="000D058F">
        <w:t>a</w:t>
      </w:r>
      <w:r w:rsidR="00B77507">
        <w:t xml:space="preserve"> i zatrzymani</w:t>
      </w:r>
      <w:r w:rsidR="000D058F">
        <w:t>a</w:t>
      </w:r>
      <w:r w:rsidR="00B77507">
        <w:t xml:space="preserve">; sposób oraz okoliczności wydania postanowienia, w szczególności </w:t>
      </w:r>
      <w:r w:rsidR="00033939">
        <w:t>czy dostępne były jakieś inne</w:t>
      </w:r>
      <w:r w:rsidR="00B77507">
        <w:t xml:space="preserve"> dowo</w:t>
      </w:r>
      <w:r w:rsidR="00033939">
        <w:t>dy</w:t>
      </w:r>
      <w:r w:rsidR="00B77507">
        <w:t xml:space="preserve"> w</w:t>
      </w:r>
      <w:r w:rsidR="00BD649E">
        <w:t> </w:t>
      </w:r>
      <w:r w:rsidR="00B77507">
        <w:t xml:space="preserve">owym czasie; treść oraz zakres postanowienia, w szczególności </w:t>
      </w:r>
      <w:r w:rsidR="00033939">
        <w:t>rodzaj</w:t>
      </w:r>
      <w:r w:rsidR="00B77507">
        <w:t xml:space="preserve"> przeszukiwanych pomieszczeń oraz </w:t>
      </w:r>
      <w:r w:rsidR="000A4C5B">
        <w:t>zastosowane</w:t>
      </w:r>
      <w:r w:rsidR="00B77507">
        <w:t xml:space="preserve"> </w:t>
      </w:r>
      <w:r w:rsidR="00CF2E15">
        <w:t xml:space="preserve">gwarancje </w:t>
      </w:r>
      <w:bookmarkStart w:id="8" w:name="_GoBack"/>
      <w:bookmarkEnd w:id="8"/>
      <w:r w:rsidR="00B77507">
        <w:t xml:space="preserve">mające utrzymać wpływ podjętego środka w rozsądnych granicach; oraz zakres możliwych konsekwencji dla reputacji osoby, której dotyczy przeszukanie (zob. </w:t>
      </w:r>
      <w:r w:rsidR="00B77507">
        <w:rPr>
          <w:i/>
        </w:rPr>
        <w:t>Buck</w:t>
      </w:r>
      <w:r w:rsidR="00B77507">
        <w:t xml:space="preserve">, </w:t>
      </w:r>
      <w:r w:rsidR="000A4C5B">
        <w:t>cyt. pow.</w:t>
      </w:r>
      <w:r w:rsidR="00B77507">
        <w:t xml:space="preserve">, § 45 i </w:t>
      </w:r>
      <w:r w:rsidR="00B77507">
        <w:rPr>
          <w:i/>
        </w:rPr>
        <w:t>K.S. i M.S. przeciwko Niemcom</w:t>
      </w:r>
      <w:r w:rsidR="00B77507">
        <w:t>, nr 33696/11, §</w:t>
      </w:r>
      <w:r w:rsidR="00BD649E">
        <w:t> </w:t>
      </w:r>
      <w:r w:rsidR="00B77507">
        <w:t>44, 6 października 2016 r.).</w:t>
      </w:r>
    </w:p>
    <w:p w14:paraId="02FBC060" w14:textId="284D5FFF" w:rsidR="00B77507" w:rsidRPr="00CA4512" w:rsidRDefault="002240A4" w:rsidP="00CA4512">
      <w:pPr>
        <w:pStyle w:val="JuPara"/>
      </w:pPr>
      <w:r>
        <w:rPr>
          <w:noProof/>
        </w:rPr>
        <w:t>26</w:t>
      </w:r>
      <w:r w:rsidR="00B77507">
        <w:t>.</w:t>
      </w:r>
      <w:r w:rsidR="008F3193">
        <w:t xml:space="preserve"> </w:t>
      </w:r>
      <w:r w:rsidR="000D058F">
        <w:t>Wracając na grunt niniejszej sprawy</w:t>
      </w:r>
      <w:r w:rsidR="006B4D6D">
        <w:t>,</w:t>
      </w:r>
      <w:r w:rsidR="000D058F">
        <w:t xml:space="preserve"> </w:t>
      </w:r>
      <w:r w:rsidR="00B77507">
        <w:t>Trybunał zauważa, że sam skarżą</w:t>
      </w:r>
      <w:r w:rsidR="004B1493">
        <w:t>cy nie był ani oskarżonym</w:t>
      </w:r>
      <w:r w:rsidR="006B4D6D">
        <w:t>,</w:t>
      </w:r>
      <w:r w:rsidR="00B77507">
        <w:t xml:space="preserve"> ani podejrza</w:t>
      </w:r>
      <w:r w:rsidR="004B1493">
        <w:t>nym</w:t>
      </w:r>
      <w:r w:rsidR="00B77507">
        <w:t xml:space="preserve"> o popełnienie</w:t>
      </w:r>
      <w:r w:rsidR="004B1493">
        <w:t xml:space="preserve"> jakiegokolwiek</w:t>
      </w:r>
      <w:r w:rsidR="00B77507">
        <w:t xml:space="preserve"> czynu zabronionego. Przeszukanie jego domu przeprowadzono w związku z policyjnymi czynnościami wyjaśniającymi w</w:t>
      </w:r>
      <w:r w:rsidR="00BD649E">
        <w:t> </w:t>
      </w:r>
      <w:r w:rsidR="00B77507">
        <w:t xml:space="preserve">sprawie o wykroczenie </w:t>
      </w:r>
      <w:r w:rsidR="000D058F">
        <w:t xml:space="preserve">polegające na bezprawnym </w:t>
      </w:r>
      <w:r w:rsidR="00B77507">
        <w:t>kolportażu ulotek. Trybunał zauważa, że prawo krajowe oraz praktyka określają warunki, w</w:t>
      </w:r>
      <w:r w:rsidR="00BD649E">
        <w:t> </w:t>
      </w:r>
      <w:r w:rsidR="00B77507">
        <w:t xml:space="preserve">jakich policja może wejść do prywatnych pomieszczeń, </w:t>
      </w:r>
      <w:r w:rsidR="000D058F">
        <w:t xml:space="preserve">zarówno </w:t>
      </w:r>
      <w:r w:rsidR="00B77507">
        <w:t>z</w:t>
      </w:r>
      <w:r w:rsidR="00BD649E">
        <w:t> </w:t>
      </w:r>
      <w:r w:rsidR="00B77507">
        <w:t xml:space="preserve">nakazem jak i bez </w:t>
      </w:r>
      <w:r w:rsidR="000D058F">
        <w:t xml:space="preserve">niego </w:t>
      </w:r>
      <w:r w:rsidR="00B77507">
        <w:t xml:space="preserve">(zob. par. </w:t>
      </w:r>
      <w:r>
        <w:t>14</w:t>
      </w:r>
      <w:r w:rsidR="00B77507">
        <w:t xml:space="preserve"> powyżej). W </w:t>
      </w:r>
      <w:r w:rsidR="000D058F">
        <w:t xml:space="preserve">niniejszej </w:t>
      </w:r>
      <w:r w:rsidR="00B77507">
        <w:t xml:space="preserve">sprawie policja uzyskała </w:t>
      </w:r>
      <w:r w:rsidR="004B1493">
        <w:t>nakaz</w:t>
      </w:r>
      <w:r w:rsidR="000D058F">
        <w:t xml:space="preserve"> </w:t>
      </w:r>
      <w:r w:rsidR="00B77507">
        <w:t xml:space="preserve">przeszukania od prokuratora </w:t>
      </w:r>
      <w:r w:rsidR="000D058F">
        <w:t>wskaz</w:t>
      </w:r>
      <w:r w:rsidR="004B1493">
        <w:t>ując</w:t>
      </w:r>
      <w:r w:rsidR="00B77507">
        <w:t>, że</w:t>
      </w:r>
      <w:r w:rsidR="004B1493">
        <w:t xml:space="preserve"> otrzymała</w:t>
      </w:r>
      <w:r w:rsidR="00B77507">
        <w:t xml:space="preserve"> informacj</w:t>
      </w:r>
      <w:r w:rsidR="004B1493">
        <w:t>e</w:t>
      </w:r>
      <w:r w:rsidR="00B77507">
        <w:t xml:space="preserve">, </w:t>
      </w:r>
      <w:r w:rsidR="004B1493">
        <w:t>iż</w:t>
      </w:r>
      <w:r w:rsidR="00B77507">
        <w:t xml:space="preserve"> skarżący </w:t>
      </w:r>
      <w:r w:rsidR="004B1493">
        <w:t>może być</w:t>
      </w:r>
      <w:r w:rsidR="00B77507">
        <w:t xml:space="preserve"> w posiadaniu </w:t>
      </w:r>
      <w:r w:rsidR="004B1493">
        <w:t xml:space="preserve">przedmiotowych </w:t>
      </w:r>
      <w:r w:rsidR="00B77507">
        <w:t>ulotek (zob</w:t>
      </w:r>
      <w:r w:rsidR="000D058F">
        <w:t>.</w:t>
      </w:r>
      <w:r w:rsidR="00BD649E">
        <w:t> </w:t>
      </w:r>
      <w:r w:rsidR="00B77507">
        <w:t xml:space="preserve">par. </w:t>
      </w:r>
      <w:r>
        <w:t>8</w:t>
      </w:r>
      <w:r w:rsidR="00B77507">
        <w:t xml:space="preserve"> powyżej).</w:t>
      </w:r>
    </w:p>
    <w:p w14:paraId="0F0FDCCC" w14:textId="06B363EC" w:rsidR="00B77507" w:rsidRPr="00CA4512" w:rsidRDefault="002240A4" w:rsidP="00CA4512">
      <w:pPr>
        <w:pStyle w:val="JuPara"/>
      </w:pPr>
      <w:r>
        <w:rPr>
          <w:noProof/>
        </w:rPr>
        <w:t>27</w:t>
      </w:r>
      <w:r w:rsidR="00B77507">
        <w:t>.</w:t>
      </w:r>
      <w:r w:rsidR="008F3193">
        <w:t xml:space="preserve"> </w:t>
      </w:r>
      <w:r w:rsidR="004B1493">
        <w:t>Biorąc pod uwagę</w:t>
      </w:r>
      <w:r w:rsidR="00B77507">
        <w:t xml:space="preserve"> treść i zakres </w:t>
      </w:r>
      <w:r w:rsidR="004B1493">
        <w:t>nakazu</w:t>
      </w:r>
      <w:r w:rsidR="00B77507">
        <w:t xml:space="preserve"> przeszukani</w:t>
      </w:r>
      <w:r w:rsidR="004B1493">
        <w:t>a</w:t>
      </w:r>
      <w:r w:rsidR="003E2B6E">
        <w:t>,</w:t>
      </w:r>
      <w:r w:rsidR="00B77507">
        <w:t xml:space="preserve"> Trybunał zauważa, że w postanowieniu prokuratora z dnia 6 kwietnia 2011 r. posłużono się ogólnikowymi zwrotami odnoszącymi się do zabezpieczenia dowodów, tj. „ulotek z informacjami o wynagrodzeniu burmistrza</w:t>
      </w:r>
      <w:r w:rsidR="00266573">
        <w:t xml:space="preserve"> i</w:t>
      </w:r>
      <w:r w:rsidR="00B77507">
        <w:t xml:space="preserve"> jego zdjęciem” (zob. par. </w:t>
      </w:r>
      <w:r>
        <w:t>8</w:t>
      </w:r>
      <w:r w:rsidR="00B77507">
        <w:t xml:space="preserve"> powyżej)</w:t>
      </w:r>
      <w:r w:rsidR="00266573">
        <w:t xml:space="preserve">. W szczególności </w:t>
      </w:r>
      <w:r w:rsidR="00B77507">
        <w:t xml:space="preserve">nie odniesiono się </w:t>
      </w:r>
      <w:r w:rsidR="00266573">
        <w:t xml:space="preserve">w ogóle </w:t>
      </w:r>
      <w:r w:rsidR="00B77507">
        <w:t xml:space="preserve">do kwestii, dlaczego to właśnie skarżący miał być w posiadaniu przedmiotowych materiałów oraz dlaczego zachodziła potrzeba </w:t>
      </w:r>
      <w:r w:rsidR="008A4DD7">
        <w:t xml:space="preserve">dokonania </w:t>
      </w:r>
      <w:r w:rsidR="00B77507">
        <w:t>przeszukania, skoro ulotki same w sobie nie były nielegalne. Nie odwołano się do żadnych dowodów rzeczowych, z wyjątkiem informacji</w:t>
      </w:r>
      <w:r w:rsidR="00266573">
        <w:t xml:space="preserve"> rzekomo</w:t>
      </w:r>
      <w:r w:rsidR="00B77507">
        <w:t xml:space="preserve"> </w:t>
      </w:r>
      <w:r w:rsidR="00266573">
        <w:t>otrzymanej przez</w:t>
      </w:r>
      <w:r w:rsidR="00B77507">
        <w:t xml:space="preserve"> policj</w:t>
      </w:r>
      <w:r w:rsidR="00266573">
        <w:t>ę</w:t>
      </w:r>
      <w:r w:rsidR="00B77507">
        <w:t>.</w:t>
      </w:r>
    </w:p>
    <w:p w14:paraId="6E96413F" w14:textId="46F6A83F" w:rsidR="00B77507" w:rsidRPr="00CA4512" w:rsidRDefault="002240A4" w:rsidP="00CA4512">
      <w:pPr>
        <w:pStyle w:val="JuPara"/>
      </w:pPr>
      <w:r>
        <w:rPr>
          <w:noProof/>
        </w:rPr>
        <w:t>28</w:t>
      </w:r>
      <w:r w:rsidR="00B77507">
        <w:t>.</w:t>
      </w:r>
      <w:r w:rsidR="008F3193">
        <w:t xml:space="preserve"> </w:t>
      </w:r>
      <w:r w:rsidR="00B77507">
        <w:t xml:space="preserve">Ponadto Trybunał stwierdza, że brak wcześniejszego zatwierdzenia postanowienia przez sąd nie był wystarczająco zrównoważony dostępnością kontroli sądowej </w:t>
      </w:r>
      <w:r w:rsidR="00B77507">
        <w:rPr>
          <w:i/>
        </w:rPr>
        <w:t>ex post facto</w:t>
      </w:r>
      <w:r w:rsidR="00B77507">
        <w:t xml:space="preserve"> (zob. par. </w:t>
      </w:r>
      <w:r>
        <w:t>12</w:t>
      </w:r>
      <w:r w:rsidR="00B77507">
        <w:t xml:space="preserve"> powyżej). W szczególności Sąd Rejonowy w Dąbrowie Tarnowskiej nie ocen</w:t>
      </w:r>
      <w:r w:rsidR="00266573">
        <w:t>ił</w:t>
      </w:r>
      <w:r w:rsidR="00B77507">
        <w:t>, czy prokurator miał „odpowiednie” i „wystarczające” powody do wydania postanowienia o</w:t>
      </w:r>
      <w:r w:rsidR="00BD649E">
        <w:t> </w:t>
      </w:r>
      <w:r w:rsidR="00B77507">
        <w:t>przeszukaniu domu skarżącego.</w:t>
      </w:r>
      <w:r w:rsidR="00B77507">
        <w:rPr>
          <w:rFonts w:ascii="TimesNewRomanPSMT" w:hAnsi="TimesNewRomanPSMT"/>
          <w:color w:val="000000"/>
        </w:rPr>
        <w:t xml:space="preserve"> </w:t>
      </w:r>
      <w:r w:rsidR="00B77507">
        <w:t>Kontrola sądowa w przedmiotowej sprawie ogranicz</w:t>
      </w:r>
      <w:r w:rsidR="00D22BA2">
        <w:t>y</w:t>
      </w:r>
      <w:r w:rsidR="00B77507">
        <w:t>ła się do stwierdzenia, że postanowienie wydano zgodnie z</w:t>
      </w:r>
      <w:r w:rsidR="00BD649E">
        <w:t> </w:t>
      </w:r>
      <w:r w:rsidR="00D22BA2">
        <w:t>prawem</w:t>
      </w:r>
      <w:r w:rsidR="00B77507">
        <w:t xml:space="preserve"> i </w:t>
      </w:r>
      <w:r w:rsidR="00D22BA2">
        <w:t xml:space="preserve">że </w:t>
      </w:r>
      <w:r w:rsidR="00B77507">
        <w:t xml:space="preserve">było ono uzasadnione. Sąd krajowy nie </w:t>
      </w:r>
      <w:r w:rsidR="00D22BA2">
        <w:t>wy</w:t>
      </w:r>
      <w:r w:rsidR="00B77507">
        <w:t xml:space="preserve">ważył przeciwstawnych interesów, które występowały w sprawie. Ponadto władze krajowe nie uwzględniły </w:t>
      </w:r>
      <w:r w:rsidR="00D22BA2">
        <w:t>faktu</w:t>
      </w:r>
      <w:r w:rsidR="00B77507">
        <w:t xml:space="preserve">, że przedmiotowe ulotki zawierały </w:t>
      </w:r>
      <w:r w:rsidR="00D22BA2">
        <w:t xml:space="preserve">informacje </w:t>
      </w:r>
      <w:r w:rsidR="00B77507">
        <w:t>publiczne</w:t>
      </w:r>
      <w:r w:rsidR="00D22BA2">
        <w:t>,</w:t>
      </w:r>
      <w:r w:rsidR="00B77507">
        <w:t xml:space="preserve"> dotyczące urzędnika wybranego w wyborach. Ponadto ani władze </w:t>
      </w:r>
      <w:r w:rsidR="00B77507">
        <w:lastRenderedPageBreak/>
        <w:t xml:space="preserve">krajowe, ani Rząd nie </w:t>
      </w:r>
      <w:r w:rsidR="00AE3539">
        <w:t>twierdziły</w:t>
      </w:r>
      <w:r w:rsidR="00B77507">
        <w:t xml:space="preserve">, że posiadanie tych ulotek mogło </w:t>
      </w:r>
      <w:r w:rsidR="008A4DD7">
        <w:t xml:space="preserve">wypełniać znamiona </w:t>
      </w:r>
      <w:r w:rsidR="00D22BA2">
        <w:t>jakiegokolwiek</w:t>
      </w:r>
      <w:r w:rsidR="008A4DD7">
        <w:t xml:space="preserve"> </w:t>
      </w:r>
      <w:r w:rsidR="00B77507">
        <w:t>czyn</w:t>
      </w:r>
      <w:r w:rsidR="008A4DD7">
        <w:t>u</w:t>
      </w:r>
      <w:r w:rsidR="00B77507">
        <w:t xml:space="preserve"> zabronion</w:t>
      </w:r>
      <w:r w:rsidR="008A4DD7">
        <w:t>ego</w:t>
      </w:r>
      <w:r w:rsidR="00B77507">
        <w:t>.</w:t>
      </w:r>
    </w:p>
    <w:p w14:paraId="1551F524" w14:textId="0DA80F83" w:rsidR="00B77507" w:rsidRPr="00CA4512" w:rsidRDefault="002240A4" w:rsidP="00CA4512">
      <w:pPr>
        <w:pStyle w:val="JuPara"/>
      </w:pPr>
      <w:r>
        <w:rPr>
          <w:rFonts w:ascii="TimesNewRomanPSMT" w:hAnsi="TimesNewRomanPSMT" w:cs="TimesNewRomanPSMT"/>
          <w:noProof/>
          <w:color w:val="000000"/>
        </w:rPr>
        <w:t>29</w:t>
      </w:r>
      <w:r w:rsidR="00B77507">
        <w:rPr>
          <w:rFonts w:ascii="TimesNewRomanPSMT" w:hAnsi="TimesNewRomanPSMT"/>
          <w:color w:val="000000"/>
        </w:rPr>
        <w:t>.</w:t>
      </w:r>
      <w:r w:rsidR="008F3193">
        <w:rPr>
          <w:rFonts w:ascii="TimesNewRomanPSMT" w:hAnsi="TimesNewRomanPSMT"/>
          <w:color w:val="000000"/>
        </w:rPr>
        <w:t xml:space="preserve"> </w:t>
      </w:r>
      <w:r w:rsidR="00B77507">
        <w:t xml:space="preserve">Trybunał nie jest zatem przekonany, że przeszukanie domu skarżącego było uzasadnione „odpowiednimi” i „wystarczającymi” względami </w:t>
      </w:r>
      <w:r w:rsidR="00B77507">
        <w:rPr>
          <w:rFonts w:ascii="TimesNewRomanPSMT" w:hAnsi="TimesNewRomanPSMT"/>
          <w:color w:val="000000"/>
        </w:rPr>
        <w:t>(zob.</w:t>
      </w:r>
      <w:r w:rsidR="00BD649E">
        <w:rPr>
          <w:rFonts w:ascii="TimesNewRomanPSMT" w:hAnsi="TimesNewRomanPSMT"/>
          <w:color w:val="000000"/>
        </w:rPr>
        <w:t> </w:t>
      </w:r>
      <w:r w:rsidR="00B77507">
        <w:rPr>
          <w:i/>
        </w:rPr>
        <w:t>Misan przeciwko Rosji</w:t>
      </w:r>
      <w:r w:rsidR="00B77507">
        <w:t>, nr 4261/04, § 58, 2 października 2014</w:t>
      </w:r>
      <w:r w:rsidR="00B77507">
        <w:rPr>
          <w:rFonts w:ascii="TimesNewRomanPSMT" w:hAnsi="TimesNewRomanPSMT"/>
          <w:color w:val="000000"/>
        </w:rPr>
        <w:t>).</w:t>
      </w:r>
    </w:p>
    <w:p w14:paraId="0436253F" w14:textId="21686247" w:rsidR="00B77507" w:rsidRPr="0058476D" w:rsidRDefault="002240A4" w:rsidP="00CA4512">
      <w:pPr>
        <w:pStyle w:val="JuPara"/>
      </w:pPr>
      <w:r>
        <w:rPr>
          <w:noProof/>
        </w:rPr>
        <w:t>30</w:t>
      </w:r>
      <w:r w:rsidR="00B77507">
        <w:t>.</w:t>
      </w:r>
      <w:r w:rsidR="008F3193">
        <w:t xml:space="preserve"> </w:t>
      </w:r>
      <w:r w:rsidR="00B77507">
        <w:t xml:space="preserve">Trybunał przypomina, że państwa, podejmując środki w celu zapobiegania </w:t>
      </w:r>
      <w:r w:rsidR="008A4DD7">
        <w:t xml:space="preserve">przestępczości </w:t>
      </w:r>
      <w:r w:rsidR="00B77507">
        <w:t xml:space="preserve">i ochrony praw osób, mogą – na potrzeby prewencji ogólnej i szczególnej – </w:t>
      </w:r>
      <w:r w:rsidR="00AE3539">
        <w:t>uznać za konieczne</w:t>
      </w:r>
      <w:r w:rsidR="00B77507">
        <w:t xml:space="preserve"> sięgnięci</w:t>
      </w:r>
      <w:r w:rsidR="00AE3539">
        <w:t>e</w:t>
      </w:r>
      <w:r w:rsidR="00B77507">
        <w:t xml:space="preserve"> po środki takie jak przeszukania i zatrzymania, w celu uzyskania dowodów </w:t>
      </w:r>
      <w:r w:rsidR="008A4DD7">
        <w:t>określonych</w:t>
      </w:r>
      <w:r w:rsidR="00B77507">
        <w:t xml:space="preserve"> przestępstw w </w:t>
      </w:r>
      <w:r w:rsidR="00AE3539">
        <w:t>sytuacji</w:t>
      </w:r>
      <w:r w:rsidR="00B77507">
        <w:t xml:space="preserve">, w której </w:t>
      </w:r>
      <w:r w:rsidR="008A4DD7">
        <w:t xml:space="preserve">wykrycie sprawcy </w:t>
      </w:r>
      <w:r w:rsidR="00B77507">
        <w:t xml:space="preserve">czynu zabronionego w inny sposób </w:t>
      </w:r>
      <w:r w:rsidR="00AE3539">
        <w:t>jest</w:t>
      </w:r>
      <w:r w:rsidR="00B77507">
        <w:t xml:space="preserve"> niemożliwe. Środki takie mogą także zostać uznane za konieczne w odniesieniu do wykroczeń. Zważywszy jednak na</w:t>
      </w:r>
      <w:r w:rsidR="00BD649E">
        <w:t> </w:t>
      </w:r>
      <w:r w:rsidR="00B77507">
        <w:t>dotkliwość ingerencji w prawo do poszanowania życia prywatnego osób, wobec których podejmuje się takie środki</w:t>
      </w:r>
      <w:r w:rsidR="002B42CB">
        <w:t>,</w:t>
      </w:r>
      <w:r w:rsidR="00B77507">
        <w:t xml:space="preserve"> należy jednoznacznie </w:t>
      </w:r>
      <w:r w:rsidR="002B42CB">
        <w:t>ustalić</w:t>
      </w:r>
      <w:r w:rsidR="00B77507">
        <w:t>, że</w:t>
      </w:r>
      <w:r w:rsidR="00BD649E">
        <w:t> </w:t>
      </w:r>
      <w:r w:rsidR="002B42CB">
        <w:t xml:space="preserve">przestrzegano </w:t>
      </w:r>
      <w:r w:rsidR="00B77507">
        <w:t>zasad</w:t>
      </w:r>
      <w:r w:rsidR="002B42CB">
        <w:t>y</w:t>
      </w:r>
      <w:r w:rsidR="00B77507">
        <w:t xml:space="preserve"> proporcjonalności</w:t>
      </w:r>
      <w:r w:rsidR="0058476D">
        <w:t xml:space="preserve"> (zob. </w:t>
      </w:r>
      <w:r w:rsidR="0058476D" w:rsidRPr="0058476D">
        <w:rPr>
          <w:i/>
          <w:iCs/>
        </w:rPr>
        <w:t>Buck</w:t>
      </w:r>
      <w:r w:rsidR="0058476D">
        <w:rPr>
          <w:i/>
          <w:iCs/>
        </w:rPr>
        <w:t xml:space="preserve">, </w:t>
      </w:r>
      <w:r w:rsidR="0058476D">
        <w:t>cyt. pow., § 52).</w:t>
      </w:r>
    </w:p>
    <w:p w14:paraId="2C3F9A16" w14:textId="7E19DD30" w:rsidR="00B77507" w:rsidRPr="00CA4512" w:rsidRDefault="002240A4" w:rsidP="00CA4512">
      <w:pPr>
        <w:pStyle w:val="JuPara"/>
      </w:pPr>
      <w:r>
        <w:rPr>
          <w:noProof/>
        </w:rPr>
        <w:t>31</w:t>
      </w:r>
      <w:r w:rsidR="00B77507">
        <w:t>.</w:t>
      </w:r>
      <w:r w:rsidR="008F3193">
        <w:t xml:space="preserve"> </w:t>
      </w:r>
      <w:r w:rsidR="00B77507">
        <w:t xml:space="preserve">Mając na uwadze okoliczności </w:t>
      </w:r>
      <w:r w:rsidR="002B42CB">
        <w:t>niniejszej</w:t>
      </w:r>
      <w:r w:rsidR="00B77507">
        <w:t xml:space="preserve"> sprawy, w szczególności </w:t>
      </w:r>
      <w:r w:rsidR="002B42CB">
        <w:t xml:space="preserve">fakt, że </w:t>
      </w:r>
      <w:r w:rsidR="00B77507">
        <w:t>przeszukani</w:t>
      </w:r>
      <w:r w:rsidR="002B42CB">
        <w:t>e</w:t>
      </w:r>
      <w:r w:rsidR="00B77507">
        <w:t xml:space="preserve"> mieszkania skarżącego </w:t>
      </w:r>
      <w:r w:rsidR="002B42CB">
        <w:t xml:space="preserve">zostało zarządzone </w:t>
      </w:r>
      <w:r w:rsidR="00B77507">
        <w:t xml:space="preserve">w związku z wykroczeniem, które </w:t>
      </w:r>
      <w:r w:rsidR="002B42CB">
        <w:t xml:space="preserve">rzekomo </w:t>
      </w:r>
      <w:r w:rsidR="00B77507">
        <w:t>miała popełnić osoba trzecia</w:t>
      </w:r>
      <w:r w:rsidR="008A4DD7">
        <w:t>,</w:t>
      </w:r>
      <w:r w:rsidR="00B77507">
        <w:t xml:space="preserve"> Trybunał uznaje, że przeszukanie zostało przeprowadzone bez odpowiednich i</w:t>
      </w:r>
      <w:r w:rsidR="00BD649E">
        <w:t> </w:t>
      </w:r>
      <w:r w:rsidR="00B77507">
        <w:t xml:space="preserve">wystarczających </w:t>
      </w:r>
      <w:r w:rsidR="002B42CB">
        <w:t>podstaw</w:t>
      </w:r>
      <w:r w:rsidR="00B77507">
        <w:t xml:space="preserve"> i nie może zostać uznane za proporcjonalne do</w:t>
      </w:r>
      <w:r w:rsidR="00BD649E">
        <w:t> </w:t>
      </w:r>
      <w:r w:rsidR="00B77507">
        <w:t xml:space="preserve">uprawnionych celów, które miały zostać osiągnięte. </w:t>
      </w:r>
      <w:r w:rsidR="0058476D">
        <w:t>N</w:t>
      </w:r>
      <w:r w:rsidR="00B77507">
        <w:t>ie był</w:t>
      </w:r>
      <w:r w:rsidR="0058476D">
        <w:t>o</w:t>
      </w:r>
      <w:r w:rsidR="00B77507">
        <w:t xml:space="preserve"> zatem „konieczn</w:t>
      </w:r>
      <w:r w:rsidR="0058476D">
        <w:t>e</w:t>
      </w:r>
      <w:r w:rsidR="00B77507">
        <w:t xml:space="preserve"> w </w:t>
      </w:r>
      <w:r w:rsidR="0058476D">
        <w:t xml:space="preserve">społeczeństwie </w:t>
      </w:r>
      <w:r w:rsidR="00B77507">
        <w:t>demokratycznym”.</w:t>
      </w:r>
    </w:p>
    <w:p w14:paraId="1F06FA50" w14:textId="3FF88A54" w:rsidR="00B77507" w:rsidRPr="00CA4512" w:rsidRDefault="002240A4" w:rsidP="00CA4512">
      <w:pPr>
        <w:pStyle w:val="JuPara"/>
      </w:pPr>
      <w:r>
        <w:rPr>
          <w:noProof/>
        </w:rPr>
        <w:t>32</w:t>
      </w:r>
      <w:r w:rsidR="00B77507">
        <w:t>.</w:t>
      </w:r>
      <w:r w:rsidR="008F3193">
        <w:t xml:space="preserve"> </w:t>
      </w:r>
      <w:r w:rsidR="00B77507">
        <w:t>W związku z powyższym doszło do naruszenia art.</w:t>
      </w:r>
      <w:r w:rsidR="008F3193">
        <w:t xml:space="preserve"> </w:t>
      </w:r>
      <w:r w:rsidR="00B77507">
        <w:t>8 Konwencji.</w:t>
      </w:r>
    </w:p>
    <w:p w14:paraId="69BD8B01" w14:textId="77777777" w:rsidR="00B77507" w:rsidRPr="00CA4512" w:rsidRDefault="00B77507" w:rsidP="00CA4512">
      <w:pPr>
        <w:pStyle w:val="JuHIRoman"/>
      </w:pPr>
      <w:r>
        <w:t>ZASTOSOWANIE ART. 41 KONWENCJI</w:t>
      </w:r>
    </w:p>
    <w:p w14:paraId="278A8B31" w14:textId="64A02587" w:rsidR="00B77507" w:rsidRPr="00CA4512" w:rsidRDefault="002240A4" w:rsidP="00CA4512">
      <w:pPr>
        <w:pStyle w:val="JuPara"/>
      </w:pPr>
      <w:r>
        <w:rPr>
          <w:noProof/>
        </w:rPr>
        <w:t>33</w:t>
      </w:r>
      <w:r w:rsidR="00B77507">
        <w:t>.</w:t>
      </w:r>
      <w:r w:rsidR="008F3193">
        <w:t xml:space="preserve"> </w:t>
      </w:r>
      <w:r w:rsidR="00B77507">
        <w:t>Art. 41 Konwencji stanowi:</w:t>
      </w:r>
    </w:p>
    <w:p w14:paraId="090AAAE0" w14:textId="158814CD" w:rsidR="00B77507" w:rsidRPr="00CA4512" w:rsidRDefault="00B77507" w:rsidP="005366DC">
      <w:pPr>
        <w:pStyle w:val="JuQuot"/>
        <w:keepNext/>
        <w:keepLines/>
      </w:pPr>
      <w:r>
        <w:t>„</w:t>
      </w:r>
      <w:r w:rsidR="005366DC" w:rsidRPr="005366DC">
        <w:t xml:space="preserve">Jeśli Trybunał stwierdzi, że nastąpiło naruszenie Konwencji lub jej </w:t>
      </w:r>
      <w:r w:rsidR="005366DC">
        <w:t>P</w:t>
      </w:r>
      <w:r w:rsidR="005366DC" w:rsidRPr="005366DC">
        <w:t>rotokołów, oraz jeśli prawo wewnętrzne zainteresowanej Wysokiej Układającej się Strony pozwala tylko na częściowe usunięcie konsekwencji tego naruszenia, Trybunał orzeka, gdy</w:t>
      </w:r>
      <w:r w:rsidR="00BD649E">
        <w:t> </w:t>
      </w:r>
      <w:r w:rsidR="005366DC" w:rsidRPr="005366DC">
        <w:t>zachodzi potrzeba, słuszne zadośćuczynienie</w:t>
      </w:r>
      <w:r w:rsidR="005366DC">
        <w:t xml:space="preserve"> pokrzywdzonej stronie</w:t>
      </w:r>
      <w:r>
        <w:t>.”</w:t>
      </w:r>
    </w:p>
    <w:p w14:paraId="7949FF34" w14:textId="77777777" w:rsidR="00B77507" w:rsidRPr="00CA4512" w:rsidRDefault="00B77507" w:rsidP="00CA4512">
      <w:pPr>
        <w:pStyle w:val="JuHA"/>
      </w:pPr>
      <w:r>
        <w:t>Szkoda</w:t>
      </w:r>
    </w:p>
    <w:p w14:paraId="26D0780F" w14:textId="303530EC" w:rsidR="00B77507" w:rsidRPr="00CA4512" w:rsidRDefault="002240A4" w:rsidP="00CA4512">
      <w:pPr>
        <w:pStyle w:val="JuPara"/>
      </w:pPr>
      <w:r>
        <w:rPr>
          <w:noProof/>
        </w:rPr>
        <w:t>34</w:t>
      </w:r>
      <w:r w:rsidR="00B77507">
        <w:t>.</w:t>
      </w:r>
      <w:r w:rsidR="008F3193">
        <w:t xml:space="preserve"> </w:t>
      </w:r>
      <w:r w:rsidR="00B77507">
        <w:t>Skarżący domagał się kwoty 20</w:t>
      </w:r>
      <w:r w:rsidR="008F3193">
        <w:t xml:space="preserve"> </w:t>
      </w:r>
      <w:r w:rsidR="00B77507">
        <w:t>000 euro (EUR) tytułem zadośćuczynienia za szkodę niemajątkową.</w:t>
      </w:r>
    </w:p>
    <w:p w14:paraId="269AAF31" w14:textId="0F04069C" w:rsidR="00B77507" w:rsidRPr="00CA4512" w:rsidRDefault="002240A4" w:rsidP="00CA4512">
      <w:pPr>
        <w:pStyle w:val="JuPara"/>
      </w:pPr>
      <w:r>
        <w:rPr>
          <w:noProof/>
        </w:rPr>
        <w:t>35</w:t>
      </w:r>
      <w:r w:rsidR="00B77507">
        <w:t>.</w:t>
      </w:r>
      <w:r w:rsidR="008F3193">
        <w:t xml:space="preserve"> </w:t>
      </w:r>
      <w:r w:rsidR="00B77507">
        <w:t>Rząd uzna</w:t>
      </w:r>
      <w:r w:rsidR="0058476D">
        <w:t>ł</w:t>
      </w:r>
      <w:r w:rsidR="00B77507">
        <w:t xml:space="preserve"> to roszczenie za </w:t>
      </w:r>
      <w:r w:rsidR="0058476D">
        <w:t>nadmierne</w:t>
      </w:r>
      <w:r w:rsidR="00B77507">
        <w:t>.</w:t>
      </w:r>
    </w:p>
    <w:p w14:paraId="173FB92E" w14:textId="03976C5D" w:rsidR="00B77507" w:rsidRPr="00CA4512" w:rsidRDefault="002240A4" w:rsidP="00CA4512">
      <w:pPr>
        <w:pStyle w:val="JuPara"/>
      </w:pPr>
      <w:r>
        <w:rPr>
          <w:noProof/>
        </w:rPr>
        <w:t>36</w:t>
      </w:r>
      <w:r w:rsidR="00B77507">
        <w:t>.</w:t>
      </w:r>
      <w:r w:rsidR="008F3193">
        <w:t xml:space="preserve"> </w:t>
      </w:r>
      <w:r w:rsidR="00B77507">
        <w:t xml:space="preserve">Trybunał zasądza </w:t>
      </w:r>
      <w:r w:rsidR="008A4DD7">
        <w:t xml:space="preserve">na rzecz </w:t>
      </w:r>
      <w:r w:rsidR="00B77507">
        <w:t>skarżące</w:t>
      </w:r>
      <w:r w:rsidR="008A4DD7">
        <w:t>go</w:t>
      </w:r>
      <w:r w:rsidR="008F3193">
        <w:t xml:space="preserve"> </w:t>
      </w:r>
      <w:r w:rsidR="00B77507">
        <w:t>kwotę 10</w:t>
      </w:r>
      <w:r w:rsidR="008F3193">
        <w:t xml:space="preserve"> </w:t>
      </w:r>
      <w:r w:rsidR="00B77507">
        <w:t>000</w:t>
      </w:r>
      <w:r w:rsidR="008F3193">
        <w:t xml:space="preserve"> </w:t>
      </w:r>
      <w:r w:rsidR="00B77507">
        <w:t>EUR tytułem zadośćuczynienia za szkodę niemajątkową.</w:t>
      </w:r>
    </w:p>
    <w:p w14:paraId="02AFCD0A" w14:textId="77777777" w:rsidR="00B77507" w:rsidRPr="00CA4512" w:rsidRDefault="00B77507" w:rsidP="00CA4512">
      <w:pPr>
        <w:pStyle w:val="JuHA"/>
      </w:pPr>
      <w:r>
        <w:t>Koszty i wydatki</w:t>
      </w:r>
    </w:p>
    <w:p w14:paraId="2D59BC5F" w14:textId="1AF183DB" w:rsidR="00B77507" w:rsidRPr="00CA4512" w:rsidRDefault="002240A4" w:rsidP="00CA4512">
      <w:pPr>
        <w:pStyle w:val="JuPara"/>
      </w:pPr>
      <w:r>
        <w:rPr>
          <w:noProof/>
        </w:rPr>
        <w:t>37</w:t>
      </w:r>
      <w:r w:rsidR="00B77507">
        <w:t>.</w:t>
      </w:r>
      <w:r w:rsidR="008F3193">
        <w:t xml:space="preserve"> </w:t>
      </w:r>
      <w:r w:rsidR="00B77507">
        <w:t>Skarżący, który był</w:t>
      </w:r>
      <w:r w:rsidR="008A4DD7">
        <w:t xml:space="preserve"> </w:t>
      </w:r>
      <w:r w:rsidR="0058476D">
        <w:t>reprezentowany</w:t>
      </w:r>
      <w:r w:rsidR="00B77507">
        <w:t xml:space="preserve"> przez </w:t>
      </w:r>
      <w:r w:rsidR="0058476D">
        <w:t>prawnika i</w:t>
      </w:r>
      <w:r w:rsidR="00354CCA">
        <w:t xml:space="preserve"> któremu przyznano</w:t>
      </w:r>
      <w:r w:rsidR="00B77507">
        <w:t xml:space="preserve"> pomoc prawną</w:t>
      </w:r>
      <w:r w:rsidR="00354CCA">
        <w:t>,</w:t>
      </w:r>
      <w:r w:rsidR="00B77507">
        <w:t xml:space="preserve"> nie </w:t>
      </w:r>
      <w:r w:rsidR="008A4DD7">
        <w:t>dochodzi</w:t>
      </w:r>
      <w:r w:rsidR="00354CCA">
        <w:t>ł</w:t>
      </w:r>
      <w:r w:rsidR="008A4DD7">
        <w:t xml:space="preserve"> zwrotu </w:t>
      </w:r>
      <w:r w:rsidR="00B77507">
        <w:t>kosztów i wydatków.</w:t>
      </w:r>
    </w:p>
    <w:p w14:paraId="669C43C8" w14:textId="77777777" w:rsidR="00B77507" w:rsidRPr="00CA4512" w:rsidRDefault="00B77507" w:rsidP="00CA4512">
      <w:pPr>
        <w:pStyle w:val="JuHA"/>
      </w:pPr>
      <w:r>
        <w:lastRenderedPageBreak/>
        <w:t>Odsetki za zwłokę</w:t>
      </w:r>
    </w:p>
    <w:p w14:paraId="13E13423" w14:textId="291334E3" w:rsidR="00B77507" w:rsidRPr="00CA4512" w:rsidRDefault="002240A4" w:rsidP="00CA4512">
      <w:pPr>
        <w:pStyle w:val="JuPara"/>
      </w:pPr>
      <w:r>
        <w:rPr>
          <w:noProof/>
        </w:rPr>
        <w:t>38</w:t>
      </w:r>
      <w:r w:rsidR="00B77507">
        <w:t>.</w:t>
      </w:r>
      <w:r w:rsidR="008F3193">
        <w:t xml:space="preserve"> </w:t>
      </w:r>
      <w:r w:rsidR="00B77507">
        <w:t>Trybunał uznaje za właściwe, aby odsetki za zwłokę były oparte na</w:t>
      </w:r>
      <w:r w:rsidR="00BD649E">
        <w:t> </w:t>
      </w:r>
      <w:r w:rsidR="00B77507">
        <w:t>marginalnej stopie procentowej Europejskiego Banku Centralnego, powiększonej o trzy punkty procentowe.</w:t>
      </w:r>
    </w:p>
    <w:p w14:paraId="4199EC72" w14:textId="77777777" w:rsidR="00B77507" w:rsidRPr="00CA4512" w:rsidRDefault="00B77507" w:rsidP="00CA4512">
      <w:pPr>
        <w:pStyle w:val="JuHHead"/>
        <w:numPr>
          <w:ilvl w:val="0"/>
          <w:numId w:val="2"/>
        </w:numPr>
      </w:pPr>
      <w:r>
        <w:t>Z TYCH PRZYCZYN TRYBUNAŁ JEDNOGŁOŚNIE,</w:t>
      </w:r>
    </w:p>
    <w:p w14:paraId="4910A110" w14:textId="14B8D0DB" w:rsidR="00B77507" w:rsidRPr="00CA4512" w:rsidRDefault="00354CCA" w:rsidP="00CA4512">
      <w:pPr>
        <w:pStyle w:val="JuList"/>
        <w:numPr>
          <w:ilvl w:val="0"/>
          <w:numId w:val="1"/>
        </w:numPr>
      </w:pPr>
      <w:r>
        <w:rPr>
          <w:i/>
        </w:rPr>
        <w:t>U</w:t>
      </w:r>
      <w:r w:rsidR="00B77507">
        <w:rPr>
          <w:i/>
        </w:rPr>
        <w:t>znaje</w:t>
      </w:r>
      <w:r w:rsidR="00B77507">
        <w:t>, że skarga jest dopuszczalna;</w:t>
      </w:r>
    </w:p>
    <w:p w14:paraId="1DFFBFE0" w14:textId="60E0BC75" w:rsidR="00B77507" w:rsidRPr="00CA4512" w:rsidRDefault="00354CCA" w:rsidP="00CA4512">
      <w:pPr>
        <w:pStyle w:val="JuList"/>
        <w:numPr>
          <w:ilvl w:val="0"/>
          <w:numId w:val="1"/>
        </w:numPr>
      </w:pPr>
      <w:r>
        <w:rPr>
          <w:i/>
        </w:rPr>
        <w:t>Stwierdza</w:t>
      </w:r>
      <w:r w:rsidR="00B77507">
        <w:t>, że doszło do naruszenia art.</w:t>
      </w:r>
      <w:r w:rsidR="008F3193">
        <w:t xml:space="preserve"> </w:t>
      </w:r>
      <w:r w:rsidR="00B77507">
        <w:t>8 Konwencji;</w:t>
      </w:r>
    </w:p>
    <w:p w14:paraId="7770BEC7" w14:textId="79DA365D" w:rsidR="00B77507" w:rsidRPr="00CA4512" w:rsidRDefault="00354CCA" w:rsidP="00CA4512">
      <w:pPr>
        <w:pStyle w:val="JuList"/>
        <w:numPr>
          <w:ilvl w:val="0"/>
          <w:numId w:val="1"/>
        </w:numPr>
      </w:pPr>
      <w:r>
        <w:rPr>
          <w:i/>
        </w:rPr>
        <w:t>Orzeka:</w:t>
      </w:r>
      <w:r w:rsidR="00B77507">
        <w:rPr>
          <w:i/>
        </w:rPr>
        <w:t>,</w:t>
      </w:r>
    </w:p>
    <w:p w14:paraId="3B53C04B" w14:textId="6E8F7FE0" w:rsidR="00B77507" w:rsidRPr="00CA4512" w:rsidRDefault="00B77507" w:rsidP="00CA4512">
      <w:pPr>
        <w:pStyle w:val="JuLista"/>
        <w:numPr>
          <w:ilvl w:val="1"/>
          <w:numId w:val="1"/>
        </w:numPr>
      </w:pPr>
      <w:r>
        <w:t>że pozwane państwo winno, w terminie trzech miesięcy od daty, w</w:t>
      </w:r>
      <w:r w:rsidR="00BD649E">
        <w:t> </w:t>
      </w:r>
      <w:r>
        <w:t>której niniejszy wyrok stanie się ostateczny zgodnie z art.</w:t>
      </w:r>
      <w:r w:rsidR="008F3193">
        <w:t xml:space="preserve"> </w:t>
      </w:r>
      <w:r>
        <w:t>44 ust.</w:t>
      </w:r>
      <w:r w:rsidR="008F3193">
        <w:t xml:space="preserve"> </w:t>
      </w:r>
      <w:r>
        <w:t xml:space="preserve">2 Konwencji, uiścić na rzecz skarżącego </w:t>
      </w:r>
      <w:r w:rsidR="00354CCA">
        <w:t>tytułem zadośćuczynienia za</w:t>
      </w:r>
      <w:r w:rsidR="00BD649E">
        <w:t> </w:t>
      </w:r>
      <w:r w:rsidR="00354CCA">
        <w:t>szkodę niemajątkow</w:t>
      </w:r>
      <w:r w:rsidR="00AF4AA3">
        <w:t>ą</w:t>
      </w:r>
      <w:r w:rsidR="00354CCA">
        <w:t xml:space="preserve">, </w:t>
      </w:r>
      <w:r>
        <w:t>kwotę 10</w:t>
      </w:r>
      <w:r w:rsidR="008F3193">
        <w:t xml:space="preserve"> </w:t>
      </w:r>
      <w:r>
        <w:t>000</w:t>
      </w:r>
      <w:r w:rsidR="008F3193">
        <w:t xml:space="preserve"> </w:t>
      </w:r>
      <w:r>
        <w:t>EUR (</w:t>
      </w:r>
      <w:r w:rsidR="008A4DD7">
        <w:t xml:space="preserve">dziesięć </w:t>
      </w:r>
      <w:r>
        <w:t>tysięcy euro)</w:t>
      </w:r>
      <w:r w:rsidR="00354CCA">
        <w:t>,</w:t>
      </w:r>
      <w:r>
        <w:t xml:space="preserve"> przeliczoną na walutę pozwanego państwa według kursu obowiązującego w dniu płatności, powiększoną o wszelkie należne podatki</w:t>
      </w:r>
      <w:r w:rsidR="00354CCA">
        <w:t>;</w:t>
      </w:r>
    </w:p>
    <w:p w14:paraId="1704DB95" w14:textId="6263A1B8" w:rsidR="000B4BEE" w:rsidRPr="00CA4512" w:rsidRDefault="00B77507" w:rsidP="00CA4512">
      <w:pPr>
        <w:pStyle w:val="JuLista"/>
        <w:numPr>
          <w:ilvl w:val="1"/>
          <w:numId w:val="1"/>
        </w:numPr>
      </w:pPr>
      <w:r>
        <w:t>że od upływu wyżej wskazanego terminu trzech miesięcy aż</w:t>
      </w:r>
      <w:r w:rsidR="00BD649E">
        <w:t> </w:t>
      </w:r>
      <w:r>
        <w:t>do</w:t>
      </w:r>
      <w:r w:rsidR="00BD649E">
        <w:t> </w:t>
      </w:r>
      <w:r>
        <w:t xml:space="preserve">momentu uregulowania należności, należne będą </w:t>
      </w:r>
      <w:r w:rsidR="00354CCA">
        <w:t xml:space="preserve">od określonej powyżej kwoty </w:t>
      </w:r>
      <w:r>
        <w:t>odsetki zwykłe, naliczone według stopy równej marginalnej stopie procentowej Europejskiego Banku Centralnego obowiązującej w okresie</w:t>
      </w:r>
      <w:r w:rsidR="00354CCA">
        <w:t xml:space="preserve"> zwłoki</w:t>
      </w:r>
      <w:r>
        <w:t>, powiększonej o trzy punkty procentowe.</w:t>
      </w:r>
    </w:p>
    <w:p w14:paraId="3068B0E8" w14:textId="2F208BBA" w:rsidR="004D0EC7" w:rsidRPr="00CA4512" w:rsidRDefault="00354CCA" w:rsidP="00CA4512">
      <w:pPr>
        <w:pStyle w:val="JuList"/>
        <w:numPr>
          <w:ilvl w:val="0"/>
          <w:numId w:val="1"/>
        </w:numPr>
        <w:rPr>
          <w:i/>
        </w:rPr>
      </w:pPr>
      <w:r>
        <w:rPr>
          <w:i/>
        </w:rPr>
        <w:t>O</w:t>
      </w:r>
      <w:r w:rsidR="00B77507">
        <w:rPr>
          <w:i/>
        </w:rPr>
        <w:t xml:space="preserve">ddala </w:t>
      </w:r>
      <w:r w:rsidR="00B77507">
        <w:t xml:space="preserve">pozostałą część roszczenia skarżącego </w:t>
      </w:r>
      <w:r>
        <w:t>o</w:t>
      </w:r>
      <w:r w:rsidR="00B77507">
        <w:t xml:space="preserve"> słuszne zadośćuczynieni</w:t>
      </w:r>
      <w:r>
        <w:t>e</w:t>
      </w:r>
      <w:r w:rsidR="00B77507">
        <w:t>.</w:t>
      </w:r>
    </w:p>
    <w:p w14:paraId="3B577C96" w14:textId="233FF84C" w:rsidR="008E3A08" w:rsidRPr="00CA4512" w:rsidRDefault="007E2C8C" w:rsidP="00CA4512">
      <w:pPr>
        <w:pStyle w:val="JuParaLast"/>
      </w:pPr>
      <w:r>
        <w:t>Sporządzono w języku angielskim i obwieszczono pisemnie dnia 29</w:t>
      </w:r>
      <w:r w:rsidR="00AF4AA3">
        <w:t> </w:t>
      </w:r>
      <w:r>
        <w:t>października 2020 r., zgodnie z Regułą 77 §§ 2 i 3 Regulaminu Trybunału.</w:t>
      </w:r>
    </w:p>
    <w:p w14:paraId="26536B33" w14:textId="77777777" w:rsidR="002A613A" w:rsidRPr="00CA4512" w:rsidRDefault="00B77507" w:rsidP="00CA4512">
      <w:pPr>
        <w:pStyle w:val="JuSigned"/>
        <w:ind w:firstLine="142"/>
      </w:pPr>
      <w:r>
        <w:t>Abel Campos</w:t>
      </w:r>
      <w:r>
        <w:tab/>
        <w:t>Ksenija Turković</w:t>
      </w:r>
      <w:r>
        <w:br/>
      </w:r>
      <w:r>
        <w:tab/>
        <w:t>Kanclerz</w:t>
      </w:r>
      <w:r>
        <w:tab/>
        <w:t>Przewodnicząca</w:t>
      </w:r>
    </w:p>
    <w:sectPr w:rsidR="002A613A" w:rsidRPr="00CA4512" w:rsidSect="007D3701">
      <w:headerReference w:type="even" r:id="rId17"/>
      <w:headerReference w:type="default" r:id="rId18"/>
      <w:footerReference w:type="even" r:id="rId19"/>
      <w:footerReference w:type="default" r:id="rId20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F4BF05" w14:textId="77777777" w:rsidR="0086482A" w:rsidRPr="009E7A6F" w:rsidRDefault="0086482A" w:rsidP="0098410D">
      <w:r w:rsidRPr="009E7A6F">
        <w:separator/>
      </w:r>
    </w:p>
  </w:endnote>
  <w:endnote w:type="continuationSeparator" w:id="0">
    <w:p w14:paraId="3A80FBA5" w14:textId="77777777" w:rsidR="0086482A" w:rsidRPr="009E7A6F" w:rsidRDefault="0086482A" w:rsidP="0098410D">
      <w:r w:rsidRPr="009E7A6F">
        <w:continuationSeparator/>
      </w:r>
    </w:p>
  </w:endnote>
  <w:endnote w:type="continuationNotice" w:id="1">
    <w:p w14:paraId="79906051" w14:textId="77777777" w:rsidR="0086482A" w:rsidRDefault="008648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3196E" w14:textId="77777777" w:rsidR="00E0319E" w:rsidRDefault="00E031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CFAE77" w14:textId="77777777" w:rsidR="00B77507" w:rsidRPr="00150BFA" w:rsidRDefault="00B77507" w:rsidP="0020718E">
    <w:pPr>
      <w:jc w:val="center"/>
    </w:pPr>
    <w:r>
      <w:rPr>
        <w:noProof/>
        <w:lang w:eastAsia="pl-PL"/>
      </w:rPr>
      <w:drawing>
        <wp:inline distT="0" distB="0" distL="0" distR="0" wp14:anchorId="1E994408" wp14:editId="78D39D4D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64BA82" w14:textId="77777777" w:rsidR="0098410D" w:rsidRPr="009E7A6F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54A43" w14:textId="77777777" w:rsidR="00B77507" w:rsidRPr="00150BFA" w:rsidRDefault="00B77507" w:rsidP="0020718E">
    <w:pPr>
      <w:jc w:val="center"/>
    </w:pPr>
    <w:r>
      <w:rPr>
        <w:noProof/>
        <w:lang w:eastAsia="pl-PL"/>
      </w:rPr>
      <w:drawing>
        <wp:inline distT="0" distB="0" distL="0" distR="0" wp14:anchorId="5A54E74B" wp14:editId="0639FFFE">
          <wp:extent cx="771525" cy="619125"/>
          <wp:effectExtent l="0" t="0" r="9525" b="9525"/>
          <wp:docPr id="66" name="Picture 6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9ECCEC" w14:textId="77777777" w:rsidR="009E7A6F" w:rsidRPr="009E7A6F" w:rsidRDefault="009E7A6F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B50A3" w14:textId="1565FA22" w:rsidR="00C26D3D" w:rsidRDefault="00B77507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F2E15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3014F" w14:textId="7EF265D3" w:rsidR="00C26D3D" w:rsidRPr="000B7195" w:rsidRDefault="00B77507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CF2E15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316F0" w14:textId="77777777" w:rsidR="0086482A" w:rsidRPr="009E7A6F" w:rsidRDefault="0086482A" w:rsidP="0098410D">
      <w:r w:rsidRPr="009E7A6F">
        <w:separator/>
      </w:r>
    </w:p>
  </w:footnote>
  <w:footnote w:type="continuationSeparator" w:id="0">
    <w:p w14:paraId="6B26DA52" w14:textId="77777777" w:rsidR="0086482A" w:rsidRPr="009E7A6F" w:rsidRDefault="0086482A" w:rsidP="0098410D">
      <w:r w:rsidRPr="009E7A6F">
        <w:continuationSeparator/>
      </w:r>
    </w:p>
  </w:footnote>
  <w:footnote w:type="continuationNotice" w:id="1">
    <w:p w14:paraId="2A891293" w14:textId="77777777" w:rsidR="0086482A" w:rsidRDefault="008648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B038D" w14:textId="77777777" w:rsidR="00E0319E" w:rsidRDefault="00E031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F1D24" w14:textId="77777777" w:rsidR="00B77507" w:rsidRPr="00A45145" w:rsidRDefault="00B77507" w:rsidP="00A45145">
    <w:pPr>
      <w:jc w:val="center"/>
    </w:pPr>
    <w:r>
      <w:rPr>
        <w:noProof/>
        <w:lang w:eastAsia="pl-PL"/>
      </w:rPr>
      <w:drawing>
        <wp:inline distT="0" distB="0" distL="0" distR="0" wp14:anchorId="2439B909" wp14:editId="557C5A19">
          <wp:extent cx="2962275" cy="1219200"/>
          <wp:effectExtent l="0" t="0" r="9525" b="0"/>
          <wp:docPr id="67" name="Picture 6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9DC1B4" w14:textId="77777777" w:rsidR="0098410D" w:rsidRPr="009E7A6F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DD730" w14:textId="77777777" w:rsidR="00B77507" w:rsidRPr="00A45145" w:rsidRDefault="00B77507" w:rsidP="00A45145">
    <w:pPr>
      <w:jc w:val="center"/>
    </w:pPr>
    <w:r>
      <w:rPr>
        <w:noProof/>
        <w:lang w:eastAsia="pl-PL"/>
      </w:rPr>
      <w:drawing>
        <wp:inline distT="0" distB="0" distL="0" distR="0" wp14:anchorId="69468E3A" wp14:editId="52CB3FA1">
          <wp:extent cx="2962275" cy="1219200"/>
          <wp:effectExtent l="0" t="0" r="9525" b="0"/>
          <wp:docPr id="59" name="Picture 5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1529F3" w14:textId="77777777" w:rsidR="0098410D" w:rsidRPr="009E7A6F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15727" w14:textId="1AB2BCD7" w:rsidR="00C26D3D" w:rsidRPr="004D0EC7" w:rsidRDefault="00B77507" w:rsidP="004D0EC7">
    <w:pPr>
      <w:pStyle w:val="JuHeader"/>
    </w:pPr>
    <w:r>
      <w:t xml:space="preserve">WYROK </w:t>
    </w:r>
    <w:r w:rsidR="00067564">
      <w:t xml:space="preserve">W SPRAWIE </w:t>
    </w:r>
    <w:r>
      <w:t>DOROŻ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C5377" w14:textId="3B12682B" w:rsidR="00C26D3D" w:rsidRPr="00882CD5" w:rsidRDefault="00B77507" w:rsidP="007D3701">
    <w:pPr>
      <w:pStyle w:val="JuHeader"/>
    </w:pPr>
    <w:r>
      <w:t xml:space="preserve">WYROK </w:t>
    </w:r>
    <w:r w:rsidR="00067564">
      <w:t xml:space="preserve">W SPRAWIE </w:t>
    </w:r>
    <w:r>
      <w:t>DOROŻ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470E4448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372" w:hanging="334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418" w:hanging="227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644" w:hanging="226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D3540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num w:numId="1">
    <w:abstractNumId w:val="12"/>
  </w:num>
  <w:num w:numId="2">
    <w:abstractNumId w:val="17"/>
  </w:num>
  <w:num w:numId="3">
    <w:abstractNumId w:val="9"/>
  </w:num>
  <w:num w:numId="4">
    <w:abstractNumId w:val="13"/>
  </w:num>
  <w:num w:numId="5">
    <w:abstractNumId w:val="11"/>
  </w:num>
  <w:num w:numId="6">
    <w:abstractNumId w:val="10"/>
  </w:num>
  <w:num w:numId="7">
    <w:abstractNumId w:val="14"/>
  </w:num>
  <w:num w:numId="8">
    <w:abstractNumId w:val="12"/>
  </w:num>
  <w:num w:numId="9">
    <w:abstractNumId w:val="15"/>
  </w:num>
  <w:num w:numId="10">
    <w:abstractNumId w:val="16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9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NBEMMDOC" w:val="0"/>
  </w:docVars>
  <w:rsids>
    <w:rsidRoot w:val="00B77507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3939"/>
    <w:rsid w:val="00034987"/>
    <w:rsid w:val="00041560"/>
    <w:rsid w:val="000602DF"/>
    <w:rsid w:val="00061B05"/>
    <w:rsid w:val="000632D5"/>
    <w:rsid w:val="000644EE"/>
    <w:rsid w:val="00067564"/>
    <w:rsid w:val="0007295F"/>
    <w:rsid w:val="0007780A"/>
    <w:rsid w:val="00085457"/>
    <w:rsid w:val="000925AD"/>
    <w:rsid w:val="00096FE1"/>
    <w:rsid w:val="00097A62"/>
    <w:rsid w:val="000A24EB"/>
    <w:rsid w:val="000A29B1"/>
    <w:rsid w:val="000A4C5B"/>
    <w:rsid w:val="000B4BEE"/>
    <w:rsid w:val="000B686A"/>
    <w:rsid w:val="000B6923"/>
    <w:rsid w:val="000B7195"/>
    <w:rsid w:val="000C5F3C"/>
    <w:rsid w:val="000C6DCC"/>
    <w:rsid w:val="000D058F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5C5D"/>
    <w:rsid w:val="001561B6"/>
    <w:rsid w:val="00162A12"/>
    <w:rsid w:val="00166530"/>
    <w:rsid w:val="00170027"/>
    <w:rsid w:val="001832BD"/>
    <w:rsid w:val="001943B5"/>
    <w:rsid w:val="00195134"/>
    <w:rsid w:val="001957C8"/>
    <w:rsid w:val="001A145B"/>
    <w:rsid w:val="001A3E09"/>
    <w:rsid w:val="001A674C"/>
    <w:rsid w:val="001B3B24"/>
    <w:rsid w:val="001C055B"/>
    <w:rsid w:val="001C0F98"/>
    <w:rsid w:val="001C2A42"/>
    <w:rsid w:val="001C76E8"/>
    <w:rsid w:val="001D125C"/>
    <w:rsid w:val="001D63ED"/>
    <w:rsid w:val="001D7348"/>
    <w:rsid w:val="001E035B"/>
    <w:rsid w:val="001E0961"/>
    <w:rsid w:val="001E3EAE"/>
    <w:rsid w:val="001E6857"/>
    <w:rsid w:val="001E6F32"/>
    <w:rsid w:val="001F2145"/>
    <w:rsid w:val="001F27CC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240A4"/>
    <w:rsid w:val="00230D00"/>
    <w:rsid w:val="00231DF7"/>
    <w:rsid w:val="00231FD1"/>
    <w:rsid w:val="002339E0"/>
    <w:rsid w:val="00233CF8"/>
    <w:rsid w:val="0023575D"/>
    <w:rsid w:val="00237148"/>
    <w:rsid w:val="0024066B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10E9"/>
    <w:rsid w:val="0026540E"/>
    <w:rsid w:val="00266573"/>
    <w:rsid w:val="00275123"/>
    <w:rsid w:val="00282240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3252"/>
    <w:rsid w:val="002B3E46"/>
    <w:rsid w:val="002B42CB"/>
    <w:rsid w:val="002B444B"/>
    <w:rsid w:val="002B5887"/>
    <w:rsid w:val="002C0E27"/>
    <w:rsid w:val="002C3040"/>
    <w:rsid w:val="002C4433"/>
    <w:rsid w:val="002C7826"/>
    <w:rsid w:val="002D022D"/>
    <w:rsid w:val="002D24BB"/>
    <w:rsid w:val="002D2FA7"/>
    <w:rsid w:val="002D47BA"/>
    <w:rsid w:val="002D5BB9"/>
    <w:rsid w:val="002D77B9"/>
    <w:rsid w:val="002E1547"/>
    <w:rsid w:val="002E46DA"/>
    <w:rsid w:val="002F136A"/>
    <w:rsid w:val="002F2AF7"/>
    <w:rsid w:val="002F69C4"/>
    <w:rsid w:val="002F7D9E"/>
    <w:rsid w:val="002F7E1C"/>
    <w:rsid w:val="00301A75"/>
    <w:rsid w:val="00302F70"/>
    <w:rsid w:val="0030336F"/>
    <w:rsid w:val="0030375E"/>
    <w:rsid w:val="00305376"/>
    <w:rsid w:val="00312A30"/>
    <w:rsid w:val="003201D8"/>
    <w:rsid w:val="00320F72"/>
    <w:rsid w:val="0032463E"/>
    <w:rsid w:val="00326224"/>
    <w:rsid w:val="003312ED"/>
    <w:rsid w:val="00337EE4"/>
    <w:rsid w:val="00340FFD"/>
    <w:rsid w:val="00345C41"/>
    <w:rsid w:val="003506B1"/>
    <w:rsid w:val="00354CCA"/>
    <w:rsid w:val="00355877"/>
    <w:rsid w:val="00356AC7"/>
    <w:rsid w:val="003609FA"/>
    <w:rsid w:val="003648AA"/>
    <w:rsid w:val="003710C8"/>
    <w:rsid w:val="003750BE"/>
    <w:rsid w:val="00385A36"/>
    <w:rsid w:val="00385F3D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2B6E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05451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C9A"/>
    <w:rsid w:val="00474F3D"/>
    <w:rsid w:val="00477E3A"/>
    <w:rsid w:val="00483E5F"/>
    <w:rsid w:val="00485B08"/>
    <w:rsid w:val="00485FF9"/>
    <w:rsid w:val="004907F0"/>
    <w:rsid w:val="0049140B"/>
    <w:rsid w:val="004923A5"/>
    <w:rsid w:val="0049310E"/>
    <w:rsid w:val="004950E2"/>
    <w:rsid w:val="00496BFB"/>
    <w:rsid w:val="004A15C7"/>
    <w:rsid w:val="004A3201"/>
    <w:rsid w:val="004B013B"/>
    <w:rsid w:val="004B112B"/>
    <w:rsid w:val="004B1493"/>
    <w:rsid w:val="004B444E"/>
    <w:rsid w:val="004C01E4"/>
    <w:rsid w:val="004C086C"/>
    <w:rsid w:val="004C1F56"/>
    <w:rsid w:val="004C27BC"/>
    <w:rsid w:val="004C6621"/>
    <w:rsid w:val="004C79F8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66D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8476D"/>
    <w:rsid w:val="005879A2"/>
    <w:rsid w:val="00592772"/>
    <w:rsid w:val="0059574A"/>
    <w:rsid w:val="005A1B9B"/>
    <w:rsid w:val="005A2E79"/>
    <w:rsid w:val="005A6751"/>
    <w:rsid w:val="005B092E"/>
    <w:rsid w:val="005B0B88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11C80"/>
    <w:rsid w:val="00620692"/>
    <w:rsid w:val="00621FCA"/>
    <w:rsid w:val="006242CA"/>
    <w:rsid w:val="00627507"/>
    <w:rsid w:val="00633717"/>
    <w:rsid w:val="006344E1"/>
    <w:rsid w:val="00643524"/>
    <w:rsid w:val="0064393B"/>
    <w:rsid w:val="006545C4"/>
    <w:rsid w:val="00661971"/>
    <w:rsid w:val="00661CE8"/>
    <w:rsid w:val="006623D9"/>
    <w:rsid w:val="006642A5"/>
    <w:rsid w:val="0066550C"/>
    <w:rsid w:val="00665BD2"/>
    <w:rsid w:val="006716F2"/>
    <w:rsid w:val="00682BF2"/>
    <w:rsid w:val="0068573E"/>
    <w:rsid w:val="006859CE"/>
    <w:rsid w:val="00691270"/>
    <w:rsid w:val="00694BA8"/>
    <w:rsid w:val="006A037C"/>
    <w:rsid w:val="006A36F4"/>
    <w:rsid w:val="006A406F"/>
    <w:rsid w:val="006A5D3A"/>
    <w:rsid w:val="006B4D6D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3343B"/>
    <w:rsid w:val="00741404"/>
    <w:rsid w:val="0074374F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3366"/>
    <w:rsid w:val="00797AC3"/>
    <w:rsid w:val="007A716F"/>
    <w:rsid w:val="007B270A"/>
    <w:rsid w:val="007B4182"/>
    <w:rsid w:val="007C0695"/>
    <w:rsid w:val="007C419A"/>
    <w:rsid w:val="007C4CC8"/>
    <w:rsid w:val="007C5426"/>
    <w:rsid w:val="007C5798"/>
    <w:rsid w:val="007C598C"/>
    <w:rsid w:val="007D1ECD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21E5"/>
    <w:rsid w:val="00823602"/>
    <w:rsid w:val="008255F5"/>
    <w:rsid w:val="0083014E"/>
    <w:rsid w:val="0083214A"/>
    <w:rsid w:val="00834220"/>
    <w:rsid w:val="00845723"/>
    <w:rsid w:val="008519E7"/>
    <w:rsid w:val="00851EF9"/>
    <w:rsid w:val="008577FD"/>
    <w:rsid w:val="00860B03"/>
    <w:rsid w:val="0086482A"/>
    <w:rsid w:val="0086497A"/>
    <w:rsid w:val="00867066"/>
    <w:rsid w:val="0087138E"/>
    <w:rsid w:val="008713A1"/>
    <w:rsid w:val="00872584"/>
    <w:rsid w:val="008754AB"/>
    <w:rsid w:val="0088060C"/>
    <w:rsid w:val="00882CD5"/>
    <w:rsid w:val="00883151"/>
    <w:rsid w:val="00893576"/>
    <w:rsid w:val="00893E73"/>
    <w:rsid w:val="008A4DD7"/>
    <w:rsid w:val="008B02DC"/>
    <w:rsid w:val="008B092C"/>
    <w:rsid w:val="008B57CE"/>
    <w:rsid w:val="008C26DE"/>
    <w:rsid w:val="008D2225"/>
    <w:rsid w:val="008D3D41"/>
    <w:rsid w:val="008D4752"/>
    <w:rsid w:val="008D4D3F"/>
    <w:rsid w:val="008D5A13"/>
    <w:rsid w:val="008D7EBF"/>
    <w:rsid w:val="008E271C"/>
    <w:rsid w:val="008E3A08"/>
    <w:rsid w:val="008E418E"/>
    <w:rsid w:val="008E5BC6"/>
    <w:rsid w:val="008E6217"/>
    <w:rsid w:val="008E6A25"/>
    <w:rsid w:val="008F2554"/>
    <w:rsid w:val="008F3193"/>
    <w:rsid w:val="008F3AEC"/>
    <w:rsid w:val="008F4D80"/>
    <w:rsid w:val="008F5193"/>
    <w:rsid w:val="008F6B36"/>
    <w:rsid w:val="008F71C8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A115C"/>
    <w:rsid w:val="009B1606"/>
    <w:rsid w:val="009B1B5F"/>
    <w:rsid w:val="009B6673"/>
    <w:rsid w:val="009C191B"/>
    <w:rsid w:val="009C2BD6"/>
    <w:rsid w:val="009D2C96"/>
    <w:rsid w:val="009E1F32"/>
    <w:rsid w:val="009E2CC2"/>
    <w:rsid w:val="009E47A2"/>
    <w:rsid w:val="009E776C"/>
    <w:rsid w:val="009E7A6F"/>
    <w:rsid w:val="009F4C8F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3628"/>
    <w:rsid w:val="00A51D0F"/>
    <w:rsid w:val="00A53972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A1B09"/>
    <w:rsid w:val="00AA227F"/>
    <w:rsid w:val="00AA3BC7"/>
    <w:rsid w:val="00AA61B4"/>
    <w:rsid w:val="00AA754A"/>
    <w:rsid w:val="00AB099E"/>
    <w:rsid w:val="00AB4328"/>
    <w:rsid w:val="00AC4CD4"/>
    <w:rsid w:val="00AE0A2E"/>
    <w:rsid w:val="00AE3539"/>
    <w:rsid w:val="00AE354C"/>
    <w:rsid w:val="00AF4AA3"/>
    <w:rsid w:val="00AF4B07"/>
    <w:rsid w:val="00AF6186"/>
    <w:rsid w:val="00AF75C3"/>
    <w:rsid w:val="00AF7A3A"/>
    <w:rsid w:val="00B02587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701ED"/>
    <w:rsid w:val="00B748F7"/>
    <w:rsid w:val="00B7750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895"/>
    <w:rsid w:val="00BA2D55"/>
    <w:rsid w:val="00BA71B1"/>
    <w:rsid w:val="00BB0637"/>
    <w:rsid w:val="00BB345F"/>
    <w:rsid w:val="00BB68EA"/>
    <w:rsid w:val="00BC0B99"/>
    <w:rsid w:val="00BC1C27"/>
    <w:rsid w:val="00BC31DC"/>
    <w:rsid w:val="00BC6BBF"/>
    <w:rsid w:val="00BD05E6"/>
    <w:rsid w:val="00BD1572"/>
    <w:rsid w:val="00BD649E"/>
    <w:rsid w:val="00BE14E3"/>
    <w:rsid w:val="00BE3774"/>
    <w:rsid w:val="00BE41E5"/>
    <w:rsid w:val="00BF118F"/>
    <w:rsid w:val="00BF4109"/>
    <w:rsid w:val="00BF4CC3"/>
    <w:rsid w:val="00BF73B8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77F7"/>
    <w:rsid w:val="00C509A6"/>
    <w:rsid w:val="00C53F4A"/>
    <w:rsid w:val="00C54125"/>
    <w:rsid w:val="00C55B54"/>
    <w:rsid w:val="00C6098E"/>
    <w:rsid w:val="00C6152C"/>
    <w:rsid w:val="00C66950"/>
    <w:rsid w:val="00C74810"/>
    <w:rsid w:val="00C90D68"/>
    <w:rsid w:val="00C939FE"/>
    <w:rsid w:val="00CA38DB"/>
    <w:rsid w:val="00CA4512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CF2E15"/>
    <w:rsid w:val="00D00ABB"/>
    <w:rsid w:val="00D02EEC"/>
    <w:rsid w:val="00D0319C"/>
    <w:rsid w:val="00D03551"/>
    <w:rsid w:val="00D05300"/>
    <w:rsid w:val="00D06A63"/>
    <w:rsid w:val="00D07E0E"/>
    <w:rsid w:val="00D10CD6"/>
    <w:rsid w:val="00D11478"/>
    <w:rsid w:val="00D1148F"/>
    <w:rsid w:val="00D15ED0"/>
    <w:rsid w:val="00D164BF"/>
    <w:rsid w:val="00D21B3E"/>
    <w:rsid w:val="00D21FED"/>
    <w:rsid w:val="00D22BA2"/>
    <w:rsid w:val="00D23048"/>
    <w:rsid w:val="00D24251"/>
    <w:rsid w:val="00D26E72"/>
    <w:rsid w:val="00D30125"/>
    <w:rsid w:val="00D343E2"/>
    <w:rsid w:val="00D361A2"/>
    <w:rsid w:val="00D37272"/>
    <w:rsid w:val="00D44C2E"/>
    <w:rsid w:val="00D45414"/>
    <w:rsid w:val="00D50A0A"/>
    <w:rsid w:val="00D53548"/>
    <w:rsid w:val="00D566BD"/>
    <w:rsid w:val="00D57A4D"/>
    <w:rsid w:val="00D60AA7"/>
    <w:rsid w:val="00D6435F"/>
    <w:rsid w:val="00D66471"/>
    <w:rsid w:val="00D70641"/>
    <w:rsid w:val="00D74888"/>
    <w:rsid w:val="00D75E28"/>
    <w:rsid w:val="00D772C2"/>
    <w:rsid w:val="00D8008E"/>
    <w:rsid w:val="00D82C45"/>
    <w:rsid w:val="00D87D72"/>
    <w:rsid w:val="00D908A8"/>
    <w:rsid w:val="00D977B6"/>
    <w:rsid w:val="00DA1223"/>
    <w:rsid w:val="00DA4A31"/>
    <w:rsid w:val="00DA7B04"/>
    <w:rsid w:val="00DB36C2"/>
    <w:rsid w:val="00DB50E0"/>
    <w:rsid w:val="00DC1563"/>
    <w:rsid w:val="00DC169B"/>
    <w:rsid w:val="00DC2AB9"/>
    <w:rsid w:val="00DC63F0"/>
    <w:rsid w:val="00DD37EA"/>
    <w:rsid w:val="00DD6EE5"/>
    <w:rsid w:val="00DE386C"/>
    <w:rsid w:val="00DE4D35"/>
    <w:rsid w:val="00DE5B13"/>
    <w:rsid w:val="00DF098B"/>
    <w:rsid w:val="00DF11C4"/>
    <w:rsid w:val="00DF210C"/>
    <w:rsid w:val="00DF4B6A"/>
    <w:rsid w:val="00E004C0"/>
    <w:rsid w:val="00E02C09"/>
    <w:rsid w:val="00E0319E"/>
    <w:rsid w:val="00E04D59"/>
    <w:rsid w:val="00E07DA1"/>
    <w:rsid w:val="00E123CB"/>
    <w:rsid w:val="00E13B09"/>
    <w:rsid w:val="00E20E13"/>
    <w:rsid w:val="00E21DBC"/>
    <w:rsid w:val="00E275D7"/>
    <w:rsid w:val="00E27DBE"/>
    <w:rsid w:val="00E30CD2"/>
    <w:rsid w:val="00E32AB1"/>
    <w:rsid w:val="00E36C71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70091"/>
    <w:rsid w:val="00E70D2E"/>
    <w:rsid w:val="00E720F5"/>
    <w:rsid w:val="00E73237"/>
    <w:rsid w:val="00E76D47"/>
    <w:rsid w:val="00E80803"/>
    <w:rsid w:val="00E80C5F"/>
    <w:rsid w:val="00E827BC"/>
    <w:rsid w:val="00E849F7"/>
    <w:rsid w:val="00E90302"/>
    <w:rsid w:val="00E91D05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6A6F"/>
    <w:rsid w:val="00F5709C"/>
    <w:rsid w:val="00F60B85"/>
    <w:rsid w:val="00F64EF1"/>
    <w:rsid w:val="00F72B14"/>
    <w:rsid w:val="00F7349B"/>
    <w:rsid w:val="00F8765F"/>
    <w:rsid w:val="00F90767"/>
    <w:rsid w:val="00F9263C"/>
    <w:rsid w:val="00F96D7C"/>
    <w:rsid w:val="00FA1637"/>
    <w:rsid w:val="00FA1BCE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333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A0D9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CA451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07295F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07295F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07295F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07295F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07295F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07295F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07295F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07295F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07295F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072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07295F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07295F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07295F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07295F"/>
    <w:pPr>
      <w:jc w:val="both"/>
    </w:pPr>
  </w:style>
  <w:style w:type="character" w:styleId="Pogrubienie">
    <w:name w:val="Strong"/>
    <w:uiPriority w:val="98"/>
    <w:semiHidden/>
    <w:qFormat/>
    <w:rsid w:val="0007295F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07295F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07295F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07295F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aliases w:val="_List"/>
    <w:basedOn w:val="JuList"/>
    <w:uiPriority w:val="22"/>
    <w:rsid w:val="0007295F"/>
    <w:pPr>
      <w:numPr>
        <w:numId w:val="0"/>
      </w:numPr>
      <w:ind w:left="284"/>
    </w:pPr>
  </w:style>
  <w:style w:type="paragraph" w:customStyle="1" w:styleId="JuList">
    <w:name w:val="Ju_List"/>
    <w:aliases w:val="_List_1"/>
    <w:basedOn w:val="NormalJustified"/>
    <w:uiPriority w:val="23"/>
    <w:qFormat/>
    <w:rsid w:val="0007295F"/>
    <w:pPr>
      <w:numPr>
        <w:numId w:val="8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07295F"/>
    <w:pPr>
      <w:numPr>
        <w:ilvl w:val="1"/>
        <w:numId w:val="8"/>
      </w:numPr>
    </w:pPr>
  </w:style>
  <w:style w:type="paragraph" w:customStyle="1" w:styleId="JuListi">
    <w:name w:val="Ju_List_i"/>
    <w:aliases w:val="_List_3"/>
    <w:basedOn w:val="NormalJustified"/>
    <w:uiPriority w:val="23"/>
    <w:rsid w:val="0007295F"/>
    <w:pPr>
      <w:numPr>
        <w:ilvl w:val="2"/>
        <w:numId w:val="8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07295F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07295F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07295F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07295F"/>
    <w:pPr>
      <w:keepNext/>
      <w:keepLines/>
      <w:numPr>
        <w:numId w:val="3"/>
      </w:numPr>
      <w:spacing w:before="100" w:beforeAutospacing="1" w:after="240"/>
      <w:contextualSpacing w:val="0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07295F"/>
    <w:pPr>
      <w:numPr>
        <w:numId w:val="7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07295F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07295F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07295F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07295F"/>
    <w:pPr>
      <w:numPr>
        <w:numId w:val="1"/>
      </w:numPr>
    </w:pPr>
  </w:style>
  <w:style w:type="numbering" w:customStyle="1" w:styleId="ECHRA1StyleNumberedList">
    <w:name w:val="ECHR_A1_Style_Numbered_List"/>
    <w:basedOn w:val="Bezlisty"/>
    <w:rsid w:val="0007295F"/>
    <w:pPr>
      <w:numPr>
        <w:numId w:val="9"/>
      </w:numPr>
    </w:pPr>
  </w:style>
  <w:style w:type="table" w:customStyle="1" w:styleId="ECHRTable2019">
    <w:name w:val="ECHR_Table_2019"/>
    <w:basedOn w:val="Standardowy"/>
    <w:uiPriority w:val="99"/>
    <w:rsid w:val="0007295F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07295F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07295F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07295F"/>
    <w:pPr>
      <w:keepNext/>
      <w:keepLines/>
      <w:numPr>
        <w:ilvl w:val="1"/>
        <w:numId w:val="3"/>
      </w:numPr>
      <w:spacing w:before="100" w:beforeAutospacing="1" w:after="240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07295F"/>
    <w:pPr>
      <w:keepNext/>
      <w:keepLines/>
      <w:numPr>
        <w:ilvl w:val="2"/>
        <w:numId w:val="3"/>
      </w:numPr>
      <w:spacing w:before="100" w:beforeAutospacing="1" w:after="240" w:line="240" w:lineRule="auto"/>
    </w:pPr>
    <w:rPr>
      <w:color w:val="auto"/>
    </w:rPr>
  </w:style>
  <w:style w:type="paragraph" w:customStyle="1" w:styleId="JuH1">
    <w:name w:val="Ju_H_1."/>
    <w:aliases w:val="_Head_4"/>
    <w:basedOn w:val="Nagwek4"/>
    <w:next w:val="JuPara"/>
    <w:uiPriority w:val="17"/>
    <w:rsid w:val="0007295F"/>
    <w:pPr>
      <w:keepNext/>
      <w:keepLines/>
      <w:numPr>
        <w:ilvl w:val="3"/>
        <w:numId w:val="3"/>
      </w:numPr>
      <w:spacing w:before="100" w:beforeAutospacing="1" w:after="120"/>
    </w:pPr>
    <w:rPr>
      <w:b w:val="0"/>
      <w:color w:val="auto"/>
    </w:rPr>
  </w:style>
  <w:style w:type="paragraph" w:styleId="Nagwek">
    <w:name w:val="header"/>
    <w:basedOn w:val="Normalny"/>
    <w:link w:val="NagwekZnak"/>
    <w:uiPriority w:val="98"/>
    <w:semiHidden/>
    <w:rsid w:val="000729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07295F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07295F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07295F"/>
    <w:pPr>
      <w:keepNext/>
      <w:keepLines/>
      <w:numPr>
        <w:ilvl w:val="4"/>
        <w:numId w:val="3"/>
      </w:numPr>
      <w:spacing w:before="100" w:beforeAutospacing="1" w:after="120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07295F"/>
    <w:pPr>
      <w:keepNext/>
      <w:keepLines/>
      <w:numPr>
        <w:ilvl w:val="5"/>
        <w:numId w:val="3"/>
      </w:numPr>
      <w:spacing w:before="100" w:beforeAutospacing="1" w:after="120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07295F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07295F"/>
    <w:pPr>
      <w:keepNext/>
      <w:keepLines/>
      <w:numPr>
        <w:ilvl w:val="6"/>
        <w:numId w:val="3"/>
      </w:numPr>
      <w:spacing w:before="100" w:beforeAutospacing="1" w:after="120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07295F"/>
    <w:pPr>
      <w:keepNext/>
      <w:keepLines/>
      <w:numPr>
        <w:ilvl w:val="7"/>
        <w:numId w:val="3"/>
      </w:numPr>
      <w:spacing w:before="100" w:beforeAutospacing="1" w:after="120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07295F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07295F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07295F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07295F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1"/>
    <w:qFormat/>
    <w:rsid w:val="0007295F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07295F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43"/>
    <w:qFormat/>
    <w:rsid w:val="0007295F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07295F"/>
    <w:rPr>
      <w:caps w:val="0"/>
      <w:smallCaps/>
    </w:rPr>
  </w:style>
  <w:style w:type="character" w:styleId="Wyrnieniedelikatne">
    <w:name w:val="Subtle Emphasis"/>
    <w:uiPriority w:val="98"/>
    <w:semiHidden/>
    <w:qFormat/>
    <w:rsid w:val="0007295F"/>
    <w:rPr>
      <w:i/>
      <w:iCs/>
    </w:rPr>
  </w:style>
  <w:style w:type="table" w:customStyle="1" w:styleId="ECHRTable">
    <w:name w:val="ECHR_Table"/>
    <w:basedOn w:val="Standardowy"/>
    <w:rsid w:val="0007295F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07295F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07295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07295F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07295F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07295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0729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07295F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07295F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07295F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07295F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07295F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07295F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07295F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07295F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07295F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07295F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07295F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07295F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07295F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07295F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07295F"/>
    <w:rPr>
      <w:smallCaps/>
    </w:rPr>
  </w:style>
  <w:style w:type="table" w:styleId="Tabela-Siatka">
    <w:name w:val="Table Grid"/>
    <w:basedOn w:val="Standardowy"/>
    <w:uiPriority w:val="59"/>
    <w:semiHidden/>
    <w:rsid w:val="0007295F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07295F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07295F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07295F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07295F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07295F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07295F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07295F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07295F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07295F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07295F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07295F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07295F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07295F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07295F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07295F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07295F"/>
    <w:pPr>
      <w:numPr>
        <w:numId w:val="4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07295F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07295F"/>
    <w:pPr>
      <w:numPr>
        <w:numId w:val="5"/>
      </w:numPr>
    </w:pPr>
  </w:style>
  <w:style w:type="table" w:customStyle="1" w:styleId="ECHRTableSimpleBox">
    <w:name w:val="ECHR_Table_Simple_Box"/>
    <w:basedOn w:val="Standardowy"/>
    <w:uiPriority w:val="99"/>
    <w:rsid w:val="0007295F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07295F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07295F"/>
    <w:pPr>
      <w:numPr>
        <w:numId w:val="6"/>
      </w:numPr>
    </w:pPr>
  </w:style>
  <w:style w:type="table" w:customStyle="1" w:styleId="ECHRTableForInternalUse">
    <w:name w:val="ECHR_Table_For_Internal_Use"/>
    <w:basedOn w:val="Standardowy"/>
    <w:uiPriority w:val="99"/>
    <w:rsid w:val="0007295F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07295F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07295F"/>
  </w:style>
  <w:style w:type="paragraph" w:styleId="Tekstblokowy">
    <w:name w:val="Block Text"/>
    <w:basedOn w:val="Normalny"/>
    <w:uiPriority w:val="98"/>
    <w:semiHidden/>
    <w:rsid w:val="0007295F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07295F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07295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07295F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07295F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07295F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07295F"/>
    <w:pPr>
      <w:ind w:firstLine="284"/>
    </w:pPr>
    <w:rPr>
      <w:b/>
    </w:rPr>
  </w:style>
  <w:style w:type="character" w:styleId="Numerstrony">
    <w:name w:val="page number"/>
    <w:uiPriority w:val="98"/>
    <w:semiHidden/>
    <w:rsid w:val="0007295F"/>
    <w:rPr>
      <w:sz w:val="18"/>
    </w:rPr>
  </w:style>
  <w:style w:type="paragraph" w:styleId="Listapunktowana">
    <w:name w:val="List Bullet"/>
    <w:basedOn w:val="Normalny"/>
    <w:uiPriority w:val="98"/>
    <w:semiHidden/>
    <w:rsid w:val="0007295F"/>
    <w:pPr>
      <w:numPr>
        <w:numId w:val="10"/>
      </w:numPr>
    </w:pPr>
  </w:style>
  <w:style w:type="paragraph" w:styleId="Listapunktowana3">
    <w:name w:val="List Bullet 3"/>
    <w:basedOn w:val="Normalny"/>
    <w:uiPriority w:val="98"/>
    <w:semiHidden/>
    <w:rsid w:val="0007295F"/>
    <w:pPr>
      <w:numPr>
        <w:numId w:val="12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07295F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07295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07295F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07295F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07295F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0729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07295F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07295F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07295F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07295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07295F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0729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07295F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07295F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07295F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07295F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uiPriority w:val="99"/>
    <w:semiHidden/>
    <w:unhideWhenUsed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07295F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072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07295F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07295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07295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07295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07295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07295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07295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07295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07295F"/>
  </w:style>
  <w:style w:type="character" w:customStyle="1" w:styleId="DataZnak">
    <w:name w:val="Data Znak"/>
    <w:basedOn w:val="Domylnaczcionkaakapitu"/>
    <w:link w:val="Data"/>
    <w:uiPriority w:val="98"/>
    <w:semiHidden/>
    <w:rsid w:val="0007295F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07295F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07295F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07295F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07295F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07295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0729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07295F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07295F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07295F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07295F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07295F"/>
  </w:style>
  <w:style w:type="paragraph" w:styleId="HTML-adres">
    <w:name w:val="HTML Address"/>
    <w:basedOn w:val="Normalny"/>
    <w:link w:val="HTML-adresZnak"/>
    <w:uiPriority w:val="98"/>
    <w:semiHidden/>
    <w:rsid w:val="0007295F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07295F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07295F"/>
    <w:rPr>
      <w:i/>
      <w:iCs/>
    </w:rPr>
  </w:style>
  <w:style w:type="character" w:styleId="HTML-kod">
    <w:name w:val="HTML Code"/>
    <w:basedOn w:val="Domylnaczcionkaakapitu"/>
    <w:uiPriority w:val="98"/>
    <w:semiHidden/>
    <w:rsid w:val="0007295F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07295F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07295F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07295F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07295F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07295F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07295F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07295F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07295F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07295F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07295F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07295F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07295F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07295F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07295F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07295F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07295F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07295F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07295F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07295F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07295F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07295F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07295F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07295F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07295F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07295F"/>
  </w:style>
  <w:style w:type="paragraph" w:styleId="Lista">
    <w:name w:val="List"/>
    <w:basedOn w:val="Normalny"/>
    <w:uiPriority w:val="98"/>
    <w:semiHidden/>
    <w:rsid w:val="0007295F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07295F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07295F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07295F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07295F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07295F"/>
    <w:pPr>
      <w:numPr>
        <w:numId w:val="11"/>
      </w:numPr>
      <w:contextualSpacing/>
    </w:pPr>
  </w:style>
  <w:style w:type="paragraph" w:styleId="Listapunktowana4">
    <w:name w:val="List Bullet 4"/>
    <w:basedOn w:val="Normalny"/>
    <w:uiPriority w:val="98"/>
    <w:semiHidden/>
    <w:rsid w:val="0007295F"/>
    <w:pPr>
      <w:numPr>
        <w:numId w:val="13"/>
      </w:numPr>
      <w:contextualSpacing/>
    </w:pPr>
  </w:style>
  <w:style w:type="paragraph" w:styleId="Listapunktowana5">
    <w:name w:val="List Bullet 5"/>
    <w:basedOn w:val="Normalny"/>
    <w:uiPriority w:val="98"/>
    <w:semiHidden/>
    <w:rsid w:val="0007295F"/>
    <w:pPr>
      <w:numPr>
        <w:numId w:val="14"/>
      </w:numPr>
      <w:contextualSpacing/>
    </w:pPr>
  </w:style>
  <w:style w:type="paragraph" w:styleId="Lista-kontynuacja">
    <w:name w:val="List Continue"/>
    <w:basedOn w:val="Normalny"/>
    <w:uiPriority w:val="98"/>
    <w:semiHidden/>
    <w:rsid w:val="0007295F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07295F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07295F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07295F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07295F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07295F"/>
    <w:pPr>
      <w:numPr>
        <w:numId w:val="15"/>
      </w:numPr>
      <w:contextualSpacing/>
    </w:pPr>
  </w:style>
  <w:style w:type="paragraph" w:styleId="Listanumerowana2">
    <w:name w:val="List Number 2"/>
    <w:basedOn w:val="Normalny"/>
    <w:uiPriority w:val="98"/>
    <w:semiHidden/>
    <w:rsid w:val="0007295F"/>
    <w:pPr>
      <w:numPr>
        <w:numId w:val="16"/>
      </w:numPr>
      <w:contextualSpacing/>
    </w:pPr>
  </w:style>
  <w:style w:type="paragraph" w:styleId="Listanumerowana3">
    <w:name w:val="List Number 3"/>
    <w:basedOn w:val="Normalny"/>
    <w:uiPriority w:val="98"/>
    <w:semiHidden/>
    <w:rsid w:val="0007295F"/>
    <w:pPr>
      <w:numPr>
        <w:numId w:val="17"/>
      </w:numPr>
      <w:contextualSpacing/>
    </w:pPr>
  </w:style>
  <w:style w:type="paragraph" w:styleId="Listanumerowana4">
    <w:name w:val="List Number 4"/>
    <w:basedOn w:val="Normalny"/>
    <w:uiPriority w:val="98"/>
    <w:semiHidden/>
    <w:rsid w:val="0007295F"/>
    <w:pPr>
      <w:numPr>
        <w:numId w:val="18"/>
      </w:numPr>
      <w:contextualSpacing/>
    </w:pPr>
  </w:style>
  <w:style w:type="paragraph" w:styleId="Listanumerowana5">
    <w:name w:val="List Number 5"/>
    <w:basedOn w:val="Normalny"/>
    <w:uiPriority w:val="98"/>
    <w:semiHidden/>
    <w:rsid w:val="0007295F"/>
    <w:pPr>
      <w:numPr>
        <w:numId w:val="19"/>
      </w:numPr>
      <w:contextualSpacing/>
    </w:pPr>
  </w:style>
  <w:style w:type="paragraph" w:styleId="Tekstmakra">
    <w:name w:val="macro"/>
    <w:link w:val="TekstmakraZnak"/>
    <w:uiPriority w:val="98"/>
    <w:semiHidden/>
    <w:rsid w:val="000729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07295F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07295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07295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07295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0729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07295F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07295F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07295F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07295F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07295F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07295F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07295F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07295F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07295F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07295F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07295F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07295F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07295F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07295F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07295F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07295F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07295F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07295F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07295F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07295F"/>
  </w:style>
  <w:style w:type="table" w:styleId="Tabela-Profesjonalny">
    <w:name w:val="Table Professional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07295F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07295F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07295F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07295F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07295F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07295F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07295F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07295F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DummyStyle">
    <w:name w:val="Dummy_Style"/>
    <w:aliases w:val="_Dummy"/>
    <w:basedOn w:val="Normalny"/>
    <w:semiHidden/>
    <w:qFormat/>
    <w:rsid w:val="0007295F"/>
    <w:rPr>
      <w:color w:val="00B050"/>
      <w:sz w:val="22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07295F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07295F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07295F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07295F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07295F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07295F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07295F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07295F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07295F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07295F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07295F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07295F"/>
    <w:pPr>
      <w:keepNext/>
      <w:keepLines/>
      <w:numPr>
        <w:ilvl w:val="8"/>
        <w:numId w:val="3"/>
      </w:numPr>
      <w:spacing w:before="100" w:beforeAutospacing="1"/>
      <w:contextualSpacing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07295F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07295F"/>
    <w:pPr>
      <w:numPr>
        <w:numId w:val="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07295F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07295F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07295F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07295F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07295F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07295F"/>
    <w:rPr>
      <w:sz w:val="4"/>
    </w:rPr>
  </w:style>
  <w:style w:type="table" w:customStyle="1" w:styleId="ECHRTable2">
    <w:name w:val="ECHR_Table_2"/>
    <w:basedOn w:val="Standardowy"/>
    <w:uiPriority w:val="99"/>
    <w:rsid w:val="0007295F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07295F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07295F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07295F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07295F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07295F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07295F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07295F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07295F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07295F"/>
    <w:pPr>
      <w:outlineLvl w:val="0"/>
    </w:pPr>
  </w:style>
  <w:style w:type="character" w:customStyle="1" w:styleId="JuParaChar">
    <w:name w:val="Ju_Para Char"/>
    <w:aliases w:val="_Para Char"/>
    <w:link w:val="JuPara"/>
    <w:uiPriority w:val="4"/>
    <w:rsid w:val="00B77507"/>
    <w:rPr>
      <w:sz w:val="24"/>
      <w:szCs w:val="24"/>
      <w:lang w:val="pl-PL"/>
    </w:rPr>
  </w:style>
  <w:style w:type="paragraph" w:customStyle="1" w:styleId="jucase0">
    <w:name w:val="jucase"/>
    <w:basedOn w:val="Normalny"/>
    <w:rsid w:val="00067564"/>
    <w:pPr>
      <w:ind w:firstLine="284"/>
      <w:jc w:val="both"/>
    </w:pPr>
    <w:rPr>
      <w:rFonts w:ascii="Times New Roman" w:eastAsia="Times New Roman" w:hAnsi="Times New Roman" w:cs="Times New Roman"/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416B6-6CAC-4A28-B1B8-3D629848E4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03EF98-8CEB-4D5D-B0F9-BC295F773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7CF5DB-F1EE-43A6-9E71-42ACAA4026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9C845BF-684C-4955-B10F-B755F58F8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3153</Words>
  <Characters>18920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2021-07-06T11:53:00Z</dcterms:created>
  <dcterms:modified xsi:type="dcterms:W3CDTF">2021-07-06T13:50:00Z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71205/11</vt:lpwstr>
  </property>
  <property fmtid="{D5CDD505-2E9C-101B-9397-08002B2CF9AE}" pid="4" name="CASEID">
    <vt:lpwstr>760781</vt:lpwstr>
  </property>
  <property fmtid="{D5CDD505-2E9C-101B-9397-08002B2CF9AE}" pid="5" name="ContentTypeId">
    <vt:lpwstr>0x010100558EB02BDB9E204AB350EDD385B68E10</vt:lpwstr>
  </property>
</Properties>
</file>