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44277" w14:textId="1B7B9D5F" w:rsidR="007B4C2D" w:rsidRPr="00DC7F12" w:rsidRDefault="00B931E7" w:rsidP="00DC7F12">
      <w:pPr>
        <w:jc w:val="center"/>
        <w:rPr>
          <w:rFonts w:ascii="Times New Roman" w:hAnsi="Times New Roman" w:cs="Times New Roman"/>
        </w:rPr>
      </w:pPr>
      <w:r>
        <w:rPr>
          <w:rFonts w:ascii="Times New Roman" w:hAnsi="Times New Roman" w:cs="Times New Roman"/>
        </w:rPr>
        <w:t>EUROPEJSKI TRYBUNAŁ PRAW CZŁOWIEKA</w:t>
      </w:r>
    </w:p>
    <w:p w14:paraId="60668DA5" w14:textId="77777777" w:rsidR="0098410D" w:rsidRPr="00DC7F12" w:rsidRDefault="0098410D" w:rsidP="00DC7F12">
      <w:pPr>
        <w:jc w:val="center"/>
      </w:pPr>
    </w:p>
    <w:p w14:paraId="5954D88B" w14:textId="77777777" w:rsidR="0098410D" w:rsidRPr="00DC7F12" w:rsidRDefault="007B4C2D" w:rsidP="00DC7F12">
      <w:pPr>
        <w:pStyle w:val="DecHCase"/>
      </w:pPr>
      <w:r>
        <w:t>SEKCJA PIERWSZA</w:t>
      </w:r>
    </w:p>
    <w:p w14:paraId="27043207" w14:textId="77777777" w:rsidR="008E6217" w:rsidRPr="00DC7F12" w:rsidRDefault="008E6217" w:rsidP="00DC7F12">
      <w:pPr>
        <w:pStyle w:val="JuTitle"/>
      </w:pPr>
      <w:bookmarkStart w:id="0" w:name="To"/>
      <w:r>
        <w:rPr>
          <w:color w:val="000000" w:themeColor="text1"/>
        </w:rPr>
        <w:t>SPRAWA</w:t>
      </w:r>
      <w:bookmarkEnd w:id="0"/>
      <w:r w:rsidR="00B35318">
        <w:rPr>
          <w:color w:val="000000" w:themeColor="text1"/>
        </w:rPr>
        <w:t xml:space="preserve"> </w:t>
      </w:r>
      <w:r>
        <w:t>FILAS PRZECIWKO POLSCE</w:t>
      </w:r>
    </w:p>
    <w:p w14:paraId="66FFEEBD" w14:textId="23549327" w:rsidR="00D74888" w:rsidRPr="00DC7F12" w:rsidRDefault="008E6217" w:rsidP="00DC7F12">
      <w:pPr>
        <w:pStyle w:val="ECHRCoverTitle4"/>
      </w:pPr>
      <w:r>
        <w:t>(Skarga nr</w:t>
      </w:r>
      <w:r w:rsidR="00A46232">
        <w:t xml:space="preserve"> </w:t>
      </w:r>
      <w:r>
        <w:t>31806/17)</w:t>
      </w:r>
    </w:p>
    <w:p w14:paraId="0376AB58" w14:textId="77777777" w:rsidR="0098410D" w:rsidRPr="00DC7F12" w:rsidRDefault="0098410D" w:rsidP="00DC7F12">
      <w:pPr>
        <w:pStyle w:val="DecHCase"/>
      </w:pPr>
    </w:p>
    <w:p w14:paraId="7A980AE8" w14:textId="77777777" w:rsidR="0098410D" w:rsidRPr="00DC7F12" w:rsidRDefault="0098410D" w:rsidP="00DC7F12">
      <w:pPr>
        <w:pStyle w:val="DecHCase"/>
      </w:pPr>
    </w:p>
    <w:p w14:paraId="35E77279" w14:textId="77777777" w:rsidR="00AC4CD4" w:rsidRPr="00DC7F12" w:rsidRDefault="00AC4CD4" w:rsidP="00DC7F12">
      <w:pPr>
        <w:pStyle w:val="DecHCase"/>
      </w:pPr>
    </w:p>
    <w:p w14:paraId="0B1F601B" w14:textId="77777777" w:rsidR="0098410D" w:rsidRPr="00DC7F12" w:rsidRDefault="0098410D" w:rsidP="00DC7F12">
      <w:pPr>
        <w:pStyle w:val="DecHCase"/>
      </w:pPr>
    </w:p>
    <w:p w14:paraId="4DB69E9C" w14:textId="77777777" w:rsidR="00DC7F12" w:rsidRPr="00DC7F12" w:rsidRDefault="00DC7F12" w:rsidP="00DC7F12">
      <w:pPr>
        <w:pStyle w:val="DecHCase"/>
      </w:pPr>
    </w:p>
    <w:p w14:paraId="71EFA65A" w14:textId="77777777" w:rsidR="00DC7F12" w:rsidRPr="00DC7F12" w:rsidRDefault="00DC7F12" w:rsidP="00DC7F12">
      <w:pPr>
        <w:pStyle w:val="DecHCase"/>
      </w:pPr>
    </w:p>
    <w:p w14:paraId="11CDC92D" w14:textId="77777777" w:rsidR="0098410D" w:rsidRPr="00DC7F12" w:rsidRDefault="0098410D" w:rsidP="00DC7F12">
      <w:pPr>
        <w:pStyle w:val="DecHCase"/>
      </w:pPr>
      <w:r>
        <w:t>WYROK</w:t>
      </w:r>
      <w:r>
        <w:br/>
      </w:r>
    </w:p>
    <w:p w14:paraId="1EAB8E34" w14:textId="77777777" w:rsidR="0098410D" w:rsidRPr="00DC7F12" w:rsidRDefault="0098410D" w:rsidP="00DC7F12">
      <w:pPr>
        <w:pStyle w:val="DecHCase"/>
      </w:pPr>
      <w:r>
        <w:t>STRASBURG</w:t>
      </w:r>
    </w:p>
    <w:p w14:paraId="367B25FA" w14:textId="77777777" w:rsidR="0098410D" w:rsidRPr="00DC7F12" w:rsidRDefault="007B4C2D" w:rsidP="00DC7F12">
      <w:pPr>
        <w:pStyle w:val="DecHCase"/>
      </w:pPr>
      <w:r>
        <w:rPr>
          <w:rFonts w:ascii="Times New Roman" w:hAnsi="Times New Roman"/>
        </w:rPr>
        <w:t>15 kwietnia 2021 r.</w:t>
      </w:r>
    </w:p>
    <w:p w14:paraId="2D6CAD6E" w14:textId="77777777" w:rsidR="00AC4CD4" w:rsidRPr="00DC7F12" w:rsidRDefault="00AC4CD4" w:rsidP="00DC7F12">
      <w:pPr>
        <w:pStyle w:val="JuPara"/>
      </w:pPr>
    </w:p>
    <w:p w14:paraId="3D4624FC" w14:textId="52E6D0A3" w:rsidR="002422B6" w:rsidRPr="00DC7F12" w:rsidRDefault="0098410D" w:rsidP="00DC7F12">
      <w:pPr>
        <w:rPr>
          <w:i/>
          <w:sz w:val="22"/>
        </w:rPr>
      </w:pPr>
      <w:r>
        <w:rPr>
          <w:i/>
          <w:sz w:val="22"/>
        </w:rPr>
        <w:t xml:space="preserve">Wyrok ten </w:t>
      </w:r>
      <w:r w:rsidR="00623CE3">
        <w:rPr>
          <w:i/>
          <w:sz w:val="22"/>
        </w:rPr>
        <w:t>jest</w:t>
      </w:r>
      <w:r>
        <w:rPr>
          <w:i/>
          <w:sz w:val="22"/>
        </w:rPr>
        <w:t xml:space="preserve"> ostateczny, lecz może podlegać korekcie wydawniczej.</w:t>
      </w:r>
    </w:p>
    <w:p w14:paraId="4705B116" w14:textId="77777777" w:rsidR="0098410D" w:rsidRPr="00DC7F12" w:rsidRDefault="0098410D" w:rsidP="00DC7F12">
      <w:pPr>
        <w:sectPr w:rsidR="0098410D" w:rsidRPr="00DC7F12"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40677527" w14:textId="77777777" w:rsidR="0098410D" w:rsidRPr="00DC7F12" w:rsidRDefault="0098410D" w:rsidP="00DC7F12">
      <w:pPr>
        <w:pStyle w:val="JuCase"/>
      </w:pPr>
      <w:r>
        <w:lastRenderedPageBreak/>
        <w:t>W sprawie Filas przeciwko Polsce</w:t>
      </w:r>
    </w:p>
    <w:p w14:paraId="5C06430A" w14:textId="0C4477B0" w:rsidR="009F4C8F" w:rsidRPr="00DC7F12" w:rsidRDefault="009F4C8F" w:rsidP="00DC7F12">
      <w:pPr>
        <w:pStyle w:val="JuPara"/>
      </w:pPr>
      <w:r>
        <w:t>Europejski Trybunał Praw Człowieka (</w:t>
      </w:r>
      <w:r w:rsidR="00416E2E">
        <w:t>Sekcja Pierwsza</w:t>
      </w:r>
      <w:r>
        <w:t>), zasiadając jako Komitet w składzie:</w:t>
      </w:r>
    </w:p>
    <w:p w14:paraId="7746C9B8" w14:textId="39B04353" w:rsidR="009F4C8F" w:rsidRPr="00DC7F12" w:rsidRDefault="0091477A" w:rsidP="00DC7F12">
      <w:pPr>
        <w:pStyle w:val="JuJudges"/>
      </w:pPr>
      <w:r>
        <w:tab/>
        <w:t>Alena Poláčková</w:t>
      </w:r>
      <w:r>
        <w:rPr>
          <w:i/>
        </w:rPr>
        <w:t>, Przewodnicząca</w:t>
      </w:r>
      <w:r>
        <w:t>,</w:t>
      </w:r>
      <w:r>
        <w:rPr>
          <w:i/>
        </w:rPr>
        <w:br/>
      </w:r>
      <w:r>
        <w:tab/>
        <w:t>Gilberto Felici,</w:t>
      </w:r>
      <w:r>
        <w:rPr>
          <w:i/>
        </w:rPr>
        <w:br/>
      </w:r>
      <w:r>
        <w:t>Raffaele Sabato,</w:t>
      </w:r>
      <w:r>
        <w:rPr>
          <w:i/>
        </w:rPr>
        <w:t xml:space="preserve"> sędziowie</w:t>
      </w:r>
      <w:r>
        <w:t>,</w:t>
      </w:r>
      <w:r>
        <w:br/>
        <w:t xml:space="preserve">oraz Attila Teplán, </w:t>
      </w:r>
      <w:r>
        <w:rPr>
          <w:i/>
          <w:iCs/>
        </w:rPr>
        <w:t xml:space="preserve">p.o. </w:t>
      </w:r>
      <w:r w:rsidR="00416E2E">
        <w:rPr>
          <w:i/>
          <w:iCs/>
        </w:rPr>
        <w:t>Zastępca Kanclerza Sekcji</w:t>
      </w:r>
      <w:r>
        <w:t>,</w:t>
      </w:r>
    </w:p>
    <w:p w14:paraId="71B5980B" w14:textId="77777777" w:rsidR="007B4C2D" w:rsidRPr="00DC7F12" w:rsidRDefault="007B4C2D" w:rsidP="00DC7F12">
      <w:pPr>
        <w:pStyle w:val="JuPara"/>
      </w:pPr>
      <w:bookmarkStart w:id="1" w:name="ITMARKHavingStart"/>
      <w:bookmarkEnd w:id="1"/>
      <w:r>
        <w:t>Mając na uwadze:</w:t>
      </w:r>
    </w:p>
    <w:p w14:paraId="5E96D61B" w14:textId="1AD3B9BD" w:rsidR="007B4C2D" w:rsidRPr="00DC7F12" w:rsidRDefault="007B4C2D" w:rsidP="00DC7F12">
      <w:pPr>
        <w:pStyle w:val="JuPara"/>
      </w:pPr>
      <w:r>
        <w:t>skargę (nr</w:t>
      </w:r>
      <w:r w:rsidR="00A46232">
        <w:t xml:space="preserve"> </w:t>
      </w:r>
      <w:r>
        <w:t>31806/17) przeciwko Rzeczypospolitej Polskiej wniesioną do</w:t>
      </w:r>
      <w:r w:rsidR="00DC6186">
        <w:t> </w:t>
      </w:r>
      <w:r>
        <w:t>Trybunału w dniu 11 kwietnia 2017</w:t>
      </w:r>
      <w:r w:rsidR="00A46232">
        <w:t xml:space="preserve"> </w:t>
      </w:r>
      <w:r>
        <w:t>r. na podstawie art.</w:t>
      </w:r>
      <w:r w:rsidR="00A46232">
        <w:t xml:space="preserve"> </w:t>
      </w:r>
      <w:r>
        <w:t>34 Konwencji o</w:t>
      </w:r>
      <w:r w:rsidR="00DC6186">
        <w:t> </w:t>
      </w:r>
      <w:r>
        <w:t>ochronie praw człowieka i</w:t>
      </w:r>
      <w:r w:rsidR="00A46232">
        <w:t xml:space="preserve"> </w:t>
      </w:r>
      <w:r>
        <w:t>podstawowych wolności („Konwencji”) przez obywatela polskiego Gniewomira Filasa („skarżącego”);</w:t>
      </w:r>
    </w:p>
    <w:p w14:paraId="5BA0AA3D" w14:textId="7B3AAB02" w:rsidR="007B4C2D" w:rsidRPr="00DC7F12" w:rsidRDefault="007B4C2D" w:rsidP="00DC7F12">
      <w:pPr>
        <w:pStyle w:val="JuPara"/>
      </w:pPr>
      <w:r>
        <w:t xml:space="preserve">decyzję o </w:t>
      </w:r>
      <w:r>
        <w:t>za</w:t>
      </w:r>
      <w:r w:rsidR="00416E2E">
        <w:t>komunikowaniu skargi Rządowi</w:t>
      </w:r>
      <w:r w:rsidR="00416E2E">
        <w:t xml:space="preserve"> RP („</w:t>
      </w:r>
      <w:r w:rsidR="00416E2E">
        <w:t>Rządowi</w:t>
      </w:r>
      <w:r>
        <w:t>”);</w:t>
      </w:r>
    </w:p>
    <w:p w14:paraId="3DAFDD99" w14:textId="77777777" w:rsidR="007B4C2D" w:rsidRPr="00DC7F12" w:rsidRDefault="007B4C2D" w:rsidP="00DC7F12">
      <w:pPr>
        <w:pStyle w:val="JuPara"/>
      </w:pPr>
      <w:r>
        <w:t>uwagi stron;</w:t>
      </w:r>
    </w:p>
    <w:p w14:paraId="1ED4FE97" w14:textId="14BF5813" w:rsidR="009F4C8F" w:rsidRPr="00DC7F12" w:rsidRDefault="009F4C8F" w:rsidP="00DC7F12">
      <w:pPr>
        <w:pStyle w:val="JuPara"/>
      </w:pPr>
      <w:r>
        <w:t>obradując na posiedzeniu niejawnym w dniu 16 marca 2021</w:t>
      </w:r>
      <w:r w:rsidR="00A46232">
        <w:t xml:space="preserve"> </w:t>
      </w:r>
      <w:r>
        <w:t>r.,</w:t>
      </w:r>
    </w:p>
    <w:p w14:paraId="6C37AFAF" w14:textId="77777777" w:rsidR="009F4C8F" w:rsidRPr="00DC7F12" w:rsidRDefault="009F4C8F" w:rsidP="00DC7F12">
      <w:pPr>
        <w:pStyle w:val="JuPara"/>
      </w:pPr>
      <w:r>
        <w:t>wydaje następujący wyrok, który został przyjęty w tym dniu:</w:t>
      </w:r>
    </w:p>
    <w:p w14:paraId="2F5BBBB2" w14:textId="77777777" w:rsidR="007B4C2D" w:rsidRPr="00DC7F12" w:rsidRDefault="007B4C2D" w:rsidP="00DC7F12">
      <w:pPr>
        <w:pStyle w:val="JuHHead"/>
        <w:numPr>
          <w:ilvl w:val="0"/>
          <w:numId w:val="0"/>
        </w:numPr>
      </w:pPr>
      <w:r>
        <w:t>WPROWADZENIE</w:t>
      </w:r>
    </w:p>
    <w:p w14:paraId="6D3C5D86" w14:textId="78832374" w:rsidR="007B4C2D" w:rsidRPr="00DC7F12" w:rsidRDefault="003545C2" w:rsidP="00DC7F12">
      <w:pPr>
        <w:pStyle w:val="JuPara"/>
      </w:pPr>
      <w:r>
        <w:rPr>
          <w:noProof/>
        </w:rPr>
        <w:t>1</w:t>
      </w:r>
      <w:r w:rsidR="007B4C2D">
        <w:t>.</w:t>
      </w:r>
      <w:r w:rsidR="00A46232">
        <w:t xml:space="preserve"> </w:t>
      </w:r>
      <w:r w:rsidR="007B4C2D">
        <w:t>Sprawa dotyczy długotrwałego stosowania wobec skarżącego reżimu związanego ze statusem „</w:t>
      </w:r>
      <w:r w:rsidR="00946D36">
        <w:t>osadzonego niebezpiecznego</w:t>
      </w:r>
      <w:r w:rsidR="007B4C2D">
        <w:t>”.</w:t>
      </w:r>
    </w:p>
    <w:p w14:paraId="3FDCD0EB" w14:textId="77777777" w:rsidR="007B4C2D" w:rsidRPr="00DC7F12" w:rsidRDefault="007B4C2D" w:rsidP="00DC7F12">
      <w:pPr>
        <w:pStyle w:val="JuHHead"/>
        <w:jc w:val="left"/>
      </w:pPr>
      <w:r>
        <w:t>FAKTY</w:t>
      </w:r>
    </w:p>
    <w:p w14:paraId="1547AF4D" w14:textId="7B2E49D1" w:rsidR="007B4C2D" w:rsidRPr="00DC7F12" w:rsidRDefault="003545C2" w:rsidP="00DC7F12">
      <w:pPr>
        <w:pStyle w:val="JuPara"/>
      </w:pPr>
      <w:r>
        <w:rPr>
          <w:noProof/>
        </w:rPr>
        <w:t>2</w:t>
      </w:r>
      <w:r w:rsidR="007B4C2D">
        <w:t>.</w:t>
      </w:r>
      <w:r w:rsidR="00A46232">
        <w:t xml:space="preserve"> </w:t>
      </w:r>
      <w:r w:rsidR="007B4C2D">
        <w:t>Skarżący urodził się w</w:t>
      </w:r>
      <w:r w:rsidR="00A46232">
        <w:t xml:space="preserve"> </w:t>
      </w:r>
      <w:r w:rsidR="007B4C2D">
        <w:t>1991</w:t>
      </w:r>
      <w:r w:rsidR="00A46232">
        <w:t xml:space="preserve"> </w:t>
      </w:r>
      <w:r w:rsidR="007B4C2D">
        <w:t xml:space="preserve">r. i przebywa w </w:t>
      </w:r>
      <w:r w:rsidR="00946D36">
        <w:t>jednostce penitencjarnej</w:t>
      </w:r>
      <w:r w:rsidR="007B4C2D">
        <w:t xml:space="preserve"> w</w:t>
      </w:r>
      <w:r w:rsidR="00DC6186">
        <w:t> </w:t>
      </w:r>
      <w:r w:rsidR="007B4C2D">
        <w:t>Gorzowie Wielkopolskim.</w:t>
      </w:r>
    </w:p>
    <w:p w14:paraId="7A1CCDF9" w14:textId="78918FCD" w:rsidR="007B4C2D" w:rsidRPr="00DC7F12" w:rsidRDefault="003545C2" w:rsidP="00DC7F12">
      <w:pPr>
        <w:pStyle w:val="JuPara"/>
      </w:pPr>
      <w:r>
        <w:rPr>
          <w:noProof/>
        </w:rPr>
        <w:t>3</w:t>
      </w:r>
      <w:r w:rsidR="007B4C2D">
        <w:t>.</w:t>
      </w:r>
      <w:r w:rsidR="00A46232">
        <w:t xml:space="preserve"> </w:t>
      </w:r>
      <w:r w:rsidR="007B4C2D">
        <w:t>Rząd polski („Rząd”) był reprezentowany przez pełnomocnik J.</w:t>
      </w:r>
      <w:r w:rsidR="00DC6186">
        <w:t> </w:t>
      </w:r>
      <w:r w:rsidR="007B4C2D">
        <w:t>Chrzanowską, a następnie przez J. Sobczaka z Ministerstwa Spraw Zagranicznych.</w:t>
      </w:r>
    </w:p>
    <w:p w14:paraId="3E16C1B8" w14:textId="456F090C" w:rsidR="007B4C2D" w:rsidRPr="00DC7F12" w:rsidRDefault="003545C2" w:rsidP="00DC7F12">
      <w:pPr>
        <w:pStyle w:val="JuPara"/>
      </w:pPr>
      <w:r>
        <w:rPr>
          <w:noProof/>
        </w:rPr>
        <w:t>4</w:t>
      </w:r>
      <w:r w:rsidR="007B4C2D">
        <w:t>.</w:t>
      </w:r>
      <w:r w:rsidR="00A46232">
        <w:t xml:space="preserve"> </w:t>
      </w:r>
      <w:r w:rsidR="007B4C2D">
        <w:t>Przedstawione przez strony okoliczności faktyczne sprawy można streścić w następujący sposób.</w:t>
      </w:r>
    </w:p>
    <w:p w14:paraId="0A1277DA" w14:textId="5261FABE" w:rsidR="007B4C2D" w:rsidRPr="00DC7F12" w:rsidRDefault="003545C2" w:rsidP="00DC7F12">
      <w:pPr>
        <w:pStyle w:val="JuPara"/>
      </w:pPr>
      <w:bookmarkStart w:id="2" w:name="par6"/>
      <w:r>
        <w:rPr>
          <w:noProof/>
        </w:rPr>
        <w:t>5</w:t>
      </w:r>
      <w:bookmarkEnd w:id="2"/>
      <w:r w:rsidR="007B4C2D">
        <w:t>.</w:t>
      </w:r>
      <w:r w:rsidR="00A46232">
        <w:t xml:space="preserve"> </w:t>
      </w:r>
      <w:r w:rsidR="007B4C2D">
        <w:t>Od dnia 26 września 2011 r. skarżący odbywał różne kary pozbawienia wolności za pobicie i rozbój, w różnych jednostkach penitencjarnych.</w:t>
      </w:r>
    </w:p>
    <w:p w14:paraId="018CAF08" w14:textId="6B34B398" w:rsidR="007B4C2D" w:rsidRPr="00DC7F12" w:rsidRDefault="003545C2" w:rsidP="00DC7F12">
      <w:pPr>
        <w:pStyle w:val="JuPara"/>
      </w:pPr>
      <w:bookmarkStart w:id="3" w:name="regimeApplied"/>
      <w:r>
        <w:rPr>
          <w:noProof/>
        </w:rPr>
        <w:t>6</w:t>
      </w:r>
      <w:bookmarkEnd w:id="3"/>
      <w:r w:rsidR="007B4C2D">
        <w:t>.</w:t>
      </w:r>
      <w:r w:rsidR="00A46232">
        <w:t xml:space="preserve"> </w:t>
      </w:r>
      <w:r w:rsidR="007B4C2D">
        <w:t>W dniu 25 września 2014 r. komisja penitencjarna</w:t>
      </w:r>
      <w:r w:rsidR="00706729">
        <w:t xml:space="preserve"> </w:t>
      </w:r>
      <w:r w:rsidR="007B4C2D">
        <w:t>Zakładu Karnego w</w:t>
      </w:r>
      <w:r w:rsidR="00DC6186">
        <w:t> </w:t>
      </w:r>
      <w:r w:rsidR="007B4C2D">
        <w:t xml:space="preserve">Iławie zakwalifikowała skarżącego jako </w:t>
      </w:r>
      <w:r w:rsidR="007B4C2D">
        <w:t>osadzonego</w:t>
      </w:r>
      <w:r w:rsidR="003D1FD3" w:rsidRPr="003D1FD3">
        <w:t xml:space="preserve"> </w:t>
      </w:r>
      <w:r w:rsidR="003D1FD3">
        <w:t>niebezpiecznego</w:t>
      </w:r>
      <w:r w:rsidR="007B4C2D">
        <w:t>. Komisja wzięła pod uwagę opinię władz zakładu karnego, z której wynikało, że skarżący naruszył nietykalność cielesną funkcjonariusza służby więziennej.</w:t>
      </w:r>
    </w:p>
    <w:p w14:paraId="0D23684D" w14:textId="30CBCB05" w:rsidR="007B4C2D" w:rsidRPr="00DC7F12" w:rsidRDefault="003545C2" w:rsidP="00DC7F12">
      <w:pPr>
        <w:pStyle w:val="JuPara"/>
      </w:pPr>
      <w:bookmarkStart w:id="4" w:name="repetitiveextensionip2015"/>
      <w:r>
        <w:rPr>
          <w:noProof/>
        </w:rPr>
        <w:t>7</w:t>
      </w:r>
      <w:bookmarkEnd w:id="4"/>
      <w:r w:rsidR="007B4C2D">
        <w:t>.</w:t>
      </w:r>
      <w:r w:rsidR="00A46232">
        <w:t xml:space="preserve"> </w:t>
      </w:r>
      <w:r w:rsidR="007B4C2D">
        <w:t>Reżim ten był następnie przedłużany co trzy miesiące. W okresie do</w:t>
      </w:r>
      <w:r w:rsidR="00DC6186">
        <w:t> </w:t>
      </w:r>
      <w:r w:rsidR="007B4C2D">
        <w:t>dnia 8 grudnia 2015 r. decyzje komisji ograniczały się do stwierdzenia, że</w:t>
      </w:r>
      <w:r w:rsidR="00DC6186">
        <w:t> </w:t>
      </w:r>
      <w:r w:rsidR="007B4C2D">
        <w:t>skarżący powinien pozostać zakwalifikowany jako „</w:t>
      </w:r>
      <w:r w:rsidR="00946D36">
        <w:t xml:space="preserve">osadzony </w:t>
      </w:r>
      <w:r w:rsidR="007B4C2D">
        <w:t xml:space="preserve">niebezpieczny”. We wnioskach o przedłużenie stosowania reżimu składanych przez władze zakładu karnego odnotowano, że skarżący był wielokrotnie karany dyscyplinarnie za swoje agresywne zachowanie. </w:t>
      </w:r>
      <w:r w:rsidR="007B4C2D">
        <w:lastRenderedPageBreak/>
        <w:t>Na</w:t>
      </w:r>
      <w:r w:rsidR="00DC6186">
        <w:t> </w:t>
      </w:r>
      <w:r w:rsidR="007B4C2D">
        <w:t>przykład, w dniach 16 sierpnia i 17 listopada 2015 r. skarżący ponownie naruszył nietykalność cielesną funkcjonariuszy służby więziennej.</w:t>
      </w:r>
    </w:p>
    <w:p w14:paraId="226513C3" w14:textId="0C590FE3" w:rsidR="007B4C2D" w:rsidRPr="00DC7F12" w:rsidRDefault="003545C2" w:rsidP="00DC7F12">
      <w:pPr>
        <w:pStyle w:val="JuPara"/>
      </w:pPr>
      <w:bookmarkStart w:id="5" w:name="exensionssecondperiod"/>
      <w:r>
        <w:rPr>
          <w:noProof/>
        </w:rPr>
        <w:t>8</w:t>
      </w:r>
      <w:bookmarkEnd w:id="5"/>
      <w:r w:rsidR="007B4C2D">
        <w:t>.</w:t>
      </w:r>
      <w:r w:rsidR="00A46232">
        <w:t xml:space="preserve"> </w:t>
      </w:r>
      <w:r w:rsidR="007B4C2D">
        <w:t>W dniu 24 lutego 2016 r. komisja penitencjarna Aresztu Śledczego w</w:t>
      </w:r>
      <w:r w:rsidR="00DC6186">
        <w:t> </w:t>
      </w:r>
      <w:r w:rsidR="007B4C2D">
        <w:t>Poznaniu przedłużyła zastosowanie reżimu. Komisja odniosła się do opinii władz zakładu karnego, w których wnioskowa</w:t>
      </w:r>
      <w:r w:rsidR="00706729">
        <w:t>no</w:t>
      </w:r>
      <w:r w:rsidR="007B4C2D">
        <w:t xml:space="preserve"> o przedłużenie </w:t>
      </w:r>
      <w:r w:rsidR="007B4C2D">
        <w:t>za</w:t>
      </w:r>
      <w:r w:rsidR="007B4C2D">
        <w:t>stosowanego reżimu i uznała, że dalsze stosowanie reżimu przewidzianego dla</w:t>
      </w:r>
      <w:r w:rsidR="00DC6186">
        <w:t> </w:t>
      </w:r>
      <w:r w:rsidR="007B4C2D">
        <w:t>„</w:t>
      </w:r>
      <w:r w:rsidR="00946D36">
        <w:t xml:space="preserve">osadzonego </w:t>
      </w:r>
      <w:r w:rsidR="007B4C2D">
        <w:t>niebezpiecznego” było konieczne dla bezpieczeństwa zakładu karnego. Następnie reżim ten przedłużano co trzy miesiące. Wszystkie kolejne decyzje były identycznej treści.</w:t>
      </w:r>
    </w:p>
    <w:p w14:paraId="1AB3F141" w14:textId="10B46A4C" w:rsidR="007B4C2D" w:rsidRPr="00DC7F12" w:rsidRDefault="003545C2" w:rsidP="00DC7F12">
      <w:pPr>
        <w:pStyle w:val="JuPara"/>
      </w:pPr>
      <w:bookmarkStart w:id="6" w:name="par9"/>
      <w:r>
        <w:rPr>
          <w:noProof/>
        </w:rPr>
        <w:t>9</w:t>
      </w:r>
      <w:bookmarkEnd w:id="6"/>
      <w:r w:rsidR="007B4C2D">
        <w:t>.</w:t>
      </w:r>
      <w:r w:rsidR="00A46232">
        <w:t xml:space="preserve"> </w:t>
      </w:r>
      <w:r w:rsidR="007B4C2D">
        <w:t>Skarżący zaskarżył decyzję komisji penitencjarnej Aresztu Śledczego w Poznaniu wydaną w dniu 8 lutego 2017 r.</w:t>
      </w:r>
    </w:p>
    <w:p w14:paraId="043AF870" w14:textId="7E3AE099" w:rsidR="007B4C2D" w:rsidRPr="00DC7F12" w:rsidRDefault="003545C2" w:rsidP="00DC7F12">
      <w:pPr>
        <w:pStyle w:val="JuPara"/>
      </w:pPr>
      <w:bookmarkStart w:id="7" w:name="par10"/>
      <w:r>
        <w:rPr>
          <w:noProof/>
        </w:rPr>
        <w:t>10</w:t>
      </w:r>
      <w:bookmarkEnd w:id="7"/>
      <w:r w:rsidR="007B4C2D">
        <w:t>.</w:t>
      </w:r>
      <w:r w:rsidR="00A46232">
        <w:t xml:space="preserve"> </w:t>
      </w:r>
      <w:r w:rsidR="007B4C2D">
        <w:t>W dniu 27 marca 2017 r. Sąd Okręgowy w Poznaniu utrzymał zaskarżoną decyzję w mocy. Sąd stwierdził, że klasyfikacja skarżącego była uzasadniona jego pisemnym oświadczeniem, w którym groził funkcjonariuszom zakładu karnego, że „sparzy ich wrzątkiem”.</w:t>
      </w:r>
    </w:p>
    <w:p w14:paraId="655983CA" w14:textId="5C1A980D" w:rsidR="007B4C2D" w:rsidRPr="00DC7F12" w:rsidRDefault="003545C2" w:rsidP="00DC7F12">
      <w:pPr>
        <w:pStyle w:val="JuPara"/>
      </w:pPr>
      <w:bookmarkStart w:id="8" w:name="releasd"/>
      <w:r>
        <w:rPr>
          <w:noProof/>
        </w:rPr>
        <w:t>11</w:t>
      </w:r>
      <w:bookmarkEnd w:id="8"/>
      <w:r w:rsidR="007B4C2D">
        <w:t>.</w:t>
      </w:r>
      <w:r w:rsidR="00A46232">
        <w:t xml:space="preserve"> </w:t>
      </w:r>
      <w:r w:rsidR="007B4C2D">
        <w:t>Skarżący odbył karę i został zwolniony w dniu 19 listopada 2017 r.</w:t>
      </w:r>
    </w:p>
    <w:p w14:paraId="3621CD30" w14:textId="02BBA81A" w:rsidR="007B4C2D" w:rsidRPr="00DC7F12" w:rsidRDefault="003545C2" w:rsidP="00DC7F12">
      <w:pPr>
        <w:pStyle w:val="JuPara"/>
      </w:pPr>
      <w:bookmarkStart w:id="9" w:name="par11"/>
      <w:bookmarkStart w:id="10" w:name="aspectsoftheRegime"/>
      <w:r>
        <w:rPr>
          <w:noProof/>
        </w:rPr>
        <w:t>12</w:t>
      </w:r>
      <w:bookmarkEnd w:id="9"/>
      <w:bookmarkEnd w:id="10"/>
      <w:r w:rsidR="007B4C2D">
        <w:t>.</w:t>
      </w:r>
      <w:r w:rsidR="00A46232">
        <w:t xml:space="preserve"> </w:t>
      </w:r>
      <w:r w:rsidR="007B4C2D">
        <w:t>Podczas pobytu w areszcie skarżący przebywał w jednoosobowych celach, z wyjątkiem okresu około dwóch tygodni, w którym dzielił celę z</w:t>
      </w:r>
      <w:r w:rsidR="00DC6186">
        <w:t> </w:t>
      </w:r>
      <w:r w:rsidR="007B4C2D">
        <w:t xml:space="preserve">innym osadzonym. Cele mieszkalne, w tym część przeznaczona do celów sanitarno-higienicznych, były monitorowane przez system telewizji przemysłowej. Skarżący poddawany był kontroli osobistej każdorazowo przy opuszczeniu i powrocie do celi. Przy wychodzeniu z celi skarżącego skuwano tzw. kajdankami zespolonymi (kajdanki zakładane na ręce </w:t>
      </w:r>
      <w:r w:rsidR="00CB4C65">
        <w:t xml:space="preserve">i nogi </w:t>
      </w:r>
      <w:r w:rsidR="007B4C2D">
        <w:t>połączone łańcuchem).</w:t>
      </w:r>
    </w:p>
    <w:p w14:paraId="49C982B4" w14:textId="77777777" w:rsidR="007B4C2D" w:rsidRPr="00DC7F12" w:rsidRDefault="007B4C2D" w:rsidP="00DC7F12">
      <w:pPr>
        <w:pStyle w:val="JuHHead"/>
        <w:jc w:val="left"/>
      </w:pPr>
      <w:r>
        <w:t>WŁAŚCIWE RAMY PRAWNE I PRAKTYKA</w:t>
      </w:r>
    </w:p>
    <w:p w14:paraId="52A80C2E" w14:textId="04CE2401" w:rsidR="007B4C2D" w:rsidRPr="00DC7F12" w:rsidRDefault="003545C2" w:rsidP="00DC7F12">
      <w:pPr>
        <w:pStyle w:val="JuPara"/>
      </w:pPr>
      <w:r>
        <w:rPr>
          <w:noProof/>
        </w:rPr>
        <w:t>13</w:t>
      </w:r>
      <w:r w:rsidR="007B4C2D">
        <w:t>.</w:t>
      </w:r>
      <w:r w:rsidR="00A46232">
        <w:t xml:space="preserve"> </w:t>
      </w:r>
      <w:r w:rsidR="007B4C2D">
        <w:t>Właściwe prawo krajowe i praktyka dotycząc</w:t>
      </w:r>
      <w:r w:rsidR="003347A0">
        <w:t>e</w:t>
      </w:r>
      <w:r w:rsidR="007B4C2D">
        <w:t xml:space="preserve"> zastosowania statusu „niebezpiecznego osadzonego” przedstawiono w wyrokach Trybunału w</w:t>
      </w:r>
      <w:r w:rsidR="00DC6186">
        <w:t> </w:t>
      </w:r>
      <w:r w:rsidR="007B4C2D">
        <w:t xml:space="preserve">sprawach </w:t>
      </w:r>
      <w:r w:rsidR="007B4C2D">
        <w:rPr>
          <w:i/>
        </w:rPr>
        <w:t>Piechowicz przeciwko Polsce</w:t>
      </w:r>
      <w:r w:rsidR="007B4C2D">
        <w:t xml:space="preserve"> (nr 20071/07, §§ 105-117, 17</w:t>
      </w:r>
      <w:r w:rsidR="00DC6186">
        <w:t> </w:t>
      </w:r>
      <w:r w:rsidR="007B4C2D">
        <w:t xml:space="preserve">kwietnia 2012 r.) oraz </w:t>
      </w:r>
      <w:r w:rsidR="007B4C2D">
        <w:rPr>
          <w:i/>
        </w:rPr>
        <w:t>Horych przeciwko Polsce</w:t>
      </w:r>
      <w:r w:rsidR="007B4C2D">
        <w:t xml:space="preserve"> (nr 13621/08, §§ 44-56, 17 kwietnia 2012 r.).</w:t>
      </w:r>
    </w:p>
    <w:p w14:paraId="13E823EB" w14:textId="241BFE08" w:rsidR="007B4C2D" w:rsidRPr="00DC7F12" w:rsidRDefault="003545C2" w:rsidP="00DC7F12">
      <w:pPr>
        <w:pStyle w:val="JuPara"/>
      </w:pPr>
      <w:bookmarkStart w:id="11" w:name="NewLaw"/>
      <w:r>
        <w:rPr>
          <w:noProof/>
        </w:rPr>
        <w:t>14</w:t>
      </w:r>
      <w:bookmarkEnd w:id="11"/>
      <w:r w:rsidR="007B4C2D">
        <w:t>.</w:t>
      </w:r>
      <w:r w:rsidR="00A46232">
        <w:t xml:space="preserve"> </w:t>
      </w:r>
      <w:r w:rsidR="007B4C2D">
        <w:t>W dniu 10 września 2015 r. znowelizowano odpowiednie przepisy Kodeksu karnego wykonawczego. Zmiany weszły w życie z dniem 24</w:t>
      </w:r>
      <w:r w:rsidR="00DC6186">
        <w:t> </w:t>
      </w:r>
      <w:r w:rsidR="007B4C2D">
        <w:t>października 2015 r. Obecnie brzmią one następująco:</w:t>
      </w:r>
    </w:p>
    <w:p w14:paraId="4BB6B4BA" w14:textId="77777777" w:rsidR="007B4C2D" w:rsidRPr="00DC7F12" w:rsidRDefault="007B4C2D" w:rsidP="00DC7F12">
      <w:pPr>
        <w:pStyle w:val="JuHArticle"/>
      </w:pPr>
      <w:r>
        <w:t>Artykuł 88a</w:t>
      </w:r>
    </w:p>
    <w:p w14:paraId="3B4032EA" w14:textId="0A9AC5ED" w:rsidR="007B4C2D" w:rsidRPr="00DC7F12" w:rsidRDefault="007B4C2D" w:rsidP="00DC7F12">
      <w:pPr>
        <w:pStyle w:val="JuQuot"/>
      </w:pPr>
      <w:r>
        <w:t>„2. Przy podjęciu i każdorazowej weryfikacji decyzji o uznaniu skazanego za</w:t>
      </w:r>
      <w:r w:rsidR="00DC6186">
        <w:t> </w:t>
      </w:r>
      <w:r>
        <w:t>stwarzającego poważne zagrożenie społeczne albo poważne zagrożenie dla</w:t>
      </w:r>
      <w:r w:rsidR="00DC6186">
        <w:t> </w:t>
      </w:r>
      <w:r>
        <w:t>bezpieczeństwa zakładu komisja penitencjarna uwzględnia:</w:t>
      </w:r>
    </w:p>
    <w:p w14:paraId="28EE11B4" w14:textId="77777777" w:rsidR="007B4C2D" w:rsidRPr="00DC7F12" w:rsidRDefault="007B4C2D" w:rsidP="00DC7F12">
      <w:pPr>
        <w:pStyle w:val="JuQuot"/>
      </w:pPr>
      <w:r>
        <w:t>1) właściwości i warunki osobiste skazanego;</w:t>
      </w:r>
    </w:p>
    <w:p w14:paraId="5029DFEF" w14:textId="5D19DFB0" w:rsidR="007B4C2D" w:rsidRPr="00DC7F12" w:rsidRDefault="007B4C2D" w:rsidP="00DC7F12">
      <w:pPr>
        <w:pStyle w:val="JuQuot"/>
      </w:pPr>
      <w:r>
        <w:t xml:space="preserve">2) motywacje i sposób zachowania się przy popełnieniu przestępstwa [za które osoba została skazana] oraz rodzaj </w:t>
      </w:r>
      <w:r w:rsidR="00B24713">
        <w:t>…</w:t>
      </w:r>
      <w:r w:rsidR="00B24713">
        <w:t xml:space="preserve"> przestępstwa</w:t>
      </w:r>
      <w:r w:rsidR="00B24713">
        <w:t>;</w:t>
      </w:r>
    </w:p>
    <w:p w14:paraId="7180C0D8" w14:textId="77777777" w:rsidR="007B4C2D" w:rsidRPr="00DC7F12" w:rsidRDefault="007B4C2D" w:rsidP="00DC7F12">
      <w:pPr>
        <w:pStyle w:val="JuQuot"/>
      </w:pPr>
      <w:r>
        <w:t>3) sposób zachowania się w trakcie pobytu w zakładzie karnym;</w:t>
      </w:r>
    </w:p>
    <w:p w14:paraId="73730352" w14:textId="77777777" w:rsidR="007B4C2D" w:rsidRPr="00DC7F12" w:rsidRDefault="007B4C2D" w:rsidP="00DC7F12">
      <w:pPr>
        <w:pStyle w:val="JuQuot"/>
      </w:pPr>
      <w:r>
        <w:lastRenderedPageBreak/>
        <w:t>4) stopień demoralizacji lub postępy w resocjalizacji”</w:t>
      </w:r>
      <w:r w:rsidR="000D253B">
        <w:t>.</w:t>
      </w:r>
    </w:p>
    <w:p w14:paraId="1E534D83" w14:textId="77777777" w:rsidR="007B4C2D" w:rsidRPr="00DC7F12" w:rsidRDefault="007B4C2D" w:rsidP="00DC7F12">
      <w:pPr>
        <w:pStyle w:val="JuHArticle"/>
      </w:pPr>
      <w:r>
        <w:t>Artykuł 88b</w:t>
      </w:r>
    </w:p>
    <w:p w14:paraId="7CD163A4" w14:textId="44A73FEC" w:rsidR="007B4C2D" w:rsidRPr="00DC7F12" w:rsidRDefault="007B4C2D" w:rsidP="00DC7F12">
      <w:pPr>
        <w:pStyle w:val="JuQuot"/>
      </w:pPr>
      <w:r>
        <w:t>„§ 1. W zakładzie karnym typu zamkniętego skazani stwarzający pow</w:t>
      </w:r>
      <w:r w:rsidR="00643D4D">
        <w:t xml:space="preserve">ażne zagrożenie społeczne albo </w:t>
      </w:r>
      <w:r>
        <w:t>poważne za</w:t>
      </w:r>
      <w:r w:rsidR="00643D4D">
        <w:t>grożenie dla</w:t>
      </w:r>
      <w:r>
        <w:t xml:space="preserve"> bezpieczeństwa zakładu odbywają karę w</w:t>
      </w:r>
      <w:r w:rsidR="00DC6186">
        <w:t> </w:t>
      </w:r>
      <w:r>
        <w:t>następujących warunkach:</w:t>
      </w:r>
    </w:p>
    <w:p w14:paraId="07E88E9B" w14:textId="08088F88" w:rsidR="007B4C2D" w:rsidRPr="00DC7F12" w:rsidRDefault="007B4C2D" w:rsidP="00DC7F12">
      <w:pPr>
        <w:pStyle w:val="JuQuot"/>
      </w:pPr>
      <w:r>
        <w:t>1) cele mieszkalne oraz miejsca i pomieszczenia wyznaczone do: pracy, nauki, przeprowadzania spacerów, widzeń, odprawiania nabożeństw, spotkań religijnych i</w:t>
      </w:r>
      <w:r w:rsidR="00DC6186">
        <w:t> </w:t>
      </w:r>
      <w:r>
        <w:t>nauczania religii oraz zajęć kulturalno-oświatowych, z zakresu kultury fizycznej i</w:t>
      </w:r>
      <w:r w:rsidR="00DC6186">
        <w:t> </w:t>
      </w:r>
      <w:r>
        <w:t>sportu wyposaża się w odpowiednie zabezpieczenia techniczno-ochronne;</w:t>
      </w:r>
    </w:p>
    <w:p w14:paraId="7FB385E1" w14:textId="77777777" w:rsidR="007B4C2D" w:rsidRPr="00DC7F12" w:rsidRDefault="007B4C2D" w:rsidP="00DC7F12">
      <w:pPr>
        <w:pStyle w:val="JuQuot"/>
      </w:pPr>
      <w:r>
        <w:t>2) cele mieszkalne pozostają zamknięte całą dobę i są częściej kontrolowane [...]</w:t>
      </w:r>
      <w:r w:rsidR="00440F57">
        <w:t>;</w:t>
      </w:r>
    </w:p>
    <w:p w14:paraId="25240412" w14:textId="77777777" w:rsidR="007B4C2D" w:rsidRPr="00DC7F12" w:rsidRDefault="00643D4D" w:rsidP="00DC7F12">
      <w:pPr>
        <w:pStyle w:val="JuQuot"/>
      </w:pPr>
      <w:r>
        <w:t xml:space="preserve">3) skazani mogą uczyć </w:t>
      </w:r>
      <w:r w:rsidR="007B4C2D">
        <w:t>się,</w:t>
      </w:r>
      <w:r>
        <w:t xml:space="preserve"> pracować, bezpośrednio uczestniczyć w nabożeństwach, spotkaniach religijnych i nauce </w:t>
      </w:r>
      <w:r w:rsidR="007B4C2D">
        <w:t>religii</w:t>
      </w:r>
      <w:r>
        <w:t xml:space="preserve"> oraz</w:t>
      </w:r>
      <w:r w:rsidR="007B4C2D">
        <w:t xml:space="preserve"> korzystać </w:t>
      </w:r>
      <w:r>
        <w:t>z zajęć kulturalno-oświatowych, z zakresu kultury fizycznej i sportu,</w:t>
      </w:r>
      <w:r w:rsidR="007B4C2D">
        <w:t xml:space="preserve"> tylko w oddziale, w którym są osadzeni;</w:t>
      </w:r>
    </w:p>
    <w:p w14:paraId="71BCFFC7" w14:textId="4B770C01" w:rsidR="007B4C2D" w:rsidRPr="0091609A" w:rsidRDefault="007B4C2D" w:rsidP="00DC7F12">
      <w:pPr>
        <w:pStyle w:val="JuQuot"/>
      </w:pPr>
      <w:r>
        <w:t>4) poruszanie się skazanych po terenie zakładu karnego odbywa się pod</w:t>
      </w:r>
      <w:r w:rsidR="00DC6186">
        <w:t> </w:t>
      </w:r>
      <w:r w:rsidRPr="0091609A">
        <w:t>wzmocnionym dozorem i jest ograniczone tylko do niezbędnych potrzeb;</w:t>
      </w:r>
    </w:p>
    <w:p w14:paraId="7AAD5BF1" w14:textId="311453A9" w:rsidR="007B4C2D" w:rsidRPr="0091609A" w:rsidRDefault="007B4C2D" w:rsidP="00DC7F12">
      <w:pPr>
        <w:pStyle w:val="JuQuot"/>
      </w:pPr>
      <w:r w:rsidRPr="0091609A">
        <w:t>5) skazanych poddaje się kontroli osobistej przy każdorazowym wyjściu i powrocie do cel</w:t>
      </w:r>
      <w:r w:rsidR="0091609A" w:rsidRPr="0091609A">
        <w:t>;</w:t>
      </w:r>
      <w:r w:rsidRPr="0091609A">
        <w:t xml:space="preserve"> [...]</w:t>
      </w:r>
    </w:p>
    <w:p w14:paraId="67AD270E" w14:textId="77777777" w:rsidR="007B4C2D" w:rsidRPr="0091609A" w:rsidRDefault="007B4C2D" w:rsidP="00DC7F12">
      <w:pPr>
        <w:pStyle w:val="JuQuot"/>
      </w:pPr>
      <w:r w:rsidRPr="0091609A">
        <w:t>10) skazani nie mogą korzystać z własnej odzieży i obuwia.</w:t>
      </w:r>
    </w:p>
    <w:p w14:paraId="78C043B0" w14:textId="73DA574E" w:rsidR="007B4C2D" w:rsidRPr="00DC7F12" w:rsidRDefault="007B4C2D" w:rsidP="00DC7F12">
      <w:pPr>
        <w:pStyle w:val="JuQuot"/>
      </w:pPr>
      <w:r w:rsidRPr="0091609A">
        <w:t>§ 2. Komisja penitencjarna może uznać, że nie zachodzi potrzeba stosowania wszystkich warunków, o których mowa w §</w:t>
      </w:r>
      <w:r w:rsidR="001B1E3F" w:rsidRPr="0091609A">
        <w:t xml:space="preserve"> </w:t>
      </w:r>
      <w:r w:rsidRPr="0091609A">
        <w:t xml:space="preserve">1, i odstąpić od stosowania </w:t>
      </w:r>
      <w:r w:rsidR="00440F57" w:rsidRPr="0091609A">
        <w:t>jednego lub więcej z nich</w:t>
      </w:r>
      <w:r w:rsidR="005C576A" w:rsidRPr="0091609A">
        <w:t>;</w:t>
      </w:r>
      <w:r w:rsidR="00440F57" w:rsidRPr="0091609A">
        <w:t xml:space="preserve"> </w:t>
      </w:r>
      <w:r w:rsidRPr="0091609A">
        <w:t>[</w:t>
      </w:r>
      <w:r w:rsidR="00643D4D" w:rsidRPr="0091609A">
        <w:t>...] Jeżeli jest to uzasadnione</w:t>
      </w:r>
      <w:r w:rsidRPr="0091609A">
        <w:t xml:space="preserve"> okolicznościami, można przywrócić stosowanie warunków, od których odstąpiono</w:t>
      </w:r>
      <w:r w:rsidR="001B1E3F" w:rsidRPr="0091609A">
        <w:t xml:space="preserve"> [...]</w:t>
      </w:r>
      <w:r w:rsidR="00623CE3">
        <w:t>.</w:t>
      </w:r>
    </w:p>
    <w:p w14:paraId="02F19D98" w14:textId="1A542E2B" w:rsidR="007B4C2D" w:rsidRPr="00DC7F12" w:rsidRDefault="007B4C2D" w:rsidP="00DC7F12">
      <w:pPr>
        <w:pStyle w:val="JuQuot"/>
      </w:pPr>
      <w:r>
        <w:t>§ 3. Na wniosek skazanego lub jego obrońcy, nie częściej jednak niż raz na 3 miesiące, komisja penitencjarna wskazuje przyczyny uzasa</w:t>
      </w:r>
      <w:r w:rsidR="00643D4D">
        <w:t>dniające kwalifikację skazanego jako stwarzającego poważne</w:t>
      </w:r>
      <w:r>
        <w:t xml:space="preserve"> zagrożenie społeczne</w:t>
      </w:r>
      <w:r w:rsidR="00643D4D">
        <w:t xml:space="preserve"> albo</w:t>
      </w:r>
      <w:r>
        <w:t xml:space="preserve"> poważne zagrożenie dla</w:t>
      </w:r>
      <w:r w:rsidR="00DC6186">
        <w:t> </w:t>
      </w:r>
      <w:r>
        <w:t>bezpieczeństwa zakładu [...]”</w:t>
      </w:r>
      <w:r w:rsidR="00440F57">
        <w:t>.</w:t>
      </w:r>
    </w:p>
    <w:p w14:paraId="0A377E01" w14:textId="77777777" w:rsidR="007B4C2D" w:rsidRPr="00DC7F12" w:rsidRDefault="007B4C2D" w:rsidP="00DC7F12">
      <w:pPr>
        <w:pStyle w:val="JuHHead"/>
        <w:jc w:val="left"/>
      </w:pPr>
      <w:r>
        <w:t>PRAWO</w:t>
      </w:r>
    </w:p>
    <w:p w14:paraId="0DE99F2C" w14:textId="2A7BF194" w:rsidR="007B4C2D" w:rsidRPr="00DC7F12" w:rsidRDefault="007B4C2D" w:rsidP="00DC7F12">
      <w:pPr>
        <w:pStyle w:val="JuHIRoman"/>
        <w:tabs>
          <w:tab w:val="clear" w:pos="454"/>
          <w:tab w:val="clear" w:pos="567"/>
          <w:tab w:val="clear" w:pos="680"/>
        </w:tabs>
        <w:ind w:left="357" w:hanging="357"/>
        <w:jc w:val="left"/>
      </w:pPr>
      <w:r>
        <w:t>ZARZUCANE NARUSZENIE ART.</w:t>
      </w:r>
      <w:r w:rsidR="00A46232">
        <w:t xml:space="preserve"> </w:t>
      </w:r>
      <w:r>
        <w:t>3 KONWENCJI</w:t>
      </w:r>
    </w:p>
    <w:p w14:paraId="568C04EF" w14:textId="0CCD07FF" w:rsidR="007B4C2D" w:rsidRPr="00DC7F12" w:rsidRDefault="003545C2" w:rsidP="00DC7F12">
      <w:pPr>
        <w:pStyle w:val="JuPara"/>
      </w:pPr>
      <w:r>
        <w:rPr>
          <w:noProof/>
        </w:rPr>
        <w:t>15</w:t>
      </w:r>
      <w:r w:rsidR="007B4C2D">
        <w:t>.</w:t>
      </w:r>
      <w:r w:rsidR="00A46232">
        <w:t xml:space="preserve"> </w:t>
      </w:r>
      <w:r w:rsidR="007B4C2D">
        <w:t>Sprawa dotyczy długotrwałego stosowania wobec skarżącego reżimu związanego ze statusem „</w:t>
      </w:r>
      <w:r w:rsidR="00946D36">
        <w:t xml:space="preserve">osadzonego </w:t>
      </w:r>
      <w:r w:rsidR="007B4C2D">
        <w:t>niebezpiecznego”. Skarżący powołał się na art.</w:t>
      </w:r>
      <w:r w:rsidR="00A46232">
        <w:t xml:space="preserve"> </w:t>
      </w:r>
      <w:r w:rsidR="007B4C2D">
        <w:t>3 Konwencji, który stanowi:</w:t>
      </w:r>
    </w:p>
    <w:p w14:paraId="54A62AFD" w14:textId="77777777" w:rsidR="007B4C2D" w:rsidRPr="00DC7F12" w:rsidRDefault="007B4C2D" w:rsidP="00DC7F12">
      <w:pPr>
        <w:pStyle w:val="JuQuot"/>
      </w:pPr>
      <w:r>
        <w:t>„Nikt nie może być poddany torturom ani nieludzkiemu lub poniżającemu traktowaniu albo karaniu”.</w:t>
      </w:r>
    </w:p>
    <w:p w14:paraId="05CC0C1F" w14:textId="77777777" w:rsidR="007B4C2D" w:rsidRPr="00DC7F12" w:rsidRDefault="007B4C2D" w:rsidP="00DC7F12">
      <w:pPr>
        <w:pStyle w:val="JuHA"/>
        <w:ind w:left="584" w:hanging="352"/>
        <w:jc w:val="left"/>
      </w:pPr>
      <w:r>
        <w:t>Dopuszczalność</w:t>
      </w:r>
    </w:p>
    <w:p w14:paraId="7FF9BD6D" w14:textId="2EC1357A" w:rsidR="007B4C2D" w:rsidRPr="00DC7F12" w:rsidRDefault="003545C2" w:rsidP="00DC7F12">
      <w:pPr>
        <w:pStyle w:val="JuPara"/>
      </w:pPr>
      <w:r>
        <w:rPr>
          <w:noProof/>
        </w:rPr>
        <w:t>16</w:t>
      </w:r>
      <w:r w:rsidR="007B4C2D">
        <w:t>.</w:t>
      </w:r>
      <w:r w:rsidR="00A46232">
        <w:t xml:space="preserve"> </w:t>
      </w:r>
      <w:r w:rsidR="007B4C2D">
        <w:t xml:space="preserve">Rząd twierdził, że skarżący nie skorzystał z dostępnych środków odwoławczych, ponieważ nie zaskarżył wszystkich decyzji Komisji Penitencjarnej. Wydano czternaście decyzji, a skarżący zaskarżył tylko jedną z nich (zob. paragrafy </w:t>
      </w:r>
      <w:r>
        <w:rPr>
          <w:noProof/>
        </w:rPr>
        <w:t>9</w:t>
      </w:r>
      <w:r w:rsidR="0007551C">
        <w:t>–</w:t>
      </w:r>
      <w:r>
        <w:rPr>
          <w:noProof/>
        </w:rPr>
        <w:t>10</w:t>
      </w:r>
      <w:r w:rsidR="007B4C2D">
        <w:t xml:space="preserve"> powyżej). Ponadto skarżący miał możliwość wystąpienia z cywilnym roszczeniem odszkodowawczym.</w:t>
      </w:r>
    </w:p>
    <w:p w14:paraId="2AE4F955" w14:textId="79C347BE" w:rsidR="007B4C2D" w:rsidRPr="00DC7F12" w:rsidRDefault="003545C2" w:rsidP="00DC7F12">
      <w:pPr>
        <w:pStyle w:val="JuPara"/>
      </w:pPr>
      <w:r>
        <w:rPr>
          <w:noProof/>
        </w:rPr>
        <w:lastRenderedPageBreak/>
        <w:t>17</w:t>
      </w:r>
      <w:r w:rsidR="007B4C2D">
        <w:t>.</w:t>
      </w:r>
      <w:r w:rsidR="00A46232">
        <w:t xml:space="preserve"> </w:t>
      </w:r>
      <w:r w:rsidR="00614EB3">
        <w:t>Skarżący</w:t>
      </w:r>
      <w:r w:rsidR="007B4C2D">
        <w:t xml:space="preserve"> nie zajął stanowiska w przedmiocie dopuszczalności sprawy.</w:t>
      </w:r>
    </w:p>
    <w:p w14:paraId="2D3DF9BD" w14:textId="6CC60B0B" w:rsidR="007B4C2D" w:rsidRPr="00DC7F12" w:rsidRDefault="003545C2" w:rsidP="00DC7F12">
      <w:pPr>
        <w:pStyle w:val="JuPara"/>
      </w:pPr>
      <w:r>
        <w:rPr>
          <w:noProof/>
        </w:rPr>
        <w:t>18</w:t>
      </w:r>
      <w:r w:rsidR="007B4C2D">
        <w:t>.</w:t>
      </w:r>
      <w:r w:rsidR="00A46232">
        <w:t xml:space="preserve"> </w:t>
      </w:r>
      <w:r w:rsidR="007B4C2D">
        <w:t>Trybunał powtarza, że chociaż art. 35 ust. 1 Konwencji wymaga, aby</w:t>
      </w:r>
      <w:r w:rsidR="00DC6186">
        <w:t> </w:t>
      </w:r>
      <w:r w:rsidR="007B4C2D">
        <w:t>skargi, które mają być później wniesione do Trybunału, były wnoszone do właściwego organu krajowego, nie wymaga on, aby odwoływać się do</w:t>
      </w:r>
      <w:r w:rsidR="00DC6186">
        <w:t> </w:t>
      </w:r>
      <w:r w:rsidR="007B4C2D">
        <w:t>środków odwoławczych, które są nieadekwatne lub nieskuteczne (zob.</w:t>
      </w:r>
      <w:r w:rsidR="00DC6186">
        <w:t> </w:t>
      </w:r>
      <w:proofErr w:type="spellStart"/>
      <w:r w:rsidR="007B4C2D">
        <w:rPr>
          <w:i/>
        </w:rPr>
        <w:t>Egmez</w:t>
      </w:r>
      <w:proofErr w:type="spellEnd"/>
      <w:r w:rsidR="007B4C2D">
        <w:rPr>
          <w:i/>
        </w:rPr>
        <w:t xml:space="preserve"> przeciwko Cyprowi</w:t>
      </w:r>
      <w:r w:rsidR="007B4C2D">
        <w:t xml:space="preserve">, skarga nr 30873/96, § 64, </w:t>
      </w:r>
      <w:r w:rsidR="00614EB3">
        <w:t>ETPC</w:t>
      </w:r>
      <w:r w:rsidR="007B4C2D">
        <w:t xml:space="preserve"> 2000-XII).</w:t>
      </w:r>
    </w:p>
    <w:p w14:paraId="3DA2828E" w14:textId="27016F1F" w:rsidR="007B4C2D" w:rsidRPr="00DC7F12" w:rsidRDefault="003545C2" w:rsidP="00DC7F12">
      <w:pPr>
        <w:pStyle w:val="JuPara"/>
      </w:pPr>
      <w:r>
        <w:rPr>
          <w:noProof/>
        </w:rPr>
        <w:t>19</w:t>
      </w:r>
      <w:r w:rsidR="007B4C2D">
        <w:t>.</w:t>
      </w:r>
      <w:r w:rsidR="00A46232">
        <w:t xml:space="preserve"> </w:t>
      </w:r>
      <w:r w:rsidR="007B4C2D">
        <w:t xml:space="preserve">Trybunał zauważa przede wszystkim, że w szeregu spraw prowadzonych przeciwko Polsce w zakresie stosowania reżimu dotyczącego </w:t>
      </w:r>
      <w:r w:rsidR="007B4C2D">
        <w:t>osadzonego</w:t>
      </w:r>
      <w:r w:rsidR="00614EB3" w:rsidRPr="00614EB3">
        <w:t xml:space="preserve"> </w:t>
      </w:r>
      <w:r w:rsidR="00614EB3">
        <w:t>niebezpiecznego</w:t>
      </w:r>
      <w:r w:rsidR="007B4C2D">
        <w:t>, Trybunał odrzucił argument Rządu, że</w:t>
      </w:r>
      <w:r w:rsidR="00DC6186">
        <w:t> </w:t>
      </w:r>
      <w:r w:rsidR="007B4C2D">
        <w:t>skarżący powinni wystąpić z roszczeniem o ochronę dóbr osobistych (zob.</w:t>
      </w:r>
      <w:r w:rsidR="00DC6186">
        <w:t> </w:t>
      </w:r>
      <w:r w:rsidR="007B4C2D">
        <w:t xml:space="preserve">np. </w:t>
      </w:r>
      <w:r w:rsidR="007B4C2D">
        <w:rPr>
          <w:i/>
          <w:iCs/>
        </w:rPr>
        <w:t>Głowacki</w:t>
      </w:r>
      <w:r w:rsidR="00630C5F">
        <w:rPr>
          <w:i/>
          <w:iCs/>
        </w:rPr>
        <w:t xml:space="preserve"> </w:t>
      </w:r>
      <w:r w:rsidR="007B4C2D">
        <w:rPr>
          <w:i/>
          <w:iCs/>
        </w:rPr>
        <w:t>przeciwko Polsce</w:t>
      </w:r>
      <w:r w:rsidR="007B4C2D">
        <w:t>, skarga nr 1608/08, §§ 60</w:t>
      </w:r>
      <w:r w:rsidR="007B4C2D">
        <w:noBreakHyphen/>
        <w:t>63, 30</w:t>
      </w:r>
      <w:r w:rsidR="00DC6186">
        <w:t> </w:t>
      </w:r>
      <w:r w:rsidR="007B4C2D">
        <w:t>października 2012 r.;</w:t>
      </w:r>
      <w:r w:rsidR="00A46232">
        <w:rPr>
          <w:i/>
          <w:iCs/>
        </w:rPr>
        <w:t xml:space="preserve"> </w:t>
      </w:r>
      <w:r w:rsidR="007B4C2D">
        <w:rPr>
          <w:i/>
          <w:iCs/>
        </w:rPr>
        <w:t>Chyła przeciwko Polsce</w:t>
      </w:r>
      <w:r w:rsidR="007B4C2D">
        <w:t>, skarga nr 8384/08, § 69, 3</w:t>
      </w:r>
      <w:r w:rsidR="00DC6186">
        <w:t> </w:t>
      </w:r>
      <w:r w:rsidR="007B4C2D">
        <w:t>listopada 2015 r.; oraz</w:t>
      </w:r>
      <w:r w:rsidR="00A46232">
        <w:rPr>
          <w:i/>
          <w:iCs/>
        </w:rPr>
        <w:t xml:space="preserve"> </w:t>
      </w:r>
      <w:proofErr w:type="spellStart"/>
      <w:r w:rsidR="007B4C2D">
        <w:rPr>
          <w:i/>
          <w:iCs/>
        </w:rPr>
        <w:t>Klibisz</w:t>
      </w:r>
      <w:proofErr w:type="spellEnd"/>
      <w:r w:rsidR="007B4C2D">
        <w:rPr>
          <w:i/>
          <w:iCs/>
        </w:rPr>
        <w:t xml:space="preserve"> przeciwko Polsce</w:t>
      </w:r>
      <w:r w:rsidR="007B4C2D">
        <w:t>, skarga nr 2235/02, §§ 301-302, 4 października 2016 r.).</w:t>
      </w:r>
      <w:r w:rsidR="00A46232">
        <w:rPr>
          <w:i/>
          <w:iCs/>
        </w:rPr>
        <w:t xml:space="preserve"> </w:t>
      </w:r>
      <w:r w:rsidR="007B4C2D">
        <w:t xml:space="preserve">W niniejszej sprawie Rząd nie przytoczył żadnych przykładów praktyki krajowej, </w:t>
      </w:r>
      <w:r w:rsidR="007B4C2D">
        <w:t>któr</w:t>
      </w:r>
      <w:r w:rsidR="00614EB3">
        <w:t>e</w:t>
      </w:r>
      <w:r w:rsidR="007B4C2D">
        <w:t xml:space="preserve"> świadczył</w:t>
      </w:r>
      <w:r w:rsidR="00614EB3">
        <w:t>y</w:t>
      </w:r>
      <w:r w:rsidR="007B4C2D">
        <w:t>by</w:t>
      </w:r>
      <w:r w:rsidR="007B4C2D">
        <w:t xml:space="preserve"> o skuteczności tego środka odwoławczego dla celów art. 35 ust. 1 Konwencji (zob.</w:t>
      </w:r>
      <w:r w:rsidR="00A46232">
        <w:t xml:space="preserve"> </w:t>
      </w:r>
      <w:proofErr w:type="spellStart"/>
      <w:r w:rsidR="007B4C2D">
        <w:rPr>
          <w:i/>
          <w:iCs/>
        </w:rPr>
        <w:t>Dejnek</w:t>
      </w:r>
      <w:proofErr w:type="spellEnd"/>
      <w:r w:rsidR="007B4C2D">
        <w:rPr>
          <w:i/>
          <w:iCs/>
        </w:rPr>
        <w:t xml:space="preserve"> przeciwko Polsce</w:t>
      </w:r>
      <w:r w:rsidR="007B4C2D">
        <w:t>, skarga nr 9635/13, § 54, 1 czerwca 2017 r.). Z tego względu podniesiony przez Rząd zarzut niedopuszczalności ze względu na</w:t>
      </w:r>
      <w:r w:rsidR="00DC6186">
        <w:t> </w:t>
      </w:r>
      <w:r w:rsidR="007B4C2D">
        <w:t>niewyczerpanie krajowych środków odwoławczych w zakresie środka cywilnego nie zasługuje na uwzględnienie.</w:t>
      </w:r>
    </w:p>
    <w:p w14:paraId="1E775296" w14:textId="246FBF7C" w:rsidR="007B4C2D" w:rsidRPr="00DC7F12" w:rsidRDefault="003545C2" w:rsidP="00DC7F12">
      <w:pPr>
        <w:pStyle w:val="JuPara"/>
      </w:pPr>
      <w:r>
        <w:rPr>
          <w:noProof/>
        </w:rPr>
        <w:t>20</w:t>
      </w:r>
      <w:r w:rsidR="007B4C2D">
        <w:t>.</w:t>
      </w:r>
      <w:r w:rsidR="00A46232">
        <w:t xml:space="preserve"> </w:t>
      </w:r>
      <w:r w:rsidR="007B4C2D">
        <w:t>W odniesieniu do zarzutu Rządu, że skarżący zaskarżył tylko jedną decyzję komisji penitencjarnej, Trybunał uważa, że zarzut niewyczerpania krajowych środków odwoławczych jest nierozerwalnie związany z oceną przez Trybunał zasadności zaskarżonych środków, a w szczególności z</w:t>
      </w:r>
      <w:r w:rsidR="00DC6186">
        <w:t> </w:t>
      </w:r>
      <w:r w:rsidR="007B4C2D">
        <w:t xml:space="preserve">kwestią, czy władze odpowiednio uzasadniły długotrwałe zastosowanie wobec skarżącego rygoru </w:t>
      </w:r>
      <w:r w:rsidR="007B4C2D">
        <w:t>osadzonego</w:t>
      </w:r>
      <w:r w:rsidR="00614EB3" w:rsidRPr="00614EB3">
        <w:t xml:space="preserve"> </w:t>
      </w:r>
      <w:r w:rsidR="00614EB3">
        <w:t>niebezpiecznego</w:t>
      </w:r>
      <w:r w:rsidR="007B4C2D">
        <w:t xml:space="preserve">. W ocenie Trybunału bardziej właściwe byłoby zatem </w:t>
      </w:r>
      <w:r w:rsidR="00807DD3">
        <w:t>rozpatrzenie argumentu</w:t>
      </w:r>
      <w:r w:rsidR="007B4C2D">
        <w:t xml:space="preserve"> Rządu na etapie rozpoznawania przedmiotu skargi (zob. </w:t>
      </w:r>
      <w:r w:rsidR="007B4C2D">
        <w:rPr>
          <w:i/>
        </w:rPr>
        <w:t>Karwowski przeciwko Polsce</w:t>
      </w:r>
      <w:r w:rsidR="007B4C2D">
        <w:t xml:space="preserve">, 29869/13, § 26, 19 kwietnia 2016 r., oraz </w:t>
      </w:r>
      <w:r w:rsidR="007B4C2D">
        <w:rPr>
          <w:i/>
        </w:rPr>
        <w:t>Świderski przeciwko Polsce</w:t>
      </w:r>
      <w:r w:rsidR="007B4C2D">
        <w:t>, skarga nr 5532/10, § 43, 16 lutego 2016 r.).</w:t>
      </w:r>
    </w:p>
    <w:p w14:paraId="62A80587" w14:textId="0214D7D2" w:rsidR="007B4C2D" w:rsidRPr="00DC7F12" w:rsidRDefault="003545C2" w:rsidP="00DC7F12">
      <w:pPr>
        <w:pStyle w:val="JuPara"/>
      </w:pPr>
      <w:bookmarkStart w:id="12" w:name="par27"/>
      <w:r>
        <w:rPr>
          <w:noProof/>
        </w:rPr>
        <w:t>21</w:t>
      </w:r>
      <w:bookmarkEnd w:id="12"/>
      <w:r w:rsidR="007B4C2D">
        <w:t>.</w:t>
      </w:r>
      <w:r w:rsidR="00A46232">
        <w:t xml:space="preserve"> </w:t>
      </w:r>
      <w:r w:rsidR="007B4C2D">
        <w:t xml:space="preserve">Trybunał zatem </w:t>
      </w:r>
      <w:r w:rsidR="00807DD3">
        <w:t>dołącza do przedmiotu</w:t>
      </w:r>
      <w:r w:rsidR="007B4C2D">
        <w:t xml:space="preserve"> skargi pozostałą część zarzutu Rządu dotyczącego niedopuszczalności ze względu na niewyczerpanie środków.</w:t>
      </w:r>
    </w:p>
    <w:p w14:paraId="62E8FF5B" w14:textId="498DCCC5" w:rsidR="007B4C2D" w:rsidRPr="00DC7F12" w:rsidRDefault="003545C2" w:rsidP="00DC7F12">
      <w:pPr>
        <w:pStyle w:val="JuPara"/>
      </w:pPr>
      <w:r>
        <w:rPr>
          <w:noProof/>
        </w:rPr>
        <w:t>22</w:t>
      </w:r>
      <w:r w:rsidR="007B4C2D">
        <w:t>.</w:t>
      </w:r>
      <w:r w:rsidR="00A46232">
        <w:t xml:space="preserve"> </w:t>
      </w:r>
      <w:r w:rsidR="007B4C2D">
        <w:t>Trybunał zauważa ponadto, że skarga nie jest w sposób oczywisty nieuzasadniona w rozumieniu art.</w:t>
      </w:r>
      <w:r w:rsidR="00A46232">
        <w:t xml:space="preserve"> </w:t>
      </w:r>
      <w:r w:rsidR="007B4C2D">
        <w:t>35 ust.</w:t>
      </w:r>
      <w:r w:rsidR="00A46232">
        <w:t xml:space="preserve"> </w:t>
      </w:r>
      <w:r w:rsidR="007B4C2D">
        <w:t>3 Konwencji ani nie jest niedopuszczalna pod żadnym innym względem. Tym samym należy uznać ją</w:t>
      </w:r>
      <w:r w:rsidR="00DC6186">
        <w:t> </w:t>
      </w:r>
      <w:r w:rsidR="007B4C2D">
        <w:t>za dopuszczalną.</w:t>
      </w:r>
    </w:p>
    <w:p w14:paraId="1F9934CE" w14:textId="77777777" w:rsidR="007B4C2D" w:rsidRPr="00DC7F12" w:rsidRDefault="007B4C2D" w:rsidP="00DC7F12">
      <w:pPr>
        <w:pStyle w:val="JuHA"/>
        <w:ind w:left="584" w:hanging="352"/>
        <w:jc w:val="left"/>
      </w:pPr>
      <w:r>
        <w:t>Przedmiot skargi</w:t>
      </w:r>
    </w:p>
    <w:p w14:paraId="538B8825" w14:textId="77777777" w:rsidR="007B4C2D" w:rsidRPr="00DC7F12" w:rsidRDefault="007B4C2D" w:rsidP="00DC7F12">
      <w:pPr>
        <w:pStyle w:val="JuH1"/>
        <w:ind w:left="731" w:hanging="300"/>
        <w:jc w:val="left"/>
      </w:pPr>
      <w:r>
        <w:t>Stanowiska stron</w:t>
      </w:r>
    </w:p>
    <w:p w14:paraId="2AF2CDF5" w14:textId="69A87E23" w:rsidR="007B4C2D" w:rsidRPr="00DC7F12" w:rsidRDefault="003545C2" w:rsidP="00DC7F12">
      <w:pPr>
        <w:pStyle w:val="JuPara"/>
      </w:pPr>
      <w:r>
        <w:rPr>
          <w:noProof/>
        </w:rPr>
        <w:t>23</w:t>
      </w:r>
      <w:r w:rsidR="007B4C2D">
        <w:t>.</w:t>
      </w:r>
      <w:r w:rsidR="00A46232">
        <w:t xml:space="preserve"> </w:t>
      </w:r>
      <w:r w:rsidR="007B4C2D">
        <w:t>Skarżący zasadniczo podtrzymał swoją skargę wniesioną na gruncie art. 3 Konwencji.</w:t>
      </w:r>
    </w:p>
    <w:p w14:paraId="3FD3F3AA" w14:textId="77660EA3" w:rsidR="007B4C2D" w:rsidRPr="00DC7F12" w:rsidRDefault="003545C2" w:rsidP="00DC7F12">
      <w:pPr>
        <w:pStyle w:val="JuPara"/>
      </w:pPr>
      <w:r>
        <w:rPr>
          <w:noProof/>
        </w:rPr>
        <w:lastRenderedPageBreak/>
        <w:t>24</w:t>
      </w:r>
      <w:r w:rsidR="007B4C2D">
        <w:t>.</w:t>
      </w:r>
      <w:r w:rsidR="00A46232">
        <w:t xml:space="preserve"> </w:t>
      </w:r>
      <w:r w:rsidR="007B4C2D">
        <w:t xml:space="preserve">Rząd stwierdził, że skarżący został zakwalifikowany jako </w:t>
      </w:r>
      <w:r w:rsidR="00946D36">
        <w:t>osadzony</w:t>
      </w:r>
      <w:r w:rsidR="00A46232">
        <w:t xml:space="preserve"> </w:t>
      </w:r>
      <w:r w:rsidR="007B4C2D">
        <w:t>niebezpieczny zgodnie z odpowiednimi przepisami prawa. Podstawą do</w:t>
      </w:r>
      <w:r w:rsidR="00DC6186">
        <w:t> </w:t>
      </w:r>
      <w:r w:rsidR="007B4C2D">
        <w:t xml:space="preserve">zastosowania reżimu było naruszenie nietykalności cielesnej funkcjonariusza służby więziennej. Zastosowanie statusu </w:t>
      </w:r>
      <w:r w:rsidR="007B4C2D">
        <w:t xml:space="preserve">osadzonego </w:t>
      </w:r>
      <w:r w:rsidR="00807DD3">
        <w:t xml:space="preserve">niebezpiecznego </w:t>
      </w:r>
      <w:r w:rsidR="007B4C2D">
        <w:t>powinno być zatem uznane za uzasadnione i konieczne w</w:t>
      </w:r>
      <w:r w:rsidR="00DC6186">
        <w:t> </w:t>
      </w:r>
      <w:r w:rsidR="007B4C2D">
        <w:t>celu zapewnienia bezpieczeństwa zakładu karnego.</w:t>
      </w:r>
    </w:p>
    <w:p w14:paraId="41379B6C" w14:textId="3AB56DA3" w:rsidR="007B4C2D" w:rsidRPr="00DC7F12" w:rsidRDefault="003545C2" w:rsidP="00DC7F12">
      <w:pPr>
        <w:pStyle w:val="JuPara"/>
      </w:pPr>
      <w:r>
        <w:rPr>
          <w:noProof/>
        </w:rPr>
        <w:t>25</w:t>
      </w:r>
      <w:r w:rsidR="007B4C2D">
        <w:t>.</w:t>
      </w:r>
      <w:r w:rsidR="00A46232">
        <w:t xml:space="preserve"> </w:t>
      </w:r>
      <w:r w:rsidR="007B4C2D">
        <w:t xml:space="preserve">Zastosowanie wobec skarżącego statusu </w:t>
      </w:r>
      <w:r w:rsidR="007B4C2D">
        <w:t xml:space="preserve">osadzonego </w:t>
      </w:r>
      <w:r w:rsidR="00807DD3">
        <w:t xml:space="preserve">niebezpiecznego </w:t>
      </w:r>
      <w:r w:rsidR="007B4C2D">
        <w:t>poddawano ocenie co trzy miesiące. Przesłanki zastosowania reżimu pozostały aktualne w całym okresie objętym postępowaniem. Przedłużenie stosowania reżimu było uzasadnione wielokrotnym nakładaniem na</w:t>
      </w:r>
      <w:r w:rsidR="00DC6186">
        <w:t> </w:t>
      </w:r>
      <w:r w:rsidR="007B4C2D">
        <w:t>skarżącego kar dyscyplinarnych oraz kolejnymi incydentami agresywnego zachowania wobec funkcjonariuszy służby więziennej. W ocenie Rządu czas trwania i surowość środków nałożonych na skarżącego nie wykraczały poza u</w:t>
      </w:r>
      <w:r w:rsidR="00807DD3">
        <w:t>pr</w:t>
      </w:r>
      <w:r w:rsidR="00807DD3">
        <w:t>a</w:t>
      </w:r>
      <w:r w:rsidR="00807DD3">
        <w:t>w</w:t>
      </w:r>
      <w:r w:rsidR="007B4C2D">
        <w:t>nione wymogi bezpieczeństwa w jednostkach penitencjarnych, a</w:t>
      </w:r>
      <w:r w:rsidR="00DC6186">
        <w:t> </w:t>
      </w:r>
      <w:r w:rsidR="007B4C2D">
        <w:t>w</w:t>
      </w:r>
      <w:r w:rsidR="00DC6186">
        <w:t> </w:t>
      </w:r>
      <w:r w:rsidR="007B4C2D">
        <w:t xml:space="preserve">okolicznościach niniejszej sprawy zastosowane środki były konieczne dla osiągnięcia przez władze więzienne </w:t>
      </w:r>
      <w:r w:rsidR="00807DD3">
        <w:t>u</w:t>
      </w:r>
      <w:r w:rsidR="00807DD3">
        <w:t>pr</w:t>
      </w:r>
      <w:r w:rsidR="00807DD3">
        <w:t>a</w:t>
      </w:r>
      <w:r w:rsidR="00807DD3">
        <w:t>w</w:t>
      </w:r>
      <w:r w:rsidR="007B4C2D">
        <w:t>nionego celu.</w:t>
      </w:r>
    </w:p>
    <w:p w14:paraId="0D524FD6" w14:textId="6F8822CA" w:rsidR="007B4C2D" w:rsidRPr="00DC7F12" w:rsidRDefault="003545C2" w:rsidP="00DC7F12">
      <w:pPr>
        <w:pStyle w:val="JuPara"/>
      </w:pPr>
      <w:r>
        <w:rPr>
          <w:noProof/>
        </w:rPr>
        <w:t>26</w:t>
      </w:r>
      <w:r w:rsidR="007B4C2D">
        <w:t>.</w:t>
      </w:r>
      <w:r w:rsidR="00A46232">
        <w:t xml:space="preserve"> </w:t>
      </w:r>
      <w:r w:rsidR="007B4C2D">
        <w:t>Rząd podkreślił, że w tym okresie skarżący miał zapewnioną odpowiednią stymulację i odpowiedni kontakt z ludźmi. W szczególności miał dostęp do biblioteki i uczestniczył w różnych zajęciach sportowych i</w:t>
      </w:r>
      <w:r w:rsidR="00DC6186">
        <w:t> </w:t>
      </w:r>
      <w:r w:rsidR="007B4C2D">
        <w:t>kulturalnych.</w:t>
      </w:r>
    </w:p>
    <w:p w14:paraId="29CD70CD" w14:textId="77777777" w:rsidR="007B4C2D" w:rsidRPr="00DC7F12" w:rsidRDefault="007B4C2D" w:rsidP="00DC7F12">
      <w:pPr>
        <w:pStyle w:val="JuH1"/>
        <w:ind w:left="731" w:hanging="300"/>
        <w:jc w:val="left"/>
      </w:pPr>
      <w:r>
        <w:t>Ocena Trybunału</w:t>
      </w:r>
    </w:p>
    <w:p w14:paraId="496D3AD2" w14:textId="77033B11" w:rsidR="007B4C2D" w:rsidRPr="00DC7F12" w:rsidRDefault="003545C2" w:rsidP="00DC7F12">
      <w:pPr>
        <w:pStyle w:val="JuPara"/>
      </w:pPr>
      <w:r>
        <w:rPr>
          <w:noProof/>
        </w:rPr>
        <w:t>27</w:t>
      </w:r>
      <w:r w:rsidR="007B4C2D">
        <w:t>.</w:t>
      </w:r>
      <w:r w:rsidR="00A46232">
        <w:t xml:space="preserve"> </w:t>
      </w:r>
      <w:r w:rsidR="007B4C2D">
        <w:t xml:space="preserve">Odpowiednie zasady ogólne wynikające z orzecznictwa Trybunału streszczono w wyrokach w sprawie </w:t>
      </w:r>
      <w:r w:rsidR="007B4C2D">
        <w:rPr>
          <w:i/>
        </w:rPr>
        <w:t>Piechowicz</w:t>
      </w:r>
      <w:r w:rsidR="007B4C2D">
        <w:t xml:space="preserve"> (</w:t>
      </w:r>
      <w:r w:rsidR="007B4C2D">
        <w:rPr>
          <w:i/>
          <w:iCs/>
        </w:rPr>
        <w:t>op. cit.</w:t>
      </w:r>
      <w:r w:rsidR="007B4C2D">
        <w:t>, §§ 158-165) oraz w</w:t>
      </w:r>
      <w:r w:rsidR="00DC6186">
        <w:t> </w:t>
      </w:r>
      <w:r w:rsidR="007B4C2D">
        <w:t xml:space="preserve">sprawie </w:t>
      </w:r>
      <w:r w:rsidR="007B4C2D">
        <w:rPr>
          <w:i/>
        </w:rPr>
        <w:t>Horych</w:t>
      </w:r>
      <w:r w:rsidR="007B4C2D">
        <w:t xml:space="preserve"> (</w:t>
      </w:r>
      <w:r w:rsidR="007B4C2D">
        <w:rPr>
          <w:i/>
          <w:iCs/>
        </w:rPr>
        <w:t>op. cit.</w:t>
      </w:r>
      <w:r w:rsidR="007B4C2D">
        <w:t>, §§ 85-92).</w:t>
      </w:r>
    </w:p>
    <w:p w14:paraId="7E7655AA" w14:textId="4A592816" w:rsidR="007B4C2D" w:rsidRPr="00DC7F12" w:rsidRDefault="003545C2" w:rsidP="00DC7F12">
      <w:pPr>
        <w:pStyle w:val="JuPara"/>
      </w:pPr>
      <w:r>
        <w:rPr>
          <w:noProof/>
        </w:rPr>
        <w:t>28</w:t>
      </w:r>
      <w:r w:rsidR="007B4C2D">
        <w:t>.</w:t>
      </w:r>
      <w:r w:rsidR="00A46232">
        <w:t xml:space="preserve"> </w:t>
      </w:r>
      <w:r w:rsidR="007B4C2D">
        <w:t>Trybunał zauważa, że bezsporny jest fakt, iż w okresie od dnia 25</w:t>
      </w:r>
      <w:r w:rsidR="00DC6186">
        <w:t> </w:t>
      </w:r>
      <w:r w:rsidR="007B4C2D">
        <w:t>września 2014 r. do dnia 19 listopada 2017 r., tj. przez okres trzech lat i</w:t>
      </w:r>
      <w:r w:rsidR="00DC6186">
        <w:t> </w:t>
      </w:r>
      <w:r w:rsidR="007B4C2D">
        <w:t xml:space="preserve">prawie dwóch miesięcy, skarżący był zakwalifikowany jako </w:t>
      </w:r>
      <w:r w:rsidR="007B4C2D">
        <w:t xml:space="preserve">osadzony </w:t>
      </w:r>
      <w:r w:rsidR="00884F56">
        <w:t xml:space="preserve">niebezpieczny </w:t>
      </w:r>
      <w:r w:rsidR="007B4C2D">
        <w:t>i w konsekwencji zastosowano wobec niego wzmożone środki bezpieczeństwa (zob. paragrafy</w:t>
      </w:r>
      <w:r w:rsidR="00A46232">
        <w:t xml:space="preserve"> </w:t>
      </w:r>
      <w:r>
        <w:rPr>
          <w:noProof/>
        </w:rPr>
        <w:t>6</w:t>
      </w:r>
      <w:r w:rsidR="007B4C2D">
        <w:t xml:space="preserve"> i</w:t>
      </w:r>
      <w:r w:rsidR="00A46232">
        <w:t xml:space="preserve"> </w:t>
      </w:r>
      <w:r>
        <w:rPr>
          <w:noProof/>
        </w:rPr>
        <w:t>11</w:t>
      </w:r>
      <w:r w:rsidR="007B4C2D">
        <w:t xml:space="preserve"> powyżej). Główne aspekty reżimu przytoczone przez skarżącego i wyszczególnione poniżej nie zostały zakwestionowane przez Rząd (zob. paragraf </w:t>
      </w:r>
      <w:r>
        <w:rPr>
          <w:noProof/>
        </w:rPr>
        <w:t>12</w:t>
      </w:r>
      <w:r w:rsidR="007B4C2D">
        <w:t xml:space="preserve"> powyżej).</w:t>
      </w:r>
    </w:p>
    <w:p w14:paraId="1CC1509F" w14:textId="447D3F69" w:rsidR="007B4C2D" w:rsidRPr="00DC7F12" w:rsidRDefault="003545C2" w:rsidP="00DC7F12">
      <w:pPr>
        <w:pStyle w:val="JuPara"/>
      </w:pPr>
      <w:r>
        <w:rPr>
          <w:noProof/>
        </w:rPr>
        <w:t>29</w:t>
      </w:r>
      <w:r w:rsidR="007B4C2D">
        <w:t>.</w:t>
      </w:r>
      <w:r w:rsidR="00A46232">
        <w:t xml:space="preserve"> </w:t>
      </w:r>
      <w:r w:rsidR="007B4C2D">
        <w:t>Środki zastosowane w sprawie skarżącego obejmowały umieszczenie go w specjalnym skrzydle więzienia o zaostrzonym rygorze oraz wzmożony nadzór nad poruszaniem się skarżącego w obrębie więzienia i poza nim. Podjęte środki obejmowały odizolowanie skarżącego od społeczności więziennej. Każdorazowo przy wychodzeniu i wchodzeniu do celi skarżącego poddawano rutynowej kontroli osobistej polegającej na</w:t>
      </w:r>
      <w:r w:rsidR="00DC6186">
        <w:t> </w:t>
      </w:r>
      <w:r w:rsidR="007B4C2D">
        <w:t>szczegółowych oględzinach ciała i sprawdzeniu odzieży, która wymagała od skarżącego rozebrania się do naga i wykonania głębokich przysiadów w</w:t>
      </w:r>
      <w:r w:rsidR="00282E44">
        <w:t> </w:t>
      </w:r>
      <w:bookmarkStart w:id="13" w:name="_GoBack"/>
      <w:bookmarkEnd w:id="13"/>
      <w:r w:rsidR="007B4C2D">
        <w:t xml:space="preserve">celu umożliwienia kontroli jego odbytu (zob. </w:t>
      </w:r>
      <w:r w:rsidR="007B4C2D">
        <w:rPr>
          <w:i/>
        </w:rPr>
        <w:t>Piechowicz</w:t>
      </w:r>
      <w:r w:rsidR="007B4C2D">
        <w:t xml:space="preserve">, </w:t>
      </w:r>
      <w:r w:rsidR="007B4C2D">
        <w:rPr>
          <w:i/>
          <w:iCs/>
        </w:rPr>
        <w:t>op. cit.</w:t>
      </w:r>
      <w:r w:rsidR="007B4C2D">
        <w:t xml:space="preserve">, § 166). Ponadto jego cela, w tym część sanitarna, była stale monitorowana za pomocą systemu zamkniętej telewizji przemysłowej. Wreszcie, każdorazowo </w:t>
      </w:r>
      <w:r w:rsidR="007B4C2D">
        <w:lastRenderedPageBreak/>
        <w:t xml:space="preserve">przebywając poza celą skarżący musiał być skuty kajdankami zespolonymi (kajdanki </w:t>
      </w:r>
      <w:r w:rsidR="007B4C2D" w:rsidRPr="00CB4C65">
        <w:t>zakładane na ręce</w:t>
      </w:r>
      <w:r w:rsidR="007B4C2D">
        <w:t xml:space="preserve"> </w:t>
      </w:r>
      <w:r w:rsidR="00CB4C65">
        <w:t xml:space="preserve">i nogi </w:t>
      </w:r>
      <w:r w:rsidR="007B4C2D">
        <w:t>połączone łańcuchem).</w:t>
      </w:r>
    </w:p>
    <w:p w14:paraId="3F3EB2F6" w14:textId="0537DBAA" w:rsidR="007B4C2D" w:rsidRPr="00DC7F12" w:rsidRDefault="003545C2" w:rsidP="00DC7F12">
      <w:pPr>
        <w:pStyle w:val="JuPara"/>
      </w:pPr>
      <w:r>
        <w:rPr>
          <w:noProof/>
        </w:rPr>
        <w:t>30</w:t>
      </w:r>
      <w:r w:rsidR="007B4C2D">
        <w:t>.</w:t>
      </w:r>
      <w:r w:rsidR="00A46232">
        <w:t xml:space="preserve"> </w:t>
      </w:r>
      <w:r w:rsidR="007B4C2D">
        <w:t>Trybunał zauważa, że władze uzasadniły swoją decyzję z dnia 25</w:t>
      </w:r>
      <w:r w:rsidR="00DC6186">
        <w:t> </w:t>
      </w:r>
      <w:r w:rsidR="007B4C2D">
        <w:t xml:space="preserve">września 2014 r. o zastosowaniu wobec skarżącego reżimu </w:t>
      </w:r>
      <w:r w:rsidR="007B4C2D">
        <w:t xml:space="preserve">osadzonego </w:t>
      </w:r>
      <w:r w:rsidR="003D1FD3">
        <w:t xml:space="preserve">niebezpiecznego </w:t>
      </w:r>
      <w:r w:rsidR="007B4C2D">
        <w:t xml:space="preserve">naruszeniem przez niego nietykalności cielesnej funkcjonariusza służby więziennej (zob. paragraf </w:t>
      </w:r>
      <w:r>
        <w:rPr>
          <w:noProof/>
        </w:rPr>
        <w:t>6</w:t>
      </w:r>
      <w:r w:rsidR="007B4C2D">
        <w:t xml:space="preserve"> powyżej). Nie było zatem nieuzasadnione ze strony władz uznanie, że w celu zapewnienia be</w:t>
      </w:r>
      <w:r w:rsidR="00D97C73">
        <w:t>zpieczeństwa w zakładzie karnym</w:t>
      </w:r>
      <w:r w:rsidR="007B4C2D">
        <w:t xml:space="preserve"> powinien on zostać poddany ściślejszej kontroli bezpieczeństwa, obejmując</w:t>
      </w:r>
      <w:r w:rsidR="00D97C73">
        <w:t>ej</w:t>
      </w:r>
      <w:r w:rsidR="007B4C2D">
        <w:t xml:space="preserve"> wzmożony i stały nadzór nad jego poruszaniem się wewnątrz i na zewnątrz celi, ograniczenia jego kontaktów i</w:t>
      </w:r>
      <w:r w:rsidR="00DC6186">
        <w:t> </w:t>
      </w:r>
      <w:r w:rsidR="007B4C2D">
        <w:t>łączności ze światem zewnętrznym oraz niektóre formy odizolowania od</w:t>
      </w:r>
      <w:r w:rsidR="00DC6186">
        <w:t> </w:t>
      </w:r>
      <w:r w:rsidR="007B4C2D">
        <w:t>pozostałej społeczności więziennej.</w:t>
      </w:r>
    </w:p>
    <w:p w14:paraId="636460FB" w14:textId="2D313CAA" w:rsidR="007B4C2D" w:rsidRPr="00DC7F12" w:rsidRDefault="003545C2" w:rsidP="00DC7F12">
      <w:pPr>
        <w:pStyle w:val="JuPara"/>
      </w:pPr>
      <w:r>
        <w:rPr>
          <w:noProof/>
        </w:rPr>
        <w:t>31</w:t>
      </w:r>
      <w:r w:rsidR="007B4C2D">
        <w:t>.</w:t>
      </w:r>
      <w:r w:rsidR="00A46232">
        <w:t xml:space="preserve"> </w:t>
      </w:r>
      <w:r w:rsidR="00D97C73">
        <w:t>Jednakże</w:t>
      </w:r>
      <w:r w:rsidR="007B4C2D">
        <w:t xml:space="preserve"> ze w</w:t>
      </w:r>
      <w:r w:rsidR="00780456">
        <w:t>zględów przedstawionych poniżej</w:t>
      </w:r>
      <w:r w:rsidR="007B4C2D">
        <w:t xml:space="preserve"> Trybunał nie może podzielić stanowiska, że ciągłe, rutynowe i masowe stosowanie </w:t>
      </w:r>
      <w:r w:rsidR="00D97C73">
        <w:t xml:space="preserve">przez ponad trzy lata </w:t>
      </w:r>
      <w:r w:rsidR="007B4C2D">
        <w:t xml:space="preserve">pełnego zakresu środków, które były dostępne dla władz w ramach reżimu przewidzianego dla </w:t>
      </w:r>
      <w:r w:rsidR="007B4C2D">
        <w:t xml:space="preserve">osadzonego </w:t>
      </w:r>
      <w:r w:rsidR="00D97C73">
        <w:t>niebezpiecznego</w:t>
      </w:r>
      <w:r w:rsidR="007B4C2D">
        <w:t>, było konieczne w</w:t>
      </w:r>
      <w:r w:rsidR="00DC6186">
        <w:t> </w:t>
      </w:r>
      <w:r w:rsidR="007B4C2D">
        <w:t>celu utrzymania bezpieczeństwa w zakładzie karnym lub zgodne z art. 3 Konwencji.</w:t>
      </w:r>
    </w:p>
    <w:p w14:paraId="1CE96051" w14:textId="6AFD0571" w:rsidR="007B4C2D" w:rsidRPr="00DC7F12" w:rsidRDefault="003545C2" w:rsidP="00DC7F12">
      <w:pPr>
        <w:pStyle w:val="JuPara"/>
      </w:pPr>
      <w:r>
        <w:rPr>
          <w:noProof/>
        </w:rPr>
        <w:t>32</w:t>
      </w:r>
      <w:r w:rsidR="007B4C2D">
        <w:t>.</w:t>
      </w:r>
      <w:r w:rsidR="00A46232">
        <w:t xml:space="preserve"> </w:t>
      </w:r>
      <w:r w:rsidR="007B4C2D">
        <w:t>Nie wydaje się, aby władze podjęły jakiekolwiek kroki mające na celu przeciwdziałanie skutkom izolacji skarżącego poprzez zapewnienie mu</w:t>
      </w:r>
      <w:r w:rsidR="00DC6186">
        <w:t> </w:t>
      </w:r>
      <w:r w:rsidR="007B4C2D">
        <w:t>niezbędnej stymulacji psychicznej lub fizycznej.</w:t>
      </w:r>
    </w:p>
    <w:p w14:paraId="4020C2D1" w14:textId="2EFA8562" w:rsidR="007B4C2D" w:rsidRPr="00DC7F12" w:rsidRDefault="003545C2" w:rsidP="00DC7F12">
      <w:pPr>
        <w:pStyle w:val="JuPara"/>
      </w:pPr>
      <w:r>
        <w:rPr>
          <w:noProof/>
        </w:rPr>
        <w:t>33</w:t>
      </w:r>
      <w:r w:rsidR="007B4C2D">
        <w:t>.</w:t>
      </w:r>
      <w:r w:rsidR="00A46232">
        <w:t xml:space="preserve"> </w:t>
      </w:r>
      <w:r w:rsidR="007B4C2D">
        <w:t>Trybunał ma jeszcze większe wątpliwości co do oględzin całego ciała, którym skarżący był poddawany codziennie, a nawet kilka razy dziennie, przy każdorazowym opuszczaniu celi lub powro</w:t>
      </w:r>
      <w:r w:rsidR="00387B30">
        <w:t>cie</w:t>
      </w:r>
      <w:r w:rsidR="007B4C2D">
        <w:t xml:space="preserve"> do niej. Już w sprawie</w:t>
      </w:r>
      <w:r w:rsidR="00A46232">
        <w:t xml:space="preserve"> </w:t>
      </w:r>
      <w:r w:rsidR="007B4C2D">
        <w:rPr>
          <w:i/>
        </w:rPr>
        <w:t>Piechowicz</w:t>
      </w:r>
      <w:r w:rsidR="00A46232">
        <w:rPr>
          <w:i/>
        </w:rPr>
        <w:t xml:space="preserve"> </w:t>
      </w:r>
      <w:r w:rsidR="007B4C2D">
        <w:t>(</w:t>
      </w:r>
      <w:r w:rsidR="007B4C2D">
        <w:rPr>
          <w:i/>
          <w:iCs/>
        </w:rPr>
        <w:t>op.</w:t>
      </w:r>
      <w:r w:rsidR="003D1FD3">
        <w:rPr>
          <w:i/>
          <w:iCs/>
        </w:rPr>
        <w:t xml:space="preserve"> </w:t>
      </w:r>
      <w:r w:rsidR="007B4C2D">
        <w:rPr>
          <w:i/>
          <w:iCs/>
        </w:rPr>
        <w:t>cit.</w:t>
      </w:r>
      <w:r w:rsidR="007B4C2D">
        <w:t>, §</w:t>
      </w:r>
      <w:r w:rsidR="00A46232">
        <w:t xml:space="preserve"> </w:t>
      </w:r>
      <w:r w:rsidR="007B4C2D">
        <w:t xml:space="preserve">176) Trybunał stwierdził, że chociaż kontrole osobiste mogą być konieczne </w:t>
      </w:r>
      <w:r w:rsidR="007B4C2D">
        <w:t>w celu</w:t>
      </w:r>
      <w:r w:rsidR="007B4C2D">
        <w:t xml:space="preserve"> zapewnienia bezpieczeństwa zakładu lub ochrony porządku lub zapobieganiu przestępstwom, to nie przekonał go argument Rządu, że takie systematyczne, uciążliwe i wyjątkowo krępujące kontrole przeprowadzane codziennie, a nawet kilka razy dziennie, były konieczne </w:t>
      </w:r>
      <w:r w:rsidR="007B4C2D">
        <w:t xml:space="preserve">w celu </w:t>
      </w:r>
      <w:r w:rsidR="007B4C2D">
        <w:t>zapewnienia bezpieczeństwa w więzieniu. Kontrola osobista była przeprowadzana rutynowo i nie była związana z żadnymi szczególnymi potrzebami bezpieczeństwa, ani z żadnymi szczególnymi podejrzeniami dotyczącymi zachowania skarżącego.</w:t>
      </w:r>
    </w:p>
    <w:p w14:paraId="43DE9907" w14:textId="0E830D73" w:rsidR="007B4C2D" w:rsidRPr="00DC7F12" w:rsidRDefault="003545C2" w:rsidP="00DC7F12">
      <w:pPr>
        <w:pStyle w:val="JuPara"/>
      </w:pPr>
      <w:r>
        <w:rPr>
          <w:noProof/>
        </w:rPr>
        <w:t>34</w:t>
      </w:r>
      <w:r w:rsidR="007B4C2D">
        <w:t>.</w:t>
      </w:r>
      <w:r w:rsidR="00A46232">
        <w:t xml:space="preserve"> </w:t>
      </w:r>
      <w:r w:rsidR="007B4C2D">
        <w:t>Biorąc pod uwagę, że skarżący był już poddawany kilku innym surowym środkom nadzoru oraz że władze nie powołały się na żadne konkretne lub przekonujące przesłanki podyktowane względami bezpieczeństwa, Trybunał stwierdza, że praktyka codziennych przeszukiwań z rozbieraniem stosowana wobec skarżącego przez okres ponad trzech lat musiała umniejszyć poczucie jego godności, wywołać w nim uczucie udręczenia i spotęgowanego bólu, wykraczające poza nieunikniony element cierpienia i poniżenia związany z zastosowaniem tymczasowego aresztowania (zob.</w:t>
      </w:r>
      <w:r w:rsidR="00A46232">
        <w:t xml:space="preserve"> </w:t>
      </w:r>
      <w:r w:rsidR="007B4C2D">
        <w:rPr>
          <w:i/>
        </w:rPr>
        <w:t>Horych</w:t>
      </w:r>
      <w:r w:rsidR="007B4C2D">
        <w:t xml:space="preserve">, </w:t>
      </w:r>
      <w:r w:rsidR="007B4C2D">
        <w:rPr>
          <w:i/>
          <w:iCs/>
        </w:rPr>
        <w:t>op. cit.</w:t>
      </w:r>
      <w:r w:rsidR="007B4C2D">
        <w:t>, § 101, oraz</w:t>
      </w:r>
      <w:r w:rsidR="00A46232">
        <w:t xml:space="preserve"> </w:t>
      </w:r>
      <w:r w:rsidR="007B4C2D">
        <w:rPr>
          <w:i/>
        </w:rPr>
        <w:t>Piechowicz</w:t>
      </w:r>
      <w:r w:rsidR="007B4C2D">
        <w:t xml:space="preserve">, </w:t>
      </w:r>
      <w:r w:rsidR="007B4C2D">
        <w:rPr>
          <w:i/>
          <w:iCs/>
        </w:rPr>
        <w:t>op. cit.</w:t>
      </w:r>
      <w:r w:rsidR="007B4C2D">
        <w:t>, § 176).</w:t>
      </w:r>
    </w:p>
    <w:p w14:paraId="4DA177DC" w14:textId="11236C8A" w:rsidR="007B4C2D" w:rsidRPr="00DC7F12" w:rsidRDefault="003545C2" w:rsidP="00DC7F12">
      <w:pPr>
        <w:pStyle w:val="JuPara"/>
      </w:pPr>
      <w:bookmarkStart w:id="14" w:name="conclusionextenions"/>
      <w:r>
        <w:rPr>
          <w:noProof/>
        </w:rPr>
        <w:t>35</w:t>
      </w:r>
      <w:bookmarkEnd w:id="14"/>
      <w:r w:rsidR="007B4C2D">
        <w:t>.</w:t>
      </w:r>
      <w:r w:rsidR="00A46232">
        <w:t xml:space="preserve"> </w:t>
      </w:r>
      <w:r w:rsidR="007B4C2D">
        <w:t xml:space="preserve">Trybunał zauważa wreszcie, że po zmianach prawa krajowego, które weszły w życie w dniu 24 października 2015 r., nowy art. 88b ust. 2 </w:t>
      </w:r>
      <w:r w:rsidR="007B4C2D">
        <w:lastRenderedPageBreak/>
        <w:t xml:space="preserve">umożliwił komisji penitencjarnej zmianę zakresu środków bezpieczeństwa stosowanych wobec osadzonych (zob. paragraf </w:t>
      </w:r>
      <w:r>
        <w:rPr>
          <w:noProof/>
        </w:rPr>
        <w:t>14</w:t>
      </w:r>
      <w:r w:rsidR="007B4C2D">
        <w:t xml:space="preserve"> powyżej). Jednakże w</w:t>
      </w:r>
      <w:r w:rsidR="00DC6186">
        <w:t> </w:t>
      </w:r>
      <w:r w:rsidR="007B4C2D">
        <w:t>okresie od października 2015 r. do dnia zwolnienia skarżącego w dniu 19</w:t>
      </w:r>
      <w:r w:rsidR="00DC6186">
        <w:t> </w:t>
      </w:r>
      <w:r w:rsidR="007B4C2D">
        <w:t>listopada 2017 r. komisja nie rozważała konieczności dalszego stosowania wszystkich zastosowanych w sprawie środków (zob. paragraf</w:t>
      </w:r>
      <w:r w:rsidR="00A46232">
        <w:t xml:space="preserve"> </w:t>
      </w:r>
      <w:r>
        <w:rPr>
          <w:noProof/>
        </w:rPr>
        <w:t>8</w:t>
      </w:r>
      <w:r w:rsidR="00A46232">
        <w:t xml:space="preserve"> </w:t>
      </w:r>
      <w:r w:rsidR="007B4C2D">
        <w:t xml:space="preserve">powyżej). Ponadto, zgodnie z art. 88a ust. 2 </w:t>
      </w:r>
      <w:r w:rsidR="00A61FC6">
        <w:t>K</w:t>
      </w:r>
      <w:r w:rsidR="00A61FC6">
        <w:t>odeksu</w:t>
      </w:r>
      <w:r w:rsidR="007B4C2D">
        <w:t xml:space="preserve">, decyzje komisji penitencjarnej miały być oparte na konkretnych powodach odnoszących się do zachowania skarżącego. Tymczasem w niniejszej sprawie wszystkie decyzje komisji penitencjarnej opierały się na tych samych, powtarzanych słowo w słowo powodach, a władze nie podały żadnych konkretnych powodów utrzymania klasyfikacji skarżącego (zob. paragrafy </w:t>
      </w:r>
      <w:r>
        <w:rPr>
          <w:noProof/>
        </w:rPr>
        <w:t>7</w:t>
      </w:r>
      <w:r w:rsidR="007B4C2D">
        <w:t xml:space="preserve"> i </w:t>
      </w:r>
      <w:r>
        <w:rPr>
          <w:noProof/>
        </w:rPr>
        <w:t>8</w:t>
      </w:r>
      <w:r w:rsidR="007B4C2D">
        <w:t xml:space="preserve"> powyżej). Wynika z tego, że</w:t>
      </w:r>
      <w:r w:rsidR="00DC6186">
        <w:t> </w:t>
      </w:r>
      <w:r w:rsidR="007B4C2D">
        <w:t xml:space="preserve">procedura weryfikacji stosowania wobec skarżącego statusu </w:t>
      </w:r>
      <w:r w:rsidR="00A61FC6">
        <w:t xml:space="preserve">osadzonego </w:t>
      </w:r>
      <w:r w:rsidR="007B4C2D">
        <w:t>niebezpiecznego stała się czystą formalnością, ograniczającą się do</w:t>
      </w:r>
      <w:r w:rsidR="002811B4">
        <w:t> </w:t>
      </w:r>
      <w:r w:rsidR="007B4C2D">
        <w:t>przytaczania tych samych powodów w kolejnych decyzjach (zob.</w:t>
      </w:r>
      <w:r w:rsidR="00DC6186">
        <w:t> </w:t>
      </w:r>
      <w:r w:rsidR="007B4C2D">
        <w:rPr>
          <w:i/>
        </w:rPr>
        <w:t>Piechowicz</w:t>
      </w:r>
      <w:r w:rsidR="007B4C2D">
        <w:t xml:space="preserve">, </w:t>
      </w:r>
      <w:r w:rsidR="007B4C2D">
        <w:rPr>
          <w:i/>
          <w:iCs/>
        </w:rPr>
        <w:t>op. cit.</w:t>
      </w:r>
      <w:r w:rsidR="007B4C2D">
        <w:t>, § 177).</w:t>
      </w:r>
    </w:p>
    <w:p w14:paraId="4680165A" w14:textId="20093BAE" w:rsidR="007B4C2D" w:rsidRPr="00DC7F12" w:rsidRDefault="003545C2" w:rsidP="00DC7F12">
      <w:pPr>
        <w:pStyle w:val="JuPara"/>
      </w:pPr>
      <w:r>
        <w:rPr>
          <w:noProof/>
        </w:rPr>
        <w:t>36</w:t>
      </w:r>
      <w:r w:rsidR="007B4C2D">
        <w:t>.</w:t>
      </w:r>
      <w:r w:rsidR="00A46232">
        <w:t xml:space="preserve"> </w:t>
      </w:r>
      <w:r w:rsidR="007B4C2D">
        <w:t>Podsumowując, na podstawie oceny całokształtu okoliczności sprawy i biorąc pod uwagę skumulowane skutki reżimu „</w:t>
      </w:r>
      <w:r w:rsidR="007B4C2D">
        <w:t>osadzonego</w:t>
      </w:r>
      <w:r w:rsidR="00A61FC6" w:rsidRPr="00A61FC6">
        <w:t xml:space="preserve"> </w:t>
      </w:r>
      <w:r w:rsidR="00A61FC6">
        <w:t>niebezpiecznego</w:t>
      </w:r>
      <w:r w:rsidR="007B4C2D">
        <w:t>” dla skarżące</w:t>
      </w:r>
      <w:r w:rsidR="00A61FC6">
        <w:t>go, Trybunał stwierdz</w:t>
      </w:r>
      <w:r w:rsidR="00A61FC6">
        <w:t>a</w:t>
      </w:r>
      <w:r w:rsidR="007B4C2D">
        <w:t>, że władze nie przedstawiły wystarczających i istotnych powodów, które mogłyby uzasadnić surowość środków podjętych w przedmiotowej sprawie. W</w:t>
      </w:r>
      <w:r w:rsidR="00DC6186">
        <w:t> </w:t>
      </w:r>
      <w:r w:rsidR="007B4C2D">
        <w:t>szczególności władze nie wykazały, że środki te były pod wszystkimi względami konieczne do osiągnięcia zgodnego z prawem celu zapewnienia bezpieczeństwa w zakładzie karnym.</w:t>
      </w:r>
    </w:p>
    <w:p w14:paraId="3AE655F5" w14:textId="7D6EB889" w:rsidR="007B4C2D" w:rsidRPr="00DC7F12" w:rsidRDefault="003545C2" w:rsidP="00DC7F12">
      <w:pPr>
        <w:pStyle w:val="JuPara"/>
      </w:pPr>
      <w:r>
        <w:rPr>
          <w:noProof/>
        </w:rPr>
        <w:t>37</w:t>
      </w:r>
      <w:r w:rsidR="007B4C2D">
        <w:t>.</w:t>
      </w:r>
      <w:r w:rsidR="00A46232">
        <w:t xml:space="preserve"> </w:t>
      </w:r>
      <w:r w:rsidR="007B4C2D">
        <w:t>W związku z powyższym doszło do naruszenia art.</w:t>
      </w:r>
      <w:r w:rsidR="00A46232">
        <w:t xml:space="preserve"> </w:t>
      </w:r>
      <w:r w:rsidR="007B4C2D">
        <w:t>3 Konwencji. W</w:t>
      </w:r>
      <w:r w:rsidR="00DC6186">
        <w:t> </w:t>
      </w:r>
      <w:r w:rsidR="007B4C2D">
        <w:t xml:space="preserve">konsekwencji, a w szczególności w świetle ustaleń zawartych w paragrafie </w:t>
      </w:r>
      <w:r>
        <w:rPr>
          <w:noProof/>
        </w:rPr>
        <w:t>35</w:t>
      </w:r>
      <w:r w:rsidR="007B4C2D">
        <w:t xml:space="preserve"> powyżej, </w:t>
      </w:r>
      <w:r w:rsidR="007B4C2D">
        <w:t>za</w:t>
      </w:r>
      <w:r w:rsidR="00C0599D">
        <w:t>rzut</w:t>
      </w:r>
      <w:r w:rsidR="007B4C2D">
        <w:t xml:space="preserve"> </w:t>
      </w:r>
      <w:r w:rsidR="00C0599D">
        <w:t>wstępny</w:t>
      </w:r>
      <w:r w:rsidR="00432D80">
        <w:t xml:space="preserve"> </w:t>
      </w:r>
      <w:r w:rsidR="00C0599D">
        <w:t>Rządu opart</w:t>
      </w:r>
      <w:r w:rsidR="008265F2">
        <w:t>y</w:t>
      </w:r>
      <w:r w:rsidR="007B4C2D">
        <w:t xml:space="preserve"> na niewyczerpaniu krajowych środków odwoławczych (zob. paragraf </w:t>
      </w:r>
      <w:r>
        <w:rPr>
          <w:noProof/>
        </w:rPr>
        <w:t>21</w:t>
      </w:r>
      <w:r w:rsidR="007B4C2D">
        <w:t xml:space="preserve"> powyżej) podlega odrzuceniu.</w:t>
      </w:r>
    </w:p>
    <w:p w14:paraId="317C7AFC" w14:textId="1BAA5E7A" w:rsidR="007B4C2D" w:rsidRPr="00DC7F12" w:rsidRDefault="007B4C2D" w:rsidP="00DC7F12">
      <w:pPr>
        <w:pStyle w:val="JuHIRoman"/>
        <w:tabs>
          <w:tab w:val="clear" w:pos="454"/>
          <w:tab w:val="clear" w:pos="567"/>
          <w:tab w:val="clear" w:pos="680"/>
        </w:tabs>
        <w:ind w:left="357" w:hanging="357"/>
        <w:jc w:val="left"/>
      </w:pPr>
      <w:r>
        <w:t>ZASTOSOWANIE ART.</w:t>
      </w:r>
      <w:r w:rsidR="00A46232">
        <w:t xml:space="preserve"> </w:t>
      </w:r>
      <w:r>
        <w:t>41 KONWENCJI</w:t>
      </w:r>
    </w:p>
    <w:p w14:paraId="0F86ED5E" w14:textId="31BE5670" w:rsidR="007B4C2D" w:rsidRPr="00DC7F12" w:rsidRDefault="003545C2" w:rsidP="00DC7F12">
      <w:pPr>
        <w:pStyle w:val="JuPara"/>
        <w:keepNext/>
        <w:keepLines/>
      </w:pPr>
      <w:r>
        <w:rPr>
          <w:noProof/>
        </w:rPr>
        <w:t>38</w:t>
      </w:r>
      <w:r w:rsidR="007B4C2D">
        <w:t>.</w:t>
      </w:r>
      <w:r w:rsidR="00A46232">
        <w:t xml:space="preserve"> </w:t>
      </w:r>
      <w:r w:rsidR="007B4C2D">
        <w:t>Artykuł 41 Konwencji stanowi:</w:t>
      </w:r>
    </w:p>
    <w:p w14:paraId="464CDE21" w14:textId="335A2498" w:rsidR="007B4C2D" w:rsidRPr="00DC7F12" w:rsidRDefault="007B4C2D" w:rsidP="00DC7F12">
      <w:pPr>
        <w:pStyle w:val="JuQuot"/>
      </w:pPr>
      <w:r>
        <w:t>„</w:t>
      </w:r>
      <w:r w:rsidR="00432D80" w:rsidRPr="00432D80">
        <w:t>Je</w:t>
      </w:r>
      <w:r w:rsidR="00432D80" w:rsidRPr="00432D80">
        <w:t>ś</w:t>
      </w:r>
      <w:r w:rsidR="00432D80" w:rsidRPr="00432D80">
        <w:t xml:space="preserve">li Trybunał stwierdzi, że nastąpiło naruszenie Konwencji lub jej </w:t>
      </w:r>
      <w:r w:rsidR="00432D80">
        <w:t>P</w:t>
      </w:r>
      <w:r w:rsidR="00432D80" w:rsidRPr="00432D80">
        <w:t>rotokołów, oraz</w:t>
      </w:r>
      <w:r w:rsidR="00DC6186">
        <w:t> </w:t>
      </w:r>
      <w:r w:rsidR="00432D80" w:rsidRPr="00432D80">
        <w:t>je</w:t>
      </w:r>
      <w:r w:rsidR="00432D80" w:rsidRPr="00432D80">
        <w:t>ś</w:t>
      </w:r>
      <w:r w:rsidR="00432D80" w:rsidRPr="00432D80">
        <w:t>li prawo wewnętrzne zainteresowanej Wysokiej Układającej się Strony pozwala tylko na częściowe usunięcie konsekwencji tego naruszenia, Trybunał orzeka, gdy</w:t>
      </w:r>
      <w:r w:rsidR="00DC6186">
        <w:t> </w:t>
      </w:r>
      <w:r w:rsidR="00432D80" w:rsidRPr="00432D80">
        <w:t xml:space="preserve">zachodzi potrzeba, </w:t>
      </w:r>
      <w:r w:rsidR="00432D80" w:rsidRPr="00432D80">
        <w:t>słuszne zadośćuczynienie</w:t>
      </w:r>
      <w:r w:rsidR="00432D80" w:rsidRPr="00432D80">
        <w:t xml:space="preserve"> pokrzywdzonej stronie</w:t>
      </w:r>
      <w:r w:rsidR="00432D80" w:rsidRPr="00432D80">
        <w:t>.</w:t>
      </w:r>
      <w:r>
        <w:t>”.</w:t>
      </w:r>
    </w:p>
    <w:p w14:paraId="0DF26D8F" w14:textId="7C23E7E7" w:rsidR="007B4C2D" w:rsidRPr="00DC7F12" w:rsidRDefault="003545C2" w:rsidP="00DC7F12">
      <w:pPr>
        <w:pStyle w:val="JuPara"/>
      </w:pPr>
      <w:r>
        <w:rPr>
          <w:noProof/>
        </w:rPr>
        <w:t>39</w:t>
      </w:r>
      <w:r w:rsidR="007B4C2D">
        <w:t>.</w:t>
      </w:r>
      <w:r w:rsidR="00A46232">
        <w:t xml:space="preserve"> </w:t>
      </w:r>
      <w:r w:rsidR="007B4C2D">
        <w:t>Skarżący, który działał we własnym imieniu, wniósł o zasądzenie słusznego zadośćuczynienia, nie precyzując dochodzonej kwoty.</w:t>
      </w:r>
    </w:p>
    <w:p w14:paraId="2861CB10" w14:textId="5CB03CE9" w:rsidR="007B4C2D" w:rsidRPr="00DC7F12" w:rsidRDefault="003545C2" w:rsidP="00DC7F12">
      <w:pPr>
        <w:pStyle w:val="JuPara"/>
      </w:pPr>
      <w:r>
        <w:rPr>
          <w:noProof/>
        </w:rPr>
        <w:t>40</w:t>
      </w:r>
      <w:r w:rsidR="007B4C2D">
        <w:t>.</w:t>
      </w:r>
      <w:r w:rsidR="00A46232">
        <w:t xml:space="preserve"> </w:t>
      </w:r>
      <w:r w:rsidR="007B4C2D">
        <w:t>Rząd uznał, że skarżącemu nie należy zasądzać żadnej kwoty, bowiem nie sprecyzował swojego roszczenia.</w:t>
      </w:r>
    </w:p>
    <w:p w14:paraId="4AB7DC8F" w14:textId="3B6D3D80" w:rsidR="007B4C2D" w:rsidRPr="00DC7F12" w:rsidRDefault="003545C2" w:rsidP="00DC7F12">
      <w:pPr>
        <w:pStyle w:val="JuPara"/>
      </w:pPr>
      <w:r>
        <w:rPr>
          <w:noProof/>
        </w:rPr>
        <w:t>41</w:t>
      </w:r>
      <w:r w:rsidR="007B4C2D">
        <w:t>.</w:t>
      </w:r>
      <w:r w:rsidR="00A46232">
        <w:t xml:space="preserve"> </w:t>
      </w:r>
      <w:r w:rsidR="007B4C2D">
        <w:t>Trybunał uważa, że w szczególnych okolicznościach sprawy skarżący wystarczająco sprecyzował swoje roszczenie. Z tego względu przyznaje skarżącemu kwotę 7000 euro (EUR) tytułem zadośćuczynienia za szkodę niemajątkową.</w:t>
      </w:r>
    </w:p>
    <w:p w14:paraId="0A953930" w14:textId="08F9E570" w:rsidR="007B4C2D" w:rsidRPr="00DC7F12" w:rsidRDefault="003545C2" w:rsidP="00DC7F12">
      <w:pPr>
        <w:pStyle w:val="JuPara"/>
      </w:pPr>
      <w:r>
        <w:rPr>
          <w:noProof/>
        </w:rPr>
        <w:lastRenderedPageBreak/>
        <w:t>42</w:t>
      </w:r>
      <w:r w:rsidR="007B4C2D">
        <w:t>.</w:t>
      </w:r>
      <w:r w:rsidR="00A46232">
        <w:t xml:space="preserve"> </w:t>
      </w:r>
      <w:r w:rsidR="007B4C2D">
        <w:t>Trybunał za słuszne uznaje wyznaczenie wysokości odsetek za zwłokę na podstawie marginalnej stopy procentowej Europejskiego Banku Centralnego powiększonej o trzy punkty procentowe.</w:t>
      </w:r>
    </w:p>
    <w:p w14:paraId="19BF94BF" w14:textId="77777777" w:rsidR="007B4C2D" w:rsidRPr="00DC7F12" w:rsidRDefault="007B4C2D" w:rsidP="00DC7F12">
      <w:pPr>
        <w:pStyle w:val="JuHHead"/>
        <w:numPr>
          <w:ilvl w:val="0"/>
          <w:numId w:val="18"/>
        </w:numPr>
        <w:jc w:val="left"/>
      </w:pPr>
      <w:r>
        <w:t>Z POWYŻSZYCH WZGLĘDÓW TRYBUNAŁ JEDNOGŁOŚNIE</w:t>
      </w:r>
    </w:p>
    <w:p w14:paraId="65BA209A" w14:textId="384F0EC3" w:rsidR="007B4C2D" w:rsidRPr="00DC7F12" w:rsidRDefault="00432D80" w:rsidP="00DC7F12">
      <w:pPr>
        <w:pStyle w:val="JuList"/>
      </w:pPr>
      <w:r>
        <w:rPr>
          <w:rStyle w:val="JuParaChar"/>
          <w:i/>
        </w:rPr>
        <w:t>dołącza</w:t>
      </w:r>
      <w:r>
        <w:t xml:space="preserve"> podniesion</w:t>
      </w:r>
      <w:r w:rsidR="00C0599D">
        <w:t>y</w:t>
      </w:r>
      <w:r w:rsidR="007B4C2D">
        <w:t xml:space="preserve"> przez Rząd za</w:t>
      </w:r>
      <w:r w:rsidR="00C0599D">
        <w:t>rzut</w:t>
      </w:r>
      <w:r>
        <w:t xml:space="preserve"> </w:t>
      </w:r>
      <w:r>
        <w:t>w sprawie</w:t>
      </w:r>
      <w:r w:rsidR="007B4C2D">
        <w:t xml:space="preserve"> </w:t>
      </w:r>
      <w:r w:rsidR="007B4C2D">
        <w:t xml:space="preserve">niewyczerpania środków </w:t>
      </w:r>
      <w:r>
        <w:t>do przedmiotu</w:t>
      </w:r>
      <w:r w:rsidR="007B4C2D">
        <w:t xml:space="preserve"> sprawy i odrzuca go;</w:t>
      </w:r>
    </w:p>
    <w:p w14:paraId="30819D25" w14:textId="77777777" w:rsidR="007B4C2D" w:rsidRPr="00DC7F12" w:rsidRDefault="007B4C2D" w:rsidP="00DC7F12">
      <w:pPr>
        <w:pStyle w:val="JuList"/>
      </w:pPr>
      <w:r>
        <w:rPr>
          <w:i/>
          <w:iCs/>
        </w:rPr>
        <w:t>uznaje</w:t>
      </w:r>
      <w:r>
        <w:t xml:space="preserve"> skargę za dopuszczalną;</w:t>
      </w:r>
    </w:p>
    <w:p w14:paraId="77766F2D" w14:textId="4BF619FE" w:rsidR="007B4C2D" w:rsidRPr="00DC7F12" w:rsidRDefault="007B4C2D" w:rsidP="00DC7F12">
      <w:pPr>
        <w:pStyle w:val="JuList"/>
      </w:pPr>
      <w:r>
        <w:rPr>
          <w:i/>
          <w:iCs/>
        </w:rPr>
        <w:t>stwierdza</w:t>
      </w:r>
      <w:r>
        <w:t>, że doszło do naruszenia art.</w:t>
      </w:r>
      <w:r w:rsidR="00A46232">
        <w:t xml:space="preserve"> </w:t>
      </w:r>
      <w:r>
        <w:t>3 Konwencji;</w:t>
      </w:r>
    </w:p>
    <w:p w14:paraId="15941047" w14:textId="77777777" w:rsidR="007B4C2D" w:rsidRPr="00DC7F12" w:rsidRDefault="007B4C2D" w:rsidP="00DC7F12">
      <w:pPr>
        <w:pStyle w:val="JuList"/>
        <w:keepNext/>
        <w:keepLines/>
      </w:pPr>
      <w:r>
        <w:rPr>
          <w:i/>
          <w:iCs/>
        </w:rPr>
        <w:t>stwierdza</w:t>
      </w:r>
    </w:p>
    <w:p w14:paraId="6C41423E" w14:textId="5C182C6D" w:rsidR="007B4C2D" w:rsidRPr="00DC7F12" w:rsidRDefault="007B4C2D" w:rsidP="00DC7F12">
      <w:pPr>
        <w:pStyle w:val="JuLista"/>
        <w:keepNext/>
        <w:keepLines/>
      </w:pPr>
      <w:r>
        <w:t xml:space="preserve">że pozwane </w:t>
      </w:r>
      <w:r w:rsidR="00946D36">
        <w:t>P</w:t>
      </w:r>
      <w:r>
        <w:t>aństwo winno, w terminie trzech miesięcy, uiścić na</w:t>
      </w:r>
      <w:r w:rsidR="00DC6186">
        <w:t> </w:t>
      </w:r>
      <w:r>
        <w:t>rzecz skarżącego kwotę</w:t>
      </w:r>
      <w:r w:rsidR="00A46232">
        <w:t xml:space="preserve"> </w:t>
      </w:r>
      <w:r>
        <w:t>7000</w:t>
      </w:r>
      <w:r w:rsidR="00A46232">
        <w:t xml:space="preserve"> </w:t>
      </w:r>
      <w:r>
        <w:t>EUR (siedem tysięcy euro) plus wszelkie podatki należne od skarżącej, tytułem zadośćuczynienia za</w:t>
      </w:r>
      <w:r w:rsidR="00DC6186">
        <w:t> </w:t>
      </w:r>
      <w:r>
        <w:t xml:space="preserve">szkodę niemajątkową, przeliczoną na walutę pozwanego </w:t>
      </w:r>
      <w:r w:rsidR="00432D80">
        <w:t>P</w:t>
      </w:r>
      <w:r w:rsidR="00432D80">
        <w:t xml:space="preserve">aństwa </w:t>
      </w:r>
      <w:r>
        <w:t>według kursu obowiązującego w dniu płatności;</w:t>
      </w:r>
    </w:p>
    <w:p w14:paraId="1E97252F" w14:textId="48AED0C0" w:rsidR="004D0EC7" w:rsidRPr="00DC7F12" w:rsidRDefault="007B4C2D" w:rsidP="00DC7F12">
      <w:pPr>
        <w:pStyle w:val="JuLista"/>
      </w:pPr>
      <w:r>
        <w:t>że od upływu wyżej wskazanego terminu trzech miesięcy aż</w:t>
      </w:r>
      <w:r w:rsidR="00DC6186">
        <w:t> </w:t>
      </w:r>
      <w:r>
        <w:t>do</w:t>
      </w:r>
      <w:r w:rsidR="00DC6186">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r w:rsidR="00215178">
        <w:t>.</w:t>
      </w:r>
    </w:p>
    <w:p w14:paraId="277A3BD7" w14:textId="5FE73C21" w:rsidR="008E3A08" w:rsidRPr="00DC7F12" w:rsidRDefault="007E2C8C" w:rsidP="00DC7F12">
      <w:pPr>
        <w:pStyle w:val="JuParaLast"/>
      </w:pPr>
      <w:r>
        <w:t>Sporządzono w języku angielskim i obwieszczono pisemnie w dniu 15</w:t>
      </w:r>
      <w:r w:rsidR="00DC6186">
        <w:t> </w:t>
      </w:r>
      <w:r>
        <w:t>kwietnia 2021</w:t>
      </w:r>
      <w:r w:rsidR="00A46232">
        <w:t xml:space="preserve"> </w:t>
      </w:r>
      <w:r>
        <w:t>r., zgodnie z Regułą</w:t>
      </w:r>
      <w:r w:rsidR="00A46232">
        <w:t xml:space="preserve"> </w:t>
      </w:r>
      <w:r>
        <w:t>77 §§</w:t>
      </w:r>
      <w:r w:rsidR="00A46232">
        <w:t xml:space="preserve"> </w:t>
      </w:r>
      <w:r>
        <w:t>2 i 3 Regulaminu Trybunału.</w:t>
      </w:r>
    </w:p>
    <w:p w14:paraId="175670B0" w14:textId="44FAAA56" w:rsidR="001C055B" w:rsidRPr="00DC7F12" w:rsidRDefault="0030230D" w:rsidP="00DC7F12">
      <w:pPr>
        <w:pStyle w:val="JuSigned"/>
        <w:tabs>
          <w:tab w:val="clear" w:pos="851"/>
          <w:tab w:val="center" w:pos="1418"/>
        </w:tabs>
      </w:pPr>
      <w:bookmarkStart w:id="15" w:name="_Hlk66872180"/>
      <w:r>
        <w:tab/>
        <w:t>Attila Teplán</w:t>
      </w:r>
      <w:bookmarkEnd w:id="15"/>
      <w:r>
        <w:tab/>
        <w:t>Alena Poláčková</w:t>
      </w:r>
      <w:r>
        <w:br/>
      </w:r>
      <w:r>
        <w:tab/>
        <w:t xml:space="preserve">p.o. </w:t>
      </w:r>
      <w:r w:rsidR="00432D80">
        <w:t>Zastępca Kanclerza Sekcji</w:t>
      </w:r>
      <w:r>
        <w:tab/>
        <w:t>Przewodnicząca</w:t>
      </w:r>
    </w:p>
    <w:sectPr w:rsidR="001C055B" w:rsidRPr="00DC7F12"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EA5B8" w14:textId="77777777" w:rsidR="0033436B" w:rsidRPr="007B4C2D" w:rsidRDefault="0033436B" w:rsidP="0098410D">
      <w:r w:rsidRPr="007B4C2D">
        <w:separator/>
      </w:r>
    </w:p>
  </w:endnote>
  <w:endnote w:type="continuationSeparator" w:id="0">
    <w:p w14:paraId="7BE2B92C" w14:textId="77777777" w:rsidR="0033436B" w:rsidRPr="007B4C2D" w:rsidRDefault="0033436B" w:rsidP="0098410D">
      <w:r w:rsidRPr="007B4C2D">
        <w:continuationSeparator/>
      </w:r>
    </w:p>
  </w:endnote>
  <w:endnote w:type="continuationNotice" w:id="1">
    <w:p w14:paraId="09C1CBF2" w14:textId="77777777" w:rsidR="0033436B" w:rsidRDefault="003343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979EA" w14:textId="77777777" w:rsidR="009E1FD0" w:rsidRDefault="009E1FD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E7EFA0" w14:textId="77777777" w:rsidR="007B4C2D" w:rsidRPr="00150BFA" w:rsidRDefault="007B4C2D" w:rsidP="0020718E">
    <w:pPr>
      <w:jc w:val="center"/>
    </w:pPr>
    <w:r>
      <w:rPr>
        <w:noProof/>
        <w:lang w:eastAsia="pl-PL"/>
      </w:rPr>
      <w:drawing>
        <wp:inline distT="0" distB="0" distL="0" distR="0" wp14:anchorId="375141A9" wp14:editId="4350BCF9">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9E07A9B" w14:textId="77777777" w:rsidR="0098410D" w:rsidRPr="007B4C2D" w:rsidRDefault="0098410D" w:rsidP="00AF12C5">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F6150" w14:textId="77777777" w:rsidR="007B4C2D" w:rsidRPr="00150BFA" w:rsidRDefault="007B4C2D" w:rsidP="0020718E">
    <w:pPr>
      <w:jc w:val="center"/>
    </w:pPr>
    <w:r>
      <w:rPr>
        <w:noProof/>
        <w:lang w:eastAsia="pl-PL"/>
      </w:rPr>
      <w:drawing>
        <wp:inline distT="0" distB="0" distL="0" distR="0" wp14:anchorId="7C709AE1" wp14:editId="06F2A56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FA4F136" w14:textId="77777777" w:rsidR="009E7A6F" w:rsidRPr="007B4C2D" w:rsidRDefault="009E7A6F" w:rsidP="009E7A6F">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9224A" w14:textId="371DBBA9" w:rsidR="00C26D3D" w:rsidRDefault="00F7008D" w:rsidP="009A115C">
    <w:pPr>
      <w:pStyle w:val="JuHeader"/>
    </w:pPr>
    <w:r>
      <w:rPr>
        <w:rStyle w:val="Numerstrony"/>
      </w:rPr>
      <w:fldChar w:fldCharType="begin"/>
    </w:r>
    <w:r w:rsidR="007B4C2D">
      <w:rPr>
        <w:rStyle w:val="Numerstrony"/>
      </w:rPr>
      <w:instrText xml:space="preserve"> PAGE </w:instrText>
    </w:r>
    <w:r>
      <w:rPr>
        <w:rStyle w:val="Numerstrony"/>
      </w:rPr>
      <w:fldChar w:fldCharType="separate"/>
    </w:r>
    <w:r w:rsidR="00282E44">
      <w:rPr>
        <w:rStyle w:val="Numerstrony"/>
        <w:noProof/>
      </w:rPr>
      <w:t>8</w:t>
    </w:r>
    <w:r>
      <w:rPr>
        <w:rStyle w:val="Numerstrony"/>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F2944F" w14:textId="73A3199C" w:rsidR="00C26D3D" w:rsidRPr="000B7195" w:rsidRDefault="00F7008D" w:rsidP="007D3701">
    <w:pPr>
      <w:pStyle w:val="JuHeader"/>
    </w:pPr>
    <w:r>
      <w:fldChar w:fldCharType="begin"/>
    </w:r>
    <w:r w:rsidR="007B4C2D">
      <w:instrText xml:space="preserve"> PAGE </w:instrText>
    </w:r>
    <w:r>
      <w:fldChar w:fldCharType="separate"/>
    </w:r>
    <w:r w:rsidR="00282E44">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083405" w14:textId="77777777" w:rsidR="0033436B" w:rsidRPr="007B4C2D" w:rsidRDefault="0033436B" w:rsidP="0098410D">
      <w:r w:rsidRPr="007B4C2D">
        <w:separator/>
      </w:r>
    </w:p>
  </w:footnote>
  <w:footnote w:type="continuationSeparator" w:id="0">
    <w:p w14:paraId="72BBC911" w14:textId="77777777" w:rsidR="0033436B" w:rsidRPr="007B4C2D" w:rsidRDefault="0033436B" w:rsidP="0098410D">
      <w:r w:rsidRPr="007B4C2D">
        <w:continuationSeparator/>
      </w:r>
    </w:p>
  </w:footnote>
  <w:footnote w:type="continuationNotice" w:id="1">
    <w:p w14:paraId="6CAA1BA4" w14:textId="77777777" w:rsidR="0033436B" w:rsidRDefault="0033436B"/>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8A961" w14:textId="77777777" w:rsidR="009E1FD0" w:rsidRDefault="009E1F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6EA94" w14:textId="77777777" w:rsidR="007B4C2D" w:rsidRPr="00A45145" w:rsidRDefault="007B4C2D" w:rsidP="00A45145">
    <w:pPr>
      <w:jc w:val="center"/>
    </w:pPr>
    <w:r>
      <w:rPr>
        <w:noProof/>
        <w:lang w:eastAsia="pl-PL"/>
      </w:rPr>
      <w:drawing>
        <wp:inline distT="0" distB="0" distL="0" distR="0" wp14:anchorId="0D7696D8" wp14:editId="1985A68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9C231EA" w14:textId="77777777" w:rsidR="0098410D" w:rsidRPr="007B4C2D" w:rsidRDefault="0098410D" w:rsidP="00B14793">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0378B" w14:textId="77777777" w:rsidR="007B4C2D" w:rsidRPr="00A45145" w:rsidRDefault="007B4C2D" w:rsidP="00A45145">
    <w:pPr>
      <w:jc w:val="center"/>
    </w:pPr>
    <w:r>
      <w:rPr>
        <w:noProof/>
        <w:lang w:eastAsia="pl-PL"/>
      </w:rPr>
      <w:drawing>
        <wp:inline distT="0" distB="0" distL="0" distR="0" wp14:anchorId="0B6E685D" wp14:editId="25A66B56">
          <wp:extent cx="2962275" cy="1219200"/>
          <wp:effectExtent l="0" t="0" r="9525" b="0"/>
          <wp:docPr id="37" name="Picture 3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E8F76B0" w14:textId="77777777" w:rsidR="0098410D" w:rsidRPr="007B4C2D" w:rsidRDefault="0098410D"/>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234DF" w14:textId="77777777" w:rsidR="00C26D3D" w:rsidRPr="004D0EC7" w:rsidRDefault="007B4C2D" w:rsidP="004D0EC7">
    <w:pPr>
      <w:pStyle w:val="JuHeader"/>
    </w:pPr>
    <w:r>
      <w:t>WYROK W SPRAWIE FILAS PRZECIWKO POLSCE</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5FB72" w14:textId="77777777" w:rsidR="00C26D3D" w:rsidRPr="00882CD5" w:rsidRDefault="007B4C2D" w:rsidP="007D3701">
    <w:pPr>
      <w:pStyle w:val="JuHeader"/>
    </w:pPr>
    <w:r>
      <w:t>WYROK W SPRAWIE FILAS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w:numFmt w:val="decimal"/>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7B4C2D"/>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551C"/>
    <w:rsid w:val="0007780A"/>
    <w:rsid w:val="00085457"/>
    <w:rsid w:val="000925AD"/>
    <w:rsid w:val="00096FE1"/>
    <w:rsid w:val="00097A62"/>
    <w:rsid w:val="000A24EB"/>
    <w:rsid w:val="000B686A"/>
    <w:rsid w:val="000B6923"/>
    <w:rsid w:val="000B7195"/>
    <w:rsid w:val="000C5F3C"/>
    <w:rsid w:val="000C6DCC"/>
    <w:rsid w:val="000D253B"/>
    <w:rsid w:val="000D47AA"/>
    <w:rsid w:val="000D721F"/>
    <w:rsid w:val="000E01B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1E3F"/>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15178"/>
    <w:rsid w:val="00230D00"/>
    <w:rsid w:val="00231CAE"/>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75719"/>
    <w:rsid w:val="002811B4"/>
    <w:rsid w:val="00282240"/>
    <w:rsid w:val="00282E44"/>
    <w:rsid w:val="00287AD5"/>
    <w:rsid w:val="002934D0"/>
    <w:rsid w:val="00293676"/>
    <w:rsid w:val="00293BD9"/>
    <w:rsid w:val="002948AD"/>
    <w:rsid w:val="002955CC"/>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30D"/>
    <w:rsid w:val="00302F70"/>
    <w:rsid w:val="0030336F"/>
    <w:rsid w:val="0030375E"/>
    <w:rsid w:val="00312A30"/>
    <w:rsid w:val="0031670C"/>
    <w:rsid w:val="003201D8"/>
    <w:rsid w:val="00320F72"/>
    <w:rsid w:val="0032463E"/>
    <w:rsid w:val="00325125"/>
    <w:rsid w:val="00326224"/>
    <w:rsid w:val="0033436B"/>
    <w:rsid w:val="003347A0"/>
    <w:rsid w:val="00337EE4"/>
    <w:rsid w:val="00340FFD"/>
    <w:rsid w:val="00345C41"/>
    <w:rsid w:val="003506B1"/>
    <w:rsid w:val="003545C2"/>
    <w:rsid w:val="00355877"/>
    <w:rsid w:val="00356AC7"/>
    <w:rsid w:val="003609FA"/>
    <w:rsid w:val="003710C8"/>
    <w:rsid w:val="003750BE"/>
    <w:rsid w:val="00385A36"/>
    <w:rsid w:val="00385F3D"/>
    <w:rsid w:val="00387B30"/>
    <w:rsid w:val="00387B9D"/>
    <w:rsid w:val="00387C70"/>
    <w:rsid w:val="00390294"/>
    <w:rsid w:val="0039364F"/>
    <w:rsid w:val="00396686"/>
    <w:rsid w:val="0039778E"/>
    <w:rsid w:val="003B4941"/>
    <w:rsid w:val="003C5714"/>
    <w:rsid w:val="003C6B9F"/>
    <w:rsid w:val="003C6E2A"/>
    <w:rsid w:val="003D0299"/>
    <w:rsid w:val="003D1FD3"/>
    <w:rsid w:val="003E6D80"/>
    <w:rsid w:val="003F05FA"/>
    <w:rsid w:val="003F244A"/>
    <w:rsid w:val="003F2517"/>
    <w:rsid w:val="003F30B8"/>
    <w:rsid w:val="003F4C45"/>
    <w:rsid w:val="003F5F7B"/>
    <w:rsid w:val="003F7D64"/>
    <w:rsid w:val="0040433A"/>
    <w:rsid w:val="00414300"/>
    <w:rsid w:val="00414F27"/>
    <w:rsid w:val="00416E2E"/>
    <w:rsid w:val="00420703"/>
    <w:rsid w:val="00425C67"/>
    <w:rsid w:val="00427E7A"/>
    <w:rsid w:val="00432D80"/>
    <w:rsid w:val="004350BE"/>
    <w:rsid w:val="0043521E"/>
    <w:rsid w:val="004355AC"/>
    <w:rsid w:val="00436C49"/>
    <w:rsid w:val="00440F57"/>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972C9"/>
    <w:rsid w:val="004A15C7"/>
    <w:rsid w:val="004A1B9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113D"/>
    <w:rsid w:val="004F10AF"/>
    <w:rsid w:val="004F11A4"/>
    <w:rsid w:val="004F2389"/>
    <w:rsid w:val="004F304D"/>
    <w:rsid w:val="004F4290"/>
    <w:rsid w:val="004F61BE"/>
    <w:rsid w:val="004F66B1"/>
    <w:rsid w:val="0050167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C576A"/>
    <w:rsid w:val="005D2F2A"/>
    <w:rsid w:val="005D34F9"/>
    <w:rsid w:val="005D4190"/>
    <w:rsid w:val="005D67A3"/>
    <w:rsid w:val="005D7AA8"/>
    <w:rsid w:val="005E2988"/>
    <w:rsid w:val="005E3085"/>
    <w:rsid w:val="005F0EB3"/>
    <w:rsid w:val="005F51E1"/>
    <w:rsid w:val="00611C80"/>
    <w:rsid w:val="006136D8"/>
    <w:rsid w:val="00613DD0"/>
    <w:rsid w:val="00614EB3"/>
    <w:rsid w:val="00620692"/>
    <w:rsid w:val="00623CE3"/>
    <w:rsid w:val="006242CA"/>
    <w:rsid w:val="00627507"/>
    <w:rsid w:val="00630C5F"/>
    <w:rsid w:val="00633717"/>
    <w:rsid w:val="006344E1"/>
    <w:rsid w:val="00643524"/>
    <w:rsid w:val="0064393B"/>
    <w:rsid w:val="00643D4D"/>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3DBE"/>
    <w:rsid w:val="006F48CA"/>
    <w:rsid w:val="006F64DD"/>
    <w:rsid w:val="006F712D"/>
    <w:rsid w:val="00706729"/>
    <w:rsid w:val="00706FB1"/>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0456"/>
    <w:rsid w:val="0078323E"/>
    <w:rsid w:val="007850EE"/>
    <w:rsid w:val="00785B95"/>
    <w:rsid w:val="00790E96"/>
    <w:rsid w:val="00793366"/>
    <w:rsid w:val="007A716F"/>
    <w:rsid w:val="007B270A"/>
    <w:rsid w:val="007B4182"/>
    <w:rsid w:val="007B4C2D"/>
    <w:rsid w:val="007C0695"/>
    <w:rsid w:val="007C419A"/>
    <w:rsid w:val="007C4CC8"/>
    <w:rsid w:val="007C5426"/>
    <w:rsid w:val="007C5798"/>
    <w:rsid w:val="007D1ECD"/>
    <w:rsid w:val="007D315D"/>
    <w:rsid w:val="007D3701"/>
    <w:rsid w:val="007D4832"/>
    <w:rsid w:val="007E1ED7"/>
    <w:rsid w:val="007E21B2"/>
    <w:rsid w:val="007E23AC"/>
    <w:rsid w:val="007E2C4E"/>
    <w:rsid w:val="007E2C8C"/>
    <w:rsid w:val="007E51BA"/>
    <w:rsid w:val="007E73D7"/>
    <w:rsid w:val="007F1905"/>
    <w:rsid w:val="007F27E4"/>
    <w:rsid w:val="007F3437"/>
    <w:rsid w:val="007F7BA5"/>
    <w:rsid w:val="00802C64"/>
    <w:rsid w:val="00805E52"/>
    <w:rsid w:val="008061D0"/>
    <w:rsid w:val="00807DD3"/>
    <w:rsid w:val="00810B38"/>
    <w:rsid w:val="00814F9D"/>
    <w:rsid w:val="008204C7"/>
    <w:rsid w:val="00820992"/>
    <w:rsid w:val="00823602"/>
    <w:rsid w:val="008255F5"/>
    <w:rsid w:val="008265F2"/>
    <w:rsid w:val="0083014E"/>
    <w:rsid w:val="00831C61"/>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84F56"/>
    <w:rsid w:val="00893576"/>
    <w:rsid w:val="00893E73"/>
    <w:rsid w:val="00895AE5"/>
    <w:rsid w:val="008A24AF"/>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2842"/>
    <w:rsid w:val="008F3AEC"/>
    <w:rsid w:val="008F4D80"/>
    <w:rsid w:val="008F5193"/>
    <w:rsid w:val="008F6B36"/>
    <w:rsid w:val="009013A7"/>
    <w:rsid w:val="009017FB"/>
    <w:rsid w:val="009017FC"/>
    <w:rsid w:val="0090506B"/>
    <w:rsid w:val="009050C9"/>
    <w:rsid w:val="009066FC"/>
    <w:rsid w:val="009140A3"/>
    <w:rsid w:val="009144A2"/>
    <w:rsid w:val="0091477A"/>
    <w:rsid w:val="0091510C"/>
    <w:rsid w:val="0091609A"/>
    <w:rsid w:val="009259AC"/>
    <w:rsid w:val="00926F38"/>
    <w:rsid w:val="00927BEB"/>
    <w:rsid w:val="009333DC"/>
    <w:rsid w:val="00934301"/>
    <w:rsid w:val="0093545C"/>
    <w:rsid w:val="00936CD1"/>
    <w:rsid w:val="00941747"/>
    <w:rsid w:val="00941EFB"/>
    <w:rsid w:val="00946D36"/>
    <w:rsid w:val="00947AFB"/>
    <w:rsid w:val="00951AA3"/>
    <w:rsid w:val="00951D7D"/>
    <w:rsid w:val="00956D0C"/>
    <w:rsid w:val="009630C7"/>
    <w:rsid w:val="00972B55"/>
    <w:rsid w:val="009743B7"/>
    <w:rsid w:val="0098228B"/>
    <w:rsid w:val="009828DA"/>
    <w:rsid w:val="0098410D"/>
    <w:rsid w:val="00985BAB"/>
    <w:rsid w:val="00986B3C"/>
    <w:rsid w:val="009A115C"/>
    <w:rsid w:val="009B1606"/>
    <w:rsid w:val="009B1B5F"/>
    <w:rsid w:val="009B6673"/>
    <w:rsid w:val="009C11D4"/>
    <w:rsid w:val="009C191B"/>
    <w:rsid w:val="009C2BD6"/>
    <w:rsid w:val="009E1F32"/>
    <w:rsid w:val="009E1FD0"/>
    <w:rsid w:val="009E2CC2"/>
    <w:rsid w:val="009E47A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6232"/>
    <w:rsid w:val="00A51D0F"/>
    <w:rsid w:val="00A54192"/>
    <w:rsid w:val="00A57147"/>
    <w:rsid w:val="00A6035E"/>
    <w:rsid w:val="00A6144C"/>
    <w:rsid w:val="00A61FC6"/>
    <w:rsid w:val="00A66617"/>
    <w:rsid w:val="00A671F8"/>
    <w:rsid w:val="00A673A4"/>
    <w:rsid w:val="00A724AE"/>
    <w:rsid w:val="00A73329"/>
    <w:rsid w:val="00A82359"/>
    <w:rsid w:val="00A865D2"/>
    <w:rsid w:val="00A90BCD"/>
    <w:rsid w:val="00A9101B"/>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1086"/>
    <w:rsid w:val="00B160DB"/>
    <w:rsid w:val="00B20836"/>
    <w:rsid w:val="00B235BB"/>
    <w:rsid w:val="00B24713"/>
    <w:rsid w:val="00B27A44"/>
    <w:rsid w:val="00B30BBF"/>
    <w:rsid w:val="00B33C03"/>
    <w:rsid w:val="00B35318"/>
    <w:rsid w:val="00B4421F"/>
    <w:rsid w:val="00B44E56"/>
    <w:rsid w:val="00B45917"/>
    <w:rsid w:val="00B46543"/>
    <w:rsid w:val="00B479CA"/>
    <w:rsid w:val="00B47D33"/>
    <w:rsid w:val="00B52BE0"/>
    <w:rsid w:val="00B54133"/>
    <w:rsid w:val="00B701ED"/>
    <w:rsid w:val="00B748F7"/>
    <w:rsid w:val="00B8086C"/>
    <w:rsid w:val="00B81C58"/>
    <w:rsid w:val="00B861B4"/>
    <w:rsid w:val="00B86DFE"/>
    <w:rsid w:val="00B90990"/>
    <w:rsid w:val="00B922FF"/>
    <w:rsid w:val="00B9281E"/>
    <w:rsid w:val="00B931E7"/>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599D"/>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775A1"/>
    <w:rsid w:val="00C90D68"/>
    <w:rsid w:val="00C939FE"/>
    <w:rsid w:val="00CA4BDA"/>
    <w:rsid w:val="00CB13E3"/>
    <w:rsid w:val="00CB1F66"/>
    <w:rsid w:val="00CB232C"/>
    <w:rsid w:val="00CB2951"/>
    <w:rsid w:val="00CB4277"/>
    <w:rsid w:val="00CB4C65"/>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67E3"/>
    <w:rsid w:val="00D57A4D"/>
    <w:rsid w:val="00D60AA7"/>
    <w:rsid w:val="00D6435F"/>
    <w:rsid w:val="00D66471"/>
    <w:rsid w:val="00D70641"/>
    <w:rsid w:val="00D74888"/>
    <w:rsid w:val="00D75E28"/>
    <w:rsid w:val="00D772C2"/>
    <w:rsid w:val="00D8008E"/>
    <w:rsid w:val="00D82C45"/>
    <w:rsid w:val="00D908A8"/>
    <w:rsid w:val="00D977B6"/>
    <w:rsid w:val="00D97C73"/>
    <w:rsid w:val="00DA1223"/>
    <w:rsid w:val="00DA4A31"/>
    <w:rsid w:val="00DA7B04"/>
    <w:rsid w:val="00DB36C2"/>
    <w:rsid w:val="00DC169B"/>
    <w:rsid w:val="00DC2AB9"/>
    <w:rsid w:val="00DC6186"/>
    <w:rsid w:val="00DC63F0"/>
    <w:rsid w:val="00DC7F12"/>
    <w:rsid w:val="00DD37EA"/>
    <w:rsid w:val="00DD6EE5"/>
    <w:rsid w:val="00DE386C"/>
    <w:rsid w:val="00DE4D35"/>
    <w:rsid w:val="00DF098B"/>
    <w:rsid w:val="00DF11C4"/>
    <w:rsid w:val="00DF210C"/>
    <w:rsid w:val="00DF26FD"/>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2BEB"/>
    <w:rsid w:val="00EE3E00"/>
    <w:rsid w:val="00EE5DD2"/>
    <w:rsid w:val="00EF36C5"/>
    <w:rsid w:val="00EF3DB4"/>
    <w:rsid w:val="00F00A79"/>
    <w:rsid w:val="00F00D13"/>
    <w:rsid w:val="00F00E86"/>
    <w:rsid w:val="00F06534"/>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2FA"/>
    <w:rsid w:val="00F56A6F"/>
    <w:rsid w:val="00F5709C"/>
    <w:rsid w:val="00F60B85"/>
    <w:rsid w:val="00F6163E"/>
    <w:rsid w:val="00F64EF1"/>
    <w:rsid w:val="00F7008D"/>
    <w:rsid w:val="00F72B14"/>
    <w:rsid w:val="00F7349B"/>
    <w:rsid w:val="00F8608B"/>
    <w:rsid w:val="00F8765F"/>
    <w:rsid w:val="00F90767"/>
    <w:rsid w:val="00F9263C"/>
    <w:rsid w:val="00FA1637"/>
    <w:rsid w:val="00FA685B"/>
    <w:rsid w:val="00FB0C01"/>
    <w:rsid w:val="00FB5934"/>
    <w:rsid w:val="00FC18F2"/>
    <w:rsid w:val="00FC2A17"/>
    <w:rsid w:val="00FC38CF"/>
    <w:rsid w:val="00FC39E5"/>
    <w:rsid w:val="00FC3A78"/>
    <w:rsid w:val="00FC6EC5"/>
    <w:rsid w:val="00FD1005"/>
    <w:rsid w:val="00FD1F7F"/>
    <w:rsid w:val="00FD6C75"/>
    <w:rsid w:val="00FD7972"/>
    <w:rsid w:val="00FE0401"/>
    <w:rsid w:val="00FE5BDC"/>
    <w:rsid w:val="00FE71B3"/>
    <w:rsid w:val="00FF42C5"/>
    <w:rsid w:val="00FF7FF0"/>
  </w:rsids>
  <m:mathPr>
    <m:mathFont m:val="Cambria Math"/>
    <m:brkBin m:val="before"/>
    <m:brkBinSub m:val="--"/>
    <m:smallFrac/>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E06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C44F09"/>
    <w:rPr>
      <w:sz w:val="24"/>
      <w:szCs w:val="24"/>
    </w:rPr>
  </w:style>
  <w:style w:type="paragraph" w:styleId="Nagwek1">
    <w:name w:val="heading 1"/>
    <w:basedOn w:val="Normalny"/>
    <w:next w:val="Normalny"/>
    <w:link w:val="Nagwek1Znak"/>
    <w:uiPriority w:val="98"/>
    <w:semiHidden/>
    <w:rsid w:val="00C44F0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C44F0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C44F09"/>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C44F09"/>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C44F09"/>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C44F09"/>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C44F09"/>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C44F09"/>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C44F09"/>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C44F09"/>
    <w:rPr>
      <w:rFonts w:ascii="Tahoma" w:hAnsi="Tahoma" w:cs="Tahoma"/>
      <w:sz w:val="16"/>
      <w:szCs w:val="16"/>
    </w:rPr>
  </w:style>
  <w:style w:type="character" w:customStyle="1" w:styleId="TekstdymkaZnak">
    <w:name w:val="Tekst dymka Znak"/>
    <w:basedOn w:val="Domylnaczcionkaakapitu"/>
    <w:link w:val="Tekstdymka"/>
    <w:uiPriority w:val="98"/>
    <w:semiHidden/>
    <w:rsid w:val="00C44F09"/>
    <w:rPr>
      <w:rFonts w:ascii="Tahoma" w:hAnsi="Tahoma" w:cs="Tahoma"/>
      <w:sz w:val="16"/>
      <w:szCs w:val="16"/>
      <w:lang w:val="pl-PL"/>
    </w:rPr>
  </w:style>
  <w:style w:type="character" w:styleId="Tytuksiki">
    <w:name w:val="Book Title"/>
    <w:uiPriority w:val="98"/>
    <w:semiHidden/>
    <w:qFormat/>
    <w:rsid w:val="00C44F09"/>
    <w:rPr>
      <w:i/>
      <w:iCs/>
      <w:smallCaps/>
      <w:spacing w:val="5"/>
    </w:rPr>
  </w:style>
  <w:style w:type="paragraph" w:customStyle="1" w:styleId="JuHeader">
    <w:name w:val="Ju_Header"/>
    <w:aliases w:val="_Header"/>
    <w:basedOn w:val="Nagwek"/>
    <w:uiPriority w:val="29"/>
    <w:qFormat/>
    <w:rsid w:val="00C44F09"/>
    <w:pPr>
      <w:tabs>
        <w:tab w:val="clear" w:pos="4536"/>
        <w:tab w:val="clear" w:pos="9072"/>
      </w:tabs>
      <w:jc w:val="center"/>
    </w:pPr>
    <w:rPr>
      <w:sz w:val="18"/>
    </w:rPr>
  </w:style>
  <w:style w:type="paragraph" w:customStyle="1" w:styleId="NormalJustified">
    <w:name w:val="Normal_Justified"/>
    <w:basedOn w:val="Normalny"/>
    <w:semiHidden/>
    <w:rsid w:val="00C44F09"/>
    <w:pPr>
      <w:jc w:val="both"/>
    </w:pPr>
  </w:style>
  <w:style w:type="character" w:styleId="Pogrubienie">
    <w:name w:val="Strong"/>
    <w:uiPriority w:val="98"/>
    <w:semiHidden/>
    <w:qFormat/>
    <w:rsid w:val="00C44F09"/>
    <w:rPr>
      <w:b/>
      <w:bCs/>
    </w:rPr>
  </w:style>
  <w:style w:type="paragraph" w:styleId="Bezodstpw">
    <w:name w:val="No Spacing"/>
    <w:basedOn w:val="Normalny"/>
    <w:link w:val="BezodstpwZnak"/>
    <w:uiPriority w:val="98"/>
    <w:semiHidden/>
    <w:qFormat/>
    <w:rsid w:val="00C44F09"/>
  </w:style>
  <w:style w:type="character" w:customStyle="1" w:styleId="BezodstpwZnak">
    <w:name w:val="Bez odstępów Znak"/>
    <w:basedOn w:val="Domylnaczcionkaakapitu"/>
    <w:link w:val="Bezodstpw"/>
    <w:uiPriority w:val="98"/>
    <w:semiHidden/>
    <w:rsid w:val="00C44F09"/>
    <w:rPr>
      <w:sz w:val="24"/>
      <w:szCs w:val="24"/>
      <w:lang w:val="pl-PL"/>
    </w:rPr>
  </w:style>
  <w:style w:type="paragraph" w:customStyle="1" w:styleId="JuQuot">
    <w:name w:val="Ju_Quot"/>
    <w:aliases w:val="_Quote"/>
    <w:basedOn w:val="NormalJustified"/>
    <w:uiPriority w:val="20"/>
    <w:qFormat/>
    <w:rsid w:val="00C44F09"/>
    <w:pPr>
      <w:spacing w:before="120" w:after="120"/>
      <w:ind w:left="425" w:firstLine="142"/>
    </w:pPr>
    <w:rPr>
      <w:sz w:val="20"/>
    </w:rPr>
  </w:style>
  <w:style w:type="paragraph" w:customStyle="1" w:styleId="DummyStyle">
    <w:name w:val="Dummy_Style"/>
    <w:aliases w:val="_Dummy"/>
    <w:basedOn w:val="Normalny"/>
    <w:semiHidden/>
    <w:qFormat/>
    <w:rsid w:val="00C44F09"/>
    <w:rPr>
      <w:color w:val="00B050"/>
      <w:sz w:val="22"/>
    </w:rPr>
  </w:style>
  <w:style w:type="paragraph" w:customStyle="1" w:styleId="JuList">
    <w:name w:val="Ju_List"/>
    <w:aliases w:val="_List_1"/>
    <w:basedOn w:val="NormalJustified"/>
    <w:uiPriority w:val="23"/>
    <w:qFormat/>
    <w:rsid w:val="00C44F09"/>
    <w:pPr>
      <w:numPr>
        <w:numId w:val="6"/>
      </w:numPr>
      <w:spacing w:before="280" w:after="60"/>
    </w:pPr>
  </w:style>
  <w:style w:type="paragraph" w:customStyle="1" w:styleId="JuLista">
    <w:name w:val="Ju_List_a"/>
    <w:aliases w:val="_List_2"/>
    <w:basedOn w:val="NormalJustified"/>
    <w:uiPriority w:val="23"/>
    <w:rsid w:val="00C44F09"/>
    <w:pPr>
      <w:numPr>
        <w:ilvl w:val="1"/>
        <w:numId w:val="6"/>
      </w:numPr>
    </w:pPr>
  </w:style>
  <w:style w:type="paragraph" w:customStyle="1" w:styleId="JuListi">
    <w:name w:val="Ju_List_i"/>
    <w:aliases w:val="_List_3"/>
    <w:basedOn w:val="NormalJustified"/>
    <w:uiPriority w:val="23"/>
    <w:rsid w:val="00C44F09"/>
    <w:pPr>
      <w:numPr>
        <w:ilvl w:val="2"/>
        <w:numId w:val="6"/>
      </w:numPr>
    </w:pPr>
  </w:style>
  <w:style w:type="paragraph" w:customStyle="1" w:styleId="JuHArticle">
    <w:name w:val="Ju_H_Article"/>
    <w:aliases w:val="_Title_Quote"/>
    <w:basedOn w:val="Normalny"/>
    <w:next w:val="JuQuot"/>
    <w:uiPriority w:val="19"/>
    <w:qFormat/>
    <w:rsid w:val="00C44F09"/>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C44F09"/>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C44F09"/>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C44F09"/>
    <w:pPr>
      <w:keepNext/>
      <w:keepLines/>
      <w:numPr>
        <w:numId w:val="1"/>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C44F09"/>
    <w:pPr>
      <w:numPr>
        <w:numId w:val="5"/>
      </w:numPr>
    </w:pPr>
  </w:style>
  <w:style w:type="paragraph" w:customStyle="1" w:styleId="JuSigned">
    <w:name w:val="Ju_Signed"/>
    <w:aliases w:val="_Signature"/>
    <w:basedOn w:val="Normalny"/>
    <w:next w:val="JuPara"/>
    <w:uiPriority w:val="31"/>
    <w:qFormat/>
    <w:rsid w:val="00C44F09"/>
    <w:pPr>
      <w:tabs>
        <w:tab w:val="center" w:pos="851"/>
        <w:tab w:val="center" w:pos="6407"/>
      </w:tabs>
      <w:spacing w:before="720"/>
    </w:pPr>
  </w:style>
  <w:style w:type="paragraph" w:styleId="Tytu">
    <w:name w:val="Title"/>
    <w:basedOn w:val="Normalny"/>
    <w:next w:val="Normalny"/>
    <w:link w:val="TytuZnak"/>
    <w:uiPriority w:val="98"/>
    <w:semiHidden/>
    <w:qFormat/>
    <w:rsid w:val="00C44F0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C44F09"/>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C44F09"/>
    <w:pPr>
      <w:numPr>
        <w:numId w:val="6"/>
      </w:numPr>
    </w:pPr>
  </w:style>
  <w:style w:type="numbering" w:customStyle="1" w:styleId="ECHRA1StyleNumberedList">
    <w:name w:val="ECHR_A1_Style_Numbered_List"/>
    <w:basedOn w:val="Bezlisty"/>
    <w:rsid w:val="00C44F09"/>
    <w:pPr>
      <w:numPr>
        <w:numId w:val="7"/>
      </w:numPr>
    </w:pPr>
  </w:style>
  <w:style w:type="table" w:customStyle="1" w:styleId="ECHRTable2019">
    <w:name w:val="ECHR_Table_2019"/>
    <w:basedOn w:val="Standardowy"/>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C44F09"/>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C44F09"/>
    <w:pPr>
      <w:keepNext/>
      <w:keepLines/>
      <w:numPr>
        <w:ilvl w:val="1"/>
        <w:numId w:val="1"/>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C44F09"/>
    <w:pPr>
      <w:keepNext/>
      <w:keepLines/>
      <w:numPr>
        <w:ilvl w:val="2"/>
        <w:numId w:val="1"/>
      </w:numPr>
      <w:spacing w:before="100" w:beforeAutospacing="1" w:after="240" w:line="240" w:lineRule="auto"/>
      <w:jc w:val="both"/>
    </w:pPr>
    <w:rPr>
      <w:color w:val="auto"/>
    </w:rPr>
  </w:style>
  <w:style w:type="paragraph" w:customStyle="1" w:styleId="JuH1">
    <w:name w:val="Ju_H_1."/>
    <w:aliases w:val="_Head_4"/>
    <w:basedOn w:val="Nagwek4"/>
    <w:next w:val="JuPara"/>
    <w:uiPriority w:val="17"/>
    <w:rsid w:val="00C44F09"/>
    <w:pPr>
      <w:keepNext/>
      <w:keepLines/>
      <w:numPr>
        <w:ilvl w:val="3"/>
        <w:numId w:val="1"/>
      </w:numPr>
      <w:spacing w:before="100" w:beforeAutospacing="1" w:after="120"/>
      <w:jc w:val="both"/>
    </w:pPr>
    <w:rPr>
      <w:b w:val="0"/>
      <w:color w:val="auto"/>
    </w:rPr>
  </w:style>
  <w:style w:type="paragraph" w:styleId="Nagwek">
    <w:name w:val="header"/>
    <w:basedOn w:val="Normalny"/>
    <w:link w:val="NagwekZnak"/>
    <w:uiPriority w:val="98"/>
    <w:semiHidden/>
    <w:rsid w:val="00C44F09"/>
    <w:pPr>
      <w:tabs>
        <w:tab w:val="center" w:pos="4536"/>
        <w:tab w:val="right" w:pos="9072"/>
      </w:tabs>
    </w:pPr>
  </w:style>
  <w:style w:type="character" w:customStyle="1" w:styleId="NagwekZnak">
    <w:name w:val="Nagłówek Znak"/>
    <w:basedOn w:val="Domylnaczcionkaakapitu"/>
    <w:link w:val="Nagwek"/>
    <w:uiPriority w:val="98"/>
    <w:semiHidden/>
    <w:rsid w:val="00C44F09"/>
    <w:rPr>
      <w:sz w:val="24"/>
      <w:szCs w:val="24"/>
      <w:lang w:val="pl-PL"/>
    </w:rPr>
  </w:style>
  <w:style w:type="character" w:customStyle="1" w:styleId="Nagwek1Znak">
    <w:name w:val="Nagłówek 1 Znak"/>
    <w:basedOn w:val="Domylnaczcionkaakapitu"/>
    <w:link w:val="Nagwek1"/>
    <w:uiPriority w:val="98"/>
    <w:semiHidden/>
    <w:rsid w:val="00C44F09"/>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C44F09"/>
    <w:pPr>
      <w:keepNext/>
      <w:keepLines/>
      <w:numPr>
        <w:ilvl w:val="4"/>
        <w:numId w:val="1"/>
      </w:numPr>
      <w:spacing w:before="100" w:beforeAutospacing="1" w:after="120"/>
      <w:jc w:val="both"/>
    </w:pPr>
    <w:rPr>
      <w:color w:val="auto"/>
      <w:sz w:val="20"/>
    </w:rPr>
  </w:style>
  <w:style w:type="paragraph" w:customStyle="1" w:styleId="JuHi">
    <w:name w:val="Ju_H_i"/>
    <w:aliases w:val="_Head_6"/>
    <w:basedOn w:val="Nagwek6"/>
    <w:next w:val="JuPara"/>
    <w:uiPriority w:val="17"/>
    <w:rsid w:val="00C44F09"/>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C44F09"/>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C44F09"/>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C44F09"/>
    <w:pPr>
      <w:keepNext/>
      <w:keepLines/>
      <w:numPr>
        <w:ilvl w:val="7"/>
        <w:numId w:val="1"/>
      </w:numPr>
      <w:spacing w:before="100" w:beforeAutospacing="1" w:after="120"/>
      <w:jc w:val="both"/>
    </w:pPr>
    <w:rPr>
      <w:i/>
    </w:rPr>
  </w:style>
  <w:style w:type="character" w:customStyle="1" w:styleId="Nagwek3Znak">
    <w:name w:val="Nagłówek 3 Znak"/>
    <w:basedOn w:val="Domylnaczcionkaakapitu"/>
    <w:link w:val="Nagwek3"/>
    <w:uiPriority w:val="98"/>
    <w:semiHidden/>
    <w:rsid w:val="00C44F09"/>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C44F09"/>
    <w:pPr>
      <w:keepNext/>
      <w:keepLines/>
      <w:spacing w:before="240" w:after="240"/>
      <w:ind w:firstLine="284"/>
    </w:pPr>
  </w:style>
  <w:style w:type="paragraph" w:customStyle="1" w:styleId="JuJudges">
    <w:name w:val="Ju_Judges"/>
    <w:aliases w:val="_Judges"/>
    <w:basedOn w:val="Normalny"/>
    <w:uiPriority w:val="32"/>
    <w:qFormat/>
    <w:rsid w:val="00C44F09"/>
    <w:pPr>
      <w:tabs>
        <w:tab w:val="left" w:pos="567"/>
        <w:tab w:val="left" w:pos="1134"/>
      </w:tabs>
    </w:pPr>
  </w:style>
  <w:style w:type="character" w:customStyle="1" w:styleId="Nagwek4Znak">
    <w:name w:val="Nagłówek 4 Znak"/>
    <w:basedOn w:val="Domylnaczcionkaakapitu"/>
    <w:link w:val="Nagwek4"/>
    <w:uiPriority w:val="98"/>
    <w:semiHidden/>
    <w:rsid w:val="00C44F09"/>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C44F09"/>
    <w:pPr>
      <w:tabs>
        <w:tab w:val="center" w:pos="6407"/>
      </w:tabs>
      <w:spacing w:before="720"/>
      <w:jc w:val="right"/>
    </w:pPr>
  </w:style>
  <w:style w:type="character" w:customStyle="1" w:styleId="Nagwek5Znak">
    <w:name w:val="Nagłówek 5 Znak"/>
    <w:basedOn w:val="Domylnaczcionkaakapitu"/>
    <w:link w:val="Nagwek5"/>
    <w:uiPriority w:val="98"/>
    <w:semiHidden/>
    <w:rsid w:val="00C44F09"/>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C44F09"/>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C44F09"/>
    <w:rPr>
      <w:caps w:val="0"/>
      <w:smallCaps/>
    </w:rPr>
  </w:style>
  <w:style w:type="character" w:styleId="Wyrnieniedelikatne">
    <w:name w:val="Subtle Emphasis"/>
    <w:uiPriority w:val="98"/>
    <w:semiHidden/>
    <w:qFormat/>
    <w:rsid w:val="00C44F09"/>
    <w:rPr>
      <w:i/>
      <w:iCs/>
    </w:rPr>
  </w:style>
  <w:style w:type="table" w:customStyle="1" w:styleId="ECHRTable">
    <w:name w:val="ECHR_Table"/>
    <w:basedOn w:val="Standardowy"/>
    <w:rsid w:val="00C44F09"/>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C44F09"/>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C44F09"/>
    <w:rPr>
      <w:b/>
      <w:bCs/>
      <w:i/>
      <w:iCs/>
      <w:spacing w:val="10"/>
      <w:bdr w:val="none" w:sz="0" w:space="0" w:color="auto"/>
      <w:shd w:val="clear" w:color="auto" w:fill="auto"/>
    </w:rPr>
  </w:style>
  <w:style w:type="paragraph" w:styleId="Stopka">
    <w:name w:val="footer"/>
    <w:basedOn w:val="Normalny"/>
    <w:link w:val="StopkaZnak"/>
    <w:uiPriority w:val="98"/>
    <w:semiHidden/>
    <w:rsid w:val="00C44F09"/>
    <w:pPr>
      <w:tabs>
        <w:tab w:val="center" w:pos="3686"/>
        <w:tab w:val="right" w:pos="7371"/>
      </w:tabs>
    </w:pPr>
  </w:style>
  <w:style w:type="character" w:customStyle="1" w:styleId="StopkaZnak">
    <w:name w:val="Stopka Znak"/>
    <w:basedOn w:val="Domylnaczcionkaakapitu"/>
    <w:link w:val="Stopka"/>
    <w:uiPriority w:val="98"/>
    <w:semiHidden/>
    <w:rsid w:val="00C44F09"/>
    <w:rPr>
      <w:sz w:val="24"/>
      <w:szCs w:val="24"/>
      <w:lang w:val="pl-PL"/>
    </w:rPr>
  </w:style>
  <w:style w:type="character" w:styleId="Odwoanieprzypisudolnego">
    <w:name w:val="footnote reference"/>
    <w:basedOn w:val="Domylnaczcionkaakapitu"/>
    <w:uiPriority w:val="98"/>
    <w:semiHidden/>
    <w:rsid w:val="00C44F09"/>
    <w:rPr>
      <w:vertAlign w:val="superscript"/>
    </w:rPr>
  </w:style>
  <w:style w:type="paragraph" w:styleId="Tekstprzypisudolnego">
    <w:name w:val="footnote text"/>
    <w:basedOn w:val="Normalny"/>
    <w:link w:val="TekstprzypisudolnegoZnak"/>
    <w:uiPriority w:val="98"/>
    <w:semiHidden/>
    <w:rsid w:val="00C44F09"/>
    <w:rPr>
      <w:sz w:val="20"/>
      <w:szCs w:val="20"/>
    </w:rPr>
  </w:style>
  <w:style w:type="character" w:customStyle="1" w:styleId="TekstprzypisudolnegoZnak">
    <w:name w:val="Tekst przypisu dolnego Znak"/>
    <w:basedOn w:val="Domylnaczcionkaakapitu"/>
    <w:link w:val="Tekstprzypisudolnego"/>
    <w:uiPriority w:val="98"/>
    <w:semiHidden/>
    <w:rsid w:val="00C44F09"/>
    <w:rPr>
      <w:sz w:val="20"/>
      <w:szCs w:val="20"/>
      <w:lang w:val="pl-PL"/>
    </w:rPr>
  </w:style>
  <w:style w:type="character" w:customStyle="1" w:styleId="Nagwek6Znak">
    <w:name w:val="Nagłówek 6 Znak"/>
    <w:basedOn w:val="Domylnaczcionkaakapitu"/>
    <w:link w:val="Nagwek6"/>
    <w:uiPriority w:val="98"/>
    <w:semiHidden/>
    <w:rsid w:val="00C44F09"/>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C44F09"/>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C44F09"/>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C44F09"/>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C44F09"/>
    <w:rPr>
      <w:color w:val="0072BC" w:themeColor="hyperlink"/>
      <w:u w:val="single"/>
    </w:rPr>
  </w:style>
  <w:style w:type="character" w:styleId="Wyrnienieintensywne">
    <w:name w:val="Intense Emphasis"/>
    <w:uiPriority w:val="98"/>
    <w:semiHidden/>
    <w:qFormat/>
    <w:rsid w:val="00C44F09"/>
    <w:rPr>
      <w:b/>
      <w:bCs/>
    </w:rPr>
  </w:style>
  <w:style w:type="paragraph" w:styleId="Cytatintensywny">
    <w:name w:val="Intense Quote"/>
    <w:basedOn w:val="Normalny"/>
    <w:next w:val="Normalny"/>
    <w:link w:val="CytatintensywnyZnak"/>
    <w:uiPriority w:val="98"/>
    <w:semiHidden/>
    <w:qFormat/>
    <w:rsid w:val="00C44F09"/>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C44F09"/>
    <w:rPr>
      <w:b/>
      <w:bCs/>
      <w:i/>
      <w:iCs/>
      <w:sz w:val="24"/>
      <w:szCs w:val="24"/>
      <w:lang w:val="pl-PL" w:bidi="en-US"/>
    </w:rPr>
  </w:style>
  <w:style w:type="character" w:styleId="Odwoanieintensywne">
    <w:name w:val="Intense Reference"/>
    <w:uiPriority w:val="98"/>
    <w:semiHidden/>
    <w:qFormat/>
    <w:rsid w:val="00C44F09"/>
    <w:rPr>
      <w:smallCaps/>
      <w:spacing w:val="5"/>
      <w:u w:val="single"/>
    </w:rPr>
  </w:style>
  <w:style w:type="paragraph" w:styleId="Akapitzlist">
    <w:name w:val="List Paragraph"/>
    <w:basedOn w:val="Normalny"/>
    <w:uiPriority w:val="98"/>
    <w:semiHidden/>
    <w:qFormat/>
    <w:rsid w:val="00C44F09"/>
    <w:pPr>
      <w:ind w:left="720"/>
      <w:contextualSpacing/>
    </w:pPr>
  </w:style>
  <w:style w:type="table" w:customStyle="1" w:styleId="LtrTableAddress">
    <w:name w:val="Ltr_Table_Address"/>
    <w:aliases w:val="ECHR_Ltr_Table_Address"/>
    <w:basedOn w:val="Standardowy"/>
    <w:uiPriority w:val="99"/>
    <w:rsid w:val="00C44F09"/>
    <w:rPr>
      <w:sz w:val="24"/>
      <w:szCs w:val="24"/>
    </w:rPr>
    <w:tblPr>
      <w:tblInd w:w="5103" w:type="dxa"/>
    </w:tblPr>
  </w:style>
  <w:style w:type="paragraph" w:styleId="Cytat">
    <w:name w:val="Quote"/>
    <w:basedOn w:val="Normalny"/>
    <w:next w:val="Normalny"/>
    <w:link w:val="CytatZnak"/>
    <w:uiPriority w:val="98"/>
    <w:semiHidden/>
    <w:qFormat/>
    <w:rsid w:val="00C44F09"/>
    <w:pPr>
      <w:spacing w:before="200"/>
      <w:ind w:left="360" w:right="360"/>
    </w:pPr>
    <w:rPr>
      <w:i/>
      <w:iCs/>
      <w:lang w:bidi="en-US"/>
    </w:rPr>
  </w:style>
  <w:style w:type="character" w:customStyle="1" w:styleId="CytatZnak">
    <w:name w:val="Cytat Znak"/>
    <w:basedOn w:val="Domylnaczcionkaakapitu"/>
    <w:link w:val="Cytat"/>
    <w:uiPriority w:val="98"/>
    <w:semiHidden/>
    <w:rsid w:val="00C44F09"/>
    <w:rPr>
      <w:i/>
      <w:iCs/>
      <w:sz w:val="24"/>
      <w:szCs w:val="24"/>
      <w:lang w:val="pl-PL" w:bidi="en-US"/>
    </w:rPr>
  </w:style>
  <w:style w:type="character" w:styleId="Odwoaniedelikatne">
    <w:name w:val="Subtle Reference"/>
    <w:uiPriority w:val="98"/>
    <w:semiHidden/>
    <w:qFormat/>
    <w:rsid w:val="00C44F09"/>
    <w:rPr>
      <w:smallCaps/>
    </w:rPr>
  </w:style>
  <w:style w:type="table" w:styleId="Tabela-Siatka">
    <w:name w:val="Table Grid"/>
    <w:basedOn w:val="Standardowy"/>
    <w:uiPriority w:val="59"/>
    <w:semiHidden/>
    <w:rsid w:val="00C44F09"/>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C44F0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C44F0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C44F0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C44F09"/>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C44F0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C44F09"/>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C44F09"/>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C44F09"/>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C44F09"/>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C44F09"/>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C44F09"/>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C44F09"/>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C44F09"/>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C44F09"/>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C44F09"/>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C44F09"/>
    <w:pPr>
      <w:numPr>
        <w:numId w:val="2"/>
      </w:numPr>
    </w:pPr>
  </w:style>
  <w:style w:type="paragraph" w:customStyle="1" w:styleId="JuPara">
    <w:name w:val="Ju_Para"/>
    <w:aliases w:val="_Para"/>
    <w:basedOn w:val="NormalJustified"/>
    <w:link w:val="JuParaChar"/>
    <w:uiPriority w:val="4"/>
    <w:qFormat/>
    <w:rsid w:val="00C44F09"/>
    <w:pPr>
      <w:ind w:firstLine="284"/>
    </w:pPr>
  </w:style>
  <w:style w:type="numbering" w:styleId="1ai">
    <w:name w:val="Outline List 1"/>
    <w:basedOn w:val="Bezlisty"/>
    <w:uiPriority w:val="99"/>
    <w:semiHidden/>
    <w:unhideWhenUsed/>
    <w:rsid w:val="00C44F09"/>
    <w:pPr>
      <w:numPr>
        <w:numId w:val="3"/>
      </w:numPr>
    </w:pPr>
  </w:style>
  <w:style w:type="table" w:customStyle="1" w:styleId="ECHRTableSimpleBox">
    <w:name w:val="ECHR_Table_Simple_Box"/>
    <w:basedOn w:val="Standardowy"/>
    <w:uiPriority w:val="99"/>
    <w:rsid w:val="00C44F09"/>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C44F09"/>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C44F09"/>
    <w:pPr>
      <w:numPr>
        <w:numId w:val="4"/>
      </w:numPr>
    </w:pPr>
  </w:style>
  <w:style w:type="table" w:customStyle="1" w:styleId="ECHRTableForInternalUse">
    <w:name w:val="ECHR_Table_For_Internal_Use"/>
    <w:basedOn w:val="Standardowy"/>
    <w:uiPriority w:val="99"/>
    <w:rsid w:val="00C44F09"/>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44F09"/>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C44F09"/>
  </w:style>
  <w:style w:type="paragraph" w:styleId="Tekstblokowy">
    <w:name w:val="Block Text"/>
    <w:basedOn w:val="Normalny"/>
    <w:uiPriority w:val="98"/>
    <w:semiHidden/>
    <w:rsid w:val="00C44F0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C44F09"/>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C44F09"/>
    <w:pPr>
      <w:spacing w:after="120"/>
    </w:pPr>
  </w:style>
  <w:style w:type="character" w:customStyle="1" w:styleId="TekstpodstawowyZnak">
    <w:name w:val="Tekst podstawowy Znak"/>
    <w:basedOn w:val="Domylnaczcionkaakapitu"/>
    <w:link w:val="Tekstpodstawowy"/>
    <w:uiPriority w:val="98"/>
    <w:semiHidden/>
    <w:rsid w:val="00C44F09"/>
    <w:rPr>
      <w:sz w:val="24"/>
      <w:szCs w:val="24"/>
      <w:lang w:val="pl-PL"/>
    </w:rPr>
  </w:style>
  <w:style w:type="table" w:customStyle="1" w:styleId="ECHRTableOddBanded">
    <w:name w:val="ECHR_Table_Odd_Banded"/>
    <w:basedOn w:val="Standardowy"/>
    <w:uiPriority w:val="99"/>
    <w:rsid w:val="00C44F09"/>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C44F09"/>
    <w:pPr>
      <w:spacing w:after="120" w:line="480" w:lineRule="auto"/>
    </w:pPr>
  </w:style>
  <w:style w:type="table" w:customStyle="1" w:styleId="ECHRHeaderTableReduced">
    <w:name w:val="ECHR_Header_Table_Reduced"/>
    <w:basedOn w:val="Standardowy"/>
    <w:uiPriority w:val="99"/>
    <w:rsid w:val="00C44F09"/>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C44F09"/>
    <w:pPr>
      <w:ind w:firstLine="284"/>
    </w:pPr>
    <w:rPr>
      <w:b/>
    </w:rPr>
  </w:style>
  <w:style w:type="character" w:styleId="Numerstrony">
    <w:name w:val="page number"/>
    <w:uiPriority w:val="98"/>
    <w:semiHidden/>
    <w:rsid w:val="00C44F09"/>
    <w:rPr>
      <w:sz w:val="18"/>
    </w:rPr>
  </w:style>
  <w:style w:type="paragraph" w:styleId="Listapunktowana">
    <w:name w:val="List Bullet"/>
    <w:basedOn w:val="Normalny"/>
    <w:uiPriority w:val="98"/>
    <w:semiHidden/>
    <w:rsid w:val="00C44F09"/>
    <w:pPr>
      <w:numPr>
        <w:numId w:val="8"/>
      </w:numPr>
    </w:pPr>
  </w:style>
  <w:style w:type="paragraph" w:styleId="Listapunktowana3">
    <w:name w:val="List Bullet 3"/>
    <w:basedOn w:val="Normalny"/>
    <w:uiPriority w:val="98"/>
    <w:semiHidden/>
    <w:rsid w:val="00C44F09"/>
    <w:pPr>
      <w:numPr>
        <w:numId w:val="10"/>
      </w:numPr>
      <w:contextualSpacing/>
    </w:pPr>
  </w:style>
  <w:style w:type="character" w:customStyle="1" w:styleId="Tekstpodstawowy2Znak">
    <w:name w:val="Tekst podstawowy 2 Znak"/>
    <w:basedOn w:val="Domylnaczcionkaakapitu"/>
    <w:link w:val="Tekstpodstawowy2"/>
    <w:uiPriority w:val="98"/>
    <w:semiHidden/>
    <w:rsid w:val="00C44F09"/>
    <w:rPr>
      <w:sz w:val="24"/>
      <w:szCs w:val="24"/>
      <w:lang w:val="pl-PL"/>
    </w:rPr>
  </w:style>
  <w:style w:type="paragraph" w:styleId="Tekstpodstawowy3">
    <w:name w:val="Body Text 3"/>
    <w:basedOn w:val="Normalny"/>
    <w:link w:val="Tekstpodstawowy3Znak"/>
    <w:uiPriority w:val="98"/>
    <w:semiHidden/>
    <w:rsid w:val="00C44F09"/>
    <w:pPr>
      <w:spacing w:after="120"/>
    </w:pPr>
    <w:rPr>
      <w:sz w:val="16"/>
      <w:szCs w:val="16"/>
    </w:rPr>
  </w:style>
  <w:style w:type="character" w:customStyle="1" w:styleId="Tekstpodstawowy3Znak">
    <w:name w:val="Tekst podstawowy 3 Znak"/>
    <w:basedOn w:val="Domylnaczcionkaakapitu"/>
    <w:link w:val="Tekstpodstawowy3"/>
    <w:uiPriority w:val="98"/>
    <w:semiHidden/>
    <w:rsid w:val="00C44F09"/>
    <w:rPr>
      <w:sz w:val="16"/>
      <w:szCs w:val="16"/>
      <w:lang w:val="pl-PL"/>
    </w:rPr>
  </w:style>
  <w:style w:type="paragraph" w:styleId="Tekstpodstawowyzwciciem">
    <w:name w:val="Body Text First Indent"/>
    <w:basedOn w:val="Tekstpodstawowy"/>
    <w:link w:val="TekstpodstawowyzwciciemZnak"/>
    <w:uiPriority w:val="98"/>
    <w:semiHidden/>
    <w:rsid w:val="00C44F09"/>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C44F09"/>
    <w:rPr>
      <w:sz w:val="24"/>
      <w:szCs w:val="24"/>
      <w:lang w:val="pl-PL"/>
    </w:rPr>
  </w:style>
  <w:style w:type="paragraph" w:styleId="Tekstpodstawowywcity">
    <w:name w:val="Body Text Indent"/>
    <w:basedOn w:val="Normalny"/>
    <w:link w:val="TekstpodstawowywcityZnak"/>
    <w:uiPriority w:val="98"/>
    <w:semiHidden/>
    <w:rsid w:val="00C44F09"/>
    <w:pPr>
      <w:spacing w:after="120"/>
      <w:ind w:left="283"/>
    </w:pPr>
  </w:style>
  <w:style w:type="character" w:customStyle="1" w:styleId="TekstpodstawowywcityZnak">
    <w:name w:val="Tekst podstawowy wcięty Znak"/>
    <w:basedOn w:val="Domylnaczcionkaakapitu"/>
    <w:link w:val="Tekstpodstawowywcity"/>
    <w:uiPriority w:val="98"/>
    <w:semiHidden/>
    <w:rsid w:val="00C44F09"/>
    <w:rPr>
      <w:sz w:val="24"/>
      <w:szCs w:val="24"/>
      <w:lang w:val="pl-PL"/>
    </w:rPr>
  </w:style>
  <w:style w:type="paragraph" w:styleId="Tekstpodstawowyzwciciem2">
    <w:name w:val="Body Text First Indent 2"/>
    <w:basedOn w:val="Tekstpodstawowywcity"/>
    <w:link w:val="Tekstpodstawowyzwciciem2Znak"/>
    <w:uiPriority w:val="98"/>
    <w:semiHidden/>
    <w:rsid w:val="00C44F09"/>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C44F09"/>
    <w:rPr>
      <w:sz w:val="24"/>
      <w:szCs w:val="24"/>
      <w:lang w:val="pl-PL"/>
    </w:rPr>
  </w:style>
  <w:style w:type="paragraph" w:styleId="Tekstpodstawowywcity2">
    <w:name w:val="Body Text Indent 2"/>
    <w:basedOn w:val="Normalny"/>
    <w:link w:val="Tekstpodstawowywcity2Znak"/>
    <w:uiPriority w:val="98"/>
    <w:semiHidden/>
    <w:rsid w:val="00C44F09"/>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C44F09"/>
    <w:rPr>
      <w:sz w:val="24"/>
      <w:szCs w:val="24"/>
      <w:lang w:val="pl-PL"/>
    </w:rPr>
  </w:style>
  <w:style w:type="paragraph" w:styleId="Tekstpodstawowywcity3">
    <w:name w:val="Body Text Indent 3"/>
    <w:basedOn w:val="Normalny"/>
    <w:link w:val="Tekstpodstawowywcity3Znak"/>
    <w:uiPriority w:val="98"/>
    <w:semiHidden/>
    <w:rsid w:val="00C44F09"/>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C44F09"/>
    <w:rPr>
      <w:sz w:val="16"/>
      <w:szCs w:val="16"/>
      <w:lang w:val="pl-PL"/>
    </w:rPr>
  </w:style>
  <w:style w:type="paragraph" w:styleId="Legenda">
    <w:name w:val="caption"/>
    <w:basedOn w:val="Normalny"/>
    <w:next w:val="Normalny"/>
    <w:uiPriority w:val="98"/>
    <w:semiHidden/>
    <w:qFormat/>
    <w:rsid w:val="00C44F09"/>
    <w:pPr>
      <w:spacing w:after="200"/>
    </w:pPr>
    <w:rPr>
      <w:b/>
      <w:bCs/>
      <w:color w:val="0072BC" w:themeColor="accent1"/>
      <w:sz w:val="18"/>
      <w:szCs w:val="18"/>
    </w:rPr>
  </w:style>
  <w:style w:type="paragraph" w:styleId="Zwrotpoegnalny">
    <w:name w:val="Closing"/>
    <w:basedOn w:val="Normalny"/>
    <w:link w:val="ZwrotpoegnalnyZnak"/>
    <w:uiPriority w:val="98"/>
    <w:semiHidden/>
    <w:rsid w:val="00C44F09"/>
    <w:pPr>
      <w:ind w:left="4252"/>
    </w:pPr>
  </w:style>
  <w:style w:type="character" w:customStyle="1" w:styleId="ZwrotpoegnalnyZnak">
    <w:name w:val="Zwrot pożegnalny Znak"/>
    <w:basedOn w:val="Domylnaczcionkaakapitu"/>
    <w:link w:val="Zwrotpoegnalny"/>
    <w:uiPriority w:val="98"/>
    <w:semiHidden/>
    <w:rsid w:val="00C44F09"/>
    <w:rPr>
      <w:sz w:val="24"/>
      <w:szCs w:val="24"/>
      <w:lang w:val="pl-PL"/>
    </w:rPr>
  </w:style>
  <w:style w:type="table" w:styleId="Kolorowasiatka">
    <w:name w:val="Colorful Grid"/>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C44F09"/>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C44F09"/>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C44F09"/>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C44F09"/>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C44F09"/>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C44F09"/>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C44F09"/>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C44F09"/>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C44F09"/>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C44F09"/>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C44F09"/>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C44F09"/>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C44F09"/>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C44F09"/>
    <w:rPr>
      <w:sz w:val="16"/>
      <w:szCs w:val="16"/>
    </w:rPr>
  </w:style>
  <w:style w:type="paragraph" w:styleId="Tekstkomentarza">
    <w:name w:val="annotation text"/>
    <w:basedOn w:val="Normalny"/>
    <w:link w:val="TekstkomentarzaZnak"/>
    <w:uiPriority w:val="98"/>
    <w:semiHidden/>
    <w:rsid w:val="00C44F09"/>
    <w:rPr>
      <w:sz w:val="20"/>
      <w:szCs w:val="20"/>
    </w:rPr>
  </w:style>
  <w:style w:type="character" w:customStyle="1" w:styleId="TekstkomentarzaZnak">
    <w:name w:val="Tekst komentarza Znak"/>
    <w:basedOn w:val="Domylnaczcionkaakapitu"/>
    <w:link w:val="Tekstkomentarza"/>
    <w:uiPriority w:val="98"/>
    <w:semiHidden/>
    <w:rsid w:val="00C44F09"/>
    <w:rPr>
      <w:sz w:val="20"/>
      <w:szCs w:val="20"/>
      <w:lang w:val="pl-PL"/>
    </w:rPr>
  </w:style>
  <w:style w:type="paragraph" w:styleId="Tematkomentarza">
    <w:name w:val="annotation subject"/>
    <w:basedOn w:val="Tekstkomentarza"/>
    <w:next w:val="Tekstkomentarza"/>
    <w:link w:val="TematkomentarzaZnak"/>
    <w:uiPriority w:val="98"/>
    <w:semiHidden/>
    <w:rsid w:val="00C44F09"/>
    <w:rPr>
      <w:b/>
      <w:bCs/>
    </w:rPr>
  </w:style>
  <w:style w:type="character" w:customStyle="1" w:styleId="TematkomentarzaZnak">
    <w:name w:val="Temat komentarza Znak"/>
    <w:basedOn w:val="TekstkomentarzaZnak"/>
    <w:link w:val="Tematkomentarza"/>
    <w:uiPriority w:val="98"/>
    <w:semiHidden/>
    <w:rsid w:val="00C44F09"/>
    <w:rPr>
      <w:b/>
      <w:bCs/>
      <w:sz w:val="20"/>
      <w:szCs w:val="20"/>
      <w:lang w:val="pl-PL"/>
    </w:rPr>
  </w:style>
  <w:style w:type="table" w:styleId="Ciemnalista">
    <w:name w:val="Dark List"/>
    <w:basedOn w:val="Standardowy"/>
    <w:uiPriority w:val="70"/>
    <w:semiHidden/>
    <w:rsid w:val="00C44F09"/>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C44F09"/>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C44F09"/>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C44F09"/>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C44F09"/>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C44F09"/>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C44F09"/>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C44F09"/>
  </w:style>
  <w:style w:type="character" w:customStyle="1" w:styleId="DataZnak">
    <w:name w:val="Data Znak"/>
    <w:basedOn w:val="Domylnaczcionkaakapitu"/>
    <w:link w:val="Data"/>
    <w:uiPriority w:val="98"/>
    <w:semiHidden/>
    <w:rsid w:val="00C44F09"/>
    <w:rPr>
      <w:sz w:val="24"/>
      <w:szCs w:val="24"/>
      <w:lang w:val="pl-PL"/>
    </w:rPr>
  </w:style>
  <w:style w:type="paragraph" w:styleId="Mapadokumentu">
    <w:name w:val="Document Map"/>
    <w:basedOn w:val="Normalny"/>
    <w:link w:val="MapadokumentuZnak"/>
    <w:uiPriority w:val="98"/>
    <w:semiHidden/>
    <w:rsid w:val="00C44F09"/>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C44F09"/>
    <w:rPr>
      <w:rFonts w:ascii="Tahoma" w:hAnsi="Tahoma" w:cs="Tahoma"/>
      <w:sz w:val="16"/>
      <w:szCs w:val="16"/>
      <w:lang w:val="pl-PL"/>
    </w:rPr>
  </w:style>
  <w:style w:type="paragraph" w:styleId="Podpise-mail">
    <w:name w:val="E-mail Signature"/>
    <w:basedOn w:val="Normalny"/>
    <w:link w:val="Podpise-mailZnak"/>
    <w:uiPriority w:val="98"/>
    <w:semiHidden/>
    <w:rsid w:val="00C44F09"/>
  </w:style>
  <w:style w:type="character" w:customStyle="1" w:styleId="Podpise-mailZnak">
    <w:name w:val="Podpis e-mail Znak"/>
    <w:basedOn w:val="Domylnaczcionkaakapitu"/>
    <w:link w:val="Podpise-mail"/>
    <w:uiPriority w:val="98"/>
    <w:semiHidden/>
    <w:rsid w:val="00C44F09"/>
    <w:rPr>
      <w:sz w:val="24"/>
      <w:szCs w:val="24"/>
      <w:lang w:val="pl-PL"/>
    </w:rPr>
  </w:style>
  <w:style w:type="character" w:styleId="Odwoanieprzypisukocowego">
    <w:name w:val="endnote reference"/>
    <w:basedOn w:val="Domylnaczcionkaakapitu"/>
    <w:uiPriority w:val="98"/>
    <w:semiHidden/>
    <w:rsid w:val="00C44F09"/>
    <w:rPr>
      <w:vertAlign w:val="superscript"/>
    </w:rPr>
  </w:style>
  <w:style w:type="paragraph" w:styleId="Tekstprzypisukocowego">
    <w:name w:val="endnote text"/>
    <w:basedOn w:val="Normalny"/>
    <w:link w:val="TekstprzypisukocowegoZnak"/>
    <w:uiPriority w:val="98"/>
    <w:semiHidden/>
    <w:rsid w:val="00C44F09"/>
    <w:rPr>
      <w:sz w:val="20"/>
      <w:szCs w:val="20"/>
    </w:rPr>
  </w:style>
  <w:style w:type="character" w:customStyle="1" w:styleId="TekstprzypisukocowegoZnak">
    <w:name w:val="Tekst przypisu końcowego Znak"/>
    <w:basedOn w:val="Domylnaczcionkaakapitu"/>
    <w:link w:val="Tekstprzypisukocowego"/>
    <w:uiPriority w:val="98"/>
    <w:semiHidden/>
    <w:rsid w:val="00C44F09"/>
    <w:rPr>
      <w:sz w:val="20"/>
      <w:szCs w:val="20"/>
      <w:lang w:val="pl-PL"/>
    </w:rPr>
  </w:style>
  <w:style w:type="paragraph" w:styleId="Adresnakopercie">
    <w:name w:val="envelope address"/>
    <w:basedOn w:val="Normalny"/>
    <w:uiPriority w:val="98"/>
    <w:semiHidden/>
    <w:rsid w:val="00C44F09"/>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C44F09"/>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C44F09"/>
    <w:rPr>
      <w:color w:val="7030A0" w:themeColor="followedHyperlink"/>
      <w:u w:val="single"/>
    </w:rPr>
  </w:style>
  <w:style w:type="character" w:styleId="HTML-akronim">
    <w:name w:val="HTML Acronym"/>
    <w:basedOn w:val="Domylnaczcionkaakapitu"/>
    <w:uiPriority w:val="98"/>
    <w:semiHidden/>
    <w:rsid w:val="00C44F09"/>
  </w:style>
  <w:style w:type="paragraph" w:styleId="HTML-adres">
    <w:name w:val="HTML Address"/>
    <w:basedOn w:val="Normalny"/>
    <w:link w:val="HTML-adresZnak"/>
    <w:uiPriority w:val="98"/>
    <w:semiHidden/>
    <w:rsid w:val="00C44F09"/>
    <w:rPr>
      <w:i/>
      <w:iCs/>
    </w:rPr>
  </w:style>
  <w:style w:type="character" w:customStyle="1" w:styleId="HTML-adresZnak">
    <w:name w:val="HTML - adres Znak"/>
    <w:basedOn w:val="Domylnaczcionkaakapitu"/>
    <w:link w:val="HTML-adres"/>
    <w:uiPriority w:val="98"/>
    <w:semiHidden/>
    <w:rsid w:val="00C44F09"/>
    <w:rPr>
      <w:i/>
      <w:iCs/>
      <w:sz w:val="24"/>
      <w:szCs w:val="24"/>
      <w:lang w:val="pl-PL"/>
    </w:rPr>
  </w:style>
  <w:style w:type="character" w:styleId="HTML-cytat">
    <w:name w:val="HTML Cite"/>
    <w:basedOn w:val="Domylnaczcionkaakapitu"/>
    <w:uiPriority w:val="98"/>
    <w:semiHidden/>
    <w:rsid w:val="00C44F09"/>
    <w:rPr>
      <w:i/>
      <w:iCs/>
    </w:rPr>
  </w:style>
  <w:style w:type="character" w:styleId="HTML-kod">
    <w:name w:val="HTML Code"/>
    <w:basedOn w:val="Domylnaczcionkaakapitu"/>
    <w:uiPriority w:val="98"/>
    <w:semiHidden/>
    <w:rsid w:val="00C44F09"/>
    <w:rPr>
      <w:rFonts w:ascii="Consolas" w:hAnsi="Consolas" w:cs="Consolas"/>
      <w:sz w:val="20"/>
      <w:szCs w:val="20"/>
    </w:rPr>
  </w:style>
  <w:style w:type="character" w:styleId="HTML-definicja">
    <w:name w:val="HTML Definition"/>
    <w:basedOn w:val="Domylnaczcionkaakapitu"/>
    <w:uiPriority w:val="98"/>
    <w:semiHidden/>
    <w:rsid w:val="00C44F09"/>
    <w:rPr>
      <w:i/>
      <w:iCs/>
    </w:rPr>
  </w:style>
  <w:style w:type="character" w:styleId="HTML-klawiatura">
    <w:name w:val="HTML Keyboard"/>
    <w:basedOn w:val="Domylnaczcionkaakapitu"/>
    <w:uiPriority w:val="98"/>
    <w:semiHidden/>
    <w:rsid w:val="00C44F09"/>
    <w:rPr>
      <w:rFonts w:ascii="Consolas" w:hAnsi="Consolas" w:cs="Consolas"/>
      <w:sz w:val="20"/>
      <w:szCs w:val="20"/>
    </w:rPr>
  </w:style>
  <w:style w:type="paragraph" w:styleId="HTML-wstpniesformatowany">
    <w:name w:val="HTML Preformatted"/>
    <w:basedOn w:val="Normalny"/>
    <w:link w:val="HTML-wstpniesformatowanyZnak"/>
    <w:uiPriority w:val="98"/>
    <w:semiHidden/>
    <w:rsid w:val="00C44F09"/>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C44F09"/>
    <w:rPr>
      <w:rFonts w:ascii="Consolas" w:hAnsi="Consolas" w:cs="Consolas"/>
      <w:sz w:val="20"/>
      <w:szCs w:val="20"/>
      <w:lang w:val="pl-PL"/>
    </w:rPr>
  </w:style>
  <w:style w:type="character" w:styleId="HTML-przykad">
    <w:name w:val="HTML Sample"/>
    <w:basedOn w:val="Domylnaczcionkaakapitu"/>
    <w:uiPriority w:val="98"/>
    <w:semiHidden/>
    <w:rsid w:val="00C44F09"/>
    <w:rPr>
      <w:rFonts w:ascii="Consolas" w:hAnsi="Consolas" w:cs="Consolas"/>
      <w:sz w:val="24"/>
      <w:szCs w:val="24"/>
    </w:rPr>
  </w:style>
  <w:style w:type="character" w:styleId="HTML-staaszeroko">
    <w:name w:val="HTML Typewriter"/>
    <w:basedOn w:val="Domylnaczcionkaakapitu"/>
    <w:uiPriority w:val="98"/>
    <w:semiHidden/>
    <w:rsid w:val="00C44F09"/>
    <w:rPr>
      <w:rFonts w:ascii="Consolas" w:hAnsi="Consolas" w:cs="Consolas"/>
      <w:sz w:val="20"/>
      <w:szCs w:val="20"/>
    </w:rPr>
  </w:style>
  <w:style w:type="character" w:styleId="HTML-zmienna">
    <w:name w:val="HTML Variable"/>
    <w:basedOn w:val="Domylnaczcionkaakapitu"/>
    <w:uiPriority w:val="98"/>
    <w:semiHidden/>
    <w:rsid w:val="00C44F09"/>
    <w:rPr>
      <w:i/>
      <w:iCs/>
    </w:rPr>
  </w:style>
  <w:style w:type="paragraph" w:styleId="Indeks1">
    <w:name w:val="index 1"/>
    <w:basedOn w:val="Normalny"/>
    <w:next w:val="Normalny"/>
    <w:autoRedefine/>
    <w:uiPriority w:val="98"/>
    <w:semiHidden/>
    <w:rsid w:val="00C44F09"/>
    <w:pPr>
      <w:ind w:left="240" w:hanging="240"/>
    </w:pPr>
  </w:style>
  <w:style w:type="paragraph" w:styleId="Indeks2">
    <w:name w:val="index 2"/>
    <w:basedOn w:val="Normalny"/>
    <w:next w:val="Normalny"/>
    <w:autoRedefine/>
    <w:uiPriority w:val="98"/>
    <w:semiHidden/>
    <w:rsid w:val="00C44F09"/>
    <w:pPr>
      <w:ind w:left="480" w:hanging="240"/>
    </w:pPr>
  </w:style>
  <w:style w:type="paragraph" w:styleId="Indeks3">
    <w:name w:val="index 3"/>
    <w:basedOn w:val="Normalny"/>
    <w:next w:val="Normalny"/>
    <w:autoRedefine/>
    <w:uiPriority w:val="98"/>
    <w:semiHidden/>
    <w:rsid w:val="00C44F09"/>
    <w:pPr>
      <w:ind w:left="720" w:hanging="240"/>
    </w:pPr>
  </w:style>
  <w:style w:type="paragraph" w:styleId="Indeks4">
    <w:name w:val="index 4"/>
    <w:basedOn w:val="Normalny"/>
    <w:next w:val="Normalny"/>
    <w:autoRedefine/>
    <w:uiPriority w:val="98"/>
    <w:semiHidden/>
    <w:rsid w:val="00C44F09"/>
    <w:pPr>
      <w:ind w:left="960" w:hanging="240"/>
    </w:pPr>
  </w:style>
  <w:style w:type="paragraph" w:styleId="Indeks5">
    <w:name w:val="index 5"/>
    <w:basedOn w:val="Normalny"/>
    <w:next w:val="Normalny"/>
    <w:autoRedefine/>
    <w:uiPriority w:val="98"/>
    <w:semiHidden/>
    <w:rsid w:val="00C44F09"/>
    <w:pPr>
      <w:ind w:left="1200" w:hanging="240"/>
    </w:pPr>
  </w:style>
  <w:style w:type="paragraph" w:styleId="Indeks6">
    <w:name w:val="index 6"/>
    <w:basedOn w:val="Normalny"/>
    <w:next w:val="Normalny"/>
    <w:autoRedefine/>
    <w:uiPriority w:val="98"/>
    <w:semiHidden/>
    <w:rsid w:val="00C44F09"/>
    <w:pPr>
      <w:ind w:left="1440" w:hanging="240"/>
    </w:pPr>
  </w:style>
  <w:style w:type="paragraph" w:styleId="Indeks7">
    <w:name w:val="index 7"/>
    <w:basedOn w:val="Normalny"/>
    <w:next w:val="Normalny"/>
    <w:autoRedefine/>
    <w:uiPriority w:val="98"/>
    <w:semiHidden/>
    <w:rsid w:val="00C44F09"/>
    <w:pPr>
      <w:ind w:left="1680" w:hanging="240"/>
    </w:pPr>
  </w:style>
  <w:style w:type="paragraph" w:styleId="Indeks8">
    <w:name w:val="index 8"/>
    <w:basedOn w:val="Normalny"/>
    <w:next w:val="Normalny"/>
    <w:autoRedefine/>
    <w:uiPriority w:val="98"/>
    <w:semiHidden/>
    <w:rsid w:val="00C44F09"/>
    <w:pPr>
      <w:ind w:left="1920" w:hanging="240"/>
    </w:pPr>
  </w:style>
  <w:style w:type="paragraph" w:styleId="Indeks9">
    <w:name w:val="index 9"/>
    <w:basedOn w:val="Normalny"/>
    <w:next w:val="Normalny"/>
    <w:autoRedefine/>
    <w:uiPriority w:val="98"/>
    <w:semiHidden/>
    <w:rsid w:val="00C44F09"/>
    <w:pPr>
      <w:ind w:left="2160" w:hanging="240"/>
    </w:pPr>
  </w:style>
  <w:style w:type="paragraph" w:styleId="Nagwekindeksu">
    <w:name w:val="index heading"/>
    <w:basedOn w:val="Normalny"/>
    <w:next w:val="Indeks1"/>
    <w:uiPriority w:val="98"/>
    <w:semiHidden/>
    <w:rsid w:val="00C44F09"/>
    <w:rPr>
      <w:rFonts w:asciiTheme="majorHAnsi" w:eastAsiaTheme="majorEastAsia" w:hAnsiTheme="majorHAnsi" w:cstheme="majorBidi"/>
      <w:b/>
      <w:bCs/>
    </w:rPr>
  </w:style>
  <w:style w:type="table" w:styleId="Jasnasiatka">
    <w:name w:val="Light Grid"/>
    <w:basedOn w:val="Standardowy"/>
    <w:uiPriority w:val="62"/>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C44F09"/>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C44F09"/>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C44F09"/>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C44F09"/>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C44F09"/>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C44F09"/>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C44F09"/>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C44F09"/>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C44F09"/>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C44F09"/>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C44F09"/>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C44F09"/>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C44F09"/>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C44F09"/>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C44F09"/>
  </w:style>
  <w:style w:type="paragraph" w:styleId="Lista">
    <w:name w:val="List"/>
    <w:basedOn w:val="Normalny"/>
    <w:uiPriority w:val="98"/>
    <w:semiHidden/>
    <w:rsid w:val="00C44F09"/>
    <w:pPr>
      <w:ind w:left="283" w:hanging="283"/>
      <w:contextualSpacing/>
    </w:pPr>
  </w:style>
  <w:style w:type="paragraph" w:styleId="Lista2">
    <w:name w:val="List 2"/>
    <w:basedOn w:val="Normalny"/>
    <w:uiPriority w:val="98"/>
    <w:semiHidden/>
    <w:rsid w:val="00C44F09"/>
    <w:pPr>
      <w:ind w:left="566" w:hanging="283"/>
      <w:contextualSpacing/>
    </w:pPr>
  </w:style>
  <w:style w:type="paragraph" w:styleId="Lista3">
    <w:name w:val="List 3"/>
    <w:basedOn w:val="Normalny"/>
    <w:uiPriority w:val="98"/>
    <w:semiHidden/>
    <w:rsid w:val="00C44F09"/>
    <w:pPr>
      <w:ind w:left="849" w:hanging="283"/>
      <w:contextualSpacing/>
    </w:pPr>
  </w:style>
  <w:style w:type="paragraph" w:styleId="Lista4">
    <w:name w:val="List 4"/>
    <w:basedOn w:val="Normalny"/>
    <w:uiPriority w:val="98"/>
    <w:semiHidden/>
    <w:rsid w:val="00C44F09"/>
    <w:pPr>
      <w:ind w:left="1132" w:hanging="283"/>
      <w:contextualSpacing/>
    </w:pPr>
  </w:style>
  <w:style w:type="paragraph" w:styleId="Lista5">
    <w:name w:val="List 5"/>
    <w:basedOn w:val="Normalny"/>
    <w:uiPriority w:val="98"/>
    <w:semiHidden/>
    <w:rsid w:val="00C44F09"/>
    <w:pPr>
      <w:ind w:left="1415" w:hanging="283"/>
      <w:contextualSpacing/>
    </w:pPr>
  </w:style>
  <w:style w:type="paragraph" w:styleId="Listapunktowana2">
    <w:name w:val="List Bullet 2"/>
    <w:basedOn w:val="Normalny"/>
    <w:uiPriority w:val="98"/>
    <w:semiHidden/>
    <w:rsid w:val="00C44F09"/>
    <w:pPr>
      <w:numPr>
        <w:numId w:val="9"/>
      </w:numPr>
      <w:contextualSpacing/>
    </w:pPr>
  </w:style>
  <w:style w:type="paragraph" w:styleId="Listapunktowana4">
    <w:name w:val="List Bullet 4"/>
    <w:basedOn w:val="Normalny"/>
    <w:uiPriority w:val="98"/>
    <w:semiHidden/>
    <w:rsid w:val="00C44F09"/>
    <w:pPr>
      <w:numPr>
        <w:numId w:val="11"/>
      </w:numPr>
      <w:contextualSpacing/>
    </w:pPr>
  </w:style>
  <w:style w:type="paragraph" w:styleId="Listapunktowana5">
    <w:name w:val="List Bullet 5"/>
    <w:basedOn w:val="Normalny"/>
    <w:uiPriority w:val="98"/>
    <w:semiHidden/>
    <w:rsid w:val="00C44F09"/>
    <w:pPr>
      <w:numPr>
        <w:numId w:val="12"/>
      </w:numPr>
      <w:contextualSpacing/>
    </w:pPr>
  </w:style>
  <w:style w:type="paragraph" w:styleId="Lista-kontynuacja">
    <w:name w:val="List Continue"/>
    <w:basedOn w:val="Normalny"/>
    <w:uiPriority w:val="98"/>
    <w:semiHidden/>
    <w:rsid w:val="00C44F09"/>
    <w:pPr>
      <w:spacing w:after="120"/>
      <w:ind w:left="283"/>
      <w:contextualSpacing/>
    </w:pPr>
  </w:style>
  <w:style w:type="paragraph" w:styleId="Lista-kontynuacja2">
    <w:name w:val="List Continue 2"/>
    <w:basedOn w:val="Normalny"/>
    <w:uiPriority w:val="98"/>
    <w:semiHidden/>
    <w:rsid w:val="00C44F09"/>
    <w:pPr>
      <w:spacing w:after="120"/>
      <w:ind w:left="566"/>
      <w:contextualSpacing/>
    </w:pPr>
  </w:style>
  <w:style w:type="paragraph" w:styleId="Lista-kontynuacja3">
    <w:name w:val="List Continue 3"/>
    <w:basedOn w:val="Normalny"/>
    <w:uiPriority w:val="98"/>
    <w:semiHidden/>
    <w:rsid w:val="00C44F09"/>
    <w:pPr>
      <w:spacing w:after="120"/>
      <w:ind w:left="849"/>
      <w:contextualSpacing/>
    </w:pPr>
  </w:style>
  <w:style w:type="paragraph" w:styleId="Lista-kontynuacja4">
    <w:name w:val="List Continue 4"/>
    <w:basedOn w:val="Normalny"/>
    <w:uiPriority w:val="98"/>
    <w:semiHidden/>
    <w:rsid w:val="00C44F09"/>
    <w:pPr>
      <w:spacing w:after="120"/>
      <w:ind w:left="1132"/>
      <w:contextualSpacing/>
    </w:pPr>
  </w:style>
  <w:style w:type="paragraph" w:styleId="Lista-kontynuacja5">
    <w:name w:val="List Continue 5"/>
    <w:basedOn w:val="Normalny"/>
    <w:uiPriority w:val="98"/>
    <w:semiHidden/>
    <w:rsid w:val="00C44F09"/>
    <w:pPr>
      <w:spacing w:after="120"/>
      <w:ind w:left="1415"/>
      <w:contextualSpacing/>
    </w:pPr>
  </w:style>
  <w:style w:type="paragraph" w:styleId="Listanumerowana">
    <w:name w:val="List Number"/>
    <w:basedOn w:val="Normalny"/>
    <w:uiPriority w:val="98"/>
    <w:semiHidden/>
    <w:rsid w:val="00C44F09"/>
    <w:pPr>
      <w:numPr>
        <w:numId w:val="13"/>
      </w:numPr>
      <w:contextualSpacing/>
    </w:pPr>
  </w:style>
  <w:style w:type="paragraph" w:styleId="Listanumerowana2">
    <w:name w:val="List Number 2"/>
    <w:basedOn w:val="Normalny"/>
    <w:uiPriority w:val="98"/>
    <w:semiHidden/>
    <w:rsid w:val="00C44F09"/>
    <w:pPr>
      <w:numPr>
        <w:numId w:val="14"/>
      </w:numPr>
      <w:contextualSpacing/>
    </w:pPr>
  </w:style>
  <w:style w:type="paragraph" w:styleId="Listanumerowana3">
    <w:name w:val="List Number 3"/>
    <w:basedOn w:val="Normalny"/>
    <w:uiPriority w:val="98"/>
    <w:semiHidden/>
    <w:rsid w:val="00C44F09"/>
    <w:pPr>
      <w:numPr>
        <w:numId w:val="15"/>
      </w:numPr>
      <w:contextualSpacing/>
    </w:pPr>
  </w:style>
  <w:style w:type="paragraph" w:styleId="Listanumerowana4">
    <w:name w:val="List Number 4"/>
    <w:basedOn w:val="Normalny"/>
    <w:uiPriority w:val="98"/>
    <w:semiHidden/>
    <w:rsid w:val="00C44F09"/>
    <w:pPr>
      <w:numPr>
        <w:numId w:val="16"/>
      </w:numPr>
      <w:contextualSpacing/>
    </w:pPr>
  </w:style>
  <w:style w:type="paragraph" w:styleId="Listanumerowana5">
    <w:name w:val="List Number 5"/>
    <w:basedOn w:val="Normalny"/>
    <w:uiPriority w:val="98"/>
    <w:semiHidden/>
    <w:rsid w:val="00C44F09"/>
    <w:pPr>
      <w:numPr>
        <w:numId w:val="17"/>
      </w:numPr>
      <w:contextualSpacing/>
    </w:pPr>
  </w:style>
  <w:style w:type="paragraph" w:styleId="Tekstmakra">
    <w:name w:val="macro"/>
    <w:link w:val="TekstmakraZnak"/>
    <w:uiPriority w:val="98"/>
    <w:semiHidden/>
    <w:rsid w:val="00C44F0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C44F09"/>
    <w:rPr>
      <w:rFonts w:ascii="Consolas" w:eastAsiaTheme="minorEastAsia" w:hAnsi="Consolas" w:cs="Consolas"/>
      <w:sz w:val="20"/>
      <w:szCs w:val="20"/>
    </w:rPr>
  </w:style>
  <w:style w:type="table" w:styleId="redniasiatka1">
    <w:name w:val="Medium Grid 1"/>
    <w:basedOn w:val="Standardowy"/>
    <w:uiPriority w:val="67"/>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C44F09"/>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C44F09"/>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C44F09"/>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C44F09"/>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C44F09"/>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C44F09"/>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C44F09"/>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C44F09"/>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C44F09"/>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C44F09"/>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C44F09"/>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C44F09"/>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C44F09"/>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C44F09"/>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C44F09"/>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C44F09"/>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C44F09"/>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C44F0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C44F09"/>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C44F09"/>
    <w:rPr>
      <w:rFonts w:ascii="Times New Roman" w:hAnsi="Times New Roman" w:cs="Times New Roman"/>
    </w:rPr>
  </w:style>
  <w:style w:type="paragraph" w:styleId="Wcicienormalne">
    <w:name w:val="Normal Indent"/>
    <w:basedOn w:val="Normalny"/>
    <w:uiPriority w:val="98"/>
    <w:semiHidden/>
    <w:rsid w:val="00C44F09"/>
    <w:pPr>
      <w:ind w:left="720"/>
    </w:pPr>
  </w:style>
  <w:style w:type="paragraph" w:styleId="Nagweknotatki">
    <w:name w:val="Note Heading"/>
    <w:basedOn w:val="Normalny"/>
    <w:next w:val="Normalny"/>
    <w:link w:val="NagweknotatkiZnak"/>
    <w:uiPriority w:val="98"/>
    <w:semiHidden/>
    <w:rsid w:val="00C44F09"/>
  </w:style>
  <w:style w:type="character" w:customStyle="1" w:styleId="NagweknotatkiZnak">
    <w:name w:val="Nagłówek notatki Znak"/>
    <w:basedOn w:val="Domylnaczcionkaakapitu"/>
    <w:link w:val="Nagweknotatki"/>
    <w:uiPriority w:val="98"/>
    <w:semiHidden/>
    <w:rsid w:val="00C44F09"/>
    <w:rPr>
      <w:sz w:val="24"/>
      <w:szCs w:val="24"/>
      <w:lang w:val="pl-PL"/>
    </w:rPr>
  </w:style>
  <w:style w:type="character" w:styleId="Tekstzastpczy">
    <w:name w:val="Placeholder Text"/>
    <w:basedOn w:val="Domylnaczcionkaakapitu"/>
    <w:uiPriority w:val="98"/>
    <w:semiHidden/>
    <w:rsid w:val="00C44F09"/>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C44F09"/>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C44F09"/>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C44F09"/>
  </w:style>
  <w:style w:type="character" w:customStyle="1" w:styleId="ZwrotgrzecznociowyZnak">
    <w:name w:val="Zwrot grzecznościowy Znak"/>
    <w:basedOn w:val="Domylnaczcionkaakapitu"/>
    <w:link w:val="Zwrotgrzecznociowy"/>
    <w:uiPriority w:val="98"/>
    <w:semiHidden/>
    <w:rsid w:val="00C44F09"/>
    <w:rPr>
      <w:sz w:val="24"/>
      <w:szCs w:val="24"/>
      <w:lang w:val="pl-PL"/>
    </w:rPr>
  </w:style>
  <w:style w:type="paragraph" w:styleId="Podpis">
    <w:name w:val="Signature"/>
    <w:basedOn w:val="Normalny"/>
    <w:link w:val="PodpisZnak"/>
    <w:uiPriority w:val="98"/>
    <w:semiHidden/>
    <w:rsid w:val="00C44F09"/>
    <w:pPr>
      <w:ind w:left="4252"/>
    </w:pPr>
  </w:style>
  <w:style w:type="character" w:customStyle="1" w:styleId="PodpisZnak">
    <w:name w:val="Podpis Znak"/>
    <w:basedOn w:val="Domylnaczcionkaakapitu"/>
    <w:link w:val="Podpis"/>
    <w:uiPriority w:val="98"/>
    <w:semiHidden/>
    <w:rsid w:val="00C44F09"/>
    <w:rPr>
      <w:sz w:val="24"/>
      <w:szCs w:val="24"/>
      <w:lang w:val="pl-PL"/>
    </w:rPr>
  </w:style>
  <w:style w:type="table" w:styleId="Tabela-Efekty3W1">
    <w:name w:val="Table 3D effects 1"/>
    <w:basedOn w:val="Standardowy"/>
    <w:uiPriority w:val="99"/>
    <w:semiHidden/>
    <w:unhideWhenUsed/>
    <w:rsid w:val="00C44F09"/>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C44F09"/>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C44F09"/>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C44F09"/>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C44F09"/>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C44F09"/>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C44F09"/>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C44F09"/>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C44F09"/>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C44F09"/>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C44F09"/>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C44F09"/>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C44F09"/>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C44F09"/>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C44F09"/>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C44F09"/>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C44F09"/>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C44F09"/>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C44F09"/>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C44F09"/>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C44F09"/>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C44F09"/>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C44F09"/>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C44F09"/>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C44F09"/>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C44F09"/>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C44F09"/>
    <w:pPr>
      <w:ind w:left="240" w:hanging="240"/>
    </w:pPr>
  </w:style>
  <w:style w:type="paragraph" w:styleId="Spisilustracji">
    <w:name w:val="table of figures"/>
    <w:basedOn w:val="Normalny"/>
    <w:next w:val="Normalny"/>
    <w:uiPriority w:val="98"/>
    <w:semiHidden/>
    <w:rsid w:val="00C44F09"/>
  </w:style>
  <w:style w:type="table" w:styleId="Tabela-Profesjonalny">
    <w:name w:val="Table Professional"/>
    <w:basedOn w:val="Standardowy"/>
    <w:uiPriority w:val="99"/>
    <w:semiHidden/>
    <w:unhideWhenUsed/>
    <w:rsid w:val="00C44F09"/>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C44F09"/>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C44F09"/>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C44F09"/>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C44F09"/>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C44F09"/>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C44F09"/>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C44F09"/>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C44F09"/>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C44F09"/>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C44F0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C44F0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C44F09"/>
    <w:pPr>
      <w:spacing w:after="100"/>
      <w:ind w:left="1680"/>
    </w:pPr>
  </w:style>
  <w:style w:type="paragraph" w:styleId="Spistreci9">
    <w:name w:val="toc 9"/>
    <w:basedOn w:val="Normalny"/>
    <w:next w:val="Normalny"/>
    <w:autoRedefine/>
    <w:uiPriority w:val="98"/>
    <w:semiHidden/>
    <w:rsid w:val="00C44F09"/>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C44F09"/>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C44F09"/>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C44F09"/>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C44F09"/>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C44F09"/>
    <w:pPr>
      <w:numPr>
        <w:numId w:val="5"/>
      </w:numPr>
      <w:spacing w:before="60" w:after="60"/>
    </w:pPr>
  </w:style>
  <w:style w:type="paragraph" w:customStyle="1" w:styleId="ECHRBullet2">
    <w:name w:val="ECHR_Bullet_2"/>
    <w:aliases w:val="_Bul_2"/>
    <w:basedOn w:val="ECHRBullet1"/>
    <w:uiPriority w:val="23"/>
    <w:semiHidden/>
    <w:rsid w:val="00C44F09"/>
    <w:pPr>
      <w:numPr>
        <w:ilvl w:val="1"/>
      </w:numPr>
    </w:pPr>
  </w:style>
  <w:style w:type="paragraph" w:customStyle="1" w:styleId="ECHRBullet3">
    <w:name w:val="ECHR_Bullet_3"/>
    <w:aliases w:val="_Bul_3"/>
    <w:basedOn w:val="ECHRBullet2"/>
    <w:uiPriority w:val="23"/>
    <w:semiHidden/>
    <w:rsid w:val="00C44F09"/>
    <w:pPr>
      <w:numPr>
        <w:ilvl w:val="2"/>
      </w:numPr>
    </w:pPr>
  </w:style>
  <w:style w:type="paragraph" w:customStyle="1" w:styleId="ECHRBullet4">
    <w:name w:val="ECHR_Bullet_4"/>
    <w:aliases w:val="_Bul_4"/>
    <w:basedOn w:val="ECHRBullet3"/>
    <w:uiPriority w:val="23"/>
    <w:semiHidden/>
    <w:rsid w:val="00C44F09"/>
    <w:pPr>
      <w:numPr>
        <w:ilvl w:val="3"/>
      </w:numPr>
    </w:pPr>
  </w:style>
  <w:style w:type="paragraph" w:customStyle="1" w:styleId="ECHRConfidential">
    <w:name w:val="ECHR_Confidential"/>
    <w:aliases w:val="_Confidential"/>
    <w:basedOn w:val="Normalny"/>
    <w:next w:val="Normalny"/>
    <w:uiPriority w:val="42"/>
    <w:semiHidden/>
    <w:qFormat/>
    <w:rsid w:val="00C44F09"/>
    <w:pPr>
      <w:jc w:val="right"/>
    </w:pPr>
    <w:rPr>
      <w:color w:val="C00000"/>
      <w:sz w:val="20"/>
    </w:rPr>
  </w:style>
  <w:style w:type="paragraph" w:customStyle="1" w:styleId="ECHRDecisionBody">
    <w:name w:val="ECHR_Decision_Body"/>
    <w:aliases w:val="_Decision_Body"/>
    <w:basedOn w:val="NormalJustified"/>
    <w:uiPriority w:val="54"/>
    <w:semiHidden/>
    <w:rsid w:val="00C44F09"/>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C44F09"/>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C44F09"/>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C44F09"/>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C44F09"/>
    <w:pPr>
      <w:jc w:val="right"/>
    </w:pPr>
    <w:rPr>
      <w:sz w:val="20"/>
    </w:rPr>
  </w:style>
  <w:style w:type="paragraph" w:customStyle="1" w:styleId="ECHRHeaderRefIt">
    <w:name w:val="ECHR_Header_Ref_It"/>
    <w:aliases w:val="_Ref_Ital"/>
    <w:basedOn w:val="Normalny"/>
    <w:next w:val="ECHRHeaderDate"/>
    <w:uiPriority w:val="43"/>
    <w:semiHidden/>
    <w:qFormat/>
    <w:rsid w:val="00C44F09"/>
    <w:pPr>
      <w:jc w:val="right"/>
    </w:pPr>
    <w:rPr>
      <w:i/>
      <w:sz w:val="20"/>
    </w:rPr>
  </w:style>
  <w:style w:type="paragraph" w:customStyle="1" w:styleId="ECHRHeading9">
    <w:name w:val="ECHR_Heading_9"/>
    <w:aliases w:val="_Head_9"/>
    <w:basedOn w:val="Nagwek9"/>
    <w:uiPriority w:val="17"/>
    <w:semiHidden/>
    <w:rsid w:val="00C44F09"/>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C44F09"/>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C44F09"/>
    <w:pPr>
      <w:numPr>
        <w:numId w:val="7"/>
      </w:numPr>
      <w:spacing w:before="60" w:after="60"/>
    </w:pPr>
  </w:style>
  <w:style w:type="paragraph" w:customStyle="1" w:styleId="ECHRNumberedList2">
    <w:name w:val="ECHR_Numbered_List_2"/>
    <w:aliases w:val="_Num_2"/>
    <w:basedOn w:val="ECHRNumberedList1"/>
    <w:uiPriority w:val="23"/>
    <w:semiHidden/>
    <w:rsid w:val="00C44F09"/>
    <w:pPr>
      <w:numPr>
        <w:ilvl w:val="1"/>
      </w:numPr>
    </w:pPr>
  </w:style>
  <w:style w:type="paragraph" w:customStyle="1" w:styleId="ECHRNumberedList3">
    <w:name w:val="ECHR_Numbered_List_3"/>
    <w:aliases w:val="_Num_3"/>
    <w:basedOn w:val="ECHRNumberedList2"/>
    <w:uiPriority w:val="23"/>
    <w:semiHidden/>
    <w:rsid w:val="00C44F09"/>
    <w:pPr>
      <w:numPr>
        <w:ilvl w:val="2"/>
      </w:numPr>
    </w:pPr>
  </w:style>
  <w:style w:type="paragraph" w:customStyle="1" w:styleId="ECHRParaHanging">
    <w:name w:val="ECHR_Para_Hanging"/>
    <w:aliases w:val="_Hanging"/>
    <w:basedOn w:val="Normalny"/>
    <w:uiPriority w:val="8"/>
    <w:semiHidden/>
    <w:qFormat/>
    <w:rsid w:val="00C44F09"/>
    <w:pPr>
      <w:ind w:left="567" w:hanging="567"/>
      <w:jc w:val="both"/>
    </w:pPr>
  </w:style>
  <w:style w:type="paragraph" w:customStyle="1" w:styleId="ECHRParaIndent">
    <w:name w:val="ECHR_Para_Indent"/>
    <w:aliases w:val="_Indent"/>
    <w:basedOn w:val="Normalny"/>
    <w:uiPriority w:val="7"/>
    <w:semiHidden/>
    <w:qFormat/>
    <w:rsid w:val="00C44F09"/>
    <w:pPr>
      <w:spacing w:before="120" w:after="120"/>
      <w:ind w:left="284"/>
      <w:jc w:val="both"/>
    </w:pPr>
  </w:style>
  <w:style w:type="character" w:customStyle="1" w:styleId="ECHRRed">
    <w:name w:val="ECHR_Red"/>
    <w:aliases w:val="_Red"/>
    <w:basedOn w:val="Domylnaczcionkaakapitu"/>
    <w:uiPriority w:val="15"/>
    <w:semiHidden/>
    <w:qFormat/>
    <w:rsid w:val="00C44F09"/>
    <w:rPr>
      <w:color w:val="C00000" w:themeColor="accent2"/>
    </w:rPr>
  </w:style>
  <w:style w:type="paragraph" w:customStyle="1" w:styleId="DecList">
    <w:name w:val="Dec_List"/>
    <w:aliases w:val="_List"/>
    <w:basedOn w:val="JuList"/>
    <w:uiPriority w:val="22"/>
    <w:rsid w:val="00C44F09"/>
    <w:pPr>
      <w:numPr>
        <w:numId w:val="0"/>
      </w:numPr>
      <w:ind w:left="284"/>
    </w:pPr>
  </w:style>
  <w:style w:type="table" w:customStyle="1" w:styleId="ECHRTable2">
    <w:name w:val="ECHR_Table_2"/>
    <w:basedOn w:val="Standardowy"/>
    <w:uiPriority w:val="99"/>
    <w:rsid w:val="00C44F09"/>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C44F09"/>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C44F09"/>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C44F09"/>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C44F09"/>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C44F09"/>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C44F09"/>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C44F09"/>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C44F09"/>
    <w:pPr>
      <w:outlineLvl w:val="0"/>
    </w:pPr>
  </w:style>
  <w:style w:type="paragraph" w:customStyle="1" w:styleId="ECHRTitleTOC1">
    <w:name w:val="ECHR_Title_TOC_1"/>
    <w:aliases w:val="_Title_L_TOC"/>
    <w:basedOn w:val="ECHRTitle1"/>
    <w:next w:val="Normalny"/>
    <w:uiPriority w:val="27"/>
    <w:semiHidden/>
    <w:qFormat/>
    <w:rsid w:val="00C44F09"/>
    <w:pPr>
      <w:outlineLvl w:val="0"/>
    </w:pPr>
  </w:style>
  <w:style w:type="paragraph" w:customStyle="1" w:styleId="ECHRPlaceholder">
    <w:name w:val="ECHR_Placeholder"/>
    <w:aliases w:val="_Placeholder"/>
    <w:basedOn w:val="JuSigned"/>
    <w:uiPriority w:val="31"/>
    <w:rsid w:val="00C44F09"/>
    <w:rPr>
      <w:color w:val="FFFFFF"/>
    </w:rPr>
  </w:style>
  <w:style w:type="paragraph" w:customStyle="1" w:styleId="ECHRSpacer">
    <w:name w:val="ECHR_Spacer"/>
    <w:aliases w:val="_Spacer"/>
    <w:basedOn w:val="Normalny"/>
    <w:uiPriority w:val="45"/>
    <w:semiHidden/>
    <w:rsid w:val="00C44F09"/>
    <w:rPr>
      <w:sz w:val="4"/>
    </w:rPr>
  </w:style>
  <w:style w:type="table" w:customStyle="1" w:styleId="ECHRTableGrey">
    <w:name w:val="ECHR_Table_Grey"/>
    <w:basedOn w:val="Standardowy"/>
    <w:uiPriority w:val="99"/>
    <w:rsid w:val="00C44F09"/>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7B4C2D"/>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32849">
      <w:bodyDiv w:val="1"/>
      <w:marLeft w:val="0"/>
      <w:marRight w:val="0"/>
      <w:marTop w:val="0"/>
      <w:marBottom w:val="0"/>
      <w:divBdr>
        <w:top w:val="none" w:sz="0" w:space="0" w:color="auto"/>
        <w:left w:val="none" w:sz="0" w:space="0" w:color="auto"/>
        <w:bottom w:val="none" w:sz="0" w:space="0" w:color="auto"/>
        <w:right w:val="none" w:sz="0" w:space="0" w:color="auto"/>
      </w:divBdr>
      <w:divsChild>
        <w:div w:id="710571570">
          <w:marLeft w:val="0"/>
          <w:marRight w:val="0"/>
          <w:marTop w:val="0"/>
          <w:marBottom w:val="0"/>
          <w:divBdr>
            <w:top w:val="none" w:sz="0" w:space="0" w:color="auto"/>
            <w:left w:val="none" w:sz="0" w:space="0" w:color="auto"/>
            <w:bottom w:val="none" w:sz="0" w:space="0" w:color="auto"/>
            <w:right w:val="none" w:sz="0" w:space="0" w:color="auto"/>
          </w:divBdr>
          <w:divsChild>
            <w:div w:id="1057049866">
              <w:marLeft w:val="0"/>
              <w:marRight w:val="0"/>
              <w:marTop w:val="0"/>
              <w:marBottom w:val="0"/>
              <w:divBdr>
                <w:top w:val="none" w:sz="0" w:space="0" w:color="auto"/>
                <w:left w:val="none" w:sz="0" w:space="0" w:color="auto"/>
                <w:bottom w:val="none" w:sz="0" w:space="0" w:color="auto"/>
                <w:right w:val="none" w:sz="0" w:space="0" w:color="auto"/>
              </w:divBdr>
              <w:divsChild>
                <w:div w:id="720323390">
                  <w:marLeft w:val="0"/>
                  <w:marRight w:val="0"/>
                  <w:marTop w:val="0"/>
                  <w:marBottom w:val="0"/>
                  <w:divBdr>
                    <w:top w:val="none" w:sz="0" w:space="0" w:color="auto"/>
                    <w:left w:val="none" w:sz="0" w:space="0" w:color="auto"/>
                    <w:bottom w:val="none" w:sz="0" w:space="0" w:color="auto"/>
                    <w:right w:val="none" w:sz="0" w:space="0" w:color="auto"/>
                  </w:divBdr>
                  <w:divsChild>
                    <w:div w:id="1054813345">
                      <w:marLeft w:val="0"/>
                      <w:marRight w:val="0"/>
                      <w:marTop w:val="0"/>
                      <w:marBottom w:val="0"/>
                      <w:divBdr>
                        <w:top w:val="none" w:sz="0" w:space="0" w:color="auto"/>
                        <w:left w:val="none" w:sz="0" w:space="0" w:color="auto"/>
                        <w:bottom w:val="none" w:sz="0" w:space="0" w:color="auto"/>
                        <w:right w:val="none" w:sz="0" w:space="0" w:color="auto"/>
                      </w:divBdr>
                      <w:divsChild>
                        <w:div w:id="678702255">
                          <w:marLeft w:val="0"/>
                          <w:marRight w:val="0"/>
                          <w:marTop w:val="0"/>
                          <w:marBottom w:val="0"/>
                          <w:divBdr>
                            <w:top w:val="none" w:sz="0" w:space="0" w:color="auto"/>
                            <w:left w:val="none" w:sz="0" w:space="0" w:color="auto"/>
                            <w:bottom w:val="none" w:sz="0" w:space="0" w:color="auto"/>
                            <w:right w:val="none" w:sz="0" w:space="0" w:color="auto"/>
                          </w:divBdr>
                          <w:divsChild>
                            <w:div w:id="920258014">
                              <w:marLeft w:val="0"/>
                              <w:marRight w:val="0"/>
                              <w:marTop w:val="0"/>
                              <w:marBottom w:val="0"/>
                              <w:divBdr>
                                <w:top w:val="none" w:sz="0" w:space="0" w:color="auto"/>
                                <w:left w:val="none" w:sz="0" w:space="0" w:color="auto"/>
                                <w:bottom w:val="none" w:sz="0" w:space="0" w:color="auto"/>
                                <w:right w:val="none" w:sz="0" w:space="0" w:color="auto"/>
                              </w:divBdr>
                              <w:divsChild>
                                <w:div w:id="126163527">
                                  <w:marLeft w:val="0"/>
                                  <w:marRight w:val="0"/>
                                  <w:marTop w:val="0"/>
                                  <w:marBottom w:val="0"/>
                                  <w:divBdr>
                                    <w:top w:val="none" w:sz="0" w:space="0" w:color="auto"/>
                                    <w:left w:val="none" w:sz="0" w:space="0" w:color="auto"/>
                                    <w:bottom w:val="none" w:sz="0" w:space="0" w:color="auto"/>
                                    <w:right w:val="none" w:sz="0" w:space="0" w:color="auto"/>
                                  </w:divBdr>
                                  <w:divsChild>
                                    <w:div w:id="1371955203">
                                      <w:marLeft w:val="0"/>
                                      <w:marRight w:val="0"/>
                                      <w:marTop w:val="0"/>
                                      <w:marBottom w:val="0"/>
                                      <w:divBdr>
                                        <w:top w:val="none" w:sz="0" w:space="0" w:color="auto"/>
                                        <w:left w:val="none" w:sz="0" w:space="0" w:color="auto"/>
                                        <w:bottom w:val="none" w:sz="0" w:space="0" w:color="auto"/>
                                        <w:right w:val="none" w:sz="0" w:space="0" w:color="auto"/>
                                      </w:divBdr>
                                      <w:divsChild>
                                        <w:div w:id="58478566">
                                          <w:marLeft w:val="0"/>
                                          <w:marRight w:val="0"/>
                                          <w:marTop w:val="0"/>
                                          <w:marBottom w:val="0"/>
                                          <w:divBdr>
                                            <w:top w:val="none" w:sz="0" w:space="0" w:color="auto"/>
                                            <w:left w:val="none" w:sz="0" w:space="0" w:color="auto"/>
                                            <w:bottom w:val="none" w:sz="0" w:space="0" w:color="auto"/>
                                            <w:right w:val="none" w:sz="0" w:space="0" w:color="auto"/>
                                          </w:divBdr>
                                          <w:divsChild>
                                            <w:div w:id="53478787">
                                              <w:marLeft w:val="0"/>
                                              <w:marRight w:val="0"/>
                                              <w:marTop w:val="0"/>
                                              <w:marBottom w:val="0"/>
                                              <w:divBdr>
                                                <w:top w:val="none" w:sz="0" w:space="0" w:color="auto"/>
                                                <w:left w:val="none" w:sz="0" w:space="0" w:color="auto"/>
                                                <w:bottom w:val="none" w:sz="0" w:space="0" w:color="auto"/>
                                                <w:right w:val="none" w:sz="0" w:space="0" w:color="auto"/>
                                              </w:divBdr>
                                              <w:divsChild>
                                                <w:div w:id="1292052843">
                                                  <w:marLeft w:val="0"/>
                                                  <w:marRight w:val="0"/>
                                                  <w:marTop w:val="0"/>
                                                  <w:marBottom w:val="0"/>
                                                  <w:divBdr>
                                                    <w:top w:val="none" w:sz="0" w:space="0" w:color="auto"/>
                                                    <w:left w:val="none" w:sz="0" w:space="0" w:color="auto"/>
                                                    <w:bottom w:val="none" w:sz="0" w:space="0" w:color="auto"/>
                                                    <w:right w:val="none" w:sz="0" w:space="0" w:color="auto"/>
                                                  </w:divBdr>
                                                </w:div>
                                              </w:divsChild>
                                            </w:div>
                                            <w:div w:id="1840581104">
                                              <w:marLeft w:val="0"/>
                                              <w:marRight w:val="0"/>
                                              <w:marTop w:val="0"/>
                                              <w:marBottom w:val="0"/>
                                              <w:divBdr>
                                                <w:top w:val="none" w:sz="0" w:space="0" w:color="auto"/>
                                                <w:left w:val="none" w:sz="0" w:space="0" w:color="auto"/>
                                                <w:bottom w:val="none" w:sz="0" w:space="0" w:color="auto"/>
                                                <w:right w:val="none" w:sz="0" w:space="0" w:color="auto"/>
                                              </w:divBdr>
                                              <w:divsChild>
                                                <w:div w:id="2114546448">
                                                  <w:marLeft w:val="0"/>
                                                  <w:marRight w:val="0"/>
                                                  <w:marTop w:val="0"/>
                                                  <w:marBottom w:val="0"/>
                                                  <w:divBdr>
                                                    <w:top w:val="none" w:sz="0" w:space="0" w:color="auto"/>
                                                    <w:left w:val="none" w:sz="0" w:space="0" w:color="auto"/>
                                                    <w:bottom w:val="none" w:sz="0" w:space="0" w:color="auto"/>
                                                    <w:right w:val="none" w:sz="0" w:space="0" w:color="auto"/>
                                                  </w:divBdr>
                                                </w:div>
                                              </w:divsChild>
                                            </w:div>
                                            <w:div w:id="1771122170">
                                              <w:marLeft w:val="0"/>
                                              <w:marRight w:val="0"/>
                                              <w:marTop w:val="0"/>
                                              <w:marBottom w:val="0"/>
                                              <w:divBdr>
                                                <w:top w:val="none" w:sz="0" w:space="0" w:color="auto"/>
                                                <w:left w:val="none" w:sz="0" w:space="0" w:color="auto"/>
                                                <w:bottom w:val="none" w:sz="0" w:space="0" w:color="auto"/>
                                                <w:right w:val="none" w:sz="0" w:space="0" w:color="auto"/>
                                              </w:divBdr>
                                              <w:divsChild>
                                                <w:div w:id="1463766541">
                                                  <w:marLeft w:val="0"/>
                                                  <w:marRight w:val="0"/>
                                                  <w:marTop w:val="0"/>
                                                  <w:marBottom w:val="0"/>
                                                  <w:divBdr>
                                                    <w:top w:val="none" w:sz="0" w:space="0" w:color="auto"/>
                                                    <w:left w:val="none" w:sz="0" w:space="0" w:color="auto"/>
                                                    <w:bottom w:val="none" w:sz="0" w:space="0" w:color="auto"/>
                                                    <w:right w:val="none" w:sz="0" w:space="0" w:color="auto"/>
                                                  </w:divBdr>
                                                </w:div>
                                              </w:divsChild>
                                            </w:div>
                                            <w:div w:id="503015566">
                                              <w:marLeft w:val="0"/>
                                              <w:marRight w:val="0"/>
                                              <w:marTop w:val="0"/>
                                              <w:marBottom w:val="0"/>
                                              <w:divBdr>
                                                <w:top w:val="none" w:sz="0" w:space="0" w:color="auto"/>
                                                <w:left w:val="none" w:sz="0" w:space="0" w:color="auto"/>
                                                <w:bottom w:val="none" w:sz="0" w:space="0" w:color="auto"/>
                                                <w:right w:val="none" w:sz="0" w:space="0" w:color="auto"/>
                                              </w:divBdr>
                                              <w:divsChild>
                                                <w:div w:id="1893346391">
                                                  <w:marLeft w:val="0"/>
                                                  <w:marRight w:val="0"/>
                                                  <w:marTop w:val="0"/>
                                                  <w:marBottom w:val="0"/>
                                                  <w:divBdr>
                                                    <w:top w:val="none" w:sz="0" w:space="0" w:color="auto"/>
                                                    <w:left w:val="none" w:sz="0" w:space="0" w:color="auto"/>
                                                    <w:bottom w:val="none" w:sz="0" w:space="0" w:color="auto"/>
                                                    <w:right w:val="none" w:sz="0" w:space="0" w:color="auto"/>
                                                  </w:divBdr>
                                                </w:div>
                                              </w:divsChild>
                                            </w:div>
                                            <w:div w:id="830022965">
                                              <w:marLeft w:val="0"/>
                                              <w:marRight w:val="0"/>
                                              <w:marTop w:val="0"/>
                                              <w:marBottom w:val="0"/>
                                              <w:divBdr>
                                                <w:top w:val="none" w:sz="0" w:space="0" w:color="auto"/>
                                                <w:left w:val="none" w:sz="0" w:space="0" w:color="auto"/>
                                                <w:bottom w:val="none" w:sz="0" w:space="0" w:color="auto"/>
                                                <w:right w:val="none" w:sz="0" w:space="0" w:color="auto"/>
                                              </w:divBdr>
                                              <w:divsChild>
                                                <w:div w:id="81221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422992109">
      <w:bodyDiv w:val="1"/>
      <w:marLeft w:val="0"/>
      <w:marRight w:val="0"/>
      <w:marTop w:val="0"/>
      <w:marBottom w:val="0"/>
      <w:divBdr>
        <w:top w:val="none" w:sz="0" w:space="0" w:color="auto"/>
        <w:left w:val="none" w:sz="0" w:space="0" w:color="auto"/>
        <w:bottom w:val="none" w:sz="0" w:space="0" w:color="auto"/>
        <w:right w:val="none" w:sz="0" w:space="0" w:color="auto"/>
      </w:divBdr>
      <w:divsChild>
        <w:div w:id="940989504">
          <w:marLeft w:val="0"/>
          <w:marRight w:val="0"/>
          <w:marTop w:val="0"/>
          <w:marBottom w:val="0"/>
          <w:divBdr>
            <w:top w:val="none" w:sz="0" w:space="0" w:color="auto"/>
            <w:left w:val="none" w:sz="0" w:space="0" w:color="auto"/>
            <w:bottom w:val="none" w:sz="0" w:space="0" w:color="auto"/>
            <w:right w:val="none" w:sz="0" w:space="0" w:color="auto"/>
          </w:divBdr>
          <w:divsChild>
            <w:div w:id="516962436">
              <w:marLeft w:val="0"/>
              <w:marRight w:val="0"/>
              <w:marTop w:val="0"/>
              <w:marBottom w:val="0"/>
              <w:divBdr>
                <w:top w:val="none" w:sz="0" w:space="0" w:color="auto"/>
                <w:left w:val="none" w:sz="0" w:space="0" w:color="auto"/>
                <w:bottom w:val="none" w:sz="0" w:space="0" w:color="auto"/>
                <w:right w:val="none" w:sz="0" w:space="0" w:color="auto"/>
              </w:divBdr>
              <w:divsChild>
                <w:div w:id="1900434785">
                  <w:marLeft w:val="0"/>
                  <w:marRight w:val="0"/>
                  <w:marTop w:val="0"/>
                  <w:marBottom w:val="0"/>
                  <w:divBdr>
                    <w:top w:val="none" w:sz="0" w:space="0" w:color="auto"/>
                    <w:left w:val="none" w:sz="0" w:space="0" w:color="auto"/>
                    <w:bottom w:val="none" w:sz="0" w:space="0" w:color="auto"/>
                    <w:right w:val="none" w:sz="0" w:space="0" w:color="auto"/>
                  </w:divBdr>
                  <w:divsChild>
                    <w:div w:id="1356344680">
                      <w:marLeft w:val="0"/>
                      <w:marRight w:val="0"/>
                      <w:marTop w:val="0"/>
                      <w:marBottom w:val="0"/>
                      <w:divBdr>
                        <w:top w:val="none" w:sz="0" w:space="0" w:color="auto"/>
                        <w:left w:val="none" w:sz="0" w:space="0" w:color="auto"/>
                        <w:bottom w:val="none" w:sz="0" w:space="0" w:color="auto"/>
                        <w:right w:val="none" w:sz="0" w:space="0" w:color="auto"/>
                      </w:divBdr>
                      <w:divsChild>
                        <w:div w:id="600573074">
                          <w:marLeft w:val="0"/>
                          <w:marRight w:val="0"/>
                          <w:marTop w:val="0"/>
                          <w:marBottom w:val="0"/>
                          <w:divBdr>
                            <w:top w:val="none" w:sz="0" w:space="0" w:color="auto"/>
                            <w:left w:val="none" w:sz="0" w:space="0" w:color="auto"/>
                            <w:bottom w:val="none" w:sz="0" w:space="0" w:color="auto"/>
                            <w:right w:val="none" w:sz="0" w:space="0" w:color="auto"/>
                          </w:divBdr>
                          <w:divsChild>
                            <w:div w:id="1500076676">
                              <w:marLeft w:val="0"/>
                              <w:marRight w:val="0"/>
                              <w:marTop w:val="0"/>
                              <w:marBottom w:val="0"/>
                              <w:divBdr>
                                <w:top w:val="none" w:sz="0" w:space="0" w:color="auto"/>
                                <w:left w:val="none" w:sz="0" w:space="0" w:color="auto"/>
                                <w:bottom w:val="none" w:sz="0" w:space="0" w:color="auto"/>
                                <w:right w:val="none" w:sz="0" w:space="0" w:color="auto"/>
                              </w:divBdr>
                              <w:divsChild>
                                <w:div w:id="1207446567">
                                  <w:marLeft w:val="0"/>
                                  <w:marRight w:val="0"/>
                                  <w:marTop w:val="0"/>
                                  <w:marBottom w:val="0"/>
                                  <w:divBdr>
                                    <w:top w:val="none" w:sz="0" w:space="0" w:color="auto"/>
                                    <w:left w:val="none" w:sz="0" w:space="0" w:color="auto"/>
                                    <w:bottom w:val="none" w:sz="0" w:space="0" w:color="auto"/>
                                    <w:right w:val="none" w:sz="0" w:space="0" w:color="auto"/>
                                  </w:divBdr>
                                  <w:divsChild>
                                    <w:div w:id="662587844">
                                      <w:marLeft w:val="0"/>
                                      <w:marRight w:val="0"/>
                                      <w:marTop w:val="0"/>
                                      <w:marBottom w:val="0"/>
                                      <w:divBdr>
                                        <w:top w:val="none" w:sz="0" w:space="0" w:color="auto"/>
                                        <w:left w:val="none" w:sz="0" w:space="0" w:color="auto"/>
                                        <w:bottom w:val="none" w:sz="0" w:space="0" w:color="auto"/>
                                        <w:right w:val="none" w:sz="0" w:space="0" w:color="auto"/>
                                      </w:divBdr>
                                      <w:divsChild>
                                        <w:div w:id="1788235285">
                                          <w:marLeft w:val="0"/>
                                          <w:marRight w:val="0"/>
                                          <w:marTop w:val="0"/>
                                          <w:marBottom w:val="0"/>
                                          <w:divBdr>
                                            <w:top w:val="none" w:sz="0" w:space="0" w:color="auto"/>
                                            <w:left w:val="none" w:sz="0" w:space="0" w:color="auto"/>
                                            <w:bottom w:val="none" w:sz="0" w:space="0" w:color="auto"/>
                                            <w:right w:val="none" w:sz="0" w:space="0" w:color="auto"/>
                                          </w:divBdr>
                                          <w:divsChild>
                                            <w:div w:id="1942570569">
                                              <w:marLeft w:val="0"/>
                                              <w:marRight w:val="0"/>
                                              <w:marTop w:val="0"/>
                                              <w:marBottom w:val="0"/>
                                              <w:divBdr>
                                                <w:top w:val="none" w:sz="0" w:space="0" w:color="auto"/>
                                                <w:left w:val="none" w:sz="0" w:space="0" w:color="auto"/>
                                                <w:bottom w:val="none" w:sz="0" w:space="0" w:color="auto"/>
                                                <w:right w:val="none" w:sz="0" w:space="0" w:color="auto"/>
                                              </w:divBdr>
                                              <w:divsChild>
                                                <w:div w:id="1868134248">
                                                  <w:marLeft w:val="0"/>
                                                  <w:marRight w:val="0"/>
                                                  <w:marTop w:val="0"/>
                                                  <w:marBottom w:val="0"/>
                                                  <w:divBdr>
                                                    <w:top w:val="none" w:sz="0" w:space="0" w:color="auto"/>
                                                    <w:left w:val="none" w:sz="0" w:space="0" w:color="auto"/>
                                                    <w:bottom w:val="none" w:sz="0" w:space="0" w:color="auto"/>
                                                    <w:right w:val="none" w:sz="0" w:space="0" w:color="auto"/>
                                                  </w:divBdr>
                                                </w:div>
                                              </w:divsChild>
                                            </w:div>
                                            <w:div w:id="1905407036">
                                              <w:marLeft w:val="0"/>
                                              <w:marRight w:val="0"/>
                                              <w:marTop w:val="0"/>
                                              <w:marBottom w:val="0"/>
                                              <w:divBdr>
                                                <w:top w:val="none" w:sz="0" w:space="0" w:color="auto"/>
                                                <w:left w:val="none" w:sz="0" w:space="0" w:color="auto"/>
                                                <w:bottom w:val="none" w:sz="0" w:space="0" w:color="auto"/>
                                                <w:right w:val="none" w:sz="0" w:space="0" w:color="auto"/>
                                              </w:divBdr>
                                              <w:divsChild>
                                                <w:div w:id="131946952">
                                                  <w:marLeft w:val="0"/>
                                                  <w:marRight w:val="0"/>
                                                  <w:marTop w:val="0"/>
                                                  <w:marBottom w:val="0"/>
                                                  <w:divBdr>
                                                    <w:top w:val="none" w:sz="0" w:space="0" w:color="auto"/>
                                                    <w:left w:val="none" w:sz="0" w:space="0" w:color="auto"/>
                                                    <w:bottom w:val="none" w:sz="0" w:space="0" w:color="auto"/>
                                                    <w:right w:val="none" w:sz="0" w:space="0" w:color="auto"/>
                                                  </w:divBdr>
                                                </w:div>
                                              </w:divsChild>
                                            </w:div>
                                            <w:div w:id="177693235">
                                              <w:marLeft w:val="0"/>
                                              <w:marRight w:val="0"/>
                                              <w:marTop w:val="0"/>
                                              <w:marBottom w:val="0"/>
                                              <w:divBdr>
                                                <w:top w:val="none" w:sz="0" w:space="0" w:color="auto"/>
                                                <w:left w:val="none" w:sz="0" w:space="0" w:color="auto"/>
                                                <w:bottom w:val="none" w:sz="0" w:space="0" w:color="auto"/>
                                                <w:right w:val="none" w:sz="0" w:space="0" w:color="auto"/>
                                              </w:divBdr>
                                              <w:divsChild>
                                                <w:div w:id="36198553">
                                                  <w:marLeft w:val="0"/>
                                                  <w:marRight w:val="0"/>
                                                  <w:marTop w:val="0"/>
                                                  <w:marBottom w:val="0"/>
                                                  <w:divBdr>
                                                    <w:top w:val="none" w:sz="0" w:space="0" w:color="auto"/>
                                                    <w:left w:val="none" w:sz="0" w:space="0" w:color="auto"/>
                                                    <w:bottom w:val="none" w:sz="0" w:space="0" w:color="auto"/>
                                                    <w:right w:val="none" w:sz="0" w:space="0" w:color="auto"/>
                                                  </w:divBdr>
                                                </w:div>
                                              </w:divsChild>
                                            </w:div>
                                            <w:div w:id="361201269">
                                              <w:marLeft w:val="0"/>
                                              <w:marRight w:val="0"/>
                                              <w:marTop w:val="0"/>
                                              <w:marBottom w:val="0"/>
                                              <w:divBdr>
                                                <w:top w:val="none" w:sz="0" w:space="0" w:color="auto"/>
                                                <w:left w:val="none" w:sz="0" w:space="0" w:color="auto"/>
                                                <w:bottom w:val="none" w:sz="0" w:space="0" w:color="auto"/>
                                                <w:right w:val="none" w:sz="0" w:space="0" w:color="auto"/>
                                              </w:divBdr>
                                              <w:divsChild>
                                                <w:div w:id="1629967069">
                                                  <w:marLeft w:val="0"/>
                                                  <w:marRight w:val="0"/>
                                                  <w:marTop w:val="0"/>
                                                  <w:marBottom w:val="0"/>
                                                  <w:divBdr>
                                                    <w:top w:val="none" w:sz="0" w:space="0" w:color="auto"/>
                                                    <w:left w:val="none" w:sz="0" w:space="0" w:color="auto"/>
                                                    <w:bottom w:val="none" w:sz="0" w:space="0" w:color="auto"/>
                                                    <w:right w:val="none" w:sz="0" w:space="0" w:color="auto"/>
                                                  </w:divBdr>
                                                </w:div>
                                              </w:divsChild>
                                            </w:div>
                                            <w:div w:id="790367949">
                                              <w:marLeft w:val="0"/>
                                              <w:marRight w:val="0"/>
                                              <w:marTop w:val="0"/>
                                              <w:marBottom w:val="0"/>
                                              <w:divBdr>
                                                <w:top w:val="none" w:sz="0" w:space="0" w:color="auto"/>
                                                <w:left w:val="none" w:sz="0" w:space="0" w:color="auto"/>
                                                <w:bottom w:val="none" w:sz="0" w:space="0" w:color="auto"/>
                                                <w:right w:val="none" w:sz="0" w:space="0" w:color="auto"/>
                                              </w:divBdr>
                                              <w:divsChild>
                                                <w:div w:id="189720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B7B0F-5D81-41A8-8219-824F909B6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2736</Words>
  <Characters>16421</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2021-07-06T10:05:00Z</dcterms:created>
  <dcterms:modified xsi:type="dcterms:W3CDTF">2021-07-06T10:20:00Z</dcterms:modified>
  <cp:category/>
</cp:coreProperties>
</file>