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DC29BA" w14:textId="570AC834" w:rsidR="0024318B" w:rsidRPr="00D91FE4" w:rsidRDefault="00A851D9" w:rsidP="00D91FE4">
      <w:pPr>
        <w:jc w:val="center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>EUROPEJSKI TRYBUNAŁ PRAW CZŁOWIEKA</w:t>
      </w:r>
      <w:r w:rsidR="00575362">
        <w:rPr>
          <w:rFonts w:ascii="Times New Roman" w:hAnsi="Times New Roman" w:cs="Times New Roman"/>
        </w:rPr>
        <w:t xml:space="preserve"> </w:t>
      </w:r>
    </w:p>
    <w:p w14:paraId="1339A049" w14:textId="77777777" w:rsidR="0098410D" w:rsidRPr="00D91FE4" w:rsidRDefault="0098410D" w:rsidP="00D91FE4">
      <w:pPr>
        <w:jc w:val="center"/>
      </w:pPr>
    </w:p>
    <w:p w14:paraId="24C6D096" w14:textId="77777777" w:rsidR="0098410D" w:rsidRPr="00D91FE4" w:rsidRDefault="0024318B" w:rsidP="00D91FE4">
      <w:pPr>
        <w:pStyle w:val="DecHCase"/>
      </w:pPr>
      <w:r>
        <w:t>SEKCJA PIERWSZA</w:t>
      </w:r>
    </w:p>
    <w:p w14:paraId="7A3CC994" w14:textId="77777777" w:rsidR="008E6217" w:rsidRPr="00D91FE4" w:rsidRDefault="008E6217" w:rsidP="00D91FE4">
      <w:pPr>
        <w:pStyle w:val="JuTitle"/>
      </w:pPr>
      <w:bookmarkStart w:id="1" w:name="To"/>
      <w:r>
        <w:rPr>
          <w:color w:val="000000" w:themeColor="text1"/>
        </w:rPr>
        <w:t>SPRAWA</w:t>
      </w:r>
      <w:bookmarkEnd w:id="1"/>
      <w:r>
        <w:rPr>
          <w:color w:val="000000" w:themeColor="text1"/>
        </w:rPr>
        <w:t xml:space="preserve"> </w:t>
      </w:r>
      <w:r>
        <w:t>LEWANDOWSKI PRZECIWKO POLSCE</w:t>
      </w:r>
    </w:p>
    <w:p w14:paraId="090E30B9" w14:textId="61EB8DBC" w:rsidR="00D74888" w:rsidRPr="00D91FE4" w:rsidRDefault="008E6217" w:rsidP="00D91FE4">
      <w:pPr>
        <w:pStyle w:val="ECHRCoverTitle4"/>
      </w:pPr>
      <w:r>
        <w:t>(Skarga nr</w:t>
      </w:r>
      <w:r w:rsidR="0059593C">
        <w:t xml:space="preserve"> </w:t>
      </w:r>
      <w:r>
        <w:t>29848/17)</w:t>
      </w:r>
    </w:p>
    <w:p w14:paraId="006FE9B9" w14:textId="77777777" w:rsidR="0098410D" w:rsidRPr="00D91FE4" w:rsidRDefault="0098410D" w:rsidP="00D91FE4">
      <w:pPr>
        <w:pStyle w:val="DecHCase"/>
      </w:pPr>
    </w:p>
    <w:p w14:paraId="606620BE" w14:textId="77777777" w:rsidR="0098410D" w:rsidRPr="00D91FE4" w:rsidRDefault="0098410D" w:rsidP="00D91FE4">
      <w:pPr>
        <w:pStyle w:val="DecHCase"/>
      </w:pPr>
    </w:p>
    <w:p w14:paraId="4902FE41" w14:textId="77777777" w:rsidR="00AC4CD4" w:rsidRPr="00D91FE4" w:rsidRDefault="00AC4CD4" w:rsidP="00D91FE4">
      <w:pPr>
        <w:pStyle w:val="DecHCase"/>
      </w:pPr>
    </w:p>
    <w:p w14:paraId="12E0D1C4" w14:textId="77777777" w:rsidR="0098410D" w:rsidRPr="00D91FE4" w:rsidRDefault="0098410D" w:rsidP="00D91FE4">
      <w:pPr>
        <w:pStyle w:val="DecHCase"/>
      </w:pPr>
    </w:p>
    <w:p w14:paraId="55DC10FC" w14:textId="77777777" w:rsidR="0098410D" w:rsidRPr="00D91FE4" w:rsidRDefault="0098410D" w:rsidP="00D91FE4">
      <w:pPr>
        <w:pStyle w:val="DecHCase"/>
      </w:pPr>
      <w:r>
        <w:t>WYROK</w:t>
      </w:r>
      <w:r>
        <w:br/>
      </w:r>
    </w:p>
    <w:p w14:paraId="76848A01" w14:textId="77777777" w:rsidR="0098410D" w:rsidRPr="00D91FE4" w:rsidRDefault="0098410D" w:rsidP="00D91FE4">
      <w:pPr>
        <w:pStyle w:val="DecHCase"/>
      </w:pPr>
      <w:r>
        <w:t>STRASBURG</w:t>
      </w:r>
    </w:p>
    <w:p w14:paraId="55AF4F3C" w14:textId="77777777" w:rsidR="0098410D" w:rsidRPr="00D91FE4" w:rsidRDefault="0024318B" w:rsidP="00D91FE4">
      <w:pPr>
        <w:pStyle w:val="DecHCase"/>
      </w:pPr>
      <w:r>
        <w:rPr>
          <w:rFonts w:ascii="Times New Roman" w:hAnsi="Times New Roman"/>
        </w:rPr>
        <w:t>18 marca 2021</w:t>
      </w:r>
      <w:r w:rsidR="0074701B">
        <w:rPr>
          <w:rFonts w:ascii="Times New Roman" w:hAnsi="Times New Roman"/>
        </w:rPr>
        <w:t xml:space="preserve"> r.</w:t>
      </w:r>
    </w:p>
    <w:p w14:paraId="417F88D6" w14:textId="77777777" w:rsidR="00AC4CD4" w:rsidRPr="00D91FE4" w:rsidRDefault="00AC4CD4" w:rsidP="00D91FE4">
      <w:pPr>
        <w:pStyle w:val="JuPara"/>
      </w:pPr>
    </w:p>
    <w:p w14:paraId="54B163FD" w14:textId="126DAEDC" w:rsidR="002422B6" w:rsidRPr="00D91FE4" w:rsidRDefault="0098410D" w:rsidP="00D91FE4">
      <w:pPr>
        <w:rPr>
          <w:i/>
          <w:sz w:val="22"/>
        </w:rPr>
      </w:pPr>
      <w:r>
        <w:rPr>
          <w:i/>
          <w:sz w:val="22"/>
        </w:rPr>
        <w:t xml:space="preserve">Wyrok ten </w:t>
      </w:r>
      <w:r w:rsidR="004C299D">
        <w:rPr>
          <w:i/>
          <w:sz w:val="22"/>
        </w:rPr>
        <w:t>jest</w:t>
      </w:r>
      <w:r>
        <w:rPr>
          <w:i/>
          <w:sz w:val="22"/>
        </w:rPr>
        <w:t xml:space="preserve"> ostateczny, </w:t>
      </w:r>
      <w:r w:rsidR="004C299D">
        <w:rPr>
          <w:i/>
          <w:sz w:val="22"/>
        </w:rPr>
        <w:t xml:space="preserve">ale </w:t>
      </w:r>
      <w:r>
        <w:rPr>
          <w:i/>
          <w:sz w:val="22"/>
        </w:rPr>
        <w:t>może podlegać korekcie wydawniczej.</w:t>
      </w:r>
    </w:p>
    <w:p w14:paraId="3455D07B" w14:textId="77777777" w:rsidR="0098410D" w:rsidRPr="00D91FE4" w:rsidRDefault="0098410D" w:rsidP="00D91FE4">
      <w:pPr>
        <w:sectPr w:rsidR="0098410D" w:rsidRPr="00D91FE4" w:rsidSect="00D66471">
          <w:headerReference w:type="default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5B2BC3EA" w14:textId="77777777" w:rsidR="0098410D" w:rsidRPr="00D91FE4" w:rsidRDefault="0098410D" w:rsidP="00D91FE4">
      <w:pPr>
        <w:pStyle w:val="JuCase"/>
      </w:pPr>
      <w:r>
        <w:lastRenderedPageBreak/>
        <w:t>W sprawie Lewandowski przeciwko Polsce</w:t>
      </w:r>
    </w:p>
    <w:p w14:paraId="3907E1EB" w14:textId="155A1636" w:rsidR="009F4C8F" w:rsidRPr="00D91FE4" w:rsidRDefault="009F4C8F" w:rsidP="00D91FE4">
      <w:pPr>
        <w:pStyle w:val="JuPara"/>
      </w:pPr>
      <w:r>
        <w:t>Europejski Trybunał Praw Człowieka (</w:t>
      </w:r>
      <w:r w:rsidR="004C299D">
        <w:t>S</w:t>
      </w:r>
      <w:r>
        <w:t xml:space="preserve">ekcja </w:t>
      </w:r>
      <w:r w:rsidR="004C299D">
        <w:t>P</w:t>
      </w:r>
      <w:r>
        <w:t>ierwsza), zasiadając jako Komitet w składzie:</w:t>
      </w:r>
    </w:p>
    <w:p w14:paraId="7E72BC26" w14:textId="77777777" w:rsidR="0074701B" w:rsidRDefault="00AF1DB6" w:rsidP="00D91FE4">
      <w:pPr>
        <w:pStyle w:val="JuJudges"/>
      </w:pPr>
      <w:r>
        <w:tab/>
        <w:t>Linos-Alexandre Sicilianos</w:t>
      </w:r>
      <w:r>
        <w:rPr>
          <w:i/>
        </w:rPr>
        <w:t>, Przewodniczący</w:t>
      </w:r>
      <w:r>
        <w:t>,</w:t>
      </w:r>
    </w:p>
    <w:p w14:paraId="12A8FE76" w14:textId="0E7755E7" w:rsidR="009F4C8F" w:rsidRPr="00D91FE4" w:rsidRDefault="0074701B" w:rsidP="00D91FE4">
      <w:pPr>
        <w:pStyle w:val="JuJudges"/>
      </w:pPr>
      <w:r>
        <w:tab/>
      </w:r>
      <w:r w:rsidR="00AF1DB6">
        <w:t>Krzysztof Wojtyczek,</w:t>
      </w:r>
      <w:r w:rsidR="00AF1DB6">
        <w:rPr>
          <w:i/>
        </w:rPr>
        <w:br/>
      </w:r>
      <w:r w:rsidR="00AF1DB6">
        <w:tab/>
        <w:t>Erik Wennerström,</w:t>
      </w:r>
      <w:r w:rsidR="00AF1DB6">
        <w:rPr>
          <w:i/>
        </w:rPr>
        <w:t xml:space="preserve"> sędziowie</w:t>
      </w:r>
      <w:r w:rsidR="00AF1DB6">
        <w:br/>
        <w:t xml:space="preserve">oraz Attila Teplán, </w:t>
      </w:r>
      <w:r w:rsidR="00AF1DB6">
        <w:rPr>
          <w:i/>
          <w:iCs/>
        </w:rPr>
        <w:t>p</w:t>
      </w:r>
      <w:r w:rsidR="00AF1DB6">
        <w:t>.</w:t>
      </w:r>
      <w:r w:rsidR="00AF1DB6" w:rsidRPr="00A17464">
        <w:rPr>
          <w:i/>
          <w:iCs/>
        </w:rPr>
        <w:t>o.</w:t>
      </w:r>
      <w:r w:rsidR="00AF1DB6">
        <w:t xml:space="preserve"> </w:t>
      </w:r>
      <w:r w:rsidR="004C299D">
        <w:rPr>
          <w:i/>
        </w:rPr>
        <w:t>Z</w:t>
      </w:r>
      <w:r w:rsidR="00AF1DB6">
        <w:rPr>
          <w:i/>
        </w:rPr>
        <w:t>astępc</w:t>
      </w:r>
      <w:r w:rsidR="004E6EB1">
        <w:rPr>
          <w:i/>
        </w:rPr>
        <w:t>a</w:t>
      </w:r>
      <w:r w:rsidR="00AF1DB6">
        <w:rPr>
          <w:i/>
        </w:rPr>
        <w:t xml:space="preserve"> </w:t>
      </w:r>
      <w:r w:rsidR="004C299D">
        <w:rPr>
          <w:i/>
          <w:iCs/>
        </w:rPr>
        <w:t>K</w:t>
      </w:r>
      <w:r w:rsidR="00AF1DB6">
        <w:rPr>
          <w:i/>
          <w:iCs/>
        </w:rPr>
        <w:t xml:space="preserve">anclerza </w:t>
      </w:r>
      <w:r w:rsidR="004C299D">
        <w:rPr>
          <w:i/>
          <w:iCs/>
        </w:rPr>
        <w:t>S</w:t>
      </w:r>
      <w:r w:rsidR="00AF1DB6">
        <w:rPr>
          <w:i/>
          <w:iCs/>
        </w:rPr>
        <w:t>ekcji</w:t>
      </w:r>
      <w:r w:rsidR="00AF1DB6">
        <w:t>,</w:t>
      </w:r>
    </w:p>
    <w:p w14:paraId="7836A3B2" w14:textId="55BC5DB7" w:rsidR="0024318B" w:rsidRPr="00D91FE4" w:rsidRDefault="004C299D" w:rsidP="00D91FE4">
      <w:pPr>
        <w:pStyle w:val="JuPara"/>
      </w:pPr>
      <w:bookmarkStart w:id="2" w:name="ITMARKHavingStart"/>
      <w:bookmarkEnd w:id="2"/>
      <w:r>
        <w:t>m</w:t>
      </w:r>
      <w:r w:rsidR="0024318B">
        <w:t>ając na uwadze:</w:t>
      </w:r>
    </w:p>
    <w:p w14:paraId="6332D1A8" w14:textId="1CC42ABF" w:rsidR="0024318B" w:rsidRPr="00D91FE4" w:rsidRDefault="0024318B" w:rsidP="00D91FE4">
      <w:pPr>
        <w:pStyle w:val="JuPara"/>
      </w:pPr>
      <w:r>
        <w:t>skargę (nr</w:t>
      </w:r>
      <w:r w:rsidR="0059593C">
        <w:t xml:space="preserve"> </w:t>
      </w:r>
      <w:r>
        <w:t>29848/17) przeciwko Rzeczypospolitej Polskiej wniesioną do</w:t>
      </w:r>
      <w:r w:rsidR="003A41B6">
        <w:t> </w:t>
      </w:r>
      <w:r>
        <w:t>Trybunału w dniu 7 kwietnia 2017</w:t>
      </w:r>
      <w:r w:rsidR="0059593C">
        <w:t xml:space="preserve"> </w:t>
      </w:r>
      <w:r>
        <w:t>r. na podstawie art.</w:t>
      </w:r>
      <w:r w:rsidR="0059593C">
        <w:t xml:space="preserve"> </w:t>
      </w:r>
      <w:r>
        <w:t>34 Konwencji o</w:t>
      </w:r>
      <w:r w:rsidR="003A41B6">
        <w:t> </w:t>
      </w:r>
      <w:r>
        <w:t>ochronie praw człowieka i</w:t>
      </w:r>
      <w:r w:rsidR="0059593C">
        <w:t xml:space="preserve"> </w:t>
      </w:r>
      <w:r>
        <w:t>podstawowych wolności („Konwencj</w:t>
      </w:r>
      <w:r w:rsidR="004C299D">
        <w:t>a</w:t>
      </w:r>
      <w:r>
        <w:t>”) przez obywatela polskiego Jacka Piotra Lewandowskiego („skarżąc</w:t>
      </w:r>
      <w:r w:rsidR="004C299D">
        <w:t>y</w:t>
      </w:r>
      <w:r>
        <w:t>”);</w:t>
      </w:r>
    </w:p>
    <w:p w14:paraId="2FA20CBF" w14:textId="20A40AC6" w:rsidR="0024318B" w:rsidRPr="00D91FE4" w:rsidRDefault="0024318B" w:rsidP="00D91FE4">
      <w:pPr>
        <w:pStyle w:val="JuPara"/>
      </w:pPr>
      <w:r>
        <w:t xml:space="preserve">decyzję o </w:t>
      </w:r>
      <w:r w:rsidR="004C299D">
        <w:t xml:space="preserve">zakomunikowaniu </w:t>
      </w:r>
      <w:r>
        <w:t>Rząd</w:t>
      </w:r>
      <w:r w:rsidR="004C299D">
        <w:t>owi</w:t>
      </w:r>
      <w:r>
        <w:t xml:space="preserve"> RP („Rząd”) </w:t>
      </w:r>
      <w:r w:rsidR="004C299D">
        <w:t>zarzutów</w:t>
      </w:r>
      <w:r>
        <w:t xml:space="preserve"> dotyczących przewlekłości postępowania karnego oraz prawa do skutecznego środka odwoławczego;</w:t>
      </w:r>
    </w:p>
    <w:p w14:paraId="76CFD8BF" w14:textId="77777777" w:rsidR="0024318B" w:rsidRPr="00D91FE4" w:rsidRDefault="0024318B" w:rsidP="00D91FE4">
      <w:pPr>
        <w:pStyle w:val="JuPara"/>
      </w:pPr>
      <w:r>
        <w:t>uwagi stron;</w:t>
      </w:r>
    </w:p>
    <w:p w14:paraId="1EBAFDAB" w14:textId="2CA8AB58" w:rsidR="009F4C8F" w:rsidRPr="00D91FE4" w:rsidRDefault="004C299D" w:rsidP="00D91FE4">
      <w:pPr>
        <w:pStyle w:val="JuPara"/>
      </w:pPr>
      <w:r>
        <w:t xml:space="preserve">po obradach </w:t>
      </w:r>
      <w:r w:rsidR="009F4C8F">
        <w:t>na posiedzeniu niejawnym w dniu 16 lutego 2021</w:t>
      </w:r>
      <w:r w:rsidR="0059593C">
        <w:t xml:space="preserve"> </w:t>
      </w:r>
      <w:r w:rsidR="009F4C8F">
        <w:t>r.,</w:t>
      </w:r>
    </w:p>
    <w:p w14:paraId="06A23A5A" w14:textId="77777777" w:rsidR="009F4C8F" w:rsidRPr="00D91FE4" w:rsidRDefault="009F4C8F" w:rsidP="00D91FE4">
      <w:pPr>
        <w:pStyle w:val="JuPara"/>
      </w:pPr>
      <w:r>
        <w:t>wydaje następujący wyrok, który został przyjęty w tym dniu:</w:t>
      </w:r>
    </w:p>
    <w:p w14:paraId="18A54F23" w14:textId="77777777" w:rsidR="0024318B" w:rsidRPr="00D91FE4" w:rsidRDefault="0024318B" w:rsidP="00D91FE4">
      <w:pPr>
        <w:pStyle w:val="JuHHead"/>
        <w:numPr>
          <w:ilvl w:val="0"/>
          <w:numId w:val="0"/>
        </w:numPr>
      </w:pPr>
      <w:r>
        <w:t>WPROWADZENIE</w:t>
      </w:r>
    </w:p>
    <w:p w14:paraId="18D9AD49" w14:textId="5559C8BF" w:rsidR="0024318B" w:rsidRPr="00D91FE4" w:rsidRDefault="0074701B" w:rsidP="00D91FE4">
      <w:pPr>
        <w:pStyle w:val="JuPara"/>
      </w:pPr>
      <w:r>
        <w:rPr>
          <w:noProof/>
        </w:rPr>
        <w:t>1</w:t>
      </w:r>
      <w:r w:rsidR="0024318B">
        <w:t>.</w:t>
      </w:r>
      <w:r w:rsidR="0059593C">
        <w:t xml:space="preserve"> </w:t>
      </w:r>
      <w:r w:rsidR="0024318B">
        <w:t xml:space="preserve">Sprawa dotyczy przewlekłości </w:t>
      </w:r>
      <w:r w:rsidR="004C299D">
        <w:t xml:space="preserve">postępowania karnego </w:t>
      </w:r>
      <w:r w:rsidR="0024318B">
        <w:t>przeciwko skarżącemu oraz braku skutecznego środka odwoławczego pozwalającego na</w:t>
      </w:r>
      <w:r w:rsidR="003A41B6">
        <w:t> </w:t>
      </w:r>
      <w:r w:rsidR="0024318B">
        <w:t>jego zaskarżenie.</w:t>
      </w:r>
    </w:p>
    <w:p w14:paraId="71D98C81" w14:textId="77777777" w:rsidR="0024318B" w:rsidRPr="00D91FE4" w:rsidRDefault="0024318B" w:rsidP="00D91FE4">
      <w:pPr>
        <w:pStyle w:val="JuHHead"/>
        <w:jc w:val="left"/>
      </w:pPr>
      <w:r>
        <w:t>FAKTY</w:t>
      </w:r>
    </w:p>
    <w:p w14:paraId="41F0198A" w14:textId="2EE9FA8B" w:rsidR="0024318B" w:rsidRPr="00D91FE4" w:rsidRDefault="0074701B" w:rsidP="00D91FE4">
      <w:pPr>
        <w:pStyle w:val="JuPara"/>
      </w:pPr>
      <w:r>
        <w:rPr>
          <w:noProof/>
        </w:rPr>
        <w:t>2</w:t>
      </w:r>
      <w:r w:rsidR="0024318B">
        <w:t>.</w:t>
      </w:r>
      <w:r w:rsidR="0059593C">
        <w:t xml:space="preserve"> </w:t>
      </w:r>
      <w:r w:rsidR="0024318B">
        <w:t>Skarżący urodził się w</w:t>
      </w:r>
      <w:r w:rsidR="0059593C">
        <w:t xml:space="preserve"> </w:t>
      </w:r>
      <w:r w:rsidR="0024318B">
        <w:t>1975</w:t>
      </w:r>
      <w:r w:rsidR="0059593C">
        <w:t xml:space="preserve"> </w:t>
      </w:r>
      <w:r w:rsidR="0024318B">
        <w:t>r. i mieszka w Hamburgu. Skarżąc</w:t>
      </w:r>
      <w:r w:rsidR="004C299D">
        <w:t>y był</w:t>
      </w:r>
      <w:r w:rsidR="0024318B">
        <w:t xml:space="preserve"> reprezentowa</w:t>
      </w:r>
      <w:r w:rsidR="004C299D">
        <w:t>ny przez Panią</w:t>
      </w:r>
      <w:r w:rsidR="0024318B">
        <w:t xml:space="preserve"> Zofi</w:t>
      </w:r>
      <w:r w:rsidR="004C299D">
        <w:t>ę</w:t>
      </w:r>
      <w:r w:rsidR="0024318B">
        <w:t xml:space="preserve"> Daniszewsk</w:t>
      </w:r>
      <w:r w:rsidR="004C299D">
        <w:t>a</w:t>
      </w:r>
      <w:r w:rsidR="0024318B">
        <w:t>-Dek, adwokat praktykując</w:t>
      </w:r>
      <w:r w:rsidR="00DB7BB8">
        <w:t>ą</w:t>
      </w:r>
      <w:r w:rsidR="0024318B">
        <w:t xml:space="preserve"> w Białymstoku.</w:t>
      </w:r>
    </w:p>
    <w:p w14:paraId="33109388" w14:textId="0EBC1D11" w:rsidR="0024318B" w:rsidRPr="00D91FE4" w:rsidRDefault="0074701B" w:rsidP="00D91FE4">
      <w:pPr>
        <w:pStyle w:val="JuPara"/>
      </w:pPr>
      <w:r>
        <w:rPr>
          <w:noProof/>
        </w:rPr>
        <w:t>3</w:t>
      </w:r>
      <w:r w:rsidR="0024318B">
        <w:t>.</w:t>
      </w:r>
      <w:r w:rsidR="0059593C">
        <w:t xml:space="preserve"> </w:t>
      </w:r>
      <w:r w:rsidR="0024318B">
        <w:t xml:space="preserve">Rząd polski („Rząd”) reprezentowany był przez swojego pełnomocnika </w:t>
      </w:r>
      <w:r w:rsidR="004C299D">
        <w:t xml:space="preserve">Panią </w:t>
      </w:r>
      <w:r w:rsidR="0024318B">
        <w:t xml:space="preserve">J. Chrzanowską, a następnie przez </w:t>
      </w:r>
      <w:r w:rsidR="004C299D">
        <w:t xml:space="preserve">Pana </w:t>
      </w:r>
      <w:r w:rsidR="0024318B">
        <w:t>J. Sobczaka z Ministerstwa Spraw Zagranicznych.</w:t>
      </w:r>
    </w:p>
    <w:p w14:paraId="1DF89E6D" w14:textId="47BE3081" w:rsidR="0024318B" w:rsidRPr="00D91FE4" w:rsidRDefault="0074701B" w:rsidP="00D91FE4">
      <w:pPr>
        <w:pStyle w:val="JuPara"/>
      </w:pPr>
      <w:r>
        <w:rPr>
          <w:noProof/>
        </w:rPr>
        <w:t>4</w:t>
      </w:r>
      <w:r w:rsidR="0024318B">
        <w:t>.</w:t>
      </w:r>
      <w:r w:rsidR="0059593C">
        <w:t xml:space="preserve"> </w:t>
      </w:r>
      <w:r w:rsidR="0024318B">
        <w:t>Przedstawione przez strony okoliczności faktyczne sprawy można streścić w następujący sposób.</w:t>
      </w:r>
    </w:p>
    <w:p w14:paraId="65E28327" w14:textId="725FE7D9" w:rsidR="0024318B" w:rsidRPr="00D91FE4" w:rsidRDefault="0024318B" w:rsidP="00D91FE4">
      <w:pPr>
        <w:pStyle w:val="JuHIRoman"/>
      </w:pPr>
      <w:r>
        <w:t>Postępowanie karne przeciwko skarżącemu</w:t>
      </w:r>
    </w:p>
    <w:p w14:paraId="3DCE5AEA" w14:textId="07AE57FE" w:rsidR="0024318B" w:rsidRPr="00D91FE4" w:rsidRDefault="0074701B" w:rsidP="00D91FE4">
      <w:pPr>
        <w:pStyle w:val="JuPara"/>
      </w:pPr>
      <w:bookmarkStart w:id="3" w:name="startproceedings"/>
      <w:r>
        <w:rPr>
          <w:noProof/>
        </w:rPr>
        <w:t>5</w:t>
      </w:r>
      <w:bookmarkEnd w:id="3"/>
      <w:r w:rsidR="0024318B">
        <w:t>.</w:t>
      </w:r>
      <w:r w:rsidR="0059593C">
        <w:t xml:space="preserve"> </w:t>
      </w:r>
      <w:r w:rsidR="0024318B">
        <w:t>W dniu</w:t>
      </w:r>
      <w:r w:rsidR="0059593C">
        <w:t xml:space="preserve"> </w:t>
      </w:r>
      <w:r w:rsidR="0024318B">
        <w:t>25 maja 2008</w:t>
      </w:r>
      <w:r w:rsidR="0059593C">
        <w:t xml:space="preserve"> </w:t>
      </w:r>
      <w:r w:rsidR="0024318B">
        <w:t>r. skarżący został zatrzymany przez policję i</w:t>
      </w:r>
      <w:r w:rsidR="003A41B6">
        <w:t> </w:t>
      </w:r>
      <w:r w:rsidR="0024318B">
        <w:t xml:space="preserve">zastosowano wobec niego tymczasowe aresztowanie. Przedstawiono mu kilka zarzutów popełnienia przestępstw związanych z obrotem narkotykami. W dniu 28 grudnia 2009 r. </w:t>
      </w:r>
      <w:r w:rsidR="004C299D">
        <w:t>jego tymczasowe aresztowanie zostało uchylone i</w:t>
      </w:r>
      <w:r w:rsidR="003A41B6">
        <w:t> </w:t>
      </w:r>
      <w:r w:rsidR="0024318B">
        <w:t>zastosowan</w:t>
      </w:r>
      <w:r w:rsidR="009E6C6B">
        <w:t>o</w:t>
      </w:r>
      <w:r w:rsidR="0024318B">
        <w:t xml:space="preserve"> wobec </w:t>
      </w:r>
      <w:r w:rsidR="009E6C6B">
        <w:t>niego</w:t>
      </w:r>
      <w:r w:rsidR="0024318B">
        <w:t xml:space="preserve"> środek w postaci dozoru Policji.</w:t>
      </w:r>
    </w:p>
    <w:p w14:paraId="3082A47E" w14:textId="4D2D86FC" w:rsidR="0024318B" w:rsidRPr="00D91FE4" w:rsidRDefault="0074701B" w:rsidP="00D91FE4">
      <w:pPr>
        <w:pStyle w:val="JuPara"/>
      </w:pPr>
      <w:bookmarkStart w:id="4" w:name="judgmentQashedCA"/>
      <w:r>
        <w:rPr>
          <w:noProof/>
        </w:rPr>
        <w:lastRenderedPageBreak/>
        <w:t>6</w:t>
      </w:r>
      <w:bookmarkEnd w:id="4"/>
      <w:r w:rsidR="0024318B">
        <w:t>.</w:t>
      </w:r>
      <w:r w:rsidR="0059593C">
        <w:t xml:space="preserve"> </w:t>
      </w:r>
      <w:r w:rsidR="0024318B">
        <w:t>W maju 2009 r. przeciwko skarżącemu do Sądu Okręgowego w</w:t>
      </w:r>
      <w:r w:rsidR="003A41B6">
        <w:t> </w:t>
      </w:r>
      <w:r w:rsidR="0024318B">
        <w:t xml:space="preserve">Białymstoku wniesiono akt oskarżenia. Sąd </w:t>
      </w:r>
      <w:r w:rsidR="009E6C6B">
        <w:t>rozpoznawał sprawę</w:t>
      </w:r>
      <w:r w:rsidR="0024318B">
        <w:t xml:space="preserve"> </w:t>
      </w:r>
      <w:r w:rsidR="009E6C6B">
        <w:t>na</w:t>
      </w:r>
      <w:r w:rsidR="003A41B6">
        <w:t> </w:t>
      </w:r>
      <w:r w:rsidR="009E6C6B">
        <w:t>dwudziestu</w:t>
      </w:r>
      <w:r w:rsidR="0024318B">
        <w:t xml:space="preserve"> pię</w:t>
      </w:r>
      <w:r w:rsidR="009E6C6B">
        <w:t>ciu terminach</w:t>
      </w:r>
      <w:r w:rsidR="0024318B">
        <w:t xml:space="preserve"> rozpra</w:t>
      </w:r>
      <w:r w:rsidR="009E6C6B">
        <w:t>wy</w:t>
      </w:r>
      <w:r w:rsidR="0024318B">
        <w:t>. W dniu 1 lipca 2011 r. wydał wobec skarżącego wyrok skazujący. Na skutek wniesionej przez skarżącego apelacji od tego wyroku, w dniu 5 kwietnia 2012 r. Sąd Apelacyjny w</w:t>
      </w:r>
      <w:r w:rsidR="003A41B6">
        <w:t> </w:t>
      </w:r>
      <w:r w:rsidR="0024318B">
        <w:t>Białymstoku uchylił wyrok i przekazał sprawę do ponownego rozpoznania.</w:t>
      </w:r>
    </w:p>
    <w:p w14:paraId="1EED3551" w14:textId="32412085" w:rsidR="0024318B" w:rsidRPr="00D91FE4" w:rsidRDefault="0074701B" w:rsidP="00D91FE4">
      <w:pPr>
        <w:pStyle w:val="JuPara"/>
      </w:pPr>
      <w:bookmarkStart w:id="5" w:name="retrialNotSevered"/>
      <w:r>
        <w:rPr>
          <w:noProof/>
        </w:rPr>
        <w:t>7</w:t>
      </w:r>
      <w:bookmarkEnd w:id="5"/>
      <w:r w:rsidR="0024318B">
        <w:t>.</w:t>
      </w:r>
      <w:r w:rsidR="0059593C">
        <w:t xml:space="preserve"> </w:t>
      </w:r>
      <w:r w:rsidR="0024318B">
        <w:t xml:space="preserve">Sąd Okręgowy w Białymstoku wyznaczył </w:t>
      </w:r>
      <w:r w:rsidR="009E6C6B">
        <w:t xml:space="preserve">pierwszy </w:t>
      </w:r>
      <w:r w:rsidR="0024318B">
        <w:t>termin rozprawy na</w:t>
      </w:r>
      <w:r w:rsidR="003A41B6">
        <w:t> </w:t>
      </w:r>
      <w:r w:rsidR="0024318B">
        <w:t xml:space="preserve">26 września 2012 r., </w:t>
      </w:r>
      <w:r w:rsidR="00BB3468">
        <w:t xml:space="preserve">rozprawę tę </w:t>
      </w:r>
      <w:r w:rsidR="0024318B">
        <w:t xml:space="preserve">jednak odwołano z powodu nieobecności niektórych współoskarżonych. W ciągu kolejnych osiemnastu miesięcy sąd </w:t>
      </w:r>
      <w:r w:rsidR="00F612E5">
        <w:t>rozpoznający sprawę</w:t>
      </w:r>
      <w:r w:rsidR="0024318B">
        <w:t xml:space="preserve"> podejmował bezskuteczne próby wezwania wszystkich oskarżonych na rozprawę. Dopiero </w:t>
      </w:r>
      <w:r w:rsidR="00F612E5">
        <w:t xml:space="preserve">po tym </w:t>
      </w:r>
      <w:r w:rsidR="0024318B">
        <w:t xml:space="preserve">sąd postanowił wyłączyć </w:t>
      </w:r>
      <w:r w:rsidR="00F612E5">
        <w:t>do</w:t>
      </w:r>
      <w:r w:rsidR="003A41B6">
        <w:t> </w:t>
      </w:r>
      <w:r w:rsidR="00F612E5">
        <w:t xml:space="preserve">odrębnego rozpoznania ze sprawy przeciwko 6 innym oskarżonym </w:t>
      </w:r>
      <w:r w:rsidR="0024318B">
        <w:t xml:space="preserve">zarzuty </w:t>
      </w:r>
      <w:r w:rsidR="00F612E5">
        <w:t xml:space="preserve">przeciwko </w:t>
      </w:r>
      <w:r w:rsidR="0024318B">
        <w:t>skarżąc</w:t>
      </w:r>
      <w:r w:rsidR="00F612E5">
        <w:t>emu</w:t>
      </w:r>
      <w:r w:rsidR="0024318B">
        <w:t xml:space="preserve">. W dniu 5 marca 2014 r. </w:t>
      </w:r>
      <w:r w:rsidR="00F612E5">
        <w:t xml:space="preserve">odbył się </w:t>
      </w:r>
      <w:r w:rsidR="0024318B">
        <w:t>pierwsz</w:t>
      </w:r>
      <w:r w:rsidR="00F612E5">
        <w:t>y</w:t>
      </w:r>
      <w:r w:rsidR="0024318B">
        <w:t xml:space="preserve"> </w:t>
      </w:r>
      <w:r w:rsidR="00F612E5">
        <w:t>termin</w:t>
      </w:r>
      <w:r w:rsidR="0024318B">
        <w:t xml:space="preserve">. Łącznie </w:t>
      </w:r>
      <w:r w:rsidR="00F612E5">
        <w:t xml:space="preserve">miło miejsce </w:t>
      </w:r>
      <w:r w:rsidR="0024318B">
        <w:t xml:space="preserve">trzynaście </w:t>
      </w:r>
      <w:r w:rsidR="00F612E5">
        <w:t xml:space="preserve">terminów </w:t>
      </w:r>
      <w:r w:rsidR="0024318B">
        <w:t xml:space="preserve">i w dniu 23 lutego 2015 r. </w:t>
      </w:r>
      <w:r w:rsidR="00F612E5">
        <w:t>s</w:t>
      </w:r>
      <w:r w:rsidR="00DB7BB8">
        <w:t>ą</w:t>
      </w:r>
      <w:r w:rsidR="00F612E5">
        <w:t xml:space="preserve">d </w:t>
      </w:r>
      <w:r w:rsidR="0024318B">
        <w:t>wydał wyrok. Skarżący wniósł apelację.</w:t>
      </w:r>
    </w:p>
    <w:p w14:paraId="0D23191B" w14:textId="3D9E7601" w:rsidR="0024318B" w:rsidRPr="00D91FE4" w:rsidRDefault="0074701B" w:rsidP="00D91FE4">
      <w:pPr>
        <w:pStyle w:val="JuPara"/>
      </w:pPr>
      <w:r>
        <w:rPr>
          <w:noProof/>
        </w:rPr>
        <w:t>8</w:t>
      </w:r>
      <w:r w:rsidR="0024318B">
        <w:t>.</w:t>
      </w:r>
      <w:r w:rsidR="0059593C">
        <w:t xml:space="preserve"> </w:t>
      </w:r>
      <w:r w:rsidR="0024318B">
        <w:t>W dniu 24 września 2015 r. Sąd Apelacyjny w Białymstoku wydał wyrok.</w:t>
      </w:r>
    </w:p>
    <w:p w14:paraId="1686C886" w14:textId="4644D7D4" w:rsidR="0024318B" w:rsidRPr="00D91FE4" w:rsidRDefault="0074701B" w:rsidP="00D91FE4">
      <w:pPr>
        <w:pStyle w:val="JuPara"/>
      </w:pPr>
      <w:r>
        <w:rPr>
          <w:noProof/>
        </w:rPr>
        <w:t>9</w:t>
      </w:r>
      <w:r w:rsidR="0024318B">
        <w:t>.</w:t>
      </w:r>
      <w:r w:rsidR="0059593C">
        <w:t xml:space="preserve"> </w:t>
      </w:r>
      <w:r w:rsidR="0024318B">
        <w:t>Skarżący wniósł kasację.</w:t>
      </w:r>
    </w:p>
    <w:p w14:paraId="4BC77A7F" w14:textId="3979EF13" w:rsidR="0024318B" w:rsidRPr="00D91FE4" w:rsidRDefault="0074701B" w:rsidP="00D91FE4">
      <w:pPr>
        <w:pStyle w:val="JuPara"/>
      </w:pPr>
      <w:r>
        <w:rPr>
          <w:noProof/>
        </w:rPr>
        <w:t>10</w:t>
      </w:r>
      <w:r w:rsidR="0024318B">
        <w:t>.</w:t>
      </w:r>
      <w:r w:rsidR="0059593C">
        <w:t xml:space="preserve"> </w:t>
      </w:r>
      <w:r w:rsidR="0024318B">
        <w:t>W dniu 11 października 2016</w:t>
      </w:r>
      <w:r w:rsidR="0059593C">
        <w:t xml:space="preserve"> </w:t>
      </w:r>
      <w:r w:rsidR="0024318B">
        <w:t>r. Sąd Najwyższy oddalił kasację, uznając ją za oczywiście bezzasadną.</w:t>
      </w:r>
    </w:p>
    <w:p w14:paraId="3EB32E5B" w14:textId="77777777" w:rsidR="0024318B" w:rsidRPr="00D91FE4" w:rsidRDefault="0024318B" w:rsidP="00D91FE4">
      <w:pPr>
        <w:pStyle w:val="JuHIRoman"/>
      </w:pPr>
      <w:r>
        <w:t>Postępowanie na podstawie ustawy z 2004 r.</w:t>
      </w:r>
    </w:p>
    <w:p w14:paraId="7B063930" w14:textId="63655325" w:rsidR="0024318B" w:rsidRPr="00D91FE4" w:rsidRDefault="0074701B" w:rsidP="00D91FE4">
      <w:pPr>
        <w:pStyle w:val="JuPara"/>
      </w:pPr>
      <w:r>
        <w:rPr>
          <w:noProof/>
        </w:rPr>
        <w:t>11</w:t>
      </w:r>
      <w:r w:rsidR="0024318B">
        <w:t>.</w:t>
      </w:r>
      <w:r w:rsidR="0059593C">
        <w:t xml:space="preserve"> </w:t>
      </w:r>
      <w:r w:rsidR="0024318B">
        <w:t>W dniu 26 września 2016 r. skarżący wniósł skargę na podstawie ustawy z dnia 17</w:t>
      </w:r>
      <w:r w:rsidR="0059593C">
        <w:t xml:space="preserve"> </w:t>
      </w:r>
      <w:r w:rsidR="0024318B">
        <w:t>czerwca 2004</w:t>
      </w:r>
      <w:r w:rsidR="0059593C">
        <w:t xml:space="preserve"> </w:t>
      </w:r>
      <w:r w:rsidR="0024318B">
        <w:t>r. o</w:t>
      </w:r>
      <w:r w:rsidR="0059593C">
        <w:t xml:space="preserve"> </w:t>
      </w:r>
      <w:r w:rsidR="0024318B">
        <w:t>skardze na naruszenie prawa strony do</w:t>
      </w:r>
      <w:r w:rsidR="003A41B6">
        <w:t> </w:t>
      </w:r>
      <w:r w:rsidR="0024318B">
        <w:t>rozpoznania sprawy w</w:t>
      </w:r>
      <w:r w:rsidR="0059593C">
        <w:t xml:space="preserve"> </w:t>
      </w:r>
      <w:r w:rsidR="0024318B">
        <w:t xml:space="preserve">postępowaniu sądowym bez nieuzasadnionej zwłoki </w:t>
      </w:r>
      <w:r w:rsidR="00C21F62">
        <w:t>(</w:t>
      </w:r>
      <w:r w:rsidR="0024318B">
        <w:t>„ustaw</w:t>
      </w:r>
      <w:r w:rsidR="00C21F62">
        <w:t>a</w:t>
      </w:r>
      <w:r w:rsidR="0024318B">
        <w:t xml:space="preserve"> z 2004</w:t>
      </w:r>
      <w:r w:rsidR="0059593C">
        <w:t xml:space="preserve"> </w:t>
      </w:r>
      <w:r w:rsidR="0024318B">
        <w:t>r.”</w:t>
      </w:r>
      <w:r w:rsidR="00C21F62">
        <w:t>)</w:t>
      </w:r>
      <w:r w:rsidR="0024318B">
        <w:t>. Skarżący w szczególności zarzuc</w:t>
      </w:r>
      <w:r w:rsidR="00C21F62">
        <w:t>i</w:t>
      </w:r>
      <w:r w:rsidR="0024318B">
        <w:t>ł</w:t>
      </w:r>
      <w:r w:rsidR="00C21F62">
        <w:t>, że</w:t>
      </w:r>
      <w:r w:rsidR="0024318B">
        <w:t xml:space="preserve"> Sąd Okręgow</w:t>
      </w:r>
      <w:r w:rsidR="00C21F62">
        <w:t>y</w:t>
      </w:r>
      <w:r w:rsidR="0024318B">
        <w:t xml:space="preserve"> w Białymstoku i Sąd Apelacyjn</w:t>
      </w:r>
      <w:r w:rsidR="00C21F62">
        <w:t>y były odpowiedzialne za</w:t>
      </w:r>
      <w:r w:rsidR="0024318B">
        <w:t xml:space="preserve"> liczne opóźnienia, które </w:t>
      </w:r>
      <w:r w:rsidR="00C21F62">
        <w:t>skutkowały</w:t>
      </w:r>
      <w:r w:rsidR="0024318B">
        <w:t xml:space="preserve"> </w:t>
      </w:r>
      <w:r w:rsidR="00C21F62">
        <w:t xml:space="preserve">ogólną </w:t>
      </w:r>
      <w:r w:rsidR="005253F8">
        <w:t>nadmierną długością</w:t>
      </w:r>
      <w:r w:rsidR="0024318B">
        <w:t xml:space="preserve"> postępowania karnego</w:t>
      </w:r>
      <w:r w:rsidR="005253F8">
        <w:t xml:space="preserve"> przeciwko niemu</w:t>
      </w:r>
      <w:r w:rsidR="0024318B">
        <w:t xml:space="preserve">. Skarżący domagał się kwoty 20 000 złotych (PLN) tytułem </w:t>
      </w:r>
      <w:r w:rsidR="005253F8">
        <w:t>rekompensaty</w:t>
      </w:r>
      <w:r w:rsidR="0024318B">
        <w:t>.</w:t>
      </w:r>
    </w:p>
    <w:p w14:paraId="38CCE85D" w14:textId="27739438" w:rsidR="0024318B" w:rsidRPr="00D91FE4" w:rsidRDefault="0074701B" w:rsidP="00D91FE4">
      <w:pPr>
        <w:pStyle w:val="JuPara"/>
      </w:pPr>
      <w:bookmarkStart w:id="6" w:name="LOPcomplaintLEftNOEX"/>
      <w:r>
        <w:rPr>
          <w:noProof/>
        </w:rPr>
        <w:t>12</w:t>
      </w:r>
      <w:bookmarkEnd w:id="6"/>
      <w:r w:rsidR="0024318B">
        <w:t>.</w:t>
      </w:r>
      <w:r w:rsidR="0059593C">
        <w:t xml:space="preserve"> </w:t>
      </w:r>
      <w:r w:rsidR="0024318B">
        <w:t>Postanowieniem z dnia 9 grudnia 2016 r. (sygn. akt II</w:t>
      </w:r>
      <w:r w:rsidR="005253F8">
        <w:t xml:space="preserve"> S</w:t>
      </w:r>
      <w:r w:rsidR="0024318B">
        <w:t xml:space="preserve"> 20/16) Sąd Apelacyjny w Białymstoku pozostawił skargę bez rozpoznania. Sąd uznał, że</w:t>
      </w:r>
      <w:r w:rsidR="003A41B6">
        <w:t> </w:t>
      </w:r>
      <w:r w:rsidR="0024318B">
        <w:t>skarga nie została wniesiona w toku właściwego postępowania, tj. przed wydaniem wyroku przez sąd drugiej</w:t>
      </w:r>
      <w:r>
        <w:t xml:space="preserve"> </w:t>
      </w:r>
      <w:r w:rsidR="0024318B">
        <w:t>instancji.</w:t>
      </w:r>
    </w:p>
    <w:p w14:paraId="27FB106D" w14:textId="77777777" w:rsidR="0024318B" w:rsidRPr="00D91FE4" w:rsidRDefault="0024318B" w:rsidP="00D91FE4">
      <w:pPr>
        <w:pStyle w:val="JuHHead"/>
        <w:jc w:val="left"/>
      </w:pPr>
      <w:r>
        <w:t>WŁAŚCIWE RAMY PRAWNE I PRAKTYKA</w:t>
      </w:r>
    </w:p>
    <w:p w14:paraId="65B1FADD" w14:textId="2DF26FE3" w:rsidR="0024318B" w:rsidRPr="00D91FE4" w:rsidRDefault="0074701B" w:rsidP="00D91FE4">
      <w:pPr>
        <w:pStyle w:val="JuPara"/>
      </w:pPr>
      <w:r>
        <w:rPr>
          <w:noProof/>
        </w:rPr>
        <w:t>13</w:t>
      </w:r>
      <w:r w:rsidR="0024318B">
        <w:t>.</w:t>
      </w:r>
      <w:r w:rsidR="0059593C">
        <w:t xml:space="preserve"> </w:t>
      </w:r>
      <w:r w:rsidR="0024318B">
        <w:t xml:space="preserve">Szczegółowy opis właściwego prawa krajowego i praktyki </w:t>
      </w:r>
      <w:r w:rsidR="005253F8">
        <w:t>dotyczących</w:t>
      </w:r>
      <w:r w:rsidR="0024318B">
        <w:t xml:space="preserve"> środków </w:t>
      </w:r>
      <w:r w:rsidR="005253F8">
        <w:t xml:space="preserve">odnoszących się do </w:t>
      </w:r>
      <w:r w:rsidR="0024318B">
        <w:t>przewlekłoś</w:t>
      </w:r>
      <w:r w:rsidR="005253F8">
        <w:t>ci</w:t>
      </w:r>
      <w:r w:rsidR="0024318B">
        <w:t xml:space="preserve"> postępowa</w:t>
      </w:r>
      <w:r w:rsidR="005253F8">
        <w:t>ń</w:t>
      </w:r>
      <w:r w:rsidR="0024318B">
        <w:t xml:space="preserve"> sądow</w:t>
      </w:r>
      <w:r w:rsidR="005253F8">
        <w:t>ych</w:t>
      </w:r>
      <w:r w:rsidR="0024318B">
        <w:t xml:space="preserve"> – w szczególności </w:t>
      </w:r>
      <w:r w:rsidR="005253F8">
        <w:t xml:space="preserve">mających zastosowanie </w:t>
      </w:r>
      <w:r w:rsidR="0024318B">
        <w:t>przepisów ustawy z</w:t>
      </w:r>
      <w:r w:rsidR="003A41B6">
        <w:t> </w:t>
      </w:r>
      <w:r w:rsidR="0024318B">
        <w:t xml:space="preserve"> 2004 r. – </w:t>
      </w:r>
      <w:r w:rsidR="005253F8">
        <w:t>został zaprezentowany</w:t>
      </w:r>
      <w:r w:rsidR="0024318B">
        <w:t xml:space="preserve"> w decyzjach Trybunału w sprawach </w:t>
      </w:r>
      <w:r w:rsidR="0024318B">
        <w:rPr>
          <w:i/>
          <w:iCs/>
        </w:rPr>
        <w:t>Charzyński przeciwko Polsce</w:t>
      </w:r>
      <w:r w:rsidR="0024318B">
        <w:t xml:space="preserve"> ((dec.), skarga nr</w:t>
      </w:r>
      <w:r w:rsidR="0059593C">
        <w:t xml:space="preserve"> </w:t>
      </w:r>
      <w:r w:rsidR="0024318B">
        <w:t xml:space="preserve">15212/03, §§ 12-23, ETPC 2005-V) oraz </w:t>
      </w:r>
      <w:r w:rsidR="0024318B">
        <w:rPr>
          <w:i/>
          <w:iCs/>
        </w:rPr>
        <w:t>Ratajczyk przeciwko Polsce</w:t>
      </w:r>
      <w:r w:rsidR="0024318B">
        <w:t xml:space="preserve"> ((dec.), skarga nr 11215/02, ETPC </w:t>
      </w:r>
      <w:r w:rsidR="0024318B">
        <w:lastRenderedPageBreak/>
        <w:t xml:space="preserve">2005-VIII), a także w wyrokach w sprawach </w:t>
      </w:r>
      <w:r w:rsidR="0024318B">
        <w:rPr>
          <w:i/>
          <w:iCs/>
        </w:rPr>
        <w:t>Krasuski przeciwko Polsce</w:t>
      </w:r>
      <w:r w:rsidR="0024318B">
        <w:t xml:space="preserve"> (skarga nr 61444/00, §§ 34-46, ETPC 2005-V) oraz </w:t>
      </w:r>
      <w:r w:rsidR="005320DE">
        <w:t>ostatnio w</w:t>
      </w:r>
      <w:r w:rsidR="0024318B">
        <w:t xml:space="preserve"> sprawie </w:t>
      </w:r>
      <w:r w:rsidR="0024318B">
        <w:rPr>
          <w:i/>
          <w:iCs/>
        </w:rPr>
        <w:t>Rutkowski i Inni przeciwko Polsce</w:t>
      </w:r>
      <w:r w:rsidR="0024318B">
        <w:t xml:space="preserve"> (skargi nr 72287/10, 13927/11 i 46187/11, §§ 75-107, 7 lipca 2015 r.).</w:t>
      </w:r>
    </w:p>
    <w:p w14:paraId="77F1E53F" w14:textId="77777777" w:rsidR="0024318B" w:rsidRPr="00D91FE4" w:rsidRDefault="0024318B" w:rsidP="00D91FE4">
      <w:pPr>
        <w:pStyle w:val="JuHHead"/>
        <w:numPr>
          <w:ilvl w:val="0"/>
          <w:numId w:val="1"/>
        </w:numPr>
        <w:jc w:val="left"/>
      </w:pPr>
      <w:r>
        <w:t>PRAWO</w:t>
      </w:r>
    </w:p>
    <w:p w14:paraId="15F4907C" w14:textId="5084AD53" w:rsidR="0024318B" w:rsidRPr="00D91FE4" w:rsidRDefault="0024318B" w:rsidP="00D91FE4">
      <w:pPr>
        <w:pStyle w:val="JuHIRoman"/>
        <w:tabs>
          <w:tab w:val="clear" w:pos="454"/>
          <w:tab w:val="clear" w:pos="567"/>
          <w:tab w:val="clear" w:pos="680"/>
        </w:tabs>
        <w:ind w:left="357" w:hanging="357"/>
        <w:jc w:val="left"/>
      </w:pPr>
      <w:r>
        <w:t>ZARZUCANE NARUSZENIE ART.</w:t>
      </w:r>
      <w:r w:rsidR="0059593C">
        <w:t xml:space="preserve"> </w:t>
      </w:r>
      <w:r>
        <w:t>6 UST.</w:t>
      </w:r>
      <w:r w:rsidR="0059593C">
        <w:t xml:space="preserve"> </w:t>
      </w:r>
      <w:r>
        <w:t>1 KONWENCJI</w:t>
      </w:r>
    </w:p>
    <w:p w14:paraId="62579C6B" w14:textId="48E8E12D" w:rsidR="0024318B" w:rsidRPr="00D91FE4" w:rsidRDefault="0074701B" w:rsidP="00D91FE4">
      <w:pPr>
        <w:pStyle w:val="JuPara"/>
      </w:pPr>
      <w:r>
        <w:rPr>
          <w:noProof/>
        </w:rPr>
        <w:t>14</w:t>
      </w:r>
      <w:r w:rsidR="0024318B">
        <w:t>.</w:t>
      </w:r>
      <w:r w:rsidR="0059593C">
        <w:t xml:space="preserve"> </w:t>
      </w:r>
      <w:r w:rsidR="0024318B">
        <w:t>Skarżący zarzucił, że czas trwania postępowania był niezgodny z</w:t>
      </w:r>
      <w:r w:rsidR="003A41B6">
        <w:t> </w:t>
      </w:r>
      <w:r w:rsidR="0024318B">
        <w:t>wymogiem „rozsądnego terminu”</w:t>
      </w:r>
      <w:r w:rsidR="005320DE">
        <w:t xml:space="preserve"> przewidzian</w:t>
      </w:r>
      <w:r w:rsidR="00D10FF8">
        <w:t>ym</w:t>
      </w:r>
      <w:r w:rsidR="005320DE">
        <w:t xml:space="preserve"> w </w:t>
      </w:r>
      <w:r w:rsidR="0024318B">
        <w:t>art. 6 ust. 1 Konwencji, który stanowi:</w:t>
      </w:r>
    </w:p>
    <w:p w14:paraId="561897A0" w14:textId="29134800" w:rsidR="0024318B" w:rsidRPr="00D91FE4" w:rsidRDefault="0024318B" w:rsidP="00D91FE4">
      <w:pPr>
        <w:pStyle w:val="JuQuot"/>
      </w:pPr>
      <w:r>
        <w:t>„Każdy ma prawo do</w:t>
      </w:r>
      <w:r w:rsidR="00C442E6">
        <w:t xml:space="preserve"> </w:t>
      </w:r>
      <w:r w:rsidR="00C442E6">
        <w:t>[…]</w:t>
      </w:r>
      <w:r>
        <w:t xml:space="preserve">rozpatrzenia jego sprawy w rozsądnym terminie przez [...] sąd [...] przy rozstrzyganiu [...] </w:t>
      </w:r>
      <w:r w:rsidR="008D0C9A">
        <w:t xml:space="preserve">o </w:t>
      </w:r>
      <w:r w:rsidR="00C442E6">
        <w:t xml:space="preserve">zasadności </w:t>
      </w:r>
      <w:r>
        <w:t>każdego oskarżenia w wytoczonej przeciwko niemu sprawie karnej.”</w:t>
      </w:r>
    </w:p>
    <w:p w14:paraId="087DBE67" w14:textId="0A4E12CF" w:rsidR="0024318B" w:rsidRPr="00D91FE4" w:rsidRDefault="0074701B" w:rsidP="00D91FE4">
      <w:pPr>
        <w:pStyle w:val="JuPara"/>
      </w:pPr>
      <w:r>
        <w:rPr>
          <w:noProof/>
        </w:rPr>
        <w:t>15</w:t>
      </w:r>
      <w:r w:rsidR="0024318B">
        <w:t>.</w:t>
      </w:r>
      <w:r w:rsidR="0059593C">
        <w:t xml:space="preserve"> </w:t>
      </w:r>
      <w:r w:rsidR="0024318B">
        <w:t>Rząd nie podzielił tego stanowiska.</w:t>
      </w:r>
    </w:p>
    <w:p w14:paraId="5AFE30C3" w14:textId="1FCF19F2" w:rsidR="0024318B" w:rsidRPr="00D91FE4" w:rsidRDefault="0074701B" w:rsidP="00D91FE4">
      <w:pPr>
        <w:pStyle w:val="JuPara"/>
      </w:pPr>
      <w:r>
        <w:rPr>
          <w:noProof/>
        </w:rPr>
        <w:t>16</w:t>
      </w:r>
      <w:r w:rsidR="0024318B">
        <w:t>.</w:t>
      </w:r>
      <w:r w:rsidR="0059593C">
        <w:t xml:space="preserve"> </w:t>
      </w:r>
      <w:r w:rsidR="0024318B">
        <w:t xml:space="preserve">Okres, który należy wziąć pod uwagę, rozpoczął się w dniu 25 maja 2008 r. i zakończył się w dniu 11 października 2016 r. Postępowanie </w:t>
      </w:r>
      <w:r w:rsidR="00D10FF8">
        <w:t>trwało zatem</w:t>
      </w:r>
      <w:r w:rsidR="0024318B">
        <w:t xml:space="preserve"> osiem lat</w:t>
      </w:r>
      <w:r w:rsidR="00DB34AD">
        <w:t xml:space="preserve"> i</w:t>
      </w:r>
      <w:r w:rsidR="0024318B">
        <w:t xml:space="preserve"> prawie pięć miesięcy</w:t>
      </w:r>
      <w:r w:rsidR="00DB34AD">
        <w:t>,</w:t>
      </w:r>
      <w:r w:rsidR="0024318B">
        <w:t xml:space="preserve"> w trzech instancjach.</w:t>
      </w:r>
    </w:p>
    <w:p w14:paraId="64A17D48" w14:textId="77777777" w:rsidR="0024318B" w:rsidRPr="00D91FE4" w:rsidRDefault="0024318B" w:rsidP="00D91FE4">
      <w:pPr>
        <w:pStyle w:val="JuHA"/>
        <w:ind w:left="584" w:hanging="352"/>
        <w:jc w:val="left"/>
      </w:pPr>
      <w:r>
        <w:t>Dopuszczalność</w:t>
      </w:r>
    </w:p>
    <w:p w14:paraId="22502832" w14:textId="4B4F81C4" w:rsidR="0024318B" w:rsidRPr="00D91FE4" w:rsidRDefault="0074701B" w:rsidP="00D91FE4">
      <w:pPr>
        <w:pStyle w:val="JuPara"/>
      </w:pPr>
      <w:r>
        <w:rPr>
          <w:noProof/>
        </w:rPr>
        <w:t>17</w:t>
      </w:r>
      <w:r w:rsidR="0024318B">
        <w:t>.</w:t>
      </w:r>
      <w:r w:rsidR="0059593C">
        <w:t xml:space="preserve"> </w:t>
      </w:r>
      <w:r w:rsidR="0024318B">
        <w:t xml:space="preserve">Rząd </w:t>
      </w:r>
      <w:r w:rsidR="002E3E38">
        <w:t xml:space="preserve">podniósł </w:t>
      </w:r>
      <w:r w:rsidR="0024318B">
        <w:t xml:space="preserve">zastrzeżenie wstępne dotyczące niewyczerpania </w:t>
      </w:r>
      <w:r w:rsidR="002E3E38">
        <w:t xml:space="preserve">środków </w:t>
      </w:r>
      <w:r w:rsidR="0024318B">
        <w:t>krajowych. Twierdził, że skarżący nie złożył skargi na przewlekłość postępowania na podstawie ustawy z 2004 r. w czasie, gdy postępowanie toczyło się przed sądami pierwszej i drugiej instancji. Rząd zauważył, że</w:t>
      </w:r>
      <w:r w:rsidR="003A41B6">
        <w:t> </w:t>
      </w:r>
      <w:r w:rsidR="0024318B">
        <w:t xml:space="preserve">zgodnie z prawem krajowym skarga może być wniesiona wyłącznie „w toku postępowania”. Tymczasem skarżący wniósł skargę po zakończeniu postępowania, na etapie postępowania kasacyjnego. Tym samym skarżący nie uczynił zadość formalnym wymogom wynikającym z prawa krajowego. Po drugie, po zakończeniu postępowania skarżący miał możliwość skorzystania z innego środka, a mianowicie wystąpienia z powództwem cywilnym </w:t>
      </w:r>
      <w:r w:rsidR="002E3E38">
        <w:t>na podstawie</w:t>
      </w:r>
      <w:r w:rsidR="0024318B">
        <w:t xml:space="preserve"> art. 417 Kodeksu cywilnego.</w:t>
      </w:r>
    </w:p>
    <w:p w14:paraId="7822D55C" w14:textId="27668B9B" w:rsidR="0024318B" w:rsidRPr="00D91FE4" w:rsidRDefault="0074701B" w:rsidP="00D91FE4">
      <w:pPr>
        <w:pStyle w:val="JuPara"/>
      </w:pPr>
      <w:r>
        <w:rPr>
          <w:noProof/>
        </w:rPr>
        <w:t>18</w:t>
      </w:r>
      <w:r w:rsidR="0024318B">
        <w:t>.</w:t>
      </w:r>
      <w:r w:rsidR="0059593C">
        <w:t xml:space="preserve"> </w:t>
      </w:r>
      <w:r w:rsidR="0024318B">
        <w:t xml:space="preserve">Skarżący kwestionował argumenty Rządu. Twierdził, że postępowanie w jego sprawie zakończyło się </w:t>
      </w:r>
      <w:r w:rsidR="002E3E38">
        <w:t xml:space="preserve">orzeczeniem </w:t>
      </w:r>
      <w:r w:rsidR="0024318B">
        <w:t xml:space="preserve">Sądu Najwyższego i że </w:t>
      </w:r>
      <w:r w:rsidR="002E3E38">
        <w:t>takie podejście</w:t>
      </w:r>
      <w:r w:rsidR="0024318B">
        <w:t xml:space="preserve"> kilk</w:t>
      </w:r>
      <w:r w:rsidR="002E3E38">
        <w:t>a</w:t>
      </w:r>
      <w:r w:rsidR="0024318B">
        <w:t xml:space="preserve">krotnie </w:t>
      </w:r>
      <w:r w:rsidR="002E3E38">
        <w:t xml:space="preserve">zostało </w:t>
      </w:r>
      <w:r w:rsidR="0024318B">
        <w:t>potwierdz</w:t>
      </w:r>
      <w:r w:rsidR="002E3E38">
        <w:t>one przez</w:t>
      </w:r>
      <w:r w:rsidR="0024318B">
        <w:t xml:space="preserve"> Trybunał. Skarżący twierdził, że polskie sądy nie zastosowały środka odwoławczego z ustawy z</w:t>
      </w:r>
      <w:r w:rsidR="003A41B6">
        <w:t> </w:t>
      </w:r>
      <w:r w:rsidR="0024318B">
        <w:t>2004 r. zgodnie ze standardami Trybunału. Jeśli chodzi o możliwość wystąpienia z powództwem do sądu cywilnego po zakończeniu postępowania, skarżący uznał, że taki środek nie byłby skuteczny w jego sprawie i nie zapewniłby mu słusznego zadośćuczynienia.</w:t>
      </w:r>
    </w:p>
    <w:p w14:paraId="6B602A66" w14:textId="679B4619" w:rsidR="0024318B" w:rsidRPr="00D91FE4" w:rsidRDefault="0074701B" w:rsidP="00D91FE4">
      <w:pPr>
        <w:pStyle w:val="JuPara"/>
      </w:pPr>
      <w:bookmarkStart w:id="7" w:name="fragmentation"/>
      <w:r>
        <w:rPr>
          <w:noProof/>
        </w:rPr>
        <w:t>19</w:t>
      </w:r>
      <w:bookmarkEnd w:id="7"/>
      <w:r w:rsidR="0024318B">
        <w:t>.</w:t>
      </w:r>
      <w:r w:rsidR="0059593C">
        <w:t xml:space="preserve"> </w:t>
      </w:r>
      <w:r w:rsidR="0024318B">
        <w:t>W tym kontekście należy powtórzyć, że w pilotażowym wyroku w</w:t>
      </w:r>
      <w:r w:rsidR="003A41B6">
        <w:t> </w:t>
      </w:r>
      <w:r w:rsidR="0024318B">
        <w:t xml:space="preserve">sprawie </w:t>
      </w:r>
      <w:r w:rsidR="0024318B">
        <w:rPr>
          <w:i/>
        </w:rPr>
        <w:t>Rutkowski</w:t>
      </w:r>
      <w:r w:rsidR="0024318B">
        <w:t xml:space="preserve"> Trybunał uznał, że krajowa praktyka znana jako „fragmentacja postępowania” stanowi</w:t>
      </w:r>
      <w:r w:rsidR="00866505">
        <w:t>ła</w:t>
      </w:r>
      <w:r w:rsidR="0024318B">
        <w:t xml:space="preserve"> jeden z głównych elementów </w:t>
      </w:r>
      <w:r w:rsidR="0024318B">
        <w:lastRenderedPageBreak/>
        <w:t>systemowej dysfunkcji środka wprowadzonego ustawą z 2004 r. Fragmentacja polegała na nieuwzględnieniu przez sądy postępowa</w:t>
      </w:r>
      <w:r w:rsidR="00866505">
        <w:t>ń</w:t>
      </w:r>
      <w:r w:rsidR="0024318B">
        <w:t xml:space="preserve"> </w:t>
      </w:r>
      <w:r w:rsidR="00866505">
        <w:t>w</w:t>
      </w:r>
      <w:r w:rsidR="003A41B6">
        <w:t> </w:t>
      </w:r>
      <w:r w:rsidR="0024318B">
        <w:t>całości, co miało decydując</w:t>
      </w:r>
      <w:r w:rsidR="00875A64">
        <w:t>e skutki dla rozstrzyg</w:t>
      </w:r>
      <w:r w:rsidR="007C45DA">
        <w:t>a</w:t>
      </w:r>
      <w:r w:rsidR="007C45DA">
        <w:t>nia</w:t>
      </w:r>
      <w:r w:rsidR="00875A64">
        <w:t xml:space="preserve"> roszczeń odszkodowawczych</w:t>
      </w:r>
      <w:r w:rsidR="0024318B">
        <w:t xml:space="preserve"> skarżąc</w:t>
      </w:r>
      <w:r w:rsidR="00875A64">
        <w:t>ych</w:t>
      </w:r>
      <w:r w:rsidR="0024318B">
        <w:t xml:space="preserve">, które albo </w:t>
      </w:r>
      <w:r w:rsidR="007C45DA">
        <w:t xml:space="preserve">były </w:t>
      </w:r>
      <w:r w:rsidR="0024318B">
        <w:t>odrzuc</w:t>
      </w:r>
      <w:r w:rsidR="008D0C9A">
        <w:t>a</w:t>
      </w:r>
      <w:r w:rsidR="0024318B">
        <w:t>ne w całości jako bezzasadne, albo uwzględni</w:t>
      </w:r>
      <w:r w:rsidR="007C45DA">
        <w:t>a</w:t>
      </w:r>
      <w:r w:rsidR="0024318B">
        <w:t xml:space="preserve">ne tylko w części (zob. </w:t>
      </w:r>
      <w:r w:rsidR="0024318B">
        <w:rPr>
          <w:i/>
        </w:rPr>
        <w:t>Rutkowski i Inni</w:t>
      </w:r>
      <w:r w:rsidR="0024318B">
        <w:t xml:space="preserve">, </w:t>
      </w:r>
      <w:r w:rsidR="00866505">
        <w:rPr>
          <w:i/>
          <w:iCs/>
        </w:rPr>
        <w:t>cyt.</w:t>
      </w:r>
      <w:r w:rsidR="003A41B6">
        <w:rPr>
          <w:i/>
          <w:iCs/>
        </w:rPr>
        <w:t> </w:t>
      </w:r>
      <w:r w:rsidR="00866505">
        <w:rPr>
          <w:i/>
          <w:iCs/>
        </w:rPr>
        <w:t>pow.</w:t>
      </w:r>
      <w:r w:rsidR="0024318B">
        <w:t>, § 181).</w:t>
      </w:r>
    </w:p>
    <w:p w14:paraId="63476E2F" w14:textId="7ECF2C47" w:rsidR="0024318B" w:rsidRPr="00D91FE4" w:rsidRDefault="0074701B" w:rsidP="00D91FE4">
      <w:pPr>
        <w:pStyle w:val="JuPara"/>
      </w:pPr>
      <w:r>
        <w:rPr>
          <w:noProof/>
        </w:rPr>
        <w:t>20</w:t>
      </w:r>
      <w:r w:rsidR="0024318B">
        <w:t>.</w:t>
      </w:r>
      <w:r w:rsidR="0059593C">
        <w:t xml:space="preserve"> </w:t>
      </w:r>
      <w:r w:rsidR="0024318B">
        <w:t>Trybunał uważa, że niniejsza sprawa sprowadza się głównie do</w:t>
      </w:r>
      <w:r w:rsidR="003A41B6">
        <w:t> </w:t>
      </w:r>
      <w:r w:rsidR="0024318B">
        <w:t xml:space="preserve">pytania, czy w kontekście proceduralnym skargi z </w:t>
      </w:r>
      <w:r w:rsidR="001D3EB3">
        <w:t xml:space="preserve">ustawy z </w:t>
      </w:r>
      <w:r w:rsidR="0024318B">
        <w:t>2004 r.</w:t>
      </w:r>
      <w:r w:rsidR="00A7722A">
        <w:t>,</w:t>
      </w:r>
      <w:r w:rsidR="0024318B">
        <w:t xml:space="preserve"> wniesionej w czasie, gdy postępowanie główne toczyło się przed Sądem Najwyższym, należy uznać, że skarżący wyczerpał </w:t>
      </w:r>
      <w:r w:rsidR="001D3EB3">
        <w:t xml:space="preserve">środki </w:t>
      </w:r>
      <w:r w:rsidR="0024318B">
        <w:t>krajowe. Na</w:t>
      </w:r>
      <w:r w:rsidR="003A41B6">
        <w:t> </w:t>
      </w:r>
      <w:r w:rsidR="0024318B">
        <w:t xml:space="preserve">identyczne pytanie Trybunał udzielił już odpowiedzi w niedawno rozpatrywanej sprawie przeciwko Polsce (zob. </w:t>
      </w:r>
      <w:r w:rsidR="0024318B">
        <w:rPr>
          <w:i/>
        </w:rPr>
        <w:t>Zborowski przeciwko Polsce</w:t>
      </w:r>
      <w:r w:rsidR="0024318B">
        <w:t xml:space="preserve">, skarga nr 72950/13, 26 marca 2020 r.). Trybunał stwierdził, że </w:t>
      </w:r>
      <w:r w:rsidR="00A7722A">
        <w:t xml:space="preserve">skargę </w:t>
      </w:r>
      <w:r w:rsidR="0024318B">
        <w:t>wniesioną przez skarżącego na podstawie ustawy z 2004 r. w czasie, gdy</w:t>
      </w:r>
      <w:r w:rsidR="003A41B6">
        <w:t> </w:t>
      </w:r>
      <w:r w:rsidR="0024318B">
        <w:t xml:space="preserve">postępowanie główne toczyło się przed Sądem Najwyższym, należy uznać za wniesioną w toku postępowania (ibid. § 38). Ponadto, </w:t>
      </w:r>
      <w:r w:rsidR="001D3EB3">
        <w:t>żądanie od</w:t>
      </w:r>
      <w:r w:rsidR="003A41B6">
        <w:t> </w:t>
      </w:r>
      <w:r w:rsidR="0024318B">
        <w:t>skarżącego podjęci</w:t>
      </w:r>
      <w:r w:rsidR="005F52BB">
        <w:t>a</w:t>
      </w:r>
      <w:r w:rsidR="0024318B">
        <w:t xml:space="preserve"> próby skorzystania </w:t>
      </w:r>
      <w:r w:rsidR="005F52BB">
        <w:rPr>
          <w:i/>
        </w:rPr>
        <w:t>ex post facto</w:t>
      </w:r>
      <w:r w:rsidR="005F52BB">
        <w:t xml:space="preserve"> </w:t>
      </w:r>
      <w:r w:rsidR="0024318B">
        <w:t>z innego środka poprzez wniesienie pozwu cywilnego po zakończeniu postępowania przekr</w:t>
      </w:r>
      <w:r w:rsidR="005F52BB">
        <w:t>a</w:t>
      </w:r>
      <w:r w:rsidR="0024318B">
        <w:t>cz</w:t>
      </w:r>
      <w:r w:rsidR="005F52BB">
        <w:t>ałoby</w:t>
      </w:r>
      <w:r w:rsidR="0024318B">
        <w:t xml:space="preserve"> jego obowiązk</w:t>
      </w:r>
      <w:r w:rsidR="005F52BB">
        <w:t>i</w:t>
      </w:r>
      <w:r w:rsidR="0024318B">
        <w:t xml:space="preserve"> z art. 35 ust. 1 Konwencji.</w:t>
      </w:r>
    </w:p>
    <w:p w14:paraId="465AE6E7" w14:textId="0956B9D0" w:rsidR="0024318B" w:rsidRPr="00D91FE4" w:rsidRDefault="0074701B" w:rsidP="00D91FE4">
      <w:pPr>
        <w:pStyle w:val="JuPara"/>
      </w:pPr>
      <w:r>
        <w:rPr>
          <w:noProof/>
        </w:rPr>
        <w:t>21</w:t>
      </w:r>
      <w:r w:rsidR="0024318B">
        <w:t xml:space="preserve"> Trybunał nie </w:t>
      </w:r>
      <w:r w:rsidR="005F52BB">
        <w:t xml:space="preserve">widzi </w:t>
      </w:r>
      <w:r w:rsidR="0024318B">
        <w:t>powodu, dla którego miałby odstąpić od</w:t>
      </w:r>
      <w:r w:rsidR="003A41B6">
        <w:t> </w:t>
      </w:r>
      <w:r w:rsidR="0024318B">
        <w:t xml:space="preserve">powyższego </w:t>
      </w:r>
      <w:r w:rsidR="005F52BB">
        <w:t>podejścia</w:t>
      </w:r>
      <w:r w:rsidR="0024318B">
        <w:t xml:space="preserve"> w rozpatrywanej sprawie. Skarżący wniósł skargę na podstawie ustawy z 2004 r. na etapie postępowania kasacyjnego, ale w</w:t>
      </w:r>
      <w:r w:rsidR="003A41B6">
        <w:t> </w:t>
      </w:r>
      <w:r w:rsidR="0024318B">
        <w:t xml:space="preserve">dniu 9 grudnia 2016 r. Sąd Apelacyjny w Białymstoku pozostawił ją bez rozpoznania (zob. paragraf </w:t>
      </w:r>
      <w:r>
        <w:rPr>
          <w:noProof/>
        </w:rPr>
        <w:t>12</w:t>
      </w:r>
      <w:r w:rsidR="0024318B">
        <w:t xml:space="preserve"> powyżej). Mając na uwadze powyższe rozważania dotyczące krajowej praktyki fragmentacji postępowa</w:t>
      </w:r>
      <w:r w:rsidR="004B2F01">
        <w:t>ń</w:t>
      </w:r>
      <w:r w:rsidR="0024318B">
        <w:t xml:space="preserve"> oraz orzecznictwo Trybunału dotyczące obliczania łącznego okresu, który należy brać pod uwagę </w:t>
      </w:r>
      <w:r w:rsidR="004B2F01">
        <w:t>dla celów</w:t>
      </w:r>
      <w:r w:rsidR="0024318B">
        <w:t xml:space="preserve"> art. 6 ust. 1 Konwencji, Trybunał stwierdza, że</w:t>
      </w:r>
      <w:r w:rsidR="003A41B6">
        <w:t> </w:t>
      </w:r>
      <w:r w:rsidR="0024318B">
        <w:t xml:space="preserve">skarżący wniósł skargę na podstawie ustawy z 2004 r. w toku postępowania. W związku z powyższym Trybunał oddala zastrzeżenie Rządu co do wyczerpania </w:t>
      </w:r>
      <w:r w:rsidR="004B2F01">
        <w:t xml:space="preserve">środków </w:t>
      </w:r>
      <w:r w:rsidR="0024318B">
        <w:t>krajowych.</w:t>
      </w:r>
    </w:p>
    <w:p w14:paraId="2858FFFD" w14:textId="65E8883B" w:rsidR="0024318B" w:rsidRPr="00D91FE4" w:rsidRDefault="0074701B" w:rsidP="00D91FE4">
      <w:pPr>
        <w:pStyle w:val="JuPara"/>
      </w:pPr>
      <w:r>
        <w:rPr>
          <w:noProof/>
        </w:rPr>
        <w:t>22</w:t>
      </w:r>
      <w:r w:rsidR="0024318B">
        <w:t>.</w:t>
      </w:r>
      <w:r w:rsidR="0059593C">
        <w:t xml:space="preserve"> </w:t>
      </w:r>
      <w:r w:rsidR="0024318B">
        <w:t>Trybunał zauważa, że skarga nie jest w sposób oczywisty nieuzasadniona w rozumieniu art.</w:t>
      </w:r>
      <w:r w:rsidR="0059593C">
        <w:t xml:space="preserve"> </w:t>
      </w:r>
      <w:r w:rsidR="0024318B">
        <w:t>35 ust.</w:t>
      </w:r>
      <w:r w:rsidR="0059593C">
        <w:t xml:space="preserve"> </w:t>
      </w:r>
      <w:r w:rsidR="0024318B">
        <w:t>3 lit.</w:t>
      </w:r>
      <w:r w:rsidR="0059593C">
        <w:t xml:space="preserve"> </w:t>
      </w:r>
      <w:r w:rsidR="0024318B">
        <w:t xml:space="preserve">a Konwencji. Ponadto </w:t>
      </w:r>
      <w:r w:rsidR="004B2F01">
        <w:t>zauważa</w:t>
      </w:r>
      <w:r w:rsidR="0024318B">
        <w:t xml:space="preserve">, że nie jest ona niedopuszczalna </w:t>
      </w:r>
      <w:r w:rsidR="004B2F01">
        <w:t xml:space="preserve">z </w:t>
      </w:r>
      <w:r w:rsidR="0024318B">
        <w:t>jaki</w:t>
      </w:r>
      <w:r w:rsidR="004B2F01">
        <w:t>ch</w:t>
      </w:r>
      <w:r w:rsidR="0024318B">
        <w:t>kolwiek inny</w:t>
      </w:r>
      <w:r w:rsidR="004B2F01">
        <w:t>ch</w:t>
      </w:r>
      <w:r w:rsidR="0024318B">
        <w:t xml:space="preserve"> względ</w:t>
      </w:r>
      <w:r w:rsidR="004B2F01">
        <w:t>ów</w:t>
      </w:r>
      <w:r w:rsidR="0024318B">
        <w:t>. Tym samym należy uznać ją za dopuszczalną.</w:t>
      </w:r>
    </w:p>
    <w:p w14:paraId="79615F1A" w14:textId="23809196" w:rsidR="0024318B" w:rsidRPr="00D91FE4" w:rsidRDefault="00C442E6" w:rsidP="00D91FE4">
      <w:pPr>
        <w:pStyle w:val="JuHA"/>
        <w:ind w:left="584" w:hanging="352"/>
        <w:jc w:val="left"/>
      </w:pPr>
      <w:r>
        <w:t>Przedmiot skargi</w:t>
      </w:r>
    </w:p>
    <w:p w14:paraId="278A729D" w14:textId="2AD12051" w:rsidR="0024318B" w:rsidRPr="00D91FE4" w:rsidRDefault="0074701B" w:rsidP="00D91FE4">
      <w:pPr>
        <w:pStyle w:val="JuPara"/>
      </w:pPr>
      <w:r>
        <w:rPr>
          <w:noProof/>
        </w:rPr>
        <w:t>23</w:t>
      </w:r>
      <w:r w:rsidR="0024318B">
        <w:t>.</w:t>
      </w:r>
      <w:r w:rsidR="0059593C">
        <w:t xml:space="preserve"> </w:t>
      </w:r>
      <w:r w:rsidR="0024318B">
        <w:t>Skarżący wywodził, że czas trwania postępowania, który łącznie wynosił osiem lat, niewątpliwie stanowił naruszenie zasady „rozsądnego terminu”. Długość postępowania wynikała z braku staranności ze strony</w:t>
      </w:r>
      <w:r w:rsidR="00B41B8E">
        <w:t xml:space="preserve"> </w:t>
      </w:r>
      <w:r w:rsidR="0024318B">
        <w:t>sądów krajowych, które nie zorganizow</w:t>
      </w:r>
      <w:r w:rsidR="00B41B8E">
        <w:t>ały odpowiednio</w:t>
      </w:r>
      <w:r w:rsidR="0024318B">
        <w:t xml:space="preserve"> rozpraw</w:t>
      </w:r>
      <w:r w:rsidR="00B41B8E">
        <w:t>y</w:t>
      </w:r>
      <w:r w:rsidR="0024318B">
        <w:t xml:space="preserve"> i </w:t>
      </w:r>
      <w:r w:rsidR="00B41B8E">
        <w:t xml:space="preserve">nie </w:t>
      </w:r>
      <w:r w:rsidR="0024318B">
        <w:t>wyłączy</w:t>
      </w:r>
      <w:r w:rsidR="00B41B8E">
        <w:t>ły bezzwłocznie</w:t>
      </w:r>
      <w:r w:rsidR="0024318B">
        <w:t xml:space="preserve"> zarzutów przeciwko skarżącemu </w:t>
      </w:r>
      <w:r w:rsidR="00B41B8E">
        <w:t>ze sprawy dotyczącej znacznie p</w:t>
      </w:r>
      <w:r w:rsidR="0024318B">
        <w:t>oważniejszych zarzutów przeciwko niektórym współoskarżonym. Zarzuty przedstawione skarżącemu miały</w:t>
      </w:r>
      <w:r w:rsidR="00B41B8E">
        <w:t xml:space="preserve"> mniej poważny</w:t>
      </w:r>
      <w:r w:rsidR="0024318B">
        <w:t xml:space="preserve"> </w:t>
      </w:r>
      <w:r w:rsidR="0024318B">
        <w:lastRenderedPageBreak/>
        <w:t xml:space="preserve">charakter, a jego sprawa nie była zawiła. Ponadto sąd </w:t>
      </w:r>
      <w:r w:rsidR="005F4ABB">
        <w:t>rozpoznający sprawę</w:t>
      </w:r>
      <w:r w:rsidR="0024318B">
        <w:t xml:space="preserve"> dopuścił się poważnego błędu proceduralnego, którego skutkiem było uchylenie wyroku i przekazanie sprawy do ponownego rozpoznania. Sam skarżący w żaden sposób nie przyczynił się do </w:t>
      </w:r>
      <w:r w:rsidR="005F4ABB">
        <w:t xml:space="preserve">wydłużenia całego </w:t>
      </w:r>
      <w:r w:rsidR="0024318B">
        <w:t xml:space="preserve">postępowania. Podczas </w:t>
      </w:r>
      <w:r w:rsidR="005F4ABB">
        <w:t>dwukrotnego rozpoznawania sprawy przez</w:t>
      </w:r>
      <w:r w:rsidR="0024318B">
        <w:t xml:space="preserve"> Sąd Okręgowy w Białymstoku skarżący musiał uczestniczyć w około trzydziestu </w:t>
      </w:r>
      <w:r w:rsidR="005F4ABB">
        <w:t>posiedzeniach</w:t>
      </w:r>
      <w:r w:rsidR="0024318B">
        <w:t>, za każdym razem pokonując trasę ze swojego miejsca zamieszkania w Toruniu, a następnie z Hamburga w Niemczech.</w:t>
      </w:r>
    </w:p>
    <w:p w14:paraId="055BC8C8" w14:textId="7265598A" w:rsidR="0024318B" w:rsidRPr="00D91FE4" w:rsidRDefault="0074701B" w:rsidP="00D91FE4">
      <w:pPr>
        <w:pStyle w:val="JuPara"/>
      </w:pPr>
      <w:r>
        <w:rPr>
          <w:noProof/>
        </w:rPr>
        <w:t>24</w:t>
      </w:r>
      <w:r w:rsidR="0024318B">
        <w:t>.</w:t>
      </w:r>
      <w:r w:rsidR="0059593C">
        <w:t xml:space="preserve"> </w:t>
      </w:r>
      <w:r w:rsidR="0024318B">
        <w:t xml:space="preserve">Rząd nie przedstawił stanowiska </w:t>
      </w:r>
      <w:r w:rsidR="005F4ABB">
        <w:t xml:space="preserve">co do </w:t>
      </w:r>
      <w:r w:rsidR="00C442E6">
        <w:t>przedmiotu</w:t>
      </w:r>
      <w:r w:rsidR="005F4ABB">
        <w:t xml:space="preserve"> skargi</w:t>
      </w:r>
      <w:r w:rsidR="0024318B">
        <w:t xml:space="preserve"> skarżącego.</w:t>
      </w:r>
    </w:p>
    <w:p w14:paraId="2D3248AB" w14:textId="584BDF0C" w:rsidR="0024318B" w:rsidRPr="00D91FE4" w:rsidRDefault="0074701B" w:rsidP="00D91FE4">
      <w:pPr>
        <w:pStyle w:val="JuPara"/>
      </w:pPr>
      <w:r>
        <w:rPr>
          <w:noProof/>
        </w:rPr>
        <w:t>25</w:t>
      </w:r>
      <w:r w:rsidR="0024318B">
        <w:t>.</w:t>
      </w:r>
      <w:r w:rsidR="0059593C">
        <w:t xml:space="preserve"> </w:t>
      </w:r>
      <w:r w:rsidR="0024318B">
        <w:t xml:space="preserve">Trybunał przypomina, że </w:t>
      </w:r>
      <w:r w:rsidR="00B451D8">
        <w:t>zasadność</w:t>
      </w:r>
      <w:r w:rsidR="0024318B">
        <w:t xml:space="preserve"> czasu trwania postępowania należy oceniać w świetle szczególnych okoliczności sprawy i</w:t>
      </w:r>
      <w:r w:rsidR="003A41B6">
        <w:t> </w:t>
      </w:r>
      <w:r w:rsidR="0024318B">
        <w:t>z</w:t>
      </w:r>
      <w:r w:rsidR="003A41B6">
        <w:t> </w:t>
      </w:r>
      <w:r w:rsidR="0024318B">
        <w:t>uwzględnieniem kryteriów przyjętych w orzecznictwie Trybunału, w</w:t>
      </w:r>
      <w:r w:rsidR="003A41B6">
        <w:t> </w:t>
      </w:r>
      <w:r w:rsidR="0024318B">
        <w:t>szczególności złożoności sprawy oraz zachowania skarżącego i</w:t>
      </w:r>
      <w:r w:rsidR="003A41B6">
        <w:t> </w:t>
      </w:r>
      <w:r w:rsidR="0024318B">
        <w:t xml:space="preserve">właściwych organów. </w:t>
      </w:r>
      <w:r w:rsidR="00B451D8">
        <w:t>Co do tego ostatniego</w:t>
      </w:r>
      <w:r w:rsidR="0024318B">
        <w:t xml:space="preserve"> należy również </w:t>
      </w:r>
      <w:r w:rsidR="00B451D8">
        <w:t xml:space="preserve">brać </w:t>
      </w:r>
      <w:r w:rsidR="0024318B">
        <w:t>pod uwagę</w:t>
      </w:r>
      <w:r w:rsidR="00BC6421">
        <w:t xml:space="preserve"> </w:t>
      </w:r>
      <w:r w:rsidR="0024318B">
        <w:t xml:space="preserve">znaczenie dla skarżącego (zob. </w:t>
      </w:r>
      <w:r w:rsidR="0024318B">
        <w:rPr>
          <w:i/>
        </w:rPr>
        <w:t>Kudła przeciwko Polsce</w:t>
      </w:r>
      <w:r w:rsidR="0024318B">
        <w:t xml:space="preserve"> [WI], skarga nr</w:t>
      </w:r>
      <w:r w:rsidR="003A41B6">
        <w:t> </w:t>
      </w:r>
      <w:r w:rsidR="0024318B">
        <w:t>30210/96, § 124</w:t>
      </w:r>
      <w:r w:rsidR="00DB4F41">
        <w:t>,</w:t>
      </w:r>
      <w:r w:rsidR="0024318B">
        <w:t xml:space="preserve"> ETPC 2000</w:t>
      </w:r>
      <w:r w:rsidR="0024318B">
        <w:rPr>
          <w:rFonts w:ascii="MS Mincho" w:hAnsi="MS Mincho"/>
        </w:rPr>
        <w:t>‑</w:t>
      </w:r>
      <w:r w:rsidR="0024318B">
        <w:t xml:space="preserve">XI, dalsze orzecznictwo – </w:t>
      </w:r>
      <w:r w:rsidR="0024318B">
        <w:rPr>
          <w:i/>
        </w:rPr>
        <w:t>Rutkowski i Inni</w:t>
      </w:r>
      <w:r w:rsidR="0024318B">
        <w:t xml:space="preserve"> przeciwko Polsce, skargi nr 72287/</w:t>
      </w:r>
      <w:r w:rsidR="00DB4F41">
        <w:t>10</w:t>
      </w:r>
      <w:r w:rsidR="0024318B">
        <w:t>, 13927/</w:t>
      </w:r>
      <w:r w:rsidR="00DB4F41">
        <w:t>11</w:t>
      </w:r>
      <w:r w:rsidR="0024318B">
        <w:t xml:space="preserve"> i 46187/11, </w:t>
      </w:r>
      <w:r w:rsidR="0024318B">
        <w:rPr>
          <w:rFonts w:ascii="Times New Roman" w:hAnsi="Times New Roman"/>
        </w:rPr>
        <w:t>§§</w:t>
      </w:r>
      <w:r w:rsidR="0059593C">
        <w:rPr>
          <w:rFonts w:ascii="Times New Roman" w:hAnsi="Times New Roman"/>
        </w:rPr>
        <w:t xml:space="preserve"> </w:t>
      </w:r>
      <w:r w:rsidR="0024318B">
        <w:rPr>
          <w:rFonts w:ascii="Times New Roman" w:hAnsi="Times New Roman"/>
        </w:rPr>
        <w:t>126-28, 7</w:t>
      </w:r>
      <w:r w:rsidR="003A41B6">
        <w:rPr>
          <w:rFonts w:ascii="Times New Roman" w:hAnsi="Times New Roman"/>
        </w:rPr>
        <w:t> </w:t>
      </w:r>
      <w:r w:rsidR="0024318B">
        <w:rPr>
          <w:rFonts w:ascii="Times New Roman" w:hAnsi="Times New Roman"/>
        </w:rPr>
        <w:t>lipca 2015</w:t>
      </w:r>
      <w:r w:rsidR="0059593C">
        <w:rPr>
          <w:rFonts w:ascii="Times New Roman" w:hAnsi="Times New Roman"/>
        </w:rPr>
        <w:t xml:space="preserve"> </w:t>
      </w:r>
      <w:r w:rsidR="0024318B">
        <w:rPr>
          <w:rFonts w:ascii="Times New Roman" w:hAnsi="Times New Roman"/>
        </w:rPr>
        <w:t>r.).</w:t>
      </w:r>
    </w:p>
    <w:p w14:paraId="7D1AA1CF" w14:textId="5B998F53" w:rsidR="0024318B" w:rsidRPr="00D91FE4" w:rsidRDefault="0074701B" w:rsidP="00D91FE4">
      <w:pPr>
        <w:pStyle w:val="JuPara"/>
      </w:pPr>
      <w:r>
        <w:rPr>
          <w:noProof/>
        </w:rPr>
        <w:t>26</w:t>
      </w:r>
      <w:r w:rsidR="0024318B">
        <w:t>.</w:t>
      </w:r>
      <w:r w:rsidR="0059593C">
        <w:t xml:space="preserve"> </w:t>
      </w:r>
      <w:r w:rsidR="0024318B">
        <w:t xml:space="preserve">Trybunał nie dysponuje </w:t>
      </w:r>
      <w:r w:rsidR="00DB4F41">
        <w:t xml:space="preserve">wystarczającymi </w:t>
      </w:r>
      <w:r w:rsidR="0024318B">
        <w:t xml:space="preserve">informacjami, by stwierdzić, że zawiłość sprawy była ponadprzeciętna. Chociaż sąd </w:t>
      </w:r>
      <w:r w:rsidR="00DB4F41">
        <w:t>rozpoznający sprawę</w:t>
      </w:r>
      <w:r w:rsidR="0024318B">
        <w:t xml:space="preserve"> przeprowadził wiele </w:t>
      </w:r>
      <w:r w:rsidR="00DB4F41">
        <w:t xml:space="preserve">terminów </w:t>
      </w:r>
      <w:r w:rsidR="0024318B">
        <w:t>rozpraw</w:t>
      </w:r>
      <w:r w:rsidR="00DB4F41">
        <w:t>y</w:t>
      </w:r>
      <w:r w:rsidR="0024318B">
        <w:t xml:space="preserve">, nie sposób ustalić, w jakim zakresie </w:t>
      </w:r>
      <w:r w:rsidR="004E0807">
        <w:t>badano na nich</w:t>
      </w:r>
      <w:r w:rsidR="0024318B">
        <w:t xml:space="preserve"> zarzut</w:t>
      </w:r>
      <w:r w:rsidR="004E0807">
        <w:t>y</w:t>
      </w:r>
      <w:r w:rsidR="0024318B">
        <w:t xml:space="preserve"> przedstawion</w:t>
      </w:r>
      <w:r w:rsidR="004E0807">
        <w:t>e</w:t>
      </w:r>
      <w:r w:rsidR="0024318B">
        <w:t xml:space="preserve"> skarżącemu, a nie współoskarżonym. W tym kontekście Trybunał zauważa, że </w:t>
      </w:r>
      <w:r w:rsidR="004E0807">
        <w:t>podczas ponownego ro</w:t>
      </w:r>
      <w:r w:rsidR="0024318B">
        <w:t>zpoznania</w:t>
      </w:r>
      <w:r w:rsidR="004E0807">
        <w:t xml:space="preserve"> sprawy</w:t>
      </w:r>
      <w:r w:rsidR="0024318B">
        <w:t xml:space="preserve"> Sąd Okręgowy w Białymstoku</w:t>
      </w:r>
      <w:r w:rsidR="004E0807">
        <w:t>,</w:t>
      </w:r>
      <w:r w:rsidR="0024318B">
        <w:t xml:space="preserve"> przez okres osiemnastu miesięcy</w:t>
      </w:r>
      <w:r w:rsidR="004E0807">
        <w:t>,</w:t>
      </w:r>
      <w:r w:rsidR="0024318B">
        <w:t xml:space="preserve"> bezskutecznie próbował wyznaczyć termin rozprawy przeciwko wszystkim współoskarżonym (zob. paragraf </w:t>
      </w:r>
      <w:r>
        <w:rPr>
          <w:noProof/>
        </w:rPr>
        <w:t>7</w:t>
      </w:r>
      <w:r w:rsidR="0024318B">
        <w:t xml:space="preserve"> powyżej). Dopiero później sąd postanowił wyłączyć do odrębnego postępowania zarzuty wobec tych współoskarżonych, którzy uchylali się od uczestnictwa w procesie.</w:t>
      </w:r>
    </w:p>
    <w:p w14:paraId="01BE6C4D" w14:textId="5FB3AB68" w:rsidR="0024318B" w:rsidRPr="00D91FE4" w:rsidRDefault="0074701B" w:rsidP="00D91FE4">
      <w:pPr>
        <w:pStyle w:val="JuPara"/>
      </w:pPr>
      <w:r>
        <w:rPr>
          <w:noProof/>
        </w:rPr>
        <w:t>27</w:t>
      </w:r>
      <w:r w:rsidR="0024318B">
        <w:t>.</w:t>
      </w:r>
      <w:r w:rsidR="0059593C">
        <w:t xml:space="preserve"> </w:t>
      </w:r>
      <w:r w:rsidR="0024318B">
        <w:t xml:space="preserve">Ponadto należy zauważyć, że wskutek przekazania sprawy skarżącego do ponownego rozpoznania przez Sąd Apelacyjny w Białymstoku sprawa </w:t>
      </w:r>
      <w:r w:rsidR="004E0807">
        <w:t xml:space="preserve">była </w:t>
      </w:r>
      <w:r w:rsidR="0024318B">
        <w:t>ponownie rozpozna</w:t>
      </w:r>
      <w:r w:rsidR="004E0807">
        <w:t>wa</w:t>
      </w:r>
      <w:r w:rsidR="0024318B">
        <w:t>na przez sąd pierwszej instancji (zob.</w:t>
      </w:r>
      <w:r w:rsidR="0059593C">
        <w:t xml:space="preserve"> </w:t>
      </w:r>
      <w:r w:rsidR="0024318B">
        <w:t xml:space="preserve">paragrafy </w:t>
      </w:r>
      <w:r>
        <w:rPr>
          <w:noProof/>
        </w:rPr>
        <w:t>6</w:t>
      </w:r>
      <w:r w:rsidR="0024318B">
        <w:t xml:space="preserve"> powyżej). Chociaż Trybunał nie </w:t>
      </w:r>
      <w:r w:rsidR="00B63D49">
        <w:t>ma możliwości</w:t>
      </w:r>
      <w:r w:rsidR="0024318B">
        <w:t xml:space="preserve"> dokonywa</w:t>
      </w:r>
      <w:r w:rsidR="00B63D49">
        <w:t>nia</w:t>
      </w:r>
      <w:r w:rsidR="0024318B">
        <w:t xml:space="preserve"> analizy jakości </w:t>
      </w:r>
      <w:r w:rsidR="00B63D49">
        <w:t xml:space="preserve">prawnej </w:t>
      </w:r>
      <w:r w:rsidR="0024318B">
        <w:t>orzecznictwa sądów krajowych, przekaz</w:t>
      </w:r>
      <w:r w:rsidR="00B63D49">
        <w:t>yw</w:t>
      </w:r>
      <w:r w:rsidR="0024318B">
        <w:t>anie spraw do</w:t>
      </w:r>
      <w:r w:rsidR="003A41B6">
        <w:t> </w:t>
      </w:r>
      <w:r w:rsidR="0024318B">
        <w:t xml:space="preserve">ponownego rozpoznania na ogół </w:t>
      </w:r>
      <w:r w:rsidR="00B63D49">
        <w:t>jest zarządzane na skutek błędów</w:t>
      </w:r>
      <w:r w:rsidR="0024318B">
        <w:t xml:space="preserve"> popełnionych przez sądy niższej instancji i świadczy o brakach w systemie sądownictwa. Co więcej, braki te można przypisać organom, a nie skarżącym (zob.</w:t>
      </w:r>
      <w:r w:rsidR="0059593C">
        <w:t xml:space="preserve"> </w:t>
      </w:r>
      <w:r w:rsidR="00052287">
        <w:t>m.in.</w:t>
      </w:r>
      <w:r w:rsidR="0024318B">
        <w:t xml:space="preserve"> </w:t>
      </w:r>
      <w:r w:rsidR="0024318B">
        <w:rPr>
          <w:i/>
        </w:rPr>
        <w:t>Wierciszewska przeciwko Polsce</w:t>
      </w:r>
      <w:r w:rsidR="0024318B">
        <w:t>, skarga nr</w:t>
      </w:r>
      <w:r w:rsidR="0059593C">
        <w:t xml:space="preserve"> </w:t>
      </w:r>
      <w:r w:rsidR="0024318B">
        <w:t>41431/98, § 46, 25</w:t>
      </w:r>
      <w:r w:rsidR="003A41B6">
        <w:t> </w:t>
      </w:r>
      <w:r w:rsidR="0024318B">
        <w:t>listopada 2003</w:t>
      </w:r>
      <w:r w:rsidR="0059593C">
        <w:t xml:space="preserve"> </w:t>
      </w:r>
      <w:r w:rsidR="0024318B">
        <w:t>r.</w:t>
      </w:r>
      <w:r w:rsidR="00052287">
        <w:t>,</w:t>
      </w:r>
      <w:r w:rsidR="0024318B">
        <w:t xml:space="preserve"> </w:t>
      </w:r>
      <w:r w:rsidR="0024318B">
        <w:rPr>
          <w:i/>
        </w:rPr>
        <w:t>Matica przeciwko Rumunii</w:t>
      </w:r>
      <w:r w:rsidR="0024318B">
        <w:t>, skarga nr</w:t>
      </w:r>
      <w:r w:rsidR="0059593C">
        <w:t xml:space="preserve"> </w:t>
      </w:r>
      <w:r w:rsidR="0024318B">
        <w:t>19567/02, §</w:t>
      </w:r>
      <w:r w:rsidR="0059593C">
        <w:t xml:space="preserve"> </w:t>
      </w:r>
      <w:r w:rsidR="0024318B">
        <w:t>24, 2</w:t>
      </w:r>
      <w:r w:rsidR="003A41B6">
        <w:t> </w:t>
      </w:r>
      <w:r w:rsidR="0024318B">
        <w:t>listopada 2006</w:t>
      </w:r>
      <w:r w:rsidR="0059593C">
        <w:t xml:space="preserve"> </w:t>
      </w:r>
      <w:r w:rsidR="0024318B">
        <w:t xml:space="preserve">r. oraz </w:t>
      </w:r>
      <w:r w:rsidR="0024318B">
        <w:rPr>
          <w:i/>
        </w:rPr>
        <w:t>Vlad i Inni przeciwko Rumunii</w:t>
      </w:r>
      <w:r w:rsidR="0024318B">
        <w:t>, skargi nr 40756/06, 41508/07 i 50806/07, § 133, 6 listopada 2013</w:t>
      </w:r>
      <w:r w:rsidR="0059593C">
        <w:t xml:space="preserve"> </w:t>
      </w:r>
      <w:r w:rsidR="0024318B">
        <w:t>r.).</w:t>
      </w:r>
    </w:p>
    <w:p w14:paraId="014D813F" w14:textId="006D8680" w:rsidR="0024318B" w:rsidRPr="00D91FE4" w:rsidRDefault="0074701B" w:rsidP="00D91FE4">
      <w:pPr>
        <w:pStyle w:val="JuPara"/>
      </w:pPr>
      <w:r>
        <w:rPr>
          <w:noProof/>
        </w:rPr>
        <w:t>28</w:t>
      </w:r>
      <w:r w:rsidR="0024318B">
        <w:t>.</w:t>
      </w:r>
      <w:r w:rsidR="0059593C">
        <w:t xml:space="preserve"> </w:t>
      </w:r>
      <w:r w:rsidR="0024318B">
        <w:t xml:space="preserve">Wreszcie Trybunał zauważa, że </w:t>
      </w:r>
      <w:r w:rsidR="009674C0">
        <w:t>nie wydaje się</w:t>
      </w:r>
      <w:r w:rsidR="007E4852">
        <w:t>,</w:t>
      </w:r>
      <w:r w:rsidR="0024318B">
        <w:t xml:space="preserve"> by skarżący w</w:t>
      </w:r>
      <w:r w:rsidR="003A41B6">
        <w:t> </w:t>
      </w:r>
      <w:r w:rsidR="0024318B">
        <w:t xml:space="preserve">jakikolwiek sposób przyczynił się do </w:t>
      </w:r>
      <w:r w:rsidR="009674C0">
        <w:t xml:space="preserve">ogólnej długości </w:t>
      </w:r>
      <w:r w:rsidR="0024318B">
        <w:t>postępowania w</w:t>
      </w:r>
      <w:r w:rsidR="003A41B6">
        <w:t> </w:t>
      </w:r>
      <w:r w:rsidR="0024318B">
        <w:t>jego sprawie.</w:t>
      </w:r>
    </w:p>
    <w:p w14:paraId="1563F501" w14:textId="5A111E69" w:rsidR="0024318B" w:rsidRPr="00D91FE4" w:rsidRDefault="0074701B" w:rsidP="00D91FE4">
      <w:pPr>
        <w:pStyle w:val="JuPara"/>
      </w:pPr>
      <w:bookmarkStart w:id="8" w:name="breachLOP"/>
      <w:r>
        <w:rPr>
          <w:noProof/>
        </w:rPr>
        <w:lastRenderedPageBreak/>
        <w:t>29</w:t>
      </w:r>
      <w:bookmarkEnd w:id="8"/>
      <w:r w:rsidR="0024318B">
        <w:t>.</w:t>
      </w:r>
      <w:r w:rsidR="0059593C">
        <w:t xml:space="preserve"> </w:t>
      </w:r>
      <w:r w:rsidR="0024318B">
        <w:t xml:space="preserve">W tych okolicznościach Trybunał nie jest w stanie znaleźć żadnego uzasadnienia dla </w:t>
      </w:r>
      <w:r w:rsidR="009674C0">
        <w:t xml:space="preserve">całkowitej </w:t>
      </w:r>
      <w:r w:rsidR="0024318B">
        <w:t>długości postępowania karnego przeciwko skarżącemu. Tym samym doszło do naruszenia art. 6 ust. 1 Konwencji.</w:t>
      </w:r>
    </w:p>
    <w:p w14:paraId="36BAEACB" w14:textId="7FD628D3" w:rsidR="0024318B" w:rsidRPr="00D91FE4" w:rsidRDefault="0024318B" w:rsidP="00D91FE4">
      <w:pPr>
        <w:pStyle w:val="JuHIRoman"/>
        <w:tabs>
          <w:tab w:val="clear" w:pos="454"/>
          <w:tab w:val="clear" w:pos="567"/>
          <w:tab w:val="clear" w:pos="680"/>
        </w:tabs>
        <w:ind w:left="357" w:hanging="357"/>
        <w:jc w:val="left"/>
      </w:pPr>
      <w:r>
        <w:t>ZARZUCANE NARUSZENIE ART.</w:t>
      </w:r>
      <w:r w:rsidR="0059593C">
        <w:t xml:space="preserve"> </w:t>
      </w:r>
      <w:r>
        <w:t>13 KONWENCJI</w:t>
      </w:r>
    </w:p>
    <w:p w14:paraId="3BCE46BE" w14:textId="10EEEB45" w:rsidR="0024318B" w:rsidRPr="00D91FE4" w:rsidRDefault="0074701B" w:rsidP="00D91FE4">
      <w:pPr>
        <w:pStyle w:val="JuPara"/>
      </w:pPr>
      <w:r>
        <w:rPr>
          <w:noProof/>
        </w:rPr>
        <w:t>30</w:t>
      </w:r>
      <w:r w:rsidR="0024318B">
        <w:t>.</w:t>
      </w:r>
      <w:r w:rsidR="0059593C">
        <w:t xml:space="preserve"> </w:t>
      </w:r>
      <w:r w:rsidR="0024318B">
        <w:t xml:space="preserve">Skarżący </w:t>
      </w:r>
      <w:r w:rsidR="009674C0">
        <w:t xml:space="preserve">podnosił </w:t>
      </w:r>
      <w:r w:rsidR="0024318B">
        <w:t>ponadto, że nie dysponował skutecznym</w:t>
      </w:r>
      <w:r w:rsidR="009674C0">
        <w:t xml:space="preserve"> środkiem</w:t>
      </w:r>
      <w:r w:rsidR="0024318B">
        <w:t xml:space="preserve"> krajowym </w:t>
      </w:r>
      <w:r w:rsidR="009674C0">
        <w:t>odnośnie do</w:t>
      </w:r>
      <w:r w:rsidR="0024318B">
        <w:t xml:space="preserve"> przewlekłości postępowania w jego sprawie. Skarżący powołał się na art.</w:t>
      </w:r>
      <w:r w:rsidR="0059593C">
        <w:t xml:space="preserve"> </w:t>
      </w:r>
      <w:r w:rsidR="0024318B">
        <w:t>13 Konwencji, który stanowi:</w:t>
      </w:r>
    </w:p>
    <w:p w14:paraId="737CC0A3" w14:textId="77777777" w:rsidR="0024318B" w:rsidRPr="00D91FE4" w:rsidRDefault="0024318B" w:rsidP="00D91FE4">
      <w:pPr>
        <w:pStyle w:val="JuQuot"/>
      </w:pPr>
      <w:r>
        <w:t xml:space="preserve"> „Każdy, kogo prawa i wolności zawarte w niniejszej Konwencji zostały naruszone, ma prawo do skutecznego środka odwoławczego do właściwego organu państwowego także wówczas, gdy naruszenia dokonały osoby wykonujące swoje funkcje urzędowe”.</w:t>
      </w:r>
    </w:p>
    <w:p w14:paraId="13F71059" w14:textId="637BFADF" w:rsidR="0024318B" w:rsidRPr="00D91FE4" w:rsidRDefault="0074701B" w:rsidP="00D91FE4">
      <w:pPr>
        <w:pStyle w:val="JuPara"/>
      </w:pPr>
      <w:r>
        <w:rPr>
          <w:noProof/>
        </w:rPr>
        <w:t>31</w:t>
      </w:r>
      <w:r w:rsidR="0024318B">
        <w:t>.</w:t>
      </w:r>
      <w:r w:rsidR="0059593C">
        <w:t xml:space="preserve"> </w:t>
      </w:r>
      <w:r w:rsidR="0024318B">
        <w:t>Rząd nie przedstawił stanowiska w przedmiocie tego zarzutu skarżącego.</w:t>
      </w:r>
    </w:p>
    <w:p w14:paraId="083AE5CD" w14:textId="05985CDE" w:rsidR="0024318B" w:rsidRPr="00D91FE4" w:rsidRDefault="0074701B" w:rsidP="00D91FE4">
      <w:pPr>
        <w:pStyle w:val="JuPara"/>
      </w:pPr>
      <w:r>
        <w:rPr>
          <w:noProof/>
        </w:rPr>
        <w:t>32</w:t>
      </w:r>
      <w:r w:rsidR="0024318B">
        <w:t>.</w:t>
      </w:r>
      <w:r w:rsidR="0059593C">
        <w:t xml:space="preserve"> </w:t>
      </w:r>
      <w:r w:rsidR="0024318B">
        <w:t>Trybunał zauważa, że zarzut ten ma związek z zarzutem analizowanym powyżej, a co za tym idzie należy go również uznać za dopuszczalny.</w:t>
      </w:r>
    </w:p>
    <w:p w14:paraId="568E972E" w14:textId="5282ACE6" w:rsidR="0024318B" w:rsidRPr="00D91FE4" w:rsidRDefault="0074701B" w:rsidP="00D91FE4">
      <w:pPr>
        <w:pStyle w:val="JuPara"/>
      </w:pPr>
      <w:r>
        <w:rPr>
          <w:noProof/>
        </w:rPr>
        <w:t>33</w:t>
      </w:r>
      <w:r w:rsidR="0024318B">
        <w:t>.</w:t>
      </w:r>
      <w:r w:rsidR="0059593C">
        <w:t xml:space="preserve"> </w:t>
      </w:r>
      <w:r w:rsidR="0024318B">
        <w:t>Trybunał przypomina, że art. 13 gwarantuje skuteczn</w:t>
      </w:r>
      <w:r w:rsidR="009674C0">
        <w:t>y</w:t>
      </w:r>
      <w:r w:rsidR="0024318B">
        <w:t xml:space="preserve"> środ</w:t>
      </w:r>
      <w:r w:rsidR="009674C0">
        <w:t>e</w:t>
      </w:r>
      <w:r w:rsidR="0024318B">
        <w:t xml:space="preserve">k przed organem krajowym w </w:t>
      </w:r>
      <w:r w:rsidR="00662C15">
        <w:t xml:space="preserve">odniesieniu do </w:t>
      </w:r>
      <w:r w:rsidR="0024318B">
        <w:t xml:space="preserve">zarzucanego naruszenia wymogu </w:t>
      </w:r>
      <w:r w:rsidR="007E4852">
        <w:t xml:space="preserve">wynikającego </w:t>
      </w:r>
      <w:r w:rsidR="0024318B">
        <w:t xml:space="preserve">z art. 6 ust. 1, a mianowicie rozpatrzenia sprawy w rozsądnym terminie (zob. </w:t>
      </w:r>
      <w:r w:rsidR="0024318B">
        <w:rPr>
          <w:i/>
          <w:iCs/>
        </w:rPr>
        <w:t>Kudła</w:t>
      </w:r>
      <w:r w:rsidR="0024318B">
        <w:t xml:space="preserve">, </w:t>
      </w:r>
      <w:r w:rsidR="00662C15">
        <w:t>cyt. pow.,</w:t>
      </w:r>
      <w:r w:rsidR="0024318B">
        <w:t xml:space="preserve"> §§ 146-56). Odpowiednie zasady, przyjęte w wyroku w sprawie </w:t>
      </w:r>
      <w:r w:rsidR="0024318B">
        <w:rPr>
          <w:i/>
          <w:iCs/>
        </w:rPr>
        <w:t>Kudła</w:t>
      </w:r>
      <w:r w:rsidR="0024318B">
        <w:t xml:space="preserve"> i w późniejszych wyrokach Trybunału, zostały określone w wyroku pilotażowym w sprawie </w:t>
      </w:r>
      <w:r w:rsidR="0024318B">
        <w:rPr>
          <w:i/>
          <w:iCs/>
        </w:rPr>
        <w:t>Rutkowski</w:t>
      </w:r>
      <w:r w:rsidR="0024318B">
        <w:t xml:space="preserve"> (</w:t>
      </w:r>
      <w:r w:rsidR="0024318B">
        <w:rPr>
          <w:i/>
          <w:iCs/>
        </w:rPr>
        <w:t>Rutkowski i Inni</w:t>
      </w:r>
      <w:r w:rsidR="0024318B">
        <w:t xml:space="preserve">, </w:t>
      </w:r>
      <w:r w:rsidR="00662C15">
        <w:t xml:space="preserve">cyt. pow., </w:t>
      </w:r>
      <w:r w:rsidR="0024318B">
        <w:t>§§ 126</w:t>
      </w:r>
      <w:r w:rsidR="0024318B">
        <w:noBreakHyphen/>
        <w:t>128).</w:t>
      </w:r>
    </w:p>
    <w:p w14:paraId="374A91E8" w14:textId="7F12E646" w:rsidR="0024318B" w:rsidRPr="00D91FE4" w:rsidRDefault="0074701B" w:rsidP="00D91FE4">
      <w:pPr>
        <w:pStyle w:val="JuPara"/>
      </w:pPr>
      <w:r>
        <w:rPr>
          <w:noProof/>
        </w:rPr>
        <w:t>34</w:t>
      </w:r>
      <w:r w:rsidR="0024318B">
        <w:t>.</w:t>
      </w:r>
      <w:r w:rsidR="0059593C">
        <w:t xml:space="preserve"> </w:t>
      </w:r>
      <w:r w:rsidR="0024318B">
        <w:t>Trybunał już wcześniej stwierdził, że nie przestrzegano prawa skarżącego do rozpatrzenia jego sprawy w rozsądnym terminie</w:t>
      </w:r>
      <w:r w:rsidR="00662C15">
        <w:t>,</w:t>
      </w:r>
      <w:r w:rsidR="0024318B">
        <w:t xml:space="preserve"> gwarantowanym w art. 6 ust. 1 Konwencji (zob. paragraf </w:t>
      </w:r>
      <w:r>
        <w:rPr>
          <w:noProof/>
        </w:rPr>
        <w:t>29</w:t>
      </w:r>
      <w:r w:rsidR="0024318B">
        <w:t xml:space="preserve"> powyżej). Nie</w:t>
      </w:r>
      <w:r w:rsidR="003A41B6">
        <w:t> </w:t>
      </w:r>
      <w:r w:rsidR="0024318B">
        <w:t>ma zatem wątpliwości, że jego skarga</w:t>
      </w:r>
      <w:r w:rsidR="00662C15">
        <w:t xml:space="preserve"> jest</w:t>
      </w:r>
      <w:r w:rsidR="0024318B">
        <w:t xml:space="preserve"> „</w:t>
      </w:r>
      <w:r w:rsidR="007E4852">
        <w:t xml:space="preserve">możliwa do </w:t>
      </w:r>
      <w:r w:rsidR="0024318B">
        <w:t>uzasadni</w:t>
      </w:r>
      <w:r w:rsidR="007E4852">
        <w:t>enia</w:t>
      </w:r>
      <w:r w:rsidR="0024318B">
        <w:t>”</w:t>
      </w:r>
      <w:r w:rsidR="007E4852">
        <w:t xml:space="preserve"> (</w:t>
      </w:r>
      <w:r w:rsidR="007E4852">
        <w:rPr>
          <w:i/>
        </w:rPr>
        <w:t>arguable</w:t>
      </w:r>
      <w:r w:rsidR="007E4852">
        <w:t>)</w:t>
      </w:r>
      <w:r w:rsidR="0024318B">
        <w:t xml:space="preserve"> w rozumieniu art. 13 oraz że skarżącemu przysługiwał środek, który pozwoliłby mu uzyskać odpowiednie zadośćuczynienie z tytułu naruszenia Konwencji przed organem krajowym, w tym zadośćuczynienie za</w:t>
      </w:r>
      <w:r w:rsidR="00722F2A">
        <w:t> </w:t>
      </w:r>
      <w:r w:rsidR="0024318B">
        <w:t xml:space="preserve">szkodę niemajątkową poniesioną wskutek opóźnień, które miały miejsce w jego sprawie (zob. </w:t>
      </w:r>
      <w:r w:rsidR="0024318B">
        <w:rPr>
          <w:i/>
          <w:iCs/>
        </w:rPr>
        <w:t>Kudła</w:t>
      </w:r>
      <w:r w:rsidR="0024318B">
        <w:t xml:space="preserve">, </w:t>
      </w:r>
      <w:r w:rsidR="00680CE9">
        <w:t xml:space="preserve">cyt. pow., </w:t>
      </w:r>
      <w:r w:rsidR="0024318B">
        <w:t>§ 157).</w:t>
      </w:r>
    </w:p>
    <w:p w14:paraId="42CC5516" w14:textId="394E4BEA" w:rsidR="0024318B" w:rsidRPr="00D91FE4" w:rsidRDefault="0074701B" w:rsidP="00D91FE4">
      <w:pPr>
        <w:pStyle w:val="JuPara"/>
        <w:rPr>
          <w:iCs/>
        </w:rPr>
      </w:pPr>
      <w:r>
        <w:rPr>
          <w:noProof/>
        </w:rPr>
        <w:t>35</w:t>
      </w:r>
      <w:r w:rsidR="0024318B">
        <w:t>.</w:t>
      </w:r>
      <w:r w:rsidR="0059593C">
        <w:t xml:space="preserve"> </w:t>
      </w:r>
      <w:r w:rsidR="0024318B">
        <w:t>Tymczasem Sąd Apelacyjny w Białymstoku, w dniu 9 grudnia 2016</w:t>
      </w:r>
      <w:r w:rsidR="00722F2A">
        <w:t> </w:t>
      </w:r>
      <w:r w:rsidR="0024318B">
        <w:t xml:space="preserve">r., pozostawił bez rozpoznania skargę skarżącego wniesioną na podstawie ustawy z 2004 r. </w:t>
      </w:r>
      <w:r w:rsidR="00680CE9">
        <w:t xml:space="preserve">Kwestionowane </w:t>
      </w:r>
      <w:r w:rsidR="0024318B">
        <w:t xml:space="preserve">orzeczenie stanowiło doskonały przykład krajowej praktyki fragmentacji postępowania, </w:t>
      </w:r>
      <w:r w:rsidR="00C450EE">
        <w:t>wielokrotnie skrytykowanej przez Trybunał</w:t>
      </w:r>
      <w:r w:rsidR="0024318B">
        <w:t xml:space="preserve"> (zob. paragraf</w:t>
      </w:r>
      <w:r w:rsidR="0059593C">
        <w:t xml:space="preserve"> </w:t>
      </w:r>
      <w:r>
        <w:rPr>
          <w:noProof/>
        </w:rPr>
        <w:t>19</w:t>
      </w:r>
      <w:r w:rsidR="0024318B">
        <w:t xml:space="preserve"> powyżej).</w:t>
      </w:r>
    </w:p>
    <w:p w14:paraId="33E904BC" w14:textId="05FD69E9" w:rsidR="0024318B" w:rsidRPr="00D91FE4" w:rsidRDefault="0074701B" w:rsidP="00D91FE4">
      <w:pPr>
        <w:pStyle w:val="JuPara"/>
      </w:pPr>
      <w:r>
        <w:rPr>
          <w:noProof/>
        </w:rPr>
        <w:t>36</w:t>
      </w:r>
      <w:r w:rsidR="0024318B">
        <w:t>.</w:t>
      </w:r>
      <w:r w:rsidR="0059593C">
        <w:t xml:space="preserve"> </w:t>
      </w:r>
      <w:r w:rsidR="0024318B">
        <w:t>W świetle powyższego Trybunał stwierdza, że skarga wniesiona na</w:t>
      </w:r>
      <w:r w:rsidR="00722F2A">
        <w:t> </w:t>
      </w:r>
      <w:r w:rsidR="0024318B">
        <w:t>podstawie ustawy z 2004 r. nie zapewniła skarżącemu „odpowiedniego i</w:t>
      </w:r>
      <w:r w:rsidR="00722F2A">
        <w:t> </w:t>
      </w:r>
      <w:r w:rsidR="0024318B">
        <w:t>wystarczającego zadośćuczynienia” w postaci odpowiedniego odszkodowania z</w:t>
      </w:r>
      <w:r w:rsidR="00C450EE">
        <w:t xml:space="preserve"> tytułu nadmiernej długości</w:t>
      </w:r>
      <w:r w:rsidR="0024318B">
        <w:t xml:space="preserve"> postępowania w jego sprawie (zob. </w:t>
      </w:r>
      <w:r w:rsidR="0024318B">
        <w:rPr>
          <w:i/>
          <w:iCs/>
        </w:rPr>
        <w:t>Scordino (nr 1)</w:t>
      </w:r>
      <w:r w:rsidR="0024318B">
        <w:t xml:space="preserve">, § 181 </w:t>
      </w:r>
      <w:r>
        <w:t>oraz</w:t>
      </w:r>
      <w:r w:rsidR="0024318B">
        <w:t xml:space="preserve"> </w:t>
      </w:r>
      <w:r w:rsidR="0024318B">
        <w:rPr>
          <w:i/>
          <w:iCs/>
        </w:rPr>
        <w:t>Rutkowski i Inni</w:t>
      </w:r>
      <w:r w:rsidR="0024318B">
        <w:t xml:space="preserve">, </w:t>
      </w:r>
      <w:r w:rsidR="00C450EE">
        <w:t xml:space="preserve">cyt. pow., </w:t>
      </w:r>
      <w:r w:rsidR="0024318B">
        <w:t>§ 183).</w:t>
      </w:r>
    </w:p>
    <w:p w14:paraId="0D676EAD" w14:textId="12A6324D" w:rsidR="0024318B" w:rsidRPr="00D91FE4" w:rsidRDefault="0074701B" w:rsidP="00D91FE4">
      <w:pPr>
        <w:pStyle w:val="JuPara"/>
      </w:pPr>
      <w:r>
        <w:rPr>
          <w:noProof/>
        </w:rPr>
        <w:t>37</w:t>
      </w:r>
      <w:r w:rsidR="0024318B">
        <w:t>.</w:t>
      </w:r>
      <w:r w:rsidR="0059593C">
        <w:t xml:space="preserve"> </w:t>
      </w:r>
      <w:r w:rsidR="00C450EE">
        <w:t>D</w:t>
      </w:r>
      <w:r w:rsidR="0024318B">
        <w:t xml:space="preserve">oszło </w:t>
      </w:r>
      <w:r w:rsidR="00C450EE">
        <w:t xml:space="preserve">zatem </w:t>
      </w:r>
      <w:r w:rsidR="0024318B">
        <w:t>do naruszenia art.</w:t>
      </w:r>
      <w:r w:rsidR="0059593C">
        <w:t xml:space="preserve"> </w:t>
      </w:r>
      <w:r w:rsidR="0024318B">
        <w:t>13 Konwencji.</w:t>
      </w:r>
    </w:p>
    <w:p w14:paraId="540D962C" w14:textId="0CE4764A" w:rsidR="0024318B" w:rsidRPr="00D91FE4" w:rsidRDefault="0024318B" w:rsidP="00D91FE4">
      <w:pPr>
        <w:pStyle w:val="JuHIRoman"/>
        <w:tabs>
          <w:tab w:val="clear" w:pos="454"/>
          <w:tab w:val="clear" w:pos="567"/>
          <w:tab w:val="clear" w:pos="680"/>
        </w:tabs>
        <w:ind w:left="357" w:hanging="357"/>
        <w:jc w:val="left"/>
      </w:pPr>
      <w:r>
        <w:lastRenderedPageBreak/>
        <w:t>ZASTOSOWANIE ART.</w:t>
      </w:r>
      <w:r w:rsidR="0059593C">
        <w:t xml:space="preserve"> </w:t>
      </w:r>
      <w:r>
        <w:t>41 KONWENCJI</w:t>
      </w:r>
    </w:p>
    <w:p w14:paraId="28470016" w14:textId="4DCC9385" w:rsidR="0024318B" w:rsidRPr="00D91FE4" w:rsidRDefault="0074701B" w:rsidP="00D91FE4">
      <w:pPr>
        <w:pStyle w:val="JuPara"/>
        <w:keepNext/>
        <w:keepLines/>
      </w:pPr>
      <w:r>
        <w:rPr>
          <w:noProof/>
        </w:rPr>
        <w:t>38</w:t>
      </w:r>
      <w:r w:rsidR="0024318B">
        <w:t>.</w:t>
      </w:r>
      <w:r w:rsidR="0059593C">
        <w:t xml:space="preserve"> </w:t>
      </w:r>
      <w:r w:rsidR="0024318B">
        <w:t>Artykuł 41 Konwencji stanowi:</w:t>
      </w:r>
    </w:p>
    <w:p w14:paraId="46DB0743" w14:textId="16FA3110" w:rsidR="0024318B" w:rsidRPr="00D91FE4" w:rsidRDefault="0024318B" w:rsidP="00D91FE4">
      <w:pPr>
        <w:pStyle w:val="JuQuot"/>
      </w:pPr>
      <w:r>
        <w:t>„</w:t>
      </w:r>
      <w:r w:rsidR="006B474B" w:rsidRPr="006B474B">
        <w:t>Je</w:t>
      </w:r>
      <w:r w:rsidR="006B474B" w:rsidRPr="006B474B">
        <w:t>ś</w:t>
      </w:r>
      <w:r w:rsidR="006B474B" w:rsidRPr="006B474B">
        <w:t xml:space="preserve">li Trybunał stwierdzi, że nastąpiło naruszenie Konwencji lub jej </w:t>
      </w:r>
      <w:r w:rsidR="008D0C9A" w:rsidRPr="006B474B">
        <w:t>P</w:t>
      </w:r>
      <w:r w:rsidR="006B474B" w:rsidRPr="006B474B">
        <w:t>rotokołów, oraz je</w:t>
      </w:r>
      <w:r w:rsidR="006B474B" w:rsidRPr="006B474B">
        <w:t>ś</w:t>
      </w:r>
      <w:r w:rsidR="006B474B" w:rsidRPr="006B474B">
        <w:t>li prawo wewnętrzne zainteresowanej Wysokiej Układającej się Strony pozwala tylko na częściowe usunięcie konsekwencji tego naruszenia, Trybunał orzeka, gdy</w:t>
      </w:r>
      <w:r w:rsidR="00722F2A">
        <w:t> </w:t>
      </w:r>
      <w:r w:rsidR="006B474B" w:rsidRPr="006B474B">
        <w:t xml:space="preserve">zachodzi potrzeba, </w:t>
      </w:r>
      <w:r w:rsidR="006B474B" w:rsidRPr="006B474B">
        <w:t>słuszne zadośćuczynienie</w:t>
      </w:r>
      <w:r w:rsidR="006B474B">
        <w:t xml:space="preserve"> pokrzywdzonej stronie</w:t>
      </w:r>
      <w:r>
        <w:t>”.</w:t>
      </w:r>
    </w:p>
    <w:p w14:paraId="5BB262D0" w14:textId="77777777" w:rsidR="0024318B" w:rsidRPr="00D91FE4" w:rsidRDefault="0024318B" w:rsidP="00D91FE4">
      <w:pPr>
        <w:pStyle w:val="JuHA"/>
        <w:ind w:left="584" w:hanging="352"/>
        <w:jc w:val="left"/>
      </w:pPr>
      <w:r>
        <w:t>Szkoda</w:t>
      </w:r>
    </w:p>
    <w:p w14:paraId="6585BEB8" w14:textId="6ADE0539" w:rsidR="0024318B" w:rsidRPr="00D91FE4" w:rsidRDefault="0074701B" w:rsidP="00D91FE4">
      <w:pPr>
        <w:pStyle w:val="JuPara"/>
      </w:pPr>
      <w:r>
        <w:rPr>
          <w:noProof/>
        </w:rPr>
        <w:t>39</w:t>
      </w:r>
      <w:r w:rsidR="0024318B">
        <w:t>.</w:t>
      </w:r>
      <w:r w:rsidR="0059593C">
        <w:t xml:space="preserve"> </w:t>
      </w:r>
      <w:r w:rsidR="0024318B">
        <w:t>Skarżący dochodził</w:t>
      </w:r>
      <w:r w:rsidR="0059593C">
        <w:t xml:space="preserve"> </w:t>
      </w:r>
      <w:r w:rsidR="0024318B">
        <w:t>20</w:t>
      </w:r>
      <w:r w:rsidR="0059593C">
        <w:t xml:space="preserve"> </w:t>
      </w:r>
      <w:r w:rsidR="0024318B">
        <w:t>000</w:t>
      </w:r>
      <w:r w:rsidR="0059593C">
        <w:t xml:space="preserve"> </w:t>
      </w:r>
      <w:r w:rsidR="0024318B">
        <w:t>złotych (PLN) tytułem odszkodowania za</w:t>
      </w:r>
      <w:r w:rsidR="00722F2A">
        <w:t> </w:t>
      </w:r>
      <w:r w:rsidR="0024318B">
        <w:t>szkodę majątkową.</w:t>
      </w:r>
    </w:p>
    <w:p w14:paraId="56F28E08" w14:textId="2F6B2372" w:rsidR="0024318B" w:rsidRPr="00D91FE4" w:rsidRDefault="0074701B" w:rsidP="00D91FE4">
      <w:pPr>
        <w:pStyle w:val="JuPara"/>
      </w:pPr>
      <w:r>
        <w:rPr>
          <w:noProof/>
        </w:rPr>
        <w:t>40</w:t>
      </w:r>
      <w:r w:rsidR="0024318B">
        <w:t>.</w:t>
      </w:r>
      <w:r w:rsidR="0059593C">
        <w:t xml:space="preserve"> </w:t>
      </w:r>
      <w:r w:rsidR="0024318B">
        <w:t>Rząd pozostawił tę kwestię do uznania Trybunału.</w:t>
      </w:r>
    </w:p>
    <w:p w14:paraId="323FA60B" w14:textId="58433353" w:rsidR="0024318B" w:rsidRPr="00D91FE4" w:rsidRDefault="0074701B" w:rsidP="00D91FE4">
      <w:pPr>
        <w:pStyle w:val="JuPara"/>
      </w:pPr>
      <w:r>
        <w:rPr>
          <w:noProof/>
        </w:rPr>
        <w:t>41</w:t>
      </w:r>
      <w:r w:rsidR="0024318B">
        <w:t>.</w:t>
      </w:r>
      <w:r w:rsidR="0059593C">
        <w:t xml:space="preserve"> </w:t>
      </w:r>
      <w:r w:rsidR="0024318B">
        <w:t>Trybunał uważa, że skarżący niewątpliwie poniósł szkodę niemajątkową. Kierując się zasadą słuszności przy orzekaniu, Trybunał przyznaje skarżącemu z tego tytułu kwotę 2600 euro (EUR).</w:t>
      </w:r>
    </w:p>
    <w:p w14:paraId="4ED1C55E" w14:textId="77777777" w:rsidR="0024318B" w:rsidRPr="00D91FE4" w:rsidRDefault="0024318B" w:rsidP="00D91FE4">
      <w:pPr>
        <w:pStyle w:val="JuHA"/>
        <w:ind w:left="584" w:hanging="352"/>
        <w:jc w:val="left"/>
      </w:pPr>
      <w:r>
        <w:t>Koszty i wydatki</w:t>
      </w:r>
    </w:p>
    <w:p w14:paraId="608D8B07" w14:textId="4BEBF82D" w:rsidR="0024318B" w:rsidRPr="00D91FE4" w:rsidRDefault="0074701B" w:rsidP="00D91FE4">
      <w:pPr>
        <w:pStyle w:val="JuPara"/>
      </w:pPr>
      <w:r>
        <w:rPr>
          <w:noProof/>
        </w:rPr>
        <w:t>42</w:t>
      </w:r>
      <w:r w:rsidR="0024318B">
        <w:t>.</w:t>
      </w:r>
      <w:r w:rsidR="0059593C">
        <w:t xml:space="preserve"> </w:t>
      </w:r>
      <w:r w:rsidR="0024318B">
        <w:t>Skarżący dochodził również równowartości kwoty 4000 EUR tytułem kosztów i</w:t>
      </w:r>
      <w:r w:rsidR="0059593C">
        <w:t xml:space="preserve"> </w:t>
      </w:r>
      <w:r w:rsidR="0024318B">
        <w:t>wydatków poniesionych przed sądami krajowymi. Skarżący, reprezentowany przez pełnomocnika z wyboru, nie złożył żadnego wniosku o zwrot kosztów poniesionych w postępowaniu przed Trybunałem.</w:t>
      </w:r>
    </w:p>
    <w:p w14:paraId="311B6A41" w14:textId="235F49BD" w:rsidR="0024318B" w:rsidRPr="00D91FE4" w:rsidRDefault="0074701B" w:rsidP="00D91FE4">
      <w:pPr>
        <w:pStyle w:val="JuPara"/>
      </w:pPr>
      <w:r>
        <w:rPr>
          <w:noProof/>
        </w:rPr>
        <w:t>43</w:t>
      </w:r>
      <w:r w:rsidR="0024318B">
        <w:t>.</w:t>
      </w:r>
      <w:r w:rsidR="0059593C">
        <w:t xml:space="preserve"> </w:t>
      </w:r>
      <w:r w:rsidR="0024318B">
        <w:t xml:space="preserve">Rząd kwestionował to roszczenie i uznał je za </w:t>
      </w:r>
      <w:r w:rsidR="0015294F">
        <w:t>niepozostające w</w:t>
      </w:r>
      <w:r w:rsidR="00722F2A">
        <w:t> </w:t>
      </w:r>
      <w:r w:rsidR="0015294F">
        <w:t>związku</w:t>
      </w:r>
      <w:r w:rsidR="0024318B">
        <w:t>.</w:t>
      </w:r>
    </w:p>
    <w:p w14:paraId="03C809DF" w14:textId="54E3532D" w:rsidR="0024318B" w:rsidRPr="00D91FE4" w:rsidRDefault="0074701B" w:rsidP="00D91FE4">
      <w:pPr>
        <w:pStyle w:val="JuPara"/>
      </w:pPr>
      <w:r>
        <w:rPr>
          <w:noProof/>
        </w:rPr>
        <w:t>44</w:t>
      </w:r>
      <w:r w:rsidR="0024318B">
        <w:t>.</w:t>
      </w:r>
      <w:r w:rsidR="0059593C">
        <w:t xml:space="preserve"> </w:t>
      </w:r>
      <w:r w:rsidR="0024318B">
        <w:t>Uwzględniając dokumenty znajdujące się w posiadaniu Trybunału i</w:t>
      </w:r>
      <w:r w:rsidR="00722F2A">
        <w:t> </w:t>
      </w:r>
      <w:r w:rsidR="0024318B">
        <w:t>własne orzecznictwo, Trybunał oddal</w:t>
      </w:r>
      <w:r w:rsidR="00281D10">
        <w:t>a</w:t>
      </w:r>
      <w:r w:rsidR="0024318B">
        <w:t xml:space="preserve"> roszczenie o zwrot kosztów i</w:t>
      </w:r>
      <w:r w:rsidR="00722F2A">
        <w:t> </w:t>
      </w:r>
      <w:r w:rsidR="0024318B">
        <w:t>wydatków poniesionych w postępowani</w:t>
      </w:r>
      <w:r w:rsidR="0015294F">
        <w:t>ach</w:t>
      </w:r>
      <w:r w:rsidR="0024318B">
        <w:t xml:space="preserve"> krajowy</w:t>
      </w:r>
      <w:r w:rsidR="0015294F">
        <w:t>ch</w:t>
      </w:r>
      <w:r w:rsidR="0024318B">
        <w:t>.</w:t>
      </w:r>
    </w:p>
    <w:p w14:paraId="2C2F63B7" w14:textId="77777777" w:rsidR="0024318B" w:rsidRPr="00D91FE4" w:rsidRDefault="0024318B" w:rsidP="00D91FE4">
      <w:pPr>
        <w:pStyle w:val="JuHA"/>
        <w:ind w:left="584" w:hanging="352"/>
        <w:jc w:val="left"/>
      </w:pPr>
      <w:r>
        <w:t>Odsetki za zwłokę</w:t>
      </w:r>
    </w:p>
    <w:p w14:paraId="311123B2" w14:textId="72EFE092" w:rsidR="0024318B" w:rsidRPr="00D91FE4" w:rsidRDefault="0074701B" w:rsidP="00D91FE4">
      <w:pPr>
        <w:pStyle w:val="JuPara"/>
      </w:pPr>
      <w:r>
        <w:rPr>
          <w:noProof/>
        </w:rPr>
        <w:t>45</w:t>
      </w:r>
      <w:r w:rsidR="0024318B">
        <w:t>.</w:t>
      </w:r>
      <w:r w:rsidR="0059593C">
        <w:t xml:space="preserve"> </w:t>
      </w:r>
      <w:r w:rsidR="0024318B">
        <w:t xml:space="preserve">Trybunał za słuszne uznaje </w:t>
      </w:r>
      <w:r w:rsidR="0015294F">
        <w:t xml:space="preserve">ustalenie </w:t>
      </w:r>
      <w:r w:rsidR="0024318B">
        <w:t>wysokości odsetek za zwłokę na</w:t>
      </w:r>
      <w:r w:rsidR="00722F2A">
        <w:t> </w:t>
      </w:r>
      <w:r w:rsidR="0024318B">
        <w:t>podstawie marginalnej stopy procentowej Europejskiego Banku Centralnego powiększonej o trzy punkty procentowe.</w:t>
      </w:r>
    </w:p>
    <w:p w14:paraId="799330B0" w14:textId="77777777" w:rsidR="0024318B" w:rsidRPr="00D91FE4" w:rsidRDefault="0024318B" w:rsidP="00D91FE4">
      <w:pPr>
        <w:pStyle w:val="JuHHead"/>
        <w:numPr>
          <w:ilvl w:val="0"/>
          <w:numId w:val="3"/>
        </w:numPr>
        <w:jc w:val="left"/>
      </w:pPr>
      <w:r>
        <w:t>Z POWYŻSZYCH WZGLĘDÓW TRYBUNAŁ JEDNOGŁOŚNIE</w:t>
      </w:r>
    </w:p>
    <w:p w14:paraId="1EBFC5A7" w14:textId="77777777" w:rsidR="0024318B" w:rsidRPr="00D91FE4" w:rsidRDefault="0024318B" w:rsidP="00D91FE4">
      <w:pPr>
        <w:pStyle w:val="JuList"/>
        <w:numPr>
          <w:ilvl w:val="0"/>
          <w:numId w:val="2"/>
        </w:numPr>
        <w:ind w:left="0" w:firstLine="0"/>
      </w:pPr>
      <w:bookmarkStart w:id="9" w:name="_Hlk64369918"/>
      <w:r>
        <w:rPr>
          <w:i/>
          <w:iCs/>
        </w:rPr>
        <w:t>uznaje</w:t>
      </w:r>
      <w:r>
        <w:t xml:space="preserve"> skargę za dopuszczalną;</w:t>
      </w:r>
    </w:p>
    <w:p w14:paraId="3E0E58EE" w14:textId="77872F68" w:rsidR="0024318B" w:rsidRPr="00D91FE4" w:rsidRDefault="0024318B" w:rsidP="00D91FE4">
      <w:pPr>
        <w:pStyle w:val="JuList"/>
        <w:numPr>
          <w:ilvl w:val="0"/>
          <w:numId w:val="2"/>
        </w:numPr>
      </w:pPr>
      <w:r>
        <w:rPr>
          <w:i/>
          <w:iCs/>
        </w:rPr>
        <w:t>stwierdza</w:t>
      </w:r>
      <w:r>
        <w:t>, że doszło do naruszenia art.</w:t>
      </w:r>
      <w:r w:rsidR="0059593C">
        <w:t xml:space="preserve"> </w:t>
      </w:r>
      <w:r>
        <w:t>6 ust. 1 Konwencji;</w:t>
      </w:r>
    </w:p>
    <w:p w14:paraId="47768451" w14:textId="1832980D" w:rsidR="0024318B" w:rsidRPr="00D91FE4" w:rsidRDefault="0024318B" w:rsidP="00D91FE4">
      <w:pPr>
        <w:pStyle w:val="JuList"/>
        <w:numPr>
          <w:ilvl w:val="0"/>
          <w:numId w:val="2"/>
        </w:numPr>
      </w:pPr>
      <w:r>
        <w:rPr>
          <w:i/>
          <w:iCs/>
        </w:rPr>
        <w:t>stwierdza</w:t>
      </w:r>
      <w:r>
        <w:t>, że doszło do naruszenia art.</w:t>
      </w:r>
      <w:r w:rsidR="0059593C">
        <w:t xml:space="preserve"> </w:t>
      </w:r>
      <w:r>
        <w:t>13 Konwencji;</w:t>
      </w:r>
    </w:p>
    <w:p w14:paraId="28BEF9CF" w14:textId="77777777" w:rsidR="0024318B" w:rsidRPr="00D91FE4" w:rsidRDefault="0024318B" w:rsidP="00D91FE4">
      <w:pPr>
        <w:pStyle w:val="JuList"/>
        <w:numPr>
          <w:ilvl w:val="0"/>
          <w:numId w:val="2"/>
        </w:numPr>
      </w:pPr>
      <w:r>
        <w:rPr>
          <w:i/>
          <w:iCs/>
        </w:rPr>
        <w:lastRenderedPageBreak/>
        <w:t>stwierdza</w:t>
      </w:r>
    </w:p>
    <w:p w14:paraId="418240A2" w14:textId="2EE3897E" w:rsidR="0024318B" w:rsidRPr="00D91FE4" w:rsidRDefault="0024318B" w:rsidP="00D91FE4">
      <w:pPr>
        <w:pStyle w:val="JuLista"/>
        <w:numPr>
          <w:ilvl w:val="1"/>
          <w:numId w:val="2"/>
        </w:numPr>
        <w:rPr>
          <w:rFonts w:ascii="Times New Roman" w:hAnsi="Times New Roman" w:cs="Times New Roman"/>
          <w:color w:val="000000"/>
        </w:rPr>
      </w:pPr>
      <w:r>
        <w:t>że pozwane państwo jest zobowiązane</w:t>
      </w:r>
      <w:r w:rsidR="0015294F">
        <w:t xml:space="preserve"> do zapłaty</w:t>
      </w:r>
      <w:r>
        <w:t>, w terminie trzech miesięcy, na rzecz skarżącego kwot</w:t>
      </w:r>
      <w:r w:rsidR="0015294F">
        <w:t>y</w:t>
      </w:r>
      <w:r>
        <w:t xml:space="preserve"> 2600 EUR (dwa tysiące sześćset euro), przeliczon</w:t>
      </w:r>
      <w:r w:rsidR="0015294F">
        <w:t>ej</w:t>
      </w:r>
      <w:r>
        <w:t xml:space="preserve"> na walutę pozwanego państwa według kursu obowiązującego w dniu płatności, tytułem szkod</w:t>
      </w:r>
      <w:r w:rsidR="0015294F">
        <w:t>y</w:t>
      </w:r>
      <w:r>
        <w:t xml:space="preserve"> niemajątkow</w:t>
      </w:r>
      <w:r w:rsidR="0015294F">
        <w:t>ej</w:t>
      </w:r>
      <w:r>
        <w:t>;</w:t>
      </w:r>
    </w:p>
    <w:p w14:paraId="3CF656CD" w14:textId="623AAB50" w:rsidR="0024318B" w:rsidRPr="00D91FE4" w:rsidRDefault="0024318B" w:rsidP="00D91FE4">
      <w:pPr>
        <w:pStyle w:val="JuLista"/>
        <w:numPr>
          <w:ilvl w:val="1"/>
          <w:numId w:val="2"/>
        </w:numPr>
      </w:pPr>
      <w:r>
        <w:t>że od upływu wyżej wskazanego terminu trzech miesięcy aż</w:t>
      </w:r>
      <w:r w:rsidR="007B724A">
        <w:t> </w:t>
      </w:r>
      <w:r>
        <w:t>do</w:t>
      </w:r>
      <w:r w:rsidR="00722F2A">
        <w:t> </w:t>
      </w:r>
      <w:r>
        <w:t xml:space="preserve">momentu </w:t>
      </w:r>
      <w:r w:rsidR="0015294F">
        <w:t>płatności</w:t>
      </w:r>
      <w:r>
        <w:t>, należne będą odsetki zwykłe od określonej powyżej kwoty, naliczone według stopy równej marginalnej stopie procentowej Europejskiego Banku Centralnego obowiązującej w tym okresie, powiększonej o trzy punkty procentowe;</w:t>
      </w:r>
    </w:p>
    <w:p w14:paraId="516CC90B" w14:textId="768B2D19" w:rsidR="004D0EC7" w:rsidRPr="00D91FE4" w:rsidRDefault="008264DA" w:rsidP="00D91FE4">
      <w:pPr>
        <w:pStyle w:val="JuList"/>
        <w:numPr>
          <w:ilvl w:val="0"/>
          <w:numId w:val="0"/>
        </w:numPr>
      </w:pPr>
      <w:r w:rsidRPr="00A17464">
        <w:rPr>
          <w:iCs/>
        </w:rPr>
        <w:t>5.</w:t>
      </w:r>
      <w:r w:rsidR="0015294F" w:rsidDel="0015294F">
        <w:rPr>
          <w:i/>
        </w:rPr>
        <w:t xml:space="preserve"> </w:t>
      </w:r>
      <w:r>
        <w:rPr>
          <w:i/>
        </w:rPr>
        <w:t xml:space="preserve">oddala </w:t>
      </w:r>
      <w:r>
        <w:t xml:space="preserve">pozostałą część roszczenia skarżącego </w:t>
      </w:r>
      <w:r w:rsidR="0015294F">
        <w:t xml:space="preserve">w przedmiocie </w:t>
      </w:r>
      <w:r>
        <w:t>słusznego zadośćuczynienia.</w:t>
      </w:r>
    </w:p>
    <w:bookmarkEnd w:id="9"/>
    <w:p w14:paraId="55698B47" w14:textId="67A4978A" w:rsidR="008E3A08" w:rsidRPr="00D91FE4" w:rsidRDefault="007E2C8C" w:rsidP="00D91FE4">
      <w:pPr>
        <w:pStyle w:val="JuParaLast"/>
      </w:pPr>
      <w:r>
        <w:t>Sporządzono w języku angielskim i obwieszczono pisemnie w dniu 18</w:t>
      </w:r>
      <w:r w:rsidR="00281D10">
        <w:t> </w:t>
      </w:r>
      <w:r>
        <w:t>marca 2021</w:t>
      </w:r>
      <w:r w:rsidR="0059593C">
        <w:t xml:space="preserve"> </w:t>
      </w:r>
      <w:r>
        <w:t>r., zgodnie z Regułą</w:t>
      </w:r>
      <w:r w:rsidR="0059593C">
        <w:t xml:space="preserve"> </w:t>
      </w:r>
      <w:r>
        <w:t>77 §§</w:t>
      </w:r>
      <w:r w:rsidR="0059593C">
        <w:t xml:space="preserve"> </w:t>
      </w:r>
      <w:r>
        <w:t>2 i 3 Regulaminu Trybunału.</w:t>
      </w:r>
    </w:p>
    <w:p w14:paraId="4D110C4B" w14:textId="77777777" w:rsidR="009E3CF5" w:rsidRDefault="00A914CA" w:rsidP="00D91FE4">
      <w:pPr>
        <w:pStyle w:val="JuSigned"/>
        <w:keepNext/>
        <w:keepLines/>
      </w:pPr>
      <w:r>
        <w:tab/>
        <w:t>Attila Teplán</w:t>
      </w:r>
      <w:r w:rsidR="009E3CF5">
        <w:tab/>
      </w:r>
      <w:r>
        <w:t>Linos-Alexandre Sicilianos</w:t>
      </w:r>
    </w:p>
    <w:p w14:paraId="2211697F" w14:textId="30568211" w:rsidR="002A613A" w:rsidRPr="00D91FE4" w:rsidRDefault="00A914CA" w:rsidP="009E3CF5">
      <w:pPr>
        <w:pStyle w:val="JuSigned"/>
        <w:keepNext/>
        <w:keepLines/>
        <w:spacing w:before="0"/>
      </w:pPr>
      <w:r>
        <w:t xml:space="preserve">p.o. </w:t>
      </w:r>
      <w:r w:rsidR="0015294F">
        <w:t>Z</w:t>
      </w:r>
      <w:r>
        <w:t>astępc</w:t>
      </w:r>
      <w:r w:rsidR="004E6EB1">
        <w:t>a</w:t>
      </w:r>
      <w:r>
        <w:t xml:space="preserve"> </w:t>
      </w:r>
      <w:r w:rsidR="0015294F">
        <w:t>K</w:t>
      </w:r>
      <w:r>
        <w:t xml:space="preserve">anclerza </w:t>
      </w:r>
      <w:r w:rsidR="0015294F">
        <w:t>S</w:t>
      </w:r>
      <w:r>
        <w:t>ekcji</w:t>
      </w:r>
      <w:r w:rsidR="009E3CF5">
        <w:tab/>
      </w:r>
      <w:r>
        <w:t>Przewodniczący</w:t>
      </w:r>
      <w:bookmarkEnd w:id="0"/>
    </w:p>
    <w:sectPr w:rsidR="002A613A" w:rsidRPr="00D91FE4" w:rsidSect="007D3701">
      <w:headerReference w:type="even" r:id="rId15"/>
      <w:headerReference w:type="default" r:id="rId16"/>
      <w:footerReference w:type="even" r:id="rId17"/>
      <w:footerReference w:type="default" r:id="rId18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541E09" w14:textId="77777777" w:rsidR="00DA59FB" w:rsidRPr="0024318B" w:rsidRDefault="00DA59FB" w:rsidP="0098410D">
      <w:r w:rsidRPr="0024318B">
        <w:separator/>
      </w:r>
    </w:p>
  </w:endnote>
  <w:endnote w:type="continuationSeparator" w:id="0">
    <w:p w14:paraId="6684B54B" w14:textId="77777777" w:rsidR="00DA59FB" w:rsidRPr="0024318B" w:rsidRDefault="00DA59FB" w:rsidP="0098410D">
      <w:r w:rsidRPr="0024318B">
        <w:continuationSeparator/>
      </w:r>
    </w:p>
  </w:endnote>
  <w:endnote w:type="continuationNotice" w:id="1">
    <w:p w14:paraId="0C9FAC8B" w14:textId="77777777" w:rsidR="00DA59FB" w:rsidRDefault="00DA59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923B4B" w14:textId="77777777" w:rsidR="00B63D49" w:rsidRPr="00150BFA" w:rsidRDefault="00B63D49" w:rsidP="00B63D49">
    <w:pPr>
      <w:jc w:val="center"/>
    </w:pPr>
    <w:r>
      <w:rPr>
        <w:noProof/>
        <w:lang w:eastAsia="pl-PL"/>
      </w:rPr>
      <w:drawing>
        <wp:inline distT="0" distB="0" distL="0" distR="0" wp14:anchorId="22817EE6" wp14:editId="5CEDF513">
          <wp:extent cx="771525" cy="619125"/>
          <wp:effectExtent l="0" t="0" r="9525" b="9525"/>
          <wp:docPr id="46" name="Picture 46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F971B4" w14:textId="77777777" w:rsidR="00B63D49" w:rsidRPr="0024318B" w:rsidRDefault="00B63D49" w:rsidP="00B63D49">
    <w:pPr>
      <w:pStyle w:val="Stopka"/>
      <w:jc w:val="center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2228D2" w14:textId="77777777" w:rsidR="00B63D49" w:rsidRPr="00150BFA" w:rsidRDefault="00B63D49" w:rsidP="00B63D49">
    <w:pPr>
      <w:jc w:val="center"/>
    </w:pPr>
    <w:r>
      <w:rPr>
        <w:noProof/>
        <w:lang w:eastAsia="pl-PL"/>
      </w:rPr>
      <w:drawing>
        <wp:inline distT="0" distB="0" distL="0" distR="0" wp14:anchorId="46D21BB5" wp14:editId="057DBC29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84D688" w14:textId="77777777" w:rsidR="00B63D49" w:rsidRPr="0024318B" w:rsidRDefault="00B63D49" w:rsidP="009E7A6F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481E0E" w14:textId="2EB2F93E" w:rsidR="00B63D49" w:rsidRDefault="00B63D49" w:rsidP="009A115C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F4CDC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B1B4E3" w14:textId="24A2DCBC" w:rsidR="00B63D49" w:rsidRPr="000B7195" w:rsidRDefault="00B63D49" w:rsidP="007D3701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4F4CDC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C3290" w14:textId="77777777" w:rsidR="00DA59FB" w:rsidRPr="0024318B" w:rsidRDefault="00DA59FB" w:rsidP="0098410D">
      <w:r w:rsidRPr="0024318B">
        <w:separator/>
      </w:r>
    </w:p>
  </w:footnote>
  <w:footnote w:type="continuationSeparator" w:id="0">
    <w:p w14:paraId="5F012B69" w14:textId="77777777" w:rsidR="00DA59FB" w:rsidRPr="0024318B" w:rsidRDefault="00DA59FB" w:rsidP="0098410D">
      <w:r w:rsidRPr="0024318B">
        <w:continuationSeparator/>
      </w:r>
    </w:p>
  </w:footnote>
  <w:footnote w:type="continuationNotice" w:id="1">
    <w:p w14:paraId="3C007D5C" w14:textId="77777777" w:rsidR="00DA59FB" w:rsidRDefault="00DA59F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45990" w14:textId="77777777" w:rsidR="00B63D49" w:rsidRPr="00A45145" w:rsidRDefault="00B63D49" w:rsidP="00B63D49">
    <w:pPr>
      <w:jc w:val="center"/>
    </w:pPr>
    <w:r>
      <w:rPr>
        <w:noProof/>
        <w:lang w:eastAsia="pl-PL"/>
      </w:rPr>
      <w:drawing>
        <wp:inline distT="0" distB="0" distL="0" distR="0" wp14:anchorId="0DA37DE5" wp14:editId="5421748F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6CE013" w14:textId="77777777" w:rsidR="00B63D49" w:rsidRPr="0024318B" w:rsidRDefault="00B63D49" w:rsidP="00B63D49">
    <w:pPr>
      <w:jc w:val="center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568FE4" w14:textId="77777777" w:rsidR="00B63D49" w:rsidRPr="00A45145" w:rsidRDefault="00B63D49" w:rsidP="00B63D49">
    <w:pPr>
      <w:jc w:val="center"/>
    </w:pPr>
    <w:r>
      <w:rPr>
        <w:noProof/>
        <w:lang w:eastAsia="pl-PL"/>
      </w:rPr>
      <w:drawing>
        <wp:inline distT="0" distB="0" distL="0" distR="0" wp14:anchorId="2FDFCA99" wp14:editId="376C0A40">
          <wp:extent cx="2962275" cy="1219200"/>
          <wp:effectExtent l="0" t="0" r="9525" b="0"/>
          <wp:docPr id="37" name="Picture 3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DAD2E2" w14:textId="77777777" w:rsidR="00B63D49" w:rsidRPr="0024318B" w:rsidRDefault="00B63D4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95309" w14:textId="77777777" w:rsidR="00B63D49" w:rsidRPr="004D0EC7" w:rsidRDefault="00B63D49" w:rsidP="004D0EC7">
    <w:pPr>
      <w:pStyle w:val="JuHeader"/>
    </w:pPr>
    <w:r>
      <w:t xml:space="preserve">WYROK W SPRAWIE LEWANDOWSKI PRZECIWKO POLSCE </w:t>
    </w:r>
    <w:r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548ED" w14:textId="77777777" w:rsidR="00B63D49" w:rsidRPr="00882CD5" w:rsidRDefault="00B63D49" w:rsidP="007D3701">
    <w:pPr>
      <w:pStyle w:val="JuHeader"/>
    </w:pPr>
    <w:r>
      <w:t xml:space="preserve">WYROK W SPRAWIE LEWANDOWSKI PRZECIWKO POLSCE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79FEA660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97" w:hanging="397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w:numFmt w:val="decimal"/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56B9429C"/>
    <w:multiLevelType w:val="multilevel"/>
    <w:tmpl w:val="EAA66700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abstractNum w:abstractNumId="18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7D35409C"/>
    <w:multiLevelType w:val="multilevel"/>
    <w:tmpl w:val="EAA66700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num w:numId="1">
    <w:abstractNumId w:val="17"/>
  </w:num>
  <w:num w:numId="2">
    <w:abstractNumId w:val="9"/>
  </w:num>
  <w:num w:numId="3">
    <w:abstractNumId w:val="19"/>
  </w:num>
  <w:num w:numId="4">
    <w:abstractNumId w:val="10"/>
  </w:num>
  <w:num w:numId="5">
    <w:abstractNumId w:val="14"/>
  </w:num>
  <w:num w:numId="6">
    <w:abstractNumId w:val="12"/>
  </w:num>
  <w:num w:numId="7">
    <w:abstractNumId w:val="11"/>
  </w:num>
  <w:num w:numId="8">
    <w:abstractNumId w:val="15"/>
  </w:num>
  <w:num w:numId="9">
    <w:abstractNumId w:val="13"/>
  </w:num>
  <w:num w:numId="10">
    <w:abstractNumId w:val="16"/>
  </w:num>
  <w:num w:numId="11">
    <w:abstractNumId w:val="18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activeWritingStyle w:appName="MSWord" w:lang="pl-PL" w:vendorID="12" w:dllVersion="512" w:checkStyle="1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EMM" w:val="0"/>
    <w:docVar w:name="NBEMMDOC" w:val="0"/>
  </w:docVars>
  <w:rsids>
    <w:rsidRoot w:val="0024318B"/>
    <w:rsid w:val="000041F8"/>
    <w:rsid w:val="000042A8"/>
    <w:rsid w:val="00004308"/>
    <w:rsid w:val="00005BF0"/>
    <w:rsid w:val="0000617D"/>
    <w:rsid w:val="00007154"/>
    <w:rsid w:val="000103AE"/>
    <w:rsid w:val="00011D69"/>
    <w:rsid w:val="00012AD3"/>
    <w:rsid w:val="00015C2D"/>
    <w:rsid w:val="00015F00"/>
    <w:rsid w:val="00022C1D"/>
    <w:rsid w:val="00031428"/>
    <w:rsid w:val="00034987"/>
    <w:rsid w:val="000353F8"/>
    <w:rsid w:val="00041560"/>
    <w:rsid w:val="00051190"/>
    <w:rsid w:val="00052287"/>
    <w:rsid w:val="000602DF"/>
    <w:rsid w:val="00061B05"/>
    <w:rsid w:val="000632D5"/>
    <w:rsid w:val="000644EE"/>
    <w:rsid w:val="0007780A"/>
    <w:rsid w:val="000809CA"/>
    <w:rsid w:val="00085457"/>
    <w:rsid w:val="000925AD"/>
    <w:rsid w:val="00096FE1"/>
    <w:rsid w:val="00097A62"/>
    <w:rsid w:val="000A24EB"/>
    <w:rsid w:val="000B686A"/>
    <w:rsid w:val="000B6923"/>
    <w:rsid w:val="000B7195"/>
    <w:rsid w:val="000C5F3C"/>
    <w:rsid w:val="000C6DCC"/>
    <w:rsid w:val="000D47AA"/>
    <w:rsid w:val="000D721F"/>
    <w:rsid w:val="000E069B"/>
    <w:rsid w:val="000E0E82"/>
    <w:rsid w:val="000E1DC5"/>
    <w:rsid w:val="000E223F"/>
    <w:rsid w:val="000E46B8"/>
    <w:rsid w:val="000E7D45"/>
    <w:rsid w:val="000F7851"/>
    <w:rsid w:val="00101505"/>
    <w:rsid w:val="00104E23"/>
    <w:rsid w:val="001078DE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7FF6"/>
    <w:rsid w:val="00141650"/>
    <w:rsid w:val="0015294F"/>
    <w:rsid w:val="001561B6"/>
    <w:rsid w:val="00162A12"/>
    <w:rsid w:val="00166530"/>
    <w:rsid w:val="00170027"/>
    <w:rsid w:val="001832BD"/>
    <w:rsid w:val="001943B5"/>
    <w:rsid w:val="00195134"/>
    <w:rsid w:val="001A145B"/>
    <w:rsid w:val="001A3E09"/>
    <w:rsid w:val="001A674C"/>
    <w:rsid w:val="001B3B24"/>
    <w:rsid w:val="001C055B"/>
    <w:rsid w:val="001C0F98"/>
    <w:rsid w:val="001C2A42"/>
    <w:rsid w:val="001D3EB3"/>
    <w:rsid w:val="001D63ED"/>
    <w:rsid w:val="001D7348"/>
    <w:rsid w:val="001E035B"/>
    <w:rsid w:val="001E0961"/>
    <w:rsid w:val="001E3EAE"/>
    <w:rsid w:val="001E6857"/>
    <w:rsid w:val="001E6F32"/>
    <w:rsid w:val="001F2145"/>
    <w:rsid w:val="001F6262"/>
    <w:rsid w:val="001F67B0"/>
    <w:rsid w:val="001F7B3D"/>
    <w:rsid w:val="00202752"/>
    <w:rsid w:val="0020335A"/>
    <w:rsid w:val="002052BC"/>
    <w:rsid w:val="00205F9F"/>
    <w:rsid w:val="00210338"/>
    <w:rsid w:val="002115FC"/>
    <w:rsid w:val="0021423C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318B"/>
    <w:rsid w:val="00244B0E"/>
    <w:rsid w:val="00244F6C"/>
    <w:rsid w:val="00246B89"/>
    <w:rsid w:val="00252C4E"/>
    <w:rsid w:val="002532C5"/>
    <w:rsid w:val="00254DF2"/>
    <w:rsid w:val="00260C03"/>
    <w:rsid w:val="0026540E"/>
    <w:rsid w:val="00275123"/>
    <w:rsid w:val="00281D10"/>
    <w:rsid w:val="00282240"/>
    <w:rsid w:val="00287AD5"/>
    <w:rsid w:val="002934D0"/>
    <w:rsid w:val="00293676"/>
    <w:rsid w:val="00293BD9"/>
    <w:rsid w:val="002948AD"/>
    <w:rsid w:val="002A01CC"/>
    <w:rsid w:val="002A613A"/>
    <w:rsid w:val="002A61B1"/>
    <w:rsid w:val="002A663C"/>
    <w:rsid w:val="002B444B"/>
    <w:rsid w:val="002B5887"/>
    <w:rsid w:val="002C0E27"/>
    <w:rsid w:val="002C3040"/>
    <w:rsid w:val="002C4433"/>
    <w:rsid w:val="002C7826"/>
    <w:rsid w:val="002D022D"/>
    <w:rsid w:val="002D24BB"/>
    <w:rsid w:val="002D2FA7"/>
    <w:rsid w:val="002D47BA"/>
    <w:rsid w:val="002D77B9"/>
    <w:rsid w:val="002E3E38"/>
    <w:rsid w:val="002E46DA"/>
    <w:rsid w:val="002F2AF7"/>
    <w:rsid w:val="002F69C4"/>
    <w:rsid w:val="002F75E0"/>
    <w:rsid w:val="002F7D9E"/>
    <w:rsid w:val="002F7E1C"/>
    <w:rsid w:val="00301A75"/>
    <w:rsid w:val="00302F70"/>
    <w:rsid w:val="0030336F"/>
    <w:rsid w:val="0030375E"/>
    <w:rsid w:val="00312A30"/>
    <w:rsid w:val="003201D8"/>
    <w:rsid w:val="00320F72"/>
    <w:rsid w:val="0032463E"/>
    <w:rsid w:val="00326224"/>
    <w:rsid w:val="00327DC9"/>
    <w:rsid w:val="00337EE4"/>
    <w:rsid w:val="00340FFD"/>
    <w:rsid w:val="00345C41"/>
    <w:rsid w:val="003506B1"/>
    <w:rsid w:val="00355877"/>
    <w:rsid w:val="00356AC7"/>
    <w:rsid w:val="003609FA"/>
    <w:rsid w:val="003710C8"/>
    <w:rsid w:val="003750BE"/>
    <w:rsid w:val="00385A36"/>
    <w:rsid w:val="00385F3D"/>
    <w:rsid w:val="00387B9D"/>
    <w:rsid w:val="00387C70"/>
    <w:rsid w:val="00390294"/>
    <w:rsid w:val="0039364F"/>
    <w:rsid w:val="00396686"/>
    <w:rsid w:val="00396A85"/>
    <w:rsid w:val="0039778E"/>
    <w:rsid w:val="003A41B6"/>
    <w:rsid w:val="003B4941"/>
    <w:rsid w:val="003C5714"/>
    <w:rsid w:val="003C6B9F"/>
    <w:rsid w:val="003C6E2A"/>
    <w:rsid w:val="003D0299"/>
    <w:rsid w:val="003E6D80"/>
    <w:rsid w:val="003F05FA"/>
    <w:rsid w:val="003F244A"/>
    <w:rsid w:val="003F2517"/>
    <w:rsid w:val="003F30B8"/>
    <w:rsid w:val="003F4C45"/>
    <w:rsid w:val="003F5F7B"/>
    <w:rsid w:val="003F7D64"/>
    <w:rsid w:val="004018B5"/>
    <w:rsid w:val="0040433A"/>
    <w:rsid w:val="00414300"/>
    <w:rsid w:val="00414F27"/>
    <w:rsid w:val="00420703"/>
    <w:rsid w:val="00425C67"/>
    <w:rsid w:val="00427E7A"/>
    <w:rsid w:val="004320CD"/>
    <w:rsid w:val="004355AC"/>
    <w:rsid w:val="00436C49"/>
    <w:rsid w:val="00443D98"/>
    <w:rsid w:val="00445366"/>
    <w:rsid w:val="00447F5B"/>
    <w:rsid w:val="00461DB0"/>
    <w:rsid w:val="00463926"/>
    <w:rsid w:val="00464C9A"/>
    <w:rsid w:val="00474F3D"/>
    <w:rsid w:val="00477E3A"/>
    <w:rsid w:val="00483E5F"/>
    <w:rsid w:val="00485FF9"/>
    <w:rsid w:val="004907F0"/>
    <w:rsid w:val="0049140B"/>
    <w:rsid w:val="004923A5"/>
    <w:rsid w:val="0049310E"/>
    <w:rsid w:val="004950E2"/>
    <w:rsid w:val="00496BFB"/>
    <w:rsid w:val="004A15C7"/>
    <w:rsid w:val="004A3201"/>
    <w:rsid w:val="004B013B"/>
    <w:rsid w:val="004B112B"/>
    <w:rsid w:val="004B2F01"/>
    <w:rsid w:val="004B444E"/>
    <w:rsid w:val="004C01E4"/>
    <w:rsid w:val="004C086C"/>
    <w:rsid w:val="004C1F56"/>
    <w:rsid w:val="004C27BC"/>
    <w:rsid w:val="004C299D"/>
    <w:rsid w:val="004C6621"/>
    <w:rsid w:val="004C7AA7"/>
    <w:rsid w:val="004D0EC7"/>
    <w:rsid w:val="004D15F3"/>
    <w:rsid w:val="004D3B3D"/>
    <w:rsid w:val="004D4EF1"/>
    <w:rsid w:val="004D5311"/>
    <w:rsid w:val="004D5DCC"/>
    <w:rsid w:val="004D7E45"/>
    <w:rsid w:val="004E0807"/>
    <w:rsid w:val="004E6EB1"/>
    <w:rsid w:val="004F10AF"/>
    <w:rsid w:val="004F11A4"/>
    <w:rsid w:val="004F2389"/>
    <w:rsid w:val="004F304D"/>
    <w:rsid w:val="004F4290"/>
    <w:rsid w:val="004F4CDC"/>
    <w:rsid w:val="004F61BE"/>
    <w:rsid w:val="004F66B1"/>
    <w:rsid w:val="00510A97"/>
    <w:rsid w:val="00511C07"/>
    <w:rsid w:val="005125CB"/>
    <w:rsid w:val="00512EC4"/>
    <w:rsid w:val="0051725A"/>
    <w:rsid w:val="005173A6"/>
    <w:rsid w:val="00520354"/>
    <w:rsid w:val="00520BAA"/>
    <w:rsid w:val="005217D8"/>
    <w:rsid w:val="00525208"/>
    <w:rsid w:val="005253F8"/>
    <w:rsid w:val="005257A5"/>
    <w:rsid w:val="005264C0"/>
    <w:rsid w:val="00526A8A"/>
    <w:rsid w:val="00527FB1"/>
    <w:rsid w:val="00530FE6"/>
    <w:rsid w:val="00531DF2"/>
    <w:rsid w:val="005320DE"/>
    <w:rsid w:val="0053315C"/>
    <w:rsid w:val="00537476"/>
    <w:rsid w:val="005442EE"/>
    <w:rsid w:val="00545DA6"/>
    <w:rsid w:val="00547353"/>
    <w:rsid w:val="005474E7"/>
    <w:rsid w:val="005512A3"/>
    <w:rsid w:val="005578CE"/>
    <w:rsid w:val="00562781"/>
    <w:rsid w:val="00562B6C"/>
    <w:rsid w:val="0057271C"/>
    <w:rsid w:val="00572845"/>
    <w:rsid w:val="00575362"/>
    <w:rsid w:val="005879A2"/>
    <w:rsid w:val="00592772"/>
    <w:rsid w:val="0059574A"/>
    <w:rsid w:val="0059593C"/>
    <w:rsid w:val="005A1B9B"/>
    <w:rsid w:val="005A2E79"/>
    <w:rsid w:val="005A6751"/>
    <w:rsid w:val="005B092E"/>
    <w:rsid w:val="005B152C"/>
    <w:rsid w:val="005B1EE0"/>
    <w:rsid w:val="005B2B24"/>
    <w:rsid w:val="005B4425"/>
    <w:rsid w:val="005B4B94"/>
    <w:rsid w:val="005C3EE8"/>
    <w:rsid w:val="005D2F2A"/>
    <w:rsid w:val="005D34F9"/>
    <w:rsid w:val="005D4190"/>
    <w:rsid w:val="005D67A3"/>
    <w:rsid w:val="005E2988"/>
    <w:rsid w:val="005E3085"/>
    <w:rsid w:val="005F0EB3"/>
    <w:rsid w:val="005F4ABB"/>
    <w:rsid w:val="005F51E1"/>
    <w:rsid w:val="005F52BB"/>
    <w:rsid w:val="00611C80"/>
    <w:rsid w:val="00620692"/>
    <w:rsid w:val="006242CA"/>
    <w:rsid w:val="00627109"/>
    <w:rsid w:val="00627507"/>
    <w:rsid w:val="00633717"/>
    <w:rsid w:val="006344E1"/>
    <w:rsid w:val="00643524"/>
    <w:rsid w:val="0064393B"/>
    <w:rsid w:val="006545C4"/>
    <w:rsid w:val="00661971"/>
    <w:rsid w:val="00661CE8"/>
    <w:rsid w:val="006623D9"/>
    <w:rsid w:val="00662C15"/>
    <w:rsid w:val="006642A5"/>
    <w:rsid w:val="0066550C"/>
    <w:rsid w:val="00665BD2"/>
    <w:rsid w:val="006716F2"/>
    <w:rsid w:val="006770F1"/>
    <w:rsid w:val="00680CE9"/>
    <w:rsid w:val="00682BF2"/>
    <w:rsid w:val="0068573E"/>
    <w:rsid w:val="006859CE"/>
    <w:rsid w:val="00691270"/>
    <w:rsid w:val="00694BA8"/>
    <w:rsid w:val="006A037C"/>
    <w:rsid w:val="006A36F4"/>
    <w:rsid w:val="006A406F"/>
    <w:rsid w:val="006A5D3A"/>
    <w:rsid w:val="006B474B"/>
    <w:rsid w:val="006C23D4"/>
    <w:rsid w:val="006C7BB0"/>
    <w:rsid w:val="006D3237"/>
    <w:rsid w:val="006E2E37"/>
    <w:rsid w:val="006E3CF1"/>
    <w:rsid w:val="006E5C69"/>
    <w:rsid w:val="006E68A3"/>
    <w:rsid w:val="006E7E80"/>
    <w:rsid w:val="006F1C2D"/>
    <w:rsid w:val="006F48CA"/>
    <w:rsid w:val="006F64DD"/>
    <w:rsid w:val="006F712D"/>
    <w:rsid w:val="00715127"/>
    <w:rsid w:val="00715E8E"/>
    <w:rsid w:val="00716FB0"/>
    <w:rsid w:val="00722F2A"/>
    <w:rsid w:val="00723580"/>
    <w:rsid w:val="00723755"/>
    <w:rsid w:val="0073136C"/>
    <w:rsid w:val="00731F0F"/>
    <w:rsid w:val="00733250"/>
    <w:rsid w:val="00741404"/>
    <w:rsid w:val="007449E5"/>
    <w:rsid w:val="0074701B"/>
    <w:rsid w:val="0074750E"/>
    <w:rsid w:val="00747FF0"/>
    <w:rsid w:val="0075566E"/>
    <w:rsid w:val="00763602"/>
    <w:rsid w:val="00764D4E"/>
    <w:rsid w:val="00765A1F"/>
    <w:rsid w:val="00775B6D"/>
    <w:rsid w:val="00776D68"/>
    <w:rsid w:val="0078323E"/>
    <w:rsid w:val="007850EE"/>
    <w:rsid w:val="00785B95"/>
    <w:rsid w:val="00790E96"/>
    <w:rsid w:val="00793366"/>
    <w:rsid w:val="007A716F"/>
    <w:rsid w:val="007B270A"/>
    <w:rsid w:val="007B4182"/>
    <w:rsid w:val="007B724A"/>
    <w:rsid w:val="007C0695"/>
    <w:rsid w:val="007C419A"/>
    <w:rsid w:val="007C45DA"/>
    <w:rsid w:val="007C4CC8"/>
    <w:rsid w:val="007C5426"/>
    <w:rsid w:val="007C5798"/>
    <w:rsid w:val="007D1ECD"/>
    <w:rsid w:val="007D3701"/>
    <w:rsid w:val="007D4832"/>
    <w:rsid w:val="007E21B2"/>
    <w:rsid w:val="007E2C4E"/>
    <w:rsid w:val="007E2C8C"/>
    <w:rsid w:val="007E4852"/>
    <w:rsid w:val="007E51BA"/>
    <w:rsid w:val="007E73D7"/>
    <w:rsid w:val="007F1905"/>
    <w:rsid w:val="007F27E4"/>
    <w:rsid w:val="007F3437"/>
    <w:rsid w:val="00802C64"/>
    <w:rsid w:val="00805E52"/>
    <w:rsid w:val="008061D0"/>
    <w:rsid w:val="00810B38"/>
    <w:rsid w:val="008204C7"/>
    <w:rsid w:val="00820992"/>
    <w:rsid w:val="00823602"/>
    <w:rsid w:val="008255F5"/>
    <w:rsid w:val="008264DA"/>
    <w:rsid w:val="0083014E"/>
    <w:rsid w:val="0083214A"/>
    <w:rsid w:val="00834220"/>
    <w:rsid w:val="00845723"/>
    <w:rsid w:val="008519E7"/>
    <w:rsid w:val="00851EF9"/>
    <w:rsid w:val="008577FD"/>
    <w:rsid w:val="00860B03"/>
    <w:rsid w:val="0086497A"/>
    <w:rsid w:val="00866505"/>
    <w:rsid w:val="00867066"/>
    <w:rsid w:val="008713A1"/>
    <w:rsid w:val="00872584"/>
    <w:rsid w:val="008754AB"/>
    <w:rsid w:val="00875A64"/>
    <w:rsid w:val="0088060C"/>
    <w:rsid w:val="00881ED9"/>
    <w:rsid w:val="00882CD5"/>
    <w:rsid w:val="00883151"/>
    <w:rsid w:val="00893576"/>
    <w:rsid w:val="00893E73"/>
    <w:rsid w:val="008B02DC"/>
    <w:rsid w:val="008B092C"/>
    <w:rsid w:val="008B57CE"/>
    <w:rsid w:val="008C26DE"/>
    <w:rsid w:val="008D0C9A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59AC"/>
    <w:rsid w:val="00926F38"/>
    <w:rsid w:val="00927BEB"/>
    <w:rsid w:val="009333DC"/>
    <w:rsid w:val="00934301"/>
    <w:rsid w:val="00936CD1"/>
    <w:rsid w:val="00941747"/>
    <w:rsid w:val="00941EFB"/>
    <w:rsid w:val="00947AFB"/>
    <w:rsid w:val="00951AA3"/>
    <w:rsid w:val="00951D7D"/>
    <w:rsid w:val="00956D0C"/>
    <w:rsid w:val="009630C7"/>
    <w:rsid w:val="009674C0"/>
    <w:rsid w:val="00972B55"/>
    <w:rsid w:val="009743B7"/>
    <w:rsid w:val="0098228B"/>
    <w:rsid w:val="009828DA"/>
    <w:rsid w:val="0098410D"/>
    <w:rsid w:val="00985BAB"/>
    <w:rsid w:val="00986B3C"/>
    <w:rsid w:val="009A115C"/>
    <w:rsid w:val="009B1606"/>
    <w:rsid w:val="009B1B5F"/>
    <w:rsid w:val="009B6673"/>
    <w:rsid w:val="009C11D4"/>
    <w:rsid w:val="009C191B"/>
    <w:rsid w:val="009C2BD6"/>
    <w:rsid w:val="009E1F32"/>
    <w:rsid w:val="009E2CC2"/>
    <w:rsid w:val="009E3CF5"/>
    <w:rsid w:val="009E47A2"/>
    <w:rsid w:val="009E6C6B"/>
    <w:rsid w:val="009E776C"/>
    <w:rsid w:val="009E7A6F"/>
    <w:rsid w:val="009F4C8F"/>
    <w:rsid w:val="00A05588"/>
    <w:rsid w:val="00A15601"/>
    <w:rsid w:val="00A1726E"/>
    <w:rsid w:val="00A17464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3628"/>
    <w:rsid w:val="00A51D0F"/>
    <w:rsid w:val="00A54192"/>
    <w:rsid w:val="00A57147"/>
    <w:rsid w:val="00A6035E"/>
    <w:rsid w:val="00A6144C"/>
    <w:rsid w:val="00A66617"/>
    <w:rsid w:val="00A671F8"/>
    <w:rsid w:val="00A673A4"/>
    <w:rsid w:val="00A724AE"/>
    <w:rsid w:val="00A73329"/>
    <w:rsid w:val="00A7722A"/>
    <w:rsid w:val="00A82359"/>
    <w:rsid w:val="00A851D9"/>
    <w:rsid w:val="00A865D2"/>
    <w:rsid w:val="00A90BCD"/>
    <w:rsid w:val="00A914CA"/>
    <w:rsid w:val="00A94C20"/>
    <w:rsid w:val="00AA1B09"/>
    <w:rsid w:val="00AA227F"/>
    <w:rsid w:val="00AA3BC7"/>
    <w:rsid w:val="00AA754A"/>
    <w:rsid w:val="00AB099E"/>
    <w:rsid w:val="00AB4328"/>
    <w:rsid w:val="00AC4CD4"/>
    <w:rsid w:val="00AE0A2E"/>
    <w:rsid w:val="00AE354C"/>
    <w:rsid w:val="00AF163B"/>
    <w:rsid w:val="00AF1DB6"/>
    <w:rsid w:val="00AF4B07"/>
    <w:rsid w:val="00AF6186"/>
    <w:rsid w:val="00AF7A3A"/>
    <w:rsid w:val="00B02587"/>
    <w:rsid w:val="00B160DB"/>
    <w:rsid w:val="00B20836"/>
    <w:rsid w:val="00B235BB"/>
    <w:rsid w:val="00B27A44"/>
    <w:rsid w:val="00B30BBF"/>
    <w:rsid w:val="00B33C03"/>
    <w:rsid w:val="00B34DFC"/>
    <w:rsid w:val="00B41B8E"/>
    <w:rsid w:val="00B4421F"/>
    <w:rsid w:val="00B44E56"/>
    <w:rsid w:val="00B451D8"/>
    <w:rsid w:val="00B45917"/>
    <w:rsid w:val="00B46543"/>
    <w:rsid w:val="00B47D33"/>
    <w:rsid w:val="00B52BE0"/>
    <w:rsid w:val="00B54133"/>
    <w:rsid w:val="00B63D49"/>
    <w:rsid w:val="00B701ED"/>
    <w:rsid w:val="00B748F7"/>
    <w:rsid w:val="00B76061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A2D55"/>
    <w:rsid w:val="00BA71B1"/>
    <w:rsid w:val="00BB0637"/>
    <w:rsid w:val="00BB345F"/>
    <w:rsid w:val="00BB3468"/>
    <w:rsid w:val="00BB68EA"/>
    <w:rsid w:val="00BC0B99"/>
    <w:rsid w:val="00BC1C27"/>
    <w:rsid w:val="00BC6421"/>
    <w:rsid w:val="00BC6BBF"/>
    <w:rsid w:val="00BD1572"/>
    <w:rsid w:val="00BE14E3"/>
    <w:rsid w:val="00BE3774"/>
    <w:rsid w:val="00BE41E5"/>
    <w:rsid w:val="00BF118F"/>
    <w:rsid w:val="00BF4109"/>
    <w:rsid w:val="00BF4CC3"/>
    <w:rsid w:val="00C022A5"/>
    <w:rsid w:val="00C054C7"/>
    <w:rsid w:val="00C057B5"/>
    <w:rsid w:val="00C07D0E"/>
    <w:rsid w:val="00C100D3"/>
    <w:rsid w:val="00C115C3"/>
    <w:rsid w:val="00C15547"/>
    <w:rsid w:val="00C1672D"/>
    <w:rsid w:val="00C21F62"/>
    <w:rsid w:val="00C22687"/>
    <w:rsid w:val="00C26A92"/>
    <w:rsid w:val="00C26B1C"/>
    <w:rsid w:val="00C32E4D"/>
    <w:rsid w:val="00C333A0"/>
    <w:rsid w:val="00C36A81"/>
    <w:rsid w:val="00C41974"/>
    <w:rsid w:val="00C442E6"/>
    <w:rsid w:val="00C44A2C"/>
    <w:rsid w:val="00C44F09"/>
    <w:rsid w:val="00C450EE"/>
    <w:rsid w:val="00C477F7"/>
    <w:rsid w:val="00C509A6"/>
    <w:rsid w:val="00C53F4A"/>
    <w:rsid w:val="00C54125"/>
    <w:rsid w:val="00C55B54"/>
    <w:rsid w:val="00C6098E"/>
    <w:rsid w:val="00C6152C"/>
    <w:rsid w:val="00C74810"/>
    <w:rsid w:val="00C805CB"/>
    <w:rsid w:val="00C87EA7"/>
    <w:rsid w:val="00C90D68"/>
    <w:rsid w:val="00C939FE"/>
    <w:rsid w:val="00CA4BDA"/>
    <w:rsid w:val="00CB13E3"/>
    <w:rsid w:val="00CB1F66"/>
    <w:rsid w:val="00CB232C"/>
    <w:rsid w:val="00CB2951"/>
    <w:rsid w:val="00CB4277"/>
    <w:rsid w:val="00CC5067"/>
    <w:rsid w:val="00CD11D3"/>
    <w:rsid w:val="00CD282B"/>
    <w:rsid w:val="00CD447B"/>
    <w:rsid w:val="00CD4C35"/>
    <w:rsid w:val="00CD7369"/>
    <w:rsid w:val="00CE0B0E"/>
    <w:rsid w:val="00CE3831"/>
    <w:rsid w:val="00CF2397"/>
    <w:rsid w:val="00D00ABB"/>
    <w:rsid w:val="00D02EEC"/>
    <w:rsid w:val="00D03551"/>
    <w:rsid w:val="00D06A63"/>
    <w:rsid w:val="00D07E0E"/>
    <w:rsid w:val="00D10CD6"/>
    <w:rsid w:val="00D10FF8"/>
    <w:rsid w:val="00D11478"/>
    <w:rsid w:val="00D15ED0"/>
    <w:rsid w:val="00D164BF"/>
    <w:rsid w:val="00D21B3E"/>
    <w:rsid w:val="00D21FED"/>
    <w:rsid w:val="00D23048"/>
    <w:rsid w:val="00D24251"/>
    <w:rsid w:val="00D24426"/>
    <w:rsid w:val="00D2568A"/>
    <w:rsid w:val="00D26E72"/>
    <w:rsid w:val="00D343E2"/>
    <w:rsid w:val="00D361A2"/>
    <w:rsid w:val="00D37272"/>
    <w:rsid w:val="00D44C2E"/>
    <w:rsid w:val="00D45414"/>
    <w:rsid w:val="00D50A0A"/>
    <w:rsid w:val="00D53548"/>
    <w:rsid w:val="00D566BD"/>
    <w:rsid w:val="00D57A4D"/>
    <w:rsid w:val="00D60AA7"/>
    <w:rsid w:val="00D6435F"/>
    <w:rsid w:val="00D66471"/>
    <w:rsid w:val="00D70641"/>
    <w:rsid w:val="00D74888"/>
    <w:rsid w:val="00D75E28"/>
    <w:rsid w:val="00D772C2"/>
    <w:rsid w:val="00D8008E"/>
    <w:rsid w:val="00D82C45"/>
    <w:rsid w:val="00D908A8"/>
    <w:rsid w:val="00D91FE4"/>
    <w:rsid w:val="00D977B6"/>
    <w:rsid w:val="00DA1223"/>
    <w:rsid w:val="00DA4A31"/>
    <w:rsid w:val="00DA59FB"/>
    <w:rsid w:val="00DA7B04"/>
    <w:rsid w:val="00DB34AD"/>
    <w:rsid w:val="00DB36C2"/>
    <w:rsid w:val="00DB4F41"/>
    <w:rsid w:val="00DB7BB8"/>
    <w:rsid w:val="00DC169B"/>
    <w:rsid w:val="00DC2AB9"/>
    <w:rsid w:val="00DC63F0"/>
    <w:rsid w:val="00DD37EA"/>
    <w:rsid w:val="00DD6EE5"/>
    <w:rsid w:val="00DE386C"/>
    <w:rsid w:val="00DE4D35"/>
    <w:rsid w:val="00DF098B"/>
    <w:rsid w:val="00DF11C4"/>
    <w:rsid w:val="00DF210C"/>
    <w:rsid w:val="00DF4B6A"/>
    <w:rsid w:val="00E004C0"/>
    <w:rsid w:val="00E02C09"/>
    <w:rsid w:val="00E04D59"/>
    <w:rsid w:val="00E07DA1"/>
    <w:rsid w:val="00E123CB"/>
    <w:rsid w:val="00E13B09"/>
    <w:rsid w:val="00E20E13"/>
    <w:rsid w:val="00E21DBC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63EC7"/>
    <w:rsid w:val="00E64915"/>
    <w:rsid w:val="00E64D3A"/>
    <w:rsid w:val="00E661D4"/>
    <w:rsid w:val="00E70091"/>
    <w:rsid w:val="00E70D2E"/>
    <w:rsid w:val="00E720F5"/>
    <w:rsid w:val="00E76D47"/>
    <w:rsid w:val="00E827BC"/>
    <w:rsid w:val="00E849F7"/>
    <w:rsid w:val="00E90302"/>
    <w:rsid w:val="00E91D05"/>
    <w:rsid w:val="00E95C1E"/>
    <w:rsid w:val="00E97396"/>
    <w:rsid w:val="00EA185E"/>
    <w:rsid w:val="00EA592A"/>
    <w:rsid w:val="00EB14E4"/>
    <w:rsid w:val="00EB32A5"/>
    <w:rsid w:val="00EB34ED"/>
    <w:rsid w:val="00EB447C"/>
    <w:rsid w:val="00EB7BE0"/>
    <w:rsid w:val="00EC315E"/>
    <w:rsid w:val="00ED077C"/>
    <w:rsid w:val="00ED10A9"/>
    <w:rsid w:val="00ED1190"/>
    <w:rsid w:val="00ED34AC"/>
    <w:rsid w:val="00ED6544"/>
    <w:rsid w:val="00EE0277"/>
    <w:rsid w:val="00EE2899"/>
    <w:rsid w:val="00EE3E00"/>
    <w:rsid w:val="00EE5DD2"/>
    <w:rsid w:val="00EF36C5"/>
    <w:rsid w:val="00EF3DB4"/>
    <w:rsid w:val="00F00A79"/>
    <w:rsid w:val="00F00D13"/>
    <w:rsid w:val="00F00E86"/>
    <w:rsid w:val="00F07C1E"/>
    <w:rsid w:val="00F105DB"/>
    <w:rsid w:val="00F132BC"/>
    <w:rsid w:val="00F13D80"/>
    <w:rsid w:val="00F1411F"/>
    <w:rsid w:val="00F15B4D"/>
    <w:rsid w:val="00F16A7C"/>
    <w:rsid w:val="00F16AAA"/>
    <w:rsid w:val="00F1709C"/>
    <w:rsid w:val="00F21161"/>
    <w:rsid w:val="00F218EF"/>
    <w:rsid w:val="00F21BC7"/>
    <w:rsid w:val="00F266A2"/>
    <w:rsid w:val="00F32269"/>
    <w:rsid w:val="00F35B7A"/>
    <w:rsid w:val="00F562FA"/>
    <w:rsid w:val="00F56A6F"/>
    <w:rsid w:val="00F5709C"/>
    <w:rsid w:val="00F60B85"/>
    <w:rsid w:val="00F612E5"/>
    <w:rsid w:val="00F6163E"/>
    <w:rsid w:val="00F64EF1"/>
    <w:rsid w:val="00F72B14"/>
    <w:rsid w:val="00F7349B"/>
    <w:rsid w:val="00F856D3"/>
    <w:rsid w:val="00F8765F"/>
    <w:rsid w:val="00F90767"/>
    <w:rsid w:val="00F9263C"/>
    <w:rsid w:val="00FA1637"/>
    <w:rsid w:val="00FA685B"/>
    <w:rsid w:val="00FB0C01"/>
    <w:rsid w:val="00FB5934"/>
    <w:rsid w:val="00FC18F2"/>
    <w:rsid w:val="00FC2A17"/>
    <w:rsid w:val="00FC38CF"/>
    <w:rsid w:val="00FC39E5"/>
    <w:rsid w:val="00FC3A78"/>
    <w:rsid w:val="00FD1005"/>
    <w:rsid w:val="00FD1F7F"/>
    <w:rsid w:val="00FD6C75"/>
    <w:rsid w:val="00FD7972"/>
    <w:rsid w:val="00FE0401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26E9A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396A8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396A85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396A85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396A85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396A85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396A85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396A85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396A85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396A85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396A85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396A8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396A85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396A85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396A85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396A85"/>
    <w:pPr>
      <w:jc w:val="both"/>
    </w:pPr>
  </w:style>
  <w:style w:type="character" w:styleId="Pogrubienie">
    <w:name w:val="Strong"/>
    <w:uiPriority w:val="98"/>
    <w:semiHidden/>
    <w:qFormat/>
    <w:rsid w:val="00396A85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396A85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396A85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396A85"/>
    <w:pPr>
      <w:spacing w:before="120" w:after="120"/>
      <w:ind w:left="425" w:firstLine="142"/>
    </w:pPr>
    <w:rPr>
      <w:sz w:val="20"/>
    </w:rPr>
  </w:style>
  <w:style w:type="paragraph" w:customStyle="1" w:styleId="DummyStyle">
    <w:name w:val="Dummy_Style"/>
    <w:aliases w:val="_Dummy"/>
    <w:basedOn w:val="Normalny"/>
    <w:semiHidden/>
    <w:qFormat/>
    <w:rsid w:val="00396A85"/>
    <w:rPr>
      <w:color w:val="00B050"/>
      <w:sz w:val="22"/>
    </w:rPr>
  </w:style>
  <w:style w:type="paragraph" w:customStyle="1" w:styleId="JuList">
    <w:name w:val="Ju_List"/>
    <w:aliases w:val="_List_1"/>
    <w:basedOn w:val="NormalJustified"/>
    <w:uiPriority w:val="23"/>
    <w:qFormat/>
    <w:rsid w:val="00396A85"/>
    <w:pPr>
      <w:numPr>
        <w:numId w:val="9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396A85"/>
    <w:pPr>
      <w:numPr>
        <w:ilvl w:val="1"/>
        <w:numId w:val="9"/>
      </w:numPr>
    </w:pPr>
  </w:style>
  <w:style w:type="paragraph" w:customStyle="1" w:styleId="JuListi">
    <w:name w:val="Ju_List_i"/>
    <w:aliases w:val="_List_3"/>
    <w:basedOn w:val="NormalJustified"/>
    <w:uiPriority w:val="23"/>
    <w:rsid w:val="00396A85"/>
    <w:pPr>
      <w:numPr>
        <w:ilvl w:val="2"/>
        <w:numId w:val="9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396A85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396A85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396A85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396A85"/>
    <w:pPr>
      <w:keepNext/>
      <w:keepLines/>
      <w:numPr>
        <w:numId w:val="4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396A85"/>
    <w:pPr>
      <w:numPr>
        <w:numId w:val="8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396A85"/>
    <w:pPr>
      <w:tabs>
        <w:tab w:val="center" w:pos="851"/>
        <w:tab w:val="center" w:pos="6407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396A85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396A85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396A85"/>
    <w:pPr>
      <w:numPr>
        <w:numId w:val="9"/>
      </w:numPr>
    </w:pPr>
  </w:style>
  <w:style w:type="numbering" w:customStyle="1" w:styleId="ECHRA1StyleNumberedList">
    <w:name w:val="ECHR_A1_Style_Numbered_List"/>
    <w:basedOn w:val="Bezlisty"/>
    <w:rsid w:val="00396A85"/>
    <w:pPr>
      <w:numPr>
        <w:numId w:val="10"/>
      </w:numPr>
    </w:pPr>
  </w:style>
  <w:style w:type="table" w:customStyle="1" w:styleId="ECHRTable2019">
    <w:name w:val="ECHR_Table_2019"/>
    <w:basedOn w:val="Standardowy"/>
    <w:uiPriority w:val="99"/>
    <w:rsid w:val="00396A85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396A85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396A85"/>
    <w:pPr>
      <w:keepNext/>
      <w:keepLines/>
      <w:numPr>
        <w:ilvl w:val="1"/>
        <w:numId w:val="4"/>
      </w:numPr>
      <w:tabs>
        <w:tab w:val="left" w:pos="454"/>
        <w:tab w:val="left" w:pos="567"/>
        <w:tab w:val="left" w:pos="680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396A85"/>
    <w:pPr>
      <w:keepNext/>
      <w:keepLines/>
      <w:numPr>
        <w:ilvl w:val="2"/>
        <w:numId w:val="4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396A85"/>
    <w:pPr>
      <w:keepNext/>
      <w:keepLines/>
      <w:numPr>
        <w:ilvl w:val="3"/>
        <w:numId w:val="4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396A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396A85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396A85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396A85"/>
    <w:pPr>
      <w:keepNext/>
      <w:keepLines/>
      <w:numPr>
        <w:ilvl w:val="4"/>
        <w:numId w:val="4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396A85"/>
    <w:pPr>
      <w:keepNext/>
      <w:keepLines/>
      <w:numPr>
        <w:ilvl w:val="5"/>
        <w:numId w:val="4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396A85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396A85"/>
    <w:pPr>
      <w:keepNext/>
      <w:keepLines/>
      <w:numPr>
        <w:ilvl w:val="6"/>
        <w:numId w:val="4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396A85"/>
    <w:pPr>
      <w:keepNext/>
      <w:keepLines/>
      <w:numPr>
        <w:ilvl w:val="7"/>
        <w:numId w:val="4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396A85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396A85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396A85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396A85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396A85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396A85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396A85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396A85"/>
    <w:rPr>
      <w:caps w:val="0"/>
      <w:smallCaps/>
    </w:rPr>
  </w:style>
  <w:style w:type="character" w:styleId="Wyrnieniedelikatne">
    <w:name w:val="Subtle Emphasis"/>
    <w:uiPriority w:val="98"/>
    <w:semiHidden/>
    <w:qFormat/>
    <w:rsid w:val="00396A85"/>
    <w:rPr>
      <w:i/>
      <w:iCs/>
    </w:rPr>
  </w:style>
  <w:style w:type="table" w:customStyle="1" w:styleId="ECHRTable">
    <w:name w:val="ECHR_Table"/>
    <w:basedOn w:val="Standardowy"/>
    <w:rsid w:val="00396A85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396A85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396A8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396A85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396A85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396A8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396A8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396A85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396A85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396A85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396A85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396A85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396A85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396A85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396A85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396A85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396A85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396A85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396A85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396A85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396A85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396A85"/>
    <w:rPr>
      <w:smallCaps/>
    </w:rPr>
  </w:style>
  <w:style w:type="table" w:styleId="Tabela-Siatka">
    <w:name w:val="Table Grid"/>
    <w:basedOn w:val="Standardowy"/>
    <w:uiPriority w:val="59"/>
    <w:semiHidden/>
    <w:rsid w:val="00396A85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396A85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396A85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396A85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396A85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396A85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396A8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396A85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396A85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396A85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396A85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396A85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396A85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396A85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396A85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396A85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396A85"/>
    <w:pPr>
      <w:numPr>
        <w:numId w:val="5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396A85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396A85"/>
    <w:pPr>
      <w:numPr>
        <w:numId w:val="6"/>
      </w:numPr>
    </w:pPr>
  </w:style>
  <w:style w:type="table" w:customStyle="1" w:styleId="ECHRTableSimpleBox">
    <w:name w:val="ECHR_Table_Simple_Box"/>
    <w:basedOn w:val="Standardowy"/>
    <w:uiPriority w:val="99"/>
    <w:rsid w:val="00396A85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396A85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396A85"/>
    <w:pPr>
      <w:numPr>
        <w:numId w:val="7"/>
      </w:numPr>
    </w:pPr>
  </w:style>
  <w:style w:type="table" w:customStyle="1" w:styleId="ECHRTableForInternalUse">
    <w:name w:val="ECHR_Table_For_Internal_Use"/>
    <w:basedOn w:val="Standardowy"/>
    <w:uiPriority w:val="99"/>
    <w:rsid w:val="00396A85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396A85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396A85"/>
  </w:style>
  <w:style w:type="paragraph" w:styleId="Tekstblokowy">
    <w:name w:val="Block Text"/>
    <w:basedOn w:val="Normalny"/>
    <w:uiPriority w:val="98"/>
    <w:semiHidden/>
    <w:rsid w:val="00396A85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396A85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396A8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396A85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396A85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396A85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396A85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ny"/>
    <w:next w:val="JuPara"/>
    <w:uiPriority w:val="32"/>
    <w:rsid w:val="00396A85"/>
    <w:pPr>
      <w:ind w:firstLine="284"/>
    </w:pPr>
    <w:rPr>
      <w:b/>
    </w:rPr>
  </w:style>
  <w:style w:type="character" w:styleId="Numerstrony">
    <w:name w:val="page number"/>
    <w:uiPriority w:val="98"/>
    <w:semiHidden/>
    <w:rsid w:val="00396A85"/>
    <w:rPr>
      <w:sz w:val="18"/>
    </w:rPr>
  </w:style>
  <w:style w:type="paragraph" w:styleId="Listapunktowana">
    <w:name w:val="List Bullet"/>
    <w:basedOn w:val="Normalny"/>
    <w:uiPriority w:val="98"/>
    <w:semiHidden/>
    <w:rsid w:val="00396A85"/>
    <w:pPr>
      <w:numPr>
        <w:numId w:val="11"/>
      </w:numPr>
    </w:pPr>
  </w:style>
  <w:style w:type="paragraph" w:styleId="Listapunktowana3">
    <w:name w:val="List Bullet 3"/>
    <w:basedOn w:val="Normalny"/>
    <w:uiPriority w:val="98"/>
    <w:semiHidden/>
    <w:rsid w:val="00396A85"/>
    <w:pPr>
      <w:numPr>
        <w:numId w:val="13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396A85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396A8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396A85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396A85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396A85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396A8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396A85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396A85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396A85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396A8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396A85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396A8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396A85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396A85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396A85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396A85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uiPriority w:val="99"/>
    <w:semiHidden/>
    <w:unhideWhenUsed/>
    <w:rsid w:val="00AF163B"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/>
    <w:unhideWhenUsed/>
    <w:rsid w:val="00AF16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396A85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396A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396A85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396A8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396A8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396A8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396A8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396A8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396A8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396A8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396A85"/>
  </w:style>
  <w:style w:type="character" w:customStyle="1" w:styleId="DataZnak">
    <w:name w:val="Data Znak"/>
    <w:basedOn w:val="Domylnaczcionkaakapitu"/>
    <w:link w:val="Data"/>
    <w:uiPriority w:val="98"/>
    <w:semiHidden/>
    <w:rsid w:val="00396A85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396A85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396A85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396A85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396A85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396A85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396A8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396A85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396A85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396A85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396A85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396A85"/>
  </w:style>
  <w:style w:type="paragraph" w:styleId="HTML-adres">
    <w:name w:val="HTML Address"/>
    <w:basedOn w:val="Normalny"/>
    <w:link w:val="HTML-adresZnak"/>
    <w:uiPriority w:val="98"/>
    <w:semiHidden/>
    <w:rsid w:val="00396A85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396A85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396A85"/>
    <w:rPr>
      <w:i/>
      <w:iCs/>
    </w:rPr>
  </w:style>
  <w:style w:type="character" w:styleId="HTML-kod">
    <w:name w:val="HTML Code"/>
    <w:basedOn w:val="Domylnaczcionkaakapitu"/>
    <w:uiPriority w:val="98"/>
    <w:semiHidden/>
    <w:rsid w:val="00396A85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396A85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396A85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396A85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396A85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396A85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396A85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396A85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396A85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396A85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396A85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396A85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396A85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396A85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396A85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396A85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396A85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396A85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396A85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396A85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396A85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396A85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396A85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396A85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396A85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396A85"/>
  </w:style>
  <w:style w:type="paragraph" w:styleId="Lista">
    <w:name w:val="List"/>
    <w:basedOn w:val="Normalny"/>
    <w:uiPriority w:val="98"/>
    <w:semiHidden/>
    <w:rsid w:val="00396A85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396A85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396A85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396A85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396A85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396A85"/>
    <w:pPr>
      <w:numPr>
        <w:numId w:val="12"/>
      </w:numPr>
      <w:contextualSpacing/>
    </w:pPr>
  </w:style>
  <w:style w:type="paragraph" w:styleId="Listapunktowana4">
    <w:name w:val="List Bullet 4"/>
    <w:basedOn w:val="Normalny"/>
    <w:uiPriority w:val="98"/>
    <w:semiHidden/>
    <w:rsid w:val="00396A85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396A85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396A85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396A85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396A85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396A85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396A85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396A85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396A85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396A85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396A85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396A85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396A8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396A85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396A8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396A8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396A8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396A8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396A8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396A8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396A8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396A8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396A8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396A8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396A8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396A8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396A8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396A8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396A8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396A8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396A8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396A85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396A85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396A85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396A85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396A85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396A85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396A85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396A85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396A85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396A85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396A85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396A85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396A85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396A85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396A85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396A85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396A85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396A85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396A85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396A85"/>
  </w:style>
  <w:style w:type="table" w:styleId="Tabela-Profesjonalny">
    <w:name w:val="Table Professional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396A85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396A85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396A85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396A85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396A85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396A85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396A85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396A85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396A85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396A85"/>
    <w:pPr>
      <w:numPr>
        <w:numId w:val="8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396A85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396A85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396A85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396A85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396A85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396A85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396A85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396A85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396A85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396A85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396A85"/>
    <w:pPr>
      <w:keepNext/>
      <w:keepLines/>
      <w:numPr>
        <w:ilvl w:val="8"/>
        <w:numId w:val="4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396A85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396A85"/>
    <w:pPr>
      <w:numPr>
        <w:numId w:val="10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396A85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396A85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396A85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396A85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396A85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396A85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396A85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396A85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396A85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396A85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396A85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396A8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396A8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396A8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396A85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396A85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396A85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396A85"/>
    <w:rPr>
      <w:sz w:val="4"/>
    </w:rPr>
  </w:style>
  <w:style w:type="table" w:customStyle="1" w:styleId="ECHRTableGrey">
    <w:name w:val="ECHR_Table_Grey"/>
    <w:basedOn w:val="Standardowy"/>
    <w:uiPriority w:val="99"/>
    <w:rsid w:val="00396A85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JuParaChar">
    <w:name w:val="Ju_Para Char"/>
    <w:aliases w:val="_Para Char"/>
    <w:link w:val="JuPara"/>
    <w:uiPriority w:val="4"/>
    <w:rsid w:val="0024318B"/>
    <w:rPr>
      <w:sz w:val="24"/>
      <w:szCs w:val="24"/>
      <w:lang w:val="pl-PL"/>
    </w:rPr>
  </w:style>
  <w:style w:type="table" w:customStyle="1" w:styleId="Tabelasiatki1jasna1">
    <w:name w:val="Tabela siatki 1 — jasna1"/>
    <w:basedOn w:val="Standardowy"/>
    <w:uiPriority w:val="46"/>
    <w:semiHidden/>
    <w:rsid w:val="00396A85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11">
    <w:name w:val="Tabela siatki 1 — jasna — akcent 11"/>
    <w:basedOn w:val="Standardowy"/>
    <w:uiPriority w:val="46"/>
    <w:semiHidden/>
    <w:rsid w:val="00396A85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21">
    <w:name w:val="Tabela siatki 1 — jasna — akcent 21"/>
    <w:basedOn w:val="Standardowy"/>
    <w:uiPriority w:val="46"/>
    <w:semiHidden/>
    <w:rsid w:val="00396A85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31">
    <w:name w:val="Tabela siatki 1 — jasna — akcent 31"/>
    <w:basedOn w:val="Standardowy"/>
    <w:uiPriority w:val="46"/>
    <w:semiHidden/>
    <w:rsid w:val="00396A85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41">
    <w:name w:val="Tabela siatki 1 — jasna — akcent 41"/>
    <w:basedOn w:val="Standardowy"/>
    <w:uiPriority w:val="46"/>
    <w:semiHidden/>
    <w:rsid w:val="00396A85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51">
    <w:name w:val="Tabela siatki 1 — jasna — akcent 51"/>
    <w:basedOn w:val="Standardowy"/>
    <w:uiPriority w:val="46"/>
    <w:semiHidden/>
    <w:rsid w:val="00396A85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61">
    <w:name w:val="Tabela siatki 1 — jasna — akcent 61"/>
    <w:basedOn w:val="Standardowy"/>
    <w:uiPriority w:val="46"/>
    <w:semiHidden/>
    <w:rsid w:val="00396A85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21">
    <w:name w:val="Tabela siatki 21"/>
    <w:basedOn w:val="Standardowy"/>
    <w:uiPriority w:val="47"/>
    <w:semiHidden/>
    <w:rsid w:val="00396A85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2akcent11">
    <w:name w:val="Tabela siatki 2 — akcent 11"/>
    <w:basedOn w:val="Standardowy"/>
    <w:uiPriority w:val="47"/>
    <w:semiHidden/>
    <w:rsid w:val="00396A85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2akcent21">
    <w:name w:val="Tabela siatki 2 — akcent 21"/>
    <w:basedOn w:val="Standardowy"/>
    <w:uiPriority w:val="47"/>
    <w:semiHidden/>
    <w:rsid w:val="00396A85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2akcent31">
    <w:name w:val="Tabela siatki 2 — akcent 31"/>
    <w:basedOn w:val="Standardowy"/>
    <w:uiPriority w:val="47"/>
    <w:semiHidden/>
    <w:rsid w:val="00396A85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2akcent41">
    <w:name w:val="Tabela siatki 2 — akcent 41"/>
    <w:basedOn w:val="Standardowy"/>
    <w:uiPriority w:val="47"/>
    <w:semiHidden/>
    <w:rsid w:val="00396A85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2akcent51">
    <w:name w:val="Tabela siatki 2 — akcent 51"/>
    <w:basedOn w:val="Standardowy"/>
    <w:uiPriority w:val="47"/>
    <w:semiHidden/>
    <w:rsid w:val="00396A85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2akcent61">
    <w:name w:val="Tabela siatki 2 — akcent 61"/>
    <w:basedOn w:val="Standardowy"/>
    <w:uiPriority w:val="47"/>
    <w:semiHidden/>
    <w:rsid w:val="00396A85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31">
    <w:name w:val="Tabela siatki 31"/>
    <w:basedOn w:val="Standardowy"/>
    <w:uiPriority w:val="48"/>
    <w:semiHidden/>
    <w:rsid w:val="00396A8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asiatki3akcent11">
    <w:name w:val="Tabela siatki 3 — akcent 11"/>
    <w:basedOn w:val="Standardowy"/>
    <w:uiPriority w:val="48"/>
    <w:semiHidden/>
    <w:rsid w:val="00396A85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Tabelasiatki3akcent21">
    <w:name w:val="Tabela siatki 3 — akcent 21"/>
    <w:basedOn w:val="Standardowy"/>
    <w:uiPriority w:val="48"/>
    <w:semiHidden/>
    <w:rsid w:val="00396A85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Tabelasiatki3akcent31">
    <w:name w:val="Tabela siatki 3 — akcent 31"/>
    <w:basedOn w:val="Standardowy"/>
    <w:uiPriority w:val="48"/>
    <w:semiHidden/>
    <w:rsid w:val="00396A85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customStyle="1" w:styleId="Tabelasiatki3akcent41">
    <w:name w:val="Tabela siatki 3 — akcent 41"/>
    <w:basedOn w:val="Standardowy"/>
    <w:uiPriority w:val="48"/>
    <w:semiHidden/>
    <w:rsid w:val="00396A85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Tabelasiatki3akcent51">
    <w:name w:val="Tabela siatki 3 — akcent 51"/>
    <w:basedOn w:val="Standardowy"/>
    <w:uiPriority w:val="48"/>
    <w:semiHidden/>
    <w:rsid w:val="00396A85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Tabelasiatki3akcent61">
    <w:name w:val="Tabela siatki 3 — akcent 61"/>
    <w:basedOn w:val="Standardowy"/>
    <w:uiPriority w:val="48"/>
    <w:semiHidden/>
    <w:rsid w:val="00396A85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customStyle="1" w:styleId="Tabelasiatki41">
    <w:name w:val="Tabela siatki 41"/>
    <w:basedOn w:val="Standardowy"/>
    <w:uiPriority w:val="49"/>
    <w:semiHidden/>
    <w:rsid w:val="00396A8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4akcent11">
    <w:name w:val="Tabela siatki 4 — akcent 11"/>
    <w:basedOn w:val="Standardowy"/>
    <w:uiPriority w:val="49"/>
    <w:semiHidden/>
    <w:rsid w:val="00396A85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4akcent21">
    <w:name w:val="Tabela siatki 4 — akcent 21"/>
    <w:basedOn w:val="Standardowy"/>
    <w:uiPriority w:val="49"/>
    <w:semiHidden/>
    <w:rsid w:val="00396A85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4akcent31">
    <w:name w:val="Tabela siatki 4 — akcent 31"/>
    <w:basedOn w:val="Standardowy"/>
    <w:uiPriority w:val="49"/>
    <w:semiHidden/>
    <w:rsid w:val="00396A85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4akcent41">
    <w:name w:val="Tabela siatki 4 — akcent 41"/>
    <w:basedOn w:val="Standardowy"/>
    <w:uiPriority w:val="49"/>
    <w:semiHidden/>
    <w:rsid w:val="00396A85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4akcent51">
    <w:name w:val="Tabela siatki 4 — akcent 51"/>
    <w:basedOn w:val="Standardowy"/>
    <w:uiPriority w:val="49"/>
    <w:semiHidden/>
    <w:rsid w:val="00396A85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4akcent61">
    <w:name w:val="Tabela siatki 4 — akcent 61"/>
    <w:basedOn w:val="Standardowy"/>
    <w:uiPriority w:val="49"/>
    <w:semiHidden/>
    <w:rsid w:val="00396A85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5ciemna1">
    <w:name w:val="Tabela siatki 5 — ciemna1"/>
    <w:basedOn w:val="Standardowy"/>
    <w:uiPriority w:val="50"/>
    <w:semiHidden/>
    <w:rsid w:val="00396A8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Tabelasiatki5ciemnaakcent11">
    <w:name w:val="Tabela siatki 5 — ciemna — akcent 11"/>
    <w:basedOn w:val="Standardowy"/>
    <w:uiPriority w:val="50"/>
    <w:semiHidden/>
    <w:rsid w:val="00396A8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customStyle="1" w:styleId="Tabelasiatki5ciemnaakcent21">
    <w:name w:val="Tabela siatki 5 — ciemna — akcent 21"/>
    <w:basedOn w:val="Standardowy"/>
    <w:uiPriority w:val="50"/>
    <w:semiHidden/>
    <w:rsid w:val="00396A8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customStyle="1" w:styleId="Tabelasiatki5ciemnaakcent31">
    <w:name w:val="Tabela siatki 5 — ciemna — akcent 31"/>
    <w:basedOn w:val="Standardowy"/>
    <w:uiPriority w:val="50"/>
    <w:semiHidden/>
    <w:rsid w:val="00396A8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customStyle="1" w:styleId="Tabelasiatki5ciemnaakcent41">
    <w:name w:val="Tabela siatki 5 — ciemna — akcent 41"/>
    <w:basedOn w:val="Standardowy"/>
    <w:uiPriority w:val="50"/>
    <w:semiHidden/>
    <w:rsid w:val="00396A8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customStyle="1" w:styleId="Tabelasiatki5ciemnaakcent51">
    <w:name w:val="Tabela siatki 5 — ciemna — akcent 51"/>
    <w:basedOn w:val="Standardowy"/>
    <w:uiPriority w:val="50"/>
    <w:semiHidden/>
    <w:rsid w:val="00396A8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customStyle="1" w:styleId="Tabelasiatki5ciemnaakcent61">
    <w:name w:val="Tabela siatki 5 — ciemna — akcent 61"/>
    <w:basedOn w:val="Standardowy"/>
    <w:uiPriority w:val="50"/>
    <w:semiHidden/>
    <w:rsid w:val="00396A8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customStyle="1" w:styleId="Tabelasiatki6kolorowa1">
    <w:name w:val="Tabela siatki 6 — kolorowa1"/>
    <w:basedOn w:val="Standardowy"/>
    <w:uiPriority w:val="51"/>
    <w:semiHidden/>
    <w:rsid w:val="00396A85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6kolorowaakcent11">
    <w:name w:val="Tabela siatki 6 — kolorowa — akcent 11"/>
    <w:basedOn w:val="Standardowy"/>
    <w:uiPriority w:val="51"/>
    <w:semiHidden/>
    <w:rsid w:val="00396A85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6kolorowaakcent21">
    <w:name w:val="Tabela siatki 6 — kolorowa — akcent 21"/>
    <w:basedOn w:val="Standardowy"/>
    <w:uiPriority w:val="51"/>
    <w:semiHidden/>
    <w:rsid w:val="00396A85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6kolorowaakcent31">
    <w:name w:val="Tabela siatki 6 — kolorowa — akcent 31"/>
    <w:basedOn w:val="Standardowy"/>
    <w:uiPriority w:val="51"/>
    <w:semiHidden/>
    <w:rsid w:val="00396A85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6kolorowaakcent41">
    <w:name w:val="Tabela siatki 6 — kolorowa — akcent 41"/>
    <w:basedOn w:val="Standardowy"/>
    <w:uiPriority w:val="51"/>
    <w:semiHidden/>
    <w:rsid w:val="00396A85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6kolorowaakcent51">
    <w:name w:val="Tabela siatki 6 — kolorowa — akcent 51"/>
    <w:basedOn w:val="Standardowy"/>
    <w:uiPriority w:val="51"/>
    <w:semiHidden/>
    <w:rsid w:val="00396A85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6kolorowaakcent61">
    <w:name w:val="Tabela siatki 6 — kolorowa — akcent 61"/>
    <w:basedOn w:val="Standardowy"/>
    <w:uiPriority w:val="51"/>
    <w:semiHidden/>
    <w:rsid w:val="00396A85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7kolorowa1">
    <w:name w:val="Tabela siatki 7 — kolorowa1"/>
    <w:basedOn w:val="Standardowy"/>
    <w:uiPriority w:val="52"/>
    <w:semiHidden/>
    <w:rsid w:val="00396A85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asiatki7kolorowaakcent11">
    <w:name w:val="Tabela siatki 7 — kolorowa — akcent 11"/>
    <w:basedOn w:val="Standardowy"/>
    <w:uiPriority w:val="52"/>
    <w:semiHidden/>
    <w:rsid w:val="00396A85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Tabelasiatki7kolorowaakcent21">
    <w:name w:val="Tabela siatki 7 — kolorowa — akcent 21"/>
    <w:basedOn w:val="Standardowy"/>
    <w:uiPriority w:val="52"/>
    <w:semiHidden/>
    <w:rsid w:val="00396A85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Tabelasiatki7kolorowaakcent31">
    <w:name w:val="Tabela siatki 7 — kolorowa — akcent 31"/>
    <w:basedOn w:val="Standardowy"/>
    <w:uiPriority w:val="52"/>
    <w:semiHidden/>
    <w:rsid w:val="00396A85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customStyle="1" w:styleId="Tabelasiatki7kolorowaakcent41">
    <w:name w:val="Tabela siatki 7 — kolorowa — akcent 41"/>
    <w:basedOn w:val="Standardowy"/>
    <w:uiPriority w:val="52"/>
    <w:semiHidden/>
    <w:rsid w:val="00396A85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Tabelasiatki7kolorowaakcent51">
    <w:name w:val="Tabela siatki 7 — kolorowa — akcent 51"/>
    <w:basedOn w:val="Standardowy"/>
    <w:uiPriority w:val="52"/>
    <w:semiHidden/>
    <w:rsid w:val="00396A85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Tabelasiatki7kolorowaakcent61">
    <w:name w:val="Tabela siatki 7 — kolorowa — akcent 61"/>
    <w:basedOn w:val="Standardowy"/>
    <w:uiPriority w:val="52"/>
    <w:semiHidden/>
    <w:rsid w:val="00396A85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396A85"/>
    <w:rPr>
      <w:color w:val="2B579A"/>
      <w:shd w:val="clear" w:color="auto" w:fill="E1DFDD"/>
    </w:rPr>
  </w:style>
  <w:style w:type="table" w:customStyle="1" w:styleId="Tabelalisty1jasna1">
    <w:name w:val="Tabela listy 1 — jasna1"/>
    <w:basedOn w:val="Standardowy"/>
    <w:uiPriority w:val="46"/>
    <w:semiHidden/>
    <w:rsid w:val="00396A8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1jasnaakcent11">
    <w:name w:val="Tabela listy 1 — jasna — akcent 11"/>
    <w:basedOn w:val="Standardowy"/>
    <w:uiPriority w:val="46"/>
    <w:semiHidden/>
    <w:rsid w:val="00396A8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1jasnaakcent21">
    <w:name w:val="Tabela listy 1 — jasna — akcent 21"/>
    <w:basedOn w:val="Standardowy"/>
    <w:uiPriority w:val="46"/>
    <w:semiHidden/>
    <w:rsid w:val="00396A8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1jasnaakcent31">
    <w:name w:val="Tabela listy 1 — jasna — akcent 31"/>
    <w:basedOn w:val="Standardowy"/>
    <w:uiPriority w:val="46"/>
    <w:semiHidden/>
    <w:rsid w:val="00396A8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1jasnaakcent41">
    <w:name w:val="Tabela listy 1 — jasna — akcent 41"/>
    <w:basedOn w:val="Standardowy"/>
    <w:uiPriority w:val="46"/>
    <w:semiHidden/>
    <w:rsid w:val="00396A8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1jasnaakcent51">
    <w:name w:val="Tabela listy 1 — jasna — akcent 51"/>
    <w:basedOn w:val="Standardowy"/>
    <w:uiPriority w:val="46"/>
    <w:semiHidden/>
    <w:rsid w:val="00396A8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1jasnaakcent61">
    <w:name w:val="Tabela listy 1 — jasna — akcent 61"/>
    <w:basedOn w:val="Standardowy"/>
    <w:uiPriority w:val="46"/>
    <w:semiHidden/>
    <w:rsid w:val="00396A8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21">
    <w:name w:val="Tabela listy 21"/>
    <w:basedOn w:val="Standardowy"/>
    <w:uiPriority w:val="47"/>
    <w:semiHidden/>
    <w:rsid w:val="00396A85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2akcent11">
    <w:name w:val="Tabela listy 2 — akcent 11"/>
    <w:basedOn w:val="Standardowy"/>
    <w:uiPriority w:val="47"/>
    <w:semiHidden/>
    <w:rsid w:val="00396A85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2akcent21">
    <w:name w:val="Tabela listy 2 — akcent 21"/>
    <w:basedOn w:val="Standardowy"/>
    <w:uiPriority w:val="47"/>
    <w:semiHidden/>
    <w:rsid w:val="00396A85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2akcent31">
    <w:name w:val="Tabela listy 2 — akcent 31"/>
    <w:basedOn w:val="Standardowy"/>
    <w:uiPriority w:val="47"/>
    <w:semiHidden/>
    <w:rsid w:val="00396A85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2akcent41">
    <w:name w:val="Tabela listy 2 — akcent 41"/>
    <w:basedOn w:val="Standardowy"/>
    <w:uiPriority w:val="47"/>
    <w:semiHidden/>
    <w:rsid w:val="00396A85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2akcent51">
    <w:name w:val="Tabela listy 2 — akcent 51"/>
    <w:basedOn w:val="Standardowy"/>
    <w:uiPriority w:val="47"/>
    <w:semiHidden/>
    <w:rsid w:val="00396A85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2akcent61">
    <w:name w:val="Tabela listy 2 — akcent 61"/>
    <w:basedOn w:val="Standardowy"/>
    <w:uiPriority w:val="47"/>
    <w:semiHidden/>
    <w:rsid w:val="00396A85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31">
    <w:name w:val="Tabela listy 31"/>
    <w:basedOn w:val="Standardowy"/>
    <w:uiPriority w:val="48"/>
    <w:semiHidden/>
    <w:rsid w:val="00396A85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Tabelalisty3akcent11">
    <w:name w:val="Tabela listy 3 — akcent 11"/>
    <w:basedOn w:val="Standardowy"/>
    <w:uiPriority w:val="48"/>
    <w:semiHidden/>
    <w:rsid w:val="00396A85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customStyle="1" w:styleId="Tabelalisty3akcent21">
    <w:name w:val="Tabela listy 3 — akcent 21"/>
    <w:basedOn w:val="Standardowy"/>
    <w:uiPriority w:val="48"/>
    <w:semiHidden/>
    <w:rsid w:val="00396A85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customStyle="1" w:styleId="Tabelalisty3akcent31">
    <w:name w:val="Tabela listy 3 — akcent 31"/>
    <w:basedOn w:val="Standardowy"/>
    <w:uiPriority w:val="48"/>
    <w:semiHidden/>
    <w:rsid w:val="00396A85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customStyle="1" w:styleId="Tabelalisty3akcent41">
    <w:name w:val="Tabela listy 3 — akcent 41"/>
    <w:basedOn w:val="Standardowy"/>
    <w:uiPriority w:val="48"/>
    <w:semiHidden/>
    <w:rsid w:val="00396A85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customStyle="1" w:styleId="Tabelalisty3akcent51">
    <w:name w:val="Tabela listy 3 — akcent 51"/>
    <w:basedOn w:val="Standardowy"/>
    <w:uiPriority w:val="48"/>
    <w:semiHidden/>
    <w:rsid w:val="00396A85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customStyle="1" w:styleId="Tabelalisty3akcent61">
    <w:name w:val="Tabela listy 3 — akcent 61"/>
    <w:basedOn w:val="Standardowy"/>
    <w:uiPriority w:val="48"/>
    <w:semiHidden/>
    <w:rsid w:val="00396A85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customStyle="1" w:styleId="Tabelalisty41">
    <w:name w:val="Tabela listy 41"/>
    <w:basedOn w:val="Standardowy"/>
    <w:uiPriority w:val="49"/>
    <w:semiHidden/>
    <w:rsid w:val="00396A8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4akcent11">
    <w:name w:val="Tabela listy 4 — akcent 11"/>
    <w:basedOn w:val="Standardowy"/>
    <w:uiPriority w:val="49"/>
    <w:semiHidden/>
    <w:rsid w:val="00396A85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4akcent21">
    <w:name w:val="Tabela listy 4 — akcent 21"/>
    <w:basedOn w:val="Standardowy"/>
    <w:uiPriority w:val="49"/>
    <w:semiHidden/>
    <w:rsid w:val="00396A85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4akcent31">
    <w:name w:val="Tabela listy 4 — akcent 31"/>
    <w:basedOn w:val="Standardowy"/>
    <w:uiPriority w:val="49"/>
    <w:semiHidden/>
    <w:rsid w:val="00396A85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4akcent41">
    <w:name w:val="Tabela listy 4 — akcent 41"/>
    <w:basedOn w:val="Standardowy"/>
    <w:uiPriority w:val="49"/>
    <w:semiHidden/>
    <w:rsid w:val="00396A85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4akcent51">
    <w:name w:val="Tabela listy 4 — akcent 51"/>
    <w:basedOn w:val="Standardowy"/>
    <w:uiPriority w:val="49"/>
    <w:semiHidden/>
    <w:rsid w:val="00396A85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4akcent61">
    <w:name w:val="Tabela listy 4 — akcent 61"/>
    <w:basedOn w:val="Standardowy"/>
    <w:uiPriority w:val="49"/>
    <w:semiHidden/>
    <w:rsid w:val="00396A85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5ciemna1">
    <w:name w:val="Tabela listy 5 — ciemna1"/>
    <w:basedOn w:val="Standardowy"/>
    <w:uiPriority w:val="50"/>
    <w:semiHidden/>
    <w:rsid w:val="00396A85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11">
    <w:name w:val="Tabela listy 5 — ciemna — akcent 11"/>
    <w:basedOn w:val="Standardowy"/>
    <w:uiPriority w:val="50"/>
    <w:semiHidden/>
    <w:rsid w:val="00396A85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21">
    <w:name w:val="Tabela listy 5 — ciemna — akcent 21"/>
    <w:basedOn w:val="Standardowy"/>
    <w:uiPriority w:val="50"/>
    <w:semiHidden/>
    <w:rsid w:val="00396A85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31">
    <w:name w:val="Tabela listy 5 — ciemna — akcent 31"/>
    <w:basedOn w:val="Standardowy"/>
    <w:uiPriority w:val="50"/>
    <w:semiHidden/>
    <w:rsid w:val="00396A85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41">
    <w:name w:val="Tabela listy 5 — ciemna — akcent 41"/>
    <w:basedOn w:val="Standardowy"/>
    <w:uiPriority w:val="50"/>
    <w:semiHidden/>
    <w:rsid w:val="00396A85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51">
    <w:name w:val="Tabela listy 5 — ciemna — akcent 51"/>
    <w:basedOn w:val="Standardowy"/>
    <w:uiPriority w:val="50"/>
    <w:semiHidden/>
    <w:rsid w:val="00396A85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61">
    <w:name w:val="Tabela listy 5 — ciemna — akcent 61"/>
    <w:basedOn w:val="Standardowy"/>
    <w:uiPriority w:val="50"/>
    <w:semiHidden/>
    <w:rsid w:val="00396A85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6kolorowa1">
    <w:name w:val="Tabela listy 6 — kolorowa1"/>
    <w:basedOn w:val="Standardowy"/>
    <w:uiPriority w:val="51"/>
    <w:semiHidden/>
    <w:rsid w:val="00396A85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6kolorowaakcent11">
    <w:name w:val="Tabela listy 6 — kolorowa — akcent 11"/>
    <w:basedOn w:val="Standardowy"/>
    <w:uiPriority w:val="51"/>
    <w:semiHidden/>
    <w:rsid w:val="00396A85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6kolorowaakcent21">
    <w:name w:val="Tabela listy 6 — kolorowa — akcent 21"/>
    <w:basedOn w:val="Standardowy"/>
    <w:uiPriority w:val="51"/>
    <w:semiHidden/>
    <w:rsid w:val="00396A85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6kolorowaakcent31">
    <w:name w:val="Tabela listy 6 — kolorowa — akcent 31"/>
    <w:basedOn w:val="Standardowy"/>
    <w:uiPriority w:val="51"/>
    <w:semiHidden/>
    <w:rsid w:val="00396A85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6kolorowaakcent41">
    <w:name w:val="Tabela listy 6 — kolorowa — akcent 41"/>
    <w:basedOn w:val="Standardowy"/>
    <w:uiPriority w:val="51"/>
    <w:semiHidden/>
    <w:rsid w:val="00396A85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6kolorowaakcent51">
    <w:name w:val="Tabela listy 6 — kolorowa — akcent 51"/>
    <w:basedOn w:val="Standardowy"/>
    <w:uiPriority w:val="51"/>
    <w:semiHidden/>
    <w:rsid w:val="00396A85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6kolorowaakcent61">
    <w:name w:val="Tabela listy 6 — kolorowa — akcent 61"/>
    <w:basedOn w:val="Standardowy"/>
    <w:uiPriority w:val="51"/>
    <w:semiHidden/>
    <w:rsid w:val="00396A85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7kolorowa1">
    <w:name w:val="Tabela listy 7 — kolorowa1"/>
    <w:basedOn w:val="Standardowy"/>
    <w:uiPriority w:val="52"/>
    <w:semiHidden/>
    <w:rsid w:val="00396A85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11">
    <w:name w:val="Tabela listy 7 — kolorowa — akcent 11"/>
    <w:basedOn w:val="Standardowy"/>
    <w:uiPriority w:val="52"/>
    <w:semiHidden/>
    <w:rsid w:val="00396A85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21">
    <w:name w:val="Tabela listy 7 — kolorowa — akcent 21"/>
    <w:basedOn w:val="Standardowy"/>
    <w:uiPriority w:val="52"/>
    <w:semiHidden/>
    <w:rsid w:val="00396A85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31">
    <w:name w:val="Tabela listy 7 — kolorowa — akcent 31"/>
    <w:basedOn w:val="Standardowy"/>
    <w:uiPriority w:val="52"/>
    <w:semiHidden/>
    <w:rsid w:val="00396A85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41">
    <w:name w:val="Tabela listy 7 — kolorowa — akcent 41"/>
    <w:basedOn w:val="Standardowy"/>
    <w:uiPriority w:val="52"/>
    <w:semiHidden/>
    <w:rsid w:val="00396A85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51">
    <w:name w:val="Tabela listy 7 — kolorowa — akcent 51"/>
    <w:basedOn w:val="Standardowy"/>
    <w:uiPriority w:val="52"/>
    <w:semiHidden/>
    <w:rsid w:val="00396A85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61">
    <w:name w:val="Tabela listy 7 — kolorowa — akcent 61"/>
    <w:basedOn w:val="Standardowy"/>
    <w:uiPriority w:val="52"/>
    <w:semiHidden/>
    <w:rsid w:val="00396A85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396A85"/>
    <w:rPr>
      <w:color w:val="2B579A"/>
      <w:shd w:val="clear" w:color="auto" w:fill="E1DFDD"/>
    </w:rPr>
  </w:style>
  <w:style w:type="table" w:customStyle="1" w:styleId="Zwykatabela11">
    <w:name w:val="Zwykła tabela 11"/>
    <w:basedOn w:val="Standardowy"/>
    <w:uiPriority w:val="41"/>
    <w:semiHidden/>
    <w:rsid w:val="00396A85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customStyle="1" w:styleId="Zwykatabela21">
    <w:name w:val="Zwykła tabela 21"/>
    <w:basedOn w:val="Standardowy"/>
    <w:uiPriority w:val="42"/>
    <w:semiHidden/>
    <w:rsid w:val="00396A8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Zwykatabela31">
    <w:name w:val="Zwykła tabela 31"/>
    <w:basedOn w:val="Standardowy"/>
    <w:uiPriority w:val="43"/>
    <w:semiHidden/>
    <w:rsid w:val="00396A85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Zwykatabela41">
    <w:name w:val="Zwykła tabela 41"/>
    <w:basedOn w:val="Standardowy"/>
    <w:uiPriority w:val="44"/>
    <w:semiHidden/>
    <w:rsid w:val="00396A85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customStyle="1" w:styleId="Zwykatabela51">
    <w:name w:val="Zwykła tabela 51"/>
    <w:basedOn w:val="Standardowy"/>
    <w:uiPriority w:val="45"/>
    <w:semiHidden/>
    <w:rsid w:val="00396A85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396A85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396A85"/>
    <w:rPr>
      <w:color w:val="0000FF"/>
      <w:u w:val="single"/>
      <w:shd w:val="clear" w:color="auto" w:fill="F3F2F1"/>
    </w:rPr>
  </w:style>
  <w:style w:type="table" w:customStyle="1" w:styleId="Siatkatabelijasna1">
    <w:name w:val="Siatka tabeli — jasna1"/>
    <w:basedOn w:val="Standardowy"/>
    <w:uiPriority w:val="40"/>
    <w:semiHidden/>
    <w:rsid w:val="00396A85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96A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2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F46F4-94F1-47E9-8871-2A7FB93498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9DB1B5-D00F-4F40-8217-52093BCEC5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5D37B5F-C0E7-47F5-89A2-4D0BB697BAA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5DD08-0351-462A-9BB1-A66479365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2501</Words>
  <Characters>15007</Characters>
  <Application>Microsoft Office Word</Application>
  <DocSecurity>0</DocSecurity>
  <Lines>125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17474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2021-07-05T13:40:00Z</dcterms:created>
  <dcterms:modified xsi:type="dcterms:W3CDTF">2021-07-05T13:48:00Z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29848/17</vt:lpwstr>
  </property>
  <property fmtid="{D5CDD505-2E9C-101B-9397-08002B2CF9AE}" pid="4" name="CASEID">
    <vt:lpwstr>1303104</vt:lpwstr>
  </property>
  <property fmtid="{D5CDD505-2E9C-101B-9397-08002B2CF9AE}" pid="5" name="ContentTypeId">
    <vt:lpwstr>0x010100558EB02BDB9E204AB350EDD385B68E10</vt:lpwstr>
  </property>
</Properties>
</file>