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4F28" w:rsidRPr="00E10705" w:rsidRDefault="00B04F28" w:rsidP="00042867">
      <w:pPr>
        <w:jc w:val="center"/>
      </w:pPr>
    </w:p>
    <w:p w:rsidR="00B04F28" w:rsidRPr="00E10705" w:rsidRDefault="00B04F28" w:rsidP="00042867">
      <w:pPr>
        <w:jc w:val="center"/>
      </w:pPr>
    </w:p>
    <w:p w:rsidR="00B04F28" w:rsidRPr="00E10705" w:rsidRDefault="00B04F28" w:rsidP="00042867">
      <w:pPr>
        <w:jc w:val="center"/>
      </w:pPr>
    </w:p>
    <w:p w:rsidR="00B04F28" w:rsidRPr="00E10705" w:rsidRDefault="00B04F28" w:rsidP="00042867">
      <w:pPr>
        <w:jc w:val="center"/>
        <w:rPr>
          <w:lang w:val="pl-PL"/>
        </w:rPr>
      </w:pPr>
      <w:r w:rsidRPr="00E10705">
        <w:rPr>
          <w:lang w:val="pl-PL"/>
        </w:rPr>
        <w:t>SEKCJA CZWARTA</w:t>
      </w:r>
    </w:p>
    <w:p w:rsidR="00B04F28" w:rsidRPr="00E10705" w:rsidRDefault="00B04F28" w:rsidP="00042867">
      <w:pPr>
        <w:jc w:val="center"/>
        <w:rPr>
          <w:lang w:val="pl-PL"/>
        </w:rPr>
      </w:pPr>
    </w:p>
    <w:p w:rsidR="00B04F28" w:rsidRPr="00E10705" w:rsidRDefault="00B04F28" w:rsidP="00042867">
      <w:pPr>
        <w:jc w:val="center"/>
        <w:rPr>
          <w:lang w:val="pl-PL"/>
        </w:rPr>
      </w:pPr>
    </w:p>
    <w:p w:rsidR="00B04F28" w:rsidRPr="00E10705" w:rsidRDefault="00B04F28" w:rsidP="00042867">
      <w:pPr>
        <w:jc w:val="center"/>
        <w:rPr>
          <w:lang w:val="pl-PL"/>
        </w:rPr>
      </w:pPr>
    </w:p>
    <w:p w:rsidR="00B04F28" w:rsidRPr="00E10705" w:rsidRDefault="00B04F28" w:rsidP="00042867">
      <w:pPr>
        <w:jc w:val="center"/>
        <w:rPr>
          <w:lang w:val="pl-PL"/>
        </w:rPr>
      </w:pPr>
    </w:p>
    <w:p w:rsidR="00B04F28" w:rsidRPr="00E10705" w:rsidRDefault="00B04F28" w:rsidP="00042867">
      <w:pPr>
        <w:jc w:val="center"/>
        <w:rPr>
          <w:lang w:val="pl-PL"/>
        </w:rPr>
      </w:pPr>
    </w:p>
    <w:p w:rsidR="00B04F28" w:rsidRPr="00E10705" w:rsidRDefault="00B04F28" w:rsidP="00042867">
      <w:pPr>
        <w:jc w:val="center"/>
        <w:rPr>
          <w:lang w:val="pl-PL"/>
        </w:rPr>
      </w:pPr>
    </w:p>
    <w:p w:rsidR="00B04F28" w:rsidRPr="00E10705" w:rsidRDefault="00B04F28" w:rsidP="00042867">
      <w:pPr>
        <w:jc w:val="center"/>
        <w:rPr>
          <w:b/>
          <w:lang w:val="pl-PL"/>
        </w:rPr>
      </w:pPr>
      <w:bookmarkStart w:id="0" w:name="To"/>
      <w:r w:rsidRPr="00E10705">
        <w:rPr>
          <w:b/>
          <w:lang w:val="pl-PL"/>
        </w:rPr>
        <w:t xml:space="preserve">SPRAWA </w:t>
      </w:r>
      <w:bookmarkEnd w:id="0"/>
      <w:r w:rsidRPr="00E10705">
        <w:rPr>
          <w:b/>
          <w:lang w:val="pl-PL"/>
        </w:rPr>
        <w:t>SIWIEC przeciwko POLSCE</w:t>
      </w:r>
    </w:p>
    <w:p w:rsidR="00B04F28" w:rsidRPr="00E10705" w:rsidRDefault="00B04F28" w:rsidP="00042867">
      <w:pPr>
        <w:jc w:val="center"/>
        <w:rPr>
          <w:lang w:val="pl-PL"/>
        </w:rPr>
      </w:pPr>
    </w:p>
    <w:p w:rsidR="00B04F28" w:rsidRPr="00E10705" w:rsidRDefault="00B04F28" w:rsidP="00042867">
      <w:pPr>
        <w:jc w:val="center"/>
        <w:rPr>
          <w:i/>
          <w:lang w:val="pl-PL"/>
        </w:rPr>
      </w:pPr>
      <w:r w:rsidRPr="00E10705">
        <w:rPr>
          <w:i/>
          <w:lang w:val="pl-PL"/>
        </w:rPr>
        <w:t>(</w:t>
      </w:r>
      <w:r w:rsidRPr="00E10705">
        <w:rPr>
          <w:i/>
          <w:noProof/>
          <w:lang w:val="pl-PL"/>
        </w:rPr>
        <w:t>Skarga nr 28095/08</w:t>
      </w:r>
      <w:r w:rsidRPr="00E10705">
        <w:rPr>
          <w:i/>
          <w:lang w:val="pl-PL"/>
        </w:rPr>
        <w:t>)</w:t>
      </w:r>
    </w:p>
    <w:p w:rsidR="00B04F28" w:rsidRPr="00E10705" w:rsidRDefault="00B04F28" w:rsidP="00042867">
      <w:pPr>
        <w:jc w:val="center"/>
        <w:rPr>
          <w:lang w:val="pl-PL"/>
        </w:rPr>
      </w:pPr>
    </w:p>
    <w:p w:rsidR="00B04F28" w:rsidRPr="00E10705" w:rsidRDefault="00B04F28" w:rsidP="00042867">
      <w:pPr>
        <w:jc w:val="center"/>
        <w:rPr>
          <w:lang w:val="pl-PL"/>
        </w:rPr>
      </w:pPr>
    </w:p>
    <w:p w:rsidR="00B04F28" w:rsidRPr="00E10705" w:rsidRDefault="00B04F28" w:rsidP="00042867">
      <w:pPr>
        <w:jc w:val="center"/>
        <w:rPr>
          <w:lang w:val="pl-PL"/>
        </w:rPr>
      </w:pPr>
    </w:p>
    <w:p w:rsidR="00B04F28" w:rsidRPr="00E10705" w:rsidRDefault="00B04F28" w:rsidP="00042867">
      <w:pPr>
        <w:jc w:val="center"/>
        <w:rPr>
          <w:lang w:val="pl-PL"/>
        </w:rPr>
      </w:pPr>
    </w:p>
    <w:p w:rsidR="00B04F28" w:rsidRPr="00E10705" w:rsidRDefault="00B04F28" w:rsidP="00042867">
      <w:pPr>
        <w:jc w:val="center"/>
        <w:rPr>
          <w:lang w:val="pl-PL"/>
        </w:rPr>
      </w:pPr>
    </w:p>
    <w:p w:rsidR="00B04F28" w:rsidRPr="00E10705" w:rsidRDefault="00B04F28" w:rsidP="00042867">
      <w:pPr>
        <w:jc w:val="center"/>
        <w:rPr>
          <w:lang w:val="pl-PL"/>
        </w:rPr>
      </w:pPr>
    </w:p>
    <w:p w:rsidR="00B04F28" w:rsidRPr="00E10705" w:rsidRDefault="00B04F28" w:rsidP="00042867">
      <w:pPr>
        <w:jc w:val="center"/>
        <w:rPr>
          <w:lang w:val="pl-PL"/>
        </w:rPr>
      </w:pPr>
    </w:p>
    <w:p w:rsidR="00B04F28" w:rsidRPr="00E10705" w:rsidRDefault="00B04F28" w:rsidP="00042867">
      <w:pPr>
        <w:jc w:val="center"/>
        <w:rPr>
          <w:lang w:val="pl-PL"/>
        </w:rPr>
      </w:pPr>
    </w:p>
    <w:p w:rsidR="00B04F28" w:rsidRPr="00E10705" w:rsidRDefault="00B04F28" w:rsidP="00EE65AE">
      <w:pPr>
        <w:jc w:val="center"/>
        <w:rPr>
          <w:lang w:val="pl-PL"/>
        </w:rPr>
      </w:pPr>
      <w:r w:rsidRPr="00E10705">
        <w:rPr>
          <w:lang w:val="pl-PL"/>
        </w:rPr>
        <w:t>WYROK</w:t>
      </w:r>
    </w:p>
    <w:p w:rsidR="00B04F28" w:rsidRPr="00E10705" w:rsidRDefault="00B04F28" w:rsidP="00410E25">
      <w:pPr>
        <w:jc w:val="center"/>
        <w:rPr>
          <w:lang w:val="pl-PL"/>
        </w:rPr>
      </w:pPr>
    </w:p>
    <w:p w:rsidR="00B04F28" w:rsidRPr="00E10705" w:rsidRDefault="00B04F28" w:rsidP="00EE65AE">
      <w:pPr>
        <w:pStyle w:val="JuCase"/>
        <w:ind w:firstLine="0"/>
        <w:jc w:val="center"/>
        <w:rPr>
          <w:b w:val="0"/>
          <w:lang w:val="pl-PL"/>
        </w:rPr>
      </w:pPr>
    </w:p>
    <w:p w:rsidR="00B04F28" w:rsidRPr="00E10705" w:rsidRDefault="00B04F28" w:rsidP="00EE65AE">
      <w:pPr>
        <w:pStyle w:val="JuCase"/>
        <w:ind w:firstLine="0"/>
        <w:jc w:val="center"/>
        <w:rPr>
          <w:b w:val="0"/>
          <w:lang w:val="pl-PL"/>
        </w:rPr>
      </w:pPr>
    </w:p>
    <w:p w:rsidR="00B04F28" w:rsidRPr="00E10705" w:rsidRDefault="00B04F28" w:rsidP="00EE65AE">
      <w:pPr>
        <w:pStyle w:val="JuCase"/>
        <w:ind w:firstLine="0"/>
        <w:jc w:val="center"/>
        <w:rPr>
          <w:b w:val="0"/>
          <w:lang w:val="pl-PL"/>
        </w:rPr>
      </w:pPr>
      <w:r w:rsidRPr="00E10705">
        <w:rPr>
          <w:b w:val="0"/>
          <w:lang w:val="pl-PL"/>
        </w:rPr>
        <w:t>STRASBURG</w:t>
      </w:r>
    </w:p>
    <w:p w:rsidR="00B04F28" w:rsidRPr="00E10705" w:rsidRDefault="00B04F28" w:rsidP="00EE65AE">
      <w:pPr>
        <w:pStyle w:val="JuCase"/>
        <w:ind w:firstLine="0"/>
        <w:jc w:val="center"/>
        <w:rPr>
          <w:b w:val="0"/>
          <w:lang w:val="pl-PL"/>
        </w:rPr>
      </w:pPr>
    </w:p>
    <w:p w:rsidR="00B04F28" w:rsidRPr="00E10705" w:rsidRDefault="00B04F28" w:rsidP="00EE65AE">
      <w:pPr>
        <w:pStyle w:val="JuCase"/>
        <w:ind w:firstLine="0"/>
        <w:jc w:val="center"/>
        <w:rPr>
          <w:b w:val="0"/>
          <w:lang w:val="pl-PL"/>
        </w:rPr>
      </w:pPr>
      <w:r w:rsidRPr="00E10705">
        <w:rPr>
          <w:b w:val="0"/>
          <w:lang w:val="pl-PL"/>
        </w:rPr>
        <w:t>3 lipca 2012 roku</w:t>
      </w:r>
    </w:p>
    <w:p w:rsidR="00B04F28" w:rsidRPr="00E10705" w:rsidRDefault="00B04F28" w:rsidP="00EE65AE">
      <w:pPr>
        <w:pStyle w:val="JuCase"/>
        <w:ind w:firstLine="0"/>
        <w:jc w:val="center"/>
        <w:rPr>
          <w:b w:val="0"/>
          <w:lang w:val="pl-PL"/>
        </w:rPr>
      </w:pPr>
    </w:p>
    <w:p w:rsidR="00B04F28" w:rsidRPr="00E10705" w:rsidRDefault="00B04F28" w:rsidP="00EE65AE">
      <w:pPr>
        <w:pStyle w:val="JuCase"/>
        <w:ind w:firstLine="0"/>
        <w:jc w:val="center"/>
        <w:rPr>
          <w:b w:val="0"/>
          <w:lang w:val="pl-PL"/>
        </w:rPr>
      </w:pPr>
    </w:p>
    <w:p w:rsidR="00B04F28" w:rsidRPr="00E10705" w:rsidRDefault="00B04F28" w:rsidP="00410E25">
      <w:pPr>
        <w:pStyle w:val="JuPara"/>
        <w:rPr>
          <w:lang w:val="pl-PL"/>
        </w:rPr>
      </w:pPr>
    </w:p>
    <w:p w:rsidR="00B04F28" w:rsidRPr="00E10705" w:rsidRDefault="00B04F28" w:rsidP="009B7669">
      <w:pPr>
        <w:jc w:val="center"/>
        <w:rPr>
          <w:i/>
          <w:szCs w:val="24"/>
          <w:lang w:val="pl-PL"/>
        </w:rPr>
      </w:pPr>
      <w:r w:rsidRPr="00E10705">
        <w:rPr>
          <w:i/>
          <w:iCs/>
          <w:lang w:val="pl-PL"/>
        </w:rPr>
        <w:t>Wyrok ten  stanie się ostateczny zgodnie z warunkami określonymi w Artykule 44 § 2 Konwencji. Wyrok może podlegać korekcie wydawniczej.</w:t>
      </w:r>
    </w:p>
    <w:p w:rsidR="00B04F28" w:rsidRPr="00E10705" w:rsidRDefault="00B04F28" w:rsidP="00410E25">
      <w:pPr>
        <w:pStyle w:val="JuPara"/>
        <w:rPr>
          <w:lang w:val="pl-PL"/>
        </w:rPr>
      </w:pPr>
    </w:p>
    <w:p w:rsidR="00B04F28" w:rsidRPr="00E10705" w:rsidRDefault="00B04F28" w:rsidP="00410E25">
      <w:pPr>
        <w:pStyle w:val="JuPara"/>
        <w:rPr>
          <w:lang w:val="pl-PL"/>
        </w:rPr>
        <w:sectPr w:rsidR="00B04F28" w:rsidRPr="00E10705" w:rsidSect="00EE65AE">
          <w:headerReference w:type="default" r:id="rId7"/>
          <w:headerReference w:type="first" r:id="rId8"/>
          <w:footerReference w:type="first" r:id="rId9"/>
          <w:footnotePr>
            <w:numRestart w:val="eachPage"/>
          </w:footnotePr>
          <w:pgSz w:w="11906" w:h="16838" w:code="9"/>
          <w:pgMar w:top="2274" w:right="2274" w:bottom="2274" w:left="2274" w:header="1701" w:footer="708" w:gutter="0"/>
          <w:pgNumType w:start="1"/>
          <w:cols w:space="708"/>
          <w:titlePg/>
          <w:docGrid w:linePitch="254"/>
        </w:sectPr>
      </w:pPr>
    </w:p>
    <w:p w:rsidR="00B04F28" w:rsidRPr="00E10705" w:rsidRDefault="00B04F28" w:rsidP="008824B9">
      <w:pPr>
        <w:pStyle w:val="JuCase"/>
        <w:rPr>
          <w:lang w:val="pl-PL"/>
        </w:rPr>
      </w:pPr>
      <w:r w:rsidRPr="00E10705">
        <w:rPr>
          <w:lang w:val="pl-PL"/>
        </w:rPr>
        <w:t xml:space="preserve">W sprawie </w:t>
      </w:r>
      <w:r w:rsidRPr="00E10705">
        <w:rPr>
          <w:rStyle w:val="JuCaseChar"/>
          <w:lang w:val="pl-PL"/>
        </w:rPr>
        <w:t>Siwiec przeciwko Polsce</w:t>
      </w:r>
      <w:r w:rsidRPr="00E10705">
        <w:rPr>
          <w:lang w:val="pl-PL"/>
        </w:rPr>
        <w:t>,</w:t>
      </w:r>
    </w:p>
    <w:p w:rsidR="00B04F28" w:rsidRPr="00E10705" w:rsidRDefault="00B04F28" w:rsidP="002F4BCF">
      <w:pPr>
        <w:pStyle w:val="JuPara"/>
        <w:rPr>
          <w:lang w:val="pl-PL"/>
        </w:rPr>
      </w:pPr>
      <w:r w:rsidRPr="00E10705">
        <w:rPr>
          <w:lang w:val="pl-PL"/>
        </w:rPr>
        <w:t>Europejski Trybunał Praw Człowieka (Sekcja Czwarta), zasiadając jako Izba w składzie:</w:t>
      </w:r>
    </w:p>
    <w:p w:rsidR="00B04F28" w:rsidRPr="00E10705" w:rsidRDefault="00B04F28" w:rsidP="008824B9">
      <w:pPr>
        <w:pStyle w:val="JuJudges"/>
        <w:rPr>
          <w:lang w:val="pl-PL"/>
        </w:rPr>
      </w:pPr>
      <w:r w:rsidRPr="00E10705">
        <w:rPr>
          <w:lang w:val="pl-PL"/>
        </w:rPr>
        <w:tab/>
        <w:t>David Thór Björgvinsson,</w:t>
      </w:r>
      <w:r w:rsidRPr="00E10705">
        <w:rPr>
          <w:i/>
          <w:lang w:val="pl-PL"/>
        </w:rPr>
        <w:t xml:space="preserve"> Przewodniczacy,</w:t>
      </w:r>
      <w:r w:rsidRPr="00E10705">
        <w:rPr>
          <w:i/>
          <w:lang w:val="pl-PL"/>
        </w:rPr>
        <w:br/>
      </w:r>
      <w:r w:rsidRPr="00E10705">
        <w:rPr>
          <w:lang w:val="pl-PL"/>
        </w:rPr>
        <w:tab/>
        <w:t>Lech Garlicki,</w:t>
      </w:r>
      <w:r w:rsidRPr="00E10705">
        <w:rPr>
          <w:i/>
          <w:lang w:val="pl-PL"/>
        </w:rPr>
        <w:br/>
      </w:r>
      <w:r w:rsidRPr="00E10705">
        <w:rPr>
          <w:lang w:val="pl-PL"/>
        </w:rPr>
        <w:tab/>
        <w:t>Päivi Hirvelä,</w:t>
      </w:r>
      <w:r w:rsidRPr="00E10705">
        <w:rPr>
          <w:i/>
          <w:lang w:val="pl-PL"/>
        </w:rPr>
        <w:br/>
      </w:r>
      <w:r w:rsidRPr="00E10705">
        <w:rPr>
          <w:lang w:val="pl-PL"/>
        </w:rPr>
        <w:tab/>
        <w:t>George Nicolaou,</w:t>
      </w:r>
      <w:r w:rsidRPr="00E10705">
        <w:rPr>
          <w:i/>
          <w:lang w:val="pl-PL"/>
        </w:rPr>
        <w:br/>
      </w:r>
      <w:r w:rsidRPr="00E10705">
        <w:rPr>
          <w:lang w:val="pl-PL"/>
        </w:rPr>
        <w:tab/>
        <w:t>Ledi Bianku,</w:t>
      </w:r>
      <w:r w:rsidRPr="00E10705">
        <w:rPr>
          <w:i/>
          <w:lang w:val="pl-PL"/>
        </w:rPr>
        <w:br/>
      </w:r>
      <w:r w:rsidRPr="00E10705">
        <w:rPr>
          <w:lang w:val="pl-PL"/>
        </w:rPr>
        <w:tab/>
        <w:t>Nebojša Vučinić,</w:t>
      </w:r>
      <w:r w:rsidRPr="00E10705">
        <w:rPr>
          <w:i/>
          <w:lang w:val="pl-PL"/>
        </w:rPr>
        <w:br/>
      </w:r>
      <w:r w:rsidRPr="00E10705">
        <w:rPr>
          <w:lang w:val="pl-PL"/>
        </w:rPr>
        <w:tab/>
        <w:t>Vincent A. De Gaetano,</w:t>
      </w:r>
      <w:r w:rsidRPr="00E10705">
        <w:rPr>
          <w:i/>
          <w:lang w:val="pl-PL"/>
        </w:rPr>
        <w:t xml:space="preserve"> sędziowie,</w:t>
      </w:r>
      <w:r w:rsidRPr="00E10705">
        <w:rPr>
          <w:lang w:val="pl-PL"/>
        </w:rPr>
        <w:br/>
        <w:t>oraz</w:t>
      </w:r>
      <w:r w:rsidRPr="00E10705">
        <w:rPr>
          <w:noProof/>
          <w:lang w:val="pl-PL"/>
        </w:rPr>
        <w:t xml:space="preserve"> Lawrence Early</w:t>
      </w:r>
      <w:r w:rsidRPr="00E10705">
        <w:rPr>
          <w:rStyle w:val="JuJudgesChar"/>
          <w:lang w:val="pl-PL"/>
        </w:rPr>
        <w:t xml:space="preserve">, </w:t>
      </w:r>
      <w:r w:rsidRPr="00E10705">
        <w:rPr>
          <w:i/>
          <w:noProof/>
          <w:lang w:val="pl-PL"/>
        </w:rPr>
        <w:t>Kanclerz Sekcji</w:t>
      </w:r>
      <w:r w:rsidRPr="00E10705">
        <w:rPr>
          <w:i/>
          <w:lang w:val="pl-PL"/>
        </w:rPr>
        <w:t>,</w:t>
      </w:r>
    </w:p>
    <w:p w:rsidR="00B04F28" w:rsidRPr="00E10705" w:rsidRDefault="00B04F28" w:rsidP="002F4BCF">
      <w:pPr>
        <w:pStyle w:val="JuPara"/>
        <w:rPr>
          <w:lang w:val="pl-PL"/>
        </w:rPr>
      </w:pPr>
      <w:r w:rsidRPr="00E10705">
        <w:rPr>
          <w:lang w:val="pl-PL"/>
        </w:rPr>
        <w:t>Obradując na posiedzeniu niejawnym w dniu 12 czerwca 2012 roku,</w:t>
      </w:r>
    </w:p>
    <w:p w:rsidR="00B04F28" w:rsidRPr="00E10705" w:rsidRDefault="00B04F28" w:rsidP="002F4BCF">
      <w:pPr>
        <w:pStyle w:val="JuPara"/>
        <w:rPr>
          <w:lang w:val="pl-PL"/>
        </w:rPr>
      </w:pPr>
      <w:r w:rsidRPr="00E10705">
        <w:rPr>
          <w:lang w:val="pl-PL"/>
        </w:rPr>
        <w:t>Wydaje następujący wyrok, który został przyjęty w tym dniu:</w:t>
      </w:r>
    </w:p>
    <w:p w:rsidR="00B04F28" w:rsidRPr="00E10705" w:rsidRDefault="00B04F28" w:rsidP="008824B9">
      <w:pPr>
        <w:pStyle w:val="JuHHead"/>
        <w:rPr>
          <w:lang w:val="pl-PL"/>
        </w:rPr>
      </w:pPr>
      <w:r w:rsidRPr="00E10705">
        <w:rPr>
          <w:lang w:val="pl-PL"/>
        </w:rPr>
        <w:t>POSTĘPOWANIE</w:t>
      </w:r>
    </w:p>
    <w:p w:rsidR="00B04F28" w:rsidRPr="00E10705" w:rsidRDefault="00B04F28" w:rsidP="002F4BCF">
      <w:pPr>
        <w:pStyle w:val="JuPara"/>
        <w:rPr>
          <w:lang w:val="pl-PL"/>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1</w:t>
      </w:r>
      <w:r w:rsidRPr="00E10705">
        <w:rPr>
          <w:lang w:val="pl-PL"/>
        </w:rPr>
        <w:fldChar w:fldCharType="end"/>
      </w:r>
      <w:r w:rsidRPr="00E10705">
        <w:rPr>
          <w:lang w:val="pl-PL"/>
        </w:rPr>
        <w:t xml:space="preserve">.  Sprawa wywodzi się ze skargi </w:t>
      </w:r>
      <w:r w:rsidRPr="00E10705">
        <w:rPr>
          <w:noProof/>
          <w:lang w:val="pl-PL"/>
        </w:rPr>
        <w:t>(nr 28095/08)</w:t>
      </w:r>
      <w:r w:rsidRPr="00E10705">
        <w:rPr>
          <w:lang w:val="pl-PL"/>
        </w:rPr>
        <w:t xml:space="preserve"> wniesionej do Trybunału w dniu 14 maja 2008 roku przeciwko Rzeczypospolitej Polskiej na podstawie Artykułu 34 Konwencji o Ochronie Praw Człowieka i Podstawowych Wolności ("Konwencja") przez obywatela Polski</w:t>
      </w:r>
      <w:r w:rsidRPr="00E10705">
        <w:rPr>
          <w:noProof/>
          <w:lang w:val="pl-PL"/>
        </w:rPr>
        <w:t>, Pana Witolda Siwca (“skarżący”).</w:t>
      </w:r>
    </w:p>
    <w:p w:rsidR="00B04F28" w:rsidRPr="00E10705" w:rsidRDefault="00B04F28" w:rsidP="00A25743">
      <w:pPr>
        <w:pStyle w:val="JuPara"/>
        <w:rPr>
          <w:lang w:val="pl-PL"/>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2</w:t>
      </w:r>
      <w:r w:rsidRPr="00E10705">
        <w:rPr>
          <w:lang w:val="pl-PL"/>
        </w:rPr>
        <w:fldChar w:fldCharType="end"/>
      </w:r>
      <w:r w:rsidRPr="00E10705">
        <w:rPr>
          <w:lang w:val="pl-PL"/>
        </w:rPr>
        <w:t>.  Rząd polski ("Rząd") był reprezentowany przez pełnomocnika, Pana J. Wołąsiewicza z Ministerstwa Spraw Zagranicznych.</w:t>
      </w:r>
    </w:p>
    <w:p w:rsidR="00B04F28" w:rsidRPr="00E10705" w:rsidRDefault="00B04F28" w:rsidP="002F4BCF">
      <w:pPr>
        <w:pStyle w:val="JuPara"/>
        <w:rPr>
          <w:lang w:val="pl-PL"/>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3</w:t>
      </w:r>
      <w:r w:rsidRPr="00E10705">
        <w:rPr>
          <w:lang w:val="pl-PL"/>
        </w:rPr>
        <w:fldChar w:fldCharType="end"/>
      </w:r>
      <w:r w:rsidRPr="00E10705">
        <w:rPr>
          <w:lang w:val="pl-PL"/>
        </w:rPr>
        <w:t xml:space="preserve">.  Skarżący zarzucił, że nie mógł przedstawić przed sądem swojego stanowiska w sprawie cywilnej na równych zasadach co strona przeciwna.  </w:t>
      </w:r>
    </w:p>
    <w:p w:rsidR="00B04F28" w:rsidRPr="00E10705" w:rsidRDefault="00B04F28" w:rsidP="002F4BCF">
      <w:pPr>
        <w:pStyle w:val="JuPara"/>
        <w:rPr>
          <w:lang w:val="pl-PL"/>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4</w:t>
      </w:r>
      <w:r w:rsidRPr="00E10705">
        <w:rPr>
          <w:lang w:val="pl-PL"/>
        </w:rPr>
        <w:fldChar w:fldCharType="end"/>
      </w:r>
      <w:r w:rsidRPr="00E10705">
        <w:rPr>
          <w:lang w:val="pl-PL"/>
        </w:rPr>
        <w:t>.  W dniu 11 października 2010 roku Przewodniczący Czwartej Sekcji Trybunału zadecydował o zakomunikowaniu skargi Rządowi.</w:t>
      </w:r>
      <w:r w:rsidRPr="00E10705">
        <w:rPr>
          <w:noProof/>
          <w:lang w:val="pl-PL"/>
        </w:rPr>
        <w:t xml:space="preserve"> </w:t>
      </w:r>
    </w:p>
    <w:p w:rsidR="00B04F28" w:rsidRPr="00E10705" w:rsidRDefault="00B04F28" w:rsidP="008824B9">
      <w:pPr>
        <w:pStyle w:val="JuHHead"/>
        <w:rPr>
          <w:lang w:val="pl-PL"/>
        </w:rPr>
      </w:pPr>
      <w:r w:rsidRPr="00E10705">
        <w:rPr>
          <w:lang w:val="pl-PL"/>
        </w:rPr>
        <w:t>STAN FAKTYCZNY</w:t>
      </w:r>
    </w:p>
    <w:p w:rsidR="00B04F28" w:rsidRPr="00E10705" w:rsidRDefault="00B04F28" w:rsidP="008824B9">
      <w:pPr>
        <w:pStyle w:val="JuHIRoman"/>
        <w:outlineLvl w:val="0"/>
        <w:rPr>
          <w:lang w:val="pl-PL"/>
        </w:rPr>
      </w:pPr>
      <w:r w:rsidRPr="00E10705">
        <w:rPr>
          <w:lang w:val="pl-PL"/>
        </w:rPr>
        <w:t>I.  OKOLICZNOŚCI SPRAWY</w:t>
      </w:r>
    </w:p>
    <w:p w:rsidR="00B04F28" w:rsidRPr="00E10705" w:rsidRDefault="00B04F28" w:rsidP="002F4BCF">
      <w:pPr>
        <w:pStyle w:val="JuPara"/>
        <w:rPr>
          <w:lang w:val="pl-PL"/>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5</w:t>
      </w:r>
      <w:r w:rsidRPr="00E10705">
        <w:rPr>
          <w:lang w:val="pl-PL"/>
        </w:rPr>
        <w:fldChar w:fldCharType="end"/>
      </w:r>
      <w:r w:rsidRPr="00E10705">
        <w:rPr>
          <w:lang w:val="pl-PL"/>
        </w:rPr>
        <w:t>.  Skarżący urodził się w</w:t>
      </w:r>
      <w:r w:rsidRPr="00E10705">
        <w:rPr>
          <w:noProof/>
          <w:lang w:val="pl-PL"/>
        </w:rPr>
        <w:t xml:space="preserve"> 1960 roku i mieszka w Zabrzu</w:t>
      </w:r>
      <w:r w:rsidRPr="00E10705">
        <w:rPr>
          <w:lang w:val="pl-PL"/>
        </w:rPr>
        <w:t>.</w:t>
      </w:r>
    </w:p>
    <w:p w:rsidR="00B04F28" w:rsidRPr="00E10705" w:rsidRDefault="00B04F28" w:rsidP="0061649B">
      <w:pPr>
        <w:pStyle w:val="JuPara"/>
        <w:rPr>
          <w:lang w:val="pl-PL"/>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6</w:t>
      </w:r>
      <w:r w:rsidRPr="00E10705">
        <w:rPr>
          <w:lang w:val="pl-PL"/>
        </w:rPr>
        <w:fldChar w:fldCharType="end"/>
      </w:r>
      <w:r w:rsidRPr="00E10705">
        <w:rPr>
          <w:lang w:val="pl-PL"/>
        </w:rPr>
        <w:t xml:space="preserve">.  Od 2000 do 2004 roku skarżący wspólnie z żoną prowadził działalność gospodarczą, sklep obuwniczy. </w:t>
      </w:r>
    </w:p>
    <w:p w:rsidR="00B04F28" w:rsidRPr="00E10705" w:rsidRDefault="00B04F28" w:rsidP="0061649B">
      <w:pPr>
        <w:pStyle w:val="JuPara"/>
        <w:rPr>
          <w:lang w:val="pl-PL"/>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7</w:t>
      </w:r>
      <w:r w:rsidRPr="00E10705">
        <w:rPr>
          <w:lang w:val="pl-PL"/>
        </w:rPr>
        <w:fldChar w:fldCharType="end"/>
      </w:r>
      <w:r w:rsidRPr="00E10705">
        <w:rPr>
          <w:lang w:val="pl-PL"/>
        </w:rPr>
        <w:t xml:space="preserve">.  W październiku 2004 roku skarżący rozpoczął odbywanie kary pozbawienia wolności. </w:t>
      </w:r>
    </w:p>
    <w:p w:rsidR="00B04F28" w:rsidRPr="00E10705" w:rsidRDefault="00B04F28" w:rsidP="0061649B">
      <w:pPr>
        <w:pStyle w:val="JuPara"/>
        <w:rPr>
          <w:lang w:val="pl-PL"/>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8</w:t>
      </w:r>
      <w:r w:rsidRPr="00E10705">
        <w:rPr>
          <w:lang w:val="pl-PL"/>
        </w:rPr>
        <w:fldChar w:fldCharType="end"/>
      </w:r>
      <w:r w:rsidRPr="00E10705">
        <w:rPr>
          <w:lang w:val="pl-PL"/>
        </w:rPr>
        <w:t>.  W dniu 4 września 2006 roku wytoczył on powództwo cywilne przeciwko swojej żonie przed Sądem Rejonowym w Łukowie, podnosząc że powinna ona wydać mu lokal sklepowy wraz z towarem, który pozostał tam w chwili jego zatrzymania. Skarżący domagał się także odszkodowania z tytułu szkody poniesionej rzekomo w wyniku bezprawnego przejęcia przez nią działalności handlowej po jego zatrzymaniu, w kwocie 2.000 zł miesięcznie począwszy od października 2004 roku.</w:t>
      </w:r>
    </w:p>
    <w:p w:rsidR="00B04F28" w:rsidRPr="00E10705" w:rsidRDefault="00B04F28" w:rsidP="0061649B">
      <w:pPr>
        <w:pStyle w:val="JuPara"/>
        <w:rPr>
          <w:lang w:val="pl-PL"/>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9</w:t>
      </w:r>
      <w:r w:rsidRPr="00E10705">
        <w:rPr>
          <w:lang w:val="pl-PL"/>
        </w:rPr>
        <w:fldChar w:fldCharType="end"/>
      </w:r>
      <w:r w:rsidRPr="00E10705">
        <w:rPr>
          <w:lang w:val="pl-PL"/>
        </w:rPr>
        <w:t xml:space="preserve">.  Skarżący domagał się następnie zwolnienia od kosztów sądowych. W piśmie procesowym poinformował sąd, że ma ograniczoną możliwość występowania we własnym imieniu w sposób właściwy z uwagi na fakt, że odbywa karę pozbawienia wolności. </w:t>
      </w:r>
    </w:p>
    <w:p w:rsidR="00B04F28" w:rsidRPr="00E10705" w:rsidRDefault="00B04F28" w:rsidP="0061649B">
      <w:pPr>
        <w:pStyle w:val="JuPara"/>
        <w:rPr>
          <w:lang w:val="pl-PL"/>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10</w:t>
      </w:r>
      <w:r w:rsidRPr="00E10705">
        <w:rPr>
          <w:lang w:val="pl-PL"/>
        </w:rPr>
        <w:fldChar w:fldCharType="end"/>
      </w:r>
      <w:r w:rsidRPr="00E10705">
        <w:rPr>
          <w:lang w:val="pl-PL"/>
        </w:rPr>
        <w:t xml:space="preserve">.  Postępowanie zostało przeprowadzone na podstawie przepisów proceduralnych Kodeksu postępowania cywilnego odnoszących się do sporu gospodarczego, które przewidują, w szczególności, prekluzję dowodową. </w:t>
      </w:r>
    </w:p>
    <w:p w:rsidR="00B04F28" w:rsidRPr="00E10705" w:rsidRDefault="00B04F28" w:rsidP="0061649B">
      <w:pPr>
        <w:pStyle w:val="JuPara"/>
        <w:rPr>
          <w:lang w:val="pl-PL"/>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11</w:t>
      </w:r>
      <w:r w:rsidRPr="00E10705">
        <w:rPr>
          <w:lang w:val="pl-PL"/>
        </w:rPr>
        <w:fldChar w:fldCharType="end"/>
      </w:r>
      <w:r w:rsidRPr="00E10705">
        <w:rPr>
          <w:lang w:val="pl-PL"/>
        </w:rPr>
        <w:t xml:space="preserve">.  W dniu 20 grudnia 2006 roku Sąd Okręgowy w Lublinie zwolnił skarżącego od obowiązku uiszczenia opłat sądowych w kwocie 5.850 zł, lecz utrzymał obowiązek pokrycia innych kosztów sądowych powstałych w przyszłości. Sąd zauważył, że skarżący nie był osobą majętną i nie posiadał żadnych oszczędności, które pozwoliłyby na zabezpieczenie jego interesów proceduralnych w toku postępowania. </w:t>
      </w:r>
    </w:p>
    <w:p w:rsidR="00B04F28" w:rsidRPr="00E10705" w:rsidRDefault="00B04F28" w:rsidP="0061649B">
      <w:pPr>
        <w:pStyle w:val="JuPara"/>
        <w:rPr>
          <w:lang w:val="pl-PL"/>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12</w:t>
      </w:r>
      <w:r w:rsidRPr="00E10705">
        <w:rPr>
          <w:lang w:val="pl-PL"/>
        </w:rPr>
        <w:fldChar w:fldCharType="end"/>
      </w:r>
      <w:r w:rsidRPr="00E10705">
        <w:rPr>
          <w:lang w:val="pl-PL"/>
        </w:rPr>
        <w:t xml:space="preserve">.  W dniu 22 lutego 2007 roku skarżący wystąpił do sądu z wnioskiem o przesłuchanie świadka C.O., właściciela lokalu, celem złożenia wyjaśnień dotyczących umowy najmu. </w:t>
      </w:r>
    </w:p>
    <w:p w:rsidR="00B04F28" w:rsidRPr="00E10705" w:rsidRDefault="00B04F28" w:rsidP="0061649B">
      <w:pPr>
        <w:pStyle w:val="JuPara"/>
        <w:rPr>
          <w:lang w:val="pl-PL"/>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13</w:t>
      </w:r>
      <w:r w:rsidRPr="00E10705">
        <w:rPr>
          <w:lang w:val="pl-PL"/>
        </w:rPr>
        <w:fldChar w:fldCharType="end"/>
      </w:r>
      <w:r w:rsidRPr="00E10705">
        <w:rPr>
          <w:lang w:val="pl-PL"/>
        </w:rPr>
        <w:t>.  W dniu 7 maja 2007 roku sąd wydał postanowienie o oddaleniu wniosku o dopuszczenie dowodu z zeznań świadka C.O. Sąd przypomniał, że zgodnie z artykułem 479</w:t>
      </w:r>
      <w:r w:rsidRPr="00E10705">
        <w:rPr>
          <w:vertAlign w:val="superscript"/>
          <w:lang w:val="pl-PL"/>
        </w:rPr>
        <w:t xml:space="preserve">12 </w:t>
      </w:r>
      <w:r w:rsidRPr="00E10705">
        <w:rPr>
          <w:lang w:val="pl-PL"/>
        </w:rPr>
        <w:t xml:space="preserve">§ 1 Kodeksu postępowania cywilnego wniosek skarżącego musi zostać oddalony, ponieważ nie został złożony w pozwie. Sąd zwrócił następnie uwagę, że żądane wnioski dowodowe nie mają znaczenia w sprawie. Wypis z protokołu rozprawy został wysłany do skarżącego. Pismo doręczono w dniu 30 maja 2007 roku. </w:t>
      </w:r>
    </w:p>
    <w:p w:rsidR="00B04F28" w:rsidRPr="00E10705" w:rsidRDefault="00B04F28" w:rsidP="0061649B">
      <w:pPr>
        <w:pStyle w:val="JuPara"/>
        <w:rPr>
          <w:lang w:val="pl-PL"/>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14</w:t>
      </w:r>
      <w:r w:rsidRPr="00E10705">
        <w:rPr>
          <w:lang w:val="pl-PL"/>
        </w:rPr>
        <w:fldChar w:fldCharType="end"/>
      </w:r>
      <w:r w:rsidRPr="00E10705">
        <w:rPr>
          <w:lang w:val="pl-PL"/>
        </w:rPr>
        <w:t xml:space="preserve">.  Termin rozprawy został wyznaczony na dzień 11 czerwca 2007 roku. </w:t>
      </w:r>
    </w:p>
    <w:p w:rsidR="00B04F28" w:rsidRPr="00E10705" w:rsidRDefault="00B04F28" w:rsidP="0061649B">
      <w:pPr>
        <w:pStyle w:val="JuPara"/>
        <w:rPr>
          <w:lang w:val="pl-PL"/>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15</w:t>
      </w:r>
      <w:r w:rsidRPr="00E10705">
        <w:rPr>
          <w:lang w:val="pl-PL"/>
        </w:rPr>
        <w:fldChar w:fldCharType="end"/>
      </w:r>
      <w:r w:rsidRPr="00E10705">
        <w:rPr>
          <w:lang w:val="pl-PL"/>
        </w:rPr>
        <w:t>.  Pismem z dnia 31 maja 2007 roku skarżący wniósł do sądu o doprowadzenie go na termin rozprawy z Zakładu Karnego Biała Podlaska, gdzie wówczas przebywał. Skarżący stwierdził ponownie, że świadek C.O. powinien złożyć zeznania, a także wystąpił do sądu z wnioskiem o przesłuchanie K.M i A.M. w charakterze świadków. Skarżący nie dostarczył odpisu wniosku złożonego do sądu zgodnie z wymogami art. 128 § 1 Kodeksu postępowania cywilnego (zob. paragraf 28 poniżej).</w:t>
      </w:r>
    </w:p>
    <w:p w:rsidR="00B04F28" w:rsidRPr="00E10705" w:rsidRDefault="00B04F28" w:rsidP="0061649B">
      <w:pPr>
        <w:pStyle w:val="JuPara"/>
        <w:rPr>
          <w:lang w:val="pl-PL"/>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16</w:t>
      </w:r>
      <w:r w:rsidRPr="00E10705">
        <w:rPr>
          <w:lang w:val="pl-PL"/>
        </w:rPr>
        <w:fldChar w:fldCharType="end"/>
      </w:r>
      <w:r w:rsidRPr="00E10705">
        <w:rPr>
          <w:lang w:val="pl-PL"/>
        </w:rPr>
        <w:t xml:space="preserve">. W dniu 11 czerwca 2007 roku sąd wezwał skarżącego do usunięcia formalnych barków pisma poprzez złożenie jego odpisu celem doręczenia go stronie pozwanej. Skarżący nie zastosował się do zarządzenia sądu. </w:t>
      </w:r>
    </w:p>
    <w:p w:rsidR="00B04F28" w:rsidRPr="00E10705" w:rsidRDefault="00B04F28" w:rsidP="0061649B">
      <w:pPr>
        <w:pStyle w:val="JuPara"/>
        <w:rPr>
          <w:lang w:val="pl-PL"/>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17</w:t>
      </w:r>
      <w:r w:rsidRPr="00E10705">
        <w:rPr>
          <w:lang w:val="pl-PL"/>
        </w:rPr>
        <w:fldChar w:fldCharType="end"/>
      </w:r>
      <w:r w:rsidRPr="00E10705">
        <w:rPr>
          <w:lang w:val="pl-PL"/>
        </w:rPr>
        <w:t>.  Posiedzenie w sprawie odbyło się tego samego dnia. Zakończyło się po pięciu minutach. Pozwana stwierdziła, że nie uznaje powództwa skarżącego. Powód nie stawił się, ani nie był reprezentowany na rozprawie.</w:t>
      </w:r>
    </w:p>
    <w:p w:rsidR="00B04F28" w:rsidRPr="00E10705" w:rsidRDefault="00B04F28" w:rsidP="0061649B">
      <w:pPr>
        <w:pStyle w:val="JuPara"/>
        <w:rPr>
          <w:lang w:val="pl-PL"/>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18</w:t>
      </w:r>
      <w:r w:rsidRPr="00E10705">
        <w:rPr>
          <w:lang w:val="pl-PL"/>
        </w:rPr>
        <w:fldChar w:fldCharType="end"/>
      </w:r>
      <w:r w:rsidRPr="00E10705">
        <w:rPr>
          <w:lang w:val="pl-PL"/>
        </w:rPr>
        <w:t xml:space="preserve">.  W dniu 25 czerwca 2007 roku sąd wydał wyrok. Oddalił on powództwo skarżącego, stwierdzając że nie ma podstaw do przyjęcia, że skarżący doznał jakiejkolwiek szkody oraz że pozwana działała niezgodnie z prawem. </w:t>
      </w:r>
    </w:p>
    <w:p w:rsidR="00B04F28" w:rsidRPr="00E10705" w:rsidRDefault="00B04F28" w:rsidP="0061649B">
      <w:pPr>
        <w:pStyle w:val="JuPara"/>
        <w:rPr>
          <w:lang w:val="pl-PL"/>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19</w:t>
      </w:r>
      <w:r w:rsidRPr="00E10705">
        <w:rPr>
          <w:lang w:val="pl-PL"/>
        </w:rPr>
        <w:fldChar w:fldCharType="end"/>
      </w:r>
      <w:r w:rsidRPr="00E10705">
        <w:rPr>
          <w:lang w:val="pl-PL"/>
        </w:rPr>
        <w:t>.  W uzasadnieniu wyroku sąd odniósł się do art. 479</w:t>
      </w:r>
      <w:r w:rsidRPr="00E10705">
        <w:rPr>
          <w:vertAlign w:val="superscript"/>
          <w:lang w:val="pl-PL"/>
        </w:rPr>
        <w:t xml:space="preserve">12 </w:t>
      </w:r>
      <w:r w:rsidRPr="00E10705">
        <w:rPr>
          <w:lang w:val="pl-PL"/>
        </w:rPr>
        <w:t xml:space="preserve">§ 1 Kodeksu postępowania cywilnego (zob. paragraf 27 poniżej) i uznał wniosek skarżącego o dopuszczenie dowodu z zeznań świadka C.O. za spóźniony. Powinien on zostać złożony w pozwie. Sąd nie odniósł się do wniosku skarżącego o doprowadzenie go na termin rozprawy wyznaczonej na dzień 11 czerwca 2007 roku. </w:t>
      </w:r>
    </w:p>
    <w:p w:rsidR="00B04F28" w:rsidRPr="00E10705" w:rsidRDefault="00B04F28" w:rsidP="0061649B">
      <w:pPr>
        <w:pStyle w:val="JuPara"/>
        <w:rPr>
          <w:lang w:val="pl-PL"/>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20</w:t>
      </w:r>
      <w:r w:rsidRPr="00E10705">
        <w:rPr>
          <w:lang w:val="pl-PL"/>
        </w:rPr>
        <w:fldChar w:fldCharType="end"/>
      </w:r>
      <w:r w:rsidRPr="00E10705">
        <w:rPr>
          <w:lang w:val="pl-PL"/>
        </w:rPr>
        <w:t xml:space="preserve">.  Skarżący wniósł apelację. Zarzucił, że sąd pierwszej instancji niewłaściwie ocenił dowody i doszedł do błędnych wniosków. Stwierdził następnie, że odbywał karę pozbawienia wolności, zatem skuteczna obrona jego interesów w toku postępowania była znacząco utrudniona. Skarżący wnosił o zwolnienie od wszystkich kosztów sądowych oraz o ustanowienie obrońcy z urzędu w celu reprezentowania go przed sądem apelacyjnym. </w:t>
      </w:r>
    </w:p>
    <w:p w:rsidR="00B04F28" w:rsidRPr="00E10705" w:rsidRDefault="00B04F28" w:rsidP="0061649B">
      <w:pPr>
        <w:pStyle w:val="JuPara"/>
        <w:rPr>
          <w:lang w:val="pl-PL"/>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21</w:t>
      </w:r>
      <w:r w:rsidRPr="00E10705">
        <w:rPr>
          <w:lang w:val="pl-PL"/>
        </w:rPr>
        <w:fldChar w:fldCharType="end"/>
      </w:r>
      <w:r w:rsidRPr="00E10705">
        <w:rPr>
          <w:lang w:val="pl-PL"/>
        </w:rPr>
        <w:t>.  Postanowieniem z dnia 1 października 2007 roku Sąd Okręgowy w Lublinie odmówił przyznania skarżącemu pomocy prawnej, stwierdzając, że może on sam przedstawić swoją sprawę przed sądem. W opinii sądu fakt, że jego powództwo zostało oddalone nie był równoznaczny ze stwierdzeniem, że skarżący nie mógł przedstawić swego stanowiska. Sąd zwolnił go od obowiązku poniesienia kosztów sądowych w kwocie 6.750 zł i oddalił wniosek w pozostałej części. Sąd zwrócił uwagę, że skarżący przebywał w zakładzie karnym oraz że jego sytuacja finansowa nie poprawiła się od momentu wydania wcześniejszego postanowienia o kosztach sądowych (zob. paragraf 10 powyżej).</w:t>
      </w:r>
    </w:p>
    <w:p w:rsidR="00B04F28" w:rsidRPr="00E10705" w:rsidRDefault="00B04F28" w:rsidP="0061649B">
      <w:pPr>
        <w:pStyle w:val="JuPara"/>
        <w:rPr>
          <w:lang w:val="pl-PL"/>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22</w:t>
      </w:r>
      <w:r w:rsidRPr="00E10705">
        <w:rPr>
          <w:lang w:val="pl-PL"/>
        </w:rPr>
        <w:fldChar w:fldCharType="end"/>
      </w:r>
      <w:r w:rsidRPr="00E10705">
        <w:rPr>
          <w:lang w:val="pl-PL"/>
        </w:rPr>
        <w:t xml:space="preserve">.  Skarżący złożył zażalenie na postanowienie w zakresie dotyczącym odmowy przyznania pomocy prawnej. Stwierdził, że fakt, iż wyrażał się dość jasno nie był wystarczający, by uznać, że jest on w stanie przygotować i przedstawić przed sądem apelacyjnym argumenty prawne w dostatecznie kompetentny sposób. Skarżący przypomniał, że odbywał karę pozbawienia wolności, która utrudniała mu podejmowanie skutecznych działań służących obronie własnych interesów w toku postępowania. </w:t>
      </w:r>
    </w:p>
    <w:p w:rsidR="00B04F28" w:rsidRPr="00E10705" w:rsidRDefault="00B04F28" w:rsidP="0061649B">
      <w:pPr>
        <w:pStyle w:val="JuPara"/>
        <w:rPr>
          <w:lang w:val="pl-PL"/>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23</w:t>
      </w:r>
      <w:r w:rsidRPr="00E10705">
        <w:rPr>
          <w:lang w:val="pl-PL"/>
        </w:rPr>
        <w:fldChar w:fldCharType="end"/>
      </w:r>
      <w:r w:rsidRPr="00E10705">
        <w:rPr>
          <w:lang w:val="pl-PL"/>
        </w:rPr>
        <w:t xml:space="preserve">.  W dniu 30 października 2007 Sąd Apelacyjny w Lublinie oddalił zażalenie skarżącego na postanowienie o odmowie przyznania pomocy prawnej, podzielając zasadniczo stanowisko sądu pierwszej instancji. Sąd zauważył następnie, że sam fakt, iż skarżący odbywał karę pozbawienia wolności nie uzasadnia ustanowienia pełnomocnika w sprawie, ponieważ osobiste stawiennictwo skarżącego przed sądem nie było konieczne. </w:t>
      </w:r>
    </w:p>
    <w:p w:rsidR="00B04F28" w:rsidRPr="00E10705" w:rsidRDefault="00B04F28" w:rsidP="0061649B">
      <w:pPr>
        <w:pStyle w:val="JuPara"/>
        <w:rPr>
          <w:lang w:val="pl-PL"/>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24</w:t>
      </w:r>
      <w:r w:rsidRPr="00E10705">
        <w:rPr>
          <w:lang w:val="pl-PL"/>
        </w:rPr>
        <w:fldChar w:fldCharType="end"/>
      </w:r>
      <w:r w:rsidRPr="00E10705">
        <w:rPr>
          <w:lang w:val="pl-PL"/>
        </w:rPr>
        <w:t xml:space="preserve">.  Wyrokiem z dnia 18 grudnia 2007 roku Sąd Apelacyjny w Lublinie oddalił apelację skarżącego od wyroku sądu pierwszej instancji, podzielając zasadniczo wywody sądu pierwszej instancji. Sąd uznał, że niniejsza sprawa dotyczy sporu gospodarczego i jest zatem uregulowana bardziej rygorystyczną procedurą przewidzianą w Kodeksie postępowania cywilnego. W uzasadnieniu wyroku sąd powołał się na pisma procesowe stron oraz wyjaśnienia pozwanej złożone przed sądem. </w:t>
      </w:r>
    </w:p>
    <w:p w:rsidR="00B04F28" w:rsidRPr="00E10705" w:rsidRDefault="00B04F28" w:rsidP="0061649B">
      <w:pPr>
        <w:pStyle w:val="JuPara"/>
        <w:rPr>
          <w:lang w:val="pl-PL"/>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25</w:t>
      </w:r>
      <w:r w:rsidRPr="00E10705">
        <w:rPr>
          <w:lang w:val="pl-PL"/>
        </w:rPr>
        <w:fldChar w:fldCharType="end"/>
      </w:r>
      <w:r w:rsidRPr="00E10705">
        <w:rPr>
          <w:lang w:val="pl-PL"/>
        </w:rPr>
        <w:t xml:space="preserve">.  Wyrok ten został dostarczony skarżącemu w dniu 29 stycznia 2008 roku. </w:t>
      </w:r>
    </w:p>
    <w:p w:rsidR="00B04F28" w:rsidRPr="00E10705" w:rsidRDefault="00B04F28" w:rsidP="0061649B">
      <w:pPr>
        <w:pStyle w:val="JuPara"/>
        <w:rPr>
          <w:lang w:val="pl-PL"/>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26</w:t>
      </w:r>
      <w:r w:rsidRPr="00E10705">
        <w:rPr>
          <w:lang w:val="pl-PL"/>
        </w:rPr>
        <w:fldChar w:fldCharType="end"/>
      </w:r>
      <w:r w:rsidRPr="00E10705">
        <w:rPr>
          <w:lang w:val="pl-PL"/>
        </w:rPr>
        <w:t xml:space="preserve">.  W dniu 6 lutego 2008 roku Sąd Apelacyjny w Lublinie przyznał skarżącemu pomoc prawną celem sporządzenia skargi kasacyjnej. W dniu 11 lutego 2008 roku Izba Adwokacka w Lublinie wyznaczyła do prowadzenia sprawy M. K. </w:t>
      </w:r>
    </w:p>
    <w:p w:rsidR="00B04F28" w:rsidRPr="00E10705" w:rsidRDefault="00B04F28" w:rsidP="0061649B">
      <w:pPr>
        <w:pStyle w:val="JuPara"/>
        <w:rPr>
          <w:lang w:val="pl-PL"/>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27</w:t>
      </w:r>
      <w:r w:rsidRPr="00E10705">
        <w:rPr>
          <w:lang w:val="pl-PL"/>
        </w:rPr>
        <w:fldChar w:fldCharType="end"/>
      </w:r>
      <w:r w:rsidRPr="00E10705">
        <w:rPr>
          <w:lang w:val="pl-PL"/>
        </w:rPr>
        <w:t xml:space="preserve">.  Pisemną opinią prawną z dnia 25 lutego 2008 roku pełnomocnik poinformował skarżącego, że odmawia sporządzenia skargi kasacyjnej od wyroku. W jego opinii nie istniała podstawa prawna do sporządzenia takiej skargi. Przedmiotowa opinia została wkrótce potem dostarczona skarżącemu. </w:t>
      </w:r>
    </w:p>
    <w:p w:rsidR="00B04F28" w:rsidRPr="00E10705" w:rsidRDefault="00B04F28" w:rsidP="008824B9">
      <w:pPr>
        <w:pStyle w:val="JuHIRoman"/>
        <w:outlineLvl w:val="0"/>
        <w:rPr>
          <w:lang w:val="pl-PL"/>
        </w:rPr>
      </w:pPr>
      <w:r w:rsidRPr="00E10705">
        <w:rPr>
          <w:lang w:val="pl-PL"/>
        </w:rPr>
        <w:t>II.  WŁAŚCIWE PRAWO KRAJOWE</w:t>
      </w:r>
    </w:p>
    <w:p w:rsidR="00B04F28" w:rsidRPr="00E10705" w:rsidRDefault="00B04F28" w:rsidP="00244574">
      <w:pPr>
        <w:pStyle w:val="JuPara"/>
        <w:rPr>
          <w:lang w:val="pl-PL"/>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28</w:t>
      </w:r>
      <w:r w:rsidRPr="00E10705">
        <w:rPr>
          <w:lang w:val="pl-PL"/>
        </w:rPr>
        <w:fldChar w:fldCharType="end"/>
      </w:r>
      <w:r w:rsidRPr="00E10705">
        <w:rPr>
          <w:lang w:val="pl-PL"/>
        </w:rPr>
        <w:t>.  Artykuł 479</w:t>
      </w:r>
      <w:r w:rsidRPr="00E10705">
        <w:rPr>
          <w:vertAlign w:val="superscript"/>
          <w:lang w:val="pl-PL"/>
        </w:rPr>
        <w:t>12</w:t>
      </w:r>
      <w:r w:rsidRPr="00E10705">
        <w:rPr>
          <w:lang w:val="pl-PL"/>
        </w:rPr>
        <w:t xml:space="preserve"> § 1 Kodeksu postępowania cywilnego stanowi, że w sprawach gospodarczych w postępowaniu cywilnym powód jest obowiązany podać w pozwie wszystkie twierdzenia oraz dowody na ich poparcie pod rygorem utraty prawa powoływania ich w toku postępowania, chyba że wykaże, że ich powołanie w pozwie nie było możliwe albo że potrzeba powołania wynikła później. </w:t>
      </w:r>
    </w:p>
    <w:p w:rsidR="00B04F28" w:rsidRPr="00E10705" w:rsidRDefault="00B04F28" w:rsidP="00244574">
      <w:pPr>
        <w:pStyle w:val="JuPara"/>
        <w:rPr>
          <w:lang w:val="pl-PL"/>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29</w:t>
      </w:r>
      <w:r w:rsidRPr="00E10705">
        <w:rPr>
          <w:lang w:val="pl-PL"/>
        </w:rPr>
        <w:fldChar w:fldCharType="end"/>
      </w:r>
      <w:r w:rsidRPr="00E10705">
        <w:rPr>
          <w:lang w:val="pl-PL"/>
        </w:rPr>
        <w:t>.  Artykuł 128 § 1 Kodeksu postępowania cywilnego stanowi, że strona w postępowaniu cywilnym powinna dołączyć odpisy pisma procesowego i odpisy załączników dla doręczenia ich przez sąd  uczestniczącym w sprawie osobom.</w:t>
      </w:r>
    </w:p>
    <w:p w:rsidR="00B04F28" w:rsidRPr="00E10705" w:rsidRDefault="00B04F28" w:rsidP="00244574">
      <w:pPr>
        <w:pStyle w:val="JuPara"/>
        <w:rPr>
          <w:lang w:val="pl-PL"/>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30</w:t>
      </w:r>
      <w:r w:rsidRPr="00E10705">
        <w:rPr>
          <w:lang w:val="pl-PL"/>
        </w:rPr>
        <w:fldChar w:fldCharType="end"/>
      </w:r>
      <w:r w:rsidRPr="00E10705">
        <w:rPr>
          <w:lang w:val="pl-PL"/>
        </w:rPr>
        <w:t xml:space="preserve">.  Właściwe przepisy prawa cywilnego oraz orzecznictwo sądów krajowych dotyczące skarg kasacyjnych zostały obszernie omówione w wyrokach w sprawach </w:t>
      </w:r>
      <w:r w:rsidRPr="00E10705">
        <w:rPr>
          <w:rStyle w:val="ju-005fpara-002cleft-002cfirst-0020line-003a-0020-00200-0020cm--char"/>
          <w:i/>
          <w:iCs/>
          <w:lang w:val="pl-PL"/>
        </w:rPr>
        <w:t>Siałkowska przeciwko Polsce</w:t>
      </w:r>
      <w:r w:rsidRPr="00E10705">
        <w:rPr>
          <w:lang w:val="pl-PL"/>
        </w:rPr>
        <w:t xml:space="preserve">, skarga nr 8932/05, z dnia 22 marca 2007 roku; </w:t>
      </w:r>
      <w:r w:rsidRPr="00E10705">
        <w:rPr>
          <w:rStyle w:val="ju-005fpara-002cleft-002cfirst-0020line-003a-0020-00200-0020cm--char"/>
          <w:i/>
          <w:iCs/>
          <w:lang w:val="pl-PL"/>
        </w:rPr>
        <w:t>Staroszczyk przeciwko Polsce</w:t>
      </w:r>
      <w:r w:rsidRPr="00E10705">
        <w:rPr>
          <w:lang w:val="pl-PL"/>
        </w:rPr>
        <w:t xml:space="preserve">, nr 59519/00, z dnia 22 marca 2007 roku; oraz </w:t>
      </w:r>
      <w:r w:rsidRPr="00E10705">
        <w:rPr>
          <w:rStyle w:val="ju-005fpara-002cleft-002cfirst-0020line-003a-0020-00200-0020cm--char"/>
          <w:i/>
          <w:iCs/>
          <w:lang w:val="pl-PL"/>
        </w:rPr>
        <w:t>Bąkowska przeciwko Polsce</w:t>
      </w:r>
      <w:r w:rsidRPr="00E10705">
        <w:rPr>
          <w:lang w:val="pl-PL"/>
        </w:rPr>
        <w:t>, nr 33539/02, z dnia 12 stycznia 2010 roku.</w:t>
      </w:r>
    </w:p>
    <w:p w:rsidR="00B04F28" w:rsidRPr="00E10705" w:rsidRDefault="00B04F28" w:rsidP="008824B9">
      <w:pPr>
        <w:pStyle w:val="JuHHead"/>
        <w:rPr>
          <w:lang w:val="pl-PL"/>
        </w:rPr>
      </w:pPr>
      <w:r w:rsidRPr="00E10705">
        <w:rPr>
          <w:lang w:val="pl-PL"/>
        </w:rPr>
        <w:t>PRAWO</w:t>
      </w:r>
    </w:p>
    <w:p w:rsidR="00B04F28" w:rsidRPr="00E10705" w:rsidRDefault="00B04F28" w:rsidP="00952DC9">
      <w:pPr>
        <w:pStyle w:val="JuHIRoman"/>
        <w:tabs>
          <w:tab w:val="clear" w:pos="357"/>
        </w:tabs>
        <w:ind w:left="284" w:hanging="284"/>
        <w:rPr>
          <w:lang w:val="pl-PL"/>
        </w:rPr>
      </w:pPr>
      <w:r w:rsidRPr="00E10705">
        <w:rPr>
          <w:lang w:val="pl-PL"/>
        </w:rPr>
        <w:t xml:space="preserve">I.  ZARZUT NARUSZENIA ARTYKUŁU 6 UST. 1 KONWENCJI W ZWIĄZKU Z NIEDOPROWADZENIEM SKARŻĄCEGO PRZED SĄD </w:t>
      </w:r>
    </w:p>
    <w:p w:rsidR="00B04F28" w:rsidRPr="00E10705" w:rsidRDefault="00B04F28" w:rsidP="002F4BCF">
      <w:pPr>
        <w:pStyle w:val="JuPara"/>
        <w:rPr>
          <w:lang w:val="pl-PL"/>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31</w:t>
      </w:r>
      <w:r w:rsidRPr="00E10705">
        <w:rPr>
          <w:lang w:val="pl-PL"/>
        </w:rPr>
        <w:fldChar w:fldCharType="end"/>
      </w:r>
      <w:r w:rsidRPr="00E10705">
        <w:rPr>
          <w:lang w:val="pl-PL"/>
        </w:rPr>
        <w:t xml:space="preserve">.  Skarżący sformułował zarzut, że nie mógł przedstawić przed sądem swojego stanowiska w sprawie cywilnej na równych zasadach co strona przeciwna. Powołał się w tym względzie na Artykuł 6 ust. 1 Konwencji, który stanowi co następuje: </w:t>
      </w:r>
    </w:p>
    <w:p w:rsidR="00B04F28" w:rsidRPr="00E10705" w:rsidRDefault="00B04F28">
      <w:pPr>
        <w:pStyle w:val="JuQuot"/>
        <w:rPr>
          <w:lang w:val="pl-PL"/>
        </w:rPr>
      </w:pPr>
      <w:r w:rsidRPr="00E10705">
        <w:rPr>
          <w:lang w:val="pl-PL"/>
        </w:rPr>
        <w:t>“Przy rozstrzyganiu o prawach i obowiązkach o charakterze cywilnym ... każdy ma prawo do sprawiedliwego ... rozpatrzenia jego sprawy ... przez ... sąd ...”</w:t>
      </w:r>
    </w:p>
    <w:p w:rsidR="00B04F28" w:rsidRPr="00E10705" w:rsidRDefault="00B04F28" w:rsidP="00163E15">
      <w:pPr>
        <w:pStyle w:val="JuHA"/>
        <w:outlineLvl w:val="0"/>
        <w:rPr>
          <w:lang w:val="pl-PL"/>
        </w:rPr>
      </w:pPr>
      <w:r w:rsidRPr="00E10705">
        <w:rPr>
          <w:lang w:val="pl-PL"/>
        </w:rPr>
        <w:t>A.  Dopuszczalność skargi</w:t>
      </w:r>
    </w:p>
    <w:p w:rsidR="00B04F28" w:rsidRPr="00E10705" w:rsidRDefault="00B04F28" w:rsidP="00163E15">
      <w:pPr>
        <w:pStyle w:val="JuPara"/>
        <w:keepNext/>
        <w:keepLines/>
        <w:rPr>
          <w:lang w:val="pl-PL"/>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32</w:t>
      </w:r>
      <w:r w:rsidRPr="00E10705">
        <w:rPr>
          <w:lang w:val="pl-PL"/>
        </w:rPr>
        <w:fldChar w:fldCharType="end"/>
      </w:r>
      <w:r w:rsidRPr="00E10705">
        <w:rPr>
          <w:lang w:val="pl-PL"/>
        </w:rPr>
        <w:t xml:space="preserve">.  W opinii Rządu skarżący nie może twierdzić, że stał się ofiarą naruszenia Konwencji, ponieważ w trakcie rozprawy, która odbyła się w dniu 11 czerwca 2007 roku jego żona nie wypowiedziała się w przedmiocie nieobecności skarżącego na rozprawie lub niepowołania C.O. w charakterze świadka. </w:t>
      </w:r>
    </w:p>
    <w:p w:rsidR="00B04F28" w:rsidRPr="00E10705" w:rsidRDefault="00B04F28" w:rsidP="002F4BCF">
      <w:pPr>
        <w:pStyle w:val="JuPara"/>
        <w:rPr>
          <w:lang w:val="pl-PL"/>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33</w:t>
      </w:r>
      <w:r w:rsidRPr="00E10705">
        <w:rPr>
          <w:lang w:val="pl-PL"/>
        </w:rPr>
        <w:fldChar w:fldCharType="end"/>
      </w:r>
      <w:r w:rsidRPr="00E10705">
        <w:rPr>
          <w:lang w:val="pl-PL"/>
        </w:rPr>
        <w:t>.  Skarżący nie zgodził się z tym stwierdzeniem.</w:t>
      </w:r>
    </w:p>
    <w:p w:rsidR="00B04F28" w:rsidRPr="00E10705" w:rsidRDefault="00B04F28" w:rsidP="002F4BCF">
      <w:pPr>
        <w:pStyle w:val="JuPara"/>
        <w:rPr>
          <w:lang w:val="pl-PL"/>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34</w:t>
      </w:r>
      <w:r w:rsidRPr="00E10705">
        <w:rPr>
          <w:lang w:val="pl-PL"/>
        </w:rPr>
        <w:fldChar w:fldCharType="end"/>
      </w:r>
      <w:r w:rsidRPr="00E10705">
        <w:rPr>
          <w:lang w:val="pl-PL"/>
        </w:rPr>
        <w:t xml:space="preserve">.  Trybunał nie dostrzega w jaki sposób i dlaczego fakt, że strona przeciwna nie podniosła zarzutów proceduralnych, które sformułował skarżący przed Trybunałem powinien mieć jakikolwiek związek z jego statusem ofiary. Sprzeciw Rządu powinien zatem zostać oddalony. </w:t>
      </w:r>
    </w:p>
    <w:p w:rsidR="00B04F28" w:rsidRPr="00E10705" w:rsidRDefault="00B04F28" w:rsidP="002F4BCF">
      <w:pPr>
        <w:pStyle w:val="JuPara"/>
        <w:rPr>
          <w:lang w:val="pl-PL"/>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35</w:t>
      </w:r>
      <w:r w:rsidRPr="00E10705">
        <w:rPr>
          <w:lang w:val="pl-PL"/>
        </w:rPr>
        <w:fldChar w:fldCharType="end"/>
      </w:r>
      <w:r w:rsidRPr="00E10705">
        <w:rPr>
          <w:lang w:val="pl-PL"/>
        </w:rPr>
        <w:t>.  Rząd podniósł następnie, że skarżący nie wykorzystał wszystkich dostępnych środków odwoławczych przewidzianych w polskim porządku prawnym. W apelacji od wyroku sądu pierwszej instancji z dnia 25 czerwca 2007 roku skarżący nie wyartykułował zarzutu odnoście odmowy doprowadzenia go przed sąd pierwszej instancji dla celów rozprawy</w:t>
      </w:r>
      <w:r w:rsidRPr="00E10705">
        <w:rPr>
          <w:highlight w:val="yellow"/>
          <w:lang w:val="pl-PL"/>
        </w:rPr>
        <w:t xml:space="preserve"> </w:t>
      </w:r>
      <w:r w:rsidRPr="00E10705">
        <w:rPr>
          <w:lang w:val="pl-PL"/>
        </w:rPr>
        <w:t xml:space="preserve">wyznaczonej na dzień 11 czerwca 2007 roku, czy też oddalenia przez sąd jego wniosku o powołanie C.O w charakterze świadka. </w:t>
      </w:r>
    </w:p>
    <w:p w:rsidR="00B04F28" w:rsidRPr="00E10705" w:rsidRDefault="00B04F28" w:rsidP="002F4BCF">
      <w:pPr>
        <w:pStyle w:val="JuPara"/>
        <w:rPr>
          <w:lang w:val="pl-PL"/>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36</w:t>
      </w:r>
      <w:r w:rsidRPr="00E10705">
        <w:rPr>
          <w:lang w:val="pl-PL"/>
        </w:rPr>
        <w:fldChar w:fldCharType="end"/>
      </w:r>
      <w:r w:rsidRPr="00E10705">
        <w:rPr>
          <w:lang w:val="pl-PL"/>
        </w:rPr>
        <w:t xml:space="preserve">.  W opinii Trybunału przedmiotowy sprzeciw jest ściśle związany z istotą podnoszonych przez skarżącego zarzutów a jego rozpatrzenie powinno być zatem włączone do meritum skargi. </w:t>
      </w:r>
    </w:p>
    <w:p w:rsidR="00B04F28" w:rsidRPr="00E10705" w:rsidRDefault="00B04F28" w:rsidP="00202F6F">
      <w:pPr>
        <w:pStyle w:val="JuPara"/>
        <w:rPr>
          <w:lang w:val="pl-PL"/>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37</w:t>
      </w:r>
      <w:r w:rsidRPr="00E10705">
        <w:rPr>
          <w:lang w:val="pl-PL"/>
        </w:rPr>
        <w:fldChar w:fldCharType="end"/>
      </w:r>
      <w:r w:rsidRPr="00E10705">
        <w:rPr>
          <w:lang w:val="pl-PL"/>
        </w:rPr>
        <w:t>.  Trybunał stwierdza, że skarga nie jest oczywiście bezzasadna w rozumieniu Artykułu 35 ust. 3 (a) Konwencji. Trybunał stwierdza ponadto, że nie jest niedopuszczalna z jakichkolwiek innych przyczyn. Musi zatem zostać uznana za dopuszczalną.</w:t>
      </w:r>
    </w:p>
    <w:p w:rsidR="00B04F28" w:rsidRPr="00E10705" w:rsidRDefault="00B04F28" w:rsidP="002362E5">
      <w:pPr>
        <w:pStyle w:val="JuHA"/>
        <w:tabs>
          <w:tab w:val="clear" w:pos="584"/>
        </w:tabs>
        <w:ind w:left="232" w:firstLine="0"/>
        <w:outlineLvl w:val="0"/>
        <w:rPr>
          <w:lang w:val="pl-PL"/>
        </w:rPr>
      </w:pPr>
      <w:r w:rsidRPr="00E10705">
        <w:rPr>
          <w:lang w:val="pl-PL"/>
        </w:rPr>
        <w:t>B.  Meritum skargi</w:t>
      </w:r>
    </w:p>
    <w:p w:rsidR="00B04F28" w:rsidRPr="00E10705" w:rsidRDefault="00B04F28" w:rsidP="002B224A">
      <w:pPr>
        <w:pStyle w:val="JuH1"/>
        <w:rPr>
          <w:lang w:val="pl-PL"/>
        </w:rPr>
      </w:pPr>
      <w:r w:rsidRPr="00E10705">
        <w:rPr>
          <w:lang w:val="pl-PL"/>
        </w:rPr>
        <w:t>1.  Stanowisko stron</w:t>
      </w:r>
    </w:p>
    <w:p w:rsidR="00B04F28" w:rsidRPr="00E10705" w:rsidRDefault="00B04F28" w:rsidP="002F4BCF">
      <w:pPr>
        <w:pStyle w:val="JuPara"/>
        <w:rPr>
          <w:lang w:val="pl-PL"/>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38</w:t>
      </w:r>
      <w:r w:rsidRPr="00E10705">
        <w:rPr>
          <w:lang w:val="pl-PL"/>
        </w:rPr>
        <w:fldChar w:fldCharType="end"/>
      </w:r>
      <w:r w:rsidRPr="00E10705">
        <w:rPr>
          <w:lang w:val="pl-PL"/>
        </w:rPr>
        <w:t xml:space="preserve">.  Rząd dowodził, że postępowanie w sprawie skarżącego zostało przeprowadzone zgodnie z przepisami Kodeksu postępowania cywilnego mającymi zastosowanie w sprawach gospodarczych. Celem tego szczególnego reżimu proceduralnego było sprawne przeprowadzenie postępowania. Kodeks nałożył na strony obowiązek przedstawienia dowodów w pierwszym piśmie procesowym pod rygorem utraty prawa powoływania ich później (zob. paragraf 28 powyżej). Niniejszy przepis służył zapewnieniu terminowego powoływania dowodów oraz został wprowadzony celem zdyscyplinowania stron postępowania. Skarżący, który pismem z dnia 22 lutego 2007 roku wniósł o dopuszczenie dowodu z zeznań świadka C.O., sześć miesięcy po złożeniu pozwu nie dopełnił tego obowiązku. Sąd, oddalając wniosek dowodowy postanowieniem z dnia 7 maja 2007 roku zwrócił uwagę na przedmiotowe uchybienie. Sąd zauważył następnie, że wnioskowane przez skarżącego dowodowy nie miały znaczenia w sprawie. </w:t>
      </w:r>
    </w:p>
    <w:p w:rsidR="00B04F28" w:rsidRPr="00E10705" w:rsidRDefault="00B04F28" w:rsidP="00050805">
      <w:pPr>
        <w:pStyle w:val="JuPara"/>
        <w:rPr>
          <w:lang w:val="pl-PL"/>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39</w:t>
      </w:r>
      <w:r w:rsidRPr="00E10705">
        <w:rPr>
          <w:lang w:val="pl-PL"/>
        </w:rPr>
        <w:fldChar w:fldCharType="end"/>
      </w:r>
      <w:r w:rsidRPr="00E10705">
        <w:rPr>
          <w:lang w:val="pl-PL"/>
        </w:rPr>
        <w:t>.  Rząd stwierdził następnie, że w dniu 31 maja 2007 roku skarżący ponowił wniosek. Wniósł także o doprowadzenie go na rozprawę z zakładu karnego. Jednakże, nie dołączył on do pisma wymaganej liczby odpisów celem doręczenia ich sądowi oraz stronom postępowania Nie uczynił on zatem zadość obowiązkowi wynikającemu z art. 128 § 1 Kodeksu postępowania cywilnego, zgodnie z którym do pisma procesowego należy dołączyć wystarczającą liczbę jego odpisów celem doręczenia ich sądowi i innym uczestniczącym w sprawie osobom (zob. paragraf 29 powyżej).</w:t>
      </w:r>
    </w:p>
    <w:p w:rsidR="00B04F28" w:rsidRPr="00E10705" w:rsidRDefault="00B04F28" w:rsidP="00050805">
      <w:pPr>
        <w:pStyle w:val="JuPara"/>
        <w:rPr>
          <w:spacing w:val="-2"/>
          <w:lang w:val="pl-PL"/>
        </w:rPr>
      </w:pPr>
      <w:r w:rsidRPr="00E10705">
        <w:rPr>
          <w:spacing w:val="-2"/>
          <w:lang w:val="pl-PL"/>
        </w:rPr>
        <w:fldChar w:fldCharType="begin"/>
      </w:r>
      <w:r w:rsidRPr="00E10705">
        <w:rPr>
          <w:spacing w:val="-2"/>
          <w:lang w:val="pl-PL"/>
        </w:rPr>
        <w:instrText xml:space="preserve"> SEQ level0 \*arabic </w:instrText>
      </w:r>
      <w:r w:rsidRPr="00E10705">
        <w:rPr>
          <w:spacing w:val="-2"/>
          <w:lang w:val="pl-PL"/>
        </w:rPr>
        <w:fldChar w:fldCharType="separate"/>
      </w:r>
      <w:r>
        <w:rPr>
          <w:noProof/>
          <w:spacing w:val="-2"/>
          <w:lang w:val="pl-PL"/>
        </w:rPr>
        <w:t>40</w:t>
      </w:r>
      <w:r w:rsidRPr="00E10705">
        <w:rPr>
          <w:spacing w:val="-2"/>
          <w:lang w:val="pl-PL"/>
        </w:rPr>
        <w:fldChar w:fldCharType="end"/>
      </w:r>
      <w:r w:rsidRPr="00E10705">
        <w:rPr>
          <w:spacing w:val="-2"/>
          <w:lang w:val="pl-PL"/>
        </w:rPr>
        <w:t xml:space="preserve">.  Następnie, skarżący nie zastosował się do wezwania sądu z dnia 11 czerwca 2007 roku do usunięcia braku formalnego pisma procesowego z dnia 31 maja 2007 roku poprzez złożenie jego odpisu. Nie uczynił on zatem zadość obowiązkowi współpracy z sądem. Wniosek skarżącego nie mógł wywołać skutków procesowych, ponieważ nie dopełnił on obowiązku proceduralnego. W każdym razie, sąd oddalił już wniosek o dopuszczenie dowodu z zeznań świadka C.O. </w:t>
      </w:r>
    </w:p>
    <w:p w:rsidR="00B04F28" w:rsidRPr="00E10705" w:rsidRDefault="00B04F28" w:rsidP="00050805">
      <w:pPr>
        <w:pStyle w:val="JuPara"/>
        <w:rPr>
          <w:lang w:val="pl-PL"/>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41</w:t>
      </w:r>
      <w:r w:rsidRPr="00E10705">
        <w:rPr>
          <w:lang w:val="pl-PL"/>
        </w:rPr>
        <w:fldChar w:fldCharType="end"/>
      </w:r>
      <w:r w:rsidRPr="00E10705">
        <w:rPr>
          <w:lang w:val="pl-PL"/>
        </w:rPr>
        <w:t xml:space="preserve">.  W kwestii nieobecności skarżącego na rozprawie w dniu 11 czerwca 2007 roku, Rząd stwierdził, że obowiązujące przepisy Kodeksu postępowania cywilnego stanowią, że niestawiennictwo strony na rozprawie nie wstrzymuje przeprowadzenia dowodu przez sąd, chyba że sąd uzna obecność za konieczną. Ponadto, osoba odbywająca karę pozbawienia wolności może zostać doprowadzona na salę rozpraw w toku postępowania cywilnego, tylko wtedy, gdy sąd uzna to za konieczne, to znaczy tylko wtedy, gdy stan faktyczny sprawy może zostać ustalony w wyniku przesłuchania stron. </w:t>
      </w:r>
    </w:p>
    <w:p w:rsidR="00B04F28" w:rsidRPr="00E10705" w:rsidRDefault="00B04F28" w:rsidP="00050805">
      <w:pPr>
        <w:pStyle w:val="JuPara"/>
        <w:rPr>
          <w:spacing w:val="-2"/>
          <w:lang w:val="pl-PL"/>
        </w:rPr>
      </w:pPr>
      <w:r w:rsidRPr="00E10705">
        <w:rPr>
          <w:spacing w:val="-2"/>
          <w:lang w:val="pl-PL"/>
        </w:rPr>
        <w:fldChar w:fldCharType="begin"/>
      </w:r>
      <w:r w:rsidRPr="00E10705">
        <w:rPr>
          <w:spacing w:val="-2"/>
          <w:lang w:val="pl-PL"/>
        </w:rPr>
        <w:instrText xml:space="preserve"> SEQ level0 \*arabic </w:instrText>
      </w:r>
      <w:r w:rsidRPr="00E10705">
        <w:rPr>
          <w:spacing w:val="-2"/>
          <w:lang w:val="pl-PL"/>
        </w:rPr>
        <w:fldChar w:fldCharType="separate"/>
      </w:r>
      <w:r>
        <w:rPr>
          <w:noProof/>
          <w:spacing w:val="-2"/>
          <w:lang w:val="pl-PL"/>
        </w:rPr>
        <w:t>42</w:t>
      </w:r>
      <w:r w:rsidRPr="00E10705">
        <w:rPr>
          <w:spacing w:val="-2"/>
          <w:lang w:val="pl-PL"/>
        </w:rPr>
        <w:fldChar w:fldCharType="end"/>
      </w:r>
      <w:r w:rsidRPr="00E10705">
        <w:rPr>
          <w:spacing w:val="-2"/>
          <w:lang w:val="pl-PL"/>
        </w:rPr>
        <w:t xml:space="preserve">.  Rząd stwierdził następnie, że skarżący mógł wystąpić o przyznanie pomocy prawnej na początkowym etapie postępowania, lecz nie zrobił tego. </w:t>
      </w:r>
    </w:p>
    <w:p w:rsidR="00B04F28" w:rsidRPr="00E10705" w:rsidRDefault="00B04F28" w:rsidP="00050805">
      <w:pPr>
        <w:pStyle w:val="JuPara"/>
        <w:rPr>
          <w:lang w:val="pl-PL"/>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43</w:t>
      </w:r>
      <w:r w:rsidRPr="00E10705">
        <w:rPr>
          <w:lang w:val="pl-PL"/>
        </w:rPr>
        <w:fldChar w:fldCharType="end"/>
      </w:r>
      <w:r w:rsidRPr="00E10705">
        <w:rPr>
          <w:lang w:val="pl-PL"/>
        </w:rPr>
        <w:t xml:space="preserve">.  Rząd stwierdził w konkluzji, że nie doszło do naruszenia Konwencji w przedmiotowej sprawie. </w:t>
      </w:r>
    </w:p>
    <w:p w:rsidR="00B04F28" w:rsidRPr="00E10705" w:rsidRDefault="00B04F28" w:rsidP="004B5A9A">
      <w:pPr>
        <w:pStyle w:val="JuPara"/>
        <w:rPr>
          <w:lang w:val="pl-PL"/>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44</w:t>
      </w:r>
      <w:r w:rsidRPr="00E10705">
        <w:rPr>
          <w:lang w:val="pl-PL"/>
        </w:rPr>
        <w:fldChar w:fldCharType="end"/>
      </w:r>
      <w:r w:rsidRPr="00E10705">
        <w:rPr>
          <w:lang w:val="pl-PL"/>
        </w:rPr>
        <w:t>.  Skarżący sformułował zarzut naruszenia zasady równości broni w zakresie w jakim sądy krajowe rozpatrujące jego skargę w postępowaniu cywilnym nie udzieliły mu przepustki celem stawiennictwa na jednej i jedynej rozprawie wyznaczonej przed sądem pierwszej instancji oraz oddaliły wniosek o przesłuchanie wskazanych przez niego świadków. Ponadto nie przyznano mu pomocy prawnej na etapie postępowania apelacyjnego. Pozbawiono go zatem możliwości skutecznego uzasadnienia swojego stanowiska w sprawie.</w:t>
      </w:r>
    </w:p>
    <w:p w:rsidR="00B04F28" w:rsidRPr="00E10705" w:rsidRDefault="00B04F28" w:rsidP="002B224A">
      <w:pPr>
        <w:pStyle w:val="JuH1"/>
        <w:rPr>
          <w:lang w:val="pl-PL"/>
        </w:rPr>
      </w:pPr>
      <w:r w:rsidRPr="00E10705">
        <w:rPr>
          <w:lang w:val="pl-PL"/>
        </w:rPr>
        <w:t>2.  Stanowisko Trybunału</w:t>
      </w:r>
    </w:p>
    <w:p w:rsidR="00B04F28" w:rsidRPr="00E10705" w:rsidRDefault="00B04F28" w:rsidP="000C01B6">
      <w:pPr>
        <w:pStyle w:val="JuPara"/>
        <w:rPr>
          <w:lang w:val="pl-PL" w:eastAsia="en-US"/>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45</w:t>
      </w:r>
      <w:r w:rsidRPr="00E10705">
        <w:rPr>
          <w:lang w:val="pl-PL"/>
        </w:rPr>
        <w:fldChar w:fldCharType="end"/>
      </w:r>
      <w:r w:rsidRPr="00E10705">
        <w:rPr>
          <w:lang w:val="pl-PL"/>
        </w:rPr>
        <w:t xml:space="preserve">.  Trybunał przypomina, że Artykuł 6 Konwencji nie gwarantuje prawa do osobistego stawiennictwa przed sądem rozpatrującym sprawy cywilne, a raczej bardziej ogólne prawo do przedstawienia swojej sprawy przed sądem w sposób skuteczny oraz korzystania przez strony z zasady równości broni. Artykuł 6 ust. 1 pozostawia państwu wolny wybór środków, które zostaną wykorzystane w celu zagwarantowania stronom tych praw (zob., między innymi, </w:t>
      </w:r>
      <w:r w:rsidRPr="00E10705">
        <w:rPr>
          <w:rStyle w:val="ju--005fpara----char--char"/>
          <w:i/>
          <w:iCs/>
          <w:lang w:val="pl-PL"/>
        </w:rPr>
        <w:t>Steel i Morris przeciwko Wielkiej Brytanii</w:t>
      </w:r>
      <w:r w:rsidRPr="00E10705">
        <w:rPr>
          <w:lang w:val="pl-PL"/>
        </w:rPr>
        <w:t xml:space="preserve">, skarga nr 68416/01, §§ 59-60, ECHR 2005-II, oraz </w:t>
      </w:r>
      <w:r w:rsidRPr="00E10705">
        <w:rPr>
          <w:i/>
          <w:lang w:val="pl-PL" w:eastAsia="en-US"/>
        </w:rPr>
        <w:t>Wierzbicki przeciwko Polsce</w:t>
      </w:r>
      <w:r w:rsidRPr="00E10705">
        <w:rPr>
          <w:lang w:val="pl-PL" w:eastAsia="en-US"/>
        </w:rPr>
        <w:t>, skarga nr 24541/94, § 39, z dnia 18 czerwca 2002 roku</w:t>
      </w:r>
      <w:r w:rsidRPr="00E10705">
        <w:rPr>
          <w:lang w:val="pl-PL"/>
        </w:rPr>
        <w:t>).</w:t>
      </w:r>
    </w:p>
    <w:p w:rsidR="00B04F28" w:rsidRPr="00E10705" w:rsidRDefault="00B04F28" w:rsidP="00DA32A5">
      <w:pPr>
        <w:pStyle w:val="JuPara"/>
        <w:keepNext/>
        <w:keepLines/>
        <w:rPr>
          <w:lang w:val="pl-PL"/>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46</w:t>
      </w:r>
      <w:r w:rsidRPr="00E10705">
        <w:rPr>
          <w:lang w:val="pl-PL"/>
        </w:rPr>
        <w:fldChar w:fldCharType="end"/>
      </w:r>
      <w:r w:rsidRPr="00E10705">
        <w:rPr>
          <w:lang w:val="pl-PL"/>
        </w:rPr>
        <w:t xml:space="preserve">.  Pomoc prawna w sprawach cywilnych nie jest także obowiązkowa, chociaż, w pewnych okolicznościach, Artykuł 6 ust. 1 może nałożyć na państwo obowiązek zapewnienia pomocy adwokata, jeżeli jest ona niezbędna w celu umożliwienia skutecznego dostępu do sądu (zob. </w:t>
      </w:r>
      <w:r w:rsidRPr="00E10705">
        <w:rPr>
          <w:i/>
          <w:lang w:val="pl-PL"/>
        </w:rPr>
        <w:t>Airey przeciwko Irlandii</w:t>
      </w:r>
      <w:r w:rsidRPr="00E10705">
        <w:rPr>
          <w:lang w:val="pl-PL"/>
        </w:rPr>
        <w:t>, z dnia 9 października 1979 roku, § 26, Seria A nr 32, s. 14-16 ).</w:t>
      </w:r>
    </w:p>
    <w:p w:rsidR="00B04F28" w:rsidRPr="00E10705" w:rsidRDefault="00B04F28" w:rsidP="00050805">
      <w:pPr>
        <w:pStyle w:val="JuPara"/>
        <w:rPr>
          <w:i/>
          <w:szCs w:val="24"/>
          <w:lang w:val="pl-PL" w:eastAsia="en-US"/>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47</w:t>
      </w:r>
      <w:r w:rsidRPr="00E10705">
        <w:rPr>
          <w:lang w:val="pl-PL"/>
        </w:rPr>
        <w:fldChar w:fldCharType="end"/>
      </w:r>
      <w:r w:rsidRPr="00E10705">
        <w:rPr>
          <w:lang w:val="pl-PL"/>
        </w:rPr>
        <w:t xml:space="preserve">.  Zatem kwestie dotyczące osobistego stawiennictwa, formy postępowania (ustna lub pisemna) oraz zastępstwa procesowego należy zbadać w szerszym kontekście “rzetelnego procesu” gwarantowanego na mocy Artykułu 6 Konwencji. Zadaniem Trybunału jest ustalenie, czy skarżącemu, stronie postępowania cywilnego, stworzono uzasadnioną możliwość zdobycia wiedzy oraz ustosunkowania się do poczynionych obserwacji lub dowodów, na które powołują się inne strony postępowania, jak również przedstawienia swojej sprawy w okolicznościach, które nie postawiły go w wyraźnie niekorzystnej sytuacji </w:t>
      </w:r>
      <w:r w:rsidRPr="00E10705">
        <w:rPr>
          <w:rStyle w:val="ju--005fpara----char--char"/>
          <w:i/>
          <w:iCs/>
          <w:lang w:val="pl-PL"/>
        </w:rPr>
        <w:t>vis</w:t>
      </w:r>
      <w:r w:rsidRPr="00E10705">
        <w:rPr>
          <w:rStyle w:val="ju--005fpara----char--char"/>
          <w:i/>
          <w:iCs/>
          <w:lang w:val="pl-PL"/>
        </w:rPr>
        <w:noBreakHyphen/>
        <w:t>à</w:t>
      </w:r>
      <w:r w:rsidRPr="00E10705">
        <w:rPr>
          <w:rStyle w:val="ju--005fpara----char--char"/>
          <w:i/>
          <w:iCs/>
          <w:lang w:val="pl-PL"/>
        </w:rPr>
        <w:noBreakHyphen/>
        <w:t>vis</w:t>
      </w:r>
      <w:r w:rsidRPr="00E10705">
        <w:rPr>
          <w:lang w:val="pl-PL"/>
        </w:rPr>
        <w:t xml:space="preserve"> strony przeciwnej (zob. </w:t>
      </w:r>
      <w:r w:rsidRPr="00E10705">
        <w:rPr>
          <w:rStyle w:val="ju--005fpara----char--char"/>
          <w:i/>
          <w:iCs/>
          <w:lang w:val="pl-PL"/>
        </w:rPr>
        <w:t>Krčmář i inni przeciwko  Republice Czeskiej</w:t>
      </w:r>
      <w:r w:rsidRPr="00E10705">
        <w:rPr>
          <w:lang w:val="pl-PL"/>
        </w:rPr>
        <w:t xml:space="preserve">, skarga nr 35376/97, § 39, z dnia 3 marca 2000 roku; </w:t>
      </w:r>
      <w:r w:rsidRPr="00E10705">
        <w:rPr>
          <w:rStyle w:val="ju--005fpara----char--char"/>
          <w:i/>
          <w:iCs/>
          <w:lang w:val="pl-PL"/>
        </w:rPr>
        <w:t>Dombo Beheer B.V. przeciwko Holandii</w:t>
      </w:r>
      <w:r w:rsidRPr="00E10705">
        <w:rPr>
          <w:lang w:val="pl-PL"/>
        </w:rPr>
        <w:t xml:space="preserve">, z dnia 27 października 1993 roku, § 33, Seria A nr 274; oraz </w:t>
      </w:r>
      <w:r w:rsidRPr="00E10705">
        <w:rPr>
          <w:i/>
          <w:lang w:val="pl-PL" w:eastAsia="en-US"/>
        </w:rPr>
        <w:t>Rasmussen przeciwko Polsce</w:t>
      </w:r>
      <w:r w:rsidRPr="00E10705">
        <w:rPr>
          <w:lang w:val="pl-PL" w:eastAsia="en-US"/>
        </w:rPr>
        <w:t xml:space="preserve">, skarga nr 38886/05, </w:t>
      </w:r>
      <w:r w:rsidRPr="00E10705">
        <w:rPr>
          <w:snapToGrid w:val="0"/>
          <w:lang w:val="pl-PL" w:eastAsia="en-US"/>
        </w:rPr>
        <w:t xml:space="preserve">§ 29, z dnia 28 kwietnia 2009 roku; </w:t>
      </w:r>
      <w:r w:rsidRPr="00E10705">
        <w:rPr>
          <w:i/>
          <w:snapToGrid w:val="0"/>
          <w:lang w:val="pl-PL" w:eastAsia="en-US"/>
        </w:rPr>
        <w:t>mutatis mutandis</w:t>
      </w:r>
      <w:r w:rsidRPr="00E10705">
        <w:rPr>
          <w:lang w:val="pl-PL"/>
        </w:rPr>
        <w:t>).</w:t>
      </w:r>
    </w:p>
    <w:p w:rsidR="00B04F28" w:rsidRPr="00E10705" w:rsidRDefault="00B04F28" w:rsidP="004A01A2">
      <w:pPr>
        <w:pStyle w:val="JuPara"/>
        <w:rPr>
          <w:lang w:val="pl-PL" w:eastAsia="en-US"/>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48</w:t>
      </w:r>
      <w:r w:rsidRPr="00E10705">
        <w:rPr>
          <w:lang w:val="pl-PL"/>
        </w:rPr>
        <w:fldChar w:fldCharType="end"/>
      </w:r>
      <w:r w:rsidRPr="00E10705">
        <w:rPr>
          <w:lang w:val="pl-PL"/>
        </w:rPr>
        <w:t>.  Trybunał rozpatrzył już kilka spraw dotyczących postępowań cywilnych, w których skarżący odbywający karę pozbawienia wolności nie zostali doprowadzenie przed sąd pierwszej instancji. Mając na uwadze oczywiste trudności związane z transportem osób skazanych z jednego miejsca w drugie, Trybunał zgodził się co do zasady, że w sprawach, w których podstawą skargi nie są osobiste doświadczenia powoda, reprezentacja osadzonego przez adwokata nie stanowi naruszenia zasady równości broni (zob., na przykład,</w:t>
      </w:r>
      <w:r w:rsidRPr="00E10705" w:rsidDel="00CC2F41">
        <w:rPr>
          <w:lang w:val="pl-PL"/>
        </w:rPr>
        <w:t xml:space="preserve"> </w:t>
      </w:r>
      <w:r w:rsidRPr="00E10705">
        <w:rPr>
          <w:i/>
          <w:lang w:val="pl-PL" w:eastAsia="en-US"/>
        </w:rPr>
        <w:t xml:space="preserve">Shilbergs </w:t>
      </w:r>
      <w:r w:rsidRPr="00E10705">
        <w:rPr>
          <w:i/>
          <w:snapToGrid w:val="0"/>
          <w:lang w:val="pl-PL" w:eastAsia="en-US"/>
        </w:rPr>
        <w:t>przeciwko Rosji</w:t>
      </w:r>
      <w:r w:rsidRPr="00E10705">
        <w:rPr>
          <w:snapToGrid w:val="0"/>
          <w:lang w:val="pl-PL" w:eastAsia="en-US"/>
        </w:rPr>
        <w:t>, skarga nr</w:t>
      </w:r>
      <w:r w:rsidRPr="00E10705">
        <w:rPr>
          <w:lang w:val="pl-PL" w:eastAsia="en-US"/>
        </w:rPr>
        <w:t> 20075/03</w:t>
      </w:r>
      <w:r w:rsidRPr="00E10705">
        <w:rPr>
          <w:snapToGrid w:val="0"/>
          <w:lang w:val="pl-PL" w:eastAsia="en-US"/>
        </w:rPr>
        <w:t>, § 106, z dnia17 grudnia 2009 roku</w:t>
      </w:r>
      <w:r w:rsidRPr="00E10705">
        <w:rPr>
          <w:lang w:val="pl-PL" w:eastAsia="en-US"/>
        </w:rPr>
        <w:t>).</w:t>
      </w:r>
    </w:p>
    <w:p w:rsidR="00B04F28" w:rsidRPr="00E10705" w:rsidRDefault="00B04F28" w:rsidP="00276853">
      <w:pPr>
        <w:pStyle w:val="JuPara"/>
        <w:rPr>
          <w:snapToGrid w:val="0"/>
          <w:lang w:val="pl-PL" w:eastAsia="en-US"/>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49</w:t>
      </w:r>
      <w:r w:rsidRPr="00E10705">
        <w:rPr>
          <w:lang w:val="pl-PL"/>
        </w:rPr>
        <w:fldChar w:fldCharType="end"/>
      </w:r>
      <w:r w:rsidRPr="00E10705">
        <w:rPr>
          <w:lang w:val="pl-PL"/>
        </w:rPr>
        <w:t xml:space="preserve">.  Jednakże w podobnych sprawach Trybunał uznał, że głównym elementem, który należy wziąć pod uwagę dokonując oceny sprawy jest charakter sporu cywilnego. Trybunał stwierdził już, że sprawy cywilne dotyczące roszczeń odszkodowawczych z tytułu rzekomego złego traktowania skarżących w jednostkach penitencjarnych miały charakter, który uzasadniał osobistą obecność powoda przed sądem pierwszej instancji (zob. </w:t>
      </w:r>
      <w:bookmarkStart w:id="1" w:name="File3"/>
      <w:r w:rsidRPr="00E10705">
        <w:rPr>
          <w:i/>
          <w:lang w:val="pl-PL" w:eastAsia="en-US"/>
        </w:rPr>
        <w:t>Kovalev</w:t>
      </w:r>
      <w:bookmarkEnd w:id="1"/>
      <w:r w:rsidRPr="00E10705">
        <w:rPr>
          <w:i/>
          <w:lang w:val="pl-PL" w:eastAsia="en-US"/>
        </w:rPr>
        <w:t xml:space="preserve"> przeciwko Rosji</w:t>
      </w:r>
      <w:r w:rsidRPr="00E10705">
        <w:rPr>
          <w:lang w:val="pl-PL" w:eastAsia="en-US"/>
        </w:rPr>
        <w:t xml:space="preserve">, skarga nr 78145/01, § 37, z dnia 10 maja 2007 roku). Charakter sporu był także decydujący w sprawie </w:t>
      </w:r>
      <w:r w:rsidRPr="00E10705">
        <w:rPr>
          <w:rStyle w:val="ju-005fpara-002cleft-002cfirst-0020line-003a-0020-00200-0020cm--char"/>
          <w:i/>
          <w:iCs/>
          <w:lang w:val="pl-PL"/>
        </w:rPr>
        <w:t>Sokur przeciwko Rosji</w:t>
      </w:r>
      <w:r w:rsidRPr="00E10705">
        <w:rPr>
          <w:lang w:val="pl-PL"/>
        </w:rPr>
        <w:t xml:space="preserve"> (skarga nr 23243/03, </w:t>
      </w:r>
      <w:r w:rsidRPr="00E10705">
        <w:rPr>
          <w:lang w:val="pl-PL" w:eastAsia="en-US"/>
        </w:rPr>
        <w:t>§ 38, z dnia</w:t>
      </w:r>
      <w:r w:rsidRPr="00E10705">
        <w:rPr>
          <w:lang w:val="pl-PL"/>
        </w:rPr>
        <w:t xml:space="preserve">15 października 2009 roku), w której Trybunał stwierdził, że nawet jeżeli skarżący ustanowiłby pełnomocnika, nie kompensowałoby to braku jego osobistego stawiennictwa przed sądem, ponieważ jego roszczenie o zadośćuczynienie z tytułu szkody poniesionej w związku z bezprawnym pozbawieniem wolności i skazaniem „było w znacznym stopniu oparte na jego osobistym doświadczeniu”. Podobnie, w sprawie, która dotyczy powództwa cywilnego wniesionego przez osobę skazaną w związku z warunkami odbywania kary pozbawienia wolności Trybunał uznał, że osobiste stawiennictwo powoda powinno być zagwarantowane, ponieważ złożone przez niego zeznania opisujące warunki osadzenia, na temat których tylko skarżący posiadał wiedzę opartą na osobistym doświadczeniu, stanowią nieodzowną część wystąpienia powoda w sprawie (zob. </w:t>
      </w:r>
      <w:r w:rsidRPr="00E10705">
        <w:rPr>
          <w:i/>
          <w:lang w:val="pl-PL" w:eastAsia="en-US"/>
        </w:rPr>
        <w:t xml:space="preserve">Shilbergs, </w:t>
      </w:r>
      <w:r w:rsidRPr="00E10705">
        <w:rPr>
          <w:snapToGrid w:val="0"/>
          <w:lang w:val="pl-PL" w:eastAsia="en-US"/>
        </w:rPr>
        <w:t>cyt. wyż., § 111).</w:t>
      </w:r>
    </w:p>
    <w:p w:rsidR="00B04F28" w:rsidRPr="00E10705" w:rsidRDefault="00B04F28" w:rsidP="003842AB">
      <w:pPr>
        <w:pStyle w:val="JuPara"/>
        <w:rPr>
          <w:lang w:val="pl-PL"/>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50</w:t>
      </w:r>
      <w:r w:rsidRPr="00E10705">
        <w:rPr>
          <w:lang w:val="pl-PL"/>
        </w:rPr>
        <w:fldChar w:fldCharType="end"/>
      </w:r>
      <w:r w:rsidRPr="00E10705">
        <w:rPr>
          <w:lang w:val="pl-PL"/>
        </w:rPr>
        <w:t>. Wracając do okoliczności niniejszej sprawy, Trybunał zauważa, że powództwo cywilne wniesione przez skarżącego dotyczyło sporu gospodarczego pomiędzy skarżącym a jego żoną w związku z lokalem sklepowym, który wynajęli i prowadzili przed zatrzymaniem skarżącego. Przedmiotowy spór regulowały przepisy procedury gospodarczej. We wrześniu 2006 roku skarżący złożył pozew do sądu. Następnie, w lutym 2007 roku wniósł o dopuszczenie dowodu z zeznań świadka C.O. Sąd oddalił jego wniosek powołując się na art. 479</w:t>
      </w:r>
      <w:r w:rsidRPr="00E10705">
        <w:rPr>
          <w:vertAlign w:val="superscript"/>
          <w:lang w:val="pl-PL"/>
        </w:rPr>
        <w:t>12</w:t>
      </w:r>
      <w:r w:rsidRPr="00E10705">
        <w:rPr>
          <w:lang w:val="pl-PL"/>
        </w:rPr>
        <w:t xml:space="preserve"> Kodeksu postępowania cywilnego i traktując go jako spóźniony, ponieważ skarżący nie złożył go wraz z pismem procesowym. </w:t>
      </w:r>
    </w:p>
    <w:p w:rsidR="00B04F28" w:rsidRPr="00E10705" w:rsidRDefault="00B04F28" w:rsidP="003842AB">
      <w:pPr>
        <w:pStyle w:val="JuPara"/>
        <w:rPr>
          <w:lang w:val="pl-PL"/>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51</w:t>
      </w:r>
      <w:r w:rsidRPr="00E10705">
        <w:rPr>
          <w:lang w:val="pl-PL"/>
        </w:rPr>
        <w:fldChar w:fldCharType="end"/>
      </w:r>
      <w:r w:rsidRPr="00E10705">
        <w:rPr>
          <w:lang w:val="pl-PL"/>
        </w:rPr>
        <w:t>.  Trybunał zgadza się co do zasady, że w pewnych rodzajach postępowania cywilnego strony zobowiązane są do działania w taki sposób, by skrócić okres konieczny do przeprowadzenia dowodu oraz, że w sprawach gospodarczym takie wymogi proceduralne mogą być uzasadniane koniecznością gromadzenia niezbędnego materiału dowodowego oraz wydania rozstrzygnięcia co do meritum sprawy w jak najkrótszym czasie.</w:t>
      </w:r>
    </w:p>
    <w:p w:rsidR="00B04F28" w:rsidRPr="00E10705" w:rsidRDefault="00B04F28" w:rsidP="003842AB">
      <w:pPr>
        <w:pStyle w:val="JuPara"/>
        <w:rPr>
          <w:lang w:val="pl-PL"/>
        </w:rPr>
      </w:pPr>
      <w:r w:rsidRPr="00E10705">
        <w:rPr>
          <w:lang w:val="pl-PL"/>
        </w:rPr>
        <w:t>Nie jest kwestią sporną, że w przedmiotowej sprawie skarżący nie uczynił zadość obowiązkowi określonemu w stosownych przepisach Kodeksu. Ponadto, Trybunał zauważa, że postanowieniem z dnia 7 maja 2007 roku sąd pierwszej instancji uznał, że dowód z zeznań świadka C.O. jest nieistotny w sprawie.</w:t>
      </w:r>
    </w:p>
    <w:p w:rsidR="00B04F28" w:rsidRPr="00E10705" w:rsidRDefault="00B04F28" w:rsidP="003842AB">
      <w:pPr>
        <w:pStyle w:val="JuPara"/>
        <w:rPr>
          <w:lang w:val="pl-PL"/>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52</w:t>
      </w:r>
      <w:r w:rsidRPr="00E10705">
        <w:rPr>
          <w:lang w:val="pl-PL"/>
        </w:rPr>
        <w:fldChar w:fldCharType="end"/>
      </w:r>
      <w:r w:rsidRPr="00E10705">
        <w:rPr>
          <w:lang w:val="pl-PL"/>
        </w:rPr>
        <w:t xml:space="preserve">.  Należy zauważyć ponadto, że skarżący wniósł następnie o przeprowadzenie dowodu z zeznań dwóch innych świadków. Złożył także wniosek do sądu o doprowadzenie go na rozprawę dotyczącą istoty sporu z zakładu karnego, w którym wówczas odbywał karę. Jednakże, skarżący nie dostarczył do sądu odpisów wniosku celem doręczenia ich stronie przeciwnej zgodnie z obowiązującymi wymogami proceduralnymi. Trybunał zgadza się, że wymóg dostarczenia do sądu pisma procesowego wraz z wystarczającą liczbą odpisów jest uzasadniony i służy właściwej organizacji postępowania. Skarżący nie uczynił zadość temu obowiązkowi. </w:t>
      </w:r>
    </w:p>
    <w:p w:rsidR="00B04F28" w:rsidRPr="00E10705" w:rsidRDefault="00B04F28" w:rsidP="003842AB">
      <w:pPr>
        <w:pStyle w:val="JuPara"/>
        <w:rPr>
          <w:lang w:val="pl-PL"/>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53</w:t>
      </w:r>
      <w:r w:rsidRPr="00E10705">
        <w:rPr>
          <w:lang w:val="pl-PL"/>
        </w:rPr>
        <w:fldChar w:fldCharType="end"/>
      </w:r>
      <w:r w:rsidRPr="00E10705">
        <w:rPr>
          <w:lang w:val="pl-PL"/>
        </w:rPr>
        <w:t xml:space="preserve">.  W opinii Trybunału zatem skarżący nie wykazał tym samym należytej staranności, której oczekuje się zwykle od strony postępowania cywilnego (zob. </w:t>
      </w:r>
      <w:r w:rsidRPr="00E10705">
        <w:rPr>
          <w:rStyle w:val="ju--005fpara----char--char"/>
          <w:i/>
          <w:iCs/>
          <w:lang w:val="pl-PL"/>
        </w:rPr>
        <w:t>Pretto i inni przeciwko Włochom</w:t>
      </w:r>
      <w:r w:rsidRPr="00E10705">
        <w:rPr>
          <w:lang w:val="pl-PL"/>
        </w:rPr>
        <w:t xml:space="preserve">, wyrok z dnia 8 grudnia1983 roku, Seria A nr 71, s. 14-15, § 33, oraz </w:t>
      </w:r>
      <w:r w:rsidRPr="00E10705">
        <w:rPr>
          <w:i/>
          <w:lang w:val="pl-PL" w:eastAsia="en-US"/>
        </w:rPr>
        <w:t>Romaniak przeciwko Polsce</w:t>
      </w:r>
      <w:r w:rsidRPr="00E10705">
        <w:rPr>
          <w:lang w:val="pl-PL" w:eastAsia="en-US"/>
        </w:rPr>
        <w:t xml:space="preserve">, skarga nr 53284/99, § 59, z dnia 24 października 2006 roku, </w:t>
      </w:r>
      <w:r w:rsidRPr="00E10705">
        <w:rPr>
          <w:i/>
          <w:lang w:val="pl-PL" w:eastAsia="en-US"/>
        </w:rPr>
        <w:t>mutatis mutandis</w:t>
      </w:r>
      <w:r w:rsidRPr="00E10705">
        <w:rPr>
          <w:lang w:val="pl-PL"/>
        </w:rPr>
        <w:t>).</w:t>
      </w:r>
    </w:p>
    <w:p w:rsidR="00B04F28" w:rsidRPr="00E10705" w:rsidRDefault="00B04F28" w:rsidP="00656CA7">
      <w:pPr>
        <w:pStyle w:val="JuPara"/>
        <w:rPr>
          <w:lang w:val="pl-PL"/>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54</w:t>
      </w:r>
      <w:r w:rsidRPr="00E10705">
        <w:rPr>
          <w:lang w:val="pl-PL"/>
        </w:rPr>
        <w:fldChar w:fldCharType="end"/>
      </w:r>
      <w:r w:rsidRPr="00E10705">
        <w:rPr>
          <w:lang w:val="pl-PL"/>
        </w:rPr>
        <w:t>.  Trybunał zauważył następnie, że nie zakwestionowano ani nie wykazano, że sąd przesłuchał jakichkolwiek świadków wskazanych przez stronę przeciwną postępowania cywilnego. W tych okolicznościach Trybunał jest gotów uznać, że osobiste stawiennictwo skarżącego na terminie rozprawy wyznaczonej na dzień 11 czerwca 2007 roku nie było bezwzględnie konieczne.</w:t>
      </w:r>
    </w:p>
    <w:p w:rsidR="00B04F28" w:rsidRPr="00E10705" w:rsidRDefault="00B04F28" w:rsidP="00656CA7">
      <w:pPr>
        <w:pStyle w:val="JuPara"/>
        <w:rPr>
          <w:lang w:val="pl-PL"/>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55</w:t>
      </w:r>
      <w:r w:rsidRPr="00E10705">
        <w:rPr>
          <w:lang w:val="pl-PL"/>
        </w:rPr>
        <w:fldChar w:fldCharType="end"/>
      </w:r>
      <w:r w:rsidRPr="00E10705">
        <w:rPr>
          <w:lang w:val="pl-PL"/>
        </w:rPr>
        <w:t xml:space="preserve">.  Należy ponadto zauważyć, że w apelacji od wyroku sądu pierwszej instancji oraz we wniosku o przyznanie pomocy prawnej skarżący oświadczył, że odbywa karę pozbawienia wolności oraz wskazał na trudności związane z obroną jego interesów w sposób skuteczny. </w:t>
      </w:r>
    </w:p>
    <w:p w:rsidR="00B04F28" w:rsidRPr="00E10705" w:rsidRDefault="00B04F28" w:rsidP="00656CA7">
      <w:pPr>
        <w:pStyle w:val="JuPara"/>
        <w:rPr>
          <w:szCs w:val="24"/>
          <w:lang w:val="pl-PL" w:eastAsia="en-US"/>
        </w:rPr>
      </w:pPr>
      <w:r w:rsidRPr="00E10705">
        <w:rPr>
          <w:lang w:val="pl-PL"/>
        </w:rPr>
        <w:t xml:space="preserve">Jednakże, w opinii sądu apelacyjnego pomoc prawna nie była konieczna, ponieważ skarżący mógł sam przedstawić swoją sprawę przed sądem. W związku z powyższym, Trybunał stwierdza ponownie, że Konwencja nie nakłada obowiązku przyznania pomocy prawnej w spornych sprawach w postępowaniu cywilnych, ponieważ istnieje jasne rozróżnienie pomiędzy brzmieniem Artykułu 6 ust. 3 (c), który w pewnych okolicznościach gwarantuje prawo do korzystania z bezpłatnej pomocy adwokata w postępowaniu karnym a Artykułem 6 ust. 1, który nie odnosi się do kwestii związanych z pomocą prawną (zob. </w:t>
      </w:r>
      <w:bookmarkStart w:id="2" w:name="HIT1"/>
      <w:bookmarkEnd w:id="2"/>
      <w:r w:rsidRPr="00E10705">
        <w:rPr>
          <w:rStyle w:val="ju--005fpara----char--char"/>
          <w:bCs/>
          <w:i/>
          <w:iCs/>
          <w:lang w:val="pl-PL"/>
        </w:rPr>
        <w:t>Del</w:t>
      </w:r>
      <w:r w:rsidRPr="00E10705">
        <w:rPr>
          <w:rStyle w:val="ju--005fpara----char--char"/>
          <w:i/>
          <w:iCs/>
          <w:lang w:val="pl-PL"/>
        </w:rPr>
        <w:t xml:space="preserve"> </w:t>
      </w:r>
      <w:bookmarkStart w:id="3" w:name="HIT2"/>
      <w:bookmarkEnd w:id="3"/>
      <w:r w:rsidRPr="00E10705">
        <w:rPr>
          <w:rStyle w:val="ju--005fpara----char--char"/>
          <w:bCs/>
          <w:i/>
          <w:iCs/>
          <w:lang w:val="pl-PL"/>
        </w:rPr>
        <w:t>Sol</w:t>
      </w:r>
      <w:r w:rsidRPr="00E10705">
        <w:rPr>
          <w:rStyle w:val="ju--005fpara----char--char"/>
          <w:i/>
          <w:iCs/>
          <w:lang w:val="pl-PL"/>
        </w:rPr>
        <w:t xml:space="preserve"> przeciwko Francji</w:t>
      </w:r>
      <w:r w:rsidRPr="00E10705">
        <w:rPr>
          <w:lang w:val="pl-PL"/>
        </w:rPr>
        <w:t xml:space="preserve">, skarga nr 46800/99, § 20, ECHR 2002-II, oraz </w:t>
      </w:r>
      <w:r w:rsidRPr="00E10705">
        <w:rPr>
          <w:i/>
          <w:szCs w:val="24"/>
          <w:lang w:val="pl-PL" w:eastAsia="en-US"/>
        </w:rPr>
        <w:t>Tabor przeciwko Polsce</w:t>
      </w:r>
      <w:r w:rsidRPr="00E10705">
        <w:rPr>
          <w:szCs w:val="24"/>
          <w:lang w:val="pl-PL" w:eastAsia="en-US"/>
        </w:rPr>
        <w:t xml:space="preserve">, skarga nr 12825/02, § 39, z dnia 27 czerwca 2006 roku). Ponadto nie podniesiono, że skarżący miał w jakikolwiek sposób utrudnioną możliwość złożenia wniosku o przyznanie pomocy prawnej na początkowym etapie postępowania. Postanowił to zrobić dopiero po tym, jak dowiedział się, że sąd pierwszej instancji oddalił jego skargę. </w:t>
      </w:r>
    </w:p>
    <w:p w:rsidR="00B04F28" w:rsidRPr="00E10705" w:rsidRDefault="00B04F28" w:rsidP="003842AB">
      <w:pPr>
        <w:pStyle w:val="JuPara"/>
        <w:rPr>
          <w:lang w:val="pl-PL"/>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56</w:t>
      </w:r>
      <w:r w:rsidRPr="00E10705">
        <w:rPr>
          <w:lang w:val="pl-PL"/>
        </w:rPr>
        <w:fldChar w:fldCharType="end"/>
      </w:r>
      <w:r w:rsidRPr="00E10705">
        <w:rPr>
          <w:lang w:val="pl-PL"/>
        </w:rPr>
        <w:t xml:space="preserve">.  Powyższe rozważania są wystarczające do stwierdzenia przez Trybunał w konkluzji, że skarżący posiadał właściwą możliwość zaprezentowania swojej sprawy przed sądem. </w:t>
      </w:r>
    </w:p>
    <w:p w:rsidR="00B04F28" w:rsidRPr="00E10705" w:rsidRDefault="00B04F28" w:rsidP="00276853">
      <w:pPr>
        <w:pStyle w:val="JuPara"/>
        <w:rPr>
          <w:lang w:val="pl-PL"/>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57</w:t>
      </w:r>
      <w:r w:rsidRPr="00E10705">
        <w:rPr>
          <w:lang w:val="pl-PL"/>
        </w:rPr>
        <w:fldChar w:fldCharType="end"/>
      </w:r>
      <w:r w:rsidRPr="00E10705">
        <w:rPr>
          <w:lang w:val="pl-PL"/>
        </w:rPr>
        <w:t xml:space="preserve">.  Nie stwierdzono zatem naruszenia Artykułu 6 ust. 1 Konwencji. </w:t>
      </w:r>
    </w:p>
    <w:p w:rsidR="00B04F28" w:rsidRPr="00E10705" w:rsidRDefault="00B04F28" w:rsidP="007E034D">
      <w:pPr>
        <w:pStyle w:val="JuHIRoman"/>
        <w:rPr>
          <w:lang w:val="pl-PL"/>
        </w:rPr>
      </w:pPr>
      <w:r w:rsidRPr="00E10705">
        <w:rPr>
          <w:lang w:val="pl-PL"/>
        </w:rPr>
        <w:t>II.  ZARZUT NARUSZENIA ARTYKUŁU 6 UST. 1 KONWENCJI W ZWIĄZKU Z BRAKIEM DOSTĘPU DO SĄDU</w:t>
      </w:r>
    </w:p>
    <w:p w:rsidR="00B04F28" w:rsidRPr="00E10705" w:rsidRDefault="00B04F28" w:rsidP="00952DC9">
      <w:pPr>
        <w:pStyle w:val="JuPara"/>
        <w:rPr>
          <w:lang w:val="pl-PL"/>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58</w:t>
      </w:r>
      <w:r w:rsidRPr="00E10705">
        <w:rPr>
          <w:lang w:val="pl-PL"/>
        </w:rPr>
        <w:fldChar w:fldCharType="end"/>
      </w:r>
      <w:r w:rsidRPr="00E10705">
        <w:rPr>
          <w:lang w:val="pl-PL"/>
        </w:rPr>
        <w:t xml:space="preserve">.  Skarżący sformułował zarzut, że obrońca z urzędu odmówił sporządzenia skargi kasacyjnej w jego sprawie. Skarżący powołał się na Artykuł 6 ust. 1 Konwencji. </w:t>
      </w:r>
    </w:p>
    <w:p w:rsidR="00B04F28" w:rsidRPr="00E10705" w:rsidRDefault="00B04F28" w:rsidP="00952DC9">
      <w:pPr>
        <w:pStyle w:val="JuPara"/>
        <w:rPr>
          <w:lang w:val="pl-PL"/>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59</w:t>
      </w:r>
      <w:r w:rsidRPr="00E10705">
        <w:rPr>
          <w:lang w:val="pl-PL"/>
        </w:rPr>
        <w:fldChar w:fldCharType="end"/>
      </w:r>
      <w:r w:rsidRPr="00E10705">
        <w:rPr>
          <w:lang w:val="pl-PL"/>
        </w:rPr>
        <w:t xml:space="preserve">.  Trybunał miał już okazję szczegółowo przedstawić odpowiednie zasady wywiedzione ze swojego orzecznictwa w tym obszarze (zob. </w:t>
      </w:r>
      <w:r w:rsidRPr="00E10705">
        <w:rPr>
          <w:rStyle w:val="ju-005fpara-002cleft-002cfirst-0020line-003a-0020-00200-0020cm--char"/>
          <w:i/>
          <w:iCs/>
          <w:lang w:val="pl-PL"/>
        </w:rPr>
        <w:t xml:space="preserve">Staroszczyk przeciwko Polsce, </w:t>
      </w:r>
      <w:r w:rsidRPr="00E10705">
        <w:rPr>
          <w:lang w:val="pl-PL"/>
        </w:rPr>
        <w:t>§§ 121-129;</w:t>
      </w:r>
      <w:r w:rsidRPr="00E10705">
        <w:rPr>
          <w:rStyle w:val="ju-005fpara-002cleft-002cfirst-0020line-003a-0020-00200-0020cm--char"/>
          <w:i/>
          <w:iCs/>
          <w:lang w:val="pl-PL"/>
        </w:rPr>
        <w:t xml:space="preserve"> Siałkowska przeciwko Polsce,</w:t>
      </w:r>
      <w:r w:rsidRPr="00E10705">
        <w:rPr>
          <w:lang w:val="pl-PL"/>
        </w:rPr>
        <w:t xml:space="preserve"> §§ 101-07; oraz</w:t>
      </w:r>
      <w:r w:rsidRPr="00E10705">
        <w:rPr>
          <w:rStyle w:val="ju-005fpara-002cleft-002cfirst-0020line-003a-0020-00200-0020cm--char"/>
          <w:i/>
          <w:iCs/>
          <w:lang w:val="pl-PL"/>
        </w:rPr>
        <w:t xml:space="preserve"> Bąkowska przeciwko Polsce, </w:t>
      </w:r>
      <w:r w:rsidRPr="00E10705">
        <w:rPr>
          <w:lang w:val="pl-PL"/>
        </w:rPr>
        <w:t xml:space="preserve">§§ 44-48; cyt. wyż.; </w:t>
      </w:r>
      <w:r w:rsidRPr="00E10705">
        <w:rPr>
          <w:rStyle w:val="ju-005fpara-002cleft-002cfirst-0020line-003a-0020-00200-0020cm--char"/>
          <w:i/>
          <w:iCs/>
          <w:lang w:val="pl-PL"/>
        </w:rPr>
        <w:t>Smyk przeciwko Polsce</w:t>
      </w:r>
      <w:r w:rsidRPr="00E10705">
        <w:rPr>
          <w:lang w:val="pl-PL"/>
        </w:rPr>
        <w:t xml:space="preserve">, skarga nr 8958/04, §§ 54-59, z dnia 28 czerwca 2009 roku; oraz </w:t>
      </w:r>
      <w:r w:rsidRPr="00E10705">
        <w:rPr>
          <w:rStyle w:val="ju-005fpara-002cleft-002cfirst-0020line-003a-0020-00200-0020cm--char"/>
          <w:i/>
          <w:iCs/>
          <w:lang w:val="pl-PL"/>
        </w:rPr>
        <w:t>Zapadka przeciwko Polsce</w:t>
      </w:r>
      <w:r w:rsidRPr="00E10705">
        <w:rPr>
          <w:lang w:val="pl-PL"/>
        </w:rPr>
        <w:t xml:space="preserve">, skarga nr 2619/05, §§ 57-61, z dnia 15 grudnia 2009 roku). Trybunał przyjmuje te zasady dla celów przedmiotowej sprawy. </w:t>
      </w:r>
    </w:p>
    <w:p w:rsidR="00B04F28" w:rsidRPr="00E10705" w:rsidRDefault="00B04F28" w:rsidP="00656CA7">
      <w:pPr>
        <w:pStyle w:val="JuPara"/>
        <w:rPr>
          <w:lang w:val="pl-PL"/>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60</w:t>
      </w:r>
      <w:r w:rsidRPr="00E10705">
        <w:rPr>
          <w:lang w:val="pl-PL"/>
        </w:rPr>
        <w:fldChar w:fldCharType="end"/>
      </w:r>
      <w:r w:rsidRPr="00E10705">
        <w:rPr>
          <w:lang w:val="pl-PL"/>
        </w:rPr>
        <w:t xml:space="preserve">.  W wymienionych sprawach, Trybunał rozpatrywał położenie bezpłatnie reprezentowanych stron, które spotkały się z odmową sporządzenia skarg kasacyjnych przez swoich pełnomocników, zarówno w ramach procedury karnej, jak i cywilnej. W odniesieniu do pierwszej procedury, stwierdzono, że – zgodnie z ugruntowanym orzecznictwem Sądu Najwyższego – termin na wniesienie skargi kasacyjnej powinien biec </w:t>
      </w:r>
      <w:r w:rsidRPr="00E10705">
        <w:rPr>
          <w:i/>
          <w:lang w:val="pl-PL"/>
        </w:rPr>
        <w:t>de novo</w:t>
      </w:r>
      <w:r w:rsidRPr="00E10705">
        <w:rPr>
          <w:lang w:val="pl-PL"/>
        </w:rPr>
        <w:t xml:space="preserve"> od dnia, w którym skarżący został poinformowany o odmowie wniesienia skargi kasacyjnej przez adwokata z urzędu. Uznano, że takie podejście spełnia standardy Konwencji, przy założeniu, że z chwilą zakomunikowania skarżącemu odmowy adwokata został on odpowiednio poinformowany o przysługujących mu prawach proceduralnych (zob. </w:t>
      </w:r>
      <w:r w:rsidRPr="00E10705">
        <w:rPr>
          <w:rStyle w:val="ju-005fpara-002cleft-002cfirst-0020line-003a-0020-00200-0020cm--char"/>
          <w:bCs/>
          <w:i/>
          <w:iCs/>
          <w:lang w:val="pl-PL"/>
        </w:rPr>
        <w:t>Kulikowski</w:t>
      </w:r>
      <w:r w:rsidRPr="00E10705">
        <w:rPr>
          <w:rStyle w:val="ju-005fpara-002cleft-002cfirst-0020line-003a-0020-00200-0020cm--char"/>
          <w:i/>
          <w:iCs/>
          <w:lang w:val="pl-PL"/>
        </w:rPr>
        <w:t xml:space="preserve"> przeciwko Polsce</w:t>
      </w:r>
      <w:r w:rsidRPr="00E10705">
        <w:rPr>
          <w:lang w:val="pl-PL"/>
        </w:rPr>
        <w:t xml:space="preserve">, skarga nr 18353/03, § 69-71, ECHR 2009-... (fragmenty), oraz </w:t>
      </w:r>
      <w:r w:rsidRPr="00E10705">
        <w:rPr>
          <w:rStyle w:val="ju-005fpara-002cleft-002cfirst-0020line-003a-0020-00200-0020cm--char"/>
          <w:i/>
          <w:iCs/>
          <w:lang w:val="pl-PL"/>
        </w:rPr>
        <w:t>Antonicelli przeciwko Polsce</w:t>
      </w:r>
      <w:r w:rsidRPr="00E10705">
        <w:rPr>
          <w:lang w:val="pl-PL"/>
        </w:rPr>
        <w:t>, skarga nr 2815/05, § 44-45, z dnia 19 maja 2009 roku).</w:t>
      </w:r>
    </w:p>
    <w:p w:rsidR="00B04F28" w:rsidRPr="00E10705" w:rsidRDefault="00B04F28" w:rsidP="00656CA7">
      <w:pPr>
        <w:pStyle w:val="JuPara"/>
        <w:rPr>
          <w:lang w:val="pl-PL"/>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61</w:t>
      </w:r>
      <w:r w:rsidRPr="00E10705">
        <w:rPr>
          <w:lang w:val="pl-PL"/>
        </w:rPr>
        <w:fldChar w:fldCharType="end"/>
      </w:r>
      <w:r w:rsidRPr="00E10705">
        <w:rPr>
          <w:lang w:val="pl-PL"/>
        </w:rPr>
        <w:t xml:space="preserve">.  Odnośnie procedury cywilnej, Trybunał stwierdził, że podejście sądów cywilnych do sposobu obliczania terminu na wniesienie skargi kasacyjnej jest bardziej rygorystyczne. Stąd też doręczenie stronie zawiadomienia o tym, że adwokat z urzędu odmówił sporządzenia skargi nie uruchamia biegu terminu </w:t>
      </w:r>
      <w:r w:rsidRPr="00E10705">
        <w:rPr>
          <w:i/>
          <w:lang w:val="pl-PL"/>
        </w:rPr>
        <w:t>de novo</w:t>
      </w:r>
      <w:r w:rsidRPr="00E10705">
        <w:rPr>
          <w:lang w:val="pl-PL"/>
        </w:rPr>
        <w:t xml:space="preserve">. Takie podejście zostało uznane przez Trybunał za niezgodne ze standardami Konwencji, za wyjątkiem sytuacji kiedy odmowa sporządzenia skargi kasacyjnej przez adwokata z urzędu zostaje zakomunikowana skarżącemu z odpowiednim wyprzedzeniem czasowym przed wygaśnięciem ostatecznego terminu na jej wniesienie (zob. </w:t>
      </w:r>
      <w:r w:rsidRPr="00E10705">
        <w:rPr>
          <w:rStyle w:val="ju-005fpara-002cleft-002cfirst-0020line-003a-0020-00200-0020cm--char"/>
          <w:i/>
          <w:iCs/>
          <w:lang w:val="pl-PL"/>
        </w:rPr>
        <w:t xml:space="preserve">Smyk, </w:t>
      </w:r>
      <w:r w:rsidRPr="00E10705">
        <w:rPr>
          <w:lang w:val="pl-PL"/>
        </w:rPr>
        <w:t>cyt. wyż., §§ 63-65).</w:t>
      </w:r>
    </w:p>
    <w:p w:rsidR="00B04F28" w:rsidRPr="00E10705" w:rsidRDefault="00B04F28" w:rsidP="00952DC9">
      <w:pPr>
        <w:pStyle w:val="JuPara"/>
        <w:rPr>
          <w:lang w:val="pl-PL"/>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62</w:t>
      </w:r>
      <w:r w:rsidRPr="00E10705">
        <w:rPr>
          <w:lang w:val="pl-PL"/>
        </w:rPr>
        <w:fldChar w:fldCharType="end"/>
      </w:r>
      <w:r w:rsidRPr="00E10705">
        <w:rPr>
          <w:lang w:val="pl-PL"/>
        </w:rPr>
        <w:t xml:space="preserve">.  Wracając do okoliczności przedmiotowej sprawy, Trybunał zauważa po pierwsze, że odmowa adwokata z urzędu została sporządzona pisemnie. Wyjaśnił on dlaczego skarga kasacyjna nie rokuje rozsądnych perspektyw powodzenia. Trybunał zwrócił następnie uwagę, że wyrok sądu drugiej instancji został doręczony pełnomocnikowi pomiędzy dniem 12 a 24 lutego 2007 roku. W rzeczonym czasie, na mocy obowiązujących przepisów Kodeksu postępowania cywilnego, nieprzekraczalny sześćdziesięciodniowy termin rozpoczął swój bieg od dnia doręczenia wyroku sądu apelacyjnego pełnomocnikowi. Adwokat poinformował skarżącego o odmowie sporządzenia skargi kasacyjnej w pisemnej opinii prawnej z dnia 25 lutego 2007 roku. W tym dniu, termin przysługujący na wniesienie skargi kasacyjnej upływał - najwcześniej - za sześć tygodni. Nie można zatem stwierdzić, że skarżący dysponował tak krótkim czasem na sporządzenie skargi kasacyjnej w swojej sprawie, że został pozbawiony realnej możliwości wniesienia </w:t>
      </w:r>
      <w:bookmarkStart w:id="4" w:name="_GoBack"/>
      <w:r w:rsidRPr="00E10705">
        <w:rPr>
          <w:lang w:val="pl-PL"/>
        </w:rPr>
        <w:t xml:space="preserve">skargi kasacyjnej i zakwestionowania rozstrzygnięcia sądu apelacyjnego </w:t>
      </w:r>
      <w:bookmarkEnd w:id="4"/>
      <w:r w:rsidRPr="00E10705">
        <w:rPr>
          <w:lang w:val="pl-PL"/>
        </w:rPr>
        <w:t xml:space="preserve">(porównaj </w:t>
      </w:r>
      <w:r w:rsidRPr="00E10705">
        <w:rPr>
          <w:i/>
          <w:lang w:val="pl-PL"/>
        </w:rPr>
        <w:t>a contrario</w:t>
      </w:r>
      <w:r w:rsidRPr="00E10705">
        <w:rPr>
          <w:lang w:val="pl-PL"/>
        </w:rPr>
        <w:t xml:space="preserve"> z wyrokiem </w:t>
      </w:r>
      <w:r w:rsidRPr="00E10705">
        <w:rPr>
          <w:rStyle w:val="ju-005fpara-002cleft-002cfirst-0020line-003a-0020-00200-0020cm--char"/>
          <w:i/>
          <w:iCs/>
          <w:lang w:val="pl-PL"/>
        </w:rPr>
        <w:t xml:space="preserve">Siałkowska, </w:t>
      </w:r>
      <w:r w:rsidRPr="00E10705">
        <w:rPr>
          <w:lang w:val="pl-PL"/>
        </w:rPr>
        <w:t>cyt. wyż.</w:t>
      </w:r>
      <w:r w:rsidRPr="00E10705">
        <w:rPr>
          <w:rStyle w:val="ju-005fpara-002cleft-002cfirst-0020line-003a-0020-00200-0020cm--char"/>
          <w:i/>
          <w:iCs/>
          <w:lang w:val="pl-PL"/>
        </w:rPr>
        <w:t xml:space="preserve">, </w:t>
      </w:r>
      <w:r w:rsidRPr="00E10705">
        <w:rPr>
          <w:lang w:val="pl-PL"/>
        </w:rPr>
        <w:t>§§ 11-155, w którym skarżąca dysponowała jedynie trzema dniami).</w:t>
      </w:r>
    </w:p>
    <w:p w:rsidR="00B04F28" w:rsidRPr="00E10705" w:rsidRDefault="00B04F28" w:rsidP="00952DC9">
      <w:pPr>
        <w:pStyle w:val="JuPara"/>
        <w:rPr>
          <w:lang w:val="pl-PL"/>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63</w:t>
      </w:r>
      <w:r w:rsidRPr="00E10705">
        <w:rPr>
          <w:lang w:val="pl-PL"/>
        </w:rPr>
        <w:fldChar w:fldCharType="end"/>
      </w:r>
      <w:r w:rsidRPr="00E10705">
        <w:rPr>
          <w:lang w:val="pl-PL"/>
        </w:rPr>
        <w:t xml:space="preserve">.  Powyższe rozważania są wystarczające do stwierdzenia przez Trybunał w konkluzji, że skarżący nie znajdował się w sytuacji, która skutkowała brakiem właściwej reprezentacji prawnej w stopniu ograniczającym dostęp do sądu z naruszeniem Artykułu 6 ust. 1 Konwencji. </w:t>
      </w:r>
    </w:p>
    <w:p w:rsidR="00B04F28" w:rsidRPr="00E10705" w:rsidRDefault="00B04F28" w:rsidP="00A73B6B">
      <w:pPr>
        <w:pStyle w:val="JuPara"/>
        <w:rPr>
          <w:lang w:val="pl-PL"/>
        </w:rPr>
      </w:pPr>
      <w:r w:rsidRPr="00E10705">
        <w:rPr>
          <w:lang w:val="pl-PL"/>
        </w:rPr>
        <w:fldChar w:fldCharType="begin"/>
      </w:r>
      <w:r w:rsidRPr="00E10705">
        <w:rPr>
          <w:lang w:val="pl-PL"/>
        </w:rPr>
        <w:instrText xml:space="preserve"> SEQ level0 \*arabic </w:instrText>
      </w:r>
      <w:r w:rsidRPr="00E10705">
        <w:rPr>
          <w:lang w:val="pl-PL"/>
        </w:rPr>
        <w:fldChar w:fldCharType="separate"/>
      </w:r>
      <w:r>
        <w:rPr>
          <w:noProof/>
          <w:lang w:val="pl-PL"/>
        </w:rPr>
        <w:t>64</w:t>
      </w:r>
      <w:r w:rsidRPr="00E10705">
        <w:rPr>
          <w:lang w:val="pl-PL"/>
        </w:rPr>
        <w:fldChar w:fldCharType="end"/>
      </w:r>
      <w:r w:rsidRPr="00E10705">
        <w:rPr>
          <w:lang w:val="pl-PL"/>
        </w:rPr>
        <w:t>. Zatem ta część skargi jest oczywiście bezzasadna i musi zostać odrzucona zgodnie z Artykułem 35 ust. 3 lit. (a) i 4 Konwencji.</w:t>
      </w:r>
    </w:p>
    <w:p w:rsidR="00B04F28" w:rsidRPr="00E10705" w:rsidRDefault="00B04F28" w:rsidP="00276853">
      <w:pPr>
        <w:pStyle w:val="JuPara"/>
        <w:rPr>
          <w:lang w:val="pl-PL"/>
        </w:rPr>
      </w:pPr>
      <w:r w:rsidRPr="00E10705">
        <w:rPr>
          <w:lang w:val="pl-PL"/>
        </w:rPr>
        <w:t> </w:t>
      </w:r>
    </w:p>
    <w:p w:rsidR="00B04F28" w:rsidRPr="00E10705" w:rsidRDefault="00B04F28" w:rsidP="00671006">
      <w:pPr>
        <w:pStyle w:val="JuHHead"/>
        <w:rPr>
          <w:lang w:val="pl-PL"/>
        </w:rPr>
      </w:pPr>
      <w:r w:rsidRPr="00E10705">
        <w:rPr>
          <w:lang w:val="pl-PL"/>
        </w:rPr>
        <w:t xml:space="preserve">Z TYCH WZGLĘDÓW, TRYBUNAŁ JEDNOGŁOŚNIE </w:t>
      </w:r>
    </w:p>
    <w:p w:rsidR="00B04F28" w:rsidRPr="00E10705" w:rsidRDefault="00B04F28" w:rsidP="00671006">
      <w:pPr>
        <w:pStyle w:val="JuList"/>
        <w:keepNext/>
        <w:keepLines/>
        <w:rPr>
          <w:lang w:val="pl-PL"/>
        </w:rPr>
      </w:pPr>
      <w:r w:rsidRPr="00E10705">
        <w:rPr>
          <w:lang w:val="pl-PL"/>
        </w:rPr>
        <w:t>1.  </w:t>
      </w:r>
      <w:r w:rsidRPr="00E10705">
        <w:rPr>
          <w:i/>
          <w:lang w:val="pl-PL"/>
        </w:rPr>
        <w:t xml:space="preserve">Uznaje </w:t>
      </w:r>
      <w:r w:rsidRPr="00E10705">
        <w:rPr>
          <w:lang w:val="pl-PL"/>
        </w:rPr>
        <w:t>skargę dotyczącą stawiennictwa skarżącego przed sądami za dopuszczalną, a pozostałą cześć skargi na niedopuszczalną</w:t>
      </w:r>
      <w:r w:rsidRPr="00E10705">
        <w:rPr>
          <w:i/>
          <w:lang w:val="pl-PL"/>
        </w:rPr>
        <w:t xml:space="preserve"> </w:t>
      </w:r>
    </w:p>
    <w:p w:rsidR="00B04F28" w:rsidRPr="00E10705" w:rsidRDefault="00B04F28" w:rsidP="00671006">
      <w:pPr>
        <w:pStyle w:val="JuList"/>
        <w:keepNext/>
        <w:keepLines/>
        <w:rPr>
          <w:lang w:val="pl-PL"/>
        </w:rPr>
      </w:pPr>
      <w:r w:rsidRPr="00E10705">
        <w:rPr>
          <w:lang w:val="pl-PL"/>
        </w:rPr>
        <w:t>2.  </w:t>
      </w:r>
      <w:r w:rsidRPr="00E10705">
        <w:rPr>
          <w:i/>
          <w:lang w:val="pl-PL"/>
        </w:rPr>
        <w:t>Stwierdza</w:t>
      </w:r>
      <w:r w:rsidRPr="00E10705">
        <w:rPr>
          <w:lang w:val="pl-PL"/>
        </w:rPr>
        <w:t xml:space="preserve">, że nie nastąpiło naruszenie Artykułu 6 ust 1 Konwencji. </w:t>
      </w:r>
    </w:p>
    <w:p w:rsidR="00B04F28" w:rsidRPr="00E10705" w:rsidRDefault="00B04F28" w:rsidP="00671006">
      <w:pPr>
        <w:pStyle w:val="JuParaLast"/>
        <w:rPr>
          <w:lang w:val="pl-PL"/>
        </w:rPr>
      </w:pPr>
      <w:r w:rsidRPr="00E10705">
        <w:rPr>
          <w:lang w:val="pl-PL"/>
        </w:rPr>
        <w:t>Sporządzono w języku angielskim oraz obwieszczono pisemnie dnia 3 lipca 2012 roku, zgodnie z Regułą 77 ust. 2 i ust. 3 Regulaminu Trybunału.</w:t>
      </w:r>
    </w:p>
    <w:p w:rsidR="00B04F28" w:rsidRPr="00E10705" w:rsidRDefault="00B04F28" w:rsidP="00671006">
      <w:pPr>
        <w:pStyle w:val="JuSigned"/>
        <w:keepNext/>
        <w:keepLines/>
        <w:rPr>
          <w:lang w:val="pl-PL"/>
        </w:rPr>
      </w:pPr>
      <w:r w:rsidRPr="00E10705">
        <w:rPr>
          <w:lang w:val="pl-PL"/>
        </w:rPr>
        <w:tab/>
        <w:t>Lawrence Early</w:t>
      </w:r>
      <w:r w:rsidRPr="00E10705">
        <w:rPr>
          <w:lang w:val="pl-PL"/>
        </w:rPr>
        <w:tab/>
        <w:t>David Thór Bjorgvinsson</w:t>
      </w:r>
      <w:r w:rsidRPr="00E10705">
        <w:rPr>
          <w:lang w:val="pl-PL"/>
        </w:rPr>
        <w:br/>
      </w:r>
      <w:r w:rsidRPr="00E10705">
        <w:rPr>
          <w:lang w:val="pl-PL"/>
        </w:rPr>
        <w:tab/>
      </w:r>
      <w:r w:rsidRPr="00E10705">
        <w:rPr>
          <w:iCs/>
          <w:noProof/>
          <w:lang w:val="pl-PL"/>
        </w:rPr>
        <w:t>Kanclerz Sekcji</w:t>
      </w:r>
      <w:r w:rsidRPr="00E10705">
        <w:rPr>
          <w:lang w:val="pl-PL"/>
        </w:rPr>
        <w:tab/>
        <w:t>Przewodniczący</w:t>
      </w:r>
    </w:p>
    <w:p w:rsidR="00B04F28" w:rsidRPr="00E10705" w:rsidRDefault="00B04F28" w:rsidP="00667A5B">
      <w:pPr>
        <w:pStyle w:val="JuParaLast"/>
        <w:rPr>
          <w:lang w:val="pl-PL"/>
        </w:rPr>
      </w:pPr>
    </w:p>
    <w:p w:rsidR="00B04F28" w:rsidRPr="00E10705" w:rsidRDefault="00B04F28" w:rsidP="00667A5B">
      <w:pPr>
        <w:pStyle w:val="JuPara"/>
        <w:rPr>
          <w:lang w:val="pl-PL"/>
        </w:rPr>
      </w:pPr>
    </w:p>
    <w:sectPr w:rsidR="00B04F28" w:rsidRPr="00E10705" w:rsidSect="00C14C94">
      <w:headerReference w:type="even" r:id="rId10"/>
      <w:headerReference w:type="default" r:id="rId11"/>
      <w:footnotePr>
        <w:numRestart w:val="eachPage"/>
      </w:footnotePr>
      <w:type w:val="continuous"/>
      <w:pgSz w:w="11906" w:h="16838" w:code="9"/>
      <w:pgMar w:top="2274" w:right="2274" w:bottom="2274" w:left="2274" w:header="1701" w:footer="708" w:gutter="0"/>
      <w:cols w:space="708"/>
      <w:docGrid w:linePitch="25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4F28" w:rsidRDefault="00B04F28">
      <w:r>
        <w:separator/>
      </w:r>
    </w:p>
  </w:endnote>
  <w:endnote w:type="continuationSeparator" w:id="0">
    <w:p w:rsidR="00B04F28" w:rsidRDefault="00B04F2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4F28" w:rsidRPr="00150BFA" w:rsidRDefault="00B04F28" w:rsidP="00252863">
    <w:pPr>
      <w:jc w:val="center"/>
      <w:rPr>
        <w:sz w:val="4"/>
        <w:szCs w:val="4"/>
      </w:rPr>
    </w:pPr>
    <w:r w:rsidRPr="00A9740B">
      <w:rPr>
        <w:noProof/>
        <w:sz w:val="4"/>
        <w:szCs w:val="4"/>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i1028" type="#_x0000_t75" style="width:52.5pt;height:32.25pt;visibility:visible">
          <v:imagedata r:id="rId1" o:title=""/>
        </v:shape>
      </w:pict>
    </w:r>
  </w:p>
  <w:p w:rsidR="00B04F28" w:rsidRDefault="00B04F2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4F28" w:rsidRDefault="00B04F28">
      <w:r>
        <w:separator/>
      </w:r>
    </w:p>
  </w:footnote>
  <w:footnote w:type="continuationSeparator" w:id="0">
    <w:p w:rsidR="00B04F28" w:rsidRDefault="00B04F2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4F28" w:rsidRPr="00EE65AE" w:rsidRDefault="00B04F28" w:rsidP="00EE65AE">
    <w:pPr>
      <w:pStyle w:val="Header"/>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4F28" w:rsidRPr="00C00F0F" w:rsidRDefault="00B04F28">
    <w:pPr>
      <w:pStyle w:val="Header"/>
      <w:jc w:val="center"/>
      <w:rPr>
        <w:sz w:val="4"/>
        <w:szCs w:val="4"/>
      </w:rPr>
    </w:pPr>
    <w:r w:rsidRPr="00A9740B">
      <w:rPr>
        <w:noProof/>
        <w:sz w:val="4"/>
        <w:szCs w:val="4"/>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6" type="#_x0000_t75" style="width:322.5pt;height:164.25pt;visibility:visible">
          <v:imagedata r:id="rId1" o:title=""/>
        </v:shape>
      </w:pict>
    </w:r>
  </w:p>
  <w:p w:rsidR="00B04F28" w:rsidRDefault="00B04F2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4F28" w:rsidRPr="000200B0" w:rsidRDefault="00B04F28">
    <w:pPr>
      <w:pStyle w:val="JuHeader"/>
      <w:rPr>
        <w:lang w:val="pl-PL"/>
      </w:rPr>
    </w:pPr>
    <w:r w:rsidRPr="000200B0">
      <w:rPr>
        <w:rStyle w:val="PageNumber"/>
        <w:lang w:val="pl-PL"/>
      </w:rPr>
      <w:fldChar w:fldCharType="begin"/>
    </w:r>
    <w:r w:rsidRPr="000200B0">
      <w:rPr>
        <w:rStyle w:val="PageNumber"/>
        <w:lang w:val="pl-PL"/>
      </w:rPr>
      <w:instrText xml:space="preserve"> PAGE </w:instrText>
    </w:r>
    <w:r w:rsidRPr="000200B0">
      <w:rPr>
        <w:rStyle w:val="PageNumber"/>
        <w:lang w:val="pl-PL"/>
      </w:rPr>
      <w:fldChar w:fldCharType="separate"/>
    </w:r>
    <w:r>
      <w:rPr>
        <w:rStyle w:val="PageNumber"/>
        <w:noProof/>
        <w:lang w:val="pl-PL"/>
      </w:rPr>
      <w:t>12</w:t>
    </w:r>
    <w:r w:rsidRPr="000200B0">
      <w:rPr>
        <w:rStyle w:val="PageNumber"/>
        <w:lang w:val="pl-PL"/>
      </w:rPr>
      <w:fldChar w:fldCharType="end"/>
    </w:r>
    <w:r w:rsidRPr="000200B0">
      <w:rPr>
        <w:lang w:val="pl-PL"/>
      </w:rPr>
      <w:tab/>
      <w:t xml:space="preserve">WYROK W SPRAWIE </w:t>
    </w:r>
    <w:r>
      <w:rPr>
        <w:lang w:val="pl-PL"/>
      </w:rPr>
      <w:t>SIWIEC przeciwko POLSCE</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4F28" w:rsidRPr="00F56E20" w:rsidRDefault="00B04F28">
    <w:pPr>
      <w:pStyle w:val="JuHeader"/>
      <w:rPr>
        <w:lang w:val="pl-PL"/>
      </w:rPr>
    </w:pPr>
    <w:r>
      <w:tab/>
    </w:r>
    <w:r w:rsidRPr="00F56E20">
      <w:rPr>
        <w:lang w:val="pl-PL"/>
      </w:rPr>
      <w:t xml:space="preserve">WYROK W SPRAWIE SIWIEC </w:t>
    </w:r>
    <w:r>
      <w:rPr>
        <w:lang w:val="pl-PL"/>
      </w:rPr>
      <w:t>przeciwko POLSCE</w:t>
    </w:r>
    <w:r w:rsidRPr="00F56E20">
      <w:rPr>
        <w:lang w:val="pl-PL"/>
      </w:rPr>
      <w:tab/>
    </w:r>
    <w:r w:rsidRPr="00F56E20">
      <w:rPr>
        <w:rStyle w:val="PageNumber"/>
        <w:lang w:val="pl-PL"/>
      </w:rPr>
      <w:fldChar w:fldCharType="begin"/>
    </w:r>
    <w:r w:rsidRPr="00F56E20">
      <w:rPr>
        <w:rStyle w:val="PageNumber"/>
        <w:lang w:val="pl-PL"/>
      </w:rPr>
      <w:instrText xml:space="preserve"> PAGE </w:instrText>
    </w:r>
    <w:r w:rsidRPr="00F56E20">
      <w:rPr>
        <w:rStyle w:val="PageNumber"/>
        <w:lang w:val="pl-PL"/>
      </w:rPr>
      <w:fldChar w:fldCharType="separate"/>
    </w:r>
    <w:r>
      <w:rPr>
        <w:rStyle w:val="PageNumber"/>
        <w:noProof/>
        <w:lang w:val="pl-PL"/>
      </w:rPr>
      <w:t>11</w:t>
    </w:r>
    <w:r w:rsidRPr="00F56E20">
      <w:rPr>
        <w:rStyle w:val="PageNumber"/>
        <w:lang w:val="pl-PL"/>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
    <w:nsid w:val="02924D05"/>
    <w:multiLevelType w:val="multilevel"/>
    <w:tmpl w:val="0000000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
    <w:nsid w:val="03120645"/>
    <w:multiLevelType w:val="multilevel"/>
    <w:tmpl w:val="0000000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
    <w:nsid w:val="2C7C4114"/>
    <w:multiLevelType w:val="hybridMultilevel"/>
    <w:tmpl w:val="8160B49A"/>
    <w:lvl w:ilvl="0" w:tplc="0C489F2A">
      <w:start w:val="2"/>
      <w:numFmt w:val="upperLetter"/>
      <w:lvlText w:val="%1."/>
      <w:lvlJc w:val="left"/>
      <w:pPr>
        <w:tabs>
          <w:tab w:val="num" w:pos="592"/>
        </w:tabs>
        <w:ind w:left="592" w:hanging="360"/>
      </w:pPr>
      <w:rPr>
        <w:rFonts w:cs="Times New Roman" w:hint="default"/>
      </w:rPr>
    </w:lvl>
    <w:lvl w:ilvl="1" w:tplc="08090019" w:tentative="1">
      <w:start w:val="1"/>
      <w:numFmt w:val="lowerLetter"/>
      <w:lvlText w:val="%2."/>
      <w:lvlJc w:val="left"/>
      <w:pPr>
        <w:tabs>
          <w:tab w:val="num" w:pos="1312"/>
        </w:tabs>
        <w:ind w:left="1312" w:hanging="360"/>
      </w:pPr>
      <w:rPr>
        <w:rFonts w:cs="Times New Roman"/>
      </w:rPr>
    </w:lvl>
    <w:lvl w:ilvl="2" w:tplc="0809001B" w:tentative="1">
      <w:start w:val="1"/>
      <w:numFmt w:val="lowerRoman"/>
      <w:lvlText w:val="%3."/>
      <w:lvlJc w:val="right"/>
      <w:pPr>
        <w:tabs>
          <w:tab w:val="num" w:pos="2032"/>
        </w:tabs>
        <w:ind w:left="2032" w:hanging="180"/>
      </w:pPr>
      <w:rPr>
        <w:rFonts w:cs="Times New Roman"/>
      </w:rPr>
    </w:lvl>
    <w:lvl w:ilvl="3" w:tplc="0809000F" w:tentative="1">
      <w:start w:val="1"/>
      <w:numFmt w:val="decimal"/>
      <w:lvlText w:val="%4."/>
      <w:lvlJc w:val="left"/>
      <w:pPr>
        <w:tabs>
          <w:tab w:val="num" w:pos="2752"/>
        </w:tabs>
        <w:ind w:left="2752" w:hanging="360"/>
      </w:pPr>
      <w:rPr>
        <w:rFonts w:cs="Times New Roman"/>
      </w:rPr>
    </w:lvl>
    <w:lvl w:ilvl="4" w:tplc="08090019" w:tentative="1">
      <w:start w:val="1"/>
      <w:numFmt w:val="lowerLetter"/>
      <w:lvlText w:val="%5."/>
      <w:lvlJc w:val="left"/>
      <w:pPr>
        <w:tabs>
          <w:tab w:val="num" w:pos="3472"/>
        </w:tabs>
        <w:ind w:left="3472" w:hanging="360"/>
      </w:pPr>
      <w:rPr>
        <w:rFonts w:cs="Times New Roman"/>
      </w:rPr>
    </w:lvl>
    <w:lvl w:ilvl="5" w:tplc="0809001B" w:tentative="1">
      <w:start w:val="1"/>
      <w:numFmt w:val="lowerRoman"/>
      <w:lvlText w:val="%6."/>
      <w:lvlJc w:val="right"/>
      <w:pPr>
        <w:tabs>
          <w:tab w:val="num" w:pos="4192"/>
        </w:tabs>
        <w:ind w:left="4192" w:hanging="180"/>
      </w:pPr>
      <w:rPr>
        <w:rFonts w:cs="Times New Roman"/>
      </w:rPr>
    </w:lvl>
    <w:lvl w:ilvl="6" w:tplc="0809000F" w:tentative="1">
      <w:start w:val="1"/>
      <w:numFmt w:val="decimal"/>
      <w:lvlText w:val="%7."/>
      <w:lvlJc w:val="left"/>
      <w:pPr>
        <w:tabs>
          <w:tab w:val="num" w:pos="4912"/>
        </w:tabs>
        <w:ind w:left="4912" w:hanging="360"/>
      </w:pPr>
      <w:rPr>
        <w:rFonts w:cs="Times New Roman"/>
      </w:rPr>
    </w:lvl>
    <w:lvl w:ilvl="7" w:tplc="08090019" w:tentative="1">
      <w:start w:val="1"/>
      <w:numFmt w:val="lowerLetter"/>
      <w:lvlText w:val="%8."/>
      <w:lvlJc w:val="left"/>
      <w:pPr>
        <w:tabs>
          <w:tab w:val="num" w:pos="5632"/>
        </w:tabs>
        <w:ind w:left="5632" w:hanging="360"/>
      </w:pPr>
      <w:rPr>
        <w:rFonts w:cs="Times New Roman"/>
      </w:rPr>
    </w:lvl>
    <w:lvl w:ilvl="8" w:tplc="0809001B" w:tentative="1">
      <w:start w:val="1"/>
      <w:numFmt w:val="lowerRoman"/>
      <w:lvlText w:val="%9."/>
      <w:lvlJc w:val="right"/>
      <w:pPr>
        <w:tabs>
          <w:tab w:val="num" w:pos="6352"/>
        </w:tabs>
        <w:ind w:left="6352" w:hanging="180"/>
      </w:pPr>
      <w:rPr>
        <w:rFonts w:cs="Times New Roman"/>
      </w:rPr>
    </w:lvl>
  </w:abstractNum>
  <w:abstractNum w:abstractNumId="4">
    <w:nsid w:val="59BE0705"/>
    <w:multiLevelType w:val="multilevel"/>
    <w:tmpl w:val="148C8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7FD1241"/>
    <w:multiLevelType w:val="hybridMultilevel"/>
    <w:tmpl w:val="F6D86CC2"/>
    <w:lvl w:ilvl="0" w:tplc="272084A4">
      <w:start w:val="1"/>
      <w:numFmt w:val="bullet"/>
      <w:pStyle w:val="ListBullet"/>
      <w:lvlText w:val=""/>
      <w:lvlJc w:val="left"/>
      <w:pPr>
        <w:tabs>
          <w:tab w:val="num" w:pos="851"/>
        </w:tabs>
        <w:ind w:left="568"/>
      </w:pPr>
      <w:rPr>
        <w:rFonts w:ascii="Wingdings" w:hAnsi="Wingdings" w:hint="default"/>
        <w:color w:val="808080"/>
        <w:sz w:val="16"/>
      </w:rPr>
    </w:lvl>
    <w:lvl w:ilvl="1" w:tplc="FB78D1A8" w:tentative="1">
      <w:start w:val="1"/>
      <w:numFmt w:val="bullet"/>
      <w:lvlText w:val="o"/>
      <w:lvlJc w:val="left"/>
      <w:pPr>
        <w:tabs>
          <w:tab w:val="num" w:pos="1724"/>
        </w:tabs>
        <w:ind w:left="1724" w:hanging="360"/>
      </w:pPr>
      <w:rPr>
        <w:rFonts w:ascii="Courier New" w:hAnsi="Courier New" w:hint="default"/>
      </w:rPr>
    </w:lvl>
    <w:lvl w:ilvl="2" w:tplc="AA40DF82" w:tentative="1">
      <w:start w:val="1"/>
      <w:numFmt w:val="bullet"/>
      <w:lvlText w:val=""/>
      <w:lvlJc w:val="left"/>
      <w:pPr>
        <w:tabs>
          <w:tab w:val="num" w:pos="2444"/>
        </w:tabs>
        <w:ind w:left="2444" w:hanging="360"/>
      </w:pPr>
      <w:rPr>
        <w:rFonts w:ascii="Wingdings" w:hAnsi="Wingdings" w:hint="default"/>
      </w:rPr>
    </w:lvl>
    <w:lvl w:ilvl="3" w:tplc="FD7C1E08" w:tentative="1">
      <w:start w:val="1"/>
      <w:numFmt w:val="bullet"/>
      <w:lvlText w:val=""/>
      <w:lvlJc w:val="left"/>
      <w:pPr>
        <w:tabs>
          <w:tab w:val="num" w:pos="3164"/>
        </w:tabs>
        <w:ind w:left="3164" w:hanging="360"/>
      </w:pPr>
      <w:rPr>
        <w:rFonts w:ascii="Symbol" w:hAnsi="Symbol" w:hint="default"/>
      </w:rPr>
    </w:lvl>
    <w:lvl w:ilvl="4" w:tplc="630AD2EE" w:tentative="1">
      <w:start w:val="1"/>
      <w:numFmt w:val="bullet"/>
      <w:lvlText w:val="o"/>
      <w:lvlJc w:val="left"/>
      <w:pPr>
        <w:tabs>
          <w:tab w:val="num" w:pos="3884"/>
        </w:tabs>
        <w:ind w:left="3884" w:hanging="360"/>
      </w:pPr>
      <w:rPr>
        <w:rFonts w:ascii="Courier New" w:hAnsi="Courier New" w:hint="default"/>
      </w:rPr>
    </w:lvl>
    <w:lvl w:ilvl="5" w:tplc="A1969A78" w:tentative="1">
      <w:start w:val="1"/>
      <w:numFmt w:val="bullet"/>
      <w:lvlText w:val=""/>
      <w:lvlJc w:val="left"/>
      <w:pPr>
        <w:tabs>
          <w:tab w:val="num" w:pos="4604"/>
        </w:tabs>
        <w:ind w:left="4604" w:hanging="360"/>
      </w:pPr>
      <w:rPr>
        <w:rFonts w:ascii="Wingdings" w:hAnsi="Wingdings" w:hint="default"/>
      </w:rPr>
    </w:lvl>
    <w:lvl w:ilvl="6" w:tplc="53A42580" w:tentative="1">
      <w:start w:val="1"/>
      <w:numFmt w:val="bullet"/>
      <w:lvlText w:val=""/>
      <w:lvlJc w:val="left"/>
      <w:pPr>
        <w:tabs>
          <w:tab w:val="num" w:pos="5324"/>
        </w:tabs>
        <w:ind w:left="5324" w:hanging="360"/>
      </w:pPr>
      <w:rPr>
        <w:rFonts w:ascii="Symbol" w:hAnsi="Symbol" w:hint="default"/>
      </w:rPr>
    </w:lvl>
    <w:lvl w:ilvl="7" w:tplc="0E7AA7E8" w:tentative="1">
      <w:start w:val="1"/>
      <w:numFmt w:val="bullet"/>
      <w:lvlText w:val="o"/>
      <w:lvlJc w:val="left"/>
      <w:pPr>
        <w:tabs>
          <w:tab w:val="num" w:pos="6044"/>
        </w:tabs>
        <w:ind w:left="6044" w:hanging="360"/>
      </w:pPr>
      <w:rPr>
        <w:rFonts w:ascii="Courier New" w:hAnsi="Courier New" w:hint="default"/>
      </w:rPr>
    </w:lvl>
    <w:lvl w:ilvl="8" w:tplc="12FA6808" w:tentative="1">
      <w:start w:val="1"/>
      <w:numFmt w:val="bullet"/>
      <w:lvlText w:val=""/>
      <w:lvlJc w:val="left"/>
      <w:pPr>
        <w:tabs>
          <w:tab w:val="num" w:pos="6764"/>
        </w:tabs>
        <w:ind w:left="6764" w:hanging="360"/>
      </w:pPr>
      <w:rPr>
        <w:rFonts w:ascii="Wingdings" w:hAnsi="Wingdings" w:hint="default"/>
      </w:rPr>
    </w:lvl>
  </w:abstractNum>
  <w:abstractNum w:abstractNumId="6">
    <w:nsid w:val="6E340B9F"/>
    <w:multiLevelType w:val="multilevel"/>
    <w:tmpl w:val="0000000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7">
    <w:nsid w:val="7BBE6CBD"/>
    <w:multiLevelType w:val="hybridMultilevel"/>
    <w:tmpl w:val="5B122094"/>
    <w:lvl w:ilvl="0" w:tplc="570A9F6C">
      <w:start w:val="1"/>
      <w:numFmt w:val="decimal"/>
      <w:lvlText w:val="%1."/>
      <w:lvlJc w:val="left"/>
      <w:pPr>
        <w:tabs>
          <w:tab w:val="num" w:pos="720"/>
        </w:tabs>
        <w:ind w:left="720" w:hanging="360"/>
      </w:pPr>
      <w:rPr>
        <w:rFonts w:ascii="Cambria" w:hAnsi="Cambria" w:cs="Times New Roman" w:hint="default"/>
        <w:b/>
        <w:i w:val="0"/>
      </w:rPr>
    </w:lvl>
    <w:lvl w:ilvl="1" w:tplc="5DD89BA8" w:tentative="1">
      <w:start w:val="1"/>
      <w:numFmt w:val="lowerLetter"/>
      <w:lvlText w:val="%2."/>
      <w:lvlJc w:val="left"/>
      <w:pPr>
        <w:tabs>
          <w:tab w:val="num" w:pos="1440"/>
        </w:tabs>
        <w:ind w:left="1440" w:hanging="360"/>
      </w:pPr>
      <w:rPr>
        <w:rFonts w:cs="Times New Roman"/>
      </w:rPr>
    </w:lvl>
    <w:lvl w:ilvl="2" w:tplc="E20456F0" w:tentative="1">
      <w:start w:val="1"/>
      <w:numFmt w:val="lowerRoman"/>
      <w:lvlText w:val="%3."/>
      <w:lvlJc w:val="right"/>
      <w:pPr>
        <w:tabs>
          <w:tab w:val="num" w:pos="2160"/>
        </w:tabs>
        <w:ind w:left="2160" w:hanging="180"/>
      </w:pPr>
      <w:rPr>
        <w:rFonts w:cs="Times New Roman"/>
      </w:rPr>
    </w:lvl>
    <w:lvl w:ilvl="3" w:tplc="BA109218" w:tentative="1">
      <w:start w:val="1"/>
      <w:numFmt w:val="decimal"/>
      <w:lvlText w:val="%4."/>
      <w:lvlJc w:val="left"/>
      <w:pPr>
        <w:tabs>
          <w:tab w:val="num" w:pos="2880"/>
        </w:tabs>
        <w:ind w:left="2880" w:hanging="360"/>
      </w:pPr>
      <w:rPr>
        <w:rFonts w:cs="Times New Roman"/>
      </w:rPr>
    </w:lvl>
    <w:lvl w:ilvl="4" w:tplc="30EC4296" w:tentative="1">
      <w:start w:val="1"/>
      <w:numFmt w:val="lowerLetter"/>
      <w:lvlText w:val="%5."/>
      <w:lvlJc w:val="left"/>
      <w:pPr>
        <w:tabs>
          <w:tab w:val="num" w:pos="3600"/>
        </w:tabs>
        <w:ind w:left="3600" w:hanging="360"/>
      </w:pPr>
      <w:rPr>
        <w:rFonts w:cs="Times New Roman"/>
      </w:rPr>
    </w:lvl>
    <w:lvl w:ilvl="5" w:tplc="EFCAAD5E" w:tentative="1">
      <w:start w:val="1"/>
      <w:numFmt w:val="lowerRoman"/>
      <w:lvlText w:val="%6."/>
      <w:lvlJc w:val="right"/>
      <w:pPr>
        <w:tabs>
          <w:tab w:val="num" w:pos="4320"/>
        </w:tabs>
        <w:ind w:left="4320" w:hanging="180"/>
      </w:pPr>
      <w:rPr>
        <w:rFonts w:cs="Times New Roman"/>
      </w:rPr>
    </w:lvl>
    <w:lvl w:ilvl="6" w:tplc="65864E96" w:tentative="1">
      <w:start w:val="1"/>
      <w:numFmt w:val="decimal"/>
      <w:lvlText w:val="%7."/>
      <w:lvlJc w:val="left"/>
      <w:pPr>
        <w:tabs>
          <w:tab w:val="num" w:pos="5040"/>
        </w:tabs>
        <w:ind w:left="5040" w:hanging="360"/>
      </w:pPr>
      <w:rPr>
        <w:rFonts w:cs="Times New Roman"/>
      </w:rPr>
    </w:lvl>
    <w:lvl w:ilvl="7" w:tplc="524800CA" w:tentative="1">
      <w:start w:val="1"/>
      <w:numFmt w:val="lowerLetter"/>
      <w:lvlText w:val="%8."/>
      <w:lvlJc w:val="left"/>
      <w:pPr>
        <w:tabs>
          <w:tab w:val="num" w:pos="5760"/>
        </w:tabs>
        <w:ind w:left="5760" w:hanging="360"/>
      </w:pPr>
      <w:rPr>
        <w:rFonts w:cs="Times New Roman"/>
      </w:rPr>
    </w:lvl>
    <w:lvl w:ilvl="8" w:tplc="B0AEA066" w:tentative="1">
      <w:start w:val="1"/>
      <w:numFmt w:val="lowerRoman"/>
      <w:lvlText w:val="%9."/>
      <w:lvlJc w:val="right"/>
      <w:pPr>
        <w:tabs>
          <w:tab w:val="num" w:pos="6480"/>
        </w:tabs>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 w:numId="35">
    <w:abstractNumId w:val="0"/>
  </w:num>
  <w:num w:numId="36">
    <w:abstractNumId w:val="0"/>
  </w:num>
  <w:num w:numId="37">
    <w:abstractNumId w:val="0"/>
  </w:num>
  <w:num w:numId="38">
    <w:abstractNumId w:val="5"/>
  </w:num>
  <w:num w:numId="39">
    <w:abstractNumId w:val="7"/>
  </w:num>
  <w:num w:numId="40">
    <w:abstractNumId w:val="7"/>
  </w:num>
  <w:num w:numId="41">
    <w:abstractNumId w:val="3"/>
  </w:num>
  <w:num w:numId="42">
    <w:abstractNumId w:val="4"/>
  </w:num>
  <w:num w:numId="43">
    <w:abstractNumId w:val="1"/>
    <w:lvlOverride w:ilvl="0">
      <w:lvl w:ilvl="0">
        <w:start w:val="1"/>
        <w:numFmt w:val="decimal"/>
        <w:lvlText w:val="%1)"/>
        <w:lvlJc w:val="left"/>
        <w:rPr>
          <w:rFonts w:cs="Times New Roman"/>
        </w:rPr>
      </w:lvl>
    </w:lvlOverride>
    <w:lvlOverride w:ilvl="1">
      <w:lvl w:ilvl="1">
        <w:start w:val="1"/>
        <w:numFmt w:val="lowerLetter"/>
        <w:lvlText w:val="%2)"/>
        <w:lvlJc w:val="left"/>
        <w:rPr>
          <w:rFonts w:cs="Times New Roman"/>
        </w:rPr>
      </w:lvl>
    </w:lvlOverride>
    <w:lvlOverride w:ilvl="2">
      <w:lvl w:ilvl="2">
        <w:start w:val="1"/>
        <w:numFmt w:val="lowerRoman"/>
        <w:lvlText w:val="%3)"/>
        <w:lvlJc w:val="left"/>
        <w:rPr>
          <w:rFonts w:cs="Times New Roman"/>
        </w:rPr>
      </w:lvl>
    </w:lvlOverride>
    <w:lvlOverride w:ilvl="3">
      <w:lvl w:ilvl="3">
        <w:start w:val="1"/>
        <w:numFmt w:val="decimal"/>
        <w:lvlText w:val="(%4)"/>
        <w:lvlJc w:val="left"/>
        <w:rPr>
          <w:rFonts w:cs="Times New Roman"/>
        </w:rPr>
      </w:lvl>
    </w:lvlOverride>
    <w:lvlOverride w:ilvl="4">
      <w:lvl w:ilvl="4">
        <w:start w:val="1"/>
        <w:numFmt w:val="lowerLetter"/>
        <w:lvlText w:val="(%5)"/>
        <w:lvlJc w:val="left"/>
        <w:rPr>
          <w:rFonts w:cs="Times New Roman"/>
        </w:rPr>
      </w:lvl>
    </w:lvlOverride>
    <w:lvlOverride w:ilvl="5">
      <w:lvl w:ilvl="5">
        <w:start w:val="1"/>
        <w:numFmt w:val="lowerRoman"/>
        <w:lvlText w:val="(%6)"/>
        <w:lvlJc w:val="left"/>
        <w:rPr>
          <w:rFonts w:cs="Times New Roman"/>
        </w:rPr>
      </w:lvl>
    </w:lvlOverride>
    <w:lvlOverride w:ilvl="6">
      <w:lvl w:ilvl="6">
        <w:start w:val="1"/>
        <w:numFmt w:val="decimal"/>
        <w:lvlText w:val="%7."/>
        <w:lvlJc w:val="left"/>
        <w:rPr>
          <w:rFonts w:cs="Times New Roman"/>
        </w:rPr>
      </w:lvl>
    </w:lvlOverride>
    <w:lvlOverride w:ilvl="7">
      <w:lvl w:ilvl="7">
        <w:start w:val="1"/>
        <w:numFmt w:val="lowerLetter"/>
        <w:lvlText w:val="%8."/>
        <w:lvlJc w:val="left"/>
        <w:rPr>
          <w:rFonts w:cs="Times New Roman"/>
        </w:rPr>
      </w:lvl>
    </w:lvlOverride>
    <w:lvlOverride w:ilvl="8">
      <w:lvl w:ilvl="8">
        <w:start w:val="1"/>
        <w:numFmt w:val="lowerRoman"/>
        <w:lvlText w:val="%9."/>
        <w:lvlJc w:val="left"/>
        <w:rPr>
          <w:rFonts w:cs="Times New Roman"/>
        </w:rPr>
      </w:lvl>
    </w:lvlOverride>
  </w:num>
  <w:num w:numId="44">
    <w:abstractNumId w:val="1"/>
    <w:lvlOverride w:ilvl="0">
      <w:lvl w:ilvl="0">
        <w:start w:val="1"/>
        <w:numFmt w:val="upperRoman"/>
        <w:lvlText w:val="%1."/>
        <w:lvlJc w:val="left"/>
        <w:rPr>
          <w:rFonts w:cs="Times New Roman"/>
        </w:rPr>
      </w:lvl>
    </w:lvlOverride>
    <w:lvlOverride w:ilvl="1">
      <w:lvl w:ilvl="1">
        <w:start w:val="1"/>
        <w:numFmt w:val="upperLetter"/>
        <w:lvlText w:val="%2."/>
        <w:lvlJc w:val="left"/>
        <w:rPr>
          <w:rFonts w:cs="Times New Roman"/>
        </w:rPr>
      </w:lvl>
    </w:lvlOverride>
    <w:lvlOverride w:ilvl="2">
      <w:lvl w:ilvl="2">
        <w:start w:val="1"/>
        <w:numFmt w:val="decimal"/>
        <w:lvlText w:val="%3."/>
        <w:lvlJc w:val="left"/>
        <w:rPr>
          <w:rFonts w:cs="Times New Roman"/>
        </w:rPr>
      </w:lvl>
    </w:lvlOverride>
    <w:lvlOverride w:ilvl="3">
      <w:lvl w:ilvl="3">
        <w:start w:val="1"/>
        <w:numFmt w:val="lowerLetter"/>
        <w:lvlText w:val="%4)"/>
        <w:lvlJc w:val="left"/>
        <w:rPr>
          <w:rFonts w:cs="Times New Roman"/>
        </w:rPr>
      </w:lvl>
    </w:lvlOverride>
    <w:lvlOverride w:ilvl="4">
      <w:lvl w:ilvl="4">
        <w:start w:val="1"/>
        <w:numFmt w:val="decimal"/>
        <w:lvlText w:val="(%5)"/>
        <w:lvlJc w:val="left"/>
        <w:rPr>
          <w:rFonts w:cs="Times New Roman"/>
        </w:rPr>
      </w:lvl>
    </w:lvlOverride>
    <w:lvlOverride w:ilvl="5">
      <w:lvl w:ilvl="5">
        <w:start w:val="1"/>
        <w:numFmt w:val="lowerLetter"/>
        <w:lvlText w:val="(%6)"/>
        <w:lvlJc w:val="left"/>
        <w:rPr>
          <w:rFonts w:cs="Times New Roman"/>
        </w:rPr>
      </w:lvl>
    </w:lvlOverride>
    <w:lvlOverride w:ilvl="6">
      <w:lvl w:ilvl="6">
        <w:start w:val="1"/>
        <w:numFmt w:val="lowerRoman"/>
        <w:lvlText w:val="(%7)"/>
        <w:lvlJc w:val="left"/>
        <w:rPr>
          <w:rFonts w:cs="Times New Roman"/>
        </w:rPr>
      </w:lvl>
    </w:lvlOverride>
    <w:lvlOverride w:ilvl="7">
      <w:lvl w:ilvl="7">
        <w:start w:val="1"/>
        <w:numFmt w:val="lowerLetter"/>
        <w:lvlText w:val="(%8)"/>
        <w:lvlJc w:val="left"/>
        <w:rPr>
          <w:rFonts w:cs="Times New Roman"/>
        </w:rPr>
      </w:lvl>
    </w:lvlOverride>
    <w:lvlOverride w:ilvl="8">
      <w:lvl w:ilvl="8">
        <w:start w:val="1"/>
        <w:numFmt w:val="lowerRoman"/>
        <w:lvlText w:val="(%9)"/>
        <w:lvlJc w:val="left"/>
        <w:rPr>
          <w:rFonts w:cs="Times New Roman"/>
        </w:rPr>
      </w:lvl>
    </w:lvlOverride>
  </w:num>
  <w:num w:numId="45">
    <w:abstractNumId w:val="1"/>
    <w:lvlOverride w:ilvl="0">
      <w:lvl w:ilvl="0">
        <w:start w:val="1"/>
        <w:numFmt w:val="decimal"/>
        <w:lvlText w:val="%1."/>
        <w:lvlJc w:val="left"/>
        <w:rPr>
          <w:rFonts w:cs="Times New Roman"/>
        </w:rPr>
      </w:lvl>
    </w:lvlOverride>
    <w:lvlOverride w:ilvl="1">
      <w:lvl w:ilvl="1">
        <w:start w:val="1"/>
        <w:numFmt w:val="decimal"/>
        <w:lvlText w:val="%1.%2."/>
        <w:lvlJc w:val="left"/>
        <w:rPr>
          <w:rFonts w:cs="Times New Roman"/>
        </w:rPr>
      </w:lvl>
    </w:lvlOverride>
    <w:lvlOverride w:ilvl="2">
      <w:lvl w:ilvl="2">
        <w:start w:val="1"/>
        <w:numFmt w:val="decimal"/>
        <w:lvlText w:val="%1.%2.%3."/>
        <w:lvlJc w:val="left"/>
        <w:rPr>
          <w:rFonts w:cs="Times New Roman"/>
        </w:rPr>
      </w:lvl>
    </w:lvlOverride>
    <w:lvlOverride w:ilvl="3">
      <w:lvl w:ilvl="3">
        <w:start w:val="1"/>
        <w:numFmt w:val="decimal"/>
        <w:lvlText w:val="%1.%2.%3.%4."/>
        <w:lvlJc w:val="left"/>
        <w:rPr>
          <w:rFonts w:cs="Times New Roman"/>
        </w:rPr>
      </w:lvl>
    </w:lvlOverride>
    <w:lvlOverride w:ilvl="4">
      <w:lvl w:ilvl="4">
        <w:start w:val="1"/>
        <w:numFmt w:val="decimal"/>
        <w:lvlText w:val="%1.%2.%3.%4.%5."/>
        <w:lvlJc w:val="left"/>
        <w:rPr>
          <w:rFonts w:cs="Times New Roman"/>
        </w:rPr>
      </w:lvl>
    </w:lvlOverride>
    <w:lvlOverride w:ilvl="5">
      <w:lvl w:ilvl="5">
        <w:start w:val="1"/>
        <w:numFmt w:val="decimal"/>
        <w:lvlText w:val="%1.%2.%3.%4.%5.%6."/>
        <w:lvlJc w:val="left"/>
        <w:rPr>
          <w:rFonts w:cs="Times New Roman"/>
        </w:rPr>
      </w:lvl>
    </w:lvlOverride>
    <w:lvlOverride w:ilvl="6">
      <w:lvl w:ilvl="6">
        <w:start w:val="1"/>
        <w:numFmt w:val="decimal"/>
        <w:lvlText w:val="%1.%2.%3.%4.%5.%6.%7."/>
        <w:lvlJc w:val="left"/>
        <w:rPr>
          <w:rFonts w:cs="Times New Roman"/>
        </w:rPr>
      </w:lvl>
    </w:lvlOverride>
    <w:lvlOverride w:ilvl="7">
      <w:lvl w:ilvl="7">
        <w:start w:val="1"/>
        <w:numFmt w:val="decimal"/>
        <w:lvlText w:val="%1.%2.%3.%4.%5.%6.%7.%8."/>
        <w:lvlJc w:val="left"/>
        <w:rPr>
          <w:rFonts w:cs="Times New Roman"/>
        </w:rPr>
      </w:lvl>
    </w:lvlOverride>
    <w:lvlOverride w:ilvl="8">
      <w:lvl w:ilvl="8">
        <w:start w:val="1"/>
        <w:numFmt w:val="decimal"/>
        <w:lvlText w:val="%1.%2.%3.%4.%5.%6.%7.%8.%9."/>
        <w:lvlJc w:val="left"/>
        <w:rPr>
          <w:rFonts w:cs="Times New Roman"/>
        </w:rPr>
      </w:lvl>
    </w:lvlOverride>
  </w:num>
  <w:num w:numId="46">
    <w:abstractNumId w:val="6"/>
    <w:lvlOverride w:ilvl="0">
      <w:lvl w:ilvl="0">
        <w:start w:val="1"/>
        <w:numFmt w:val="decimal"/>
        <w:lvlText w:val="%1)"/>
        <w:lvlJc w:val="left"/>
        <w:rPr>
          <w:rFonts w:cs="Times New Roman"/>
        </w:rPr>
      </w:lvl>
    </w:lvlOverride>
    <w:lvlOverride w:ilvl="1">
      <w:lvl w:ilvl="1">
        <w:start w:val="1"/>
        <w:numFmt w:val="lowerLetter"/>
        <w:lvlText w:val="%2)"/>
        <w:lvlJc w:val="left"/>
        <w:rPr>
          <w:rFonts w:cs="Times New Roman"/>
        </w:rPr>
      </w:lvl>
    </w:lvlOverride>
    <w:lvlOverride w:ilvl="2">
      <w:lvl w:ilvl="2">
        <w:start w:val="1"/>
        <w:numFmt w:val="lowerRoman"/>
        <w:lvlText w:val="%3)"/>
        <w:lvlJc w:val="left"/>
        <w:rPr>
          <w:rFonts w:cs="Times New Roman"/>
        </w:rPr>
      </w:lvl>
    </w:lvlOverride>
    <w:lvlOverride w:ilvl="3">
      <w:lvl w:ilvl="3">
        <w:start w:val="1"/>
        <w:numFmt w:val="decimal"/>
        <w:lvlText w:val="(%4)"/>
        <w:lvlJc w:val="left"/>
        <w:rPr>
          <w:rFonts w:cs="Times New Roman"/>
        </w:rPr>
      </w:lvl>
    </w:lvlOverride>
    <w:lvlOverride w:ilvl="4">
      <w:lvl w:ilvl="4">
        <w:start w:val="1"/>
        <w:numFmt w:val="lowerLetter"/>
        <w:lvlText w:val="(%5)"/>
        <w:lvlJc w:val="left"/>
        <w:rPr>
          <w:rFonts w:cs="Times New Roman"/>
        </w:rPr>
      </w:lvl>
    </w:lvlOverride>
    <w:lvlOverride w:ilvl="5">
      <w:lvl w:ilvl="5">
        <w:start w:val="1"/>
        <w:numFmt w:val="lowerRoman"/>
        <w:lvlText w:val="(%6)"/>
        <w:lvlJc w:val="left"/>
        <w:rPr>
          <w:rFonts w:cs="Times New Roman"/>
        </w:rPr>
      </w:lvl>
    </w:lvlOverride>
    <w:lvlOverride w:ilvl="6">
      <w:lvl w:ilvl="6">
        <w:start w:val="1"/>
        <w:numFmt w:val="decimal"/>
        <w:lvlText w:val="%7."/>
        <w:lvlJc w:val="left"/>
        <w:rPr>
          <w:rFonts w:cs="Times New Roman"/>
        </w:rPr>
      </w:lvl>
    </w:lvlOverride>
    <w:lvlOverride w:ilvl="7">
      <w:lvl w:ilvl="7">
        <w:start w:val="1"/>
        <w:numFmt w:val="lowerLetter"/>
        <w:lvlText w:val="%8."/>
        <w:lvlJc w:val="left"/>
        <w:rPr>
          <w:rFonts w:cs="Times New Roman"/>
        </w:rPr>
      </w:lvl>
    </w:lvlOverride>
    <w:lvlOverride w:ilvl="8">
      <w:lvl w:ilvl="8">
        <w:start w:val="1"/>
        <w:numFmt w:val="lowerRoman"/>
        <w:lvlText w:val="%9."/>
        <w:lvlJc w:val="left"/>
        <w:rPr>
          <w:rFonts w:cs="Times New Roman"/>
        </w:rPr>
      </w:lvl>
    </w:lvlOverride>
  </w:num>
  <w:num w:numId="47">
    <w:abstractNumId w:val="6"/>
    <w:lvlOverride w:ilvl="0">
      <w:lvl w:ilvl="0">
        <w:start w:val="1"/>
        <w:numFmt w:val="upperRoman"/>
        <w:lvlText w:val="%1."/>
        <w:lvlJc w:val="left"/>
        <w:rPr>
          <w:rFonts w:cs="Times New Roman"/>
        </w:rPr>
      </w:lvl>
    </w:lvlOverride>
    <w:lvlOverride w:ilvl="1">
      <w:lvl w:ilvl="1">
        <w:start w:val="1"/>
        <w:numFmt w:val="upperLetter"/>
        <w:lvlText w:val="%2."/>
        <w:lvlJc w:val="left"/>
        <w:rPr>
          <w:rFonts w:cs="Times New Roman"/>
        </w:rPr>
      </w:lvl>
    </w:lvlOverride>
    <w:lvlOverride w:ilvl="2">
      <w:lvl w:ilvl="2">
        <w:start w:val="1"/>
        <w:numFmt w:val="decimal"/>
        <w:lvlText w:val="%3."/>
        <w:lvlJc w:val="left"/>
        <w:rPr>
          <w:rFonts w:cs="Times New Roman"/>
        </w:rPr>
      </w:lvl>
    </w:lvlOverride>
    <w:lvlOverride w:ilvl="3">
      <w:lvl w:ilvl="3">
        <w:start w:val="1"/>
        <w:numFmt w:val="lowerLetter"/>
        <w:lvlText w:val="%4)"/>
        <w:lvlJc w:val="left"/>
        <w:rPr>
          <w:rFonts w:cs="Times New Roman"/>
        </w:rPr>
      </w:lvl>
    </w:lvlOverride>
    <w:lvlOverride w:ilvl="4">
      <w:lvl w:ilvl="4">
        <w:start w:val="1"/>
        <w:numFmt w:val="decimal"/>
        <w:lvlText w:val="(%5)"/>
        <w:lvlJc w:val="left"/>
        <w:rPr>
          <w:rFonts w:cs="Times New Roman"/>
        </w:rPr>
      </w:lvl>
    </w:lvlOverride>
    <w:lvlOverride w:ilvl="5">
      <w:lvl w:ilvl="5">
        <w:start w:val="1"/>
        <w:numFmt w:val="lowerLetter"/>
        <w:lvlText w:val="(%6)"/>
        <w:lvlJc w:val="left"/>
        <w:rPr>
          <w:rFonts w:cs="Times New Roman"/>
        </w:rPr>
      </w:lvl>
    </w:lvlOverride>
    <w:lvlOverride w:ilvl="6">
      <w:lvl w:ilvl="6">
        <w:start w:val="1"/>
        <w:numFmt w:val="lowerRoman"/>
        <w:lvlText w:val="(%7)"/>
        <w:lvlJc w:val="left"/>
        <w:rPr>
          <w:rFonts w:cs="Times New Roman"/>
        </w:rPr>
      </w:lvl>
    </w:lvlOverride>
    <w:lvlOverride w:ilvl="7">
      <w:lvl w:ilvl="7">
        <w:start w:val="1"/>
        <w:numFmt w:val="lowerLetter"/>
        <w:lvlText w:val="(%8)"/>
        <w:lvlJc w:val="left"/>
        <w:rPr>
          <w:rFonts w:cs="Times New Roman"/>
        </w:rPr>
      </w:lvl>
    </w:lvlOverride>
    <w:lvlOverride w:ilvl="8">
      <w:lvl w:ilvl="8">
        <w:start w:val="1"/>
        <w:numFmt w:val="lowerRoman"/>
        <w:lvlText w:val="(%9)"/>
        <w:lvlJc w:val="left"/>
        <w:rPr>
          <w:rFonts w:cs="Times New Roman"/>
        </w:rPr>
      </w:lvl>
    </w:lvlOverride>
  </w:num>
  <w:num w:numId="48">
    <w:abstractNumId w:val="6"/>
    <w:lvlOverride w:ilvl="0">
      <w:lvl w:ilvl="0">
        <w:start w:val="1"/>
        <w:numFmt w:val="decimal"/>
        <w:lvlText w:val="%1."/>
        <w:lvlJc w:val="left"/>
        <w:rPr>
          <w:rFonts w:cs="Times New Roman"/>
        </w:rPr>
      </w:lvl>
    </w:lvlOverride>
    <w:lvlOverride w:ilvl="1">
      <w:lvl w:ilvl="1">
        <w:start w:val="1"/>
        <w:numFmt w:val="decimal"/>
        <w:lvlText w:val="%1.%2."/>
        <w:lvlJc w:val="left"/>
        <w:rPr>
          <w:rFonts w:cs="Times New Roman"/>
        </w:rPr>
      </w:lvl>
    </w:lvlOverride>
    <w:lvlOverride w:ilvl="2">
      <w:lvl w:ilvl="2">
        <w:start w:val="1"/>
        <w:numFmt w:val="decimal"/>
        <w:lvlText w:val="%1.%2.%3."/>
        <w:lvlJc w:val="left"/>
        <w:rPr>
          <w:rFonts w:cs="Times New Roman"/>
        </w:rPr>
      </w:lvl>
    </w:lvlOverride>
    <w:lvlOverride w:ilvl="3">
      <w:lvl w:ilvl="3">
        <w:start w:val="1"/>
        <w:numFmt w:val="decimal"/>
        <w:lvlText w:val="%1.%2.%3.%4."/>
        <w:lvlJc w:val="left"/>
        <w:rPr>
          <w:rFonts w:cs="Times New Roman"/>
        </w:rPr>
      </w:lvl>
    </w:lvlOverride>
    <w:lvlOverride w:ilvl="4">
      <w:lvl w:ilvl="4">
        <w:start w:val="1"/>
        <w:numFmt w:val="decimal"/>
        <w:lvlText w:val="%1.%2.%3.%4.%5."/>
        <w:lvlJc w:val="left"/>
        <w:rPr>
          <w:rFonts w:cs="Times New Roman"/>
        </w:rPr>
      </w:lvl>
    </w:lvlOverride>
    <w:lvlOverride w:ilvl="5">
      <w:lvl w:ilvl="5">
        <w:start w:val="1"/>
        <w:numFmt w:val="decimal"/>
        <w:lvlText w:val="%1.%2.%3.%4.%5.%6."/>
        <w:lvlJc w:val="left"/>
        <w:rPr>
          <w:rFonts w:cs="Times New Roman"/>
        </w:rPr>
      </w:lvl>
    </w:lvlOverride>
    <w:lvlOverride w:ilvl="6">
      <w:lvl w:ilvl="6">
        <w:start w:val="1"/>
        <w:numFmt w:val="decimal"/>
        <w:lvlText w:val="%1.%2.%3.%4.%5.%6.%7."/>
        <w:lvlJc w:val="left"/>
        <w:rPr>
          <w:rFonts w:cs="Times New Roman"/>
        </w:rPr>
      </w:lvl>
    </w:lvlOverride>
    <w:lvlOverride w:ilvl="7">
      <w:lvl w:ilvl="7">
        <w:start w:val="1"/>
        <w:numFmt w:val="decimal"/>
        <w:lvlText w:val="%1.%2.%3.%4.%5.%6.%7.%8."/>
        <w:lvlJc w:val="left"/>
        <w:rPr>
          <w:rFonts w:cs="Times New Roman"/>
        </w:rPr>
      </w:lvl>
    </w:lvlOverride>
    <w:lvlOverride w:ilvl="8">
      <w:lvl w:ilvl="8">
        <w:start w:val="1"/>
        <w:numFmt w:val="decimal"/>
        <w:lvlText w:val="%1.%2.%3.%4.%5.%6.%7.%8.%9."/>
        <w:lvlJc w:val="left"/>
        <w:rPr>
          <w:rFonts w:cs="Times New Roman"/>
        </w:rPr>
      </w:lvl>
    </w:lvlOverride>
  </w:num>
  <w:num w:numId="49">
    <w:abstractNumId w:val="2"/>
    <w:lvlOverride w:ilvl="0">
      <w:lvl w:ilvl="0">
        <w:start w:val="1"/>
        <w:numFmt w:val="decimal"/>
        <w:lvlText w:val="%1)"/>
        <w:lvlJc w:val="left"/>
        <w:rPr>
          <w:rFonts w:cs="Times New Roman"/>
        </w:rPr>
      </w:lvl>
    </w:lvlOverride>
    <w:lvlOverride w:ilvl="1">
      <w:lvl w:ilvl="1">
        <w:start w:val="1"/>
        <w:numFmt w:val="lowerLetter"/>
        <w:lvlText w:val="%2)"/>
        <w:lvlJc w:val="left"/>
        <w:rPr>
          <w:rFonts w:cs="Times New Roman"/>
        </w:rPr>
      </w:lvl>
    </w:lvlOverride>
    <w:lvlOverride w:ilvl="2">
      <w:lvl w:ilvl="2">
        <w:start w:val="1"/>
        <w:numFmt w:val="lowerRoman"/>
        <w:lvlText w:val="%3)"/>
        <w:lvlJc w:val="left"/>
        <w:rPr>
          <w:rFonts w:cs="Times New Roman"/>
        </w:rPr>
      </w:lvl>
    </w:lvlOverride>
    <w:lvlOverride w:ilvl="3">
      <w:lvl w:ilvl="3">
        <w:start w:val="1"/>
        <w:numFmt w:val="decimal"/>
        <w:lvlText w:val="(%4)"/>
        <w:lvlJc w:val="left"/>
        <w:rPr>
          <w:rFonts w:cs="Times New Roman"/>
        </w:rPr>
      </w:lvl>
    </w:lvlOverride>
    <w:lvlOverride w:ilvl="4">
      <w:lvl w:ilvl="4">
        <w:start w:val="1"/>
        <w:numFmt w:val="lowerLetter"/>
        <w:lvlText w:val="(%5)"/>
        <w:lvlJc w:val="left"/>
        <w:rPr>
          <w:rFonts w:cs="Times New Roman"/>
        </w:rPr>
      </w:lvl>
    </w:lvlOverride>
    <w:lvlOverride w:ilvl="5">
      <w:lvl w:ilvl="5">
        <w:start w:val="1"/>
        <w:numFmt w:val="lowerRoman"/>
        <w:lvlText w:val="(%6)"/>
        <w:lvlJc w:val="left"/>
        <w:rPr>
          <w:rFonts w:cs="Times New Roman"/>
        </w:rPr>
      </w:lvl>
    </w:lvlOverride>
    <w:lvlOverride w:ilvl="6">
      <w:lvl w:ilvl="6">
        <w:start w:val="1"/>
        <w:numFmt w:val="decimal"/>
        <w:lvlText w:val="%7."/>
        <w:lvlJc w:val="left"/>
        <w:rPr>
          <w:rFonts w:cs="Times New Roman"/>
        </w:rPr>
      </w:lvl>
    </w:lvlOverride>
    <w:lvlOverride w:ilvl="7">
      <w:lvl w:ilvl="7">
        <w:start w:val="1"/>
        <w:numFmt w:val="lowerLetter"/>
        <w:lvlText w:val="%8."/>
        <w:lvlJc w:val="left"/>
        <w:rPr>
          <w:rFonts w:cs="Times New Roman"/>
        </w:rPr>
      </w:lvl>
    </w:lvlOverride>
    <w:lvlOverride w:ilvl="8">
      <w:lvl w:ilvl="8">
        <w:start w:val="1"/>
        <w:numFmt w:val="lowerRoman"/>
        <w:lvlText w:val="%9."/>
        <w:lvlJc w:val="left"/>
        <w:rPr>
          <w:rFonts w:cs="Times New Roman"/>
        </w:rPr>
      </w:lvl>
    </w:lvlOverride>
  </w:num>
  <w:num w:numId="50">
    <w:abstractNumId w:val="2"/>
    <w:lvlOverride w:ilvl="0">
      <w:lvl w:ilvl="0">
        <w:start w:val="1"/>
        <w:numFmt w:val="upperRoman"/>
        <w:lvlText w:val="%1."/>
        <w:lvlJc w:val="left"/>
        <w:rPr>
          <w:rFonts w:cs="Times New Roman"/>
        </w:rPr>
      </w:lvl>
    </w:lvlOverride>
    <w:lvlOverride w:ilvl="1">
      <w:lvl w:ilvl="1">
        <w:start w:val="1"/>
        <w:numFmt w:val="upperLetter"/>
        <w:lvlText w:val="%2."/>
        <w:lvlJc w:val="left"/>
        <w:rPr>
          <w:rFonts w:cs="Times New Roman"/>
        </w:rPr>
      </w:lvl>
    </w:lvlOverride>
    <w:lvlOverride w:ilvl="2">
      <w:lvl w:ilvl="2">
        <w:start w:val="1"/>
        <w:numFmt w:val="decimal"/>
        <w:lvlText w:val="%3."/>
        <w:lvlJc w:val="left"/>
        <w:rPr>
          <w:rFonts w:cs="Times New Roman"/>
        </w:rPr>
      </w:lvl>
    </w:lvlOverride>
    <w:lvlOverride w:ilvl="3">
      <w:lvl w:ilvl="3">
        <w:start w:val="1"/>
        <w:numFmt w:val="lowerLetter"/>
        <w:lvlText w:val="%4)"/>
        <w:lvlJc w:val="left"/>
        <w:rPr>
          <w:rFonts w:cs="Times New Roman"/>
        </w:rPr>
      </w:lvl>
    </w:lvlOverride>
    <w:lvlOverride w:ilvl="4">
      <w:lvl w:ilvl="4">
        <w:start w:val="1"/>
        <w:numFmt w:val="decimal"/>
        <w:lvlText w:val="(%5)"/>
        <w:lvlJc w:val="left"/>
        <w:rPr>
          <w:rFonts w:cs="Times New Roman"/>
        </w:rPr>
      </w:lvl>
    </w:lvlOverride>
    <w:lvlOverride w:ilvl="5">
      <w:lvl w:ilvl="5">
        <w:start w:val="1"/>
        <w:numFmt w:val="lowerLetter"/>
        <w:lvlText w:val="(%6)"/>
        <w:lvlJc w:val="left"/>
        <w:rPr>
          <w:rFonts w:cs="Times New Roman"/>
        </w:rPr>
      </w:lvl>
    </w:lvlOverride>
    <w:lvlOverride w:ilvl="6">
      <w:lvl w:ilvl="6">
        <w:start w:val="1"/>
        <w:numFmt w:val="lowerRoman"/>
        <w:lvlText w:val="(%7)"/>
        <w:lvlJc w:val="left"/>
        <w:rPr>
          <w:rFonts w:cs="Times New Roman"/>
        </w:rPr>
      </w:lvl>
    </w:lvlOverride>
    <w:lvlOverride w:ilvl="7">
      <w:lvl w:ilvl="7">
        <w:start w:val="1"/>
        <w:numFmt w:val="lowerLetter"/>
        <w:lvlText w:val="(%8)"/>
        <w:lvlJc w:val="left"/>
        <w:rPr>
          <w:rFonts w:cs="Times New Roman"/>
        </w:rPr>
      </w:lvl>
    </w:lvlOverride>
    <w:lvlOverride w:ilvl="8">
      <w:lvl w:ilvl="8">
        <w:start w:val="1"/>
        <w:numFmt w:val="lowerRoman"/>
        <w:lvlText w:val="(%9)"/>
        <w:lvlJc w:val="left"/>
        <w:rPr>
          <w:rFonts w:cs="Times New Roman"/>
        </w:rPr>
      </w:lvl>
    </w:lvlOverride>
  </w:num>
  <w:num w:numId="51">
    <w:abstractNumId w:val="2"/>
    <w:lvlOverride w:ilvl="0">
      <w:lvl w:ilvl="0">
        <w:start w:val="1"/>
        <w:numFmt w:val="decimal"/>
        <w:lvlText w:val="%1."/>
        <w:lvlJc w:val="left"/>
        <w:rPr>
          <w:rFonts w:cs="Times New Roman"/>
        </w:rPr>
      </w:lvl>
    </w:lvlOverride>
    <w:lvlOverride w:ilvl="1">
      <w:lvl w:ilvl="1">
        <w:start w:val="1"/>
        <w:numFmt w:val="decimal"/>
        <w:lvlText w:val="%1.%2."/>
        <w:lvlJc w:val="left"/>
        <w:rPr>
          <w:rFonts w:cs="Times New Roman"/>
        </w:rPr>
      </w:lvl>
    </w:lvlOverride>
    <w:lvlOverride w:ilvl="2">
      <w:lvl w:ilvl="2">
        <w:start w:val="1"/>
        <w:numFmt w:val="decimal"/>
        <w:lvlText w:val="%1.%2.%3."/>
        <w:lvlJc w:val="left"/>
        <w:rPr>
          <w:rFonts w:cs="Times New Roman"/>
        </w:rPr>
      </w:lvl>
    </w:lvlOverride>
    <w:lvlOverride w:ilvl="3">
      <w:lvl w:ilvl="3">
        <w:start w:val="1"/>
        <w:numFmt w:val="decimal"/>
        <w:lvlText w:val="%1.%2.%3.%4."/>
        <w:lvlJc w:val="left"/>
        <w:rPr>
          <w:rFonts w:cs="Times New Roman"/>
        </w:rPr>
      </w:lvl>
    </w:lvlOverride>
    <w:lvlOverride w:ilvl="4">
      <w:lvl w:ilvl="4">
        <w:start w:val="1"/>
        <w:numFmt w:val="decimal"/>
        <w:lvlText w:val="%1.%2.%3.%4.%5."/>
        <w:lvlJc w:val="left"/>
        <w:rPr>
          <w:rFonts w:cs="Times New Roman"/>
        </w:rPr>
      </w:lvl>
    </w:lvlOverride>
    <w:lvlOverride w:ilvl="5">
      <w:lvl w:ilvl="5">
        <w:start w:val="1"/>
        <w:numFmt w:val="decimal"/>
        <w:lvlText w:val="%1.%2.%3.%4.%5.%6."/>
        <w:lvlJc w:val="left"/>
        <w:rPr>
          <w:rFonts w:cs="Times New Roman"/>
        </w:rPr>
      </w:lvl>
    </w:lvlOverride>
    <w:lvlOverride w:ilvl="6">
      <w:lvl w:ilvl="6">
        <w:start w:val="1"/>
        <w:numFmt w:val="decimal"/>
        <w:lvlText w:val="%1.%2.%3.%4.%5.%6.%7."/>
        <w:lvlJc w:val="left"/>
        <w:rPr>
          <w:rFonts w:cs="Times New Roman"/>
        </w:rPr>
      </w:lvl>
    </w:lvlOverride>
    <w:lvlOverride w:ilvl="7">
      <w:lvl w:ilvl="7">
        <w:start w:val="1"/>
        <w:numFmt w:val="decimal"/>
        <w:lvlText w:val="%1.%2.%3.%4.%5.%6.%7.%8."/>
        <w:lvlJc w:val="left"/>
        <w:rPr>
          <w:rFonts w:cs="Times New Roman"/>
        </w:rPr>
      </w:lvl>
    </w:lvlOverride>
    <w:lvlOverride w:ilvl="8">
      <w:lvl w:ilvl="8">
        <w:start w:val="1"/>
        <w:numFmt w:val="decimal"/>
        <w:lvlText w:val="%1.%2.%3.%4.%5.%6.%7.%8.%9."/>
        <w:lvlJc w:val="left"/>
        <w:rPr>
          <w:rFonts w:cs="Times New Roman"/>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stylePaneFormatFilter w:val="1F08"/>
  <w:defaultTabStop w:val="709"/>
  <w:hyphenationZone w:val="425"/>
  <w:evenAndOddHeaders/>
  <w:drawingGridHorizontalSpacing w:val="187"/>
  <w:displayHorizontalDrawingGridEvery w:val="0"/>
  <w:displayVerticalDrawingGridEvery w:val="0"/>
  <w:noPunctuationKerning/>
  <w:characterSpacingControl w:val="doNotCompress"/>
  <w:footnotePr>
    <w:numRestart w:val="eachPage"/>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212CAC"/>
    <w:rsid w:val="00000F77"/>
    <w:rsid w:val="00001CC5"/>
    <w:rsid w:val="00005753"/>
    <w:rsid w:val="00006196"/>
    <w:rsid w:val="00006938"/>
    <w:rsid w:val="00007E2A"/>
    <w:rsid w:val="00012159"/>
    <w:rsid w:val="000125D0"/>
    <w:rsid w:val="00013475"/>
    <w:rsid w:val="000200B0"/>
    <w:rsid w:val="00021E3B"/>
    <w:rsid w:val="00022EAB"/>
    <w:rsid w:val="000233CE"/>
    <w:rsid w:val="000249BA"/>
    <w:rsid w:val="0002584C"/>
    <w:rsid w:val="00025C8B"/>
    <w:rsid w:val="00026340"/>
    <w:rsid w:val="00026990"/>
    <w:rsid w:val="00027BF5"/>
    <w:rsid w:val="00030812"/>
    <w:rsid w:val="00032787"/>
    <w:rsid w:val="00032FE8"/>
    <w:rsid w:val="00033FD2"/>
    <w:rsid w:val="00034B18"/>
    <w:rsid w:val="00035B62"/>
    <w:rsid w:val="00035E3C"/>
    <w:rsid w:val="0003679E"/>
    <w:rsid w:val="00042867"/>
    <w:rsid w:val="00046753"/>
    <w:rsid w:val="00050805"/>
    <w:rsid w:val="000511F1"/>
    <w:rsid w:val="00051203"/>
    <w:rsid w:val="00052C36"/>
    <w:rsid w:val="000530E3"/>
    <w:rsid w:val="0005545B"/>
    <w:rsid w:val="00055AC1"/>
    <w:rsid w:val="00056B7F"/>
    <w:rsid w:val="00056F61"/>
    <w:rsid w:val="000572A8"/>
    <w:rsid w:val="000642D8"/>
    <w:rsid w:val="00064571"/>
    <w:rsid w:val="00064753"/>
    <w:rsid w:val="00067404"/>
    <w:rsid w:val="00070F1A"/>
    <w:rsid w:val="00071FA2"/>
    <w:rsid w:val="000720FC"/>
    <w:rsid w:val="000726F6"/>
    <w:rsid w:val="00075548"/>
    <w:rsid w:val="0007671F"/>
    <w:rsid w:val="00076A67"/>
    <w:rsid w:val="00077097"/>
    <w:rsid w:val="000775F1"/>
    <w:rsid w:val="000776DA"/>
    <w:rsid w:val="00082BEE"/>
    <w:rsid w:val="000842F6"/>
    <w:rsid w:val="000847D8"/>
    <w:rsid w:val="00084DA9"/>
    <w:rsid w:val="00085837"/>
    <w:rsid w:val="00085B3A"/>
    <w:rsid w:val="00090084"/>
    <w:rsid w:val="000901B5"/>
    <w:rsid w:val="000906B8"/>
    <w:rsid w:val="00090C82"/>
    <w:rsid w:val="00094D4F"/>
    <w:rsid w:val="000A25A4"/>
    <w:rsid w:val="000A4017"/>
    <w:rsid w:val="000A45B2"/>
    <w:rsid w:val="000A5A7B"/>
    <w:rsid w:val="000A7166"/>
    <w:rsid w:val="000A7C2A"/>
    <w:rsid w:val="000A7CC3"/>
    <w:rsid w:val="000B1E8D"/>
    <w:rsid w:val="000B438B"/>
    <w:rsid w:val="000B560F"/>
    <w:rsid w:val="000C01B6"/>
    <w:rsid w:val="000C1A84"/>
    <w:rsid w:val="000C1BEB"/>
    <w:rsid w:val="000C2296"/>
    <w:rsid w:val="000C72B7"/>
    <w:rsid w:val="000C7E98"/>
    <w:rsid w:val="000D0AB1"/>
    <w:rsid w:val="000D0B67"/>
    <w:rsid w:val="000D19E7"/>
    <w:rsid w:val="000D44C2"/>
    <w:rsid w:val="000D6108"/>
    <w:rsid w:val="000D68F2"/>
    <w:rsid w:val="000E0DE1"/>
    <w:rsid w:val="000E1449"/>
    <w:rsid w:val="000E320F"/>
    <w:rsid w:val="000E7279"/>
    <w:rsid w:val="000E72CC"/>
    <w:rsid w:val="000E746A"/>
    <w:rsid w:val="000F03DE"/>
    <w:rsid w:val="000F198D"/>
    <w:rsid w:val="000F29EE"/>
    <w:rsid w:val="000F46A8"/>
    <w:rsid w:val="000F4AF0"/>
    <w:rsid w:val="000F5BF3"/>
    <w:rsid w:val="000F6343"/>
    <w:rsid w:val="000F699D"/>
    <w:rsid w:val="000F7900"/>
    <w:rsid w:val="00100443"/>
    <w:rsid w:val="001021C0"/>
    <w:rsid w:val="001022AC"/>
    <w:rsid w:val="00104AD1"/>
    <w:rsid w:val="00105674"/>
    <w:rsid w:val="00110970"/>
    <w:rsid w:val="00110E67"/>
    <w:rsid w:val="00111D99"/>
    <w:rsid w:val="001161A3"/>
    <w:rsid w:val="0011665B"/>
    <w:rsid w:val="00121734"/>
    <w:rsid w:val="001232CA"/>
    <w:rsid w:val="0012546B"/>
    <w:rsid w:val="001259B9"/>
    <w:rsid w:val="00126213"/>
    <w:rsid w:val="00126C56"/>
    <w:rsid w:val="001301B9"/>
    <w:rsid w:val="00133354"/>
    <w:rsid w:val="00133C23"/>
    <w:rsid w:val="00134EE6"/>
    <w:rsid w:val="00135BFC"/>
    <w:rsid w:val="00140853"/>
    <w:rsid w:val="00141147"/>
    <w:rsid w:val="00142256"/>
    <w:rsid w:val="00142C11"/>
    <w:rsid w:val="00143B35"/>
    <w:rsid w:val="00144004"/>
    <w:rsid w:val="0014433D"/>
    <w:rsid w:val="00144953"/>
    <w:rsid w:val="00144B04"/>
    <w:rsid w:val="00146FFA"/>
    <w:rsid w:val="00147B7B"/>
    <w:rsid w:val="0015041A"/>
    <w:rsid w:val="00150A8A"/>
    <w:rsid w:val="00150BFA"/>
    <w:rsid w:val="00150EF0"/>
    <w:rsid w:val="00151CCA"/>
    <w:rsid w:val="00155BFC"/>
    <w:rsid w:val="0015631C"/>
    <w:rsid w:val="001629B9"/>
    <w:rsid w:val="00162EE3"/>
    <w:rsid w:val="00163E15"/>
    <w:rsid w:val="00164B03"/>
    <w:rsid w:val="00167C3F"/>
    <w:rsid w:val="00172C4F"/>
    <w:rsid w:val="00173B81"/>
    <w:rsid w:val="00175FB4"/>
    <w:rsid w:val="001761B1"/>
    <w:rsid w:val="001808CE"/>
    <w:rsid w:val="001812B2"/>
    <w:rsid w:val="001818E1"/>
    <w:rsid w:val="0018207E"/>
    <w:rsid w:val="001825DB"/>
    <w:rsid w:val="00182B02"/>
    <w:rsid w:val="00183534"/>
    <w:rsid w:val="001836C3"/>
    <w:rsid w:val="00184D88"/>
    <w:rsid w:val="00185785"/>
    <w:rsid w:val="00190882"/>
    <w:rsid w:val="001924EB"/>
    <w:rsid w:val="00192BB5"/>
    <w:rsid w:val="0019397D"/>
    <w:rsid w:val="00194214"/>
    <w:rsid w:val="00196231"/>
    <w:rsid w:val="00197C29"/>
    <w:rsid w:val="00197ECE"/>
    <w:rsid w:val="001A09BF"/>
    <w:rsid w:val="001A0EBE"/>
    <w:rsid w:val="001A1F0F"/>
    <w:rsid w:val="001A48CC"/>
    <w:rsid w:val="001A4FF7"/>
    <w:rsid w:val="001A7F45"/>
    <w:rsid w:val="001B31C9"/>
    <w:rsid w:val="001B4210"/>
    <w:rsid w:val="001B5845"/>
    <w:rsid w:val="001B58F9"/>
    <w:rsid w:val="001B62B1"/>
    <w:rsid w:val="001B63BB"/>
    <w:rsid w:val="001B74F7"/>
    <w:rsid w:val="001C0DC0"/>
    <w:rsid w:val="001C3F85"/>
    <w:rsid w:val="001C520D"/>
    <w:rsid w:val="001C5737"/>
    <w:rsid w:val="001C5C49"/>
    <w:rsid w:val="001C6317"/>
    <w:rsid w:val="001C66B9"/>
    <w:rsid w:val="001D1F68"/>
    <w:rsid w:val="001D2040"/>
    <w:rsid w:val="001D23DC"/>
    <w:rsid w:val="001D37E0"/>
    <w:rsid w:val="001D4ACA"/>
    <w:rsid w:val="001D61C1"/>
    <w:rsid w:val="001D6234"/>
    <w:rsid w:val="001D7462"/>
    <w:rsid w:val="001D7825"/>
    <w:rsid w:val="001D796C"/>
    <w:rsid w:val="001D7C78"/>
    <w:rsid w:val="001E12F6"/>
    <w:rsid w:val="001F0527"/>
    <w:rsid w:val="001F0549"/>
    <w:rsid w:val="001F33FC"/>
    <w:rsid w:val="001F46C5"/>
    <w:rsid w:val="001F5586"/>
    <w:rsid w:val="001F5793"/>
    <w:rsid w:val="00200592"/>
    <w:rsid w:val="00201FC5"/>
    <w:rsid w:val="00202A2F"/>
    <w:rsid w:val="00202F6F"/>
    <w:rsid w:val="0020488F"/>
    <w:rsid w:val="00207FE9"/>
    <w:rsid w:val="002124D8"/>
    <w:rsid w:val="00212CAC"/>
    <w:rsid w:val="00212F6F"/>
    <w:rsid w:val="0021540A"/>
    <w:rsid w:val="0021581E"/>
    <w:rsid w:val="002159E0"/>
    <w:rsid w:val="00215AE8"/>
    <w:rsid w:val="00215D09"/>
    <w:rsid w:val="00215D67"/>
    <w:rsid w:val="00221134"/>
    <w:rsid w:val="00221765"/>
    <w:rsid w:val="00224134"/>
    <w:rsid w:val="00225BE5"/>
    <w:rsid w:val="002266CD"/>
    <w:rsid w:val="00226933"/>
    <w:rsid w:val="00227A2B"/>
    <w:rsid w:val="0023050C"/>
    <w:rsid w:val="00231020"/>
    <w:rsid w:val="00232423"/>
    <w:rsid w:val="00232FA8"/>
    <w:rsid w:val="002362E5"/>
    <w:rsid w:val="00237E6F"/>
    <w:rsid w:val="00240F2E"/>
    <w:rsid w:val="0024235B"/>
    <w:rsid w:val="00244574"/>
    <w:rsid w:val="00244F97"/>
    <w:rsid w:val="0024592E"/>
    <w:rsid w:val="002466AB"/>
    <w:rsid w:val="002526E1"/>
    <w:rsid w:val="00252863"/>
    <w:rsid w:val="00252B31"/>
    <w:rsid w:val="00255C97"/>
    <w:rsid w:val="00256477"/>
    <w:rsid w:val="00256ACB"/>
    <w:rsid w:val="00256C1F"/>
    <w:rsid w:val="002572D7"/>
    <w:rsid w:val="00257F64"/>
    <w:rsid w:val="0026396C"/>
    <w:rsid w:val="00265A85"/>
    <w:rsid w:val="00265D32"/>
    <w:rsid w:val="0026612E"/>
    <w:rsid w:val="00266B28"/>
    <w:rsid w:val="0026789F"/>
    <w:rsid w:val="00267F21"/>
    <w:rsid w:val="00270243"/>
    <w:rsid w:val="0027091B"/>
    <w:rsid w:val="002712F2"/>
    <w:rsid w:val="002717AE"/>
    <w:rsid w:val="00272E0E"/>
    <w:rsid w:val="00276654"/>
    <w:rsid w:val="002767F3"/>
    <w:rsid w:val="00276853"/>
    <w:rsid w:val="00280675"/>
    <w:rsid w:val="002837C8"/>
    <w:rsid w:val="00284566"/>
    <w:rsid w:val="002866C5"/>
    <w:rsid w:val="00286F49"/>
    <w:rsid w:val="0029306F"/>
    <w:rsid w:val="00293C29"/>
    <w:rsid w:val="0029569D"/>
    <w:rsid w:val="002974FB"/>
    <w:rsid w:val="00297942"/>
    <w:rsid w:val="002A0EA3"/>
    <w:rsid w:val="002A1091"/>
    <w:rsid w:val="002A3BF0"/>
    <w:rsid w:val="002A4828"/>
    <w:rsid w:val="002A4FC9"/>
    <w:rsid w:val="002A539D"/>
    <w:rsid w:val="002A5D08"/>
    <w:rsid w:val="002A7E95"/>
    <w:rsid w:val="002B00CD"/>
    <w:rsid w:val="002B224A"/>
    <w:rsid w:val="002B3BEB"/>
    <w:rsid w:val="002B40F2"/>
    <w:rsid w:val="002B4A71"/>
    <w:rsid w:val="002B5019"/>
    <w:rsid w:val="002B56C5"/>
    <w:rsid w:val="002B5EFA"/>
    <w:rsid w:val="002B5F2F"/>
    <w:rsid w:val="002C026B"/>
    <w:rsid w:val="002C1237"/>
    <w:rsid w:val="002C30FC"/>
    <w:rsid w:val="002C4065"/>
    <w:rsid w:val="002C42C7"/>
    <w:rsid w:val="002D1C5B"/>
    <w:rsid w:val="002D3F84"/>
    <w:rsid w:val="002D4C21"/>
    <w:rsid w:val="002D508C"/>
    <w:rsid w:val="002D697C"/>
    <w:rsid w:val="002E042D"/>
    <w:rsid w:val="002E0BCB"/>
    <w:rsid w:val="002E0EE3"/>
    <w:rsid w:val="002E2147"/>
    <w:rsid w:val="002E2B4F"/>
    <w:rsid w:val="002E3518"/>
    <w:rsid w:val="002E420A"/>
    <w:rsid w:val="002E43A7"/>
    <w:rsid w:val="002F1BDA"/>
    <w:rsid w:val="002F1F16"/>
    <w:rsid w:val="002F281E"/>
    <w:rsid w:val="002F3B74"/>
    <w:rsid w:val="002F45F0"/>
    <w:rsid w:val="002F4789"/>
    <w:rsid w:val="002F4BCF"/>
    <w:rsid w:val="002F6D29"/>
    <w:rsid w:val="002F6FE9"/>
    <w:rsid w:val="002F7678"/>
    <w:rsid w:val="0030002A"/>
    <w:rsid w:val="00301B73"/>
    <w:rsid w:val="00301DDB"/>
    <w:rsid w:val="00302372"/>
    <w:rsid w:val="00304DB8"/>
    <w:rsid w:val="00305AA4"/>
    <w:rsid w:val="00305BEF"/>
    <w:rsid w:val="00306283"/>
    <w:rsid w:val="003071BB"/>
    <w:rsid w:val="0030761E"/>
    <w:rsid w:val="003104E9"/>
    <w:rsid w:val="00313108"/>
    <w:rsid w:val="00313A1C"/>
    <w:rsid w:val="0031573C"/>
    <w:rsid w:val="0032034F"/>
    <w:rsid w:val="00320890"/>
    <w:rsid w:val="0032093A"/>
    <w:rsid w:val="00321C58"/>
    <w:rsid w:val="00324594"/>
    <w:rsid w:val="00325C2B"/>
    <w:rsid w:val="00326D66"/>
    <w:rsid w:val="00327099"/>
    <w:rsid w:val="003275D9"/>
    <w:rsid w:val="0033037C"/>
    <w:rsid w:val="00332547"/>
    <w:rsid w:val="00332B0C"/>
    <w:rsid w:val="0033556C"/>
    <w:rsid w:val="00335AD7"/>
    <w:rsid w:val="00336887"/>
    <w:rsid w:val="00337600"/>
    <w:rsid w:val="00337A88"/>
    <w:rsid w:val="00337B78"/>
    <w:rsid w:val="003405C7"/>
    <w:rsid w:val="003406C0"/>
    <w:rsid w:val="0034083E"/>
    <w:rsid w:val="00341B27"/>
    <w:rsid w:val="003442D1"/>
    <w:rsid w:val="00346F06"/>
    <w:rsid w:val="003505D6"/>
    <w:rsid w:val="00352111"/>
    <w:rsid w:val="00352144"/>
    <w:rsid w:val="00352362"/>
    <w:rsid w:val="003528CC"/>
    <w:rsid w:val="00352B4B"/>
    <w:rsid w:val="00353130"/>
    <w:rsid w:val="003556F1"/>
    <w:rsid w:val="00357280"/>
    <w:rsid w:val="00360A17"/>
    <w:rsid w:val="00360DFC"/>
    <w:rsid w:val="00361179"/>
    <w:rsid w:val="00361522"/>
    <w:rsid w:val="003617D3"/>
    <w:rsid w:val="0036183F"/>
    <w:rsid w:val="00361912"/>
    <w:rsid w:val="00361C8C"/>
    <w:rsid w:val="00363238"/>
    <w:rsid w:val="00364D66"/>
    <w:rsid w:val="00365E56"/>
    <w:rsid w:val="00366EFD"/>
    <w:rsid w:val="00371277"/>
    <w:rsid w:val="003720AF"/>
    <w:rsid w:val="00374C4D"/>
    <w:rsid w:val="00376D5F"/>
    <w:rsid w:val="00377101"/>
    <w:rsid w:val="00380EA9"/>
    <w:rsid w:val="003820B7"/>
    <w:rsid w:val="00382CF3"/>
    <w:rsid w:val="003842AB"/>
    <w:rsid w:val="00384BF9"/>
    <w:rsid w:val="00384F8E"/>
    <w:rsid w:val="00387D27"/>
    <w:rsid w:val="003904A1"/>
    <w:rsid w:val="003911AC"/>
    <w:rsid w:val="00392E30"/>
    <w:rsid w:val="00392FE1"/>
    <w:rsid w:val="00393BD8"/>
    <w:rsid w:val="003956B1"/>
    <w:rsid w:val="0039622A"/>
    <w:rsid w:val="003974D3"/>
    <w:rsid w:val="003A4A57"/>
    <w:rsid w:val="003A51A7"/>
    <w:rsid w:val="003A5512"/>
    <w:rsid w:val="003A610F"/>
    <w:rsid w:val="003A70AC"/>
    <w:rsid w:val="003A7132"/>
    <w:rsid w:val="003B02D6"/>
    <w:rsid w:val="003B2845"/>
    <w:rsid w:val="003B382F"/>
    <w:rsid w:val="003B3E80"/>
    <w:rsid w:val="003B50D7"/>
    <w:rsid w:val="003B65BB"/>
    <w:rsid w:val="003B6A6B"/>
    <w:rsid w:val="003B6CEC"/>
    <w:rsid w:val="003C1DCA"/>
    <w:rsid w:val="003C1EE9"/>
    <w:rsid w:val="003C2B52"/>
    <w:rsid w:val="003C606D"/>
    <w:rsid w:val="003D03C1"/>
    <w:rsid w:val="003D0672"/>
    <w:rsid w:val="003D06CD"/>
    <w:rsid w:val="003D17E0"/>
    <w:rsid w:val="003D1826"/>
    <w:rsid w:val="003D371B"/>
    <w:rsid w:val="003D3A98"/>
    <w:rsid w:val="003D436C"/>
    <w:rsid w:val="003D5212"/>
    <w:rsid w:val="003D5BDF"/>
    <w:rsid w:val="003D7956"/>
    <w:rsid w:val="003E1801"/>
    <w:rsid w:val="003E2006"/>
    <w:rsid w:val="003E319C"/>
    <w:rsid w:val="003E5C57"/>
    <w:rsid w:val="003E650A"/>
    <w:rsid w:val="003F095D"/>
    <w:rsid w:val="003F0C3F"/>
    <w:rsid w:val="003F3BFD"/>
    <w:rsid w:val="003F3DFC"/>
    <w:rsid w:val="003F4A4D"/>
    <w:rsid w:val="003F4B58"/>
    <w:rsid w:val="003F5B09"/>
    <w:rsid w:val="003F6F2E"/>
    <w:rsid w:val="004001A0"/>
    <w:rsid w:val="00401BBB"/>
    <w:rsid w:val="00401C5B"/>
    <w:rsid w:val="0040593D"/>
    <w:rsid w:val="00405C4B"/>
    <w:rsid w:val="00406052"/>
    <w:rsid w:val="00406AF2"/>
    <w:rsid w:val="00406D0E"/>
    <w:rsid w:val="00406DD3"/>
    <w:rsid w:val="004073DF"/>
    <w:rsid w:val="00410E25"/>
    <w:rsid w:val="00410F1E"/>
    <w:rsid w:val="00410FCE"/>
    <w:rsid w:val="00411F78"/>
    <w:rsid w:val="00413EFC"/>
    <w:rsid w:val="004146DC"/>
    <w:rsid w:val="004152DF"/>
    <w:rsid w:val="00416690"/>
    <w:rsid w:val="00416995"/>
    <w:rsid w:val="00421889"/>
    <w:rsid w:val="004220D0"/>
    <w:rsid w:val="004221A1"/>
    <w:rsid w:val="00425AC1"/>
    <w:rsid w:val="00426448"/>
    <w:rsid w:val="00427B6B"/>
    <w:rsid w:val="0043036C"/>
    <w:rsid w:val="004348BF"/>
    <w:rsid w:val="00434EFA"/>
    <w:rsid w:val="00437ED6"/>
    <w:rsid w:val="004406AA"/>
    <w:rsid w:val="00440846"/>
    <w:rsid w:val="00442678"/>
    <w:rsid w:val="00444F65"/>
    <w:rsid w:val="0044745D"/>
    <w:rsid w:val="00452CF1"/>
    <w:rsid w:val="00452DED"/>
    <w:rsid w:val="00452F07"/>
    <w:rsid w:val="00453D27"/>
    <w:rsid w:val="004544D3"/>
    <w:rsid w:val="00457A18"/>
    <w:rsid w:val="004603EB"/>
    <w:rsid w:val="0046062E"/>
    <w:rsid w:val="00460FAD"/>
    <w:rsid w:val="004616B0"/>
    <w:rsid w:val="00464587"/>
    <w:rsid w:val="0046653E"/>
    <w:rsid w:val="00467C7A"/>
    <w:rsid w:val="0047649F"/>
    <w:rsid w:val="00477380"/>
    <w:rsid w:val="004807F8"/>
    <w:rsid w:val="0048312D"/>
    <w:rsid w:val="00484A19"/>
    <w:rsid w:val="00485A6F"/>
    <w:rsid w:val="00485A8A"/>
    <w:rsid w:val="00487A82"/>
    <w:rsid w:val="004920B1"/>
    <w:rsid w:val="00493EEC"/>
    <w:rsid w:val="00495C18"/>
    <w:rsid w:val="004A01A2"/>
    <w:rsid w:val="004A1DEA"/>
    <w:rsid w:val="004A1E00"/>
    <w:rsid w:val="004A3C8C"/>
    <w:rsid w:val="004A4CED"/>
    <w:rsid w:val="004A53D9"/>
    <w:rsid w:val="004A6AF1"/>
    <w:rsid w:val="004A7C48"/>
    <w:rsid w:val="004B04E7"/>
    <w:rsid w:val="004B1D05"/>
    <w:rsid w:val="004B2460"/>
    <w:rsid w:val="004B5A9A"/>
    <w:rsid w:val="004B7610"/>
    <w:rsid w:val="004C0293"/>
    <w:rsid w:val="004C0518"/>
    <w:rsid w:val="004C20AD"/>
    <w:rsid w:val="004C67E6"/>
    <w:rsid w:val="004D024B"/>
    <w:rsid w:val="004D08EB"/>
    <w:rsid w:val="004D1869"/>
    <w:rsid w:val="004D6399"/>
    <w:rsid w:val="004D6439"/>
    <w:rsid w:val="004D6DCA"/>
    <w:rsid w:val="004D754F"/>
    <w:rsid w:val="004D7E5A"/>
    <w:rsid w:val="004E10AD"/>
    <w:rsid w:val="004E2D61"/>
    <w:rsid w:val="004E3E88"/>
    <w:rsid w:val="004E41B8"/>
    <w:rsid w:val="004E5DFC"/>
    <w:rsid w:val="004E6862"/>
    <w:rsid w:val="004E7AAE"/>
    <w:rsid w:val="004F13FA"/>
    <w:rsid w:val="004F4B96"/>
    <w:rsid w:val="004F5FBD"/>
    <w:rsid w:val="004F7727"/>
    <w:rsid w:val="0050096C"/>
    <w:rsid w:val="00503FB7"/>
    <w:rsid w:val="00504628"/>
    <w:rsid w:val="00504B10"/>
    <w:rsid w:val="0050521E"/>
    <w:rsid w:val="0050665F"/>
    <w:rsid w:val="0051025A"/>
    <w:rsid w:val="00510A41"/>
    <w:rsid w:val="00510EF0"/>
    <w:rsid w:val="00511C5C"/>
    <w:rsid w:val="005159D1"/>
    <w:rsid w:val="00516745"/>
    <w:rsid w:val="00516EBF"/>
    <w:rsid w:val="0052180E"/>
    <w:rsid w:val="00522362"/>
    <w:rsid w:val="005254A6"/>
    <w:rsid w:val="005268A8"/>
    <w:rsid w:val="00527759"/>
    <w:rsid w:val="00531728"/>
    <w:rsid w:val="0053275D"/>
    <w:rsid w:val="005330B0"/>
    <w:rsid w:val="00533F9F"/>
    <w:rsid w:val="00533FD0"/>
    <w:rsid w:val="00534600"/>
    <w:rsid w:val="005361DF"/>
    <w:rsid w:val="00536FA9"/>
    <w:rsid w:val="00537CBA"/>
    <w:rsid w:val="005419B6"/>
    <w:rsid w:val="00541D35"/>
    <w:rsid w:val="005444EE"/>
    <w:rsid w:val="00544919"/>
    <w:rsid w:val="00545C28"/>
    <w:rsid w:val="00546F49"/>
    <w:rsid w:val="0054736C"/>
    <w:rsid w:val="00552055"/>
    <w:rsid w:val="00552198"/>
    <w:rsid w:val="00553B65"/>
    <w:rsid w:val="00553E16"/>
    <w:rsid w:val="00557624"/>
    <w:rsid w:val="00563998"/>
    <w:rsid w:val="00563ABB"/>
    <w:rsid w:val="00564B0C"/>
    <w:rsid w:val="0056771C"/>
    <w:rsid w:val="00567EF3"/>
    <w:rsid w:val="00572B80"/>
    <w:rsid w:val="00573E55"/>
    <w:rsid w:val="005743B6"/>
    <w:rsid w:val="00575168"/>
    <w:rsid w:val="005777BA"/>
    <w:rsid w:val="00577E6A"/>
    <w:rsid w:val="00577EEE"/>
    <w:rsid w:val="0058102B"/>
    <w:rsid w:val="00581170"/>
    <w:rsid w:val="005818C9"/>
    <w:rsid w:val="005821CB"/>
    <w:rsid w:val="005823EC"/>
    <w:rsid w:val="0058258A"/>
    <w:rsid w:val="00584573"/>
    <w:rsid w:val="00590C82"/>
    <w:rsid w:val="00590DAF"/>
    <w:rsid w:val="0059265F"/>
    <w:rsid w:val="00594DF0"/>
    <w:rsid w:val="005A31AC"/>
    <w:rsid w:val="005A39D9"/>
    <w:rsid w:val="005A3AB0"/>
    <w:rsid w:val="005A3E82"/>
    <w:rsid w:val="005A5A27"/>
    <w:rsid w:val="005A630B"/>
    <w:rsid w:val="005A6548"/>
    <w:rsid w:val="005B16A8"/>
    <w:rsid w:val="005B3560"/>
    <w:rsid w:val="005B4233"/>
    <w:rsid w:val="005B7DE2"/>
    <w:rsid w:val="005C1929"/>
    <w:rsid w:val="005C1956"/>
    <w:rsid w:val="005C2C88"/>
    <w:rsid w:val="005C3639"/>
    <w:rsid w:val="005C41CB"/>
    <w:rsid w:val="005C4288"/>
    <w:rsid w:val="005C4AF4"/>
    <w:rsid w:val="005D0873"/>
    <w:rsid w:val="005D1CE0"/>
    <w:rsid w:val="005D212F"/>
    <w:rsid w:val="005D3B2E"/>
    <w:rsid w:val="005D3CA6"/>
    <w:rsid w:val="005D414D"/>
    <w:rsid w:val="005D486B"/>
    <w:rsid w:val="005D6508"/>
    <w:rsid w:val="005D7818"/>
    <w:rsid w:val="005E0469"/>
    <w:rsid w:val="005E25BB"/>
    <w:rsid w:val="005E37CF"/>
    <w:rsid w:val="005E384F"/>
    <w:rsid w:val="005E38AB"/>
    <w:rsid w:val="005E46F4"/>
    <w:rsid w:val="005E4B06"/>
    <w:rsid w:val="005F26B4"/>
    <w:rsid w:val="005F38F9"/>
    <w:rsid w:val="005F3D4E"/>
    <w:rsid w:val="005F4602"/>
    <w:rsid w:val="005F6F99"/>
    <w:rsid w:val="005F7298"/>
    <w:rsid w:val="005F787D"/>
    <w:rsid w:val="005F7A10"/>
    <w:rsid w:val="00600CD4"/>
    <w:rsid w:val="00600D70"/>
    <w:rsid w:val="00602B45"/>
    <w:rsid w:val="00603BCD"/>
    <w:rsid w:val="006052E1"/>
    <w:rsid w:val="006057E5"/>
    <w:rsid w:val="00607EAC"/>
    <w:rsid w:val="006111FF"/>
    <w:rsid w:val="00611317"/>
    <w:rsid w:val="00612B87"/>
    <w:rsid w:val="00613409"/>
    <w:rsid w:val="0061587E"/>
    <w:rsid w:val="00615D8A"/>
    <w:rsid w:val="0061649B"/>
    <w:rsid w:val="00623F0A"/>
    <w:rsid w:val="0062448F"/>
    <w:rsid w:val="006267A6"/>
    <w:rsid w:val="0062787C"/>
    <w:rsid w:val="00633D76"/>
    <w:rsid w:val="00635A60"/>
    <w:rsid w:val="00637381"/>
    <w:rsid w:val="006373CC"/>
    <w:rsid w:val="0063745D"/>
    <w:rsid w:val="00640B82"/>
    <w:rsid w:val="0064296F"/>
    <w:rsid w:val="00642E23"/>
    <w:rsid w:val="006442AB"/>
    <w:rsid w:val="00644CBC"/>
    <w:rsid w:val="006465B3"/>
    <w:rsid w:val="006466AA"/>
    <w:rsid w:val="00653282"/>
    <w:rsid w:val="0065447F"/>
    <w:rsid w:val="00655126"/>
    <w:rsid w:val="00656CA7"/>
    <w:rsid w:val="006603E8"/>
    <w:rsid w:val="00661176"/>
    <w:rsid w:val="00661B59"/>
    <w:rsid w:val="0066392A"/>
    <w:rsid w:val="006639B6"/>
    <w:rsid w:val="006639C7"/>
    <w:rsid w:val="00664F47"/>
    <w:rsid w:val="00665D29"/>
    <w:rsid w:val="0066729A"/>
    <w:rsid w:val="00667A5B"/>
    <w:rsid w:val="006708F6"/>
    <w:rsid w:val="00671006"/>
    <w:rsid w:val="00672F1F"/>
    <w:rsid w:val="00673F03"/>
    <w:rsid w:val="00674B20"/>
    <w:rsid w:val="00676465"/>
    <w:rsid w:val="00677421"/>
    <w:rsid w:val="006774F8"/>
    <w:rsid w:val="00681187"/>
    <w:rsid w:val="00683954"/>
    <w:rsid w:val="00684689"/>
    <w:rsid w:val="0069172A"/>
    <w:rsid w:val="00691A81"/>
    <w:rsid w:val="00692029"/>
    <w:rsid w:val="006937CC"/>
    <w:rsid w:val="00693A0F"/>
    <w:rsid w:val="00693B9B"/>
    <w:rsid w:val="00695AC4"/>
    <w:rsid w:val="00697F14"/>
    <w:rsid w:val="006A25E4"/>
    <w:rsid w:val="006A3D9D"/>
    <w:rsid w:val="006A4600"/>
    <w:rsid w:val="006A5320"/>
    <w:rsid w:val="006A6866"/>
    <w:rsid w:val="006A6AE7"/>
    <w:rsid w:val="006A6FBE"/>
    <w:rsid w:val="006A7C48"/>
    <w:rsid w:val="006A7CA0"/>
    <w:rsid w:val="006B676C"/>
    <w:rsid w:val="006C0392"/>
    <w:rsid w:val="006C1976"/>
    <w:rsid w:val="006C2B52"/>
    <w:rsid w:val="006C35C5"/>
    <w:rsid w:val="006C360F"/>
    <w:rsid w:val="006C5D21"/>
    <w:rsid w:val="006D08C8"/>
    <w:rsid w:val="006D0A93"/>
    <w:rsid w:val="006D1E9E"/>
    <w:rsid w:val="006D3812"/>
    <w:rsid w:val="006D4116"/>
    <w:rsid w:val="006D45A8"/>
    <w:rsid w:val="006D4862"/>
    <w:rsid w:val="006D5A09"/>
    <w:rsid w:val="006E1207"/>
    <w:rsid w:val="006E3682"/>
    <w:rsid w:val="006E586F"/>
    <w:rsid w:val="006E6149"/>
    <w:rsid w:val="006E61FF"/>
    <w:rsid w:val="006E6D33"/>
    <w:rsid w:val="006E77FE"/>
    <w:rsid w:val="006E7BD3"/>
    <w:rsid w:val="006F0855"/>
    <w:rsid w:val="006F0B82"/>
    <w:rsid w:val="006F123B"/>
    <w:rsid w:val="006F2D5D"/>
    <w:rsid w:val="006F38F7"/>
    <w:rsid w:val="006F3D05"/>
    <w:rsid w:val="007000A8"/>
    <w:rsid w:val="00700109"/>
    <w:rsid w:val="00700BCF"/>
    <w:rsid w:val="00700CF5"/>
    <w:rsid w:val="00704076"/>
    <w:rsid w:val="00704CAB"/>
    <w:rsid w:val="00704D9E"/>
    <w:rsid w:val="00705840"/>
    <w:rsid w:val="00706A41"/>
    <w:rsid w:val="00706BDA"/>
    <w:rsid w:val="00707356"/>
    <w:rsid w:val="00710277"/>
    <w:rsid w:val="00711668"/>
    <w:rsid w:val="007119DC"/>
    <w:rsid w:val="00714AD7"/>
    <w:rsid w:val="007156B5"/>
    <w:rsid w:val="007156E0"/>
    <w:rsid w:val="00715CEF"/>
    <w:rsid w:val="007170A1"/>
    <w:rsid w:val="00724EDE"/>
    <w:rsid w:val="00730053"/>
    <w:rsid w:val="00730433"/>
    <w:rsid w:val="00730506"/>
    <w:rsid w:val="00731D4A"/>
    <w:rsid w:val="007337C3"/>
    <w:rsid w:val="00733F6D"/>
    <w:rsid w:val="007341FB"/>
    <w:rsid w:val="007352DD"/>
    <w:rsid w:val="00740688"/>
    <w:rsid w:val="0074147D"/>
    <w:rsid w:val="007415B9"/>
    <w:rsid w:val="007423F9"/>
    <w:rsid w:val="007436A0"/>
    <w:rsid w:val="0074488C"/>
    <w:rsid w:val="0074489F"/>
    <w:rsid w:val="007455AC"/>
    <w:rsid w:val="00745A2A"/>
    <w:rsid w:val="00745F57"/>
    <w:rsid w:val="007504C5"/>
    <w:rsid w:val="00750E5E"/>
    <w:rsid w:val="007522E7"/>
    <w:rsid w:val="00755B93"/>
    <w:rsid w:val="00756774"/>
    <w:rsid w:val="00756D5B"/>
    <w:rsid w:val="00760A4B"/>
    <w:rsid w:val="0076211E"/>
    <w:rsid w:val="00765B14"/>
    <w:rsid w:val="00765B56"/>
    <w:rsid w:val="00767A77"/>
    <w:rsid w:val="00770319"/>
    <w:rsid w:val="007710D2"/>
    <w:rsid w:val="00772864"/>
    <w:rsid w:val="007740E7"/>
    <w:rsid w:val="00774187"/>
    <w:rsid w:val="00774C5A"/>
    <w:rsid w:val="0077789B"/>
    <w:rsid w:val="0078062F"/>
    <w:rsid w:val="007827E7"/>
    <w:rsid w:val="007844E1"/>
    <w:rsid w:val="00786013"/>
    <w:rsid w:val="00791220"/>
    <w:rsid w:val="007917DB"/>
    <w:rsid w:val="0079187F"/>
    <w:rsid w:val="00791FBE"/>
    <w:rsid w:val="007924AD"/>
    <w:rsid w:val="00793169"/>
    <w:rsid w:val="00796FEB"/>
    <w:rsid w:val="007A0022"/>
    <w:rsid w:val="007A11E5"/>
    <w:rsid w:val="007A16E0"/>
    <w:rsid w:val="007A1FFE"/>
    <w:rsid w:val="007A357A"/>
    <w:rsid w:val="007A6DBA"/>
    <w:rsid w:val="007A7CAA"/>
    <w:rsid w:val="007B04D0"/>
    <w:rsid w:val="007B05AC"/>
    <w:rsid w:val="007B09E9"/>
    <w:rsid w:val="007B5117"/>
    <w:rsid w:val="007B7C60"/>
    <w:rsid w:val="007C1CE3"/>
    <w:rsid w:val="007C6AA7"/>
    <w:rsid w:val="007C6C5B"/>
    <w:rsid w:val="007C7791"/>
    <w:rsid w:val="007D0844"/>
    <w:rsid w:val="007D0D75"/>
    <w:rsid w:val="007D1222"/>
    <w:rsid w:val="007D2AA6"/>
    <w:rsid w:val="007D3A68"/>
    <w:rsid w:val="007D663B"/>
    <w:rsid w:val="007D7EFD"/>
    <w:rsid w:val="007E034D"/>
    <w:rsid w:val="007E05AA"/>
    <w:rsid w:val="007E0DE7"/>
    <w:rsid w:val="007E1D45"/>
    <w:rsid w:val="007E2044"/>
    <w:rsid w:val="007E2642"/>
    <w:rsid w:val="007E3A30"/>
    <w:rsid w:val="007E3E74"/>
    <w:rsid w:val="007E4E5C"/>
    <w:rsid w:val="007E7188"/>
    <w:rsid w:val="007F5853"/>
    <w:rsid w:val="007F5F1B"/>
    <w:rsid w:val="007F735A"/>
    <w:rsid w:val="00802A57"/>
    <w:rsid w:val="00802A90"/>
    <w:rsid w:val="008040EB"/>
    <w:rsid w:val="00805567"/>
    <w:rsid w:val="008067E9"/>
    <w:rsid w:val="00806833"/>
    <w:rsid w:val="00806E5F"/>
    <w:rsid w:val="00807A92"/>
    <w:rsid w:val="00810BB8"/>
    <w:rsid w:val="00815AD4"/>
    <w:rsid w:val="008201CB"/>
    <w:rsid w:val="008239CE"/>
    <w:rsid w:val="00825F49"/>
    <w:rsid w:val="00834571"/>
    <w:rsid w:val="008345FD"/>
    <w:rsid w:val="0083734D"/>
    <w:rsid w:val="0084235D"/>
    <w:rsid w:val="008427F1"/>
    <w:rsid w:val="00842DA7"/>
    <w:rsid w:val="008445D4"/>
    <w:rsid w:val="00846856"/>
    <w:rsid w:val="00851991"/>
    <w:rsid w:val="00851AA0"/>
    <w:rsid w:val="00852F7F"/>
    <w:rsid w:val="008531C3"/>
    <w:rsid w:val="00853345"/>
    <w:rsid w:val="00854290"/>
    <w:rsid w:val="00857012"/>
    <w:rsid w:val="00860DC6"/>
    <w:rsid w:val="00860E8C"/>
    <w:rsid w:val="008617D1"/>
    <w:rsid w:val="00861801"/>
    <w:rsid w:val="008618A7"/>
    <w:rsid w:val="00862399"/>
    <w:rsid w:val="00862EF7"/>
    <w:rsid w:val="00863E89"/>
    <w:rsid w:val="00864209"/>
    <w:rsid w:val="00864C13"/>
    <w:rsid w:val="00864F05"/>
    <w:rsid w:val="00867E15"/>
    <w:rsid w:val="00871492"/>
    <w:rsid w:val="00871E11"/>
    <w:rsid w:val="008748E8"/>
    <w:rsid w:val="00875C06"/>
    <w:rsid w:val="00877170"/>
    <w:rsid w:val="00882464"/>
    <w:rsid w:val="008824B9"/>
    <w:rsid w:val="0088315D"/>
    <w:rsid w:val="00884D9C"/>
    <w:rsid w:val="00886533"/>
    <w:rsid w:val="00886BB5"/>
    <w:rsid w:val="0088777B"/>
    <w:rsid w:val="008918C0"/>
    <w:rsid w:val="00891BFE"/>
    <w:rsid w:val="00894BC9"/>
    <w:rsid w:val="00896A2C"/>
    <w:rsid w:val="00897202"/>
    <w:rsid w:val="00897999"/>
    <w:rsid w:val="00897A66"/>
    <w:rsid w:val="00897E8C"/>
    <w:rsid w:val="008A1C8F"/>
    <w:rsid w:val="008A2459"/>
    <w:rsid w:val="008A251E"/>
    <w:rsid w:val="008A26C9"/>
    <w:rsid w:val="008A50FB"/>
    <w:rsid w:val="008A6765"/>
    <w:rsid w:val="008B4D17"/>
    <w:rsid w:val="008B4E69"/>
    <w:rsid w:val="008B5588"/>
    <w:rsid w:val="008B562C"/>
    <w:rsid w:val="008B5684"/>
    <w:rsid w:val="008B5781"/>
    <w:rsid w:val="008B5BFB"/>
    <w:rsid w:val="008B647B"/>
    <w:rsid w:val="008B6B83"/>
    <w:rsid w:val="008B6E88"/>
    <w:rsid w:val="008C2149"/>
    <w:rsid w:val="008C5224"/>
    <w:rsid w:val="008C68C7"/>
    <w:rsid w:val="008C6F68"/>
    <w:rsid w:val="008C7A33"/>
    <w:rsid w:val="008D12E4"/>
    <w:rsid w:val="008D24F8"/>
    <w:rsid w:val="008D359F"/>
    <w:rsid w:val="008D3BA3"/>
    <w:rsid w:val="008D4C8C"/>
    <w:rsid w:val="008D5C62"/>
    <w:rsid w:val="008D6A0C"/>
    <w:rsid w:val="008D6ACA"/>
    <w:rsid w:val="008E05A3"/>
    <w:rsid w:val="008E128B"/>
    <w:rsid w:val="008E1A2D"/>
    <w:rsid w:val="008E1A6F"/>
    <w:rsid w:val="008E289E"/>
    <w:rsid w:val="008E31AD"/>
    <w:rsid w:val="008E5DAA"/>
    <w:rsid w:val="008E792B"/>
    <w:rsid w:val="008F0C5B"/>
    <w:rsid w:val="008F14BC"/>
    <w:rsid w:val="008F1AA1"/>
    <w:rsid w:val="008F2739"/>
    <w:rsid w:val="008F3762"/>
    <w:rsid w:val="008F3845"/>
    <w:rsid w:val="008F40B2"/>
    <w:rsid w:val="008F4360"/>
    <w:rsid w:val="008F4CEC"/>
    <w:rsid w:val="008F74B5"/>
    <w:rsid w:val="008F74CD"/>
    <w:rsid w:val="00901475"/>
    <w:rsid w:val="009018EC"/>
    <w:rsid w:val="0090194F"/>
    <w:rsid w:val="00901EA2"/>
    <w:rsid w:val="00902A9B"/>
    <w:rsid w:val="009075E2"/>
    <w:rsid w:val="00907AD6"/>
    <w:rsid w:val="009114ED"/>
    <w:rsid w:val="009115D1"/>
    <w:rsid w:val="00912001"/>
    <w:rsid w:val="00912A31"/>
    <w:rsid w:val="00913D37"/>
    <w:rsid w:val="00914A38"/>
    <w:rsid w:val="0091599C"/>
    <w:rsid w:val="00921B36"/>
    <w:rsid w:val="00921E4B"/>
    <w:rsid w:val="0092275C"/>
    <w:rsid w:val="00923883"/>
    <w:rsid w:val="009245E2"/>
    <w:rsid w:val="00926002"/>
    <w:rsid w:val="00927C7B"/>
    <w:rsid w:val="00930680"/>
    <w:rsid w:val="00930CD7"/>
    <w:rsid w:val="00930E75"/>
    <w:rsid w:val="00932042"/>
    <w:rsid w:val="00932C7B"/>
    <w:rsid w:val="0093661A"/>
    <w:rsid w:val="00936D09"/>
    <w:rsid w:val="00940B5F"/>
    <w:rsid w:val="00942090"/>
    <w:rsid w:val="0094239F"/>
    <w:rsid w:val="009428DB"/>
    <w:rsid w:val="009444F9"/>
    <w:rsid w:val="00944DB0"/>
    <w:rsid w:val="009455B7"/>
    <w:rsid w:val="009475F9"/>
    <w:rsid w:val="0094765F"/>
    <w:rsid w:val="00950BC4"/>
    <w:rsid w:val="00950C79"/>
    <w:rsid w:val="00952DC9"/>
    <w:rsid w:val="0095360F"/>
    <w:rsid w:val="00953AAA"/>
    <w:rsid w:val="00956501"/>
    <w:rsid w:val="009565E2"/>
    <w:rsid w:val="0096023B"/>
    <w:rsid w:val="00962593"/>
    <w:rsid w:val="00964520"/>
    <w:rsid w:val="0096493F"/>
    <w:rsid w:val="00965BD4"/>
    <w:rsid w:val="00966A83"/>
    <w:rsid w:val="0096708C"/>
    <w:rsid w:val="00970360"/>
    <w:rsid w:val="00971CD8"/>
    <w:rsid w:val="009730F5"/>
    <w:rsid w:val="00973E27"/>
    <w:rsid w:val="009741FC"/>
    <w:rsid w:val="00975C0C"/>
    <w:rsid w:val="00981DAA"/>
    <w:rsid w:val="00983A83"/>
    <w:rsid w:val="0098535B"/>
    <w:rsid w:val="00987F0E"/>
    <w:rsid w:val="00992975"/>
    <w:rsid w:val="00992A8D"/>
    <w:rsid w:val="00995F44"/>
    <w:rsid w:val="0099653C"/>
    <w:rsid w:val="009A74CE"/>
    <w:rsid w:val="009A7694"/>
    <w:rsid w:val="009A7F9D"/>
    <w:rsid w:val="009B039E"/>
    <w:rsid w:val="009B15A1"/>
    <w:rsid w:val="009B41F8"/>
    <w:rsid w:val="009B5413"/>
    <w:rsid w:val="009B7669"/>
    <w:rsid w:val="009B7955"/>
    <w:rsid w:val="009C13B8"/>
    <w:rsid w:val="009C2322"/>
    <w:rsid w:val="009C29D6"/>
    <w:rsid w:val="009C4F3D"/>
    <w:rsid w:val="009C76AB"/>
    <w:rsid w:val="009D15B6"/>
    <w:rsid w:val="009D202D"/>
    <w:rsid w:val="009D28C9"/>
    <w:rsid w:val="009D4B87"/>
    <w:rsid w:val="009D4C97"/>
    <w:rsid w:val="009D544E"/>
    <w:rsid w:val="009D5798"/>
    <w:rsid w:val="009D5E32"/>
    <w:rsid w:val="009D6911"/>
    <w:rsid w:val="009D76DA"/>
    <w:rsid w:val="009E0A23"/>
    <w:rsid w:val="009E0D63"/>
    <w:rsid w:val="009E187D"/>
    <w:rsid w:val="009E2961"/>
    <w:rsid w:val="009E2979"/>
    <w:rsid w:val="009E3F5A"/>
    <w:rsid w:val="009E5D92"/>
    <w:rsid w:val="009E7650"/>
    <w:rsid w:val="009F004E"/>
    <w:rsid w:val="009F0669"/>
    <w:rsid w:val="009F06AD"/>
    <w:rsid w:val="009F07CC"/>
    <w:rsid w:val="009F09B5"/>
    <w:rsid w:val="009F18C1"/>
    <w:rsid w:val="009F18CE"/>
    <w:rsid w:val="009F39EC"/>
    <w:rsid w:val="009F3BD8"/>
    <w:rsid w:val="009F4010"/>
    <w:rsid w:val="009F5625"/>
    <w:rsid w:val="00A001C6"/>
    <w:rsid w:val="00A00807"/>
    <w:rsid w:val="00A012A5"/>
    <w:rsid w:val="00A014B9"/>
    <w:rsid w:val="00A01F49"/>
    <w:rsid w:val="00A020D3"/>
    <w:rsid w:val="00A03CA7"/>
    <w:rsid w:val="00A03F68"/>
    <w:rsid w:val="00A065F3"/>
    <w:rsid w:val="00A07CD9"/>
    <w:rsid w:val="00A125E5"/>
    <w:rsid w:val="00A135BE"/>
    <w:rsid w:val="00A137BE"/>
    <w:rsid w:val="00A14837"/>
    <w:rsid w:val="00A15DF6"/>
    <w:rsid w:val="00A162B1"/>
    <w:rsid w:val="00A16C4C"/>
    <w:rsid w:val="00A1773C"/>
    <w:rsid w:val="00A2256E"/>
    <w:rsid w:val="00A25743"/>
    <w:rsid w:val="00A25BA6"/>
    <w:rsid w:val="00A26F20"/>
    <w:rsid w:val="00A27F4A"/>
    <w:rsid w:val="00A30B2A"/>
    <w:rsid w:val="00A32B81"/>
    <w:rsid w:val="00A33A22"/>
    <w:rsid w:val="00A3534F"/>
    <w:rsid w:val="00A40959"/>
    <w:rsid w:val="00A40C41"/>
    <w:rsid w:val="00A41B99"/>
    <w:rsid w:val="00A44ED0"/>
    <w:rsid w:val="00A46452"/>
    <w:rsid w:val="00A50827"/>
    <w:rsid w:val="00A52A6C"/>
    <w:rsid w:val="00A5331A"/>
    <w:rsid w:val="00A547FD"/>
    <w:rsid w:val="00A55B6A"/>
    <w:rsid w:val="00A60F01"/>
    <w:rsid w:val="00A6230D"/>
    <w:rsid w:val="00A6242C"/>
    <w:rsid w:val="00A6250E"/>
    <w:rsid w:val="00A640D6"/>
    <w:rsid w:val="00A644A5"/>
    <w:rsid w:val="00A646DA"/>
    <w:rsid w:val="00A662D2"/>
    <w:rsid w:val="00A7049C"/>
    <w:rsid w:val="00A73929"/>
    <w:rsid w:val="00A73B6B"/>
    <w:rsid w:val="00A768FF"/>
    <w:rsid w:val="00A77398"/>
    <w:rsid w:val="00A80135"/>
    <w:rsid w:val="00A82A42"/>
    <w:rsid w:val="00A8351F"/>
    <w:rsid w:val="00A8381C"/>
    <w:rsid w:val="00A83F48"/>
    <w:rsid w:val="00A848BB"/>
    <w:rsid w:val="00A84A49"/>
    <w:rsid w:val="00A905AD"/>
    <w:rsid w:val="00A90E14"/>
    <w:rsid w:val="00A9165A"/>
    <w:rsid w:val="00A9177C"/>
    <w:rsid w:val="00A91FA9"/>
    <w:rsid w:val="00A9548B"/>
    <w:rsid w:val="00A96616"/>
    <w:rsid w:val="00A9668D"/>
    <w:rsid w:val="00A9740B"/>
    <w:rsid w:val="00AA0A20"/>
    <w:rsid w:val="00AA1A57"/>
    <w:rsid w:val="00AA313D"/>
    <w:rsid w:val="00AA373E"/>
    <w:rsid w:val="00AA68CB"/>
    <w:rsid w:val="00AA7324"/>
    <w:rsid w:val="00AA7CA2"/>
    <w:rsid w:val="00AB2166"/>
    <w:rsid w:val="00AB3195"/>
    <w:rsid w:val="00AB3B85"/>
    <w:rsid w:val="00AB49C9"/>
    <w:rsid w:val="00AB527A"/>
    <w:rsid w:val="00AC008C"/>
    <w:rsid w:val="00AC0DAC"/>
    <w:rsid w:val="00AC134B"/>
    <w:rsid w:val="00AC157B"/>
    <w:rsid w:val="00AC1EF6"/>
    <w:rsid w:val="00AC263A"/>
    <w:rsid w:val="00AC48BC"/>
    <w:rsid w:val="00AD05A5"/>
    <w:rsid w:val="00AD0E01"/>
    <w:rsid w:val="00AD1872"/>
    <w:rsid w:val="00AD5409"/>
    <w:rsid w:val="00AD57B2"/>
    <w:rsid w:val="00AD5988"/>
    <w:rsid w:val="00AD5B86"/>
    <w:rsid w:val="00AE0401"/>
    <w:rsid w:val="00AE20C0"/>
    <w:rsid w:val="00AE2568"/>
    <w:rsid w:val="00AE2F4F"/>
    <w:rsid w:val="00AE397B"/>
    <w:rsid w:val="00AF4050"/>
    <w:rsid w:val="00AF5E33"/>
    <w:rsid w:val="00AF6030"/>
    <w:rsid w:val="00B001D1"/>
    <w:rsid w:val="00B0165F"/>
    <w:rsid w:val="00B01852"/>
    <w:rsid w:val="00B019EE"/>
    <w:rsid w:val="00B0263B"/>
    <w:rsid w:val="00B026FE"/>
    <w:rsid w:val="00B0315D"/>
    <w:rsid w:val="00B0361C"/>
    <w:rsid w:val="00B04B58"/>
    <w:rsid w:val="00B04F28"/>
    <w:rsid w:val="00B0594B"/>
    <w:rsid w:val="00B05A4A"/>
    <w:rsid w:val="00B062E3"/>
    <w:rsid w:val="00B068B8"/>
    <w:rsid w:val="00B07330"/>
    <w:rsid w:val="00B077CF"/>
    <w:rsid w:val="00B10123"/>
    <w:rsid w:val="00B10510"/>
    <w:rsid w:val="00B12354"/>
    <w:rsid w:val="00B12C62"/>
    <w:rsid w:val="00B16F5D"/>
    <w:rsid w:val="00B20F8C"/>
    <w:rsid w:val="00B22357"/>
    <w:rsid w:val="00B23A78"/>
    <w:rsid w:val="00B26015"/>
    <w:rsid w:val="00B2731A"/>
    <w:rsid w:val="00B27D53"/>
    <w:rsid w:val="00B31590"/>
    <w:rsid w:val="00B33658"/>
    <w:rsid w:val="00B33C14"/>
    <w:rsid w:val="00B34E9D"/>
    <w:rsid w:val="00B3608A"/>
    <w:rsid w:val="00B36537"/>
    <w:rsid w:val="00B37B95"/>
    <w:rsid w:val="00B40625"/>
    <w:rsid w:val="00B40B6E"/>
    <w:rsid w:val="00B42357"/>
    <w:rsid w:val="00B460AF"/>
    <w:rsid w:val="00B46D27"/>
    <w:rsid w:val="00B50D5C"/>
    <w:rsid w:val="00B50EB9"/>
    <w:rsid w:val="00B51727"/>
    <w:rsid w:val="00B520B0"/>
    <w:rsid w:val="00B5444D"/>
    <w:rsid w:val="00B556E2"/>
    <w:rsid w:val="00B56731"/>
    <w:rsid w:val="00B574E7"/>
    <w:rsid w:val="00B61980"/>
    <w:rsid w:val="00B62BF7"/>
    <w:rsid w:val="00B64488"/>
    <w:rsid w:val="00B65DCF"/>
    <w:rsid w:val="00B662B2"/>
    <w:rsid w:val="00B66F38"/>
    <w:rsid w:val="00B6763B"/>
    <w:rsid w:val="00B7082E"/>
    <w:rsid w:val="00B7255E"/>
    <w:rsid w:val="00B75CF0"/>
    <w:rsid w:val="00B77337"/>
    <w:rsid w:val="00B779C7"/>
    <w:rsid w:val="00B81192"/>
    <w:rsid w:val="00B84D62"/>
    <w:rsid w:val="00B86341"/>
    <w:rsid w:val="00B86E10"/>
    <w:rsid w:val="00B921A8"/>
    <w:rsid w:val="00B935ED"/>
    <w:rsid w:val="00B93DAA"/>
    <w:rsid w:val="00B96C0D"/>
    <w:rsid w:val="00B96D93"/>
    <w:rsid w:val="00B97C3A"/>
    <w:rsid w:val="00BA0FAD"/>
    <w:rsid w:val="00BA1119"/>
    <w:rsid w:val="00BA185A"/>
    <w:rsid w:val="00BA2B60"/>
    <w:rsid w:val="00BA41B5"/>
    <w:rsid w:val="00BA4E4C"/>
    <w:rsid w:val="00BA5A62"/>
    <w:rsid w:val="00BA768C"/>
    <w:rsid w:val="00BA7F05"/>
    <w:rsid w:val="00BB1CA7"/>
    <w:rsid w:val="00BB2414"/>
    <w:rsid w:val="00BC1D69"/>
    <w:rsid w:val="00BC2A1E"/>
    <w:rsid w:val="00BC31EE"/>
    <w:rsid w:val="00BC4865"/>
    <w:rsid w:val="00BC7EEE"/>
    <w:rsid w:val="00BD19AE"/>
    <w:rsid w:val="00BD258F"/>
    <w:rsid w:val="00BD3D85"/>
    <w:rsid w:val="00BD4891"/>
    <w:rsid w:val="00BD59B0"/>
    <w:rsid w:val="00BD6715"/>
    <w:rsid w:val="00BD73EC"/>
    <w:rsid w:val="00BE3694"/>
    <w:rsid w:val="00BE43A8"/>
    <w:rsid w:val="00BE4DF2"/>
    <w:rsid w:val="00BE50FE"/>
    <w:rsid w:val="00BE5958"/>
    <w:rsid w:val="00BE5AA6"/>
    <w:rsid w:val="00BE6D5B"/>
    <w:rsid w:val="00BE74EA"/>
    <w:rsid w:val="00BF3775"/>
    <w:rsid w:val="00BF4279"/>
    <w:rsid w:val="00BF4BD0"/>
    <w:rsid w:val="00BF538F"/>
    <w:rsid w:val="00C00F0F"/>
    <w:rsid w:val="00C01E1C"/>
    <w:rsid w:val="00C02E48"/>
    <w:rsid w:val="00C060EB"/>
    <w:rsid w:val="00C07EDB"/>
    <w:rsid w:val="00C1317C"/>
    <w:rsid w:val="00C13536"/>
    <w:rsid w:val="00C14C09"/>
    <w:rsid w:val="00C14C94"/>
    <w:rsid w:val="00C17303"/>
    <w:rsid w:val="00C215DB"/>
    <w:rsid w:val="00C21B24"/>
    <w:rsid w:val="00C226B0"/>
    <w:rsid w:val="00C2325F"/>
    <w:rsid w:val="00C27EF9"/>
    <w:rsid w:val="00C30671"/>
    <w:rsid w:val="00C30C46"/>
    <w:rsid w:val="00C327E1"/>
    <w:rsid w:val="00C33E75"/>
    <w:rsid w:val="00C350F7"/>
    <w:rsid w:val="00C36144"/>
    <w:rsid w:val="00C363DB"/>
    <w:rsid w:val="00C36879"/>
    <w:rsid w:val="00C36DB2"/>
    <w:rsid w:val="00C374DB"/>
    <w:rsid w:val="00C40861"/>
    <w:rsid w:val="00C409E6"/>
    <w:rsid w:val="00C40FB1"/>
    <w:rsid w:val="00C41A55"/>
    <w:rsid w:val="00C42EDB"/>
    <w:rsid w:val="00C43722"/>
    <w:rsid w:val="00C471B8"/>
    <w:rsid w:val="00C471D1"/>
    <w:rsid w:val="00C51B24"/>
    <w:rsid w:val="00C52FCA"/>
    <w:rsid w:val="00C569BE"/>
    <w:rsid w:val="00C60474"/>
    <w:rsid w:val="00C60BC7"/>
    <w:rsid w:val="00C60F75"/>
    <w:rsid w:val="00C62FAE"/>
    <w:rsid w:val="00C63C30"/>
    <w:rsid w:val="00C63E30"/>
    <w:rsid w:val="00C6500E"/>
    <w:rsid w:val="00C655EA"/>
    <w:rsid w:val="00C66390"/>
    <w:rsid w:val="00C679EA"/>
    <w:rsid w:val="00C700AB"/>
    <w:rsid w:val="00C70512"/>
    <w:rsid w:val="00C715ED"/>
    <w:rsid w:val="00C71B7E"/>
    <w:rsid w:val="00C76808"/>
    <w:rsid w:val="00C82E4E"/>
    <w:rsid w:val="00C90762"/>
    <w:rsid w:val="00C961D5"/>
    <w:rsid w:val="00C96E91"/>
    <w:rsid w:val="00C96EBF"/>
    <w:rsid w:val="00CA073D"/>
    <w:rsid w:val="00CA112B"/>
    <w:rsid w:val="00CA1A8A"/>
    <w:rsid w:val="00CA2972"/>
    <w:rsid w:val="00CA7812"/>
    <w:rsid w:val="00CB0FA4"/>
    <w:rsid w:val="00CB1787"/>
    <w:rsid w:val="00CB2B3D"/>
    <w:rsid w:val="00CB34BF"/>
    <w:rsid w:val="00CB5C4F"/>
    <w:rsid w:val="00CB67EE"/>
    <w:rsid w:val="00CB6C3F"/>
    <w:rsid w:val="00CC2C4F"/>
    <w:rsid w:val="00CC2F41"/>
    <w:rsid w:val="00CC3073"/>
    <w:rsid w:val="00CC321C"/>
    <w:rsid w:val="00CC3E60"/>
    <w:rsid w:val="00CC65E7"/>
    <w:rsid w:val="00CC6E69"/>
    <w:rsid w:val="00CD19AF"/>
    <w:rsid w:val="00CD2706"/>
    <w:rsid w:val="00CD2915"/>
    <w:rsid w:val="00CD5585"/>
    <w:rsid w:val="00CD5D90"/>
    <w:rsid w:val="00CE1C9D"/>
    <w:rsid w:val="00CE42F3"/>
    <w:rsid w:val="00CE5CAA"/>
    <w:rsid w:val="00CE74BB"/>
    <w:rsid w:val="00CF01E6"/>
    <w:rsid w:val="00CF0E8B"/>
    <w:rsid w:val="00CF166A"/>
    <w:rsid w:val="00CF3F5F"/>
    <w:rsid w:val="00CF4EC3"/>
    <w:rsid w:val="00CF5983"/>
    <w:rsid w:val="00D00569"/>
    <w:rsid w:val="00D014B5"/>
    <w:rsid w:val="00D02B34"/>
    <w:rsid w:val="00D0597F"/>
    <w:rsid w:val="00D069CF"/>
    <w:rsid w:val="00D077F3"/>
    <w:rsid w:val="00D07E0F"/>
    <w:rsid w:val="00D07FCF"/>
    <w:rsid w:val="00D102A7"/>
    <w:rsid w:val="00D120E7"/>
    <w:rsid w:val="00D14305"/>
    <w:rsid w:val="00D153FA"/>
    <w:rsid w:val="00D15423"/>
    <w:rsid w:val="00D15473"/>
    <w:rsid w:val="00D23622"/>
    <w:rsid w:val="00D25DE1"/>
    <w:rsid w:val="00D276F7"/>
    <w:rsid w:val="00D301C0"/>
    <w:rsid w:val="00D30866"/>
    <w:rsid w:val="00D31098"/>
    <w:rsid w:val="00D3190E"/>
    <w:rsid w:val="00D33169"/>
    <w:rsid w:val="00D33C36"/>
    <w:rsid w:val="00D353F4"/>
    <w:rsid w:val="00D3570A"/>
    <w:rsid w:val="00D357B5"/>
    <w:rsid w:val="00D3600D"/>
    <w:rsid w:val="00D3647C"/>
    <w:rsid w:val="00D3773E"/>
    <w:rsid w:val="00D40533"/>
    <w:rsid w:val="00D40D39"/>
    <w:rsid w:val="00D4374D"/>
    <w:rsid w:val="00D51555"/>
    <w:rsid w:val="00D516CD"/>
    <w:rsid w:val="00D51F98"/>
    <w:rsid w:val="00D56B5D"/>
    <w:rsid w:val="00D60AEA"/>
    <w:rsid w:val="00D61530"/>
    <w:rsid w:val="00D63793"/>
    <w:rsid w:val="00D639A3"/>
    <w:rsid w:val="00D64577"/>
    <w:rsid w:val="00D65FC3"/>
    <w:rsid w:val="00D72E27"/>
    <w:rsid w:val="00D760B6"/>
    <w:rsid w:val="00D763DE"/>
    <w:rsid w:val="00D76B5D"/>
    <w:rsid w:val="00D77223"/>
    <w:rsid w:val="00D77256"/>
    <w:rsid w:val="00D773A6"/>
    <w:rsid w:val="00D8078D"/>
    <w:rsid w:val="00D815C4"/>
    <w:rsid w:val="00D82D6D"/>
    <w:rsid w:val="00D87507"/>
    <w:rsid w:val="00D87A74"/>
    <w:rsid w:val="00D90810"/>
    <w:rsid w:val="00D912BA"/>
    <w:rsid w:val="00D92B03"/>
    <w:rsid w:val="00D966A4"/>
    <w:rsid w:val="00DA246C"/>
    <w:rsid w:val="00DA2632"/>
    <w:rsid w:val="00DA32A5"/>
    <w:rsid w:val="00DA4E91"/>
    <w:rsid w:val="00DA7F48"/>
    <w:rsid w:val="00DB1D25"/>
    <w:rsid w:val="00DB3994"/>
    <w:rsid w:val="00DB4F98"/>
    <w:rsid w:val="00DB4FFB"/>
    <w:rsid w:val="00DB5B90"/>
    <w:rsid w:val="00DB688E"/>
    <w:rsid w:val="00DB6D67"/>
    <w:rsid w:val="00DC13E7"/>
    <w:rsid w:val="00DC2093"/>
    <w:rsid w:val="00DC2367"/>
    <w:rsid w:val="00DC239C"/>
    <w:rsid w:val="00DC424A"/>
    <w:rsid w:val="00DC4B91"/>
    <w:rsid w:val="00DC5C22"/>
    <w:rsid w:val="00DC6191"/>
    <w:rsid w:val="00DC7091"/>
    <w:rsid w:val="00DD0771"/>
    <w:rsid w:val="00DD0DDA"/>
    <w:rsid w:val="00DD4053"/>
    <w:rsid w:val="00DE2C37"/>
    <w:rsid w:val="00DE3732"/>
    <w:rsid w:val="00DE5680"/>
    <w:rsid w:val="00DE5E8F"/>
    <w:rsid w:val="00DE6A64"/>
    <w:rsid w:val="00DF1179"/>
    <w:rsid w:val="00DF2C12"/>
    <w:rsid w:val="00DF328C"/>
    <w:rsid w:val="00DF47F7"/>
    <w:rsid w:val="00DF491E"/>
    <w:rsid w:val="00DF61B8"/>
    <w:rsid w:val="00DF68BB"/>
    <w:rsid w:val="00E02A7F"/>
    <w:rsid w:val="00E04E24"/>
    <w:rsid w:val="00E051A6"/>
    <w:rsid w:val="00E10705"/>
    <w:rsid w:val="00E11808"/>
    <w:rsid w:val="00E11B5F"/>
    <w:rsid w:val="00E12710"/>
    <w:rsid w:val="00E171BE"/>
    <w:rsid w:val="00E21BD5"/>
    <w:rsid w:val="00E224EA"/>
    <w:rsid w:val="00E230DD"/>
    <w:rsid w:val="00E23B3E"/>
    <w:rsid w:val="00E23C24"/>
    <w:rsid w:val="00E24840"/>
    <w:rsid w:val="00E264A1"/>
    <w:rsid w:val="00E27405"/>
    <w:rsid w:val="00E30525"/>
    <w:rsid w:val="00E32971"/>
    <w:rsid w:val="00E33A55"/>
    <w:rsid w:val="00E34115"/>
    <w:rsid w:val="00E34AF1"/>
    <w:rsid w:val="00E34DE3"/>
    <w:rsid w:val="00E36CD7"/>
    <w:rsid w:val="00E36DD1"/>
    <w:rsid w:val="00E37021"/>
    <w:rsid w:val="00E3746E"/>
    <w:rsid w:val="00E43072"/>
    <w:rsid w:val="00E4377D"/>
    <w:rsid w:val="00E43BF8"/>
    <w:rsid w:val="00E44E4C"/>
    <w:rsid w:val="00E452F2"/>
    <w:rsid w:val="00E46138"/>
    <w:rsid w:val="00E50968"/>
    <w:rsid w:val="00E50E48"/>
    <w:rsid w:val="00E526A4"/>
    <w:rsid w:val="00E54599"/>
    <w:rsid w:val="00E5746D"/>
    <w:rsid w:val="00E60A8F"/>
    <w:rsid w:val="00E62469"/>
    <w:rsid w:val="00E656A1"/>
    <w:rsid w:val="00E66565"/>
    <w:rsid w:val="00E66F74"/>
    <w:rsid w:val="00E67796"/>
    <w:rsid w:val="00E709AE"/>
    <w:rsid w:val="00E737A0"/>
    <w:rsid w:val="00E73CAF"/>
    <w:rsid w:val="00E7436C"/>
    <w:rsid w:val="00E75931"/>
    <w:rsid w:val="00E75AC4"/>
    <w:rsid w:val="00E75BDB"/>
    <w:rsid w:val="00E81663"/>
    <w:rsid w:val="00E8398D"/>
    <w:rsid w:val="00E8405C"/>
    <w:rsid w:val="00E86034"/>
    <w:rsid w:val="00E908BF"/>
    <w:rsid w:val="00E9155E"/>
    <w:rsid w:val="00E93986"/>
    <w:rsid w:val="00E944BB"/>
    <w:rsid w:val="00E9781C"/>
    <w:rsid w:val="00EA001A"/>
    <w:rsid w:val="00EA3011"/>
    <w:rsid w:val="00EA4229"/>
    <w:rsid w:val="00EA48A8"/>
    <w:rsid w:val="00EA6908"/>
    <w:rsid w:val="00EA6962"/>
    <w:rsid w:val="00EA759E"/>
    <w:rsid w:val="00EB41E9"/>
    <w:rsid w:val="00EB5319"/>
    <w:rsid w:val="00EB5EBC"/>
    <w:rsid w:val="00EB699A"/>
    <w:rsid w:val="00EC0D8B"/>
    <w:rsid w:val="00EC2F43"/>
    <w:rsid w:val="00EC2FB8"/>
    <w:rsid w:val="00EC49ED"/>
    <w:rsid w:val="00EC4B7F"/>
    <w:rsid w:val="00EC57C4"/>
    <w:rsid w:val="00EC6962"/>
    <w:rsid w:val="00EC76BF"/>
    <w:rsid w:val="00ED12C3"/>
    <w:rsid w:val="00ED3AC7"/>
    <w:rsid w:val="00ED3DDE"/>
    <w:rsid w:val="00ED6DA6"/>
    <w:rsid w:val="00ED799C"/>
    <w:rsid w:val="00ED7DC6"/>
    <w:rsid w:val="00EE0F0B"/>
    <w:rsid w:val="00EE1252"/>
    <w:rsid w:val="00EE199B"/>
    <w:rsid w:val="00EE28B8"/>
    <w:rsid w:val="00EE3C1D"/>
    <w:rsid w:val="00EE3C79"/>
    <w:rsid w:val="00EE4556"/>
    <w:rsid w:val="00EE47FF"/>
    <w:rsid w:val="00EE490E"/>
    <w:rsid w:val="00EE6323"/>
    <w:rsid w:val="00EE65AE"/>
    <w:rsid w:val="00EE7911"/>
    <w:rsid w:val="00EE7ADF"/>
    <w:rsid w:val="00EF0426"/>
    <w:rsid w:val="00EF06A6"/>
    <w:rsid w:val="00EF2384"/>
    <w:rsid w:val="00EF3A18"/>
    <w:rsid w:val="00EF6034"/>
    <w:rsid w:val="00EF6E12"/>
    <w:rsid w:val="00EF793D"/>
    <w:rsid w:val="00EF7EB7"/>
    <w:rsid w:val="00F00146"/>
    <w:rsid w:val="00F010ED"/>
    <w:rsid w:val="00F02C02"/>
    <w:rsid w:val="00F033A7"/>
    <w:rsid w:val="00F041F5"/>
    <w:rsid w:val="00F044B5"/>
    <w:rsid w:val="00F04E64"/>
    <w:rsid w:val="00F074CE"/>
    <w:rsid w:val="00F10D15"/>
    <w:rsid w:val="00F10DE5"/>
    <w:rsid w:val="00F10ECF"/>
    <w:rsid w:val="00F171EC"/>
    <w:rsid w:val="00F17E1E"/>
    <w:rsid w:val="00F22830"/>
    <w:rsid w:val="00F22E8B"/>
    <w:rsid w:val="00F23EDD"/>
    <w:rsid w:val="00F25217"/>
    <w:rsid w:val="00F25727"/>
    <w:rsid w:val="00F308F1"/>
    <w:rsid w:val="00F30AFB"/>
    <w:rsid w:val="00F30D5A"/>
    <w:rsid w:val="00F31326"/>
    <w:rsid w:val="00F3313C"/>
    <w:rsid w:val="00F34CAC"/>
    <w:rsid w:val="00F34F43"/>
    <w:rsid w:val="00F34FFA"/>
    <w:rsid w:val="00F35C37"/>
    <w:rsid w:val="00F37289"/>
    <w:rsid w:val="00F4186A"/>
    <w:rsid w:val="00F421F2"/>
    <w:rsid w:val="00F43FF3"/>
    <w:rsid w:val="00F45949"/>
    <w:rsid w:val="00F46E06"/>
    <w:rsid w:val="00F5124B"/>
    <w:rsid w:val="00F54D09"/>
    <w:rsid w:val="00F5579B"/>
    <w:rsid w:val="00F55D01"/>
    <w:rsid w:val="00F56E20"/>
    <w:rsid w:val="00F62557"/>
    <w:rsid w:val="00F631C2"/>
    <w:rsid w:val="00F71487"/>
    <w:rsid w:val="00F71A6A"/>
    <w:rsid w:val="00F73D18"/>
    <w:rsid w:val="00F75B1F"/>
    <w:rsid w:val="00F76123"/>
    <w:rsid w:val="00F771FF"/>
    <w:rsid w:val="00F817BC"/>
    <w:rsid w:val="00F8191E"/>
    <w:rsid w:val="00F82F1F"/>
    <w:rsid w:val="00F838F0"/>
    <w:rsid w:val="00F841C1"/>
    <w:rsid w:val="00F855C9"/>
    <w:rsid w:val="00F872C8"/>
    <w:rsid w:val="00F87847"/>
    <w:rsid w:val="00F91C0D"/>
    <w:rsid w:val="00F91F2A"/>
    <w:rsid w:val="00F94742"/>
    <w:rsid w:val="00F94866"/>
    <w:rsid w:val="00F95D45"/>
    <w:rsid w:val="00F970DD"/>
    <w:rsid w:val="00FA0E30"/>
    <w:rsid w:val="00FA15BD"/>
    <w:rsid w:val="00FA1B1B"/>
    <w:rsid w:val="00FA3A49"/>
    <w:rsid w:val="00FA40D2"/>
    <w:rsid w:val="00FA42C7"/>
    <w:rsid w:val="00FA5763"/>
    <w:rsid w:val="00FA7788"/>
    <w:rsid w:val="00FA7AE5"/>
    <w:rsid w:val="00FB1051"/>
    <w:rsid w:val="00FB1BEB"/>
    <w:rsid w:val="00FB20C9"/>
    <w:rsid w:val="00FB3D8F"/>
    <w:rsid w:val="00FB613A"/>
    <w:rsid w:val="00FB70B8"/>
    <w:rsid w:val="00FC043C"/>
    <w:rsid w:val="00FC2044"/>
    <w:rsid w:val="00FC4D27"/>
    <w:rsid w:val="00FC6F2A"/>
    <w:rsid w:val="00FD09F5"/>
    <w:rsid w:val="00FD2501"/>
    <w:rsid w:val="00FD31DD"/>
    <w:rsid w:val="00FD3675"/>
    <w:rsid w:val="00FD3E2C"/>
    <w:rsid w:val="00FD3E2F"/>
    <w:rsid w:val="00FD3F68"/>
    <w:rsid w:val="00FD5F26"/>
    <w:rsid w:val="00FD7972"/>
    <w:rsid w:val="00FE0EEE"/>
    <w:rsid w:val="00FE1330"/>
    <w:rsid w:val="00FE21BF"/>
    <w:rsid w:val="00FE22FB"/>
    <w:rsid w:val="00FE3288"/>
    <w:rsid w:val="00FE364E"/>
    <w:rsid w:val="00FE6E31"/>
    <w:rsid w:val="00FF39E6"/>
    <w:rsid w:val="00FF3AFD"/>
    <w:rsid w:val="00FF405A"/>
    <w:rsid w:val="00FF5A8A"/>
    <w:rsid w:val="00FF76B8"/>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8824B9"/>
    <w:pPr>
      <w:suppressAutoHyphens/>
    </w:pPr>
    <w:rPr>
      <w:sz w:val="24"/>
      <w:szCs w:val="20"/>
      <w:lang w:val="en-GB" w:eastAsia="fr-FR"/>
    </w:rPr>
  </w:style>
  <w:style w:type="paragraph" w:styleId="Heading1">
    <w:name w:val="heading 1"/>
    <w:basedOn w:val="Normal"/>
    <w:next w:val="Normal"/>
    <w:link w:val="Heading1Char"/>
    <w:uiPriority w:val="99"/>
    <w:qFormat/>
    <w:rsid w:val="008824B9"/>
    <w:pPr>
      <w:keepNext/>
      <w:spacing w:before="360" w:after="240"/>
      <w:jc w:val="center"/>
      <w:outlineLvl w:val="0"/>
    </w:pPr>
    <w:rPr>
      <w:rFonts w:ascii="Cambria" w:hAnsi="Cambria"/>
      <w:b/>
      <w:bCs/>
      <w:kern w:val="32"/>
      <w:sz w:val="32"/>
      <w:szCs w:val="32"/>
    </w:rPr>
  </w:style>
  <w:style w:type="paragraph" w:styleId="Heading2">
    <w:name w:val="heading 2"/>
    <w:basedOn w:val="Normal"/>
    <w:next w:val="Normal"/>
    <w:link w:val="Heading2Char"/>
    <w:uiPriority w:val="99"/>
    <w:qFormat/>
    <w:rsid w:val="008824B9"/>
    <w:pPr>
      <w:keepNext/>
      <w:spacing w:before="240" w:after="120"/>
      <w:ind w:left="284" w:hanging="284"/>
      <w:outlineLvl w:val="1"/>
    </w:pPr>
    <w:rPr>
      <w:rFonts w:ascii="Cambria" w:hAnsi="Cambria"/>
      <w:b/>
      <w:bCs/>
      <w:i/>
      <w:iCs/>
      <w:sz w:val="28"/>
      <w:szCs w:val="28"/>
    </w:rPr>
  </w:style>
  <w:style w:type="paragraph" w:styleId="Heading3">
    <w:name w:val="heading 3"/>
    <w:basedOn w:val="Normal"/>
    <w:next w:val="Normal"/>
    <w:link w:val="Heading3Char"/>
    <w:uiPriority w:val="99"/>
    <w:qFormat/>
    <w:rsid w:val="008824B9"/>
    <w:pPr>
      <w:keepNext/>
      <w:spacing w:before="120" w:after="60"/>
      <w:ind w:left="1418" w:hanging="851"/>
      <w:outlineLvl w:val="2"/>
    </w:pPr>
    <w:rPr>
      <w:rFonts w:ascii="Cambria" w:hAnsi="Cambria"/>
      <w:b/>
      <w:bCs/>
      <w:sz w:val="26"/>
      <w:szCs w:val="26"/>
    </w:rPr>
  </w:style>
  <w:style w:type="paragraph" w:styleId="Heading4">
    <w:name w:val="heading 4"/>
    <w:basedOn w:val="Normal"/>
    <w:next w:val="Normal"/>
    <w:link w:val="Heading4Char"/>
    <w:uiPriority w:val="99"/>
    <w:qFormat/>
    <w:rsid w:val="00CC3073"/>
    <w:pPr>
      <w:widowControl w:val="0"/>
      <w:outlineLvl w:val="3"/>
    </w:pPr>
    <w:rPr>
      <w:rFonts w:ascii="Calibri" w:hAnsi="Calibri"/>
      <w:b/>
      <w:bCs/>
      <w:sz w:val="28"/>
      <w:szCs w:val="28"/>
    </w:rPr>
  </w:style>
  <w:style w:type="paragraph" w:styleId="Heading5">
    <w:name w:val="heading 5"/>
    <w:basedOn w:val="Normal"/>
    <w:next w:val="Normal"/>
    <w:link w:val="Heading5Char"/>
    <w:uiPriority w:val="99"/>
    <w:qFormat/>
    <w:rsid w:val="00CC3073"/>
    <w:pPr>
      <w:widowControl w:val="0"/>
      <w:outlineLvl w:val="4"/>
    </w:pPr>
    <w:rPr>
      <w:rFonts w:ascii="Calibri" w:hAnsi="Calibri"/>
      <w:b/>
      <w:bCs/>
      <w:i/>
      <w:iCs/>
      <w:sz w:val="26"/>
      <w:szCs w:val="26"/>
    </w:rPr>
  </w:style>
  <w:style w:type="paragraph" w:styleId="Heading6">
    <w:name w:val="heading 6"/>
    <w:basedOn w:val="Normal"/>
    <w:next w:val="Normal"/>
    <w:link w:val="Heading6Char"/>
    <w:uiPriority w:val="99"/>
    <w:qFormat/>
    <w:rsid w:val="00CC3073"/>
    <w:pPr>
      <w:widowControl w:val="0"/>
      <w:outlineLvl w:val="5"/>
    </w:pPr>
    <w:rPr>
      <w:rFonts w:ascii="Calibri" w:hAnsi="Calibri"/>
      <w:b/>
      <w:bCs/>
      <w:sz w:val="20"/>
    </w:rPr>
  </w:style>
  <w:style w:type="paragraph" w:styleId="Heading7">
    <w:name w:val="heading 7"/>
    <w:basedOn w:val="Normal"/>
    <w:next w:val="Normal"/>
    <w:link w:val="Heading7Char"/>
    <w:uiPriority w:val="99"/>
    <w:qFormat/>
    <w:rsid w:val="00CC3073"/>
    <w:pPr>
      <w:widowControl w:val="0"/>
      <w:outlineLvl w:val="6"/>
    </w:pPr>
    <w:rPr>
      <w:rFonts w:ascii="Calibri" w:hAnsi="Calibri"/>
      <w:szCs w:val="24"/>
    </w:rPr>
  </w:style>
  <w:style w:type="paragraph" w:styleId="Heading8">
    <w:name w:val="heading 8"/>
    <w:basedOn w:val="Normal"/>
    <w:next w:val="Normal"/>
    <w:link w:val="Heading8Char"/>
    <w:uiPriority w:val="99"/>
    <w:qFormat/>
    <w:rsid w:val="00CC3073"/>
    <w:pPr>
      <w:widowControl w:val="0"/>
      <w:outlineLvl w:val="7"/>
    </w:pPr>
    <w:rPr>
      <w:rFonts w:ascii="Calibri" w:hAnsi="Calibri"/>
      <w:i/>
      <w:iCs/>
      <w:szCs w:val="24"/>
    </w:rPr>
  </w:style>
  <w:style w:type="paragraph" w:styleId="Heading9">
    <w:name w:val="heading 9"/>
    <w:basedOn w:val="Normal"/>
    <w:next w:val="Normal"/>
    <w:link w:val="Heading9Char"/>
    <w:uiPriority w:val="99"/>
    <w:qFormat/>
    <w:rsid w:val="00CC3073"/>
    <w:pPr>
      <w:keepNext/>
      <w:tabs>
        <w:tab w:val="left" w:pos="-1440"/>
        <w:tab w:val="left" w:pos="-720"/>
        <w:tab w:val="left" w:pos="0"/>
        <w:tab w:val="left" w:pos="1056"/>
        <w:tab w:val="left" w:pos="1584"/>
        <w:tab w:val="left" w:pos="2112"/>
        <w:tab w:val="left" w:pos="2880"/>
      </w:tabs>
      <w:ind w:left="-306" w:right="-306"/>
      <w:jc w:val="both"/>
      <w:outlineLvl w:val="8"/>
    </w:pPr>
    <w:rPr>
      <w:rFonts w:ascii="Cambria" w:hAnsi="Cambria"/>
      <w:sz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A4FF7"/>
    <w:rPr>
      <w:rFonts w:ascii="Cambria" w:hAnsi="Cambria"/>
      <w:b/>
      <w:kern w:val="32"/>
      <w:sz w:val="32"/>
      <w:lang w:val="en-GB" w:eastAsia="fr-FR"/>
    </w:rPr>
  </w:style>
  <w:style w:type="character" w:customStyle="1" w:styleId="Heading2Char">
    <w:name w:val="Heading 2 Char"/>
    <w:basedOn w:val="DefaultParagraphFont"/>
    <w:link w:val="Heading2"/>
    <w:uiPriority w:val="99"/>
    <w:semiHidden/>
    <w:locked/>
    <w:rsid w:val="001A4FF7"/>
    <w:rPr>
      <w:rFonts w:ascii="Cambria" w:hAnsi="Cambria"/>
      <w:b/>
      <w:i/>
      <w:sz w:val="28"/>
      <w:lang w:val="en-GB" w:eastAsia="fr-FR"/>
    </w:rPr>
  </w:style>
  <w:style w:type="character" w:customStyle="1" w:styleId="Heading3Char">
    <w:name w:val="Heading 3 Char"/>
    <w:basedOn w:val="DefaultParagraphFont"/>
    <w:link w:val="Heading3"/>
    <w:uiPriority w:val="99"/>
    <w:semiHidden/>
    <w:locked/>
    <w:rsid w:val="001A4FF7"/>
    <w:rPr>
      <w:rFonts w:ascii="Cambria" w:hAnsi="Cambria"/>
      <w:b/>
      <w:sz w:val="26"/>
      <w:lang w:val="en-GB" w:eastAsia="fr-FR"/>
    </w:rPr>
  </w:style>
  <w:style w:type="character" w:customStyle="1" w:styleId="Heading4Char">
    <w:name w:val="Heading 4 Char"/>
    <w:basedOn w:val="DefaultParagraphFont"/>
    <w:link w:val="Heading4"/>
    <w:uiPriority w:val="99"/>
    <w:semiHidden/>
    <w:locked/>
    <w:rsid w:val="001A4FF7"/>
    <w:rPr>
      <w:rFonts w:ascii="Calibri" w:hAnsi="Calibri"/>
      <w:b/>
      <w:sz w:val="28"/>
      <w:lang w:val="en-GB" w:eastAsia="fr-FR"/>
    </w:rPr>
  </w:style>
  <w:style w:type="character" w:customStyle="1" w:styleId="Heading5Char">
    <w:name w:val="Heading 5 Char"/>
    <w:basedOn w:val="DefaultParagraphFont"/>
    <w:link w:val="Heading5"/>
    <w:uiPriority w:val="99"/>
    <w:semiHidden/>
    <w:locked/>
    <w:rsid w:val="001A4FF7"/>
    <w:rPr>
      <w:rFonts w:ascii="Calibri" w:hAnsi="Calibri"/>
      <w:b/>
      <w:i/>
      <w:sz w:val="26"/>
      <w:lang w:val="en-GB" w:eastAsia="fr-FR"/>
    </w:rPr>
  </w:style>
  <w:style w:type="character" w:customStyle="1" w:styleId="Heading6Char">
    <w:name w:val="Heading 6 Char"/>
    <w:basedOn w:val="DefaultParagraphFont"/>
    <w:link w:val="Heading6"/>
    <w:uiPriority w:val="99"/>
    <w:semiHidden/>
    <w:locked/>
    <w:rsid w:val="001A4FF7"/>
    <w:rPr>
      <w:rFonts w:ascii="Calibri" w:hAnsi="Calibri"/>
      <w:b/>
      <w:lang w:val="en-GB" w:eastAsia="fr-FR"/>
    </w:rPr>
  </w:style>
  <w:style w:type="character" w:customStyle="1" w:styleId="Heading7Char">
    <w:name w:val="Heading 7 Char"/>
    <w:basedOn w:val="DefaultParagraphFont"/>
    <w:link w:val="Heading7"/>
    <w:uiPriority w:val="99"/>
    <w:semiHidden/>
    <w:locked/>
    <w:rsid w:val="001A4FF7"/>
    <w:rPr>
      <w:rFonts w:ascii="Calibri" w:hAnsi="Calibri"/>
      <w:sz w:val="24"/>
      <w:lang w:val="en-GB" w:eastAsia="fr-FR"/>
    </w:rPr>
  </w:style>
  <w:style w:type="character" w:customStyle="1" w:styleId="Heading8Char">
    <w:name w:val="Heading 8 Char"/>
    <w:basedOn w:val="DefaultParagraphFont"/>
    <w:link w:val="Heading8"/>
    <w:uiPriority w:val="99"/>
    <w:semiHidden/>
    <w:locked/>
    <w:rsid w:val="001A4FF7"/>
    <w:rPr>
      <w:rFonts w:ascii="Calibri" w:hAnsi="Calibri"/>
      <w:i/>
      <w:sz w:val="24"/>
      <w:lang w:val="en-GB" w:eastAsia="fr-FR"/>
    </w:rPr>
  </w:style>
  <w:style w:type="character" w:customStyle="1" w:styleId="Heading9Char">
    <w:name w:val="Heading 9 Char"/>
    <w:basedOn w:val="DefaultParagraphFont"/>
    <w:link w:val="Heading9"/>
    <w:uiPriority w:val="99"/>
    <w:semiHidden/>
    <w:locked/>
    <w:rsid w:val="001A4FF7"/>
    <w:rPr>
      <w:rFonts w:ascii="Cambria" w:hAnsi="Cambria"/>
      <w:lang w:val="en-GB" w:eastAsia="fr-FR"/>
    </w:rPr>
  </w:style>
  <w:style w:type="paragraph" w:customStyle="1" w:styleId="OpiHA">
    <w:name w:val="Opi_H_A"/>
    <w:basedOn w:val="JuHIRoman"/>
    <w:next w:val="OpiPara"/>
    <w:uiPriority w:val="99"/>
    <w:rsid w:val="00864209"/>
    <w:pPr>
      <w:tabs>
        <w:tab w:val="clear" w:pos="357"/>
      </w:tabs>
    </w:pPr>
    <w:rPr>
      <w:b/>
    </w:rPr>
  </w:style>
  <w:style w:type="paragraph" w:customStyle="1" w:styleId="JuHIRoman">
    <w:name w:val="Ju_H_I_Roman"/>
    <w:basedOn w:val="JuHHead"/>
    <w:next w:val="JuPara"/>
    <w:uiPriority w:val="99"/>
    <w:rsid w:val="00864209"/>
    <w:pPr>
      <w:tabs>
        <w:tab w:val="left" w:pos="357"/>
      </w:tabs>
      <w:spacing w:before="360"/>
      <w:ind w:left="357" w:hanging="357"/>
      <w:outlineLvl w:val="1"/>
    </w:pPr>
    <w:rPr>
      <w:sz w:val="24"/>
    </w:rPr>
  </w:style>
  <w:style w:type="paragraph" w:customStyle="1" w:styleId="JuHHead">
    <w:name w:val="Ju_H_Head"/>
    <w:basedOn w:val="NormalTimesNewRoman"/>
    <w:next w:val="JuPara"/>
    <w:uiPriority w:val="99"/>
    <w:rsid w:val="00864209"/>
    <w:pPr>
      <w:keepNext/>
      <w:keepLines/>
      <w:spacing w:before="720" w:after="240"/>
      <w:jc w:val="both"/>
      <w:outlineLvl w:val="0"/>
    </w:pPr>
    <w:rPr>
      <w:sz w:val="28"/>
    </w:rPr>
  </w:style>
  <w:style w:type="paragraph" w:customStyle="1" w:styleId="NormalTimesNewRoman">
    <w:name w:val="Normal_TimesNewRoman"/>
    <w:uiPriority w:val="99"/>
    <w:rsid w:val="00864209"/>
    <w:rPr>
      <w:sz w:val="24"/>
      <w:szCs w:val="20"/>
      <w:lang w:val="en-GB" w:eastAsia="fr-FR"/>
    </w:rPr>
  </w:style>
  <w:style w:type="paragraph" w:customStyle="1" w:styleId="JuPara">
    <w:name w:val="Ju_Para"/>
    <w:aliases w:val="Left,First line:  0 cm"/>
    <w:basedOn w:val="NormalTimesNewRoman"/>
    <w:link w:val="JuParaChar"/>
    <w:uiPriority w:val="99"/>
    <w:rsid w:val="00864209"/>
    <w:pPr>
      <w:ind w:firstLine="284"/>
      <w:jc w:val="both"/>
    </w:pPr>
  </w:style>
  <w:style w:type="character" w:customStyle="1" w:styleId="JuParaChar">
    <w:name w:val="Ju_Para Char"/>
    <w:link w:val="JuPara"/>
    <w:uiPriority w:val="99"/>
    <w:locked/>
    <w:rsid w:val="00B921A8"/>
    <w:rPr>
      <w:sz w:val="24"/>
      <w:lang w:val="en-GB" w:eastAsia="fr-FR"/>
    </w:rPr>
  </w:style>
  <w:style w:type="paragraph" w:customStyle="1" w:styleId="OpiPara">
    <w:name w:val="Opi_Para"/>
    <w:basedOn w:val="JuPara"/>
    <w:uiPriority w:val="99"/>
    <w:rsid w:val="00864209"/>
  </w:style>
  <w:style w:type="paragraph" w:customStyle="1" w:styleId="OpiH1">
    <w:name w:val="Opi_H_1."/>
    <w:basedOn w:val="OpiHA"/>
    <w:next w:val="OpiPara"/>
    <w:uiPriority w:val="99"/>
    <w:rsid w:val="00864209"/>
    <w:pPr>
      <w:spacing w:before="240" w:after="120"/>
      <w:ind w:left="635"/>
      <w:outlineLvl w:val="2"/>
    </w:pPr>
    <w:rPr>
      <w:b w:val="0"/>
      <w:i/>
    </w:rPr>
  </w:style>
  <w:style w:type="paragraph" w:customStyle="1" w:styleId="OpiHa0">
    <w:name w:val="Opi_H_a"/>
    <w:basedOn w:val="OpiH1"/>
    <w:next w:val="OpiPara"/>
    <w:uiPriority w:val="99"/>
    <w:rsid w:val="00864209"/>
    <w:pPr>
      <w:ind w:left="833"/>
      <w:outlineLvl w:val="3"/>
    </w:pPr>
    <w:rPr>
      <w:b/>
      <w:i w:val="0"/>
      <w:sz w:val="20"/>
    </w:rPr>
  </w:style>
  <w:style w:type="paragraph" w:customStyle="1" w:styleId="OpiHHead">
    <w:name w:val="Opi_H_Head"/>
    <w:basedOn w:val="JuHHead"/>
    <w:next w:val="OpiPara"/>
    <w:uiPriority w:val="99"/>
    <w:rsid w:val="00864209"/>
    <w:pPr>
      <w:spacing w:before="0"/>
      <w:jc w:val="center"/>
    </w:pPr>
  </w:style>
  <w:style w:type="paragraph" w:customStyle="1" w:styleId="OpiHi">
    <w:name w:val="Opi_H_i"/>
    <w:basedOn w:val="OpiHa0"/>
    <w:next w:val="OpiPara"/>
    <w:uiPriority w:val="99"/>
    <w:rsid w:val="00864209"/>
    <w:pPr>
      <w:ind w:left="1037"/>
      <w:outlineLvl w:val="4"/>
    </w:pPr>
    <w:rPr>
      <w:b w:val="0"/>
      <w:i/>
    </w:rPr>
  </w:style>
  <w:style w:type="paragraph" w:styleId="Footer">
    <w:name w:val="footer"/>
    <w:basedOn w:val="NormalTimesNewRoman"/>
    <w:link w:val="FooterChar"/>
    <w:uiPriority w:val="99"/>
    <w:rsid w:val="00864209"/>
    <w:pPr>
      <w:tabs>
        <w:tab w:val="center" w:pos="3686"/>
        <w:tab w:val="right" w:pos="7371"/>
      </w:tabs>
    </w:pPr>
    <w:rPr>
      <w:sz w:val="20"/>
    </w:rPr>
  </w:style>
  <w:style w:type="character" w:customStyle="1" w:styleId="FooterChar">
    <w:name w:val="Footer Char"/>
    <w:basedOn w:val="DefaultParagraphFont"/>
    <w:link w:val="Footer"/>
    <w:uiPriority w:val="99"/>
    <w:semiHidden/>
    <w:locked/>
    <w:rsid w:val="001A4FF7"/>
    <w:rPr>
      <w:sz w:val="20"/>
      <w:lang w:val="en-GB" w:eastAsia="fr-FR"/>
    </w:rPr>
  </w:style>
  <w:style w:type="paragraph" w:customStyle="1" w:styleId="JuJudges">
    <w:name w:val="Ju_Judges"/>
    <w:basedOn w:val="NormalTimesNewRoman"/>
    <w:link w:val="JuJudgesChar"/>
    <w:uiPriority w:val="99"/>
    <w:rsid w:val="00864209"/>
    <w:pPr>
      <w:tabs>
        <w:tab w:val="left" w:pos="567"/>
        <w:tab w:val="left" w:pos="1134"/>
      </w:tabs>
    </w:pPr>
  </w:style>
  <w:style w:type="character" w:customStyle="1" w:styleId="JuJudgesChar">
    <w:name w:val="Ju_Judges Char"/>
    <w:link w:val="JuJudges"/>
    <w:uiPriority w:val="99"/>
    <w:locked/>
    <w:rsid w:val="00D15473"/>
    <w:rPr>
      <w:sz w:val="24"/>
      <w:lang w:val="en-GB" w:eastAsia="fr-FR"/>
    </w:rPr>
  </w:style>
  <w:style w:type="paragraph" w:customStyle="1" w:styleId="JuHA">
    <w:name w:val="Ju_H_A"/>
    <w:basedOn w:val="JuHIRoman"/>
    <w:next w:val="JuPara"/>
    <w:uiPriority w:val="99"/>
    <w:rsid w:val="00864209"/>
    <w:pPr>
      <w:tabs>
        <w:tab w:val="clear" w:pos="357"/>
        <w:tab w:val="left" w:pos="584"/>
      </w:tabs>
      <w:ind w:left="584" w:hanging="352"/>
      <w:outlineLvl w:val="2"/>
    </w:pPr>
    <w:rPr>
      <w:b/>
    </w:rPr>
  </w:style>
  <w:style w:type="paragraph" w:customStyle="1" w:styleId="JuQuot">
    <w:name w:val="Ju_Quot"/>
    <w:basedOn w:val="JuPara"/>
    <w:uiPriority w:val="99"/>
    <w:rsid w:val="00864209"/>
    <w:pPr>
      <w:spacing w:before="120" w:after="120"/>
      <w:ind w:left="425" w:firstLine="142"/>
    </w:pPr>
    <w:rPr>
      <w:sz w:val="20"/>
    </w:rPr>
  </w:style>
  <w:style w:type="paragraph" w:customStyle="1" w:styleId="JuSigned">
    <w:name w:val="Ju_Signed"/>
    <w:basedOn w:val="NormalTimesNewRoman"/>
    <w:next w:val="JuParaLast"/>
    <w:link w:val="JuSignedChar"/>
    <w:uiPriority w:val="99"/>
    <w:rsid w:val="00864209"/>
    <w:pPr>
      <w:tabs>
        <w:tab w:val="center" w:pos="851"/>
        <w:tab w:val="center" w:pos="6407"/>
      </w:tabs>
      <w:spacing w:before="720"/>
    </w:pPr>
  </w:style>
  <w:style w:type="paragraph" w:customStyle="1" w:styleId="JuParaLast">
    <w:name w:val="Ju_Para_Last"/>
    <w:basedOn w:val="JuPara"/>
    <w:next w:val="JuPara"/>
    <w:uiPriority w:val="99"/>
    <w:rsid w:val="00864209"/>
    <w:pPr>
      <w:keepNext/>
      <w:keepLines/>
      <w:spacing w:before="240"/>
    </w:pPr>
  </w:style>
  <w:style w:type="character" w:customStyle="1" w:styleId="JuSignedChar">
    <w:name w:val="Ju_Signed Char"/>
    <w:link w:val="JuSigned"/>
    <w:uiPriority w:val="99"/>
    <w:locked/>
    <w:rsid w:val="000726F6"/>
    <w:rPr>
      <w:sz w:val="24"/>
      <w:lang w:val="en-GB" w:eastAsia="fr-FR"/>
    </w:rPr>
  </w:style>
  <w:style w:type="paragraph" w:customStyle="1" w:styleId="JuCase">
    <w:name w:val="Ju_Case"/>
    <w:basedOn w:val="JuPara"/>
    <w:next w:val="JuPara"/>
    <w:link w:val="JuCaseChar"/>
    <w:uiPriority w:val="99"/>
    <w:rsid w:val="00864209"/>
    <w:rPr>
      <w:b/>
    </w:rPr>
  </w:style>
  <w:style w:type="character" w:customStyle="1" w:styleId="JuCaseChar">
    <w:name w:val="Ju_Case Char"/>
    <w:link w:val="JuCase"/>
    <w:uiPriority w:val="99"/>
    <w:locked/>
    <w:rsid w:val="00B921A8"/>
    <w:rPr>
      <w:b/>
      <w:sz w:val="24"/>
      <w:lang w:val="en-GB" w:eastAsia="fr-FR"/>
    </w:rPr>
  </w:style>
  <w:style w:type="paragraph" w:customStyle="1" w:styleId="JuList">
    <w:name w:val="Ju_List"/>
    <w:basedOn w:val="JuPara"/>
    <w:link w:val="JuListChar"/>
    <w:uiPriority w:val="99"/>
    <w:rsid w:val="00864209"/>
    <w:pPr>
      <w:ind w:left="340" w:hanging="340"/>
    </w:pPr>
  </w:style>
  <w:style w:type="character" w:customStyle="1" w:styleId="JuListChar">
    <w:name w:val="Ju_List Char"/>
    <w:link w:val="JuList"/>
    <w:uiPriority w:val="99"/>
    <w:locked/>
    <w:rsid w:val="00930CD7"/>
    <w:rPr>
      <w:sz w:val="24"/>
      <w:lang w:val="en-GB" w:eastAsia="fr-FR"/>
    </w:rPr>
  </w:style>
  <w:style w:type="paragraph" w:customStyle="1" w:styleId="JuHArticle">
    <w:name w:val="Ju_H_Article"/>
    <w:basedOn w:val="JuHa0"/>
    <w:next w:val="JuQuot"/>
    <w:uiPriority w:val="99"/>
    <w:rsid w:val="00864209"/>
    <w:pPr>
      <w:ind w:left="0" w:firstLine="0"/>
      <w:jc w:val="center"/>
    </w:pPr>
  </w:style>
  <w:style w:type="paragraph" w:customStyle="1" w:styleId="JuHa0">
    <w:name w:val="Ju_H_a"/>
    <w:basedOn w:val="JuH1"/>
    <w:next w:val="JuPara"/>
    <w:uiPriority w:val="99"/>
    <w:rsid w:val="00864209"/>
    <w:pPr>
      <w:tabs>
        <w:tab w:val="clear" w:pos="731"/>
        <w:tab w:val="left" w:pos="975"/>
      </w:tabs>
      <w:ind w:left="975" w:hanging="340"/>
      <w:outlineLvl w:val="4"/>
    </w:pPr>
    <w:rPr>
      <w:b/>
      <w:i w:val="0"/>
      <w:sz w:val="20"/>
    </w:rPr>
  </w:style>
  <w:style w:type="paragraph" w:customStyle="1" w:styleId="JuH1">
    <w:name w:val="Ju_H_1."/>
    <w:basedOn w:val="JuHA"/>
    <w:next w:val="JuPara"/>
    <w:uiPriority w:val="99"/>
    <w:rsid w:val="00864209"/>
    <w:pPr>
      <w:tabs>
        <w:tab w:val="clear" w:pos="584"/>
        <w:tab w:val="left" w:pos="731"/>
      </w:tabs>
      <w:spacing w:before="240" w:after="120"/>
      <w:ind w:left="732" w:hanging="301"/>
      <w:outlineLvl w:val="3"/>
    </w:pPr>
    <w:rPr>
      <w:b w:val="0"/>
      <w:i/>
    </w:rPr>
  </w:style>
  <w:style w:type="paragraph" w:customStyle="1" w:styleId="JuQuotList">
    <w:name w:val="Ju_Quot_List"/>
    <w:basedOn w:val="JuQuot"/>
    <w:uiPriority w:val="99"/>
    <w:rsid w:val="00CC3073"/>
    <w:pPr>
      <w:tabs>
        <w:tab w:val="left" w:pos="1021"/>
      </w:tabs>
      <w:ind w:left="567" w:firstLine="0"/>
    </w:pPr>
  </w:style>
  <w:style w:type="paragraph" w:customStyle="1" w:styleId="JuCourt">
    <w:name w:val="Ju_Court"/>
    <w:basedOn w:val="JuJudges"/>
    <w:uiPriority w:val="99"/>
    <w:rsid w:val="00864209"/>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uiPriority w:val="99"/>
    <w:rsid w:val="00864209"/>
  </w:style>
  <w:style w:type="paragraph" w:customStyle="1" w:styleId="OpiTranslation">
    <w:name w:val="Opi_Translation"/>
    <w:basedOn w:val="OpiHHead"/>
    <w:next w:val="OpiPara"/>
    <w:uiPriority w:val="99"/>
    <w:rsid w:val="00864209"/>
    <w:rPr>
      <w:i/>
      <w:sz w:val="24"/>
    </w:rPr>
  </w:style>
  <w:style w:type="paragraph" w:styleId="FootnoteText">
    <w:name w:val="footnote text"/>
    <w:basedOn w:val="Normal"/>
    <w:link w:val="FootnoteTextChar"/>
    <w:uiPriority w:val="99"/>
    <w:semiHidden/>
    <w:rsid w:val="00864209"/>
    <w:pPr>
      <w:jc w:val="both"/>
    </w:pPr>
    <w:rPr>
      <w:sz w:val="20"/>
    </w:rPr>
  </w:style>
  <w:style w:type="character" w:customStyle="1" w:styleId="FootnoteTextChar">
    <w:name w:val="Footnote Text Char"/>
    <w:basedOn w:val="DefaultParagraphFont"/>
    <w:link w:val="FootnoteText"/>
    <w:uiPriority w:val="99"/>
    <w:semiHidden/>
    <w:locked/>
    <w:rsid w:val="001A4FF7"/>
    <w:rPr>
      <w:sz w:val="20"/>
      <w:lang w:val="en-GB" w:eastAsia="fr-FR"/>
    </w:rPr>
  </w:style>
  <w:style w:type="character" w:styleId="FootnoteReference">
    <w:name w:val="footnote reference"/>
    <w:basedOn w:val="DefaultParagraphFont"/>
    <w:uiPriority w:val="99"/>
    <w:semiHidden/>
    <w:rsid w:val="00864209"/>
    <w:rPr>
      <w:rFonts w:cs="Times New Roman"/>
      <w:vertAlign w:val="superscript"/>
    </w:rPr>
  </w:style>
  <w:style w:type="paragraph" w:customStyle="1" w:styleId="JuHi">
    <w:name w:val="Ju_H_i"/>
    <w:basedOn w:val="JuHa0"/>
    <w:next w:val="JuPara"/>
    <w:uiPriority w:val="99"/>
    <w:rsid w:val="00864209"/>
    <w:pPr>
      <w:tabs>
        <w:tab w:val="clear" w:pos="975"/>
        <w:tab w:val="left" w:pos="1191"/>
      </w:tabs>
      <w:ind w:left="1190" w:hanging="357"/>
      <w:outlineLvl w:val="5"/>
    </w:pPr>
    <w:rPr>
      <w:b w:val="0"/>
      <w:i/>
    </w:rPr>
  </w:style>
  <w:style w:type="paragraph" w:styleId="Header">
    <w:name w:val="header"/>
    <w:basedOn w:val="NormalTimesNewRoman"/>
    <w:link w:val="HeaderChar"/>
    <w:uiPriority w:val="99"/>
    <w:rsid w:val="00864209"/>
    <w:pPr>
      <w:tabs>
        <w:tab w:val="center" w:pos="3686"/>
        <w:tab w:val="right" w:pos="7371"/>
      </w:tabs>
    </w:pPr>
    <w:rPr>
      <w:sz w:val="20"/>
    </w:rPr>
  </w:style>
  <w:style w:type="character" w:customStyle="1" w:styleId="HeaderChar">
    <w:name w:val="Header Char"/>
    <w:basedOn w:val="DefaultParagraphFont"/>
    <w:link w:val="Header"/>
    <w:uiPriority w:val="99"/>
    <w:semiHidden/>
    <w:locked/>
    <w:rsid w:val="001A4FF7"/>
    <w:rPr>
      <w:sz w:val="20"/>
      <w:lang w:val="en-GB" w:eastAsia="fr-FR"/>
    </w:rPr>
  </w:style>
  <w:style w:type="character" w:styleId="PageNumber">
    <w:name w:val="page number"/>
    <w:basedOn w:val="DefaultParagraphFont"/>
    <w:uiPriority w:val="99"/>
    <w:rsid w:val="00864209"/>
    <w:rPr>
      <w:rFonts w:cs="Times New Roman"/>
      <w:sz w:val="18"/>
    </w:rPr>
  </w:style>
  <w:style w:type="paragraph" w:customStyle="1" w:styleId="JuH">
    <w:name w:val="Ju_H_–"/>
    <w:basedOn w:val="JuHalpha"/>
    <w:next w:val="JuPara"/>
    <w:uiPriority w:val="99"/>
    <w:rsid w:val="00864209"/>
    <w:pPr>
      <w:tabs>
        <w:tab w:val="clear" w:pos="1372"/>
      </w:tabs>
      <w:ind w:left="1236" w:firstLine="0"/>
    </w:pPr>
    <w:rPr>
      <w:i/>
      <w:lang w:val="fr-FR"/>
    </w:rPr>
  </w:style>
  <w:style w:type="paragraph" w:customStyle="1" w:styleId="JuHalpha">
    <w:name w:val="Ju_H_alpha"/>
    <w:basedOn w:val="JuHi"/>
    <w:next w:val="JuPara"/>
    <w:uiPriority w:val="99"/>
    <w:rsid w:val="00864209"/>
    <w:pPr>
      <w:tabs>
        <w:tab w:val="clear" w:pos="1191"/>
        <w:tab w:val="left" w:pos="1372"/>
      </w:tabs>
      <w:ind w:left="1373" w:hanging="335"/>
    </w:pPr>
    <w:rPr>
      <w:i w:val="0"/>
    </w:rPr>
  </w:style>
  <w:style w:type="paragraph" w:customStyle="1" w:styleId="JuLista">
    <w:name w:val="Ju_List_a"/>
    <w:basedOn w:val="JuList"/>
    <w:uiPriority w:val="99"/>
    <w:rsid w:val="00864209"/>
    <w:pPr>
      <w:ind w:left="346" w:firstLine="0"/>
    </w:pPr>
  </w:style>
  <w:style w:type="paragraph" w:customStyle="1" w:styleId="JuListi">
    <w:name w:val="Ju_List_i"/>
    <w:basedOn w:val="JuLista"/>
    <w:uiPriority w:val="99"/>
    <w:rsid w:val="00864209"/>
    <w:pPr>
      <w:ind w:left="794"/>
    </w:pPr>
  </w:style>
  <w:style w:type="character" w:styleId="CommentReference">
    <w:name w:val="annotation reference"/>
    <w:basedOn w:val="DefaultParagraphFont"/>
    <w:uiPriority w:val="99"/>
    <w:semiHidden/>
    <w:rsid w:val="00CC3073"/>
    <w:rPr>
      <w:rFonts w:cs="Times New Roman"/>
      <w:sz w:val="16"/>
    </w:rPr>
  </w:style>
  <w:style w:type="paragraph" w:styleId="CommentText">
    <w:name w:val="annotation text"/>
    <w:basedOn w:val="Normal"/>
    <w:link w:val="CommentTextChar"/>
    <w:uiPriority w:val="99"/>
    <w:semiHidden/>
    <w:rsid w:val="00CC3073"/>
    <w:rPr>
      <w:sz w:val="20"/>
    </w:rPr>
  </w:style>
  <w:style w:type="character" w:customStyle="1" w:styleId="CommentTextChar">
    <w:name w:val="Comment Text Char"/>
    <w:basedOn w:val="DefaultParagraphFont"/>
    <w:link w:val="CommentText"/>
    <w:uiPriority w:val="99"/>
    <w:semiHidden/>
    <w:locked/>
    <w:rsid w:val="001A4FF7"/>
    <w:rPr>
      <w:sz w:val="20"/>
      <w:lang w:val="en-GB" w:eastAsia="fr-FR"/>
    </w:rPr>
  </w:style>
  <w:style w:type="paragraph" w:customStyle="1" w:styleId="JuInitialled">
    <w:name w:val="Ju_Initialled"/>
    <w:basedOn w:val="JuSigned"/>
    <w:uiPriority w:val="99"/>
    <w:rsid w:val="00864209"/>
    <w:pPr>
      <w:tabs>
        <w:tab w:val="clear" w:pos="851"/>
      </w:tabs>
      <w:jc w:val="right"/>
    </w:pPr>
  </w:style>
  <w:style w:type="paragraph" w:customStyle="1" w:styleId="JuHeader">
    <w:name w:val="Ju_Header"/>
    <w:basedOn w:val="Header"/>
    <w:uiPriority w:val="99"/>
    <w:rsid w:val="00864209"/>
  </w:style>
  <w:style w:type="paragraph" w:customStyle="1" w:styleId="DecHTitle">
    <w:name w:val="Dec_H_Title"/>
    <w:basedOn w:val="NormalTimesNewRoman"/>
    <w:uiPriority w:val="99"/>
    <w:rsid w:val="00864209"/>
    <w:pPr>
      <w:spacing w:after="240"/>
      <w:jc w:val="center"/>
      <w:outlineLvl w:val="0"/>
    </w:pPr>
    <w:rPr>
      <w:sz w:val="28"/>
    </w:rPr>
  </w:style>
  <w:style w:type="paragraph" w:customStyle="1" w:styleId="DecHCase">
    <w:name w:val="Dec_H_Case"/>
    <w:basedOn w:val="DecHTitle"/>
    <w:next w:val="JuPara"/>
    <w:uiPriority w:val="99"/>
    <w:rsid w:val="00864209"/>
    <w:rPr>
      <w:sz w:val="24"/>
    </w:rPr>
  </w:style>
  <w:style w:type="paragraph" w:customStyle="1" w:styleId="DecList">
    <w:name w:val="Dec_List"/>
    <w:basedOn w:val="NormalTimesNewRoman"/>
    <w:uiPriority w:val="99"/>
    <w:rsid w:val="00864209"/>
    <w:pPr>
      <w:spacing w:before="240"/>
      <w:ind w:left="284"/>
      <w:jc w:val="both"/>
    </w:pPr>
  </w:style>
  <w:style w:type="paragraph" w:customStyle="1" w:styleId="JuParaSub">
    <w:name w:val="Ju_Para_Sub"/>
    <w:basedOn w:val="JuPara"/>
    <w:uiPriority w:val="99"/>
    <w:rsid w:val="00864209"/>
    <w:pPr>
      <w:ind w:left="284"/>
    </w:pPr>
    <w:rPr>
      <w:szCs w:val="24"/>
    </w:rPr>
  </w:style>
  <w:style w:type="paragraph" w:customStyle="1" w:styleId="JuQuotSub">
    <w:name w:val="Ju_Quot_Sub"/>
    <w:basedOn w:val="JuQuot"/>
    <w:uiPriority w:val="99"/>
    <w:rsid w:val="00864209"/>
    <w:pPr>
      <w:ind w:left="567"/>
    </w:pPr>
  </w:style>
  <w:style w:type="paragraph" w:styleId="BalloonText">
    <w:name w:val="Balloon Text"/>
    <w:basedOn w:val="Normal"/>
    <w:link w:val="BalloonTextChar"/>
    <w:uiPriority w:val="99"/>
    <w:semiHidden/>
    <w:rsid w:val="00457A18"/>
    <w:rPr>
      <w:sz w:val="2"/>
    </w:rPr>
  </w:style>
  <w:style w:type="character" w:customStyle="1" w:styleId="BalloonTextChar">
    <w:name w:val="Balloon Text Char"/>
    <w:basedOn w:val="DefaultParagraphFont"/>
    <w:link w:val="BalloonText"/>
    <w:uiPriority w:val="99"/>
    <w:semiHidden/>
    <w:locked/>
    <w:rsid w:val="001A4FF7"/>
    <w:rPr>
      <w:sz w:val="2"/>
      <w:lang w:val="en-GB" w:eastAsia="fr-FR"/>
    </w:rPr>
  </w:style>
  <w:style w:type="paragraph" w:styleId="CommentSubject">
    <w:name w:val="annotation subject"/>
    <w:basedOn w:val="CommentText"/>
    <w:next w:val="CommentText"/>
    <w:link w:val="CommentSubjectChar"/>
    <w:uiPriority w:val="99"/>
    <w:semiHidden/>
    <w:rsid w:val="00D353F4"/>
    <w:rPr>
      <w:b/>
      <w:bCs/>
    </w:rPr>
  </w:style>
  <w:style w:type="character" w:customStyle="1" w:styleId="CommentSubjectChar">
    <w:name w:val="Comment Subject Char"/>
    <w:basedOn w:val="CommentTextChar"/>
    <w:link w:val="CommentSubject"/>
    <w:uiPriority w:val="99"/>
    <w:semiHidden/>
    <w:locked/>
    <w:rsid w:val="001A4FF7"/>
    <w:rPr>
      <w:b/>
    </w:rPr>
  </w:style>
  <w:style w:type="character" w:styleId="EndnoteReference">
    <w:name w:val="endnote reference"/>
    <w:basedOn w:val="DefaultParagraphFont"/>
    <w:uiPriority w:val="99"/>
    <w:semiHidden/>
    <w:rsid w:val="00864209"/>
    <w:rPr>
      <w:rFonts w:cs="Times New Roman"/>
      <w:vertAlign w:val="superscript"/>
    </w:rPr>
  </w:style>
  <w:style w:type="paragraph" w:styleId="EndnoteText">
    <w:name w:val="endnote text"/>
    <w:basedOn w:val="Normal"/>
    <w:link w:val="EndnoteTextChar"/>
    <w:uiPriority w:val="99"/>
    <w:semiHidden/>
    <w:rsid w:val="00864209"/>
    <w:rPr>
      <w:sz w:val="20"/>
    </w:rPr>
  </w:style>
  <w:style w:type="character" w:customStyle="1" w:styleId="EndnoteTextChar">
    <w:name w:val="Endnote Text Char"/>
    <w:basedOn w:val="DefaultParagraphFont"/>
    <w:link w:val="EndnoteText"/>
    <w:uiPriority w:val="99"/>
    <w:semiHidden/>
    <w:locked/>
    <w:rsid w:val="001A4FF7"/>
    <w:rPr>
      <w:sz w:val="20"/>
      <w:lang w:val="en-GB" w:eastAsia="fr-FR"/>
    </w:rPr>
  </w:style>
  <w:style w:type="character" w:styleId="FollowedHyperlink">
    <w:name w:val="FollowedHyperlink"/>
    <w:basedOn w:val="DefaultParagraphFont"/>
    <w:uiPriority w:val="99"/>
    <w:rsid w:val="00864209"/>
    <w:rPr>
      <w:rFonts w:cs="Times New Roman"/>
      <w:color w:val="800080"/>
      <w:u w:val="single"/>
    </w:rPr>
  </w:style>
  <w:style w:type="paragraph" w:customStyle="1" w:styleId="SuCoverTitle1">
    <w:name w:val="Su_Cover_Title1"/>
    <w:basedOn w:val="NormalTimesNewRoman"/>
    <w:next w:val="SuCoverTitle2"/>
    <w:uiPriority w:val="99"/>
    <w:rsid w:val="00864209"/>
    <w:pPr>
      <w:spacing w:before="2500"/>
      <w:jc w:val="center"/>
    </w:pPr>
    <w:rPr>
      <w:sz w:val="22"/>
    </w:rPr>
  </w:style>
  <w:style w:type="paragraph" w:customStyle="1" w:styleId="SuCoverTitle2">
    <w:name w:val="Su_Cover_Title2"/>
    <w:basedOn w:val="SuCoverTitle1"/>
    <w:next w:val="Normal"/>
    <w:uiPriority w:val="99"/>
    <w:rsid w:val="00864209"/>
    <w:pPr>
      <w:spacing w:before="240"/>
    </w:pPr>
    <w:rPr>
      <w:sz w:val="18"/>
    </w:rPr>
  </w:style>
  <w:style w:type="paragraph" w:customStyle="1" w:styleId="SuPara">
    <w:name w:val="Su_Para"/>
    <w:basedOn w:val="SuKeywords"/>
    <w:uiPriority w:val="99"/>
    <w:rsid w:val="00864209"/>
    <w:pPr>
      <w:spacing w:before="0" w:after="0"/>
    </w:pPr>
    <w:rPr>
      <w:i w:val="0"/>
    </w:rPr>
  </w:style>
  <w:style w:type="paragraph" w:customStyle="1" w:styleId="SuKeywords">
    <w:name w:val="Su_Keywords"/>
    <w:basedOn w:val="SuHHead"/>
    <w:uiPriority w:val="99"/>
    <w:rsid w:val="00864209"/>
    <w:pPr>
      <w:spacing w:before="120"/>
    </w:pPr>
    <w:rPr>
      <w:b w:val="0"/>
      <w:i/>
    </w:rPr>
  </w:style>
  <w:style w:type="paragraph" w:customStyle="1" w:styleId="SuHHead">
    <w:name w:val="Su_H_Head"/>
    <w:basedOn w:val="SuSubject"/>
    <w:uiPriority w:val="99"/>
    <w:rsid w:val="00864209"/>
    <w:pPr>
      <w:spacing w:after="120"/>
    </w:pPr>
  </w:style>
  <w:style w:type="paragraph" w:customStyle="1" w:styleId="SuSubject">
    <w:name w:val="Su_Subject"/>
    <w:basedOn w:val="SuSummary"/>
    <w:uiPriority w:val="99"/>
    <w:rsid w:val="00864209"/>
    <w:pPr>
      <w:spacing w:before="360"/>
      <w:jc w:val="both"/>
    </w:pPr>
    <w:rPr>
      <w:b/>
      <w:sz w:val="22"/>
    </w:rPr>
  </w:style>
  <w:style w:type="paragraph" w:customStyle="1" w:styleId="SuSummary">
    <w:name w:val="Su_Summary"/>
    <w:basedOn w:val="NormalTimesNewRoman"/>
    <w:next w:val="SuSubject"/>
    <w:uiPriority w:val="99"/>
    <w:rsid w:val="00864209"/>
    <w:pPr>
      <w:spacing w:after="240"/>
      <w:jc w:val="center"/>
    </w:pPr>
  </w:style>
  <w:style w:type="paragraph" w:customStyle="1" w:styleId="OpiParaSub">
    <w:name w:val="Opi_Para_Sub"/>
    <w:basedOn w:val="JuParaSub"/>
    <w:uiPriority w:val="99"/>
    <w:rsid w:val="00864209"/>
  </w:style>
  <w:style w:type="paragraph" w:customStyle="1" w:styleId="OpiQuotSub">
    <w:name w:val="Opi_Quot_Sub"/>
    <w:basedOn w:val="JuQuotSub"/>
    <w:uiPriority w:val="99"/>
    <w:rsid w:val="00864209"/>
  </w:style>
  <w:style w:type="character" w:styleId="Hyperlink">
    <w:name w:val="Hyperlink"/>
    <w:basedOn w:val="DefaultParagraphFont"/>
    <w:uiPriority w:val="99"/>
    <w:rsid w:val="00864209"/>
    <w:rPr>
      <w:rFonts w:cs="Times New Roman"/>
      <w:color w:val="0000FF"/>
      <w:u w:val="single"/>
    </w:rPr>
  </w:style>
  <w:style w:type="character" w:styleId="Strong">
    <w:name w:val="Strong"/>
    <w:basedOn w:val="DefaultParagraphFont"/>
    <w:uiPriority w:val="99"/>
    <w:qFormat/>
    <w:rsid w:val="00AA7CA2"/>
    <w:rPr>
      <w:rFonts w:cs="Times New Roman"/>
      <w:b/>
    </w:rPr>
  </w:style>
  <w:style w:type="paragraph" w:styleId="DocumentMap">
    <w:name w:val="Document Map"/>
    <w:basedOn w:val="Normal"/>
    <w:link w:val="DocumentMapChar"/>
    <w:uiPriority w:val="99"/>
    <w:semiHidden/>
    <w:rsid w:val="008824B9"/>
    <w:pPr>
      <w:shd w:val="clear" w:color="auto" w:fill="000080"/>
    </w:pPr>
    <w:rPr>
      <w:sz w:val="2"/>
    </w:rPr>
  </w:style>
  <w:style w:type="character" w:customStyle="1" w:styleId="DocumentMapChar">
    <w:name w:val="Document Map Char"/>
    <w:basedOn w:val="DefaultParagraphFont"/>
    <w:link w:val="DocumentMap"/>
    <w:uiPriority w:val="99"/>
    <w:semiHidden/>
    <w:locked/>
    <w:rsid w:val="001A4FF7"/>
    <w:rPr>
      <w:sz w:val="2"/>
      <w:lang w:val="en-GB" w:eastAsia="fr-FR"/>
    </w:rPr>
  </w:style>
  <w:style w:type="character" w:customStyle="1" w:styleId="JuNames">
    <w:name w:val="Ju_Names"/>
    <w:uiPriority w:val="99"/>
    <w:rsid w:val="00864209"/>
    <w:rPr>
      <w:smallCaps/>
    </w:rPr>
  </w:style>
  <w:style w:type="paragraph" w:customStyle="1" w:styleId="NormalJustified">
    <w:name w:val="Normal_Justified"/>
    <w:basedOn w:val="Normal"/>
    <w:uiPriority w:val="99"/>
    <w:rsid w:val="008824B9"/>
    <w:pPr>
      <w:jc w:val="both"/>
    </w:pPr>
  </w:style>
  <w:style w:type="paragraph" w:customStyle="1" w:styleId="JuAppQuestion">
    <w:name w:val="Ju_App_Question"/>
    <w:basedOn w:val="ListBullet"/>
    <w:uiPriority w:val="99"/>
    <w:rsid w:val="00864209"/>
    <w:pPr>
      <w:tabs>
        <w:tab w:val="num" w:pos="720"/>
      </w:tabs>
      <w:suppressAutoHyphens w:val="0"/>
      <w:ind w:left="720" w:hanging="360"/>
    </w:pPr>
    <w:rPr>
      <w:b/>
      <w:color w:val="333333"/>
    </w:rPr>
  </w:style>
  <w:style w:type="paragraph" w:styleId="ListBullet">
    <w:name w:val="List Bullet"/>
    <w:basedOn w:val="Normal"/>
    <w:uiPriority w:val="99"/>
    <w:rsid w:val="008824B9"/>
    <w:pPr>
      <w:numPr>
        <w:numId w:val="38"/>
      </w:numPr>
    </w:pPr>
  </w:style>
  <w:style w:type="paragraph" w:customStyle="1" w:styleId="Standardowyobserwacja">
    <w:name w:val="Standardowy obserwacja"/>
    <w:basedOn w:val="Normal"/>
    <w:link w:val="StandardowyobserwacjaZnak"/>
    <w:uiPriority w:val="99"/>
    <w:rsid w:val="0061649B"/>
    <w:pPr>
      <w:numPr>
        <w:numId w:val="5"/>
      </w:numPr>
      <w:tabs>
        <w:tab w:val="clear" w:pos="360"/>
        <w:tab w:val="left" w:pos="-720"/>
        <w:tab w:val="num" w:pos="592"/>
      </w:tabs>
      <w:spacing w:after="120"/>
      <w:ind w:left="592"/>
      <w:jc w:val="both"/>
    </w:pPr>
    <w:rPr>
      <w:spacing w:val="-3"/>
      <w:lang w:eastAsia="pl-PL"/>
    </w:rPr>
  </w:style>
  <w:style w:type="character" w:customStyle="1" w:styleId="StandardowyobserwacjaZnak">
    <w:name w:val="Standardowy obserwacja Znak"/>
    <w:link w:val="Standardowyobserwacja"/>
    <w:uiPriority w:val="99"/>
    <w:locked/>
    <w:rsid w:val="0061649B"/>
    <w:rPr>
      <w:spacing w:val="-3"/>
      <w:sz w:val="24"/>
      <w:lang w:val="en-GB" w:eastAsia="pl-PL"/>
    </w:rPr>
  </w:style>
  <w:style w:type="character" w:customStyle="1" w:styleId="JuParaCar">
    <w:name w:val="Ju_Para Car"/>
    <w:uiPriority w:val="99"/>
    <w:rsid w:val="00244574"/>
    <w:rPr>
      <w:sz w:val="24"/>
      <w:lang w:val="en-GB" w:eastAsia="fr-FR"/>
    </w:rPr>
  </w:style>
  <w:style w:type="character" w:customStyle="1" w:styleId="ju-005fpara--char">
    <w:name w:val="ju-005fpara--char"/>
    <w:uiPriority w:val="99"/>
    <w:rsid w:val="00050805"/>
  </w:style>
  <w:style w:type="character" w:customStyle="1" w:styleId="ju--005fpara----char--char">
    <w:name w:val="ju--005fpara----char--char"/>
    <w:uiPriority w:val="99"/>
    <w:rsid w:val="00050805"/>
  </w:style>
  <w:style w:type="character" w:customStyle="1" w:styleId="ju-005fpara-002cleft-002cfirst-0020line-003a-0020-00200-0020cm--char">
    <w:name w:val="ju-005fpara-002cleft-002cfirst-0020line-003a-0020-00200-0020cm--char"/>
    <w:uiPriority w:val="99"/>
    <w:rsid w:val="00335AD7"/>
  </w:style>
  <w:style w:type="character" w:customStyle="1" w:styleId="ju-005fquot-0020char--char">
    <w:name w:val="ju-005fquot-0020char--char"/>
    <w:uiPriority w:val="99"/>
    <w:rsid w:val="000E7279"/>
  </w:style>
  <w:style w:type="paragraph" w:customStyle="1" w:styleId="ju-005fpara-002cleft-002cfirst-0020line-003a-0020-00200-0020cm">
    <w:name w:val="ju-005fpara-002cleft-002cfirst-0020line-003a-0020-00200-0020cm"/>
    <w:basedOn w:val="Normal"/>
    <w:uiPriority w:val="99"/>
    <w:rsid w:val="000E7279"/>
    <w:pPr>
      <w:suppressAutoHyphens w:val="0"/>
      <w:spacing w:before="100" w:beforeAutospacing="1" w:after="100" w:afterAutospacing="1"/>
    </w:pPr>
    <w:rPr>
      <w:szCs w:val="24"/>
      <w:lang w:eastAsia="en-GB"/>
    </w:rPr>
  </w:style>
</w:styles>
</file>

<file path=word/webSettings.xml><?xml version="1.0" encoding="utf-8"?>
<w:webSettings xmlns:r="http://schemas.openxmlformats.org/officeDocument/2006/relationships" xmlns:w="http://schemas.openxmlformats.org/wordprocessingml/2006/main">
  <w:divs>
    <w:div w:id="1418554374">
      <w:marLeft w:val="0"/>
      <w:marRight w:val="0"/>
      <w:marTop w:val="0"/>
      <w:marBottom w:val="0"/>
      <w:divBdr>
        <w:top w:val="none" w:sz="0" w:space="0" w:color="auto"/>
        <w:left w:val="none" w:sz="0" w:space="0" w:color="auto"/>
        <w:bottom w:val="none" w:sz="0" w:space="0" w:color="auto"/>
        <w:right w:val="none" w:sz="0" w:space="0" w:color="auto"/>
      </w:divBdr>
    </w:div>
    <w:div w:id="1418554375">
      <w:marLeft w:val="0"/>
      <w:marRight w:val="0"/>
      <w:marTop w:val="0"/>
      <w:marBottom w:val="0"/>
      <w:divBdr>
        <w:top w:val="none" w:sz="0" w:space="0" w:color="auto"/>
        <w:left w:val="none" w:sz="0" w:space="0" w:color="auto"/>
        <w:bottom w:val="none" w:sz="0" w:space="0" w:color="auto"/>
        <w:right w:val="none" w:sz="0" w:space="0" w:color="auto"/>
      </w:divBdr>
    </w:div>
    <w:div w:id="1418554376">
      <w:marLeft w:val="0"/>
      <w:marRight w:val="0"/>
      <w:marTop w:val="0"/>
      <w:marBottom w:val="0"/>
      <w:divBdr>
        <w:top w:val="none" w:sz="0" w:space="0" w:color="auto"/>
        <w:left w:val="none" w:sz="0" w:space="0" w:color="auto"/>
        <w:bottom w:val="none" w:sz="0" w:space="0" w:color="auto"/>
        <w:right w:val="none" w:sz="0" w:space="0" w:color="auto"/>
      </w:divBdr>
    </w:div>
    <w:div w:id="1418554379">
      <w:marLeft w:val="0"/>
      <w:marRight w:val="0"/>
      <w:marTop w:val="0"/>
      <w:marBottom w:val="0"/>
      <w:divBdr>
        <w:top w:val="none" w:sz="0" w:space="0" w:color="auto"/>
        <w:left w:val="none" w:sz="0" w:space="0" w:color="auto"/>
        <w:bottom w:val="none" w:sz="0" w:space="0" w:color="auto"/>
        <w:right w:val="none" w:sz="0" w:space="0" w:color="auto"/>
      </w:divBdr>
      <w:divsChild>
        <w:div w:id="1418554381">
          <w:marLeft w:val="0"/>
          <w:marRight w:val="0"/>
          <w:marTop w:val="0"/>
          <w:marBottom w:val="0"/>
          <w:divBdr>
            <w:top w:val="none" w:sz="0" w:space="0" w:color="auto"/>
            <w:left w:val="none" w:sz="0" w:space="0" w:color="auto"/>
            <w:bottom w:val="none" w:sz="0" w:space="0" w:color="auto"/>
            <w:right w:val="none" w:sz="0" w:space="0" w:color="auto"/>
          </w:divBdr>
          <w:divsChild>
            <w:div w:id="1418554380">
              <w:marLeft w:val="0"/>
              <w:marRight w:val="0"/>
              <w:marTop w:val="0"/>
              <w:marBottom w:val="0"/>
              <w:divBdr>
                <w:top w:val="none" w:sz="0" w:space="0" w:color="auto"/>
                <w:left w:val="none" w:sz="0" w:space="0" w:color="auto"/>
                <w:bottom w:val="none" w:sz="0" w:space="0" w:color="auto"/>
                <w:right w:val="none" w:sz="0" w:space="0" w:color="auto"/>
              </w:divBdr>
              <w:divsChild>
                <w:div w:id="1418554388">
                  <w:marLeft w:val="2"/>
                  <w:marRight w:val="0"/>
                  <w:marTop w:val="0"/>
                  <w:marBottom w:val="0"/>
                  <w:divBdr>
                    <w:top w:val="none" w:sz="0" w:space="0" w:color="auto"/>
                    <w:left w:val="none" w:sz="0" w:space="0" w:color="auto"/>
                    <w:bottom w:val="none" w:sz="0" w:space="0" w:color="auto"/>
                    <w:right w:val="none" w:sz="0" w:space="0" w:color="auto"/>
                  </w:divBdr>
                  <w:divsChild>
                    <w:div w:id="1418554383">
                      <w:marLeft w:val="0"/>
                      <w:marRight w:val="0"/>
                      <w:marTop w:val="0"/>
                      <w:marBottom w:val="0"/>
                      <w:divBdr>
                        <w:top w:val="none" w:sz="0" w:space="0" w:color="auto"/>
                        <w:left w:val="none" w:sz="0" w:space="0" w:color="auto"/>
                        <w:bottom w:val="none" w:sz="0" w:space="0" w:color="auto"/>
                        <w:right w:val="none" w:sz="0" w:space="0" w:color="auto"/>
                      </w:divBdr>
                      <w:divsChild>
                        <w:div w:id="1418554378">
                          <w:marLeft w:val="0"/>
                          <w:marRight w:val="0"/>
                          <w:marTop w:val="0"/>
                          <w:marBottom w:val="0"/>
                          <w:divBdr>
                            <w:top w:val="none" w:sz="0" w:space="0" w:color="auto"/>
                            <w:left w:val="none" w:sz="0" w:space="0" w:color="auto"/>
                            <w:bottom w:val="none" w:sz="0" w:space="0" w:color="auto"/>
                            <w:right w:val="none" w:sz="0" w:space="0" w:color="auto"/>
                          </w:divBdr>
                          <w:divsChild>
                            <w:div w:id="1418554384">
                              <w:marLeft w:val="0"/>
                              <w:marRight w:val="0"/>
                              <w:marTop w:val="0"/>
                              <w:marBottom w:val="0"/>
                              <w:divBdr>
                                <w:top w:val="none" w:sz="0" w:space="0" w:color="auto"/>
                                <w:left w:val="none" w:sz="0" w:space="0" w:color="auto"/>
                                <w:bottom w:val="none" w:sz="0" w:space="0" w:color="auto"/>
                                <w:right w:val="none" w:sz="0" w:space="0" w:color="auto"/>
                              </w:divBdr>
                              <w:divsChild>
                                <w:div w:id="1418554386">
                                  <w:marLeft w:val="0"/>
                                  <w:marRight w:val="0"/>
                                  <w:marTop w:val="0"/>
                                  <w:marBottom w:val="0"/>
                                  <w:divBdr>
                                    <w:top w:val="none" w:sz="0" w:space="0" w:color="auto"/>
                                    <w:left w:val="none" w:sz="0" w:space="0" w:color="auto"/>
                                    <w:bottom w:val="none" w:sz="0" w:space="0" w:color="auto"/>
                                    <w:right w:val="none" w:sz="0" w:space="0" w:color="auto"/>
                                  </w:divBdr>
                                  <w:divsChild>
                                    <w:div w:id="1418554382">
                                      <w:marLeft w:val="0"/>
                                      <w:marRight w:val="0"/>
                                      <w:marTop w:val="0"/>
                                      <w:marBottom w:val="0"/>
                                      <w:divBdr>
                                        <w:top w:val="none" w:sz="0" w:space="0" w:color="auto"/>
                                        <w:left w:val="none" w:sz="0" w:space="0" w:color="auto"/>
                                        <w:bottom w:val="none" w:sz="0" w:space="0" w:color="auto"/>
                                        <w:right w:val="none" w:sz="0" w:space="0" w:color="auto"/>
                                      </w:divBdr>
                                      <w:divsChild>
                                        <w:div w:id="1418554385">
                                          <w:marLeft w:val="0"/>
                                          <w:marRight w:val="0"/>
                                          <w:marTop w:val="0"/>
                                          <w:marBottom w:val="0"/>
                                          <w:divBdr>
                                            <w:top w:val="none" w:sz="0" w:space="0" w:color="auto"/>
                                            <w:left w:val="none" w:sz="0" w:space="0" w:color="auto"/>
                                            <w:bottom w:val="none" w:sz="0" w:space="0" w:color="auto"/>
                                            <w:right w:val="none" w:sz="0" w:space="0" w:color="auto"/>
                                          </w:divBdr>
                                          <w:divsChild>
                                            <w:div w:id="1418554377">
                                              <w:marLeft w:val="0"/>
                                              <w:marRight w:val="0"/>
                                              <w:marTop w:val="0"/>
                                              <w:marBottom w:val="0"/>
                                              <w:divBdr>
                                                <w:top w:val="none" w:sz="0" w:space="0" w:color="auto"/>
                                                <w:left w:val="none" w:sz="0" w:space="0" w:color="auto"/>
                                                <w:bottom w:val="none" w:sz="0" w:space="0" w:color="auto"/>
                                                <w:right w:val="none" w:sz="0" w:space="0" w:color="auto"/>
                                              </w:divBdr>
                                              <w:divsChild>
                                                <w:div w:id="1418554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12</Pages>
  <Words>4057</Words>
  <Characters>24343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3</cp:revision>
  <cp:lastPrinted>2013-01-30T12:29:00Z</cp:lastPrinted>
  <dcterms:created xsi:type="dcterms:W3CDTF">2013-01-30T12:25:00Z</dcterms:created>
  <dcterms:modified xsi:type="dcterms:W3CDTF">2013-01-30T12:32:00Z</dcterms:modified>
  <cp:category>ECHR Template</cp:category>
</cp:coreProperties>
</file>