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23F" w:rsidRDefault="00EC623F" w:rsidP="00EC623F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:rsidR="00EC623F" w:rsidRDefault="00EC623F" w:rsidP="00EC623F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3D7999" w:rsidRPr="00AA05A1" w:rsidRDefault="00EC623F" w:rsidP="00EC623F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="00B743ED" w:rsidRPr="00AA05A1">
        <w:rPr>
          <w:lang w:val="pl-PL"/>
        </w:rPr>
        <w:t xml:space="preserve"> 229</w:t>
      </w:r>
    </w:p>
    <w:p w:rsidR="003D7999" w:rsidRPr="00204FA4" w:rsidRDefault="00B743ED">
      <w:pPr>
        <w:pStyle w:val="ClinEditionMonth"/>
        <w:rPr>
          <w:lang w:val="pl-PL"/>
        </w:rPr>
      </w:pPr>
      <w:r w:rsidRPr="00204FA4">
        <w:rPr>
          <w:lang w:val="pl-PL"/>
        </w:rPr>
        <w:t>Ma</w:t>
      </w:r>
      <w:r w:rsidR="00AA05A1" w:rsidRPr="00204FA4">
        <w:rPr>
          <w:lang w:val="pl-PL"/>
        </w:rPr>
        <w:t>j</w:t>
      </w:r>
      <w:r w:rsidRPr="00204FA4">
        <w:rPr>
          <w:lang w:val="pl-PL"/>
        </w:rPr>
        <w:t xml:space="preserve"> 2019</w:t>
      </w:r>
      <w:r w:rsidR="00AA05A1" w:rsidRPr="00204FA4">
        <w:rPr>
          <w:lang w:val="pl-PL"/>
        </w:rPr>
        <w:t xml:space="preserve"> r.</w:t>
      </w:r>
    </w:p>
    <w:p w:rsidR="003D7999" w:rsidRPr="00204FA4" w:rsidRDefault="00B743ED" w:rsidP="00021927">
      <w:pPr>
        <w:rPr>
          <w:lang w:val="pl-PL"/>
        </w:rPr>
      </w:pPr>
      <w:r w:rsidRPr="00204FA4">
        <w:rPr>
          <w:rStyle w:val="ClinCaseTitle"/>
          <w:lang w:val="pl-PL"/>
        </w:rPr>
        <w:t xml:space="preserve">Ilgar Mammadov </w:t>
      </w:r>
      <w:r w:rsidR="00AA05A1" w:rsidRPr="00204FA4">
        <w:rPr>
          <w:rStyle w:val="ClinCaseTitle"/>
          <w:lang w:val="pl-PL"/>
        </w:rPr>
        <w:t>p</w:t>
      </w:r>
      <w:r w:rsidRPr="00204FA4">
        <w:rPr>
          <w:rStyle w:val="ClinCaseTitle"/>
          <w:lang w:val="pl-PL"/>
        </w:rPr>
        <w:t>. Azerb</w:t>
      </w:r>
      <w:r w:rsidR="00AA05A1" w:rsidRPr="00204FA4">
        <w:rPr>
          <w:rStyle w:val="ClinCaseTitle"/>
          <w:lang w:val="pl-PL"/>
        </w:rPr>
        <w:t>ejdżanowi</w:t>
      </w:r>
      <w:r w:rsidRPr="00204FA4">
        <w:rPr>
          <w:rStyle w:val="ClinCaseTitle"/>
          <w:lang w:val="pl-PL"/>
        </w:rPr>
        <w:t xml:space="preserve"> (</w:t>
      </w:r>
      <w:r w:rsidR="00AA05A1" w:rsidRPr="00204FA4">
        <w:rPr>
          <w:rStyle w:val="ClinCaseTitle"/>
          <w:lang w:val="pl-PL"/>
        </w:rPr>
        <w:t>p</w:t>
      </w:r>
      <w:r w:rsidR="00E7358D" w:rsidRPr="00204FA4">
        <w:rPr>
          <w:rStyle w:val="ClinCaseTitle"/>
          <w:lang w:val="pl-PL"/>
        </w:rPr>
        <w:t>ostępowanie</w:t>
      </w:r>
      <w:r w:rsidR="00AA05A1" w:rsidRPr="00204FA4">
        <w:rPr>
          <w:rStyle w:val="ClinCaseTitle"/>
          <w:lang w:val="pl-PL"/>
        </w:rPr>
        <w:t xml:space="preserve"> w sprawie naruszenia</w:t>
      </w:r>
      <w:r w:rsidR="00EA173C" w:rsidRPr="00204FA4">
        <w:rPr>
          <w:rStyle w:val="ClinCaseTitle"/>
          <w:lang w:val="pl-PL"/>
        </w:rPr>
        <w:t xml:space="preserve"> zobowiązania</w:t>
      </w:r>
      <w:r w:rsidRPr="00204FA4">
        <w:rPr>
          <w:rStyle w:val="ClinCaseTitle"/>
          <w:lang w:val="pl-PL"/>
        </w:rPr>
        <w:t>) [</w:t>
      </w:r>
      <w:r w:rsidR="00AA05A1" w:rsidRPr="00204FA4">
        <w:rPr>
          <w:rStyle w:val="ClinCaseTitle"/>
          <w:lang w:val="pl-PL"/>
        </w:rPr>
        <w:t>Wielka Izba</w:t>
      </w:r>
      <w:r w:rsidRPr="00204FA4">
        <w:rPr>
          <w:rStyle w:val="ClinCaseTitle"/>
          <w:lang w:val="pl-PL"/>
        </w:rPr>
        <w:t>]</w:t>
      </w:r>
      <w:r w:rsidR="00AA05A1" w:rsidRPr="00204FA4">
        <w:rPr>
          <w:rStyle w:val="ClinApplicationNumber"/>
          <w:lang w:val="pl-PL"/>
        </w:rPr>
        <w:t xml:space="preserve">, skarga nr </w:t>
      </w:r>
      <w:r w:rsidRPr="00204FA4">
        <w:rPr>
          <w:rStyle w:val="ClinApplicationNumber"/>
          <w:lang w:val="pl-PL"/>
        </w:rPr>
        <w:t>15172/13</w:t>
      </w:r>
    </w:p>
    <w:p w:rsidR="003D7999" w:rsidRPr="00204FA4" w:rsidRDefault="00AA05A1">
      <w:pPr>
        <w:rPr>
          <w:lang w:val="pl-PL"/>
        </w:rPr>
      </w:pPr>
      <w:r w:rsidRPr="00204FA4">
        <w:rPr>
          <w:rStyle w:val="ClinHudocDocumentTitle"/>
          <w:lang w:val="pl-PL"/>
        </w:rPr>
        <w:t xml:space="preserve">Wyrok z </w:t>
      </w:r>
      <w:r w:rsidR="00B743ED" w:rsidRPr="00204FA4">
        <w:rPr>
          <w:rStyle w:val="ClinHudocDocumentTitle"/>
          <w:lang w:val="pl-PL"/>
        </w:rPr>
        <w:t>29.</w:t>
      </w:r>
      <w:r w:rsidRPr="00204FA4">
        <w:rPr>
          <w:rStyle w:val="ClinHudocDocumentTitle"/>
          <w:lang w:val="pl-PL"/>
        </w:rPr>
        <w:t>0</w:t>
      </w:r>
      <w:r w:rsidR="00B743ED" w:rsidRPr="00204FA4">
        <w:rPr>
          <w:rStyle w:val="ClinHudocDocumentTitle"/>
          <w:lang w:val="pl-PL"/>
        </w:rPr>
        <w:t>5.2019</w:t>
      </w:r>
      <w:r w:rsidR="00B743ED" w:rsidRPr="00204FA4">
        <w:rPr>
          <w:rStyle w:val="ClinSectionName"/>
          <w:lang w:val="pl-PL"/>
        </w:rPr>
        <w:t xml:space="preserve"> </w:t>
      </w:r>
      <w:r w:rsidRPr="00204FA4">
        <w:rPr>
          <w:rStyle w:val="ClinSectionName"/>
          <w:lang w:val="pl-PL"/>
        </w:rPr>
        <w:t xml:space="preserve">r. </w:t>
      </w:r>
      <w:r w:rsidR="00B743ED" w:rsidRPr="00204FA4">
        <w:rPr>
          <w:rStyle w:val="ClinSectionName"/>
          <w:lang w:val="pl-PL"/>
        </w:rPr>
        <w:t>[</w:t>
      </w:r>
      <w:r w:rsidRPr="00204FA4">
        <w:rPr>
          <w:rStyle w:val="ClinSectionName"/>
          <w:lang w:val="pl-PL"/>
        </w:rPr>
        <w:t>Wielka Izba</w:t>
      </w:r>
      <w:r w:rsidR="00B743ED" w:rsidRPr="00204FA4">
        <w:rPr>
          <w:rStyle w:val="ClinSectionName"/>
          <w:lang w:val="pl-PL"/>
        </w:rPr>
        <w:t>]</w:t>
      </w:r>
    </w:p>
    <w:p w:rsidR="003D7999" w:rsidRPr="00204FA4" w:rsidRDefault="00AA05A1">
      <w:pPr>
        <w:pStyle w:val="ClinMainKeywordCode"/>
        <w:rPr>
          <w:lang w:val="pl-PL"/>
        </w:rPr>
      </w:pPr>
      <w:r w:rsidRPr="00204FA4">
        <w:rPr>
          <w:lang w:val="pl-PL"/>
        </w:rPr>
        <w:t>Art.</w:t>
      </w:r>
      <w:r w:rsidR="00B743ED" w:rsidRPr="00204FA4">
        <w:rPr>
          <w:lang w:val="pl-PL"/>
        </w:rPr>
        <w:t xml:space="preserve"> 46</w:t>
      </w:r>
    </w:p>
    <w:p w:rsidR="003D7999" w:rsidRPr="00204FA4" w:rsidRDefault="00AA05A1">
      <w:pPr>
        <w:pStyle w:val="ClinChildKeywordCode"/>
        <w:rPr>
          <w:lang w:val="pl-PL"/>
        </w:rPr>
      </w:pPr>
      <w:r w:rsidRPr="00204FA4">
        <w:rPr>
          <w:lang w:val="pl-PL"/>
        </w:rPr>
        <w:t>Art.</w:t>
      </w:r>
      <w:r w:rsidR="00B743ED" w:rsidRPr="00204FA4">
        <w:rPr>
          <w:lang w:val="pl-PL"/>
        </w:rPr>
        <w:t xml:space="preserve"> 46</w:t>
      </w:r>
      <w:r w:rsidRPr="00204FA4">
        <w:rPr>
          <w:lang w:val="pl-PL"/>
        </w:rPr>
        <w:t xml:space="preserve"> ust. </w:t>
      </w:r>
      <w:r w:rsidR="00B743ED" w:rsidRPr="00204FA4">
        <w:rPr>
          <w:lang w:val="pl-PL"/>
        </w:rPr>
        <w:t>4</w:t>
      </w:r>
    </w:p>
    <w:p w:rsidR="003D7999" w:rsidRPr="00AA05A1" w:rsidRDefault="00AA05A1">
      <w:pPr>
        <w:pStyle w:val="ClinKeyword"/>
        <w:rPr>
          <w:lang w:val="pl-PL"/>
        </w:rPr>
      </w:pPr>
      <w:r w:rsidRPr="00204FA4">
        <w:rPr>
          <w:lang w:val="pl-PL"/>
        </w:rPr>
        <w:t>Postępowanie w sp</w:t>
      </w:r>
      <w:r w:rsidR="00EA173C" w:rsidRPr="00204FA4">
        <w:rPr>
          <w:lang w:val="pl-PL"/>
        </w:rPr>
        <w:t>rawie naruszenia zobowiązania</w:t>
      </w:r>
    </w:p>
    <w:p w:rsidR="003D7999" w:rsidRPr="00AA05A1" w:rsidRDefault="00AA05A1" w:rsidP="00021927">
      <w:pPr>
        <w:jc w:val="both"/>
        <w:rPr>
          <w:lang w:val="pl-PL"/>
        </w:rPr>
      </w:pPr>
      <w:r w:rsidRPr="00AA05A1">
        <w:rPr>
          <w:rStyle w:val="ClinHeadNote"/>
          <w:lang w:val="pl-PL"/>
        </w:rPr>
        <w:t xml:space="preserve">Postępowanie </w:t>
      </w:r>
      <w:r w:rsidR="00EA173C" w:rsidRPr="00AA05A1">
        <w:rPr>
          <w:rStyle w:val="ClinHeadNote"/>
          <w:lang w:val="pl-PL"/>
        </w:rPr>
        <w:t xml:space="preserve">przeciwko Azerbejdżanowi </w:t>
      </w:r>
      <w:r w:rsidRPr="00AA05A1">
        <w:rPr>
          <w:rStyle w:val="ClinHeadNote"/>
          <w:lang w:val="pl-PL"/>
        </w:rPr>
        <w:t xml:space="preserve">w sprawie naruszenia </w:t>
      </w:r>
      <w:r w:rsidR="00EA173C">
        <w:rPr>
          <w:rStyle w:val="ClinHeadNote"/>
          <w:lang w:val="pl-PL"/>
        </w:rPr>
        <w:t xml:space="preserve">zobowiązania </w:t>
      </w:r>
      <w:r w:rsidRPr="00AA05A1">
        <w:rPr>
          <w:rStyle w:val="ClinHeadNote"/>
          <w:lang w:val="pl-PL"/>
        </w:rPr>
        <w:t xml:space="preserve">z </w:t>
      </w:r>
      <w:r w:rsidR="009B056C">
        <w:rPr>
          <w:rStyle w:val="ClinHeadNote"/>
          <w:lang w:val="pl-PL"/>
        </w:rPr>
        <w:t>uwagi na</w:t>
      </w:r>
      <w:r w:rsidR="00A16B52">
        <w:rPr>
          <w:rStyle w:val="ClinHeadNote"/>
          <w:lang w:val="pl-PL"/>
        </w:rPr>
        <w:t> </w:t>
      </w:r>
      <w:r w:rsidR="00EF2D7E">
        <w:rPr>
          <w:rStyle w:val="ClinHeadNote"/>
          <w:lang w:val="pl-PL"/>
        </w:rPr>
        <w:t>nie</w:t>
      </w:r>
      <w:r w:rsidR="009B056C">
        <w:rPr>
          <w:rStyle w:val="ClinHeadNote"/>
          <w:lang w:val="pl-PL"/>
        </w:rPr>
        <w:t>przestrzeganie</w:t>
      </w:r>
      <w:r w:rsidRPr="00AA05A1">
        <w:rPr>
          <w:rStyle w:val="ClinHeadNote"/>
          <w:lang w:val="pl-PL"/>
        </w:rPr>
        <w:t xml:space="preserve"> ostatecznego wyroku Europejskiego Trybunału Praw Człowieka</w:t>
      </w:r>
      <w:r w:rsidR="00B743ED" w:rsidRPr="00AA05A1">
        <w:rPr>
          <w:rStyle w:val="ClinHeadNote"/>
          <w:lang w:val="pl-PL"/>
        </w:rPr>
        <w:t xml:space="preserve">: </w:t>
      </w:r>
      <w:r w:rsidRPr="00AA05A1">
        <w:rPr>
          <w:rStyle w:val="ClinHeadNote"/>
          <w:i/>
          <w:lang w:val="pl-PL"/>
        </w:rPr>
        <w:t>naruszenie</w:t>
      </w:r>
    </w:p>
    <w:p w:rsidR="00D70467" w:rsidRPr="00EA173C" w:rsidRDefault="00D70467">
      <w:pPr>
        <w:pStyle w:val="ClinContent"/>
        <w:rPr>
          <w:lang w:val="pl-PL"/>
        </w:rPr>
      </w:pPr>
      <w:r w:rsidRPr="00D70467">
        <w:rPr>
          <w:i/>
          <w:lang w:val="pl-PL"/>
        </w:rPr>
        <w:t>Fakty</w:t>
      </w:r>
      <w:r w:rsidRPr="00D70467">
        <w:rPr>
          <w:lang w:val="pl-PL"/>
        </w:rPr>
        <w:t xml:space="preserve"> – W 2013 r. skarżący, polityk opozycyjny, został oskarżony o popełnienie przestępstw i </w:t>
      </w:r>
      <w:r w:rsidR="00D71063">
        <w:rPr>
          <w:lang w:val="pl-PL"/>
        </w:rPr>
        <w:t>tymczasowo aresztowany</w:t>
      </w:r>
      <w:r w:rsidRPr="00D70467">
        <w:rPr>
          <w:lang w:val="pl-PL"/>
        </w:rPr>
        <w:t xml:space="preserve"> po tym</w:t>
      </w:r>
      <w:r w:rsidR="00E129C5">
        <w:rPr>
          <w:lang w:val="pl-PL"/>
        </w:rPr>
        <w:t>,</w:t>
      </w:r>
      <w:r w:rsidRPr="00D70467">
        <w:rPr>
          <w:lang w:val="pl-PL"/>
        </w:rPr>
        <w:t xml:space="preserve"> </w:t>
      </w:r>
      <w:r>
        <w:rPr>
          <w:lang w:val="pl-PL"/>
        </w:rPr>
        <w:t>jak komentował sprawy polityczne na</w:t>
      </w:r>
      <w:r w:rsidR="00A16B52">
        <w:rPr>
          <w:lang w:val="pl-PL"/>
        </w:rPr>
        <w:t> </w:t>
      </w:r>
      <w:r>
        <w:rPr>
          <w:lang w:val="pl-PL"/>
        </w:rPr>
        <w:t>swym blogu.</w:t>
      </w:r>
      <w:r w:rsidR="00E129C5">
        <w:rPr>
          <w:lang w:val="pl-PL"/>
        </w:rPr>
        <w:t xml:space="preserve"> </w:t>
      </w:r>
      <w:r w:rsidR="00E129C5" w:rsidRPr="00EA173C">
        <w:rPr>
          <w:lang w:val="pl-PL"/>
        </w:rPr>
        <w:t xml:space="preserve">W wyroku z dnia 22 maja 2014 r. (dalej określanym jako </w:t>
      </w:r>
      <w:r w:rsidR="00204FA4">
        <w:rPr>
          <w:lang w:val="pl-PL"/>
        </w:rPr>
        <w:t>„</w:t>
      </w:r>
      <w:r w:rsidR="00E129C5" w:rsidRPr="00EA173C">
        <w:rPr>
          <w:lang w:val="pl-PL"/>
        </w:rPr>
        <w:t xml:space="preserve">pierwszy wyrok w sprawie </w:t>
      </w:r>
      <w:r w:rsidR="00E129C5" w:rsidRPr="00EA173C">
        <w:rPr>
          <w:i/>
          <w:lang w:val="pl-PL"/>
        </w:rPr>
        <w:t>Mammadov</w:t>
      </w:r>
      <w:r w:rsidR="00204FA4" w:rsidRPr="00204FA4">
        <w:rPr>
          <w:lang w:val="pl-PL"/>
        </w:rPr>
        <w:t>”</w:t>
      </w:r>
      <w:r w:rsidRPr="00EA173C">
        <w:rPr>
          <w:lang w:val="pl-PL"/>
        </w:rPr>
        <w:t xml:space="preserve"> </w:t>
      </w:r>
      <w:r w:rsidR="00EA173C" w:rsidRPr="00EA173C">
        <w:rPr>
          <w:lang w:val="pl-PL"/>
        </w:rPr>
        <w:t xml:space="preserve">– zobacz </w:t>
      </w:r>
      <w:hyperlink r:id="rId8" w:history="1">
        <w:r w:rsidR="00EA173C">
          <w:rPr>
            <w:rStyle w:val="Hipercze"/>
            <w:lang w:val="pl-PL"/>
          </w:rPr>
          <w:t>Nota informacyjna nr</w:t>
        </w:r>
        <w:r w:rsidR="00EA173C" w:rsidRPr="00EA173C">
          <w:rPr>
            <w:rStyle w:val="Hipercze"/>
            <w:lang w:val="pl-PL"/>
          </w:rPr>
          <w:t xml:space="preserve"> 174</w:t>
        </w:r>
      </w:hyperlink>
      <w:r w:rsidR="00EA173C" w:rsidRPr="00EA173C">
        <w:rPr>
          <w:rStyle w:val="Hipercze"/>
          <w:lang w:val="pl-PL"/>
        </w:rPr>
        <w:t>)</w:t>
      </w:r>
      <w:r w:rsidR="00EA173C" w:rsidRPr="00EA173C">
        <w:rPr>
          <w:lang w:val="pl-PL"/>
        </w:rPr>
        <w:t xml:space="preserve">, </w:t>
      </w:r>
      <w:r w:rsidR="00EA173C">
        <w:rPr>
          <w:lang w:val="pl-PL"/>
        </w:rPr>
        <w:t xml:space="preserve">Europejski Trybunał </w:t>
      </w:r>
      <w:r w:rsidR="00204FA4">
        <w:rPr>
          <w:lang w:val="pl-PL"/>
        </w:rPr>
        <w:t xml:space="preserve">Praw Człowieka </w:t>
      </w:r>
      <w:r w:rsidR="00EA173C">
        <w:rPr>
          <w:lang w:val="pl-PL"/>
        </w:rPr>
        <w:t>stwierdził naruszenie praw skarżącego na podstawie art. 5 ust. 1 lit. c i</w:t>
      </w:r>
      <w:r w:rsidR="00A16B52">
        <w:rPr>
          <w:lang w:val="pl-PL"/>
        </w:rPr>
        <w:t> </w:t>
      </w:r>
      <w:r w:rsidR="00EA173C">
        <w:rPr>
          <w:lang w:val="pl-PL"/>
        </w:rPr>
        <w:t>ust. 4, art. 6 ust. 2 oraz art. 18 Konwencji</w:t>
      </w:r>
      <w:r w:rsidR="00482443">
        <w:rPr>
          <w:lang w:val="pl-PL"/>
        </w:rPr>
        <w:t xml:space="preserve"> [o ochronie praw człowieka i podstawowych wolności]</w:t>
      </w:r>
      <w:bookmarkStart w:id="0" w:name="_GoBack"/>
      <w:bookmarkEnd w:id="0"/>
      <w:r w:rsidR="00EA173C">
        <w:rPr>
          <w:lang w:val="pl-PL"/>
        </w:rPr>
        <w:t xml:space="preserve">. </w:t>
      </w:r>
    </w:p>
    <w:p w:rsidR="00EA173C" w:rsidRPr="00EA173C" w:rsidRDefault="00EA173C">
      <w:pPr>
        <w:pStyle w:val="ClinContent"/>
        <w:rPr>
          <w:lang w:val="pl-PL"/>
        </w:rPr>
      </w:pPr>
      <w:r w:rsidRPr="00EA173C">
        <w:rPr>
          <w:lang w:val="pl-PL"/>
        </w:rPr>
        <w:t xml:space="preserve">Skarżący został </w:t>
      </w:r>
      <w:r w:rsidR="00204FA4" w:rsidRPr="00EA173C">
        <w:rPr>
          <w:lang w:val="pl-PL"/>
        </w:rPr>
        <w:t>następnie</w:t>
      </w:r>
      <w:r w:rsidRPr="00EA173C">
        <w:rPr>
          <w:lang w:val="pl-PL"/>
        </w:rPr>
        <w:t xml:space="preserve"> skazany. W wyroku z </w:t>
      </w:r>
      <w:r w:rsidR="00204FA4">
        <w:rPr>
          <w:lang w:val="pl-PL"/>
        </w:rPr>
        <w:t xml:space="preserve">dnia </w:t>
      </w:r>
      <w:r w:rsidRPr="00EA173C">
        <w:rPr>
          <w:lang w:val="pl-PL"/>
        </w:rPr>
        <w:t xml:space="preserve">16 listopada 2017 r. </w:t>
      </w:r>
      <w:r>
        <w:rPr>
          <w:lang w:val="pl-PL"/>
        </w:rPr>
        <w:t>(</w:t>
      </w:r>
      <w:r w:rsidRPr="00EA173C">
        <w:rPr>
          <w:i/>
          <w:lang w:val="pl-PL"/>
        </w:rPr>
        <w:t>Ilgar</w:t>
      </w:r>
      <w:r w:rsidR="00A16B52">
        <w:rPr>
          <w:i/>
          <w:lang w:val="pl-PL"/>
        </w:rPr>
        <w:t> </w:t>
      </w:r>
      <w:r w:rsidRPr="00EA173C">
        <w:rPr>
          <w:i/>
          <w:lang w:val="pl-PL"/>
        </w:rPr>
        <w:t xml:space="preserve">Mammadov </w:t>
      </w:r>
      <w:r>
        <w:rPr>
          <w:i/>
          <w:lang w:val="pl-PL"/>
        </w:rPr>
        <w:t>p</w:t>
      </w:r>
      <w:r w:rsidRPr="00EA173C">
        <w:rPr>
          <w:i/>
          <w:lang w:val="pl-PL"/>
        </w:rPr>
        <w:t>. Azerb</w:t>
      </w:r>
      <w:r>
        <w:rPr>
          <w:i/>
          <w:lang w:val="pl-PL"/>
        </w:rPr>
        <w:t xml:space="preserve">ejdżanowi </w:t>
      </w:r>
      <w:r w:rsidRPr="00EA173C">
        <w:rPr>
          <w:i/>
          <w:lang w:val="pl-PL"/>
        </w:rPr>
        <w:t>(n</w:t>
      </w:r>
      <w:r>
        <w:rPr>
          <w:i/>
          <w:lang w:val="pl-PL"/>
        </w:rPr>
        <w:t>r</w:t>
      </w:r>
      <w:r w:rsidRPr="00EA173C">
        <w:rPr>
          <w:i/>
          <w:lang w:val="pl-PL"/>
        </w:rPr>
        <w:t xml:space="preserve"> 2)</w:t>
      </w:r>
      <w:r w:rsidRPr="00EA173C">
        <w:rPr>
          <w:lang w:val="pl-PL"/>
        </w:rPr>
        <w:t xml:space="preserve">, </w:t>
      </w:r>
      <w:r>
        <w:rPr>
          <w:lang w:val="pl-PL"/>
        </w:rPr>
        <w:t xml:space="preserve">skarga nr </w:t>
      </w:r>
      <w:hyperlink r:id="rId9" w:history="1">
        <w:r w:rsidRPr="00EA173C">
          <w:rPr>
            <w:rStyle w:val="Hipercze"/>
            <w:lang w:val="pl-PL"/>
          </w:rPr>
          <w:t>919/15</w:t>
        </w:r>
      </w:hyperlink>
      <w:r w:rsidRPr="00EA173C">
        <w:rPr>
          <w:lang w:val="pl-PL"/>
        </w:rPr>
        <w:t xml:space="preserve">, dalej określanym jako </w:t>
      </w:r>
      <w:r w:rsidR="00204FA4">
        <w:rPr>
          <w:lang w:val="pl-PL"/>
        </w:rPr>
        <w:t>„</w:t>
      </w:r>
      <w:r>
        <w:rPr>
          <w:lang w:val="pl-PL"/>
        </w:rPr>
        <w:t>drugi</w:t>
      </w:r>
      <w:r w:rsidRPr="00EA173C">
        <w:rPr>
          <w:lang w:val="pl-PL"/>
        </w:rPr>
        <w:t xml:space="preserve"> wyrok w sprawie </w:t>
      </w:r>
      <w:r w:rsidRPr="00204FA4">
        <w:rPr>
          <w:i/>
          <w:lang w:val="pl-PL"/>
        </w:rPr>
        <w:t>Mammadov”</w:t>
      </w:r>
      <w:r>
        <w:rPr>
          <w:lang w:val="pl-PL"/>
        </w:rPr>
        <w:t>)</w:t>
      </w:r>
      <w:r w:rsidR="00204FA4">
        <w:rPr>
          <w:lang w:val="pl-PL"/>
        </w:rPr>
        <w:t xml:space="preserve"> </w:t>
      </w:r>
      <w:r>
        <w:rPr>
          <w:lang w:val="pl-PL"/>
        </w:rPr>
        <w:t xml:space="preserve">Trybunał stwierdził, że postępowanie karne było nierzetelne i naruszało art. 6 ust. 1. </w:t>
      </w:r>
    </w:p>
    <w:p w:rsidR="00EA173C" w:rsidRPr="00EA173C" w:rsidRDefault="00A908DA">
      <w:pPr>
        <w:pStyle w:val="ClinContent"/>
        <w:rPr>
          <w:lang w:val="pl-PL"/>
        </w:rPr>
      </w:pPr>
      <w:hyperlink r:id="rId10" w:history="1">
        <w:r w:rsidR="00EA173C">
          <w:rPr>
            <w:rStyle w:val="Hipercze"/>
            <w:lang w:val="pl-PL"/>
          </w:rPr>
          <w:t>Komitet Ministrów</w:t>
        </w:r>
      </w:hyperlink>
      <w:r w:rsidR="00EA173C" w:rsidRPr="00EA173C">
        <w:rPr>
          <w:lang w:val="pl-PL"/>
        </w:rPr>
        <w:t xml:space="preserve"> Rady Europy, który odpowiada za nadzór nad wykonywaniem wyroków Trybunału na podstawie art. </w:t>
      </w:r>
      <w:r w:rsidR="00EA173C">
        <w:rPr>
          <w:lang w:val="pl-PL"/>
        </w:rPr>
        <w:t>46 Konwencji, przyjął szereg decyzji oraz rezolucji tymczasowych, podkreślając podstawowe wady postępowania karnego wskazane we</w:t>
      </w:r>
      <w:r w:rsidR="00A16B52">
        <w:rPr>
          <w:lang w:val="pl-PL"/>
        </w:rPr>
        <w:t> </w:t>
      </w:r>
      <w:r w:rsidR="00EA173C">
        <w:rPr>
          <w:lang w:val="pl-PL"/>
        </w:rPr>
        <w:t xml:space="preserve">wnioskach Trybunału na podstawie art. 18 w związku z art. 5 Konwencji i wzywając do natychmiastowego i bezwarunkowego zwolnienia skarżącego. </w:t>
      </w:r>
    </w:p>
    <w:p w:rsidR="00EA173C" w:rsidRPr="00EA173C" w:rsidRDefault="00EA173C">
      <w:pPr>
        <w:pStyle w:val="ClinContent"/>
        <w:rPr>
          <w:lang w:val="pl-PL"/>
        </w:rPr>
      </w:pPr>
      <w:r w:rsidRPr="00EA173C">
        <w:rPr>
          <w:lang w:val="pl-PL"/>
        </w:rPr>
        <w:t xml:space="preserve">W rezolucji tymczasowej </w:t>
      </w:r>
      <w:hyperlink r:id="rId11" w:history="1">
        <w:r w:rsidRPr="00EA173C">
          <w:rPr>
            <w:rStyle w:val="Hipercze"/>
            <w:lang w:val="pl-PL"/>
          </w:rPr>
          <w:t>CM/ResDH(2017)429</w:t>
        </w:r>
      </w:hyperlink>
      <w:r>
        <w:rPr>
          <w:lang w:val="pl-PL"/>
        </w:rPr>
        <w:t xml:space="preserve"> </w:t>
      </w:r>
      <w:r w:rsidR="007B2E26">
        <w:rPr>
          <w:lang w:val="pl-PL"/>
        </w:rPr>
        <w:t xml:space="preserve">z dnia 5 grudnia 2017 r. </w:t>
      </w:r>
      <w:r>
        <w:rPr>
          <w:lang w:val="pl-PL"/>
        </w:rPr>
        <w:t>Komitet Ministrów postanowił</w:t>
      </w:r>
      <w:r w:rsidR="007B2E26">
        <w:rPr>
          <w:lang w:val="pl-PL"/>
        </w:rPr>
        <w:t>,</w:t>
      </w:r>
      <w:r>
        <w:rPr>
          <w:lang w:val="pl-PL"/>
        </w:rPr>
        <w:t xml:space="preserve"> na podstawie art. 46 ust. 4 Konwencji</w:t>
      </w:r>
      <w:r w:rsidR="007B2E26">
        <w:rPr>
          <w:lang w:val="pl-PL"/>
        </w:rPr>
        <w:t>,</w:t>
      </w:r>
      <w:r>
        <w:rPr>
          <w:lang w:val="pl-PL"/>
        </w:rPr>
        <w:t xml:space="preserve"> </w:t>
      </w:r>
      <w:r w:rsidR="00021927">
        <w:rPr>
          <w:lang w:val="pl-PL"/>
        </w:rPr>
        <w:t xml:space="preserve">przekazać Trybunałowi </w:t>
      </w:r>
      <w:r w:rsidR="00204FA4">
        <w:rPr>
          <w:lang w:val="pl-PL"/>
        </w:rPr>
        <w:t>za</w:t>
      </w:r>
      <w:r>
        <w:rPr>
          <w:lang w:val="pl-PL"/>
        </w:rPr>
        <w:t xml:space="preserve">pytanie, czy Republika Azerbejdżanu nie wykonała swojego zobowiązania na podstawie art. 46 ust. 1 </w:t>
      </w:r>
      <w:r w:rsidR="00204FA4">
        <w:rPr>
          <w:lang w:val="pl-PL"/>
        </w:rPr>
        <w:t xml:space="preserve">do </w:t>
      </w:r>
      <w:r>
        <w:rPr>
          <w:lang w:val="pl-PL"/>
        </w:rPr>
        <w:t xml:space="preserve">przestrzegania ostatecznych wyroków Trybunału, a w szczególności pierwszego wyroku w sprawie </w:t>
      </w:r>
      <w:r w:rsidRPr="00EA173C">
        <w:rPr>
          <w:i/>
          <w:lang w:val="pl-PL"/>
        </w:rPr>
        <w:t>Mammadov</w:t>
      </w:r>
      <w:r>
        <w:rPr>
          <w:lang w:val="pl-PL"/>
        </w:rPr>
        <w:t xml:space="preserve">. </w:t>
      </w:r>
    </w:p>
    <w:p w:rsidR="00EA173C" w:rsidRPr="00EA173C" w:rsidRDefault="00EA173C">
      <w:pPr>
        <w:pStyle w:val="ClinContent"/>
        <w:rPr>
          <w:lang w:val="pl-PL"/>
        </w:rPr>
      </w:pPr>
      <w:r w:rsidRPr="00EA173C">
        <w:rPr>
          <w:lang w:val="pl-PL"/>
        </w:rPr>
        <w:t xml:space="preserve">Skarżący został zwolniony w dniu 13 sierpnia 2018 r. </w:t>
      </w:r>
      <w:r w:rsidR="00D71063">
        <w:rPr>
          <w:lang w:val="pl-PL"/>
        </w:rPr>
        <w:t>wyrokiem</w:t>
      </w:r>
      <w:r>
        <w:rPr>
          <w:lang w:val="pl-PL"/>
        </w:rPr>
        <w:t xml:space="preserve"> </w:t>
      </w:r>
      <w:r w:rsidR="004E087F">
        <w:rPr>
          <w:lang w:val="pl-PL"/>
        </w:rPr>
        <w:t>Sądu Apelacyjnego</w:t>
      </w:r>
      <w:r>
        <w:rPr>
          <w:lang w:val="pl-PL"/>
        </w:rPr>
        <w:t>.</w:t>
      </w:r>
    </w:p>
    <w:p w:rsidR="00EA173C" w:rsidRPr="00EA173C" w:rsidRDefault="00EA173C">
      <w:pPr>
        <w:pStyle w:val="ClinContent"/>
        <w:rPr>
          <w:lang w:val="pl-PL"/>
        </w:rPr>
      </w:pPr>
      <w:r w:rsidRPr="00EA173C">
        <w:rPr>
          <w:i/>
          <w:lang w:val="pl-PL"/>
        </w:rPr>
        <w:t xml:space="preserve">Prawo – </w:t>
      </w:r>
      <w:r w:rsidRPr="00EA173C">
        <w:rPr>
          <w:lang w:val="pl-PL"/>
        </w:rPr>
        <w:t>Art. 46: Ponieważ sprawa stanowiła pierwszy przypadek</w:t>
      </w:r>
      <w:r w:rsidR="007B2E26">
        <w:rPr>
          <w:lang w:val="pl-PL"/>
        </w:rPr>
        <w:t>, gdy Komitet Ministrów zainicjował</w:t>
      </w:r>
      <w:r w:rsidRPr="00EA173C">
        <w:rPr>
          <w:lang w:val="pl-PL"/>
        </w:rPr>
        <w:t xml:space="preserve"> </w:t>
      </w:r>
      <w:r w:rsidR="007B2E26">
        <w:rPr>
          <w:lang w:val="pl-PL"/>
        </w:rPr>
        <w:t>postępowanie</w:t>
      </w:r>
      <w:r w:rsidRPr="00EA173C">
        <w:rPr>
          <w:lang w:val="pl-PL"/>
        </w:rPr>
        <w:t xml:space="preserve"> w sprawie naruszenia zobowiązania</w:t>
      </w:r>
      <w:r w:rsidR="00204FA4">
        <w:rPr>
          <w:lang w:val="pl-PL"/>
        </w:rPr>
        <w:t xml:space="preserve"> (</w:t>
      </w:r>
      <w:r w:rsidR="00204FA4" w:rsidRPr="00204FA4">
        <w:rPr>
          <w:i/>
          <w:lang w:val="pl-PL"/>
        </w:rPr>
        <w:t>infringement proceedings</w:t>
      </w:r>
      <w:r w:rsidR="00204FA4">
        <w:rPr>
          <w:lang w:val="pl-PL"/>
        </w:rPr>
        <w:t>)</w:t>
      </w:r>
      <w:r w:rsidRPr="00EA173C">
        <w:rPr>
          <w:lang w:val="pl-PL"/>
        </w:rPr>
        <w:t xml:space="preserve">, Trybunał wyjaśnił charakter </w:t>
      </w:r>
      <w:r>
        <w:rPr>
          <w:lang w:val="pl-PL"/>
        </w:rPr>
        <w:t>swego zadania</w:t>
      </w:r>
      <w:r w:rsidR="007B2E26">
        <w:rPr>
          <w:lang w:val="pl-PL"/>
        </w:rPr>
        <w:t>, biorąc pod uwagę historię</w:t>
      </w:r>
      <w:r>
        <w:rPr>
          <w:lang w:val="pl-PL"/>
        </w:rPr>
        <w:t xml:space="preserve"> prac </w:t>
      </w:r>
      <w:r>
        <w:rPr>
          <w:lang w:val="pl-PL"/>
        </w:rPr>
        <w:lastRenderedPageBreak/>
        <w:t xml:space="preserve">nad </w:t>
      </w:r>
      <w:r w:rsidR="007B2E26">
        <w:rPr>
          <w:lang w:val="pl-PL"/>
        </w:rPr>
        <w:t>Protokołem nr 14 oraz właściwe</w:t>
      </w:r>
      <w:r>
        <w:rPr>
          <w:lang w:val="pl-PL"/>
        </w:rPr>
        <w:t xml:space="preserve"> </w:t>
      </w:r>
      <w:r w:rsidR="00204FA4">
        <w:rPr>
          <w:lang w:val="pl-PL"/>
        </w:rPr>
        <w:t>ram</w:t>
      </w:r>
      <w:r w:rsidR="007B2E26">
        <w:rPr>
          <w:lang w:val="pl-PL"/>
        </w:rPr>
        <w:t>y prawne dotyczące</w:t>
      </w:r>
      <w:r w:rsidR="00204FA4">
        <w:rPr>
          <w:lang w:val="pl-PL"/>
        </w:rPr>
        <w:t xml:space="preserve"> procedury</w:t>
      </w:r>
      <w:r>
        <w:rPr>
          <w:lang w:val="pl-PL"/>
        </w:rPr>
        <w:t xml:space="preserve"> wykonywania wyroków, a mianowicie </w:t>
      </w:r>
      <w:r w:rsidR="00947171">
        <w:rPr>
          <w:lang w:val="pl-PL"/>
        </w:rPr>
        <w:t xml:space="preserve">art. 46 Konwencji. </w:t>
      </w:r>
    </w:p>
    <w:p w:rsidR="00947171" w:rsidRPr="00947171" w:rsidRDefault="007B2E26">
      <w:pPr>
        <w:pStyle w:val="ClinContent"/>
        <w:rPr>
          <w:lang w:val="pl-PL"/>
        </w:rPr>
      </w:pPr>
      <w:r>
        <w:rPr>
          <w:lang w:val="pl-PL"/>
        </w:rPr>
        <w:t>Celem postępowania</w:t>
      </w:r>
      <w:r w:rsidR="00947171" w:rsidRPr="00947171">
        <w:rPr>
          <w:lang w:val="pl-PL"/>
        </w:rPr>
        <w:t xml:space="preserve"> w sprawie naruszenia zobowiązania nie </w:t>
      </w:r>
      <w:r>
        <w:rPr>
          <w:lang w:val="pl-PL"/>
        </w:rPr>
        <w:t>jest zachwianie</w:t>
      </w:r>
      <w:r w:rsidR="00947171">
        <w:rPr>
          <w:lang w:val="pl-PL"/>
        </w:rPr>
        <w:t xml:space="preserve"> fundamentalnej równowagi instytucjonalnej między Trybunałem a Komitetem Ministrów. </w:t>
      </w:r>
      <w:r w:rsidR="00D71063">
        <w:rPr>
          <w:lang w:val="pl-PL"/>
        </w:rPr>
        <w:t xml:space="preserve">Komitet Ministrów </w:t>
      </w:r>
      <w:r>
        <w:rPr>
          <w:lang w:val="pl-PL"/>
        </w:rPr>
        <w:t xml:space="preserve">ma kompetencję </w:t>
      </w:r>
      <w:r w:rsidR="00947171">
        <w:rPr>
          <w:lang w:val="pl-PL"/>
        </w:rPr>
        <w:t xml:space="preserve">do oceny konkretnych środków, jakie Państwo powinno podjąć, by w możliwie najpełniejszym stopniu </w:t>
      </w:r>
      <w:r>
        <w:rPr>
          <w:lang w:val="pl-PL"/>
        </w:rPr>
        <w:t xml:space="preserve">zapewnić </w:t>
      </w:r>
      <w:r w:rsidR="00947171">
        <w:rPr>
          <w:lang w:val="pl-PL"/>
        </w:rPr>
        <w:t xml:space="preserve">naprawienie naruszeń stwierdzonych w wyroku. Zadaniem Trybunału w postępowaniu w sprawie naruszenia zobowiązania jest dokonanie definitywnej oceny </w:t>
      </w:r>
      <w:r>
        <w:rPr>
          <w:lang w:val="pl-PL"/>
        </w:rPr>
        <w:t xml:space="preserve">prawnej </w:t>
      </w:r>
      <w:r w:rsidR="00947171">
        <w:rPr>
          <w:lang w:val="pl-PL"/>
        </w:rPr>
        <w:t xml:space="preserve">kwestii </w:t>
      </w:r>
      <w:r w:rsidR="00D71063">
        <w:rPr>
          <w:lang w:val="pl-PL"/>
        </w:rPr>
        <w:t>przestrzegania przedmiotowego wyroku</w:t>
      </w:r>
      <w:r w:rsidR="00947171">
        <w:rPr>
          <w:lang w:val="pl-PL"/>
        </w:rPr>
        <w:t xml:space="preserve">. </w:t>
      </w:r>
      <w:r w:rsidR="00D71063">
        <w:rPr>
          <w:lang w:val="pl-PL"/>
        </w:rPr>
        <w:t xml:space="preserve">W tym kontekście </w:t>
      </w:r>
      <w:r w:rsidR="00947171">
        <w:rPr>
          <w:lang w:val="pl-PL"/>
        </w:rPr>
        <w:t xml:space="preserve">Trybunał przeprowadzi swą ocenę, </w:t>
      </w:r>
      <w:r w:rsidR="00D71063">
        <w:rPr>
          <w:lang w:val="pl-PL"/>
        </w:rPr>
        <w:t>biorąc pod uwagę</w:t>
      </w:r>
      <w:r w:rsidR="00947171">
        <w:rPr>
          <w:lang w:val="pl-PL"/>
        </w:rPr>
        <w:t xml:space="preserve"> wnioski Komitetu Ministrów w procesie nadzoru, stanowisko pozwanego Rządu oraz twierdzenia ofiary naruszenia. Trybunał musi zidentyfikować obowiązki prawne wynikające z ostatecznego wyroku, jak też z wniosków i ducha tego wyroku. </w:t>
      </w:r>
    </w:p>
    <w:p w:rsidR="00947171" w:rsidRPr="00947171" w:rsidRDefault="00947171">
      <w:pPr>
        <w:pStyle w:val="ClinContent"/>
        <w:rPr>
          <w:lang w:val="pl-PL"/>
        </w:rPr>
      </w:pPr>
      <w:r>
        <w:rPr>
          <w:lang w:val="pl-PL"/>
        </w:rPr>
        <w:t>Data, w której Komitet Ministrów</w:t>
      </w:r>
      <w:r w:rsidRPr="00947171">
        <w:rPr>
          <w:lang w:val="pl-PL"/>
        </w:rPr>
        <w:t xml:space="preserve"> </w:t>
      </w:r>
      <w:r w:rsidR="002603EF">
        <w:rPr>
          <w:lang w:val="pl-PL"/>
        </w:rPr>
        <w:t>przekazał</w:t>
      </w:r>
      <w:r w:rsidRPr="00947171">
        <w:rPr>
          <w:lang w:val="pl-PL"/>
        </w:rPr>
        <w:t xml:space="preserve"> </w:t>
      </w:r>
      <w:r w:rsidR="002603EF">
        <w:rPr>
          <w:lang w:val="pl-PL"/>
        </w:rPr>
        <w:t>za</w:t>
      </w:r>
      <w:r w:rsidRPr="00947171">
        <w:rPr>
          <w:lang w:val="pl-PL"/>
        </w:rPr>
        <w:t xml:space="preserve">pytanie </w:t>
      </w:r>
      <w:r w:rsidR="002603EF">
        <w:rPr>
          <w:lang w:val="pl-PL"/>
        </w:rPr>
        <w:t>Trybunałowi</w:t>
      </w:r>
      <w:r w:rsidRPr="00947171">
        <w:rPr>
          <w:lang w:val="pl-PL"/>
        </w:rPr>
        <w:t xml:space="preserve"> dotyczące </w:t>
      </w:r>
      <w:r w:rsidR="007B2E26">
        <w:rPr>
          <w:lang w:val="pl-PL"/>
        </w:rPr>
        <w:t>przestrzegania wyroku</w:t>
      </w:r>
      <w:r w:rsidRPr="00947171">
        <w:rPr>
          <w:lang w:val="pl-PL"/>
        </w:rPr>
        <w:t xml:space="preserve">, </w:t>
      </w:r>
      <w:r>
        <w:rPr>
          <w:lang w:val="pl-PL"/>
        </w:rPr>
        <w:t xml:space="preserve">jest datą, do której </w:t>
      </w:r>
      <w:r w:rsidR="007B2E26">
        <w:rPr>
          <w:lang w:val="pl-PL"/>
        </w:rPr>
        <w:t>Komitet stwierdził</w:t>
      </w:r>
      <w:r>
        <w:rPr>
          <w:lang w:val="pl-PL"/>
        </w:rPr>
        <w:t>, że pozwane Państwo odm</w:t>
      </w:r>
      <w:r w:rsidR="002603EF">
        <w:rPr>
          <w:lang w:val="pl-PL"/>
        </w:rPr>
        <w:t>ó</w:t>
      </w:r>
      <w:r>
        <w:rPr>
          <w:lang w:val="pl-PL"/>
        </w:rPr>
        <w:t xml:space="preserve">wiło przestrzegania ostatecznego wyroku, ponieważ nie mógł uznać działań Państwa za „terminowe, odpowiednie i wystarczające”. Trybunał uznał, że punktem wyjścia do </w:t>
      </w:r>
      <w:r w:rsidR="00D71063">
        <w:rPr>
          <w:lang w:val="pl-PL"/>
        </w:rPr>
        <w:t xml:space="preserve">analizy </w:t>
      </w:r>
      <w:r>
        <w:rPr>
          <w:lang w:val="pl-PL"/>
        </w:rPr>
        <w:t>sprawy powinien być moment</w:t>
      </w:r>
      <w:r w:rsidR="00D71063">
        <w:rPr>
          <w:lang w:val="pl-PL"/>
        </w:rPr>
        <w:t xml:space="preserve"> przekazania mu tego </w:t>
      </w:r>
      <w:r w:rsidR="002603EF">
        <w:rPr>
          <w:lang w:val="pl-PL"/>
        </w:rPr>
        <w:t>za</w:t>
      </w:r>
      <w:r w:rsidR="00D71063">
        <w:rPr>
          <w:lang w:val="pl-PL"/>
        </w:rPr>
        <w:t>pytania</w:t>
      </w:r>
      <w:r>
        <w:rPr>
          <w:lang w:val="pl-PL"/>
        </w:rPr>
        <w:t xml:space="preserve">.  </w:t>
      </w:r>
    </w:p>
    <w:p w:rsidR="00947171" w:rsidRPr="003969FE" w:rsidRDefault="00947171">
      <w:pPr>
        <w:pStyle w:val="ClinContent"/>
        <w:rPr>
          <w:lang w:val="pl-PL"/>
        </w:rPr>
      </w:pPr>
      <w:r w:rsidRPr="00947171">
        <w:rPr>
          <w:lang w:val="pl-PL"/>
        </w:rPr>
        <w:t>Nie można wykluczyć, że uprawnienia przyznane Komitetowi Ministrów na podstawie art.</w:t>
      </w:r>
      <w:r w:rsidR="00A16B52">
        <w:rPr>
          <w:lang w:val="pl-PL"/>
        </w:rPr>
        <w:t> </w:t>
      </w:r>
      <w:r>
        <w:rPr>
          <w:lang w:val="pl-PL"/>
        </w:rPr>
        <w:t>46 oznacza</w:t>
      </w:r>
      <w:r w:rsidR="00504315">
        <w:rPr>
          <w:lang w:val="pl-PL"/>
        </w:rPr>
        <w:t>ją</w:t>
      </w:r>
      <w:r>
        <w:rPr>
          <w:lang w:val="pl-PL"/>
        </w:rPr>
        <w:t xml:space="preserve"> również</w:t>
      </w:r>
      <w:r w:rsidR="00504315">
        <w:rPr>
          <w:lang w:val="pl-PL"/>
        </w:rPr>
        <w:t xml:space="preserve"> możliwość wycofania przez Komitet sprawy </w:t>
      </w:r>
      <w:r w:rsidR="002603EF">
        <w:rPr>
          <w:lang w:val="pl-PL"/>
        </w:rPr>
        <w:t>przekazanej Trybunałowi</w:t>
      </w:r>
      <w:r>
        <w:rPr>
          <w:lang w:val="pl-PL"/>
        </w:rPr>
        <w:t xml:space="preserve">. </w:t>
      </w:r>
      <w:r w:rsidRPr="002603EF">
        <w:rPr>
          <w:lang w:val="pl-PL"/>
        </w:rPr>
        <w:t xml:space="preserve">Jednakże Komitet nie </w:t>
      </w:r>
      <w:r w:rsidR="00504315" w:rsidRPr="002603EF">
        <w:rPr>
          <w:lang w:val="pl-PL"/>
        </w:rPr>
        <w:t xml:space="preserve">uczynił </w:t>
      </w:r>
      <w:r w:rsidRPr="002603EF">
        <w:rPr>
          <w:lang w:val="pl-PL"/>
        </w:rPr>
        <w:t>tego po zwolnieniu skarżącego</w:t>
      </w:r>
      <w:r w:rsidRPr="003969FE">
        <w:rPr>
          <w:lang w:val="pl-PL"/>
        </w:rPr>
        <w:t xml:space="preserve">. </w:t>
      </w:r>
    </w:p>
    <w:p w:rsidR="00ED5828" w:rsidRPr="00ED5828" w:rsidRDefault="00ED5828">
      <w:pPr>
        <w:pStyle w:val="ClinContent"/>
        <w:rPr>
          <w:lang w:val="pl-PL"/>
        </w:rPr>
      </w:pPr>
      <w:r w:rsidRPr="00ED5828">
        <w:rPr>
          <w:lang w:val="pl-PL"/>
        </w:rPr>
        <w:t>a)</w:t>
      </w:r>
      <w:r w:rsidRPr="00ED5828">
        <w:rPr>
          <w:i/>
          <w:lang w:val="pl-PL"/>
        </w:rPr>
        <w:t xml:space="preserve"> Zakres obecnego postępowania w sprawie naruszenia zobowiązania</w:t>
      </w:r>
      <w:r>
        <w:rPr>
          <w:i/>
          <w:lang w:val="pl-PL"/>
        </w:rPr>
        <w:t xml:space="preserve"> – </w:t>
      </w:r>
      <w:r>
        <w:rPr>
          <w:lang w:val="pl-PL"/>
        </w:rPr>
        <w:t xml:space="preserve">Kluczową kwestią  </w:t>
      </w:r>
      <w:r w:rsidR="004E087F">
        <w:rPr>
          <w:lang w:val="pl-PL"/>
        </w:rPr>
        <w:t>było</w:t>
      </w:r>
      <w:r>
        <w:rPr>
          <w:lang w:val="pl-PL"/>
        </w:rPr>
        <w:t xml:space="preserve"> </w:t>
      </w:r>
      <w:r w:rsidR="00D71063">
        <w:rPr>
          <w:lang w:val="pl-PL"/>
        </w:rPr>
        <w:t>ustalenie</w:t>
      </w:r>
      <w:r>
        <w:rPr>
          <w:lang w:val="pl-PL"/>
        </w:rPr>
        <w:t xml:space="preserve">, czy </w:t>
      </w:r>
      <w:r w:rsidR="00D71063">
        <w:rPr>
          <w:lang w:val="pl-PL"/>
        </w:rPr>
        <w:t>Republika</w:t>
      </w:r>
      <w:r>
        <w:rPr>
          <w:lang w:val="pl-PL"/>
        </w:rPr>
        <w:t xml:space="preserve"> Azerbejdżanu </w:t>
      </w:r>
      <w:r w:rsidR="00D71063">
        <w:rPr>
          <w:lang w:val="pl-PL"/>
        </w:rPr>
        <w:t xml:space="preserve">nie zastosowała </w:t>
      </w:r>
      <w:r>
        <w:rPr>
          <w:lang w:val="pl-PL"/>
        </w:rPr>
        <w:t xml:space="preserve">środków indywidualnych wymaganych do przestrzegania wyroku Trybunału i naprawienia naruszenia art. 18 w związku z art. 5 Konwencji. </w:t>
      </w:r>
    </w:p>
    <w:p w:rsidR="003D7999" w:rsidRPr="001953FC" w:rsidRDefault="00B743ED">
      <w:pPr>
        <w:pStyle w:val="ClinContent"/>
        <w:rPr>
          <w:lang w:val="pl-PL"/>
        </w:rPr>
      </w:pPr>
      <w:r w:rsidRPr="00D76C39">
        <w:rPr>
          <w:lang w:val="pl-PL"/>
        </w:rPr>
        <w:t>b)  </w:t>
      </w:r>
      <w:r w:rsidR="001953FC" w:rsidRPr="00D76C39">
        <w:rPr>
          <w:i/>
          <w:lang w:val="pl-PL"/>
        </w:rPr>
        <w:t>Środki indywidualne</w:t>
      </w:r>
    </w:p>
    <w:p w:rsidR="003D7999" w:rsidRPr="001953FC" w:rsidRDefault="00B743ED">
      <w:pPr>
        <w:pStyle w:val="ClinContent"/>
        <w:rPr>
          <w:lang w:val="pl-PL"/>
        </w:rPr>
      </w:pPr>
      <w:r w:rsidRPr="001953FC">
        <w:rPr>
          <w:lang w:val="pl-PL"/>
        </w:rPr>
        <w:t>i)  </w:t>
      </w:r>
      <w:r w:rsidR="001953FC" w:rsidRPr="001953FC">
        <w:rPr>
          <w:i/>
          <w:lang w:val="pl-PL"/>
        </w:rPr>
        <w:t>Pierwszy wyrok w sprawie Mammadov</w:t>
      </w:r>
    </w:p>
    <w:p w:rsidR="001953FC" w:rsidRPr="003969FE" w:rsidRDefault="001953FC" w:rsidP="001953FC">
      <w:pPr>
        <w:pStyle w:val="ClinContent"/>
        <w:rPr>
          <w:lang w:val="pl-PL"/>
        </w:rPr>
      </w:pPr>
      <w:r>
        <w:t>α</w:t>
      </w:r>
      <w:r w:rsidRPr="001953FC">
        <w:rPr>
          <w:lang w:val="pl-PL"/>
        </w:rPr>
        <w:t>)  </w:t>
      </w:r>
      <w:r w:rsidRPr="001953FC">
        <w:rPr>
          <w:i/>
          <w:lang w:val="pl-PL"/>
        </w:rPr>
        <w:t xml:space="preserve">Tekst wyroku – </w:t>
      </w:r>
      <w:r w:rsidRPr="001953FC">
        <w:rPr>
          <w:lang w:val="pl-PL"/>
        </w:rPr>
        <w:t>Stwierdzone przez Trybunał naruszenia art. 5 ust. 1 lit. c Konwencji i</w:t>
      </w:r>
      <w:r w:rsidR="00A16B52">
        <w:rPr>
          <w:lang w:val="pl-PL"/>
        </w:rPr>
        <w:t> </w:t>
      </w:r>
      <w:r w:rsidRPr="001953FC">
        <w:rPr>
          <w:lang w:val="pl-PL"/>
        </w:rPr>
        <w:t>art. 18 w związku z art. 5</w:t>
      </w:r>
      <w:r>
        <w:rPr>
          <w:i/>
          <w:lang w:val="pl-PL"/>
        </w:rPr>
        <w:t xml:space="preserve"> </w:t>
      </w:r>
      <w:r>
        <w:rPr>
          <w:lang w:val="pl-PL"/>
        </w:rPr>
        <w:t>odnosiły się do wszystkich zarzutów</w:t>
      </w:r>
      <w:r w:rsidR="007D67D2">
        <w:rPr>
          <w:lang w:val="pl-PL"/>
        </w:rPr>
        <w:t xml:space="preserve"> karnych</w:t>
      </w:r>
      <w:r>
        <w:rPr>
          <w:lang w:val="pl-PL"/>
        </w:rPr>
        <w:t xml:space="preserve"> i postępowania przygotowawczego przeciwko skarżącemu. </w:t>
      </w:r>
      <w:r w:rsidR="00D71063">
        <w:rPr>
          <w:lang w:val="pl-PL"/>
        </w:rPr>
        <w:t>Do naruszenia</w:t>
      </w:r>
      <w:r>
        <w:rPr>
          <w:lang w:val="pl-PL"/>
        </w:rPr>
        <w:t xml:space="preserve"> art. 18</w:t>
      </w:r>
      <w:r w:rsidR="00D71063">
        <w:rPr>
          <w:lang w:val="pl-PL"/>
        </w:rPr>
        <w:t xml:space="preserve"> doszło</w:t>
      </w:r>
      <w:r>
        <w:rPr>
          <w:lang w:val="pl-PL"/>
        </w:rPr>
        <w:t>, ponieważ działania władz były</w:t>
      </w:r>
      <w:r w:rsidR="00D71063">
        <w:rPr>
          <w:lang w:val="pl-PL"/>
        </w:rPr>
        <w:t xml:space="preserve"> powodowane</w:t>
      </w:r>
      <w:r>
        <w:rPr>
          <w:lang w:val="pl-PL"/>
        </w:rPr>
        <w:t xml:space="preserve"> nieodpowiednimi</w:t>
      </w:r>
      <w:r w:rsidR="00D71063">
        <w:rPr>
          <w:lang w:val="pl-PL"/>
        </w:rPr>
        <w:t xml:space="preserve"> motywami</w:t>
      </w:r>
      <w:r>
        <w:rPr>
          <w:lang w:val="pl-PL"/>
        </w:rPr>
        <w:t xml:space="preserve">, </w:t>
      </w:r>
      <w:r w:rsidR="007B2E26">
        <w:rPr>
          <w:lang w:val="pl-PL"/>
        </w:rPr>
        <w:t>jako że</w:t>
      </w:r>
      <w:r w:rsidR="00021927">
        <w:rPr>
          <w:lang w:val="pl-PL"/>
        </w:rPr>
        <w:t xml:space="preserve"> </w:t>
      </w:r>
      <w:r>
        <w:rPr>
          <w:lang w:val="pl-PL"/>
        </w:rPr>
        <w:t>postawiły one</w:t>
      </w:r>
      <w:r w:rsidR="00A16B52">
        <w:rPr>
          <w:lang w:val="pl-PL"/>
        </w:rPr>
        <w:t> </w:t>
      </w:r>
      <w:r w:rsidR="007B2E26">
        <w:rPr>
          <w:lang w:val="pl-PL"/>
        </w:rPr>
        <w:t xml:space="preserve">skarżącemu </w:t>
      </w:r>
      <w:r>
        <w:rPr>
          <w:lang w:val="pl-PL"/>
        </w:rPr>
        <w:t xml:space="preserve">zarzuty </w:t>
      </w:r>
      <w:r w:rsidR="007B2E26">
        <w:rPr>
          <w:lang w:val="pl-PL"/>
        </w:rPr>
        <w:t xml:space="preserve">karne </w:t>
      </w:r>
      <w:r>
        <w:rPr>
          <w:lang w:val="pl-PL"/>
        </w:rPr>
        <w:t xml:space="preserve">w celu uciszenia lub ukarania </w:t>
      </w:r>
      <w:r w:rsidR="007B2E26">
        <w:rPr>
          <w:lang w:val="pl-PL"/>
        </w:rPr>
        <w:t xml:space="preserve">go </w:t>
      </w:r>
      <w:r>
        <w:rPr>
          <w:lang w:val="pl-PL"/>
        </w:rPr>
        <w:t xml:space="preserve">za krytykowanie rządu. </w:t>
      </w:r>
      <w:r w:rsidRPr="00662DC7">
        <w:rPr>
          <w:lang w:val="pl-PL"/>
        </w:rPr>
        <w:t>Stwierdzenie to podważyło wszelkie działania</w:t>
      </w:r>
      <w:r w:rsidR="00D71063">
        <w:rPr>
          <w:lang w:val="pl-PL"/>
        </w:rPr>
        <w:t xml:space="preserve"> podjęte w wyniku</w:t>
      </w:r>
      <w:r w:rsidRPr="00662DC7">
        <w:rPr>
          <w:lang w:val="pl-PL"/>
        </w:rPr>
        <w:t xml:space="preserve"> postawienia zarzutów.</w:t>
      </w:r>
    </w:p>
    <w:p w:rsidR="001953FC" w:rsidRPr="004D5BDD" w:rsidRDefault="001953FC">
      <w:pPr>
        <w:pStyle w:val="ClinContent"/>
        <w:rPr>
          <w:lang w:val="pl-PL"/>
        </w:rPr>
      </w:pPr>
      <w:r>
        <w:t>β</w:t>
      </w:r>
      <w:r w:rsidRPr="001953FC">
        <w:rPr>
          <w:lang w:val="pl-PL"/>
        </w:rPr>
        <w:t xml:space="preserve">) </w:t>
      </w:r>
      <w:r w:rsidRPr="007D67D2">
        <w:rPr>
          <w:i/>
          <w:lang w:val="pl-PL"/>
        </w:rPr>
        <w:t>Odpowiednie</w:t>
      </w:r>
      <w:r w:rsidRPr="001953FC">
        <w:rPr>
          <w:i/>
          <w:lang w:val="pl-PL"/>
        </w:rPr>
        <w:t xml:space="preserve"> obowiązki Państwa</w:t>
      </w:r>
      <w:r w:rsidRPr="001953FC">
        <w:rPr>
          <w:lang w:val="pl-PL"/>
        </w:rPr>
        <w:t xml:space="preserve"> – Pierwszy wyrok w sprawie </w:t>
      </w:r>
      <w:r>
        <w:rPr>
          <w:i/>
          <w:lang w:val="pl-PL"/>
        </w:rPr>
        <w:t xml:space="preserve">Mammadov </w:t>
      </w:r>
      <w:r>
        <w:rPr>
          <w:lang w:val="pl-PL"/>
        </w:rPr>
        <w:t xml:space="preserve">oraz odpowiadający mu obowiązek </w:t>
      </w:r>
      <w:r w:rsidRPr="001953FC">
        <w:rPr>
          <w:i/>
          <w:lang w:val="pl-PL"/>
        </w:rPr>
        <w:t>restitutio in integrum</w:t>
      </w:r>
      <w:r>
        <w:rPr>
          <w:lang w:val="pl-PL"/>
        </w:rPr>
        <w:t xml:space="preserve"> początkowo zobowiązywał Państwo do cofnięcia lub uchylenia zarzutów</w:t>
      </w:r>
      <w:r w:rsidR="002603EF">
        <w:rPr>
          <w:lang w:val="pl-PL"/>
        </w:rPr>
        <w:t xml:space="preserve"> karnych</w:t>
      </w:r>
      <w:r w:rsidR="00D71063">
        <w:rPr>
          <w:lang w:val="pl-PL"/>
        </w:rPr>
        <w:t>, które Trybunał</w:t>
      </w:r>
      <w:r>
        <w:rPr>
          <w:lang w:val="pl-PL"/>
        </w:rPr>
        <w:t xml:space="preserve"> </w:t>
      </w:r>
      <w:r w:rsidR="00D71063">
        <w:rPr>
          <w:lang w:val="pl-PL"/>
        </w:rPr>
        <w:t xml:space="preserve">uznał za </w:t>
      </w:r>
      <w:r>
        <w:rPr>
          <w:lang w:val="pl-PL"/>
        </w:rPr>
        <w:t>nadużycie</w:t>
      </w:r>
      <w:r w:rsidR="007B2E26">
        <w:rPr>
          <w:lang w:val="pl-PL"/>
        </w:rPr>
        <w:t>,</w:t>
      </w:r>
      <w:r>
        <w:rPr>
          <w:lang w:val="pl-PL"/>
        </w:rPr>
        <w:t xml:space="preserve"> oraz do</w:t>
      </w:r>
      <w:r w:rsidR="00A16B52">
        <w:rPr>
          <w:lang w:val="pl-PL"/>
        </w:rPr>
        <w:t> </w:t>
      </w:r>
      <w:r>
        <w:rPr>
          <w:lang w:val="pl-PL"/>
        </w:rPr>
        <w:t>zakończenia tymczasowego ares</w:t>
      </w:r>
      <w:r w:rsidR="00021927">
        <w:rPr>
          <w:lang w:val="pl-PL"/>
        </w:rPr>
        <w:t>ztowania skarżącego. Faktycznie</w:t>
      </w:r>
      <w:r>
        <w:rPr>
          <w:lang w:val="pl-PL"/>
        </w:rPr>
        <w:t xml:space="preserve"> jego tymczasowe aresztowanie zakończyło się, gdy został skazany przez sąd pierwszej instancji w marcu 2014 r.</w:t>
      </w:r>
      <w:r w:rsidR="002603EF">
        <w:rPr>
          <w:lang w:val="pl-PL"/>
        </w:rPr>
        <w:t>;</w:t>
      </w:r>
      <w:r>
        <w:rPr>
          <w:lang w:val="pl-PL"/>
        </w:rPr>
        <w:t xml:space="preserve"> skazanie to opierało się w całości na zakwestionowanych zarzutach. Fakt, że</w:t>
      </w:r>
      <w:r w:rsidR="00A16B52">
        <w:rPr>
          <w:lang w:val="pl-PL"/>
        </w:rPr>
        <w:t> </w:t>
      </w:r>
      <w:r w:rsidR="007B2E26">
        <w:rPr>
          <w:lang w:val="pl-PL"/>
        </w:rPr>
        <w:t xml:space="preserve">skarżący </w:t>
      </w:r>
      <w:r>
        <w:rPr>
          <w:lang w:val="pl-PL"/>
        </w:rPr>
        <w:t>pozostawał pozbawiony wolności w oparciu o t</w:t>
      </w:r>
      <w:r w:rsidR="007B2E26">
        <w:rPr>
          <w:lang w:val="pl-PL"/>
        </w:rPr>
        <w:t>en wyrok skazujący</w:t>
      </w:r>
      <w:r>
        <w:rPr>
          <w:lang w:val="pl-PL"/>
        </w:rPr>
        <w:t xml:space="preserve"> (a</w:t>
      </w:r>
      <w:r w:rsidR="00A16B52">
        <w:rPr>
          <w:lang w:val="pl-PL"/>
        </w:rPr>
        <w:t> </w:t>
      </w:r>
      <w:r>
        <w:rPr>
          <w:lang w:val="pl-PL"/>
        </w:rPr>
        <w:t>nie</w:t>
      </w:r>
      <w:r w:rsidR="00A16B52">
        <w:rPr>
          <w:lang w:val="pl-PL"/>
        </w:rPr>
        <w:t> </w:t>
      </w:r>
      <w:r>
        <w:rPr>
          <w:lang w:val="pl-PL"/>
        </w:rPr>
        <w:t>tymczasowo aresztowany)</w:t>
      </w:r>
      <w:r w:rsidR="00D76C39">
        <w:rPr>
          <w:lang w:val="pl-PL"/>
        </w:rPr>
        <w:t>,</w:t>
      </w:r>
      <w:r>
        <w:rPr>
          <w:lang w:val="pl-PL"/>
        </w:rPr>
        <w:t xml:space="preserve"> nie </w:t>
      </w:r>
      <w:r w:rsidR="00D71063">
        <w:rPr>
          <w:lang w:val="pl-PL"/>
        </w:rPr>
        <w:t xml:space="preserve">spowodował, że znalazł się z powrotem w </w:t>
      </w:r>
      <w:r>
        <w:rPr>
          <w:lang w:val="pl-PL"/>
        </w:rPr>
        <w:t>sytuacji</w:t>
      </w:r>
      <w:r w:rsidR="00D71063">
        <w:rPr>
          <w:lang w:val="pl-PL"/>
        </w:rPr>
        <w:t xml:space="preserve">, w jakiej </w:t>
      </w:r>
      <w:r>
        <w:rPr>
          <w:lang w:val="pl-PL"/>
        </w:rPr>
        <w:t xml:space="preserve">by się znajdował, gdyby nie </w:t>
      </w:r>
      <w:r w:rsidR="002603EF">
        <w:rPr>
          <w:lang w:val="pl-PL"/>
        </w:rPr>
        <w:t>zlekceważono</w:t>
      </w:r>
      <w:r>
        <w:rPr>
          <w:lang w:val="pl-PL"/>
        </w:rPr>
        <w:t xml:space="preserve"> wymogów Konwencji. </w:t>
      </w:r>
      <w:r w:rsidR="004D5BDD">
        <w:rPr>
          <w:lang w:val="pl-PL"/>
        </w:rPr>
        <w:t xml:space="preserve">Zasada </w:t>
      </w:r>
      <w:r w:rsidR="004D5BDD" w:rsidRPr="001953FC">
        <w:rPr>
          <w:i/>
          <w:lang w:val="pl-PL"/>
        </w:rPr>
        <w:t>restitutio in integrum</w:t>
      </w:r>
      <w:r w:rsidR="004D5BDD">
        <w:rPr>
          <w:i/>
          <w:lang w:val="pl-PL"/>
        </w:rPr>
        <w:t xml:space="preserve"> </w:t>
      </w:r>
      <w:r w:rsidR="004D5BDD" w:rsidRPr="004D5BDD">
        <w:rPr>
          <w:lang w:val="pl-PL"/>
        </w:rPr>
        <w:t>wciąż</w:t>
      </w:r>
      <w:r w:rsidR="004D5BDD">
        <w:rPr>
          <w:i/>
          <w:lang w:val="pl-PL"/>
        </w:rPr>
        <w:t xml:space="preserve"> </w:t>
      </w:r>
      <w:r w:rsidR="004D5BDD">
        <w:rPr>
          <w:lang w:val="pl-PL"/>
        </w:rPr>
        <w:t>zatem wymagała</w:t>
      </w:r>
      <w:r w:rsidR="007B2E26">
        <w:rPr>
          <w:lang w:val="pl-PL"/>
        </w:rPr>
        <w:t xml:space="preserve"> usunięcia negatywnych skutków</w:t>
      </w:r>
      <w:r w:rsidR="004D5BDD">
        <w:rPr>
          <w:lang w:val="pl-PL"/>
        </w:rPr>
        <w:t xml:space="preserve"> postawienia zakwestionowanych zarzutów karnych, w tym </w:t>
      </w:r>
      <w:r w:rsidR="00D71063">
        <w:rPr>
          <w:lang w:val="pl-PL"/>
        </w:rPr>
        <w:t>poprze</w:t>
      </w:r>
      <w:r w:rsidR="007B2E26">
        <w:rPr>
          <w:lang w:val="pl-PL"/>
        </w:rPr>
        <w:t>z</w:t>
      </w:r>
      <w:r w:rsidR="00D71063">
        <w:rPr>
          <w:lang w:val="pl-PL"/>
        </w:rPr>
        <w:t xml:space="preserve"> zwolnienie</w:t>
      </w:r>
      <w:r w:rsidR="004D5BDD">
        <w:rPr>
          <w:lang w:val="pl-PL"/>
        </w:rPr>
        <w:t xml:space="preserve"> skarżącego. </w:t>
      </w:r>
    </w:p>
    <w:p w:rsidR="004D5BDD" w:rsidRPr="004D5BDD" w:rsidRDefault="004D5BDD">
      <w:pPr>
        <w:pStyle w:val="ClinContent"/>
        <w:rPr>
          <w:lang w:val="pl-PL"/>
        </w:rPr>
      </w:pPr>
      <w:r w:rsidRPr="004D5BDD">
        <w:rPr>
          <w:lang w:val="pl-PL"/>
        </w:rPr>
        <w:t xml:space="preserve">Rząd nigdy nie twierdził, że istniały przeszkody </w:t>
      </w:r>
      <w:r>
        <w:rPr>
          <w:lang w:val="pl-PL"/>
        </w:rPr>
        <w:t xml:space="preserve">dla osiągnięcia </w:t>
      </w:r>
      <w:r w:rsidRPr="001953FC">
        <w:rPr>
          <w:i/>
          <w:lang w:val="pl-PL"/>
        </w:rPr>
        <w:t>restitutio in integrum</w:t>
      </w:r>
      <w:r>
        <w:rPr>
          <w:i/>
          <w:lang w:val="pl-PL"/>
        </w:rPr>
        <w:t xml:space="preserve"> </w:t>
      </w:r>
      <w:r w:rsidRPr="004D5BDD">
        <w:rPr>
          <w:lang w:val="pl-PL"/>
        </w:rPr>
        <w:t>na</w:t>
      </w:r>
      <w:r w:rsidR="00A16B52">
        <w:rPr>
          <w:lang w:val="pl-PL"/>
        </w:rPr>
        <w:t> </w:t>
      </w:r>
      <w:r w:rsidRPr="004D5BDD">
        <w:rPr>
          <w:lang w:val="pl-PL"/>
        </w:rPr>
        <w:t>tej podstawie</w:t>
      </w:r>
      <w:r>
        <w:rPr>
          <w:lang w:val="pl-PL"/>
        </w:rPr>
        <w:t>, że byłoby ono „</w:t>
      </w:r>
      <w:r w:rsidR="00D71063">
        <w:rPr>
          <w:lang w:val="pl-PL"/>
        </w:rPr>
        <w:t xml:space="preserve">fizycznie </w:t>
      </w:r>
      <w:r w:rsidR="007D67D2">
        <w:rPr>
          <w:lang w:val="pl-PL"/>
        </w:rPr>
        <w:t>niemożliwe</w:t>
      </w:r>
      <w:r>
        <w:rPr>
          <w:lang w:val="pl-PL"/>
        </w:rPr>
        <w:t xml:space="preserve">” lub </w:t>
      </w:r>
      <w:r w:rsidR="00D71063">
        <w:rPr>
          <w:lang w:val="pl-PL"/>
        </w:rPr>
        <w:t>wiązałoby się z</w:t>
      </w:r>
      <w:r>
        <w:rPr>
          <w:lang w:val="pl-PL"/>
        </w:rPr>
        <w:t xml:space="preserve"> „całkowicie nieproporcjonalny</w:t>
      </w:r>
      <w:r w:rsidR="00D71063">
        <w:rPr>
          <w:lang w:val="pl-PL"/>
        </w:rPr>
        <w:t>m</w:t>
      </w:r>
      <w:r>
        <w:rPr>
          <w:lang w:val="pl-PL"/>
        </w:rPr>
        <w:t xml:space="preserve"> ciężar</w:t>
      </w:r>
      <w:r w:rsidR="00D71063">
        <w:rPr>
          <w:lang w:val="pl-PL"/>
        </w:rPr>
        <w:t>em</w:t>
      </w:r>
      <w:r>
        <w:rPr>
          <w:lang w:val="pl-PL"/>
        </w:rPr>
        <w:t xml:space="preserve">”. Nie było zatem przeszkód dla osiągnięcia </w:t>
      </w:r>
      <w:r w:rsidR="007B2E26" w:rsidRPr="001953FC">
        <w:rPr>
          <w:i/>
          <w:lang w:val="pl-PL"/>
        </w:rPr>
        <w:t>restitutio in</w:t>
      </w:r>
      <w:r w:rsidR="00A16B52">
        <w:rPr>
          <w:i/>
          <w:lang w:val="pl-PL"/>
        </w:rPr>
        <w:t> </w:t>
      </w:r>
      <w:r w:rsidR="007B2E26" w:rsidRPr="001953FC">
        <w:rPr>
          <w:i/>
          <w:lang w:val="pl-PL"/>
        </w:rPr>
        <w:t>integrum</w:t>
      </w:r>
      <w:r w:rsidR="007B2E26">
        <w:rPr>
          <w:lang w:val="pl-PL"/>
        </w:rPr>
        <w:t xml:space="preserve"> </w:t>
      </w:r>
      <w:r>
        <w:rPr>
          <w:lang w:val="pl-PL"/>
        </w:rPr>
        <w:t>w o</w:t>
      </w:r>
      <w:r w:rsidR="007B2E26">
        <w:rPr>
          <w:lang w:val="pl-PL"/>
        </w:rPr>
        <w:t>mawianej</w:t>
      </w:r>
      <w:r>
        <w:rPr>
          <w:lang w:val="pl-PL"/>
        </w:rPr>
        <w:t xml:space="preserve"> sprawie</w:t>
      </w:r>
      <w:r>
        <w:rPr>
          <w:i/>
          <w:lang w:val="pl-PL"/>
        </w:rPr>
        <w:t xml:space="preserve">. </w:t>
      </w:r>
    </w:p>
    <w:p w:rsidR="00A67FE8" w:rsidRPr="00A67FE8" w:rsidRDefault="00A67FE8">
      <w:pPr>
        <w:pStyle w:val="ClinContent"/>
        <w:rPr>
          <w:lang w:val="pl-PL"/>
        </w:rPr>
      </w:pPr>
      <w:r w:rsidRPr="00A67FE8">
        <w:rPr>
          <w:lang w:val="pl-PL"/>
        </w:rPr>
        <w:lastRenderedPageBreak/>
        <w:t>g)  </w:t>
      </w:r>
      <w:r w:rsidRPr="00A67FE8">
        <w:rPr>
          <w:i/>
          <w:lang w:val="pl-PL"/>
        </w:rPr>
        <w:t>Wniosek</w:t>
      </w:r>
      <w:r w:rsidRPr="00A67FE8">
        <w:rPr>
          <w:lang w:val="pl-PL"/>
        </w:rPr>
        <w:t xml:space="preserve"> – Odpowiedni obowiązek </w:t>
      </w:r>
      <w:r w:rsidRPr="00A67FE8">
        <w:rPr>
          <w:i/>
          <w:lang w:val="pl-PL"/>
        </w:rPr>
        <w:t>restitutio in integrum</w:t>
      </w:r>
      <w:r>
        <w:rPr>
          <w:i/>
          <w:lang w:val="pl-PL"/>
        </w:rPr>
        <w:t xml:space="preserve"> </w:t>
      </w:r>
      <w:r w:rsidRPr="00A67FE8">
        <w:rPr>
          <w:lang w:val="pl-PL"/>
        </w:rPr>
        <w:t>wymagał</w:t>
      </w:r>
      <w:r>
        <w:rPr>
          <w:lang w:val="pl-PL"/>
        </w:rPr>
        <w:t>, by Azerbejdżan usunął negatywne skutki postawienia zarzutów karnych</w:t>
      </w:r>
      <w:r w:rsidR="00E651B2">
        <w:rPr>
          <w:lang w:val="pl-PL"/>
        </w:rPr>
        <w:t>, które Trybunał uznał za</w:t>
      </w:r>
      <w:r w:rsidR="00A16B52">
        <w:rPr>
          <w:lang w:val="pl-PL"/>
        </w:rPr>
        <w:t> </w:t>
      </w:r>
      <w:r>
        <w:rPr>
          <w:lang w:val="pl-PL"/>
        </w:rPr>
        <w:t>nadużycie</w:t>
      </w:r>
      <w:r w:rsidR="00E651B2">
        <w:rPr>
          <w:lang w:val="pl-PL"/>
        </w:rPr>
        <w:t>,</w:t>
      </w:r>
      <w:r>
        <w:rPr>
          <w:lang w:val="pl-PL"/>
        </w:rPr>
        <w:t xml:space="preserve"> i </w:t>
      </w:r>
      <w:r w:rsidR="00E651B2">
        <w:rPr>
          <w:lang w:val="pl-PL"/>
        </w:rPr>
        <w:t xml:space="preserve">by </w:t>
      </w:r>
      <w:r>
        <w:rPr>
          <w:lang w:val="pl-PL"/>
        </w:rPr>
        <w:t>zwolni</w:t>
      </w:r>
      <w:r w:rsidR="007D67D2">
        <w:rPr>
          <w:lang w:val="pl-PL"/>
        </w:rPr>
        <w:t>ł</w:t>
      </w:r>
      <w:r>
        <w:rPr>
          <w:lang w:val="pl-PL"/>
        </w:rPr>
        <w:t xml:space="preserve"> </w:t>
      </w:r>
      <w:r w:rsidR="00E651B2">
        <w:rPr>
          <w:lang w:val="pl-PL"/>
        </w:rPr>
        <w:t>p</w:t>
      </w:r>
      <w:r>
        <w:rPr>
          <w:lang w:val="pl-PL"/>
        </w:rPr>
        <w:t xml:space="preserve">ana Mammadova. </w:t>
      </w:r>
    </w:p>
    <w:p w:rsidR="00A67FE8" w:rsidRPr="00A67FE8" w:rsidRDefault="00A67FE8">
      <w:pPr>
        <w:pStyle w:val="ClinContent"/>
        <w:rPr>
          <w:lang w:val="pl-PL"/>
        </w:rPr>
      </w:pPr>
      <w:r w:rsidRPr="00A67FE8">
        <w:rPr>
          <w:lang w:val="pl-PL"/>
        </w:rPr>
        <w:t xml:space="preserve">ii) </w:t>
      </w:r>
      <w:r w:rsidRPr="0098677C">
        <w:rPr>
          <w:i/>
          <w:lang w:val="pl-PL"/>
        </w:rPr>
        <w:t>Czy Azerbejdżan nie wykonał sw</w:t>
      </w:r>
      <w:r w:rsidR="003A4CAB">
        <w:rPr>
          <w:i/>
          <w:lang w:val="pl-PL"/>
        </w:rPr>
        <w:t>oj</w:t>
      </w:r>
      <w:r w:rsidRPr="0098677C">
        <w:rPr>
          <w:i/>
          <w:lang w:val="pl-PL"/>
        </w:rPr>
        <w:t>ego zobowiązania na podstawie art. 46 ust. 1 do</w:t>
      </w:r>
      <w:r w:rsidR="00A16B52">
        <w:rPr>
          <w:i/>
          <w:lang w:val="pl-PL"/>
        </w:rPr>
        <w:t> </w:t>
      </w:r>
      <w:r w:rsidRPr="0098677C">
        <w:rPr>
          <w:i/>
          <w:lang w:val="pl-PL"/>
        </w:rPr>
        <w:t>przestrzegania ostatecznego wyroku</w:t>
      </w:r>
    </w:p>
    <w:p w:rsidR="0098677C" w:rsidRPr="00254444" w:rsidRDefault="0098677C">
      <w:pPr>
        <w:pStyle w:val="ClinContent"/>
        <w:rPr>
          <w:i/>
          <w:lang w:val="pl-PL"/>
        </w:rPr>
      </w:pPr>
      <w:r>
        <w:t>α</w:t>
      </w:r>
      <w:r w:rsidRPr="0098677C">
        <w:rPr>
          <w:lang w:val="pl-PL"/>
        </w:rPr>
        <w:t>)  </w:t>
      </w:r>
      <w:r w:rsidRPr="0098677C">
        <w:rPr>
          <w:i/>
          <w:lang w:val="pl-PL"/>
        </w:rPr>
        <w:t xml:space="preserve">Czy środki indywidualne zapewniły </w:t>
      </w:r>
      <w:r w:rsidRPr="0098677C">
        <w:rPr>
          <w:lang w:val="pl-PL"/>
        </w:rPr>
        <w:t>restitutio in integrum</w:t>
      </w:r>
      <w:r>
        <w:rPr>
          <w:lang w:val="pl-PL"/>
        </w:rPr>
        <w:t xml:space="preserve"> – Do czasu</w:t>
      </w:r>
      <w:r w:rsidR="00E651B2">
        <w:rPr>
          <w:lang w:val="pl-PL"/>
        </w:rPr>
        <w:t>, gdy</w:t>
      </w:r>
      <w:r>
        <w:rPr>
          <w:lang w:val="pl-PL"/>
        </w:rPr>
        <w:t xml:space="preserve"> Komitet Ministrów </w:t>
      </w:r>
      <w:r w:rsidR="00E651B2">
        <w:rPr>
          <w:lang w:val="pl-PL"/>
        </w:rPr>
        <w:t xml:space="preserve">przekazał Trybunałowi </w:t>
      </w:r>
      <w:r w:rsidR="007D67D2">
        <w:rPr>
          <w:lang w:val="pl-PL"/>
        </w:rPr>
        <w:t>za</w:t>
      </w:r>
      <w:r>
        <w:rPr>
          <w:lang w:val="pl-PL"/>
        </w:rPr>
        <w:t>pytani</w:t>
      </w:r>
      <w:r w:rsidR="003A4CAB">
        <w:rPr>
          <w:lang w:val="pl-PL"/>
        </w:rPr>
        <w:t>e</w:t>
      </w:r>
      <w:r w:rsidR="00E651B2">
        <w:rPr>
          <w:lang w:val="pl-PL"/>
        </w:rPr>
        <w:t>,</w:t>
      </w:r>
      <w:r>
        <w:rPr>
          <w:lang w:val="pl-PL"/>
        </w:rPr>
        <w:t xml:space="preserve"> było już jasne, że postępowanie krajowe nie zapewniło naprawienia</w:t>
      </w:r>
      <w:r w:rsidR="007D67D2">
        <w:rPr>
          <w:lang w:val="pl-PL"/>
        </w:rPr>
        <w:t xml:space="preserve"> naruszenia</w:t>
      </w:r>
      <w:r>
        <w:rPr>
          <w:lang w:val="pl-PL"/>
        </w:rPr>
        <w:t>. W istocie</w:t>
      </w:r>
      <w:r w:rsidR="00D76C39">
        <w:rPr>
          <w:lang w:val="pl-PL"/>
        </w:rPr>
        <w:t>,</w:t>
      </w:r>
      <w:r>
        <w:rPr>
          <w:lang w:val="pl-PL"/>
        </w:rPr>
        <w:t xml:space="preserve"> Sąd Apelacyjny</w:t>
      </w:r>
      <w:r w:rsidR="00254444">
        <w:rPr>
          <w:lang w:val="pl-PL"/>
        </w:rPr>
        <w:t>,</w:t>
      </w:r>
      <w:r>
        <w:rPr>
          <w:lang w:val="pl-PL"/>
        </w:rPr>
        <w:t xml:space="preserve"> </w:t>
      </w:r>
      <w:r w:rsidR="00254444">
        <w:rPr>
          <w:lang w:val="pl-PL"/>
        </w:rPr>
        <w:t>badając</w:t>
      </w:r>
      <w:r>
        <w:rPr>
          <w:lang w:val="pl-PL"/>
        </w:rPr>
        <w:t xml:space="preserve"> ponownie skazanie skarżącego w swym wyroku z </w:t>
      </w:r>
      <w:r w:rsidR="007D67D2">
        <w:rPr>
          <w:lang w:val="pl-PL"/>
        </w:rPr>
        <w:t xml:space="preserve">dnia </w:t>
      </w:r>
      <w:r>
        <w:rPr>
          <w:lang w:val="pl-PL"/>
        </w:rPr>
        <w:t>29 kwietnia 2016 r.</w:t>
      </w:r>
      <w:r w:rsidR="00254444">
        <w:rPr>
          <w:lang w:val="pl-PL"/>
        </w:rPr>
        <w:t>,</w:t>
      </w:r>
      <w:r>
        <w:rPr>
          <w:lang w:val="pl-PL"/>
        </w:rPr>
        <w:t xml:space="preserve"> odrzucił jako </w:t>
      </w:r>
      <w:r w:rsidR="00E651B2">
        <w:rPr>
          <w:lang w:val="pl-PL"/>
        </w:rPr>
        <w:t>niesłuszne</w:t>
      </w:r>
      <w:r>
        <w:rPr>
          <w:lang w:val="pl-PL"/>
        </w:rPr>
        <w:t xml:space="preserve"> stwierdzenia Trybunału </w:t>
      </w:r>
      <w:r w:rsidR="00E651B2">
        <w:rPr>
          <w:lang w:val="pl-PL"/>
        </w:rPr>
        <w:t xml:space="preserve">w odniesieniu do art. 5 ust. 1 lit. c, </w:t>
      </w:r>
      <w:r>
        <w:rPr>
          <w:lang w:val="pl-PL"/>
        </w:rPr>
        <w:t xml:space="preserve">zawarte w pierwszym wyroku w sprawie </w:t>
      </w:r>
      <w:r>
        <w:rPr>
          <w:i/>
          <w:lang w:val="pl-PL"/>
        </w:rPr>
        <w:t>Mammadov</w:t>
      </w:r>
      <w:r w:rsidR="00E651B2">
        <w:rPr>
          <w:i/>
          <w:lang w:val="pl-PL"/>
        </w:rPr>
        <w:t>,</w:t>
      </w:r>
      <w:r>
        <w:rPr>
          <w:i/>
          <w:lang w:val="pl-PL"/>
        </w:rPr>
        <w:t xml:space="preserve"> </w:t>
      </w:r>
      <w:r>
        <w:rPr>
          <w:lang w:val="pl-PL"/>
        </w:rPr>
        <w:t xml:space="preserve">i nie odniósł się do innych stwierdzonych naruszeń, w tym </w:t>
      </w:r>
      <w:r w:rsidR="003A4CAB">
        <w:rPr>
          <w:lang w:val="pl-PL"/>
        </w:rPr>
        <w:t xml:space="preserve">dotyczących </w:t>
      </w:r>
      <w:r>
        <w:rPr>
          <w:lang w:val="pl-PL"/>
        </w:rPr>
        <w:t xml:space="preserve">art. 18 w związku z art. 5 Konwencji. Sąd Apelacyjny </w:t>
      </w:r>
      <w:r w:rsidR="00254444">
        <w:rPr>
          <w:lang w:val="pl-PL"/>
        </w:rPr>
        <w:t>stwierdził, że zebrano wystarczające dowody</w:t>
      </w:r>
      <w:r w:rsidR="00E651B2">
        <w:rPr>
          <w:lang w:val="pl-PL"/>
        </w:rPr>
        <w:t xml:space="preserve">, a sąd I instancji ocenił je w </w:t>
      </w:r>
      <w:r w:rsidR="00254444">
        <w:rPr>
          <w:lang w:val="pl-PL"/>
        </w:rPr>
        <w:t xml:space="preserve">sposób </w:t>
      </w:r>
      <w:r w:rsidR="00021927">
        <w:rPr>
          <w:lang w:val="pl-PL"/>
        </w:rPr>
        <w:t xml:space="preserve">całościowy i </w:t>
      </w:r>
      <w:r w:rsidR="00E651B2">
        <w:rPr>
          <w:lang w:val="pl-PL"/>
        </w:rPr>
        <w:t>obiektywnie</w:t>
      </w:r>
      <w:r w:rsidR="00254444">
        <w:rPr>
          <w:lang w:val="pl-PL"/>
        </w:rPr>
        <w:t xml:space="preserve">. Komitet Ministrów dokładnie </w:t>
      </w:r>
      <w:r w:rsidR="00E651B2">
        <w:rPr>
          <w:lang w:val="pl-PL"/>
        </w:rPr>
        <w:t xml:space="preserve">monitorował </w:t>
      </w:r>
      <w:r w:rsidR="00254444">
        <w:rPr>
          <w:lang w:val="pl-PL"/>
        </w:rPr>
        <w:t>tok postępowania przed sądami krajowymi i</w:t>
      </w:r>
      <w:r w:rsidR="00A16B52">
        <w:rPr>
          <w:lang w:val="pl-PL"/>
        </w:rPr>
        <w:t> </w:t>
      </w:r>
      <w:r w:rsidR="00254444">
        <w:rPr>
          <w:lang w:val="pl-PL"/>
        </w:rPr>
        <w:t>uznał, że sądy te nie usunęły negatywnych skutków spowodowanych naruszeniem art.</w:t>
      </w:r>
      <w:r w:rsidR="00A16B52">
        <w:rPr>
          <w:lang w:val="pl-PL"/>
        </w:rPr>
        <w:t> </w:t>
      </w:r>
      <w:r w:rsidR="00254444">
        <w:rPr>
          <w:lang w:val="pl-PL"/>
        </w:rPr>
        <w:t>18 w związku z art. 5</w:t>
      </w:r>
      <w:r w:rsidR="00E651B2">
        <w:rPr>
          <w:lang w:val="pl-PL"/>
        </w:rPr>
        <w:t>,</w:t>
      </w:r>
      <w:r w:rsidR="00254444">
        <w:rPr>
          <w:lang w:val="pl-PL"/>
        </w:rPr>
        <w:t xml:space="preserve"> </w:t>
      </w:r>
      <w:r w:rsidR="007D67D2">
        <w:rPr>
          <w:lang w:val="pl-PL"/>
        </w:rPr>
        <w:t xml:space="preserve">stwierdzonym </w:t>
      </w:r>
      <w:r w:rsidR="00254444">
        <w:rPr>
          <w:lang w:val="pl-PL"/>
        </w:rPr>
        <w:t xml:space="preserve">w pierwszym wyroku w sprawie </w:t>
      </w:r>
      <w:r w:rsidR="00254444">
        <w:rPr>
          <w:i/>
          <w:lang w:val="pl-PL"/>
        </w:rPr>
        <w:t xml:space="preserve">Mammadov. </w:t>
      </w:r>
    </w:p>
    <w:p w:rsidR="00E21E61" w:rsidRPr="00E21E61" w:rsidRDefault="00E21E61">
      <w:pPr>
        <w:pStyle w:val="ClinContent"/>
        <w:rPr>
          <w:lang w:val="pl-PL"/>
        </w:rPr>
      </w:pPr>
      <w:r w:rsidRPr="00E21E61">
        <w:rPr>
          <w:lang w:val="pl-PL"/>
        </w:rPr>
        <w:t>Trybunał uznał</w:t>
      </w:r>
      <w:r w:rsidR="007D67D2" w:rsidRPr="007D67D2">
        <w:rPr>
          <w:lang w:val="pl-PL"/>
        </w:rPr>
        <w:t xml:space="preserve"> </w:t>
      </w:r>
      <w:r w:rsidR="007D67D2" w:rsidRPr="00E21E61">
        <w:rPr>
          <w:lang w:val="pl-PL"/>
        </w:rPr>
        <w:t>już</w:t>
      </w:r>
      <w:r w:rsidRPr="00E21E61">
        <w:rPr>
          <w:lang w:val="pl-PL"/>
        </w:rPr>
        <w:t xml:space="preserve">, że jego stwierdzenie naruszenia art. </w:t>
      </w:r>
      <w:r>
        <w:rPr>
          <w:lang w:val="pl-PL"/>
        </w:rPr>
        <w:t xml:space="preserve">18 w związku z art. 5, zawarte w pierwszym wyroku w sprawie </w:t>
      </w:r>
      <w:r>
        <w:rPr>
          <w:i/>
          <w:lang w:val="pl-PL"/>
        </w:rPr>
        <w:t xml:space="preserve">Mammadov, </w:t>
      </w:r>
      <w:r>
        <w:rPr>
          <w:lang w:val="pl-PL"/>
        </w:rPr>
        <w:t>podważyło dal</w:t>
      </w:r>
      <w:r w:rsidR="00E651B2">
        <w:rPr>
          <w:lang w:val="pl-PL"/>
        </w:rPr>
        <w:t>sze postępowanie karne. Logicznym działaniem było</w:t>
      </w:r>
      <w:r>
        <w:rPr>
          <w:lang w:val="pl-PL"/>
        </w:rPr>
        <w:t xml:space="preserve"> zatem dążenie do zapewnienia </w:t>
      </w:r>
      <w:r w:rsidR="00E651B2">
        <w:rPr>
          <w:lang w:val="pl-PL"/>
        </w:rPr>
        <w:t xml:space="preserve">natychmiastowego </w:t>
      </w:r>
      <w:r>
        <w:rPr>
          <w:lang w:val="pl-PL"/>
        </w:rPr>
        <w:t xml:space="preserve">zwolnienia skarżącego. Nawet </w:t>
      </w:r>
      <w:r w:rsidR="00E651B2">
        <w:rPr>
          <w:lang w:val="pl-PL"/>
        </w:rPr>
        <w:t xml:space="preserve">gdyby </w:t>
      </w:r>
      <w:r w:rsidR="00D9398A">
        <w:rPr>
          <w:lang w:val="pl-PL"/>
        </w:rPr>
        <w:t>uzna</w:t>
      </w:r>
      <w:r w:rsidR="00E651B2">
        <w:rPr>
          <w:lang w:val="pl-PL"/>
        </w:rPr>
        <w:t>ć</w:t>
      </w:r>
      <w:r>
        <w:rPr>
          <w:lang w:val="pl-PL"/>
        </w:rPr>
        <w:t xml:space="preserve">, że na potrzeby </w:t>
      </w:r>
      <w:r>
        <w:rPr>
          <w:i/>
          <w:lang w:val="pl-PL"/>
        </w:rPr>
        <w:t xml:space="preserve">restitutio in integrum </w:t>
      </w:r>
      <w:r>
        <w:rPr>
          <w:lang w:val="pl-PL"/>
        </w:rPr>
        <w:t>wystarcz</w:t>
      </w:r>
      <w:r w:rsidR="00E651B2">
        <w:rPr>
          <w:lang w:val="pl-PL"/>
        </w:rPr>
        <w:t>yłoby</w:t>
      </w:r>
      <w:r>
        <w:rPr>
          <w:lang w:val="pl-PL"/>
        </w:rPr>
        <w:t xml:space="preserve"> zaczeka</w:t>
      </w:r>
      <w:r w:rsidR="00D76C39">
        <w:rPr>
          <w:lang w:val="pl-PL"/>
        </w:rPr>
        <w:t>nie</w:t>
      </w:r>
      <w:r>
        <w:rPr>
          <w:lang w:val="pl-PL"/>
        </w:rPr>
        <w:t xml:space="preserve"> na </w:t>
      </w:r>
      <w:r w:rsidR="00021927">
        <w:rPr>
          <w:lang w:val="pl-PL"/>
        </w:rPr>
        <w:t xml:space="preserve">naprawienie </w:t>
      </w:r>
      <w:r w:rsidR="00E651B2">
        <w:rPr>
          <w:lang w:val="pl-PL"/>
        </w:rPr>
        <w:t xml:space="preserve">błędów </w:t>
      </w:r>
      <w:r w:rsidR="00021927">
        <w:rPr>
          <w:lang w:val="pl-PL"/>
        </w:rPr>
        <w:t>stwierdzonych</w:t>
      </w:r>
      <w:r w:rsidR="00D76C39">
        <w:rPr>
          <w:lang w:val="pl-PL"/>
        </w:rPr>
        <w:t xml:space="preserve"> w tym wyroku</w:t>
      </w:r>
      <w:r w:rsidR="00021927">
        <w:rPr>
          <w:lang w:val="pl-PL"/>
        </w:rPr>
        <w:t xml:space="preserve"> </w:t>
      </w:r>
      <w:r w:rsidR="00E651B2">
        <w:rPr>
          <w:lang w:val="pl-PL"/>
        </w:rPr>
        <w:t>w dalszym postępowaniu karnym</w:t>
      </w:r>
      <w:r>
        <w:rPr>
          <w:lang w:val="pl-PL"/>
        </w:rPr>
        <w:t xml:space="preserve">, </w:t>
      </w:r>
      <w:r w:rsidR="00E651B2">
        <w:rPr>
          <w:lang w:val="pl-PL"/>
        </w:rPr>
        <w:t>postępowanie to nie zapewniło t</w:t>
      </w:r>
      <w:r w:rsidR="00D76C39">
        <w:rPr>
          <w:lang w:val="pl-PL"/>
        </w:rPr>
        <w:t>aki</w:t>
      </w:r>
      <w:r w:rsidR="00E651B2">
        <w:rPr>
          <w:lang w:val="pl-PL"/>
        </w:rPr>
        <w:t>ego naprawienia</w:t>
      </w:r>
      <w:r>
        <w:rPr>
          <w:lang w:val="pl-PL"/>
        </w:rPr>
        <w:t xml:space="preserve">.  </w:t>
      </w:r>
    </w:p>
    <w:p w:rsidR="00E21E61" w:rsidRPr="00E21E61" w:rsidRDefault="00E21E61">
      <w:pPr>
        <w:pStyle w:val="ClinContent"/>
        <w:rPr>
          <w:lang w:val="pl-PL"/>
        </w:rPr>
      </w:pPr>
      <w:r w:rsidRPr="00E21E61">
        <w:rPr>
          <w:lang w:val="pl-PL"/>
        </w:rPr>
        <w:t xml:space="preserve">Wady </w:t>
      </w:r>
      <w:r w:rsidR="00E651B2">
        <w:rPr>
          <w:lang w:val="pl-PL"/>
        </w:rPr>
        <w:t xml:space="preserve">stwierdzone </w:t>
      </w:r>
      <w:r w:rsidRPr="00E21E61">
        <w:rPr>
          <w:lang w:val="pl-PL"/>
        </w:rPr>
        <w:t xml:space="preserve">w pierwszym wyroku w sprawie </w:t>
      </w:r>
      <w:r>
        <w:rPr>
          <w:i/>
          <w:lang w:val="pl-PL"/>
        </w:rPr>
        <w:t xml:space="preserve">Mammadov </w:t>
      </w:r>
      <w:r>
        <w:rPr>
          <w:lang w:val="pl-PL"/>
        </w:rPr>
        <w:t>zostały nastę</w:t>
      </w:r>
      <w:r w:rsidR="004E087F">
        <w:rPr>
          <w:lang w:val="pl-PL"/>
        </w:rPr>
        <w:t>p</w:t>
      </w:r>
      <w:r>
        <w:rPr>
          <w:lang w:val="pl-PL"/>
        </w:rPr>
        <w:t xml:space="preserve">nie potwierdzone przez Trybunał w drugim wyroku w </w:t>
      </w:r>
      <w:r w:rsidR="00E651B2">
        <w:rPr>
          <w:lang w:val="pl-PL"/>
        </w:rPr>
        <w:t xml:space="preserve">tej </w:t>
      </w:r>
      <w:r>
        <w:rPr>
          <w:lang w:val="pl-PL"/>
        </w:rPr>
        <w:t>sprawie</w:t>
      </w:r>
      <w:r w:rsidR="00E651B2">
        <w:rPr>
          <w:i/>
          <w:lang w:val="pl-PL"/>
        </w:rPr>
        <w:t xml:space="preserve">, </w:t>
      </w:r>
      <w:r w:rsidR="00E651B2">
        <w:rPr>
          <w:lang w:val="pl-PL"/>
        </w:rPr>
        <w:t>w</w:t>
      </w:r>
      <w:r w:rsidR="00D76C39">
        <w:rPr>
          <w:lang w:val="pl-PL"/>
        </w:rPr>
        <w:t xml:space="preserve"> świetle </w:t>
      </w:r>
      <w:r w:rsidR="00E651B2">
        <w:rPr>
          <w:lang w:val="pl-PL"/>
        </w:rPr>
        <w:t xml:space="preserve">którego </w:t>
      </w:r>
      <w:r>
        <w:rPr>
          <w:lang w:val="pl-PL"/>
        </w:rPr>
        <w:t xml:space="preserve">skazanie skarżącego opierało się na </w:t>
      </w:r>
      <w:r w:rsidR="004E087F">
        <w:rPr>
          <w:lang w:val="pl-PL"/>
        </w:rPr>
        <w:t>wadliwych lub fałszywie przedstawionych</w:t>
      </w:r>
      <w:r>
        <w:rPr>
          <w:lang w:val="pl-PL"/>
        </w:rPr>
        <w:t xml:space="preserve"> dowodach. </w:t>
      </w:r>
    </w:p>
    <w:p w:rsidR="00CD7630" w:rsidRPr="00CD7630" w:rsidRDefault="00CD7630">
      <w:pPr>
        <w:pStyle w:val="ClinContent"/>
        <w:rPr>
          <w:i/>
          <w:lang w:val="pl-PL"/>
        </w:rPr>
      </w:pPr>
      <w:r w:rsidRPr="00CD7630">
        <w:rPr>
          <w:lang w:val="pl-PL"/>
        </w:rPr>
        <w:t xml:space="preserve">W rezultacie Trybunał uznał, że skutki stwierdzenia naruszenia art. </w:t>
      </w:r>
      <w:r>
        <w:rPr>
          <w:lang w:val="pl-PL"/>
        </w:rPr>
        <w:t xml:space="preserve">18 w związku z art. 5 Konwencji w pierwszym wyroku w sprawie </w:t>
      </w:r>
      <w:r w:rsidRPr="00CD7630">
        <w:rPr>
          <w:i/>
          <w:lang w:val="pl-PL"/>
        </w:rPr>
        <w:t>Mammadov</w:t>
      </w:r>
      <w:r>
        <w:rPr>
          <w:lang w:val="pl-PL"/>
        </w:rPr>
        <w:t xml:space="preserve"> nie zostały usunięte przez drugi wyrok w </w:t>
      </w:r>
      <w:r w:rsidR="00E651B2">
        <w:rPr>
          <w:lang w:val="pl-PL"/>
        </w:rPr>
        <w:t xml:space="preserve">tej </w:t>
      </w:r>
      <w:r>
        <w:rPr>
          <w:lang w:val="pl-PL"/>
        </w:rPr>
        <w:t>sprawie</w:t>
      </w:r>
      <w:r>
        <w:rPr>
          <w:i/>
          <w:lang w:val="pl-PL"/>
        </w:rPr>
        <w:t xml:space="preserve">, </w:t>
      </w:r>
      <w:r>
        <w:rPr>
          <w:lang w:val="pl-PL"/>
        </w:rPr>
        <w:t xml:space="preserve">który w istocie potwierdził potrzebę </w:t>
      </w:r>
      <w:r w:rsidR="00E651B2">
        <w:rPr>
          <w:lang w:val="pl-PL"/>
        </w:rPr>
        <w:t xml:space="preserve">podjęcia </w:t>
      </w:r>
      <w:r>
        <w:rPr>
          <w:lang w:val="pl-PL"/>
        </w:rPr>
        <w:t xml:space="preserve">środków indywidualnych wymaganych pierwszym wyrokiem w sprawie </w:t>
      </w:r>
      <w:r>
        <w:rPr>
          <w:i/>
          <w:lang w:val="pl-PL"/>
        </w:rPr>
        <w:t xml:space="preserve">Mammadov. </w:t>
      </w:r>
    </w:p>
    <w:p w:rsidR="00CC1BC6" w:rsidRPr="00CC1BC6" w:rsidRDefault="00CC1BC6">
      <w:pPr>
        <w:pStyle w:val="ClinContent"/>
        <w:rPr>
          <w:lang w:val="pl-PL"/>
        </w:rPr>
      </w:pPr>
      <w:r w:rsidRPr="00CC1BC6">
        <w:rPr>
          <w:lang w:val="pl-PL"/>
        </w:rPr>
        <w:t xml:space="preserve">Rząd </w:t>
      </w:r>
      <w:r w:rsidR="00E651B2">
        <w:rPr>
          <w:lang w:val="pl-PL"/>
        </w:rPr>
        <w:t>prezentował</w:t>
      </w:r>
      <w:r w:rsidRPr="00CC1BC6">
        <w:rPr>
          <w:lang w:val="pl-PL"/>
        </w:rPr>
        <w:t xml:space="preserve"> wyrok Sądu Apelacyjnego z </w:t>
      </w:r>
      <w:r w:rsidR="004E087F">
        <w:rPr>
          <w:lang w:val="pl-PL"/>
        </w:rPr>
        <w:t xml:space="preserve">dnia </w:t>
      </w:r>
      <w:r w:rsidRPr="00CC1BC6">
        <w:rPr>
          <w:lang w:val="pl-PL"/>
        </w:rPr>
        <w:t xml:space="preserve">13 sierpnia 2018 r. </w:t>
      </w:r>
      <w:r>
        <w:rPr>
          <w:lang w:val="pl-PL"/>
        </w:rPr>
        <w:t xml:space="preserve">jako środek </w:t>
      </w:r>
      <w:r w:rsidR="00E651B2">
        <w:rPr>
          <w:lang w:val="pl-PL"/>
        </w:rPr>
        <w:t>służący usunięciu</w:t>
      </w:r>
      <w:r>
        <w:rPr>
          <w:lang w:val="pl-PL"/>
        </w:rPr>
        <w:t xml:space="preserve"> negatywnych skutków postawienia zarzutów karnych</w:t>
      </w:r>
      <w:r w:rsidR="00E651B2">
        <w:rPr>
          <w:lang w:val="pl-PL"/>
        </w:rPr>
        <w:t xml:space="preserve">, które zostały uznane za </w:t>
      </w:r>
      <w:r>
        <w:rPr>
          <w:lang w:val="pl-PL"/>
        </w:rPr>
        <w:t xml:space="preserve">nadużycie. Sąd Apelacyjny ponownie </w:t>
      </w:r>
      <w:r w:rsidR="00D76C39">
        <w:rPr>
          <w:lang w:val="pl-PL"/>
        </w:rPr>
        <w:t xml:space="preserve">jednak </w:t>
      </w:r>
      <w:r>
        <w:rPr>
          <w:lang w:val="pl-PL"/>
        </w:rPr>
        <w:t>odrzucił stwierdzenia Trybunału i</w:t>
      </w:r>
      <w:r w:rsidR="00A16B52">
        <w:rPr>
          <w:lang w:val="pl-PL"/>
        </w:rPr>
        <w:t> </w:t>
      </w:r>
      <w:r w:rsidR="00D9398A">
        <w:rPr>
          <w:lang w:val="pl-PL"/>
        </w:rPr>
        <w:t xml:space="preserve">zgodził się </w:t>
      </w:r>
      <w:r>
        <w:rPr>
          <w:lang w:val="pl-PL"/>
        </w:rPr>
        <w:t xml:space="preserve">jedynie </w:t>
      </w:r>
      <w:r w:rsidR="00D9398A">
        <w:rPr>
          <w:lang w:val="pl-PL"/>
        </w:rPr>
        <w:t xml:space="preserve">na </w:t>
      </w:r>
      <w:r>
        <w:rPr>
          <w:lang w:val="pl-PL"/>
        </w:rPr>
        <w:t>warunkowe zwolnienie skarżącego. To warunkowe zwolnienie zostało następnie uchylone wyrokiem Sądu Najwyższego z</w:t>
      </w:r>
      <w:r w:rsidR="004E087F">
        <w:rPr>
          <w:lang w:val="pl-PL"/>
        </w:rPr>
        <w:t xml:space="preserve"> dnia</w:t>
      </w:r>
      <w:r>
        <w:rPr>
          <w:lang w:val="pl-PL"/>
        </w:rPr>
        <w:t xml:space="preserve"> 28 marca 2019 r., który</w:t>
      </w:r>
      <w:r w:rsidR="00A16B52">
        <w:rPr>
          <w:lang w:val="pl-PL"/>
        </w:rPr>
        <w:t> </w:t>
      </w:r>
      <w:r>
        <w:rPr>
          <w:lang w:val="pl-PL"/>
        </w:rPr>
        <w:t>uznał, że skarżący w pełni odbył karę. Główne uzasadnienie wyroku Sądu Najwyższego potwierdziło, na najwyższym szczeblu sądowym, skazanie skarżącego i</w:t>
      </w:r>
      <w:r w:rsidR="00A16B52">
        <w:rPr>
          <w:lang w:val="pl-PL"/>
        </w:rPr>
        <w:t> </w:t>
      </w:r>
      <w:r>
        <w:rPr>
          <w:lang w:val="pl-PL"/>
        </w:rPr>
        <w:t xml:space="preserve">odrzucenie </w:t>
      </w:r>
      <w:r w:rsidR="00D9398A">
        <w:rPr>
          <w:lang w:val="pl-PL"/>
        </w:rPr>
        <w:t xml:space="preserve">przez sądy krajowe </w:t>
      </w:r>
      <w:r>
        <w:rPr>
          <w:lang w:val="pl-PL"/>
        </w:rPr>
        <w:t xml:space="preserve">stwierdzeń Europejskiego Trybunału. </w:t>
      </w:r>
    </w:p>
    <w:p w:rsidR="00CC1BC6" w:rsidRPr="00CC1BC6" w:rsidRDefault="00CC1BC6">
      <w:pPr>
        <w:pStyle w:val="ClinContent"/>
        <w:rPr>
          <w:lang w:val="pl-PL"/>
        </w:rPr>
      </w:pPr>
      <w:r>
        <w:t>β</w:t>
      </w:r>
      <w:r w:rsidRPr="00CC1BC6">
        <w:rPr>
          <w:lang w:val="pl-PL"/>
        </w:rPr>
        <w:t>)  </w:t>
      </w:r>
      <w:r w:rsidRPr="00CC1BC6">
        <w:rPr>
          <w:i/>
          <w:lang w:val="pl-PL"/>
        </w:rPr>
        <w:t>Uwagi końcowe</w:t>
      </w:r>
      <w:r w:rsidRPr="00CC1BC6">
        <w:rPr>
          <w:lang w:val="pl-PL"/>
        </w:rPr>
        <w:t xml:space="preserve"> – Wykonywanie wyroków Trybunału powinno zakładać dobrą wiarę ze</w:t>
      </w:r>
      <w:r w:rsidR="00A16B52">
        <w:rPr>
          <w:lang w:val="pl-PL"/>
        </w:rPr>
        <w:t> </w:t>
      </w:r>
      <w:r w:rsidRPr="00CC1BC6">
        <w:rPr>
          <w:lang w:val="pl-PL"/>
        </w:rPr>
        <w:t xml:space="preserve">strony Wysokiej Układającej się Strony. </w:t>
      </w:r>
      <w:r>
        <w:rPr>
          <w:lang w:val="pl-PL"/>
        </w:rPr>
        <w:t xml:space="preserve">Cała struktura Konwencji opiera się na tym ogólnym założeniu. Struktura ta </w:t>
      </w:r>
      <w:r w:rsidR="00E651B2">
        <w:rPr>
          <w:lang w:val="pl-PL"/>
        </w:rPr>
        <w:t xml:space="preserve">zakłada </w:t>
      </w:r>
      <w:r w:rsidR="00D76C39">
        <w:rPr>
          <w:lang w:val="pl-PL"/>
        </w:rPr>
        <w:t>istnienie procedury</w:t>
      </w:r>
      <w:r>
        <w:rPr>
          <w:lang w:val="pl-PL"/>
        </w:rPr>
        <w:t xml:space="preserve"> nadzoru, a wykonanie wyroków powinno zakładać dobrą wiarę i odbywać się w sposób zgodny z „wnioskami i</w:t>
      </w:r>
      <w:r w:rsidR="00A16B52">
        <w:rPr>
          <w:lang w:val="pl-PL"/>
        </w:rPr>
        <w:t> </w:t>
      </w:r>
      <w:r>
        <w:rPr>
          <w:lang w:val="pl-PL"/>
        </w:rPr>
        <w:t>duchem” wyroku. Ponadto znaczenie</w:t>
      </w:r>
      <w:r w:rsidR="00D9398A">
        <w:rPr>
          <w:lang w:val="pl-PL"/>
        </w:rPr>
        <w:t xml:space="preserve"> obowiązku</w:t>
      </w:r>
      <w:r>
        <w:rPr>
          <w:lang w:val="pl-PL"/>
        </w:rPr>
        <w:t xml:space="preserve"> </w:t>
      </w:r>
      <w:r w:rsidR="00E651B2">
        <w:rPr>
          <w:lang w:val="pl-PL"/>
        </w:rPr>
        <w:t xml:space="preserve">wykazania </w:t>
      </w:r>
      <w:r>
        <w:rPr>
          <w:lang w:val="pl-PL"/>
        </w:rPr>
        <w:t xml:space="preserve">dobrej wiary jest </w:t>
      </w:r>
      <w:r w:rsidR="00E651B2">
        <w:rPr>
          <w:lang w:val="pl-PL"/>
        </w:rPr>
        <w:t>szczególnie ważne</w:t>
      </w:r>
      <w:r>
        <w:rPr>
          <w:lang w:val="pl-PL"/>
        </w:rPr>
        <w:t xml:space="preserve"> </w:t>
      </w:r>
      <w:r w:rsidR="00E651B2">
        <w:rPr>
          <w:lang w:val="pl-PL"/>
        </w:rPr>
        <w:t>w przypadku</w:t>
      </w:r>
      <w:r>
        <w:rPr>
          <w:lang w:val="pl-PL"/>
        </w:rPr>
        <w:t>, gd</w:t>
      </w:r>
      <w:r w:rsidR="00E651B2">
        <w:rPr>
          <w:lang w:val="pl-PL"/>
        </w:rPr>
        <w:t>y</w:t>
      </w:r>
      <w:r>
        <w:rPr>
          <w:lang w:val="pl-PL"/>
        </w:rPr>
        <w:t xml:space="preserve"> Trybunał stwierdził naruszenie art. 18, którego przedmiotem i celem jest zakaz nadużywania władzy. </w:t>
      </w:r>
    </w:p>
    <w:p w:rsidR="00CC1BC6" w:rsidRPr="00CC1BC6" w:rsidRDefault="00CC1BC6">
      <w:pPr>
        <w:pStyle w:val="ClinContent"/>
        <w:rPr>
          <w:lang w:val="pl-PL"/>
        </w:rPr>
      </w:pPr>
      <w:r w:rsidRPr="00CC1BC6">
        <w:rPr>
          <w:lang w:val="pl-PL"/>
        </w:rPr>
        <w:t>Zgodnie z Protokołem nr 14 szybkie i pełne wykonywanie wyroków Trybunału</w:t>
      </w:r>
      <w:r>
        <w:rPr>
          <w:lang w:val="pl-PL"/>
        </w:rPr>
        <w:t xml:space="preserve"> </w:t>
      </w:r>
      <w:r w:rsidR="004E087F">
        <w:rPr>
          <w:lang w:val="pl-PL"/>
        </w:rPr>
        <w:t xml:space="preserve">jest kluczowe </w:t>
      </w:r>
      <w:r>
        <w:rPr>
          <w:lang w:val="pl-PL"/>
        </w:rPr>
        <w:t>–</w:t>
      </w:r>
      <w:r w:rsidRPr="00CC1BC6">
        <w:rPr>
          <w:lang w:val="pl-PL"/>
        </w:rPr>
        <w:t xml:space="preserve"> dla </w:t>
      </w:r>
      <w:r>
        <w:rPr>
          <w:lang w:val="pl-PL"/>
        </w:rPr>
        <w:t>o</w:t>
      </w:r>
      <w:r w:rsidRPr="00CC1BC6">
        <w:rPr>
          <w:lang w:val="pl-PL"/>
        </w:rPr>
        <w:t>chrony praw s</w:t>
      </w:r>
      <w:r>
        <w:rPr>
          <w:lang w:val="pl-PL"/>
        </w:rPr>
        <w:t xml:space="preserve">karżącego </w:t>
      </w:r>
      <w:r w:rsidR="00EB5EC9">
        <w:rPr>
          <w:lang w:val="pl-PL"/>
        </w:rPr>
        <w:t>oraz</w:t>
      </w:r>
      <w:r>
        <w:rPr>
          <w:lang w:val="pl-PL"/>
        </w:rPr>
        <w:t xml:space="preserve"> </w:t>
      </w:r>
      <w:r w:rsidR="00E651B2">
        <w:rPr>
          <w:lang w:val="pl-PL"/>
        </w:rPr>
        <w:t xml:space="preserve">z uwagi na to, że </w:t>
      </w:r>
      <w:r w:rsidR="004E087F">
        <w:rPr>
          <w:lang w:val="pl-PL"/>
        </w:rPr>
        <w:t xml:space="preserve">zarówno </w:t>
      </w:r>
      <w:r>
        <w:rPr>
          <w:lang w:val="pl-PL"/>
        </w:rPr>
        <w:t xml:space="preserve">autorytet Trybunału, jak i wiarygodność systemu zależą w dużej mierze od skuteczności tego procesu. </w:t>
      </w:r>
    </w:p>
    <w:p w:rsidR="00EB5EC9" w:rsidRPr="00A070A0" w:rsidRDefault="00EB5EC9">
      <w:pPr>
        <w:pStyle w:val="ClinContent"/>
        <w:rPr>
          <w:i/>
          <w:lang w:val="pl-PL"/>
        </w:rPr>
      </w:pPr>
      <w:r w:rsidRPr="00EB5EC9">
        <w:rPr>
          <w:lang w:val="pl-PL"/>
        </w:rPr>
        <w:lastRenderedPageBreak/>
        <w:t xml:space="preserve">Azerbejdżan podjął pewne kroki w kierunku wykonania pierwszego wyroku w sprawie </w:t>
      </w:r>
      <w:r>
        <w:rPr>
          <w:i/>
          <w:lang w:val="pl-PL"/>
        </w:rPr>
        <w:t xml:space="preserve">Mammadov. </w:t>
      </w:r>
      <w:r w:rsidR="00A070A0">
        <w:rPr>
          <w:lang w:val="pl-PL"/>
        </w:rPr>
        <w:t>Przekazał do dyspozycji skarżącego słuszne zadośćuczyn</w:t>
      </w:r>
      <w:r w:rsidR="004E087F">
        <w:rPr>
          <w:lang w:val="pl-PL"/>
        </w:rPr>
        <w:t>ienie zasądzone przez Trybunał, a</w:t>
      </w:r>
      <w:r w:rsidR="00A070A0">
        <w:rPr>
          <w:lang w:val="pl-PL"/>
        </w:rPr>
        <w:t xml:space="preserve"> </w:t>
      </w:r>
      <w:r w:rsidR="004E087F">
        <w:rPr>
          <w:lang w:val="pl-PL"/>
        </w:rPr>
        <w:t xml:space="preserve">w listopadzie 2014 r. </w:t>
      </w:r>
      <w:r w:rsidR="00A070A0">
        <w:rPr>
          <w:lang w:val="pl-PL"/>
        </w:rPr>
        <w:t>przedstawił również plan działania</w:t>
      </w:r>
      <w:r w:rsidR="004E087F">
        <w:rPr>
          <w:lang w:val="pl-PL"/>
        </w:rPr>
        <w:t>, który</w:t>
      </w:r>
      <w:r w:rsidR="00A070A0">
        <w:rPr>
          <w:lang w:val="pl-PL"/>
        </w:rPr>
        <w:t xml:space="preserve"> w jego opinii określ</w:t>
      </w:r>
      <w:r w:rsidR="004E087F">
        <w:rPr>
          <w:lang w:val="pl-PL"/>
        </w:rPr>
        <w:t>a</w:t>
      </w:r>
      <w:r w:rsidR="00A070A0">
        <w:rPr>
          <w:lang w:val="pl-PL"/>
        </w:rPr>
        <w:t xml:space="preserve">ł środki </w:t>
      </w:r>
      <w:r w:rsidR="00F73A1D">
        <w:rPr>
          <w:lang w:val="pl-PL"/>
        </w:rPr>
        <w:t>potrzebne do wykonania</w:t>
      </w:r>
      <w:r w:rsidR="00A070A0">
        <w:rPr>
          <w:lang w:val="pl-PL"/>
        </w:rPr>
        <w:t xml:space="preserve"> wyrok</w:t>
      </w:r>
      <w:r w:rsidR="00F73A1D">
        <w:rPr>
          <w:lang w:val="pl-PL"/>
        </w:rPr>
        <w:t>u</w:t>
      </w:r>
      <w:r w:rsidR="00A070A0">
        <w:rPr>
          <w:lang w:val="pl-PL"/>
        </w:rPr>
        <w:t>. W dniu 13 sierpnia 2018 r. Sąd Apelacyjny zwolnił skarżącego, cho</w:t>
      </w:r>
      <w:r w:rsidR="00D9398A">
        <w:rPr>
          <w:lang w:val="pl-PL"/>
        </w:rPr>
        <w:t>ciaż</w:t>
      </w:r>
      <w:r w:rsidR="00A070A0">
        <w:rPr>
          <w:lang w:val="pl-PL"/>
        </w:rPr>
        <w:t xml:space="preserve"> zwolnienie to miało charakter warunkowy i</w:t>
      </w:r>
      <w:r w:rsidR="00A16B52">
        <w:rPr>
          <w:lang w:val="pl-PL"/>
        </w:rPr>
        <w:t> </w:t>
      </w:r>
      <w:r w:rsidR="00A070A0">
        <w:rPr>
          <w:lang w:val="pl-PL"/>
        </w:rPr>
        <w:t>nakładało na skarżącego szereg ograniczeń na okres prawie ośmiu miesięcy</w:t>
      </w:r>
      <w:r w:rsidR="004E087F">
        <w:rPr>
          <w:lang w:val="pl-PL"/>
        </w:rPr>
        <w:t>,</w:t>
      </w:r>
      <w:r w:rsidR="00A070A0">
        <w:rPr>
          <w:lang w:val="pl-PL"/>
        </w:rPr>
        <w:t xml:space="preserve"> do czasu uchylenia tego środka przez Sąd Najwyższy wyrokiem z </w:t>
      </w:r>
      <w:r w:rsidR="004E087F">
        <w:rPr>
          <w:lang w:val="pl-PL"/>
        </w:rPr>
        <w:t xml:space="preserve">dnia </w:t>
      </w:r>
      <w:r w:rsidR="00A070A0">
        <w:rPr>
          <w:lang w:val="pl-PL"/>
        </w:rPr>
        <w:t>28 marca 2019 r. Oba</w:t>
      </w:r>
      <w:r w:rsidR="00A16B52">
        <w:rPr>
          <w:lang w:val="pl-PL"/>
        </w:rPr>
        <w:t> </w:t>
      </w:r>
      <w:r w:rsidR="00A070A0">
        <w:rPr>
          <w:lang w:val="pl-PL"/>
        </w:rPr>
        <w:t>te</w:t>
      </w:r>
      <w:r w:rsidR="00A16B52">
        <w:rPr>
          <w:lang w:val="pl-PL"/>
        </w:rPr>
        <w:t> </w:t>
      </w:r>
      <w:r w:rsidR="00A070A0">
        <w:rPr>
          <w:lang w:val="pl-PL"/>
        </w:rPr>
        <w:t xml:space="preserve">wyroki </w:t>
      </w:r>
      <w:r w:rsidR="00F73A1D">
        <w:rPr>
          <w:lang w:val="pl-PL"/>
        </w:rPr>
        <w:t>zapadły jednak po przekazaniu</w:t>
      </w:r>
      <w:r w:rsidR="00A070A0">
        <w:rPr>
          <w:lang w:val="pl-PL"/>
        </w:rPr>
        <w:t xml:space="preserve"> </w:t>
      </w:r>
      <w:r w:rsidR="004E087F">
        <w:rPr>
          <w:lang w:val="pl-PL"/>
        </w:rPr>
        <w:t>Trybunałowi</w:t>
      </w:r>
      <w:r w:rsidR="00A070A0">
        <w:rPr>
          <w:lang w:val="pl-PL"/>
        </w:rPr>
        <w:t xml:space="preserve"> </w:t>
      </w:r>
      <w:r w:rsidR="004E087F">
        <w:rPr>
          <w:lang w:val="pl-PL"/>
        </w:rPr>
        <w:t>za</w:t>
      </w:r>
      <w:r w:rsidR="00A070A0">
        <w:rPr>
          <w:lang w:val="pl-PL"/>
        </w:rPr>
        <w:t>pytania</w:t>
      </w:r>
      <w:r w:rsidR="00F73A1D">
        <w:rPr>
          <w:lang w:val="pl-PL"/>
        </w:rPr>
        <w:t xml:space="preserve"> o to</w:t>
      </w:r>
      <w:r w:rsidR="00A070A0">
        <w:rPr>
          <w:lang w:val="pl-PL"/>
        </w:rPr>
        <w:t>, czy pozwane Państwo wykonało sw</w:t>
      </w:r>
      <w:r w:rsidR="00D9398A">
        <w:rPr>
          <w:lang w:val="pl-PL"/>
        </w:rPr>
        <w:t>oj</w:t>
      </w:r>
      <w:r w:rsidR="00A070A0">
        <w:rPr>
          <w:lang w:val="pl-PL"/>
        </w:rPr>
        <w:t xml:space="preserve">e zobowiązania </w:t>
      </w:r>
      <w:r w:rsidR="00D9398A">
        <w:rPr>
          <w:lang w:val="pl-PL"/>
        </w:rPr>
        <w:t xml:space="preserve">wynikające </w:t>
      </w:r>
      <w:r w:rsidR="00D76C39">
        <w:rPr>
          <w:lang w:val="pl-PL"/>
        </w:rPr>
        <w:t>z pierwszego wyroku</w:t>
      </w:r>
      <w:r w:rsidR="00A070A0">
        <w:rPr>
          <w:lang w:val="pl-PL"/>
        </w:rPr>
        <w:t xml:space="preserve"> w sprawie </w:t>
      </w:r>
      <w:r w:rsidR="00A070A0">
        <w:rPr>
          <w:i/>
          <w:lang w:val="pl-PL"/>
        </w:rPr>
        <w:t xml:space="preserve">Mammadov. </w:t>
      </w:r>
    </w:p>
    <w:p w:rsidR="00D4643E" w:rsidRPr="00D4643E" w:rsidRDefault="00D4643E">
      <w:pPr>
        <w:pStyle w:val="ClinContent"/>
        <w:rPr>
          <w:lang w:val="pl-PL"/>
        </w:rPr>
      </w:pPr>
      <w:r w:rsidRPr="00D4643E">
        <w:rPr>
          <w:lang w:val="pl-PL"/>
        </w:rPr>
        <w:t>Te ograniczone</w:t>
      </w:r>
      <w:r w:rsidR="00F73A1D">
        <w:rPr>
          <w:lang w:val="pl-PL"/>
        </w:rPr>
        <w:t xml:space="preserve"> działania</w:t>
      </w:r>
      <w:r w:rsidRPr="00D4643E">
        <w:rPr>
          <w:lang w:val="pl-PL"/>
        </w:rPr>
        <w:t xml:space="preserve"> nie pozw</w:t>
      </w:r>
      <w:r w:rsidR="00D9398A">
        <w:rPr>
          <w:lang w:val="pl-PL"/>
        </w:rPr>
        <w:t xml:space="preserve">oliły Trybunałowi </w:t>
      </w:r>
      <w:r w:rsidRPr="00D4643E">
        <w:rPr>
          <w:lang w:val="pl-PL"/>
        </w:rPr>
        <w:t xml:space="preserve">na uznanie, że pozwane Państwo działało w </w:t>
      </w:r>
      <w:r w:rsidR="004E087F">
        <w:rPr>
          <w:lang w:val="pl-PL"/>
        </w:rPr>
        <w:t>„</w:t>
      </w:r>
      <w:r w:rsidRPr="00D4643E">
        <w:rPr>
          <w:lang w:val="pl-PL"/>
        </w:rPr>
        <w:t xml:space="preserve">dobrej wierze” w sposób zgodny z </w:t>
      </w:r>
      <w:r w:rsidR="004E087F">
        <w:rPr>
          <w:lang w:val="pl-PL"/>
        </w:rPr>
        <w:t>„</w:t>
      </w:r>
      <w:r w:rsidRPr="00D4643E">
        <w:rPr>
          <w:lang w:val="pl-PL"/>
        </w:rPr>
        <w:t xml:space="preserve">wnioskami i duchem” pierwszego wyroku w sprawie </w:t>
      </w:r>
      <w:r>
        <w:rPr>
          <w:i/>
          <w:lang w:val="pl-PL"/>
        </w:rPr>
        <w:t xml:space="preserve">Mammadov </w:t>
      </w:r>
      <w:r w:rsidRPr="00D4643E">
        <w:rPr>
          <w:lang w:val="pl-PL"/>
        </w:rPr>
        <w:t>i</w:t>
      </w:r>
      <w:r>
        <w:rPr>
          <w:i/>
          <w:lang w:val="pl-PL"/>
        </w:rPr>
        <w:t xml:space="preserve"> </w:t>
      </w:r>
      <w:r>
        <w:rPr>
          <w:lang w:val="pl-PL"/>
        </w:rPr>
        <w:t xml:space="preserve">w sposób, który zapewniłby praktyczną i skuteczną ochronę praw przyznanych Konwencją, których naruszenie Trybunał stwierdził w tym wyroku. </w:t>
      </w:r>
    </w:p>
    <w:p w:rsidR="004F1449" w:rsidRPr="004F1449" w:rsidRDefault="004F1449">
      <w:pPr>
        <w:pStyle w:val="ClinContent"/>
        <w:rPr>
          <w:i/>
          <w:lang w:val="pl-PL"/>
        </w:rPr>
      </w:pPr>
      <w:r w:rsidRPr="004F1449">
        <w:rPr>
          <w:lang w:val="pl-PL"/>
        </w:rPr>
        <w:t xml:space="preserve">Trybunał uznał, że Azerbejdżan nie wykonał swojego zobowiązania na podstawie art. </w:t>
      </w:r>
      <w:r>
        <w:rPr>
          <w:lang w:val="pl-PL"/>
        </w:rPr>
        <w:t xml:space="preserve">46 ust. 1 do przestrzegania wyroku z dnia 22 maja 2014 r. w sprawie </w:t>
      </w:r>
      <w:r>
        <w:rPr>
          <w:i/>
          <w:lang w:val="pl-PL"/>
        </w:rPr>
        <w:t>Ilgar Mammadov p.</w:t>
      </w:r>
      <w:r w:rsidR="00A16B52">
        <w:rPr>
          <w:i/>
          <w:lang w:val="pl-PL"/>
        </w:rPr>
        <w:t> </w:t>
      </w:r>
      <w:r>
        <w:rPr>
          <w:i/>
          <w:lang w:val="pl-PL"/>
        </w:rPr>
        <w:t xml:space="preserve">Azerbejdżanowi. </w:t>
      </w:r>
    </w:p>
    <w:p w:rsidR="00CD6550" w:rsidRPr="00204FA4" w:rsidRDefault="00CD6550">
      <w:pPr>
        <w:pStyle w:val="ClinContent"/>
        <w:rPr>
          <w:lang w:val="pl-PL"/>
        </w:rPr>
      </w:pPr>
      <w:r w:rsidRPr="00204FA4">
        <w:rPr>
          <w:i/>
          <w:lang w:val="pl-PL"/>
        </w:rPr>
        <w:t xml:space="preserve">Rozstrzygnięcie: </w:t>
      </w:r>
      <w:r w:rsidRPr="00204FA4">
        <w:rPr>
          <w:lang w:val="pl-PL"/>
        </w:rPr>
        <w:t>naruszenie (jednogłośnie).</w:t>
      </w:r>
    </w:p>
    <w:p w:rsidR="003D7999" w:rsidRPr="00204FA4" w:rsidRDefault="003D7999">
      <w:pPr>
        <w:pBdr>
          <w:bottom w:val="single" w:sz="8" w:space="1" w:color="auto"/>
        </w:pBdr>
        <w:rPr>
          <w:lang w:val="pl-PL"/>
        </w:rPr>
      </w:pPr>
    </w:p>
    <w:p w:rsidR="00F4036E" w:rsidRPr="00204FA4" w:rsidRDefault="00F4036E" w:rsidP="00F4036E">
      <w:pPr>
        <w:pStyle w:val="ClinFooter"/>
        <w:rPr>
          <w:lang w:val="pl-PL"/>
        </w:rPr>
      </w:pPr>
      <w:r w:rsidRPr="00204FA4">
        <w:rPr>
          <w:lang w:val="pl-PL"/>
        </w:rPr>
        <w:t>© Council of Europe/European Court of Human Rights</w:t>
      </w:r>
      <w:r w:rsidRPr="00204FA4">
        <w:rPr>
          <w:lang w:val="pl-PL"/>
        </w:rPr>
        <w:br/>
        <w:t xml:space="preserve">Niniejsze streszczenie przygotowane przez Kancelarię nie wiąże Trybunału.  </w:t>
      </w:r>
    </w:p>
    <w:p w:rsidR="003D7999" w:rsidRDefault="00F4036E" w:rsidP="00F4036E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12" w:history="1">
        <w:r>
          <w:rPr>
            <w:rStyle w:val="Hipercze"/>
            <w:lang w:val="pl-PL"/>
          </w:rPr>
          <w:t>Not informacyjnych nt. orzecznictwa</w:t>
        </w:r>
      </w:hyperlink>
    </w:p>
    <w:p w:rsidR="003969FE" w:rsidRPr="00AA05A1" w:rsidRDefault="003969FE" w:rsidP="003969FE">
      <w:pPr>
        <w:pStyle w:val="ClinFooter"/>
        <w:jc w:val="left"/>
        <w:rPr>
          <w:lang w:val="pl-PL"/>
        </w:rPr>
      </w:pPr>
    </w:p>
    <w:sectPr w:rsidR="003969FE" w:rsidRPr="00AA05A1" w:rsidSect="004A5B5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8DA" w:rsidRDefault="00A908DA" w:rsidP="00C63262">
      <w:r>
        <w:separator/>
      </w:r>
    </w:p>
  </w:endnote>
  <w:endnote w:type="continuationSeparator" w:id="0">
    <w:p w:rsidR="00A908DA" w:rsidRDefault="00A908DA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70F" w:rsidRDefault="00EB77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70F" w:rsidRDefault="00EB770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8DA" w:rsidRDefault="00A908DA" w:rsidP="00C63262">
      <w:r>
        <w:separator/>
      </w:r>
    </w:p>
  </w:footnote>
  <w:footnote w:type="continuationSeparator" w:id="0">
    <w:p w:rsidR="00A908DA" w:rsidRDefault="00A908DA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70F" w:rsidRDefault="00EB77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482443">
          <w:rPr>
            <w:noProof/>
          </w:rPr>
          <w:t>4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21927"/>
    <w:rsid w:val="00037CCC"/>
    <w:rsid w:val="00097888"/>
    <w:rsid w:val="000F13B5"/>
    <w:rsid w:val="00107377"/>
    <w:rsid w:val="00143602"/>
    <w:rsid w:val="001769E4"/>
    <w:rsid w:val="00186560"/>
    <w:rsid w:val="00192D4F"/>
    <w:rsid w:val="001953FC"/>
    <w:rsid w:val="00204FA4"/>
    <w:rsid w:val="00212E83"/>
    <w:rsid w:val="00254444"/>
    <w:rsid w:val="002603EF"/>
    <w:rsid w:val="002966E7"/>
    <w:rsid w:val="002E088D"/>
    <w:rsid w:val="0030264F"/>
    <w:rsid w:val="003450B3"/>
    <w:rsid w:val="00386958"/>
    <w:rsid w:val="003969FE"/>
    <w:rsid w:val="003A4CAB"/>
    <w:rsid w:val="003A64A6"/>
    <w:rsid w:val="003D7999"/>
    <w:rsid w:val="003D7BB3"/>
    <w:rsid w:val="0042517A"/>
    <w:rsid w:val="0046453F"/>
    <w:rsid w:val="00482443"/>
    <w:rsid w:val="004A5B52"/>
    <w:rsid w:val="004D568D"/>
    <w:rsid w:val="004D5BDD"/>
    <w:rsid w:val="004E087F"/>
    <w:rsid w:val="004E1037"/>
    <w:rsid w:val="004F1449"/>
    <w:rsid w:val="00504315"/>
    <w:rsid w:val="0052092D"/>
    <w:rsid w:val="00540D75"/>
    <w:rsid w:val="005514E5"/>
    <w:rsid w:val="005A1ADC"/>
    <w:rsid w:val="005B3E58"/>
    <w:rsid w:val="006028A1"/>
    <w:rsid w:val="00631A28"/>
    <w:rsid w:val="006406F3"/>
    <w:rsid w:val="00662DC7"/>
    <w:rsid w:val="00673A24"/>
    <w:rsid w:val="006A36AD"/>
    <w:rsid w:val="006C1D96"/>
    <w:rsid w:val="0071773F"/>
    <w:rsid w:val="00774515"/>
    <w:rsid w:val="007A26D6"/>
    <w:rsid w:val="007B2E26"/>
    <w:rsid w:val="007D67D2"/>
    <w:rsid w:val="00895EF3"/>
    <w:rsid w:val="008C64D5"/>
    <w:rsid w:val="00903D38"/>
    <w:rsid w:val="00947171"/>
    <w:rsid w:val="0098677C"/>
    <w:rsid w:val="009B056C"/>
    <w:rsid w:val="009B3B2C"/>
    <w:rsid w:val="009E3EF0"/>
    <w:rsid w:val="00A01052"/>
    <w:rsid w:val="00A04D9C"/>
    <w:rsid w:val="00A070A0"/>
    <w:rsid w:val="00A16B52"/>
    <w:rsid w:val="00A258BB"/>
    <w:rsid w:val="00A33541"/>
    <w:rsid w:val="00A45616"/>
    <w:rsid w:val="00A67FE8"/>
    <w:rsid w:val="00A908DA"/>
    <w:rsid w:val="00AA05A1"/>
    <w:rsid w:val="00AA14EA"/>
    <w:rsid w:val="00AC7726"/>
    <w:rsid w:val="00B743ED"/>
    <w:rsid w:val="00B80CA0"/>
    <w:rsid w:val="00B85770"/>
    <w:rsid w:val="00BC390E"/>
    <w:rsid w:val="00BF1CD9"/>
    <w:rsid w:val="00C07152"/>
    <w:rsid w:val="00C37433"/>
    <w:rsid w:val="00C63262"/>
    <w:rsid w:val="00C72355"/>
    <w:rsid w:val="00C93CFB"/>
    <w:rsid w:val="00CB0E64"/>
    <w:rsid w:val="00CC1BC6"/>
    <w:rsid w:val="00CD6550"/>
    <w:rsid w:val="00CD7630"/>
    <w:rsid w:val="00CF7BA6"/>
    <w:rsid w:val="00D42086"/>
    <w:rsid w:val="00D425B3"/>
    <w:rsid w:val="00D4643E"/>
    <w:rsid w:val="00D70467"/>
    <w:rsid w:val="00D71063"/>
    <w:rsid w:val="00D72F6D"/>
    <w:rsid w:val="00D76C39"/>
    <w:rsid w:val="00D9398A"/>
    <w:rsid w:val="00D939E8"/>
    <w:rsid w:val="00E129C5"/>
    <w:rsid w:val="00E21E61"/>
    <w:rsid w:val="00E55491"/>
    <w:rsid w:val="00E651B2"/>
    <w:rsid w:val="00E7358D"/>
    <w:rsid w:val="00E83DB6"/>
    <w:rsid w:val="00EA173C"/>
    <w:rsid w:val="00EA53E7"/>
    <w:rsid w:val="00EB5EC9"/>
    <w:rsid w:val="00EB770F"/>
    <w:rsid w:val="00EC623F"/>
    <w:rsid w:val="00ED5828"/>
    <w:rsid w:val="00EF2D7E"/>
    <w:rsid w:val="00F4036E"/>
    <w:rsid w:val="00F508C9"/>
    <w:rsid w:val="00F50CCD"/>
    <w:rsid w:val="00F5247C"/>
    <w:rsid w:val="00F73A1D"/>
    <w:rsid w:val="00FA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EC623F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EC62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EC623F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EC62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9462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gov.pl/web/dyplomacja" TargetMode="External"/><Relationship Id="rId12" Type="http://schemas.openxmlformats.org/officeDocument/2006/relationships/hyperlink" Target="http://www.echr.coe.int/NoteInformation/en" TargetMode="External"/><Relationship Id="rId17" Type="http://schemas.openxmlformats.org/officeDocument/2006/relationships/header" Target="header3.xml"/><Relationship Id="rId2" Type="http://schemas.microsoft.com/office/2007/relationships/stylesWithEffects" Target="stylesWithEffect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search.coe.int/cm/Pages/result_details.aspx?ObjectId=090000168076f1fd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coe.int/en/web/c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hudoc.echr.coe.int/eng?i=001-178631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1639</Words>
  <Characters>9840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2020-07-28T12:47:00Z</dcterms:created>
  <dcterms:modified xsi:type="dcterms:W3CDTF">2020-07-31T16:24:00Z</dcterms:modified>
</cp:coreProperties>
</file>