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2C0" w:rsidRDefault="005A52C0" w:rsidP="003B135D">
      <w:pPr>
        <w:jc w:val="center"/>
      </w:pPr>
      <w:r>
        <w:rPr>
          <w:rStyle w:val="s4f807e54"/>
          <w:rFonts w:ascii="Arial" w:hAnsi="Arial" w:cs="Arial"/>
          <w:sz w:val="18"/>
          <w:szCs w:val="18"/>
        </w:rPr>
        <w:t>© Copyright for the Polish translation by Naczelny Sąd Administracyjny, Warszawa 2020</w:t>
      </w:r>
    </w:p>
    <w:p w:rsidR="005A52C0" w:rsidRPr="008C7998" w:rsidRDefault="005A52C0" w:rsidP="00B05B8E">
      <w:pPr>
        <w:jc w:val="center"/>
      </w:pPr>
    </w:p>
    <w:p w:rsidR="005A52C0" w:rsidRPr="008C7998" w:rsidRDefault="005A52C0" w:rsidP="00B05B8E">
      <w:pPr>
        <w:jc w:val="center"/>
      </w:pPr>
      <w:r w:rsidRPr="008C7998">
        <w:t>EUROPEJSKI TRYBUNAŁ PRAW CZŁOWIEKA</w:t>
      </w: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tabs>
          <w:tab w:val="left" w:pos="5529"/>
        </w:tabs>
        <w:jc w:val="center"/>
      </w:pPr>
      <w:r>
        <w:t>WIELKA IZBA</w:t>
      </w: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rPr>
          <w:b/>
          <w:bCs/>
        </w:rPr>
      </w:pPr>
      <w:bookmarkStart w:id="0" w:name="To"/>
      <w:r>
        <w:rPr>
          <w:b/>
          <w:bCs/>
        </w:rPr>
        <w:t>SPRAWA DENISOV</w:t>
      </w:r>
      <w:bookmarkEnd w:id="0"/>
      <w:r>
        <w:rPr>
          <w:b/>
          <w:bCs/>
        </w:rPr>
        <w:t xml:space="preserve"> PRZECIWKO UKRAINIE</w:t>
      </w:r>
    </w:p>
    <w:p w:rsidR="005A52C0" w:rsidRPr="00FF2363" w:rsidRDefault="005A52C0" w:rsidP="00FF2363">
      <w:pPr>
        <w:jc w:val="center"/>
      </w:pPr>
    </w:p>
    <w:p w:rsidR="005A52C0" w:rsidRPr="00FF2363" w:rsidRDefault="005A52C0" w:rsidP="00FF2363">
      <w:pPr>
        <w:jc w:val="center"/>
        <w:rPr>
          <w:i/>
          <w:iCs/>
        </w:rPr>
      </w:pPr>
      <w:r>
        <w:rPr>
          <w:i/>
          <w:iCs/>
        </w:rPr>
        <w:t>(Skarga nr</w:t>
      </w:r>
      <w:r w:rsidR="0027376A">
        <w:rPr>
          <w:i/>
          <w:iCs/>
        </w:rPr>
        <w:t xml:space="preserve"> </w:t>
      </w:r>
      <w:r>
        <w:rPr>
          <w:i/>
          <w:iCs/>
        </w:rPr>
        <w:t>76639/11)</w:t>
      </w: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Default="005A52C0" w:rsidP="00FF2363">
      <w:pPr>
        <w:jc w:val="center"/>
      </w:pPr>
      <w:r>
        <w:t>WYROK</w:t>
      </w:r>
    </w:p>
    <w:p w:rsidR="00DD0989" w:rsidRPr="00FF2363" w:rsidRDefault="00DD0989" w:rsidP="00FF2363">
      <w:pPr>
        <w:jc w:val="center"/>
      </w:pPr>
      <w:r>
        <w:t>[wyciąg]</w:t>
      </w:r>
      <w:bookmarkStart w:id="1" w:name="_GoBack"/>
      <w:bookmarkEnd w:id="1"/>
    </w:p>
    <w:p w:rsidR="005A52C0" w:rsidRPr="00FF2363" w:rsidRDefault="005A52C0" w:rsidP="00FF2363">
      <w:pPr>
        <w:jc w:val="center"/>
        <w:rPr>
          <w:i/>
          <w:iCs/>
        </w:rPr>
      </w:pPr>
    </w:p>
    <w:p w:rsidR="005A52C0" w:rsidRPr="00FF2363" w:rsidRDefault="005A52C0" w:rsidP="00FF2363">
      <w:pPr>
        <w:jc w:val="center"/>
      </w:pPr>
    </w:p>
    <w:p w:rsidR="005A52C0" w:rsidRPr="00FF2363" w:rsidRDefault="005A52C0" w:rsidP="00FF2363">
      <w:pPr>
        <w:jc w:val="center"/>
      </w:pPr>
      <w:r>
        <w:t>STRASBURG</w:t>
      </w:r>
    </w:p>
    <w:p w:rsidR="005A52C0" w:rsidRPr="00FF2363" w:rsidRDefault="005A52C0" w:rsidP="00FF2363">
      <w:pPr>
        <w:jc w:val="center"/>
      </w:pPr>
    </w:p>
    <w:p w:rsidR="005A52C0" w:rsidRPr="00FF2363" w:rsidRDefault="005A52C0" w:rsidP="00FF2363">
      <w:pPr>
        <w:jc w:val="center"/>
      </w:pPr>
      <w:r>
        <w:t>25 września 2018</w:t>
      </w:r>
      <w:r w:rsidR="0027376A">
        <w:t xml:space="preserve"> </w:t>
      </w:r>
      <w:r>
        <w:t>r.</w:t>
      </w: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FF2363">
      <w:pPr>
        <w:jc w:val="center"/>
      </w:pPr>
    </w:p>
    <w:p w:rsidR="005A52C0" w:rsidRPr="00FF2363" w:rsidRDefault="005A52C0" w:rsidP="00600077">
      <w:pPr>
        <w:jc w:val="center"/>
        <w:rPr>
          <w:i/>
          <w:iCs/>
          <w:sz w:val="22"/>
          <w:szCs w:val="22"/>
        </w:rPr>
      </w:pPr>
      <w:r>
        <w:rPr>
          <w:i/>
          <w:iCs/>
          <w:sz w:val="22"/>
          <w:szCs w:val="22"/>
        </w:rPr>
        <w:t>Wyrok może podlegać korekcie wydawniczej.</w:t>
      </w:r>
    </w:p>
    <w:p w:rsidR="005A52C0" w:rsidRPr="00FF2363" w:rsidRDefault="005A52C0" w:rsidP="00FF2363">
      <w:pPr>
        <w:rPr>
          <w:sz w:val="22"/>
          <w:szCs w:val="22"/>
        </w:rPr>
      </w:pPr>
    </w:p>
    <w:p w:rsidR="005A52C0" w:rsidRPr="00FF2363" w:rsidRDefault="005A52C0" w:rsidP="00FF2363">
      <w:pPr>
        <w:rPr>
          <w:sz w:val="22"/>
          <w:szCs w:val="22"/>
        </w:rPr>
        <w:sectPr w:rsidR="005A52C0" w:rsidRPr="00FF2363" w:rsidSect="00D315BF">
          <w:headerReference w:type="default" r:id="rId8"/>
          <w:footerReference w:type="default" r:id="rId9"/>
          <w:footnotePr>
            <w:numRestart w:val="eachSect"/>
          </w:footnotePr>
          <w:pgSz w:w="11906" w:h="16838" w:code="9"/>
          <w:pgMar w:top="2274" w:right="2274" w:bottom="2274" w:left="2274" w:header="1701" w:footer="708" w:gutter="0"/>
          <w:pgNumType w:start="1"/>
          <w:cols w:space="708"/>
          <w:noEndnote/>
        </w:sectPr>
      </w:pPr>
    </w:p>
    <w:p w:rsidR="005A52C0" w:rsidRPr="00FF2363" w:rsidRDefault="005A52C0" w:rsidP="00FF2363">
      <w:pPr>
        <w:pStyle w:val="JuCase"/>
      </w:pPr>
      <w:r>
        <w:lastRenderedPageBreak/>
        <w:t>W sprawie Denisov przeciwko Ukrainie</w:t>
      </w:r>
    </w:p>
    <w:p w:rsidR="005A52C0" w:rsidRPr="00FF2363" w:rsidRDefault="005A52C0" w:rsidP="00FF2363">
      <w:pPr>
        <w:pStyle w:val="ECHRPara"/>
      </w:pPr>
      <w:r>
        <w:t>Europejski Trybunał Praw Człowieka, zasiadając jako Wielka Izba w</w:t>
      </w:r>
      <w:r w:rsidR="00AD58B2">
        <w:t> </w:t>
      </w:r>
      <w:r>
        <w:t>składzie:</w:t>
      </w:r>
    </w:p>
    <w:p w:rsidR="005A52C0" w:rsidRPr="00FF2363" w:rsidRDefault="005A52C0" w:rsidP="00FF2363">
      <w:pPr>
        <w:pStyle w:val="ECHRDecisionBody"/>
      </w:pPr>
      <w:r>
        <w:tab/>
        <w:t>Guido Raimondi,</w:t>
      </w:r>
      <w:r w:rsidR="0027376A">
        <w:rPr>
          <w:i/>
          <w:iCs/>
        </w:rPr>
        <w:t xml:space="preserve"> Przewodniczący,</w:t>
      </w:r>
      <w:r>
        <w:rPr>
          <w:i/>
          <w:iCs/>
        </w:rPr>
        <w:br/>
      </w:r>
      <w:r>
        <w:tab/>
        <w:t>Angelika Nußberger,</w:t>
      </w:r>
      <w:r>
        <w:rPr>
          <w:i/>
          <w:iCs/>
        </w:rPr>
        <w:br/>
      </w:r>
      <w:r>
        <w:tab/>
        <w:t>Linos-Alexandre Sicilianos,</w:t>
      </w:r>
      <w:r>
        <w:rPr>
          <w:i/>
          <w:iCs/>
        </w:rPr>
        <w:br/>
      </w:r>
      <w:r>
        <w:tab/>
        <w:t>Ganna Yudkivska,</w:t>
      </w:r>
      <w:r>
        <w:rPr>
          <w:i/>
          <w:iCs/>
        </w:rPr>
        <w:br/>
      </w:r>
      <w:r>
        <w:tab/>
        <w:t>Helena Jäderblom,</w:t>
      </w:r>
      <w:r>
        <w:rPr>
          <w:i/>
          <w:iCs/>
        </w:rPr>
        <w:br/>
      </w:r>
      <w:r>
        <w:tab/>
        <w:t>Robert Spano,</w:t>
      </w:r>
      <w:r>
        <w:rPr>
          <w:i/>
          <w:iCs/>
        </w:rPr>
        <w:br/>
      </w:r>
      <w:r>
        <w:tab/>
        <w:t>Vincent A. De Gaetano,</w:t>
      </w:r>
      <w:r>
        <w:rPr>
          <w:i/>
          <w:iCs/>
        </w:rPr>
        <w:br/>
      </w:r>
      <w:r>
        <w:tab/>
        <w:t>Erik Møse,</w:t>
      </w:r>
      <w:r>
        <w:rPr>
          <w:i/>
          <w:iCs/>
        </w:rPr>
        <w:br/>
      </w:r>
      <w:r>
        <w:tab/>
        <w:t>André Potocki,</w:t>
      </w:r>
      <w:r>
        <w:rPr>
          <w:i/>
          <w:iCs/>
        </w:rPr>
        <w:br/>
      </w:r>
      <w:r>
        <w:tab/>
        <w:t>Yonko Grozev,</w:t>
      </w:r>
      <w:r>
        <w:rPr>
          <w:i/>
          <w:iCs/>
        </w:rPr>
        <w:br/>
      </w:r>
      <w:r>
        <w:tab/>
        <w:t>Carlo Ranzoni,</w:t>
      </w:r>
      <w:r>
        <w:rPr>
          <w:i/>
          <w:iCs/>
        </w:rPr>
        <w:br/>
      </w:r>
      <w:r>
        <w:tab/>
        <w:t>Mārtiņš Mits,</w:t>
      </w:r>
      <w:r>
        <w:rPr>
          <w:i/>
          <w:iCs/>
        </w:rPr>
        <w:br/>
      </w:r>
      <w:r>
        <w:tab/>
        <w:t>Gabriele Kucsko-Stadlmayer,</w:t>
      </w:r>
      <w:r>
        <w:rPr>
          <w:i/>
          <w:iCs/>
        </w:rPr>
        <w:br/>
      </w:r>
      <w:r>
        <w:tab/>
        <w:t>Alena Poláčková,</w:t>
      </w:r>
      <w:r>
        <w:rPr>
          <w:i/>
          <w:iCs/>
        </w:rPr>
        <w:br/>
      </w:r>
      <w:r>
        <w:tab/>
        <w:t>Georgios A. Serghides,</w:t>
      </w:r>
      <w:r>
        <w:rPr>
          <w:i/>
          <w:iCs/>
        </w:rPr>
        <w:br/>
      </w:r>
      <w:r>
        <w:tab/>
        <w:t>Marko Bošnjak,</w:t>
      </w:r>
      <w:r>
        <w:rPr>
          <w:i/>
          <w:iCs/>
        </w:rPr>
        <w:br/>
      </w:r>
      <w:r>
        <w:tab/>
        <w:t>Péter Paczolay,</w:t>
      </w:r>
      <w:r>
        <w:rPr>
          <w:i/>
          <w:iCs/>
        </w:rPr>
        <w:t xml:space="preserve"> sędziowie,</w:t>
      </w:r>
      <w:r>
        <w:rPr>
          <w:i/>
          <w:iCs/>
        </w:rPr>
        <w:br/>
      </w:r>
      <w:r>
        <w:t xml:space="preserve">oraz Françoise Elens-Passos, </w:t>
      </w:r>
      <w:r>
        <w:rPr>
          <w:i/>
          <w:iCs/>
        </w:rPr>
        <w:t>zastępca Kanclerza,</w:t>
      </w:r>
    </w:p>
    <w:p w:rsidR="005A52C0" w:rsidRPr="00FF2363" w:rsidRDefault="00043509" w:rsidP="00FF2363">
      <w:pPr>
        <w:pStyle w:val="ECHRPara"/>
      </w:pPr>
      <w:r>
        <w:t>po obradach</w:t>
      </w:r>
      <w:r w:rsidR="005A52C0">
        <w:t xml:space="preserve"> na posiedzeniu niejawnym w dniach</w:t>
      </w:r>
      <w:r w:rsidR="0027376A">
        <w:t xml:space="preserve"> </w:t>
      </w:r>
      <w:r w:rsidR="005A52C0">
        <w:t>18 października 2017</w:t>
      </w:r>
      <w:r w:rsidR="0027376A">
        <w:t xml:space="preserve"> </w:t>
      </w:r>
      <w:r w:rsidR="005A52C0">
        <w:t>r. i</w:t>
      </w:r>
      <w:r w:rsidR="0027376A">
        <w:t xml:space="preserve"> </w:t>
      </w:r>
      <w:r w:rsidR="005A52C0">
        <w:t>13 czerwca 2018</w:t>
      </w:r>
      <w:r w:rsidR="0027376A">
        <w:t xml:space="preserve"> </w:t>
      </w:r>
      <w:r w:rsidR="005A52C0">
        <w:t>r.,</w:t>
      </w:r>
    </w:p>
    <w:p w:rsidR="005A52C0" w:rsidRPr="00FF2363" w:rsidRDefault="005A52C0" w:rsidP="00FF2363">
      <w:pPr>
        <w:pStyle w:val="ECHRPara"/>
      </w:pPr>
      <w:r>
        <w:t>wydaje następujący wyrok, który w tym dniu został przyjęty:</w:t>
      </w:r>
    </w:p>
    <w:p w:rsidR="005A52C0" w:rsidRPr="009B6F67" w:rsidRDefault="005A52C0" w:rsidP="00FF2363">
      <w:pPr>
        <w:pStyle w:val="ECHRTitle1"/>
      </w:pPr>
      <w:r w:rsidRPr="009B6F67">
        <w:t>POSTĘPOWANIE</w:t>
      </w:r>
    </w:p>
    <w:p w:rsidR="005A52C0" w:rsidRPr="009B6F67" w:rsidRDefault="005A52C0" w:rsidP="009B6F67">
      <w:pPr>
        <w:pStyle w:val="ECHRPara"/>
        <w:rPr>
          <w:i/>
          <w:iCs/>
        </w:rPr>
      </w:pPr>
      <w:r w:rsidRPr="009B6F67">
        <w:rPr>
          <w:i/>
          <w:iCs/>
        </w:rPr>
        <w:t>[Paragrafy</w:t>
      </w:r>
      <w:r w:rsidR="0027376A">
        <w:rPr>
          <w:i/>
          <w:iCs/>
        </w:rPr>
        <w:t xml:space="preserve"> </w:t>
      </w:r>
      <w:r w:rsidRPr="009B6F67">
        <w:rPr>
          <w:i/>
          <w:iCs/>
        </w:rPr>
        <w:t>1-9 wyroku pominięto]</w:t>
      </w:r>
    </w:p>
    <w:p w:rsidR="005A52C0" w:rsidRPr="009B6F67" w:rsidRDefault="005A52C0" w:rsidP="00FF2363">
      <w:pPr>
        <w:pStyle w:val="ECHRTitle1"/>
      </w:pPr>
      <w:r w:rsidRPr="009B6F67">
        <w:t>FAKTY</w:t>
      </w:r>
    </w:p>
    <w:p w:rsidR="005A52C0" w:rsidRPr="009B6F67" w:rsidRDefault="005A52C0" w:rsidP="003B4AC8">
      <w:pPr>
        <w:pStyle w:val="ECHRPara"/>
        <w:ind w:firstLine="0"/>
        <w:rPr>
          <w:i/>
          <w:iCs/>
        </w:rPr>
      </w:pPr>
      <w:r w:rsidRPr="009B6F67">
        <w:rPr>
          <w:i/>
          <w:iCs/>
        </w:rPr>
        <w:t>[Paragrafy 10 - 37 wyroku pominięte i zastąpione tłumaczeniem poniższego streszczenia przygotowanego przez Kancelarię Europejskiego Trybunału Praw Człowieka</w:t>
      </w:r>
    </w:p>
    <w:p w:rsidR="005A52C0" w:rsidRPr="009B6F67" w:rsidRDefault="005A52C0" w:rsidP="003B4AC8">
      <w:pPr>
        <w:pStyle w:val="ECHRPara"/>
        <w:rPr>
          <w:i/>
          <w:iCs/>
          <w:u w:val="single"/>
        </w:rPr>
      </w:pPr>
    </w:p>
    <w:p w:rsidR="005A52C0" w:rsidRDefault="005A52C0" w:rsidP="008C7998">
      <w:pPr>
        <w:pStyle w:val="ECHRPara"/>
        <w:ind w:firstLine="0"/>
        <w:rPr>
          <w:u w:val="single"/>
        </w:rPr>
      </w:pPr>
      <w:r w:rsidRPr="009B6F67">
        <w:rPr>
          <w:i/>
          <w:iCs/>
          <w:u w:val="single"/>
        </w:rPr>
        <w:t>Streszczenie stanu faktycznego</w:t>
      </w:r>
      <w:r w:rsidRPr="009B6F67">
        <w:rPr>
          <w:rStyle w:val="Odwoanieprzypisudolnego"/>
          <w:u w:val="single"/>
        </w:rPr>
        <w:footnoteReference w:id="1"/>
      </w:r>
      <w:r w:rsidRPr="009B6F67">
        <w:rPr>
          <w:u w:val="single"/>
        </w:rPr>
        <w:t>:</w:t>
      </w:r>
    </w:p>
    <w:p w:rsidR="005A52C0" w:rsidRPr="00E430F4" w:rsidRDefault="005A52C0" w:rsidP="008C7998">
      <w:pPr>
        <w:pStyle w:val="ECHRPara"/>
      </w:pPr>
      <w:r>
        <w:lastRenderedPageBreak/>
        <w:t>Skarżący został odwołany ze stanowiska prezesa Apelacyjnego Sądu Administracyjnego w Kijowie z uwagi na brak właściwego wykonywania swych obowiązków administracyjnych. Pozostał sędzią tego sądu. Zarzucił, między innymi, że</w:t>
      </w:r>
      <w:r w:rsidR="0027376A">
        <w:t xml:space="preserve"> </w:t>
      </w:r>
      <w:r>
        <w:t>jego odwołanie stanowiło bezprawną i nieproporcjonalną ingerencję w jego życie prywatne z naruszeniem art. 8 Konwencji</w:t>
      </w:r>
      <w:r w:rsidR="000D5B2D">
        <w:t xml:space="preserve"> (o</w:t>
      </w:r>
      <w:r w:rsidR="00AD58B2">
        <w:t> </w:t>
      </w:r>
      <w:r w:rsidR="000D5B2D">
        <w:t>ochronie praw człowieka i podstawowych wolności)</w:t>
      </w:r>
      <w:r>
        <w:rPr>
          <w:color w:val="000000"/>
        </w:rPr>
        <w:t>]</w:t>
      </w:r>
      <w:r w:rsidR="000D5B2D">
        <w:rPr>
          <w:color w:val="000000"/>
        </w:rPr>
        <w:t>.</w:t>
      </w:r>
    </w:p>
    <w:p w:rsidR="005A52C0" w:rsidRPr="00FF2363" w:rsidRDefault="005A52C0" w:rsidP="00FF2363">
      <w:pPr>
        <w:pStyle w:val="ECHRTitle1"/>
      </w:pPr>
      <w:r>
        <w:t>PRAWO</w:t>
      </w:r>
    </w:p>
    <w:p w:rsidR="005A52C0" w:rsidRPr="00FF2363" w:rsidRDefault="005A52C0" w:rsidP="00FF2363">
      <w:pPr>
        <w:pStyle w:val="ECHRHeading1"/>
      </w:pPr>
      <w:r>
        <w:t>I.</w:t>
      </w:r>
      <w:r w:rsidR="0027376A">
        <w:t xml:space="preserve"> </w:t>
      </w:r>
      <w:r>
        <w:t>ZARZUCANE NARUSZENIE ART.</w:t>
      </w:r>
      <w:r w:rsidR="0027376A">
        <w:t xml:space="preserve"> </w:t>
      </w:r>
      <w:r>
        <w:t>6 UST.</w:t>
      </w:r>
      <w:r w:rsidR="0027376A">
        <w:t xml:space="preserve"> </w:t>
      </w:r>
      <w:r>
        <w:t>1 KONWENCJI W</w:t>
      </w:r>
      <w:r w:rsidR="00AD58B2">
        <w:t> </w:t>
      </w:r>
      <w:r>
        <w:t>ZWIĄZKU Z ZASADAMI NIEZAWISŁOŚCI I</w:t>
      </w:r>
      <w:r w:rsidR="0027376A">
        <w:t xml:space="preserve"> </w:t>
      </w:r>
      <w:r>
        <w:t>BEZSTRONNOŚCI SĄDU</w:t>
      </w:r>
    </w:p>
    <w:p w:rsidR="005A52C0" w:rsidRPr="00FF2363" w:rsidRDefault="005A52C0" w:rsidP="00FF2363">
      <w:pPr>
        <w:pStyle w:val="ECHRPara"/>
      </w:pPr>
      <w:r w:rsidRPr="00FF2363">
        <w:rPr>
          <w:noProof/>
        </w:rPr>
        <w:t>38</w:t>
      </w:r>
      <w:r>
        <w:t>.</w:t>
      </w:r>
      <w:r w:rsidR="0027376A">
        <w:t xml:space="preserve"> </w:t>
      </w:r>
      <w:r>
        <w:t>Na podstawie art.</w:t>
      </w:r>
      <w:r w:rsidR="0027376A">
        <w:t xml:space="preserve"> </w:t>
      </w:r>
      <w:r>
        <w:t>6 ust.</w:t>
      </w:r>
      <w:r w:rsidR="0027376A">
        <w:t xml:space="preserve"> </w:t>
      </w:r>
      <w:r>
        <w:t>1 Konwencji skarżący zarzucił, że</w:t>
      </w:r>
      <w:r w:rsidR="00AD58B2">
        <w:t> </w:t>
      </w:r>
      <w:r>
        <w:t xml:space="preserve">postępowanie przed </w:t>
      </w:r>
      <w:r w:rsidR="00F6365F">
        <w:t>Naczelną Radą Sądownictwa (</w:t>
      </w:r>
      <w:r>
        <w:t>NRS</w:t>
      </w:r>
      <w:r w:rsidR="00F6365F">
        <w:t>)</w:t>
      </w:r>
      <w:r>
        <w:t xml:space="preserve"> i</w:t>
      </w:r>
      <w:r w:rsidR="00F6365F">
        <w:t xml:space="preserve"> Naczelnym Sądem Administracyjnym</w:t>
      </w:r>
      <w:r w:rsidR="0027376A">
        <w:t xml:space="preserve"> </w:t>
      </w:r>
      <w:r w:rsidR="00F6365F">
        <w:t>(</w:t>
      </w:r>
      <w:r>
        <w:t>NSA</w:t>
      </w:r>
      <w:r w:rsidR="00F6365F">
        <w:t>)</w:t>
      </w:r>
      <w:r>
        <w:t xml:space="preserve"> w</w:t>
      </w:r>
      <w:r w:rsidR="0027376A">
        <w:t xml:space="preserve"> </w:t>
      </w:r>
      <w:r>
        <w:t>przedmiocie odwołania go ze</w:t>
      </w:r>
      <w:r w:rsidR="00AD58B2">
        <w:t> </w:t>
      </w:r>
      <w:r>
        <w:t>stanowiska prezesa Apelacyjnego Sądu Administracyjnego w</w:t>
      </w:r>
      <w:r w:rsidR="0027376A">
        <w:t xml:space="preserve"> </w:t>
      </w:r>
      <w:r>
        <w:t>Kijowie nie było zgodne z</w:t>
      </w:r>
      <w:r w:rsidR="0027376A">
        <w:t xml:space="preserve"> </w:t>
      </w:r>
      <w:r>
        <w:t>wymogami niezawisłości i</w:t>
      </w:r>
      <w:r w:rsidR="0027376A">
        <w:t xml:space="preserve"> </w:t>
      </w:r>
      <w:r>
        <w:t>bezstronności. Skarżył się ponadto, że NSA nie dokonał należytej kontroli jego sprawy, naruszając tym samym należne skarżącemu prawo dostępu do sądu.</w:t>
      </w:r>
    </w:p>
    <w:p w:rsidR="005A52C0" w:rsidRPr="00FF2363" w:rsidRDefault="005A52C0" w:rsidP="00FF2363">
      <w:pPr>
        <w:pStyle w:val="ECHRPara"/>
      </w:pPr>
      <w:r w:rsidRPr="00FF2363">
        <w:rPr>
          <w:noProof/>
        </w:rPr>
        <w:t>39</w:t>
      </w:r>
      <w:r>
        <w:t>.</w:t>
      </w:r>
      <w:r w:rsidR="0027376A">
        <w:t xml:space="preserve"> </w:t>
      </w:r>
      <w:r>
        <w:t xml:space="preserve">Istotna </w:t>
      </w:r>
      <w:r w:rsidR="008C7998">
        <w:t>dla</w:t>
      </w:r>
      <w:r w:rsidR="00F6365F">
        <w:t xml:space="preserve"> spraw</w:t>
      </w:r>
      <w:r w:rsidR="008C7998">
        <w:t>y</w:t>
      </w:r>
      <w:r w:rsidR="00F6365F">
        <w:t xml:space="preserve"> </w:t>
      </w:r>
      <w:r>
        <w:t>część art.</w:t>
      </w:r>
      <w:r w:rsidR="0027376A">
        <w:t xml:space="preserve"> </w:t>
      </w:r>
      <w:r>
        <w:t>6 ust.</w:t>
      </w:r>
      <w:r w:rsidR="0027376A">
        <w:t xml:space="preserve"> </w:t>
      </w:r>
      <w:r>
        <w:t>1 Konwencji stanowi:</w:t>
      </w:r>
    </w:p>
    <w:p w:rsidR="005A52C0" w:rsidRPr="00FF2363" w:rsidRDefault="005A52C0" w:rsidP="00FF2363">
      <w:pPr>
        <w:pStyle w:val="JuQuotSub"/>
      </w:pPr>
      <w:r>
        <w:t>„Każdy ma prawo do sprawiedliwego [...] rozpatrzenia jego sprawy [...] przez niezawisły i</w:t>
      </w:r>
      <w:r w:rsidR="0027376A">
        <w:t xml:space="preserve"> </w:t>
      </w:r>
      <w:r>
        <w:t>bezstronny sąd ustanowiony ustawą przy rozstrzyganiu o</w:t>
      </w:r>
      <w:r w:rsidR="0027376A">
        <w:t xml:space="preserve"> </w:t>
      </w:r>
      <w:r>
        <w:t>jego prawach i</w:t>
      </w:r>
      <w:r w:rsidR="0027376A">
        <w:t xml:space="preserve"> </w:t>
      </w:r>
      <w:r>
        <w:t>obowiązkach o charakterze cywilnym albo o</w:t>
      </w:r>
      <w:r w:rsidR="0027376A">
        <w:t xml:space="preserve"> </w:t>
      </w:r>
      <w:r>
        <w:t>zasadności każdego oskarżenia w</w:t>
      </w:r>
      <w:r w:rsidR="00AD58B2">
        <w:t> </w:t>
      </w:r>
      <w:r>
        <w:t>wytoczonej przeciwko niemu sprawie karnej”.</w:t>
      </w:r>
    </w:p>
    <w:p w:rsidR="005A52C0" w:rsidRPr="00FF2363" w:rsidRDefault="005A52C0" w:rsidP="00FF2363">
      <w:pPr>
        <w:pStyle w:val="ECHRHeading2"/>
      </w:pPr>
      <w:r>
        <w:t>A.</w:t>
      </w:r>
      <w:r w:rsidR="0027376A">
        <w:t xml:space="preserve"> </w:t>
      </w:r>
      <w:r>
        <w:t>Dopuszczalność</w:t>
      </w:r>
    </w:p>
    <w:p w:rsidR="005A52C0" w:rsidRPr="00FF2363" w:rsidRDefault="005A52C0" w:rsidP="00FF2363">
      <w:pPr>
        <w:pStyle w:val="ECHRHeading3"/>
      </w:pPr>
      <w:r>
        <w:t>1.</w:t>
      </w:r>
      <w:r w:rsidR="0027376A">
        <w:t xml:space="preserve"> </w:t>
      </w:r>
      <w:r>
        <w:t>Stanowiska stron</w:t>
      </w:r>
    </w:p>
    <w:p w:rsidR="005A52C0" w:rsidRPr="00FF2363" w:rsidRDefault="005A52C0" w:rsidP="00FF2363">
      <w:pPr>
        <w:pStyle w:val="ECHRPara"/>
      </w:pPr>
      <w:r w:rsidRPr="00FF2363">
        <w:rPr>
          <w:noProof/>
        </w:rPr>
        <w:t>40</w:t>
      </w:r>
      <w:r>
        <w:t>.</w:t>
      </w:r>
      <w:r w:rsidR="0027376A">
        <w:t xml:space="preserve"> </w:t>
      </w:r>
      <w:r>
        <w:t xml:space="preserve">Opierając się na zasadach </w:t>
      </w:r>
      <w:r w:rsidR="00F6365F">
        <w:t>wy</w:t>
      </w:r>
      <w:r>
        <w:t xml:space="preserve">pracowanych w wyroku w sprawie </w:t>
      </w:r>
      <w:r>
        <w:rPr>
          <w:i/>
          <w:iCs/>
        </w:rPr>
        <w:t>Vilho Eskelinen i Inni przeciwko Finlandii</w:t>
      </w:r>
      <w:r>
        <w:t xml:space="preserve"> ([WI], skarga nr</w:t>
      </w:r>
      <w:r w:rsidR="0027376A">
        <w:t xml:space="preserve"> </w:t>
      </w:r>
      <w:r>
        <w:t>63235/00, §</w:t>
      </w:r>
      <w:r w:rsidR="0027376A">
        <w:t xml:space="preserve"> </w:t>
      </w:r>
      <w:r>
        <w:t xml:space="preserve">62, </w:t>
      </w:r>
      <w:r w:rsidR="000D5B2D">
        <w:t>ETPC</w:t>
      </w:r>
      <w:r>
        <w:t xml:space="preserve"> 2007</w:t>
      </w:r>
      <w:r>
        <w:noBreakHyphen/>
        <w:t>II), skarżący podniósł, że art.</w:t>
      </w:r>
      <w:r w:rsidR="0027376A">
        <w:t xml:space="preserve"> </w:t>
      </w:r>
      <w:r>
        <w:t>6 ust.</w:t>
      </w:r>
      <w:r w:rsidR="0027376A">
        <w:t xml:space="preserve"> </w:t>
      </w:r>
      <w:r>
        <w:t>1 Konwencji ma</w:t>
      </w:r>
      <w:r w:rsidR="00AD58B2">
        <w:t> </w:t>
      </w:r>
      <w:r>
        <w:t xml:space="preserve">zastosowanie w </w:t>
      </w:r>
      <w:r w:rsidR="00F6365F">
        <w:t>jego</w:t>
      </w:r>
      <w:r>
        <w:t xml:space="preserve"> sprawie w swoim aspekcie cywilnym. Prawo krajowe nie wykluczało w sposób wyraźny dostępu do sądu: sprawa skarżącego została rozpoznana przez NRS sprawującą funkcję sądowniczą, a następnie poddana kontroli NSA, który jest sądem powszechnym stanowiącym część krajowego systemu sądowego. Prawo krajowe nie</w:t>
      </w:r>
      <w:r w:rsidR="00AD58B2">
        <w:t> </w:t>
      </w:r>
      <w:r>
        <w:t>wykluczało zatem dostępu do sądu w przypadku tego rodzaju spraw, a</w:t>
      </w:r>
      <w:r w:rsidR="00AD58B2">
        <w:t> </w:t>
      </w:r>
      <w:r>
        <w:t xml:space="preserve">pierwsze kryterium testu, o którym mowa w wyroku w sprawie </w:t>
      </w:r>
      <w:r>
        <w:rPr>
          <w:i/>
          <w:iCs/>
        </w:rPr>
        <w:t>Vilho</w:t>
      </w:r>
      <w:r w:rsidR="00AD58B2">
        <w:rPr>
          <w:i/>
          <w:iCs/>
        </w:rPr>
        <w:t> </w:t>
      </w:r>
      <w:r>
        <w:rPr>
          <w:i/>
          <w:iCs/>
        </w:rPr>
        <w:t>Eskelinen i Inni</w:t>
      </w:r>
      <w:r>
        <w:t xml:space="preserve">, nie zostało </w:t>
      </w:r>
      <w:r w:rsidR="00F6365F">
        <w:t>spełnione</w:t>
      </w:r>
      <w:r>
        <w:t xml:space="preserve">. Co więcej, odwołanie skarżącego ze stanowiska administracyjnego sprawiło, że poniósł on stratę pieniężną, wynikającą z redukcji wynagrodzenia, jak również stratę </w:t>
      </w:r>
      <w:r>
        <w:lastRenderedPageBreak/>
        <w:t>niepieniężną, polegającą na obniżeniu statusu. W formularzu skargi skarżący podnosił pierwotnie, że art.</w:t>
      </w:r>
      <w:r w:rsidR="0027376A">
        <w:t xml:space="preserve"> </w:t>
      </w:r>
      <w:r>
        <w:t>6 znajduje zastosowanie również w</w:t>
      </w:r>
      <w:r w:rsidR="00AD58B2">
        <w:t> </w:t>
      </w:r>
      <w:r>
        <w:t>swoim aspekcie „karnoprawnym”. W swoim stanowisku wyrażonym przed Wielką Izbą skarżący stwierdził jednak, że możliwość zastosowania art.</w:t>
      </w:r>
      <w:r w:rsidR="0027376A">
        <w:t xml:space="preserve"> </w:t>
      </w:r>
      <w:r>
        <w:t>6 ogranicza się do jego aspektu cywilnego.</w:t>
      </w:r>
    </w:p>
    <w:p w:rsidR="005A52C0" w:rsidRPr="00FF2363" w:rsidRDefault="005A52C0" w:rsidP="00FF2363">
      <w:pPr>
        <w:pStyle w:val="ECHRPara"/>
      </w:pPr>
      <w:r w:rsidRPr="00FF2363">
        <w:rPr>
          <w:noProof/>
        </w:rPr>
        <w:t>41</w:t>
      </w:r>
      <w:r>
        <w:t>.</w:t>
      </w:r>
      <w:r w:rsidR="0027376A">
        <w:t xml:space="preserve"> </w:t>
      </w:r>
      <w:r>
        <w:t>Rząd podniósł, że aspekt cywilny art.</w:t>
      </w:r>
      <w:r w:rsidR="0027376A">
        <w:t xml:space="preserve"> </w:t>
      </w:r>
      <w:r>
        <w:t>6 nie znajduje w tej sprawie zastosowania, ponieważ jej przedmiotem nie jest żadne prawo „o</w:t>
      </w:r>
      <w:r w:rsidR="00AD58B2">
        <w:t> </w:t>
      </w:r>
      <w:r>
        <w:t>charakterze cywilnym”. Przedmiot sporu należy w całości do sfery prawa publicznego, a wniesione przez skarżącego roszczenie o odszkodowanie za</w:t>
      </w:r>
      <w:r w:rsidR="00AD58B2">
        <w:t> </w:t>
      </w:r>
      <w:r>
        <w:t>szkodę majątkową dotyczy niewielkiej kwoty (zob.</w:t>
      </w:r>
      <w:r w:rsidR="0027376A">
        <w:t xml:space="preserve"> </w:t>
      </w:r>
      <w:r w:rsidR="00043509">
        <w:t>paragraf</w:t>
      </w:r>
      <w:r w:rsidR="0027376A">
        <w:t xml:space="preserve"> </w:t>
      </w:r>
      <w:r w:rsidRPr="00FF2363">
        <w:t>22</w:t>
      </w:r>
      <w:r>
        <w:t xml:space="preserve"> powyżej), która nie </w:t>
      </w:r>
      <w:r w:rsidR="00507637">
        <w:t>s</w:t>
      </w:r>
      <w:r w:rsidR="00F6365F">
        <w:t>powodowała znaczącego uszczerbku dla niego</w:t>
      </w:r>
      <w:r>
        <w:t>. Na</w:t>
      </w:r>
      <w:r w:rsidR="00AD58B2">
        <w:t> </w:t>
      </w:r>
      <w:r>
        <w:t>tej</w:t>
      </w:r>
      <w:r w:rsidR="00AD58B2">
        <w:t> </w:t>
      </w:r>
      <w:r>
        <w:t xml:space="preserve">podstawie Rząd stwierdził, że skarga jest niezgodna </w:t>
      </w:r>
      <w:r>
        <w:rPr>
          <w:i/>
          <w:iCs/>
        </w:rPr>
        <w:t>ratione materiae</w:t>
      </w:r>
      <w:r>
        <w:t xml:space="preserve"> z</w:t>
      </w:r>
      <w:r w:rsidR="00AD58B2">
        <w:t> </w:t>
      </w:r>
      <w:r>
        <w:t>postanowieniami Konwencji.</w:t>
      </w:r>
    </w:p>
    <w:p w:rsidR="005A52C0" w:rsidRPr="00FF2363" w:rsidRDefault="005A52C0" w:rsidP="00FF2363">
      <w:pPr>
        <w:pStyle w:val="ECHRHeading3"/>
      </w:pPr>
      <w:r>
        <w:t>2.</w:t>
      </w:r>
      <w:r w:rsidR="0027376A">
        <w:t xml:space="preserve"> </w:t>
      </w:r>
      <w:r>
        <w:t>Interweniująca strona trzecia</w:t>
      </w:r>
    </w:p>
    <w:p w:rsidR="005A52C0" w:rsidRPr="00FF2363" w:rsidRDefault="005A52C0" w:rsidP="00FF2363">
      <w:pPr>
        <w:pStyle w:val="ECHRPara"/>
      </w:pPr>
      <w:r w:rsidRPr="00FF2363">
        <w:rPr>
          <w:noProof/>
        </w:rPr>
        <w:t>42</w:t>
      </w:r>
      <w:r>
        <w:t>.</w:t>
      </w:r>
      <w:r w:rsidR="0027376A">
        <w:t xml:space="preserve"> </w:t>
      </w:r>
      <w:r>
        <w:t>Strona trzecia, Międzynarodowa Komisja Prawników, podniosła, że</w:t>
      </w:r>
      <w:r w:rsidR="00AD58B2">
        <w:t> </w:t>
      </w:r>
      <w:r>
        <w:t>zasada niezawisłości sędziowskiej siłą rzeczy implikuje bezpieczeństwo kadencji prezesa sądu. Aby zapewnić rzeczywiste bezpieczeństwo kadencji oraz niezawisłość poszczególnych prezesów sądów, jak i ich zdolność do</w:t>
      </w:r>
      <w:r w:rsidR="00AD58B2">
        <w:t> </w:t>
      </w:r>
      <w:r>
        <w:t xml:space="preserve">stania na straży niezawisłości </w:t>
      </w:r>
      <w:r w:rsidR="00F6365F">
        <w:t>sędziów w ich sądach</w:t>
      </w:r>
      <w:r>
        <w:t>, procedura odwołania ze stanowiska prezesa sądu musi przewidywać takie same gwarancje niezawisłości i</w:t>
      </w:r>
      <w:r w:rsidR="00F6365F">
        <w:t xml:space="preserve"> rzetelności</w:t>
      </w:r>
      <w:r>
        <w:t>, jakie obowiązują w przypadku odwołania z</w:t>
      </w:r>
      <w:r w:rsidR="0027376A">
        <w:t xml:space="preserve"> </w:t>
      </w:r>
      <w:r>
        <w:t>funkcji sędziego. Strona trzecia uznała, że możliwość zastosowania art.</w:t>
      </w:r>
      <w:r w:rsidR="0027376A">
        <w:t xml:space="preserve"> </w:t>
      </w:r>
      <w:r>
        <w:t>6 w przedmiotowej sprawie należy określić w oparciu o</w:t>
      </w:r>
      <w:r w:rsidR="00AD58B2">
        <w:t> </w:t>
      </w:r>
      <w:r>
        <w:t xml:space="preserve">test </w:t>
      </w:r>
      <w:r>
        <w:rPr>
          <w:i/>
          <w:iCs/>
        </w:rPr>
        <w:t>Vilho Eskelinen</w:t>
      </w:r>
      <w:r>
        <w:t>, na który Trybunał powołał się w sprawach dotyczących sędziów, w tym w</w:t>
      </w:r>
      <w:r w:rsidR="0027376A">
        <w:t xml:space="preserve"> </w:t>
      </w:r>
      <w:r>
        <w:t xml:space="preserve">sprawie </w:t>
      </w:r>
      <w:r>
        <w:rPr>
          <w:i/>
          <w:iCs/>
        </w:rPr>
        <w:t>Baka</w:t>
      </w:r>
      <w:r>
        <w:t xml:space="preserve"> (</w:t>
      </w:r>
      <w:r>
        <w:rPr>
          <w:i/>
          <w:iCs/>
        </w:rPr>
        <w:t>op. cit.</w:t>
      </w:r>
      <w:r>
        <w:t>).</w:t>
      </w:r>
    </w:p>
    <w:p w:rsidR="005A52C0" w:rsidRPr="00FF2363" w:rsidRDefault="005A52C0" w:rsidP="00FF2363">
      <w:pPr>
        <w:pStyle w:val="ECHRHeading3"/>
      </w:pPr>
      <w:r>
        <w:t>3.</w:t>
      </w:r>
      <w:r w:rsidR="0027376A">
        <w:t xml:space="preserve"> </w:t>
      </w:r>
      <w:r>
        <w:t>Ocena Trybunału</w:t>
      </w:r>
    </w:p>
    <w:p w:rsidR="005A52C0" w:rsidRPr="00FF2363" w:rsidRDefault="005A52C0" w:rsidP="00FF2363">
      <w:pPr>
        <w:pStyle w:val="ECHRPara"/>
      </w:pPr>
      <w:r w:rsidRPr="00FF2363">
        <w:rPr>
          <w:noProof/>
        </w:rPr>
        <w:t>43</w:t>
      </w:r>
      <w:r>
        <w:t>.</w:t>
      </w:r>
      <w:r w:rsidR="0027376A">
        <w:t xml:space="preserve"> </w:t>
      </w:r>
      <w:r>
        <w:t>Strony są zgodne co do tego, że art.</w:t>
      </w:r>
      <w:r w:rsidR="0027376A">
        <w:t xml:space="preserve"> </w:t>
      </w:r>
      <w:r>
        <w:t>6 ust.</w:t>
      </w:r>
      <w:r w:rsidR="0027376A">
        <w:t xml:space="preserve"> </w:t>
      </w:r>
      <w:r>
        <w:t>1 nie ma zastosowania w</w:t>
      </w:r>
      <w:r w:rsidR="00AD58B2">
        <w:t> </w:t>
      </w:r>
      <w:r>
        <w:t>swojej części karnoprawnej. Postępowanie będące przedmiotem niniejszej sprawy nie było związane z rozstrzygnięciem o oskarżeniu w</w:t>
      </w:r>
      <w:r w:rsidR="0027376A">
        <w:t xml:space="preserve"> </w:t>
      </w:r>
      <w:r>
        <w:t xml:space="preserve">sprawie karnej, a zatem część karnoprawna wspomnianego przepisu nie ma tutaj zastosowania (zob., </w:t>
      </w:r>
      <w:r w:rsidRPr="00B9537B">
        <w:rPr>
          <w:i/>
          <w:iCs/>
        </w:rPr>
        <w:t>mutatis mutandis</w:t>
      </w:r>
      <w:r>
        <w:rPr>
          <w:i/>
          <w:iCs/>
        </w:rPr>
        <w:t>,</w:t>
      </w:r>
      <w:r>
        <w:t xml:space="preserve"> </w:t>
      </w:r>
      <w:r>
        <w:rPr>
          <w:i/>
          <w:iCs/>
        </w:rPr>
        <w:t>Oleksandr Volkov</w:t>
      </w:r>
      <w:r>
        <w:t xml:space="preserve">, </w:t>
      </w:r>
      <w:r>
        <w:rPr>
          <w:i/>
          <w:iCs/>
        </w:rPr>
        <w:t>op. cit.</w:t>
      </w:r>
      <w:r>
        <w:t>, §§</w:t>
      </w:r>
      <w:r w:rsidR="00AD58B2">
        <w:t> </w:t>
      </w:r>
      <w:r>
        <w:t>93–95).</w:t>
      </w:r>
    </w:p>
    <w:p w:rsidR="005A52C0" w:rsidRPr="00FF2363" w:rsidRDefault="005A52C0" w:rsidP="00FF2363">
      <w:pPr>
        <w:pStyle w:val="ECHRHeading4"/>
      </w:pPr>
      <w:r>
        <w:t>(a)</w:t>
      </w:r>
      <w:r w:rsidR="0027376A">
        <w:t xml:space="preserve"> </w:t>
      </w:r>
      <w:r>
        <w:t>Ogólne wymogi dotyczące możliwości zastosowania cywilnego aspektu art.</w:t>
      </w:r>
      <w:r w:rsidR="00AD58B2">
        <w:t> </w:t>
      </w:r>
      <w:r>
        <w:t>6 ust.</w:t>
      </w:r>
      <w:r w:rsidR="0027376A">
        <w:t xml:space="preserve"> </w:t>
      </w:r>
      <w:r>
        <w:t>1</w:t>
      </w:r>
    </w:p>
    <w:p w:rsidR="005A52C0" w:rsidRPr="00FF2363" w:rsidRDefault="005A52C0" w:rsidP="00FF2363">
      <w:pPr>
        <w:pStyle w:val="ECHRHeading5"/>
      </w:pPr>
      <w:r>
        <w:t>(i)</w:t>
      </w:r>
      <w:r w:rsidR="0027376A">
        <w:t xml:space="preserve"> </w:t>
      </w:r>
      <w:r>
        <w:t>Istotne zasady</w:t>
      </w:r>
    </w:p>
    <w:p w:rsidR="005A52C0" w:rsidRPr="00FF2363" w:rsidRDefault="005A52C0" w:rsidP="00FF2363">
      <w:pPr>
        <w:pStyle w:val="ECHRPara"/>
      </w:pPr>
      <w:r w:rsidRPr="00FF2363">
        <w:rPr>
          <w:noProof/>
        </w:rPr>
        <w:t>44</w:t>
      </w:r>
      <w:r>
        <w:t>.</w:t>
      </w:r>
      <w:r w:rsidR="0027376A">
        <w:t xml:space="preserve"> </w:t>
      </w:r>
      <w:r>
        <w:t>Aby art.</w:t>
      </w:r>
      <w:r w:rsidR="0027376A">
        <w:t xml:space="preserve"> </w:t>
      </w:r>
      <w:r>
        <w:t>6 ust.</w:t>
      </w:r>
      <w:r w:rsidR="0027376A">
        <w:t xml:space="preserve"> </w:t>
      </w:r>
      <w:r>
        <w:t xml:space="preserve">1 miał zastosowanie w swoim aspekcie „cywilnym”, musi zachodzić „spór” co do „prawa”, o którym można powiedzieć </w:t>
      </w:r>
      <w:r w:rsidR="00DD683D">
        <w:t>–</w:t>
      </w:r>
      <w:r>
        <w:t xml:space="preserve"> w</w:t>
      </w:r>
      <w:r w:rsidR="00AD58B2">
        <w:t> </w:t>
      </w:r>
      <w:r>
        <w:t xml:space="preserve">oparciu o co najmniej dające się uzasadnić przesłanki </w:t>
      </w:r>
      <w:r w:rsidR="00DD683D">
        <w:t>–</w:t>
      </w:r>
      <w:r>
        <w:t xml:space="preserve"> że jest uznawane w przepisach krajowych, niezależnie od tego, czy owo prawo jest chronione Konwencją. Spór musi być rzeczywisty i mieć poważny charakter; może </w:t>
      </w:r>
      <w:r>
        <w:lastRenderedPageBreak/>
        <w:t>dotyczyć nie tylko faktycznego istnienia prawa, ale również jego zakresu i</w:t>
      </w:r>
      <w:r w:rsidR="00AD58B2">
        <w:t> </w:t>
      </w:r>
      <w:r>
        <w:t xml:space="preserve">sposobu jego wykonania; wreszcie wynik postępowania </w:t>
      </w:r>
      <w:r w:rsidR="00507637">
        <w:t xml:space="preserve">w </w:t>
      </w:r>
      <w:r w:rsidR="00E70FD9">
        <w:t>sposób bezpośredni</w:t>
      </w:r>
      <w:r>
        <w:t xml:space="preserve"> musi rozstrzygać</w:t>
      </w:r>
      <w:r w:rsidR="00E70FD9">
        <w:t xml:space="preserve"> </w:t>
      </w:r>
      <w:r>
        <w:t>o spornym prawie, dlatego też wątły związek lub odległe konsekwencje nie stanowią wystarczających przesłanek dla</w:t>
      </w:r>
      <w:r w:rsidR="00AD58B2">
        <w:t> </w:t>
      </w:r>
      <w:r>
        <w:t>powołania art.</w:t>
      </w:r>
      <w:r w:rsidR="0027376A">
        <w:t xml:space="preserve"> </w:t>
      </w:r>
      <w:r>
        <w:t>6 ust.</w:t>
      </w:r>
      <w:r w:rsidR="0027376A">
        <w:t xml:space="preserve"> </w:t>
      </w:r>
      <w:r>
        <w:t>1 (zob.</w:t>
      </w:r>
      <w:r w:rsidR="0027376A">
        <w:t xml:space="preserve"> </w:t>
      </w:r>
      <w:r>
        <w:t xml:space="preserve">między innymi </w:t>
      </w:r>
      <w:r>
        <w:rPr>
          <w:i/>
          <w:iCs/>
        </w:rPr>
        <w:t>Boulois przeciwko Luksemburgowi</w:t>
      </w:r>
      <w:r>
        <w:t xml:space="preserve"> [WI], skarga nr</w:t>
      </w:r>
      <w:r w:rsidR="0027376A">
        <w:t xml:space="preserve"> </w:t>
      </w:r>
      <w:r>
        <w:t>37575/04, §</w:t>
      </w:r>
      <w:r w:rsidR="0027376A">
        <w:t xml:space="preserve"> </w:t>
      </w:r>
      <w:r>
        <w:t xml:space="preserve">90, </w:t>
      </w:r>
      <w:r w:rsidR="000D5B2D">
        <w:t>ETPC</w:t>
      </w:r>
      <w:r>
        <w:t xml:space="preserve"> 2012; </w:t>
      </w:r>
      <w:r>
        <w:rPr>
          <w:i/>
          <w:iCs/>
        </w:rPr>
        <w:t>Bochan przeciwko Ukrainie (nr</w:t>
      </w:r>
      <w:r w:rsidR="0027376A">
        <w:rPr>
          <w:i/>
          <w:iCs/>
        </w:rPr>
        <w:t xml:space="preserve"> </w:t>
      </w:r>
      <w:r>
        <w:rPr>
          <w:i/>
          <w:iCs/>
        </w:rPr>
        <w:t>2)</w:t>
      </w:r>
      <w:r>
        <w:t xml:space="preserve"> [WI], skarga nr</w:t>
      </w:r>
      <w:r w:rsidR="0027376A">
        <w:t xml:space="preserve"> </w:t>
      </w:r>
      <w:r>
        <w:t>22251/08, §</w:t>
      </w:r>
      <w:r w:rsidR="0027376A">
        <w:t xml:space="preserve"> </w:t>
      </w:r>
      <w:r>
        <w:t xml:space="preserve">42, </w:t>
      </w:r>
      <w:r w:rsidR="000D5B2D">
        <w:t>ETPC</w:t>
      </w:r>
      <w:r>
        <w:t xml:space="preserve"> 2015;</w:t>
      </w:r>
      <w:r>
        <w:rPr>
          <w:i/>
          <w:iCs/>
        </w:rPr>
        <w:t xml:space="preserve"> </w:t>
      </w:r>
      <w:r>
        <w:rPr>
          <w:rStyle w:val="ECHRParaChar"/>
          <w:i/>
          <w:iCs/>
        </w:rPr>
        <w:t>Lupeni Greek Catholic Parish i Inni przeciwko Rumunii</w:t>
      </w:r>
      <w:r>
        <w:rPr>
          <w:i/>
          <w:iCs/>
          <w:snapToGrid w:val="0"/>
        </w:rPr>
        <w:t xml:space="preserve"> </w:t>
      </w:r>
      <w:r>
        <w:rPr>
          <w:rStyle w:val="ECHRParaChar"/>
        </w:rPr>
        <w:t>[WI], skarga nr</w:t>
      </w:r>
      <w:r w:rsidR="00AD58B2">
        <w:rPr>
          <w:rStyle w:val="ECHRParaChar"/>
        </w:rPr>
        <w:t> </w:t>
      </w:r>
      <w:r>
        <w:rPr>
          <w:rStyle w:val="ECHRParaChar"/>
        </w:rPr>
        <w:t>76943/11, §</w:t>
      </w:r>
      <w:r w:rsidR="0027376A">
        <w:rPr>
          <w:rStyle w:val="ECHRParaChar"/>
        </w:rPr>
        <w:t xml:space="preserve"> </w:t>
      </w:r>
      <w:r>
        <w:rPr>
          <w:rStyle w:val="ECHRParaChar"/>
        </w:rPr>
        <w:t xml:space="preserve">71, </w:t>
      </w:r>
      <w:r w:rsidR="000D5B2D">
        <w:rPr>
          <w:rStyle w:val="ECHRParaChar"/>
        </w:rPr>
        <w:t>ETPC</w:t>
      </w:r>
      <w:r>
        <w:rPr>
          <w:rStyle w:val="ECHRParaChar"/>
        </w:rPr>
        <w:t xml:space="preserve"> 2016; oraz </w:t>
      </w:r>
      <w:r>
        <w:rPr>
          <w:rStyle w:val="ECHRParaChar"/>
          <w:i/>
          <w:iCs/>
        </w:rPr>
        <w:t>Regner przeciwko Czechom</w:t>
      </w:r>
      <w:r>
        <w:rPr>
          <w:rStyle w:val="ECHRParaChar"/>
        </w:rPr>
        <w:t xml:space="preserve"> </w:t>
      </w:r>
      <w:r>
        <w:rPr>
          <w:rStyle w:val="ECHRParaChar"/>
        </w:rPr>
        <w:sym w:font="Symbol" w:char="F05B"/>
      </w:r>
      <w:r>
        <w:rPr>
          <w:rStyle w:val="ECHRParaChar"/>
        </w:rPr>
        <w:t>WI</w:t>
      </w:r>
      <w:r>
        <w:rPr>
          <w:rStyle w:val="ECHRParaChar"/>
        </w:rPr>
        <w:sym w:font="Symbol" w:char="F05D"/>
      </w:r>
      <w:r>
        <w:rPr>
          <w:rStyle w:val="ECHRParaChar"/>
        </w:rPr>
        <w:t>, skarga nr</w:t>
      </w:r>
      <w:r w:rsidR="0027376A">
        <w:rPr>
          <w:rStyle w:val="ECHRParaChar"/>
        </w:rPr>
        <w:t xml:space="preserve"> </w:t>
      </w:r>
      <w:r>
        <w:rPr>
          <w:rStyle w:val="ECHRParaChar"/>
        </w:rPr>
        <w:t>35289/11, §</w:t>
      </w:r>
      <w:r w:rsidR="0027376A">
        <w:rPr>
          <w:rStyle w:val="ECHRParaChar"/>
        </w:rPr>
        <w:t xml:space="preserve"> </w:t>
      </w:r>
      <w:r>
        <w:rPr>
          <w:rStyle w:val="ECHRParaChar"/>
        </w:rPr>
        <w:t xml:space="preserve">99, </w:t>
      </w:r>
      <w:r w:rsidR="000D5B2D">
        <w:rPr>
          <w:rStyle w:val="ECHRParaChar"/>
        </w:rPr>
        <w:t>ETPC</w:t>
      </w:r>
      <w:r>
        <w:rPr>
          <w:rStyle w:val="ECHRParaChar"/>
        </w:rPr>
        <w:t xml:space="preserve"> 2017</w:t>
      </w:r>
      <w:r>
        <w:t>).</w:t>
      </w:r>
    </w:p>
    <w:p w:rsidR="005A52C0" w:rsidRPr="00FF2363" w:rsidRDefault="005A52C0" w:rsidP="00FF2363">
      <w:pPr>
        <w:pStyle w:val="ECHRPara"/>
      </w:pPr>
      <w:r w:rsidRPr="009C3BD7">
        <w:rPr>
          <w:noProof/>
        </w:rPr>
        <w:t>45</w:t>
      </w:r>
      <w:r w:rsidRPr="009C3BD7">
        <w:t>.</w:t>
      </w:r>
      <w:r w:rsidR="0027376A" w:rsidRPr="009C3BD7">
        <w:t xml:space="preserve"> </w:t>
      </w:r>
      <w:r w:rsidRPr="009C3BD7">
        <w:t>Artykuł</w:t>
      </w:r>
      <w:r w:rsidR="0027376A" w:rsidRPr="009C3BD7">
        <w:t xml:space="preserve"> </w:t>
      </w:r>
      <w:r w:rsidRPr="009C3BD7">
        <w:t xml:space="preserve">6 </w:t>
      </w:r>
      <w:r w:rsidR="00EE6196" w:rsidRPr="009C3BD7">
        <w:t>ust.</w:t>
      </w:r>
      <w:r w:rsidR="0027376A" w:rsidRPr="009C3BD7">
        <w:t xml:space="preserve"> </w:t>
      </w:r>
      <w:r w:rsidRPr="009C3BD7">
        <w:t>1 nie gwarantuje konkretnej treści „praw i</w:t>
      </w:r>
      <w:r w:rsidR="00AD58B2">
        <w:t> </w:t>
      </w:r>
      <w:r>
        <w:t>obowiązków” (o charakterze cywilnym) w prawie materialnym Układających się Państw: Trybunał nie może w drodze wykładni art.</w:t>
      </w:r>
      <w:r w:rsidR="0027376A">
        <w:t xml:space="preserve"> </w:t>
      </w:r>
      <w:r>
        <w:t>6 ust</w:t>
      </w:r>
      <w:r w:rsidR="00AD58B2">
        <w:t> </w:t>
      </w:r>
      <w:r>
        <w:t>1 stworzyć prawa materialnego, które nie znajduje podstaw w systemie danego państwa (zob.</w:t>
      </w:r>
      <w:r w:rsidR="0027376A">
        <w:t xml:space="preserve"> </w:t>
      </w:r>
      <w:r>
        <w:t xml:space="preserve">przykładowo </w:t>
      </w:r>
      <w:r>
        <w:rPr>
          <w:i/>
          <w:iCs/>
        </w:rPr>
        <w:t>Roche przeciwko Zjednoczonemu Królestwu</w:t>
      </w:r>
      <w:r>
        <w:t xml:space="preserve"> [WI], nr</w:t>
      </w:r>
      <w:r w:rsidR="0027376A">
        <w:t xml:space="preserve"> </w:t>
      </w:r>
      <w:r>
        <w:t>32555/96, §</w:t>
      </w:r>
      <w:r w:rsidR="0027376A">
        <w:t xml:space="preserve"> </w:t>
      </w:r>
      <w:r>
        <w:t xml:space="preserve">117, </w:t>
      </w:r>
      <w:r w:rsidR="000D5B2D">
        <w:t>ETPC</w:t>
      </w:r>
      <w:r w:rsidR="0027376A">
        <w:t xml:space="preserve"> </w:t>
      </w:r>
      <w:r>
        <w:t>2005</w:t>
      </w:r>
      <w:r>
        <w:noBreakHyphen/>
        <w:t>X). Punktem wyjścia muszą być przepisy prawa krajowego i ich interpretacja przez sądy krajowe (</w:t>
      </w:r>
      <w:r w:rsidR="00DE5D9C">
        <w:rPr>
          <w:i/>
          <w:iCs/>
        </w:rPr>
        <w:t xml:space="preserve">ibid., </w:t>
      </w:r>
      <w:r>
        <w:t>§</w:t>
      </w:r>
      <w:r w:rsidR="0027376A">
        <w:t xml:space="preserve"> </w:t>
      </w:r>
      <w:r>
        <w:t xml:space="preserve">120; zob. także </w:t>
      </w:r>
      <w:r>
        <w:rPr>
          <w:i/>
          <w:iCs/>
        </w:rPr>
        <w:t>Károly Nagy</w:t>
      </w:r>
      <w:r>
        <w:t xml:space="preserve"> </w:t>
      </w:r>
      <w:r>
        <w:rPr>
          <w:i/>
          <w:iCs/>
        </w:rPr>
        <w:t xml:space="preserve">przeciwko Węgrom </w:t>
      </w:r>
      <w:r>
        <w:t>[WI], skarga nr</w:t>
      </w:r>
      <w:r w:rsidR="00AD58B2">
        <w:t> </w:t>
      </w:r>
      <w:r>
        <w:t>56665/09</w:t>
      </w:r>
      <w:r>
        <w:rPr>
          <w:snapToGrid w:val="0"/>
        </w:rPr>
        <w:t>, §</w:t>
      </w:r>
      <w:r w:rsidR="0027376A">
        <w:rPr>
          <w:snapToGrid w:val="0"/>
        </w:rPr>
        <w:t xml:space="preserve"> </w:t>
      </w:r>
      <w:r>
        <w:rPr>
          <w:snapToGrid w:val="0"/>
        </w:rPr>
        <w:t xml:space="preserve">62, </w:t>
      </w:r>
      <w:r w:rsidR="000D5B2D">
        <w:rPr>
          <w:snapToGrid w:val="0"/>
        </w:rPr>
        <w:t>ETPC</w:t>
      </w:r>
      <w:r w:rsidR="0027376A">
        <w:rPr>
          <w:snapToGrid w:val="0"/>
        </w:rPr>
        <w:t xml:space="preserve"> </w:t>
      </w:r>
      <w:r>
        <w:rPr>
          <w:snapToGrid w:val="0"/>
        </w:rPr>
        <w:t xml:space="preserve">2017 oraz </w:t>
      </w:r>
      <w:r>
        <w:rPr>
          <w:i/>
          <w:iCs/>
          <w:snapToGrid w:val="0"/>
        </w:rPr>
        <w:t>Regner</w:t>
      </w:r>
      <w:r>
        <w:rPr>
          <w:snapToGrid w:val="0"/>
        </w:rPr>
        <w:t xml:space="preserve">, </w:t>
      </w:r>
      <w:r>
        <w:rPr>
          <w:i/>
          <w:iCs/>
          <w:snapToGrid w:val="0"/>
        </w:rPr>
        <w:t>op. cit.</w:t>
      </w:r>
      <w:r>
        <w:rPr>
          <w:snapToGrid w:val="0"/>
        </w:rPr>
        <w:t>, §</w:t>
      </w:r>
      <w:r w:rsidR="0027376A">
        <w:rPr>
          <w:snapToGrid w:val="0"/>
        </w:rPr>
        <w:t xml:space="preserve"> </w:t>
      </w:r>
      <w:r>
        <w:rPr>
          <w:snapToGrid w:val="0"/>
        </w:rPr>
        <w:t>100</w:t>
      </w:r>
      <w:r>
        <w:t>). Trybunał musiałby mieć silne podstawy, by nie zgodzić się z ustaleniami najwyższych sądów krajowych i</w:t>
      </w:r>
      <w:r w:rsidR="0027376A">
        <w:t xml:space="preserve"> </w:t>
      </w:r>
      <w:r>
        <w:t>orzec</w:t>
      </w:r>
      <w:r w:rsidR="009C3BD7">
        <w:t>,</w:t>
      </w:r>
      <w:r>
        <w:t xml:space="preserve"> wbrew ich ocenie, że w grę wchodziło prawo, o którym można powiedzieć, przynajmniej na zasadzie spornej, że jest ono uznane w prawie krajowym (</w:t>
      </w:r>
      <w:r>
        <w:rPr>
          <w:i/>
          <w:iCs/>
        </w:rPr>
        <w:t>Károly Nagy</w:t>
      </w:r>
      <w:r>
        <w:t xml:space="preserve">, </w:t>
      </w:r>
      <w:r>
        <w:rPr>
          <w:i/>
          <w:iCs/>
        </w:rPr>
        <w:t>op. cit.</w:t>
      </w:r>
      <w:r>
        <w:t>,</w:t>
      </w:r>
      <w:r>
        <w:rPr>
          <w:i/>
          <w:iCs/>
        </w:rPr>
        <w:t xml:space="preserve"> </w:t>
      </w:r>
      <w:r>
        <w:rPr>
          <w:snapToGrid w:val="0"/>
        </w:rPr>
        <w:t>§</w:t>
      </w:r>
      <w:r w:rsidR="00AD58B2">
        <w:rPr>
          <w:snapToGrid w:val="0"/>
        </w:rPr>
        <w:t> </w:t>
      </w:r>
      <w:r>
        <w:rPr>
          <w:snapToGrid w:val="0"/>
        </w:rPr>
        <w:t>62</w:t>
      </w:r>
      <w:r>
        <w:t>).</w:t>
      </w:r>
    </w:p>
    <w:p w:rsidR="005A52C0" w:rsidRPr="00FF2363" w:rsidRDefault="005A52C0" w:rsidP="00FF2363">
      <w:pPr>
        <w:pStyle w:val="ECHRPara"/>
      </w:pPr>
      <w:r w:rsidRPr="00FF2363">
        <w:rPr>
          <w:noProof/>
        </w:rPr>
        <w:t>46</w:t>
      </w:r>
      <w:r>
        <w:t>.</w:t>
      </w:r>
      <w:r w:rsidR="0027376A">
        <w:t xml:space="preserve"> </w:t>
      </w:r>
      <w:r>
        <w:t>Choć zasadniczo w Konwencji nie przewidziano prawa do</w:t>
      </w:r>
      <w:r w:rsidR="00AD58B2">
        <w:t> </w:t>
      </w:r>
      <w:r>
        <w:t>zajmowania stanowiska związanego z wymiarem sprawiedliwości (zob.</w:t>
      </w:r>
      <w:r w:rsidR="00AD58B2">
        <w:t> </w:t>
      </w:r>
      <w:r>
        <w:rPr>
          <w:i/>
          <w:iCs/>
        </w:rPr>
        <w:t>Dzhidzheva</w:t>
      </w:r>
      <w:r>
        <w:rPr>
          <w:i/>
          <w:iCs/>
        </w:rPr>
        <w:noBreakHyphen/>
        <w:t>Trendafilova przeciwko Bułgarii</w:t>
      </w:r>
      <w:r>
        <w:t xml:space="preserve"> (dec.), skarga nr</w:t>
      </w:r>
      <w:r w:rsidR="00AD58B2">
        <w:t> </w:t>
      </w:r>
      <w:r>
        <w:t>12628/09, §</w:t>
      </w:r>
      <w:r w:rsidR="0027376A">
        <w:t xml:space="preserve"> </w:t>
      </w:r>
      <w:r>
        <w:t>38, 9</w:t>
      </w:r>
      <w:r w:rsidR="0027376A">
        <w:t xml:space="preserve"> </w:t>
      </w:r>
      <w:r>
        <w:t>października 2012</w:t>
      </w:r>
      <w:r w:rsidR="0027376A">
        <w:t xml:space="preserve"> </w:t>
      </w:r>
      <w:r>
        <w:t xml:space="preserve">r. oraz </w:t>
      </w:r>
      <w:r>
        <w:rPr>
          <w:i/>
          <w:iCs/>
        </w:rPr>
        <w:t>Harabin przeciwko Słowacji</w:t>
      </w:r>
      <w:r>
        <w:t xml:space="preserve"> (dec.), skarga nr</w:t>
      </w:r>
      <w:r w:rsidR="0027376A">
        <w:t xml:space="preserve"> </w:t>
      </w:r>
      <w:r>
        <w:t>62584/00, 29</w:t>
      </w:r>
      <w:r w:rsidR="0027376A">
        <w:t xml:space="preserve"> </w:t>
      </w:r>
      <w:r>
        <w:t>czerwca 2004</w:t>
      </w:r>
      <w:r w:rsidR="0027376A">
        <w:t xml:space="preserve"> </w:t>
      </w:r>
      <w:r>
        <w:t>r.), prawo takie może istnieć na</w:t>
      </w:r>
      <w:r w:rsidR="00AD58B2">
        <w:t> </w:t>
      </w:r>
      <w:r>
        <w:t xml:space="preserve">gruncie prawa krajowego. W wyroku w sprawie </w:t>
      </w:r>
      <w:r>
        <w:rPr>
          <w:i/>
          <w:iCs/>
        </w:rPr>
        <w:t xml:space="preserve">Regner </w:t>
      </w:r>
      <w:r>
        <w:t>(</w:t>
      </w:r>
      <w:r>
        <w:rPr>
          <w:i/>
          <w:iCs/>
        </w:rPr>
        <w:t>op. cit.)</w:t>
      </w:r>
      <w:r>
        <w:t xml:space="preserve"> Trybunał przypomniał, iż nie może być wątpliwości co do faktu, że prawo w</w:t>
      </w:r>
      <w:r w:rsidR="0027376A">
        <w:t xml:space="preserve"> </w:t>
      </w:r>
      <w:r>
        <w:t>rozumieniu art.</w:t>
      </w:r>
      <w:r w:rsidR="0027376A">
        <w:t xml:space="preserve"> </w:t>
      </w:r>
      <w:r>
        <w:t>6 ust.</w:t>
      </w:r>
      <w:r w:rsidR="0027376A">
        <w:t xml:space="preserve"> </w:t>
      </w:r>
      <w:r>
        <w:t>1 istnieje, gdzie prawu materialnemu uznawanemu w</w:t>
      </w:r>
      <w:r w:rsidR="0027376A">
        <w:t xml:space="preserve"> </w:t>
      </w:r>
      <w:r>
        <w:t>prawie krajowym towarzyszy prawo proceduralne do dochodzenia danego prawa w sądzie. Sam fakt, że brzmienie przepisu prawnego zezwala na element uznaniowości</w:t>
      </w:r>
      <w:r w:rsidR="009C3BD7">
        <w:t>,</w:t>
      </w:r>
      <w:r>
        <w:t xml:space="preserve"> nie wyklucza istnienia prawa. Rzeczywiście, art.</w:t>
      </w:r>
      <w:r w:rsidR="00AD58B2">
        <w:t> </w:t>
      </w:r>
      <w:r>
        <w:t>6 ma zastosowanie tam, gdzie postępowanie sądowe dotyczy decyzji zależnej od uznania, wywierającej skutek w postaci ingerencji w prawa skarżącego (</w:t>
      </w:r>
      <w:r>
        <w:rPr>
          <w:i/>
          <w:iCs/>
        </w:rPr>
        <w:t>ibid.</w:t>
      </w:r>
      <w:r w:rsidR="00C0533D">
        <w:rPr>
          <w:i/>
          <w:iCs/>
        </w:rPr>
        <w:t>,</w:t>
      </w:r>
      <w:r>
        <w:t xml:space="preserve"> §</w:t>
      </w:r>
      <w:r w:rsidR="0027376A">
        <w:t xml:space="preserve"> </w:t>
      </w:r>
      <w:r>
        <w:t>102). W niektórych sprawach prawo krajowe, o</w:t>
      </w:r>
      <w:r w:rsidR="00AD58B2">
        <w:t> </w:t>
      </w:r>
      <w:r>
        <w:t>ile</w:t>
      </w:r>
      <w:r w:rsidR="00AD58B2">
        <w:t> </w:t>
      </w:r>
      <w:r>
        <w:t xml:space="preserve">niekoniecznie uznaje, że jednostka ma prawo podmiotowe, przyznaje uprawnienie do zgodnej z prawem procedury zbadania odwołania, obejmującej takie kwestie jak rozstrzygnięcie, czy dana decyzja była arbitralna </w:t>
      </w:r>
      <w:r w:rsidR="00C0533D">
        <w:t>lub</w:t>
      </w:r>
      <w:r>
        <w:t xml:space="preserve"> </w:t>
      </w:r>
      <w:r>
        <w:rPr>
          <w:i/>
          <w:iCs/>
        </w:rPr>
        <w:t>ultra vires</w:t>
      </w:r>
      <w:r>
        <w:t xml:space="preserve">, lub też czy doszło do nieprawidłowości proceduralnych. </w:t>
      </w:r>
      <w:r w:rsidR="00C0533D">
        <w:t xml:space="preserve">Jest tak w sprawach </w:t>
      </w:r>
      <w:r>
        <w:t>dotycząc</w:t>
      </w:r>
      <w:r w:rsidR="00C0533D">
        <w:t>ych</w:t>
      </w:r>
      <w:r>
        <w:t xml:space="preserve"> pewnych decyzji, w</w:t>
      </w:r>
      <w:r w:rsidR="00AD58B2">
        <w:t> </w:t>
      </w:r>
      <w:r>
        <w:t xml:space="preserve">których władze mają wyłącznie dyskrecjonalne uprawnienie </w:t>
      </w:r>
      <w:r>
        <w:lastRenderedPageBreak/>
        <w:t>do</w:t>
      </w:r>
      <w:r w:rsidR="00AD58B2">
        <w:t> </w:t>
      </w:r>
      <w:r>
        <w:t>przyznania lub odmówienia korzyści lub przywileju, a prawo przyznaje danej osobie prawo zwrócenia się do sądów, które mogą uchylić taką decyzję,</w:t>
      </w:r>
      <w:r w:rsidRPr="00954151">
        <w:t xml:space="preserve"> jeżeli stwierdzą, że</w:t>
      </w:r>
      <w:r>
        <w:t xml:space="preserve"> </w:t>
      </w:r>
      <w:r w:rsidRPr="00954151">
        <w:t>była niezgodna z</w:t>
      </w:r>
      <w:r w:rsidR="0027376A">
        <w:t xml:space="preserve"> </w:t>
      </w:r>
      <w:r w:rsidRPr="00954151">
        <w:t>prawem</w:t>
      </w:r>
      <w:r>
        <w:t>. W takim przypadku art.</w:t>
      </w:r>
      <w:r w:rsidR="0027376A">
        <w:t xml:space="preserve"> </w:t>
      </w:r>
      <w:r>
        <w:t>6 ust.</w:t>
      </w:r>
      <w:r w:rsidR="0027376A">
        <w:t xml:space="preserve"> </w:t>
      </w:r>
      <w:r>
        <w:t>1 Konwencji ma zastosowanie, pod warunkiem że korzyść lub</w:t>
      </w:r>
      <w:r w:rsidR="00AD58B2">
        <w:t> </w:t>
      </w:r>
      <w:r>
        <w:t>przywilej po ich przyznaniu prowadzi do powstania prawa o charakterze cywilnym (</w:t>
      </w:r>
      <w:r>
        <w:rPr>
          <w:i/>
          <w:iCs/>
        </w:rPr>
        <w:t>ibid.</w:t>
      </w:r>
      <w:r w:rsidR="00C0533D">
        <w:rPr>
          <w:i/>
          <w:iCs/>
        </w:rPr>
        <w:t>,</w:t>
      </w:r>
      <w:r>
        <w:rPr>
          <w:i/>
          <w:iCs/>
        </w:rPr>
        <w:t xml:space="preserve"> </w:t>
      </w:r>
      <w:r>
        <w:t>§</w:t>
      </w:r>
      <w:r w:rsidR="0027376A">
        <w:t xml:space="preserve"> </w:t>
      </w:r>
      <w:r>
        <w:t xml:space="preserve">105). Choć dostęp do zatrudnienia i do wykonywanych funkcji </w:t>
      </w:r>
      <w:r w:rsidR="00C0533D">
        <w:t xml:space="preserve">może </w:t>
      </w:r>
      <w:r>
        <w:t>stanowi</w:t>
      </w:r>
      <w:r w:rsidR="00C0533D">
        <w:t>ć</w:t>
      </w:r>
      <w:r>
        <w:t xml:space="preserve"> co do zasady przywilej, który nie może być prawnie dochodzony, nie dotyczy to przypadku kontynuowania takiego stosunku pracy lub warunków, w których jest on realizowany (</w:t>
      </w:r>
      <w:r w:rsidR="00DE5D9C">
        <w:rPr>
          <w:i/>
          <w:iCs/>
        </w:rPr>
        <w:t xml:space="preserve">ibid., </w:t>
      </w:r>
      <w:r>
        <w:t>§</w:t>
      </w:r>
      <w:r w:rsidR="0027376A">
        <w:t xml:space="preserve"> </w:t>
      </w:r>
      <w:r>
        <w:t xml:space="preserve">117). Przykładowo w wyroku w sprawie </w:t>
      </w:r>
      <w:r>
        <w:rPr>
          <w:i/>
          <w:iCs/>
        </w:rPr>
        <w:t>Baka</w:t>
      </w:r>
      <w:r>
        <w:t xml:space="preserve"> Trybunał uznał prawo Prezesa Sądu Najwyższego do zachowania stanowiska do końca sześcioletniej kadencji, wynikającej z węgierskiego prawa (zob. </w:t>
      </w:r>
      <w:r>
        <w:rPr>
          <w:i/>
          <w:iCs/>
        </w:rPr>
        <w:t>Baka</w:t>
      </w:r>
      <w:r>
        <w:t xml:space="preserve">, </w:t>
      </w:r>
      <w:r>
        <w:rPr>
          <w:i/>
          <w:iCs/>
        </w:rPr>
        <w:t>op. cit.</w:t>
      </w:r>
      <w:r>
        <w:t>, §§</w:t>
      </w:r>
      <w:r w:rsidR="0027376A">
        <w:t xml:space="preserve"> </w:t>
      </w:r>
      <w:r>
        <w:t>107–11).</w:t>
      </w:r>
    </w:p>
    <w:p w:rsidR="005A52C0" w:rsidRPr="00FF2363" w:rsidRDefault="005A52C0" w:rsidP="00FF2363">
      <w:pPr>
        <w:pStyle w:val="ECHRHeading5"/>
      </w:pPr>
      <w:r w:rsidRPr="003927A6">
        <w:t>(ii)</w:t>
      </w:r>
      <w:r w:rsidR="0027376A" w:rsidRPr="003927A6">
        <w:t xml:space="preserve"> </w:t>
      </w:r>
      <w:r w:rsidRPr="003927A6">
        <w:t>Zastosowanie tych zasad w niniejszej sprawie</w:t>
      </w:r>
    </w:p>
    <w:p w:rsidR="005A52C0" w:rsidRPr="00FF2363" w:rsidRDefault="005A52C0" w:rsidP="00FF2363">
      <w:pPr>
        <w:pStyle w:val="ECHRPara"/>
      </w:pPr>
      <w:r w:rsidRPr="00FF2363">
        <w:rPr>
          <w:noProof/>
        </w:rPr>
        <w:t>47</w:t>
      </w:r>
      <w:r>
        <w:t>.</w:t>
      </w:r>
      <w:r w:rsidR="0027376A">
        <w:t xml:space="preserve"> </w:t>
      </w:r>
      <w:r>
        <w:t>Dokonując zastosowania tych zasad w przedmiotowej sprawie, Trybunał przede wszystkim zauważa, że istniał „spór” co do wykonywania prawa do piastowania stanowiska prezesa sądu. Co się tyczy tego, czy</w:t>
      </w:r>
      <w:r w:rsidR="00AD58B2">
        <w:t> </w:t>
      </w:r>
      <w:r>
        <w:t>o</w:t>
      </w:r>
      <w:r w:rsidR="00AD58B2">
        <w:t> </w:t>
      </w:r>
      <w:r>
        <w:t xml:space="preserve">takim „prawie” można powiedzieć </w:t>
      </w:r>
      <w:r w:rsidR="00DD683D">
        <w:t>–</w:t>
      </w:r>
      <w:r>
        <w:t xml:space="preserve"> w oparciu o co najmniej dające się uzasadnić przesłanki</w:t>
      </w:r>
      <w:r w:rsidR="003927A6">
        <w:t xml:space="preserve"> (</w:t>
      </w:r>
      <w:r w:rsidR="003927A6" w:rsidRPr="003927A6">
        <w:rPr>
          <w:i/>
        </w:rPr>
        <w:t>on</w:t>
      </w:r>
      <w:r w:rsidR="003927A6">
        <w:t xml:space="preserve"> </w:t>
      </w:r>
      <w:r w:rsidR="003927A6">
        <w:rPr>
          <w:i/>
        </w:rPr>
        <w:t>arguable grounds</w:t>
      </w:r>
      <w:r w:rsidR="003927A6">
        <w:t>)</w:t>
      </w:r>
      <w:r>
        <w:t xml:space="preserve"> </w:t>
      </w:r>
      <w:r w:rsidR="00DD683D">
        <w:t>–</w:t>
      </w:r>
      <w:r>
        <w:t xml:space="preserve"> że jest uznawane w</w:t>
      </w:r>
      <w:r w:rsidR="00AD58B2">
        <w:t> </w:t>
      </w:r>
      <w:r>
        <w:t>przepisach krajowych, należy zauważyć, że skarżącego powołano na</w:t>
      </w:r>
      <w:r w:rsidR="00AD58B2">
        <w:t> </w:t>
      </w:r>
      <w:r>
        <w:t>stanowisko prezesa Apelacyjnego Sądu Administracyjnego w Kijowie na</w:t>
      </w:r>
      <w:r w:rsidR="00AD58B2">
        <w:t> </w:t>
      </w:r>
      <w:r>
        <w:t xml:space="preserve">pięcioletnią kadencję (zob. </w:t>
      </w:r>
      <w:r w:rsidR="00043509">
        <w:t>paragraf</w:t>
      </w:r>
      <w:r w:rsidR="0027376A">
        <w:t xml:space="preserve"> </w:t>
      </w:r>
      <w:r w:rsidRPr="00FF2363">
        <w:t>13</w:t>
      </w:r>
      <w:r>
        <w:t xml:space="preserve"> powyżej), a fakt jego powołania na to stanowisko na taki okres nie był przedmiotem sporu na szczeblu krajowym. Za swoją służbę na stanowisku prezesa sądu skarżący otrzymał określone wynagrodzenie, a jego odwołanie obwarowane było pewnymi warunkami materialnoprawnymi i</w:t>
      </w:r>
      <w:r w:rsidR="0027376A">
        <w:t xml:space="preserve"> </w:t>
      </w:r>
      <w:r>
        <w:t>proceduralnymi. Zważywszy na</w:t>
      </w:r>
      <w:r w:rsidR="00AD58B2">
        <w:t> </w:t>
      </w:r>
      <w:r>
        <w:t>powyższe oraz na fakt, że istnienie rzeczonego prawa nie było przedmiotem sporu między stronami, nie ma podstaw do tego, by</w:t>
      </w:r>
      <w:r w:rsidR="00AD58B2">
        <w:t> </w:t>
      </w:r>
      <w:r>
        <w:t xml:space="preserve">stwierdzić, że prawo skarżącego do pełnienia służby na </w:t>
      </w:r>
      <w:r w:rsidR="003927A6">
        <w:t xml:space="preserve">tym </w:t>
      </w:r>
      <w:r>
        <w:t>stanowisku administracyjnym nie było uznane w prawie krajowym. Wprawdzie skarżący został powołany na okres pięciu lat, lecz jego prawo do</w:t>
      </w:r>
      <w:r w:rsidR="00AD58B2">
        <w:t> </w:t>
      </w:r>
      <w:r>
        <w:t>piastowania tego stanowiska było ograniczone w czasie z uwagi na fakt, że w 2013</w:t>
      </w:r>
      <w:r w:rsidR="0027376A">
        <w:t xml:space="preserve"> </w:t>
      </w:r>
      <w:r>
        <w:t>r., przed upływem kadencji, miał osiągnąć wiek emerytalny (zob.</w:t>
      </w:r>
      <w:r w:rsidR="00AD58B2">
        <w:t> </w:t>
      </w:r>
      <w:r>
        <w:t>art.</w:t>
      </w:r>
      <w:r w:rsidR="0027376A">
        <w:t xml:space="preserve"> </w:t>
      </w:r>
      <w:r>
        <w:t xml:space="preserve">126 Konstytucji, przywoływany w </w:t>
      </w:r>
      <w:r w:rsidR="00043509">
        <w:t>paragraf</w:t>
      </w:r>
      <w:r w:rsidR="00507637">
        <w:t>ie</w:t>
      </w:r>
      <w:r w:rsidR="0027376A">
        <w:t xml:space="preserve"> </w:t>
      </w:r>
      <w:r w:rsidRPr="00FF2363">
        <w:t>26</w:t>
      </w:r>
      <w:r>
        <w:t xml:space="preserve"> powyżej).</w:t>
      </w:r>
    </w:p>
    <w:p w:rsidR="005A52C0" w:rsidRPr="00FF2363" w:rsidRDefault="005A52C0" w:rsidP="00FF2363">
      <w:pPr>
        <w:pStyle w:val="ECHRPara"/>
      </w:pPr>
      <w:bookmarkStart w:id="2" w:name="C1_Reasons_for_serious_dispute"/>
      <w:r w:rsidRPr="00FF2363">
        <w:t>48</w:t>
      </w:r>
      <w:bookmarkEnd w:id="2"/>
      <w:r>
        <w:t>.</w:t>
      </w:r>
      <w:r w:rsidR="0027376A">
        <w:t xml:space="preserve"> </w:t>
      </w:r>
      <w:r>
        <w:t>Trybunał zauważa ponadto, że spór był „</w:t>
      </w:r>
      <w:r w:rsidR="00D10A61">
        <w:t>rzeczywisty</w:t>
      </w:r>
      <w:r>
        <w:t>”, ponieważ między stronami brakowało zgody co do tego, czy skarżący może w</w:t>
      </w:r>
      <w:r w:rsidR="00AD58B2">
        <w:t> </w:t>
      </w:r>
      <w:r>
        <w:t>dalszym ciągu zajmować swoje stanowisko administracyjne. Ponadto</w:t>
      </w:r>
      <w:r w:rsidR="00AD58B2">
        <w:t> </w:t>
      </w:r>
      <w:r w:rsidR="003927A6">
        <w:t xml:space="preserve">spór miał charakter </w:t>
      </w:r>
      <w:r>
        <w:t>„poważny”</w:t>
      </w:r>
      <w:r w:rsidR="003927A6">
        <w:t xml:space="preserve">, </w:t>
      </w:r>
      <w:r w:rsidR="00507637">
        <w:t xml:space="preserve">zważywszy </w:t>
      </w:r>
      <w:r w:rsidR="003927A6">
        <w:t>na rolę</w:t>
      </w:r>
      <w:r>
        <w:t xml:space="preserve"> prezesa sądu (zob. art.</w:t>
      </w:r>
      <w:r w:rsidR="0027376A">
        <w:t xml:space="preserve"> </w:t>
      </w:r>
      <w:r>
        <w:t>29 ustawy o</w:t>
      </w:r>
      <w:r w:rsidR="0027376A">
        <w:t xml:space="preserve"> </w:t>
      </w:r>
      <w:r>
        <w:t>ustroju sądów i statusie sędziów, przywoływany w</w:t>
      </w:r>
      <w:r w:rsidR="00AD58B2">
        <w:t> </w:t>
      </w:r>
      <w:r w:rsidR="00043509">
        <w:t>paragraf</w:t>
      </w:r>
      <w:r w:rsidR="00507637">
        <w:t>ie</w:t>
      </w:r>
      <w:r w:rsidR="0027376A">
        <w:t xml:space="preserve"> </w:t>
      </w:r>
      <w:r w:rsidRPr="00FF2363">
        <w:t>28</w:t>
      </w:r>
      <w:r w:rsidR="003927A6">
        <w:t xml:space="preserve"> powyżej) oraz bezpośrednią szkodę majątkową wynikającą</w:t>
      </w:r>
      <w:r>
        <w:t xml:space="preserve"> z usunięcia skarżącego ze stanowiska administracyjnego. W tym względzie argument Rządu, jakoby obniżenie wynagrodzenia nie miało znaczącego wpływu na sytuację skarżącego, jest nieprzekonujący. Wyliczenia szkody </w:t>
      </w:r>
      <w:r>
        <w:lastRenderedPageBreak/>
        <w:t xml:space="preserve">majątkowej dokonane przez skarżącego w ramach odwołania wniesionego na szczeblu krajowym obejmowały jedynie krótki okres (zob. </w:t>
      </w:r>
      <w:r w:rsidR="00043509">
        <w:t>paragraf</w:t>
      </w:r>
      <w:r w:rsidR="0027376A">
        <w:t xml:space="preserve"> </w:t>
      </w:r>
      <w:r w:rsidRPr="00FF2363">
        <w:t>22</w:t>
      </w:r>
      <w:r>
        <w:t xml:space="preserve"> powyżej), który do owego czasu upłynął, ponieważ jego zasadniczym celem było doprowadzenie do przywrócenia skarżącego na stanowisko prezesa sądu. Negatywny wpływ na sytuację majątkową skarżącego nie był jednak nieznaczny z perspektywy całego okresu służby na stanowisku sędziego, który pozostał mu do końca kadencji.</w:t>
      </w:r>
    </w:p>
    <w:p w:rsidR="005A52C0" w:rsidRPr="00FF2363" w:rsidRDefault="005A52C0" w:rsidP="00FF2363">
      <w:pPr>
        <w:pStyle w:val="ECHRPara"/>
      </w:pPr>
      <w:r w:rsidRPr="00FF2363">
        <w:rPr>
          <w:noProof/>
        </w:rPr>
        <w:t>49</w:t>
      </w:r>
      <w:r>
        <w:t>.</w:t>
      </w:r>
      <w:r w:rsidR="0027376A">
        <w:t xml:space="preserve"> </w:t>
      </w:r>
      <w:r>
        <w:t>Wreszcie spór był „bezpośrednio decydujący” dla spornego prawa, ponieważ doprowadził do przedterminowego zakończenia korzystania z</w:t>
      </w:r>
      <w:r w:rsidR="00AD58B2">
        <w:t> </w:t>
      </w:r>
      <w:r>
        <w:t>niego przez skarżącego.</w:t>
      </w:r>
    </w:p>
    <w:p w:rsidR="005A52C0" w:rsidRPr="00FF2363" w:rsidRDefault="005A52C0" w:rsidP="00FF2363">
      <w:pPr>
        <w:pStyle w:val="ECHRHeading4"/>
      </w:pPr>
      <w:r>
        <w:t>(b)</w:t>
      </w:r>
      <w:r w:rsidR="0027376A">
        <w:t xml:space="preserve"> </w:t>
      </w:r>
      <w:r>
        <w:t>Odnośnie do „cywilnego” charakteru prawa będącego przedmiotem skargi</w:t>
      </w:r>
    </w:p>
    <w:p w:rsidR="005A52C0" w:rsidRPr="00FF2363" w:rsidRDefault="005A52C0" w:rsidP="00FF2363">
      <w:pPr>
        <w:pStyle w:val="ECHRPara"/>
      </w:pPr>
      <w:r w:rsidRPr="00FF2363">
        <w:rPr>
          <w:noProof/>
        </w:rPr>
        <w:t>50</w:t>
      </w:r>
      <w:r>
        <w:t>.</w:t>
      </w:r>
      <w:r w:rsidR="0027376A">
        <w:t xml:space="preserve"> </w:t>
      </w:r>
      <w:r>
        <w:t>Rząd kwestionował możliwość zastosowania art.</w:t>
      </w:r>
      <w:r w:rsidR="0027376A">
        <w:t xml:space="preserve"> </w:t>
      </w:r>
      <w:r>
        <w:t>6, podnosząc, że</w:t>
      </w:r>
      <w:r w:rsidR="00AD58B2">
        <w:t> </w:t>
      </w:r>
      <w:r>
        <w:t xml:space="preserve">skarga należała do sfery prawa publicznego, a co za tym idzie </w:t>
      </w:r>
      <w:r w:rsidR="00AD58B2">
        <w:t>–</w:t>
      </w:r>
      <w:r>
        <w:t>nie</w:t>
      </w:r>
      <w:r w:rsidR="00AD58B2">
        <w:t> </w:t>
      </w:r>
      <w:r>
        <w:t>wchodziło w grę żadne prawo „o charakterze cywilnym”.</w:t>
      </w:r>
    </w:p>
    <w:p w:rsidR="005A52C0" w:rsidRPr="00FF2363" w:rsidRDefault="005A52C0" w:rsidP="00FF2363">
      <w:pPr>
        <w:pStyle w:val="ECHRHeading5"/>
      </w:pPr>
      <w:r>
        <w:t>(i)</w:t>
      </w:r>
      <w:r w:rsidR="0027376A">
        <w:t xml:space="preserve"> </w:t>
      </w:r>
      <w:r>
        <w:t>Istotne zasady</w:t>
      </w:r>
    </w:p>
    <w:p w:rsidR="005A52C0" w:rsidRPr="00FF2363" w:rsidRDefault="005A52C0" w:rsidP="00FF2363">
      <w:pPr>
        <w:pStyle w:val="ECHRPara"/>
      </w:pPr>
      <w:r w:rsidRPr="00FF2363">
        <w:rPr>
          <w:noProof/>
        </w:rPr>
        <w:t>51</w:t>
      </w:r>
      <w:r>
        <w:t>.</w:t>
      </w:r>
      <w:r w:rsidR="0027376A">
        <w:t xml:space="preserve"> </w:t>
      </w:r>
      <w:r>
        <w:t>W związku z tym należy zauważyć, że zakres „cywilnego charakteru” w art.</w:t>
      </w:r>
      <w:r w:rsidR="0027376A">
        <w:t xml:space="preserve"> </w:t>
      </w:r>
      <w:r>
        <w:t>6 nie jest ograniczony kwestią bezpośrednio podnoszoną w sporze. Trybunał przyjął szersze podejście, zgodnie z którym aspekt „cywilny” obejmuje sprawy z pozoru niedotyczące prawa o charakterze cywilnym, lecz mogące mieć bezpośrednie i znaczne konsekwencje dla</w:t>
      </w:r>
      <w:r w:rsidR="00AD58B2">
        <w:t> </w:t>
      </w:r>
      <w:r>
        <w:t>prywatnych praw o charakterze pieniężnym i niepieniężnym należnych jednostce. W ramach tego podejścia aspekt cywilny art.</w:t>
      </w:r>
      <w:r w:rsidR="0027376A">
        <w:t xml:space="preserve"> </w:t>
      </w:r>
      <w:r>
        <w:t>6 znajduje zastosowanie w różnych sprawach, które na gruncie prawa krajowego mogą być uznawane za spory należące do sfery prawa publicznego. Wśród</w:t>
      </w:r>
      <w:r w:rsidR="00AD58B2">
        <w:t> </w:t>
      </w:r>
      <w:r>
        <w:t xml:space="preserve">przykładów takich spraw wymienić można postępowania dyscyplinarne dotyczące prawa do wykonywania zawodu (zob. </w:t>
      </w:r>
      <w:r>
        <w:rPr>
          <w:i/>
          <w:iCs/>
        </w:rPr>
        <w:t>Le Compte, Van Leuven i</w:t>
      </w:r>
      <w:r w:rsidR="0027376A">
        <w:rPr>
          <w:i/>
          <w:iCs/>
        </w:rPr>
        <w:t xml:space="preserve"> </w:t>
      </w:r>
      <w:r>
        <w:rPr>
          <w:i/>
          <w:iCs/>
        </w:rPr>
        <w:t>De Meyere przeciwko Belgii</w:t>
      </w:r>
      <w:r>
        <w:t>, 23</w:t>
      </w:r>
      <w:r w:rsidR="0027376A">
        <w:t xml:space="preserve"> </w:t>
      </w:r>
      <w:r>
        <w:t>czerwca 1981</w:t>
      </w:r>
      <w:r w:rsidR="0027376A">
        <w:t xml:space="preserve"> </w:t>
      </w:r>
      <w:r>
        <w:t>r., §§</w:t>
      </w:r>
      <w:r w:rsidR="0027376A">
        <w:t xml:space="preserve"> </w:t>
      </w:r>
      <w:r>
        <w:t>47 i</w:t>
      </w:r>
      <w:r w:rsidR="0027376A">
        <w:t xml:space="preserve"> </w:t>
      </w:r>
      <w:r>
        <w:t>48, seria</w:t>
      </w:r>
      <w:r w:rsidR="0027376A">
        <w:t xml:space="preserve"> </w:t>
      </w:r>
      <w:r>
        <w:t>A nr</w:t>
      </w:r>
      <w:r w:rsidR="0027376A">
        <w:t xml:space="preserve"> </w:t>
      </w:r>
      <w:r>
        <w:t xml:space="preserve">43 oraz </w:t>
      </w:r>
      <w:r>
        <w:rPr>
          <w:i/>
          <w:iCs/>
        </w:rPr>
        <w:t>Philis przeciwko Grecji (nr</w:t>
      </w:r>
      <w:r w:rsidR="0027376A">
        <w:rPr>
          <w:i/>
          <w:iCs/>
        </w:rPr>
        <w:t xml:space="preserve"> </w:t>
      </w:r>
      <w:r>
        <w:rPr>
          <w:i/>
          <w:iCs/>
        </w:rPr>
        <w:t>2)</w:t>
      </w:r>
      <w:r>
        <w:t>, 27</w:t>
      </w:r>
      <w:r w:rsidR="0027376A">
        <w:t xml:space="preserve"> </w:t>
      </w:r>
      <w:r>
        <w:t>czerwca 1997</w:t>
      </w:r>
      <w:r w:rsidR="0027376A">
        <w:t xml:space="preserve"> </w:t>
      </w:r>
      <w:r>
        <w:t>r., §</w:t>
      </w:r>
      <w:r w:rsidR="0027376A">
        <w:t xml:space="preserve"> </w:t>
      </w:r>
      <w:r>
        <w:t xml:space="preserve">45, </w:t>
      </w:r>
      <w:r>
        <w:rPr>
          <w:i/>
          <w:iCs/>
        </w:rPr>
        <w:t>Zbiór Wyroków i Decyzji</w:t>
      </w:r>
      <w:r>
        <w:t xml:space="preserve"> 1997</w:t>
      </w:r>
      <w:r>
        <w:noBreakHyphen/>
        <w:t xml:space="preserve">IV), spory dotyczące prawa do zdrowego środowiska (zob. </w:t>
      </w:r>
      <w:r>
        <w:rPr>
          <w:i/>
          <w:iCs/>
        </w:rPr>
        <w:t>Taşkın i Inni przeciwko Turcji</w:t>
      </w:r>
      <w:r>
        <w:t>, skarga nr</w:t>
      </w:r>
      <w:r w:rsidR="0027376A">
        <w:t xml:space="preserve"> </w:t>
      </w:r>
      <w:r>
        <w:t>46117/99, §</w:t>
      </w:r>
      <w:r w:rsidR="0027376A">
        <w:t xml:space="preserve"> </w:t>
      </w:r>
      <w:r>
        <w:t xml:space="preserve">133, </w:t>
      </w:r>
      <w:r w:rsidR="000D5B2D">
        <w:t>ETPC</w:t>
      </w:r>
      <w:r>
        <w:t xml:space="preserve"> 2004</w:t>
      </w:r>
      <w:r>
        <w:noBreakHyphen/>
        <w:t xml:space="preserve">X), warunków osadzenia więźniów (zob. </w:t>
      </w:r>
      <w:r>
        <w:rPr>
          <w:i/>
          <w:iCs/>
        </w:rPr>
        <w:t>Ganci przeciwko Włochom</w:t>
      </w:r>
      <w:r>
        <w:t>, skarga nr</w:t>
      </w:r>
      <w:r w:rsidR="0027376A">
        <w:t xml:space="preserve"> </w:t>
      </w:r>
      <w:r>
        <w:t>41576/98, §</w:t>
      </w:r>
      <w:r w:rsidR="0027376A">
        <w:t xml:space="preserve"> </w:t>
      </w:r>
      <w:r>
        <w:t xml:space="preserve">25, </w:t>
      </w:r>
      <w:r w:rsidR="000D5B2D">
        <w:t>ETPC</w:t>
      </w:r>
      <w:r>
        <w:t xml:space="preserve"> 2003</w:t>
      </w:r>
      <w:r>
        <w:noBreakHyphen/>
        <w:t xml:space="preserve">XI oraz </w:t>
      </w:r>
      <w:r>
        <w:rPr>
          <w:i/>
          <w:iCs/>
        </w:rPr>
        <w:t>Enea przeciwko Włochom</w:t>
      </w:r>
      <w:r>
        <w:t xml:space="preserve"> [WI], skarga nr</w:t>
      </w:r>
      <w:r w:rsidR="0027376A">
        <w:t xml:space="preserve"> </w:t>
      </w:r>
      <w:r>
        <w:t>74912/01, §</w:t>
      </w:r>
      <w:r w:rsidR="0027376A">
        <w:t xml:space="preserve"> </w:t>
      </w:r>
      <w:r>
        <w:t xml:space="preserve">103, </w:t>
      </w:r>
      <w:r w:rsidR="000D5B2D">
        <w:t>ETPC</w:t>
      </w:r>
      <w:r>
        <w:t xml:space="preserve"> 2009), prawa do dostępu do dokumentów dotyczących dochodzenia (zob. </w:t>
      </w:r>
      <w:r>
        <w:rPr>
          <w:i/>
          <w:iCs/>
        </w:rPr>
        <w:t>Savitskyy przeciwko Ukrainie</w:t>
      </w:r>
      <w:r>
        <w:t>, skarga nr</w:t>
      </w:r>
      <w:r w:rsidR="0027376A">
        <w:t xml:space="preserve"> </w:t>
      </w:r>
      <w:r>
        <w:t>38773/05</w:t>
      </w:r>
      <w:r>
        <w:rPr>
          <w:snapToGrid w:val="0"/>
        </w:rPr>
        <w:t>, §§</w:t>
      </w:r>
      <w:r w:rsidR="0027376A">
        <w:rPr>
          <w:snapToGrid w:val="0"/>
        </w:rPr>
        <w:t xml:space="preserve"> </w:t>
      </w:r>
      <w:r>
        <w:rPr>
          <w:snapToGrid w:val="0"/>
        </w:rPr>
        <w:t>143–45, 2</w:t>
      </w:r>
      <w:r>
        <w:t>6</w:t>
      </w:r>
      <w:r w:rsidR="0027376A">
        <w:rPr>
          <w:snapToGrid w:val="0"/>
        </w:rPr>
        <w:t xml:space="preserve"> </w:t>
      </w:r>
      <w:r>
        <w:rPr>
          <w:snapToGrid w:val="0"/>
        </w:rPr>
        <w:t>lipca 2012</w:t>
      </w:r>
      <w:r w:rsidR="0027376A">
        <w:rPr>
          <w:snapToGrid w:val="0"/>
        </w:rPr>
        <w:t xml:space="preserve"> </w:t>
      </w:r>
      <w:r>
        <w:rPr>
          <w:snapToGrid w:val="0"/>
        </w:rPr>
        <w:t xml:space="preserve">r.), spory dotyczące nieujęcia wyroku skazującego w </w:t>
      </w:r>
      <w:r>
        <w:t xml:space="preserve">rejestrze karnym (zob. </w:t>
      </w:r>
      <w:r>
        <w:rPr>
          <w:i/>
          <w:iCs/>
        </w:rPr>
        <w:t>Alexandre przeciwko Portugalii</w:t>
      </w:r>
      <w:r>
        <w:t>, skarga nr</w:t>
      </w:r>
      <w:r w:rsidR="0027376A">
        <w:t xml:space="preserve"> </w:t>
      </w:r>
      <w:r>
        <w:t>33197/09</w:t>
      </w:r>
      <w:r>
        <w:rPr>
          <w:snapToGrid w:val="0"/>
        </w:rPr>
        <w:t>, §§</w:t>
      </w:r>
      <w:r w:rsidR="0027376A">
        <w:rPr>
          <w:snapToGrid w:val="0"/>
        </w:rPr>
        <w:t xml:space="preserve"> </w:t>
      </w:r>
      <w:r>
        <w:rPr>
          <w:snapToGrid w:val="0"/>
        </w:rPr>
        <w:t>54 i</w:t>
      </w:r>
      <w:r w:rsidR="0027376A">
        <w:rPr>
          <w:snapToGrid w:val="0"/>
        </w:rPr>
        <w:t xml:space="preserve"> </w:t>
      </w:r>
      <w:r>
        <w:rPr>
          <w:snapToGrid w:val="0"/>
        </w:rPr>
        <w:t>55, 20</w:t>
      </w:r>
      <w:r w:rsidR="0027376A">
        <w:rPr>
          <w:snapToGrid w:val="0"/>
        </w:rPr>
        <w:t xml:space="preserve"> </w:t>
      </w:r>
      <w:r>
        <w:rPr>
          <w:snapToGrid w:val="0"/>
        </w:rPr>
        <w:t>listopada 2012</w:t>
      </w:r>
      <w:r w:rsidR="0027376A">
        <w:rPr>
          <w:snapToGrid w:val="0"/>
        </w:rPr>
        <w:t xml:space="preserve"> </w:t>
      </w:r>
      <w:r>
        <w:rPr>
          <w:snapToGrid w:val="0"/>
        </w:rPr>
        <w:t xml:space="preserve">r.), </w:t>
      </w:r>
      <w:r>
        <w:t xml:space="preserve">postępowania w sprawie zastosowania nieizolacyjnego środka zapobiegawczego (zob. </w:t>
      </w:r>
      <w:r>
        <w:rPr>
          <w:i/>
          <w:iCs/>
        </w:rPr>
        <w:t xml:space="preserve">De Tommaso przeciwko Włochom </w:t>
      </w:r>
      <w:r>
        <w:t>[WI], skarga nr</w:t>
      </w:r>
      <w:r w:rsidR="00AD58B2">
        <w:t> </w:t>
      </w:r>
      <w:r>
        <w:t>43395/09, §</w:t>
      </w:r>
      <w:r w:rsidR="0027376A">
        <w:t xml:space="preserve"> </w:t>
      </w:r>
      <w:r>
        <w:t xml:space="preserve">154, </w:t>
      </w:r>
      <w:r w:rsidR="000D5B2D">
        <w:t>ETPC</w:t>
      </w:r>
      <w:r>
        <w:t xml:space="preserve"> 2017 (fragmenty)) oraz anulowanie poświadczenia bezpieczeństwa urzędnika cywilnego w Ministerstwie Obrony (zob. </w:t>
      </w:r>
      <w:r>
        <w:rPr>
          <w:i/>
          <w:iCs/>
        </w:rPr>
        <w:t>Regner</w:t>
      </w:r>
      <w:r>
        <w:t xml:space="preserve">, </w:t>
      </w:r>
      <w:r>
        <w:rPr>
          <w:i/>
          <w:iCs/>
        </w:rPr>
        <w:t>op. cit</w:t>
      </w:r>
      <w:r>
        <w:t>, §§</w:t>
      </w:r>
      <w:r w:rsidR="0027376A">
        <w:t xml:space="preserve"> </w:t>
      </w:r>
      <w:r>
        <w:t>113–27).</w:t>
      </w:r>
    </w:p>
    <w:p w:rsidR="005A52C0" w:rsidRPr="00FF2363" w:rsidRDefault="005A52C0" w:rsidP="00FF2363">
      <w:pPr>
        <w:pStyle w:val="ECHRPara"/>
        <w:rPr>
          <w:i/>
          <w:iCs/>
        </w:rPr>
      </w:pPr>
      <w:r w:rsidRPr="00FF2363">
        <w:rPr>
          <w:noProof/>
        </w:rPr>
        <w:lastRenderedPageBreak/>
        <w:t>52</w:t>
      </w:r>
      <w:r>
        <w:t>.</w:t>
      </w:r>
      <w:r w:rsidR="0027376A">
        <w:t xml:space="preserve"> </w:t>
      </w:r>
      <w:r>
        <w:t>Op</w:t>
      </w:r>
      <w:r w:rsidR="003B0B9D">
        <w:t xml:space="preserve">rócz </w:t>
      </w:r>
      <w:r>
        <w:t xml:space="preserve">wymienionych </w:t>
      </w:r>
      <w:r w:rsidR="00507637">
        <w:t xml:space="preserve">wyżej </w:t>
      </w:r>
      <w:r>
        <w:t xml:space="preserve">zmian orzecznictwa zakres aspektu „cywilnego” uległ znacznemu poszerzeniu w </w:t>
      </w:r>
      <w:r w:rsidR="003B0B9D">
        <w:t>odniesieniu do sporów dotyczących</w:t>
      </w:r>
      <w:r>
        <w:t xml:space="preserve"> zatrudnienia w służbach publicznych </w:t>
      </w:r>
      <w:r w:rsidR="00DD683D">
        <w:t>–</w:t>
      </w:r>
      <w:r>
        <w:t xml:space="preserve"> sfery, do której przedmiotowa sprawa ma bezpośrednie odniesienie. W wyroku w sprawie </w:t>
      </w:r>
      <w:r>
        <w:rPr>
          <w:i/>
          <w:iCs/>
        </w:rPr>
        <w:t>Vilho Eskelinen i Inni</w:t>
      </w:r>
      <w:r>
        <w:t xml:space="preserve"> (</w:t>
      </w:r>
      <w:r>
        <w:rPr>
          <w:i/>
          <w:iCs/>
        </w:rPr>
        <w:t>op. cit.)</w:t>
      </w:r>
      <w:r>
        <w:t xml:space="preserve"> Trybunał, zważywszy na istniejący stan rzeczy w Układających się Państwach oraz na względy </w:t>
      </w:r>
      <w:r w:rsidR="003B0B9D">
        <w:t xml:space="preserve">dotyczące </w:t>
      </w:r>
      <w:r>
        <w:t xml:space="preserve">niestosowania dyskryminacji urzędników cywilnych </w:t>
      </w:r>
      <w:r w:rsidRPr="00D10A61">
        <w:t>względem</w:t>
      </w:r>
      <w:r>
        <w:t xml:space="preserve"> pracowników podmiotów prywatnych, ustanowił domniemanie, że art.</w:t>
      </w:r>
      <w:r w:rsidR="0027376A">
        <w:t xml:space="preserve"> </w:t>
      </w:r>
      <w:r>
        <w:t>6 znajduje zastosowanie w</w:t>
      </w:r>
      <w:r w:rsidR="0027376A">
        <w:t xml:space="preserve"> </w:t>
      </w:r>
      <w:r>
        <w:t xml:space="preserve">przypadku „zwykłych sporów pracowniczych” między urzędnikami cywilnymi a Państwem oraz że to na pozwanym Rządzie spoczywa ciężar wykazania, iż urzędnik cywilny nie miał prawa dostępu do sądu na gruncie prawa krajowego, </w:t>
      </w:r>
      <w:r w:rsidR="003B0B9D">
        <w:t xml:space="preserve">a </w:t>
      </w:r>
      <w:r>
        <w:t>wyłączenie jego praw wynikających z</w:t>
      </w:r>
      <w:r w:rsidR="0027376A">
        <w:t xml:space="preserve"> </w:t>
      </w:r>
      <w:r>
        <w:t>art.</w:t>
      </w:r>
      <w:r w:rsidR="0027376A">
        <w:t xml:space="preserve"> </w:t>
      </w:r>
      <w:r>
        <w:t>6 było uzasadnione (</w:t>
      </w:r>
      <w:r>
        <w:rPr>
          <w:i/>
          <w:iCs/>
        </w:rPr>
        <w:t>ibid.</w:t>
      </w:r>
      <w:r w:rsidR="003B0B9D">
        <w:rPr>
          <w:i/>
          <w:iCs/>
        </w:rPr>
        <w:t>,</w:t>
      </w:r>
      <w:r>
        <w:t xml:space="preserve"> §</w:t>
      </w:r>
      <w:r w:rsidR="0027376A">
        <w:t xml:space="preserve"> </w:t>
      </w:r>
      <w:r>
        <w:t>62). Na podstawie zasad określonych w</w:t>
      </w:r>
      <w:r w:rsidR="0027376A">
        <w:t xml:space="preserve"> </w:t>
      </w:r>
      <w:r>
        <w:t xml:space="preserve">wyroku w sprawie </w:t>
      </w:r>
      <w:r>
        <w:rPr>
          <w:i/>
          <w:iCs/>
        </w:rPr>
        <w:t>Vilho Eskelinen i Inni</w:t>
      </w:r>
      <w:r>
        <w:t xml:space="preserve"> art.</w:t>
      </w:r>
      <w:r w:rsidR="0027376A">
        <w:t xml:space="preserve"> </w:t>
      </w:r>
      <w:r>
        <w:t xml:space="preserve">6 </w:t>
      </w:r>
      <w:r w:rsidR="003B0B9D">
        <w:t xml:space="preserve">został zastosowany </w:t>
      </w:r>
      <w:r>
        <w:t>do sporów dotyczących zatrudnienia sędziów odwołanych z</w:t>
      </w:r>
      <w:r w:rsidR="00AD58B2">
        <w:t> </w:t>
      </w:r>
      <w:r>
        <w:t xml:space="preserve">urzędu sędziowskiego (zob. na przykład </w:t>
      </w:r>
      <w:r>
        <w:rPr>
          <w:i/>
          <w:iCs/>
        </w:rPr>
        <w:t>Oleksandr Volkov</w:t>
      </w:r>
      <w:r>
        <w:t xml:space="preserve">, </w:t>
      </w:r>
      <w:r>
        <w:rPr>
          <w:i/>
          <w:iCs/>
        </w:rPr>
        <w:t>op. cit.</w:t>
      </w:r>
      <w:r>
        <w:t>, §§</w:t>
      </w:r>
      <w:r w:rsidR="0027376A">
        <w:t xml:space="preserve"> </w:t>
      </w:r>
      <w:r>
        <w:t xml:space="preserve">91 i 96; </w:t>
      </w:r>
      <w:r>
        <w:rPr>
          <w:i/>
          <w:iCs/>
        </w:rPr>
        <w:t>Kulykov i Inni przeciwko</w:t>
      </w:r>
      <w:r w:rsidR="0027376A">
        <w:rPr>
          <w:i/>
          <w:iCs/>
        </w:rPr>
        <w:t xml:space="preserve"> </w:t>
      </w:r>
      <w:r>
        <w:rPr>
          <w:i/>
          <w:iCs/>
        </w:rPr>
        <w:t>Ukrainie</w:t>
      </w:r>
      <w:r>
        <w:t>, skargi nr 5114/09 i</w:t>
      </w:r>
      <w:r>
        <w:rPr>
          <w:i/>
          <w:iCs/>
        </w:rPr>
        <w:t xml:space="preserve"> </w:t>
      </w:r>
      <w:r>
        <w:t>17</w:t>
      </w:r>
      <w:r w:rsidR="0027376A">
        <w:t xml:space="preserve"> </w:t>
      </w:r>
      <w:r>
        <w:t>innych, §§</w:t>
      </w:r>
      <w:r w:rsidR="00AD58B2">
        <w:t> </w:t>
      </w:r>
      <w:r>
        <w:t>118 i 132, 19</w:t>
      </w:r>
      <w:r w:rsidR="0027376A">
        <w:t xml:space="preserve"> </w:t>
      </w:r>
      <w:r>
        <w:t>stycznia 2017</w:t>
      </w:r>
      <w:r w:rsidR="0027376A">
        <w:t xml:space="preserve"> </w:t>
      </w:r>
      <w:r>
        <w:t xml:space="preserve">r.; </w:t>
      </w:r>
      <w:r>
        <w:rPr>
          <w:i/>
          <w:iCs/>
        </w:rPr>
        <w:t>Sturua przeciwko Gruzji</w:t>
      </w:r>
      <w:r>
        <w:t>, skarga nr</w:t>
      </w:r>
      <w:r w:rsidR="00AD58B2">
        <w:t> </w:t>
      </w:r>
      <w:r>
        <w:t>45729/05, §</w:t>
      </w:r>
      <w:r w:rsidR="0027376A">
        <w:t xml:space="preserve"> </w:t>
      </w:r>
      <w:r>
        <w:t>27, 28</w:t>
      </w:r>
      <w:r w:rsidR="0027376A">
        <w:t xml:space="preserve"> </w:t>
      </w:r>
      <w:r>
        <w:t>marca 2017</w:t>
      </w:r>
      <w:r w:rsidR="0027376A">
        <w:t xml:space="preserve"> </w:t>
      </w:r>
      <w:r>
        <w:t xml:space="preserve">r.; oraz </w:t>
      </w:r>
      <w:r>
        <w:rPr>
          <w:rStyle w:val="ECHRParaChar"/>
          <w:i/>
          <w:iCs/>
        </w:rPr>
        <w:t>Kamenos przeciwko Cyprowi</w:t>
      </w:r>
      <w:r>
        <w:t>, skarga nr</w:t>
      </w:r>
      <w:r w:rsidR="0027376A">
        <w:t xml:space="preserve"> </w:t>
      </w:r>
      <w:r>
        <w:t>147/07, §</w:t>
      </w:r>
      <w:r w:rsidR="0027376A">
        <w:t xml:space="preserve"> </w:t>
      </w:r>
      <w:r>
        <w:t>88, 31</w:t>
      </w:r>
      <w:r w:rsidR="0027376A">
        <w:t xml:space="preserve"> </w:t>
      </w:r>
      <w:r>
        <w:t>października 2017</w:t>
      </w:r>
      <w:r w:rsidR="0027376A">
        <w:t xml:space="preserve"> </w:t>
      </w:r>
      <w:r>
        <w:t xml:space="preserve">r.), usuniętych ze stanowisk administracyjnych bez uprzedniego zakończenia pełnienia obowiązków sędziego (zob. </w:t>
      </w:r>
      <w:r>
        <w:rPr>
          <w:i/>
          <w:iCs/>
        </w:rPr>
        <w:t>Baka</w:t>
      </w:r>
      <w:r>
        <w:t>,</w:t>
      </w:r>
      <w:r>
        <w:rPr>
          <w:i/>
          <w:iCs/>
        </w:rPr>
        <w:t xml:space="preserve"> op. cit.</w:t>
      </w:r>
      <w:r>
        <w:t>,</w:t>
      </w:r>
      <w:r>
        <w:rPr>
          <w:i/>
          <w:iCs/>
        </w:rPr>
        <w:t xml:space="preserve"> </w:t>
      </w:r>
      <w:r>
        <w:rPr>
          <w:snapToGrid w:val="0"/>
        </w:rPr>
        <w:t>§§</w:t>
      </w:r>
      <w:r w:rsidR="0027376A">
        <w:rPr>
          <w:snapToGrid w:val="0"/>
        </w:rPr>
        <w:t xml:space="preserve"> </w:t>
      </w:r>
      <w:r>
        <w:rPr>
          <w:snapToGrid w:val="0"/>
        </w:rPr>
        <w:t>34 i 107–11</w:t>
      </w:r>
      <w:r>
        <w:t>) lub zawieszonych w</w:t>
      </w:r>
      <w:r w:rsidR="00AD58B2">
        <w:t> </w:t>
      </w:r>
      <w:r>
        <w:t xml:space="preserve">sprawowaniu urzędu sędziowskiego (zob. </w:t>
      </w:r>
      <w:r>
        <w:rPr>
          <w:i/>
          <w:iCs/>
        </w:rPr>
        <w:t>Paluda przeciwko Słowacji</w:t>
      </w:r>
      <w:r>
        <w:t>, skarga nr</w:t>
      </w:r>
      <w:r w:rsidR="0027376A">
        <w:t xml:space="preserve"> </w:t>
      </w:r>
      <w:r>
        <w:t>33392/12, §</w:t>
      </w:r>
      <w:r w:rsidR="0027376A">
        <w:t xml:space="preserve"> </w:t>
      </w:r>
      <w:r>
        <w:t>34, 23</w:t>
      </w:r>
      <w:r w:rsidR="0027376A">
        <w:t xml:space="preserve"> </w:t>
      </w:r>
      <w:r>
        <w:t>maja 2017</w:t>
      </w:r>
      <w:r w:rsidR="0027376A">
        <w:t xml:space="preserve"> </w:t>
      </w:r>
      <w:r>
        <w:t xml:space="preserve">r.). Postanowienie to </w:t>
      </w:r>
      <w:r w:rsidR="003B0B9D">
        <w:t xml:space="preserve">zastosowano również </w:t>
      </w:r>
      <w:r>
        <w:t>do sporów dotyczących zatrudnienia urzędników cywilnych, którzy utracili uposażenie z tytułu pracy poza miejscem zamieszkania doliczane do</w:t>
      </w:r>
      <w:r w:rsidR="00AD58B2">
        <w:t> </w:t>
      </w:r>
      <w:r>
        <w:t xml:space="preserve">ich wynagrodzenia w formie dodatku (zob. </w:t>
      </w:r>
      <w:r>
        <w:rPr>
          <w:i/>
          <w:iCs/>
        </w:rPr>
        <w:t>Vilho</w:t>
      </w:r>
      <w:r>
        <w:t xml:space="preserve"> </w:t>
      </w:r>
      <w:r>
        <w:rPr>
          <w:i/>
          <w:iCs/>
        </w:rPr>
        <w:t>Eskelinen</w:t>
      </w:r>
      <w:r>
        <w:t xml:space="preserve">, </w:t>
      </w:r>
      <w:r>
        <w:rPr>
          <w:i/>
          <w:iCs/>
        </w:rPr>
        <w:t>op.</w:t>
      </w:r>
      <w:r w:rsidR="0027376A">
        <w:rPr>
          <w:i/>
          <w:iCs/>
        </w:rPr>
        <w:t xml:space="preserve"> </w:t>
      </w:r>
      <w:r>
        <w:rPr>
          <w:i/>
          <w:iCs/>
        </w:rPr>
        <w:t>cit.</w:t>
      </w:r>
      <w:r>
        <w:t>, §§</w:t>
      </w:r>
      <w:r w:rsidR="00AD58B2">
        <w:t> </w:t>
      </w:r>
      <w:r>
        <w:t xml:space="preserve">40 i 41) bądź zostali przekierowani </w:t>
      </w:r>
      <w:r w:rsidR="00DE5D9C">
        <w:t xml:space="preserve">wbrew swojej woli </w:t>
      </w:r>
      <w:r>
        <w:t xml:space="preserve">do sprawowania innego urzędu lub stanowiska, co poskutkowało obniżeniem wynagrodzenia (zob. </w:t>
      </w:r>
      <w:r>
        <w:rPr>
          <w:i/>
          <w:iCs/>
        </w:rPr>
        <w:t>Zalli przeciwko Albanii</w:t>
      </w:r>
      <w:r>
        <w:t>, skarga nr</w:t>
      </w:r>
      <w:r w:rsidR="0027376A">
        <w:t xml:space="preserve"> </w:t>
      </w:r>
      <w:r>
        <w:t>52531/07, 8</w:t>
      </w:r>
      <w:r w:rsidR="0027376A">
        <w:t xml:space="preserve"> </w:t>
      </w:r>
      <w:r>
        <w:t>lutego 2011</w:t>
      </w:r>
      <w:r w:rsidR="0027376A">
        <w:t xml:space="preserve"> </w:t>
      </w:r>
      <w:r>
        <w:t>r., oraz</w:t>
      </w:r>
      <w:r w:rsidR="00AD58B2">
        <w:t> </w:t>
      </w:r>
      <w:r>
        <w:rPr>
          <w:i/>
          <w:iCs/>
        </w:rPr>
        <w:t>Ohneberg przeciwko Austrii</w:t>
      </w:r>
      <w:r>
        <w:t>, skarga nr</w:t>
      </w:r>
      <w:r w:rsidR="0027376A">
        <w:t xml:space="preserve"> </w:t>
      </w:r>
      <w:r>
        <w:t>10781/08, 18</w:t>
      </w:r>
      <w:r w:rsidR="0027376A">
        <w:t xml:space="preserve"> </w:t>
      </w:r>
      <w:r>
        <w:t>września 2012</w:t>
      </w:r>
      <w:r w:rsidR="0027376A">
        <w:t xml:space="preserve"> </w:t>
      </w:r>
      <w:r>
        <w:t xml:space="preserve">r.). Ponadto w sprawie </w:t>
      </w:r>
      <w:r>
        <w:rPr>
          <w:i/>
          <w:iCs/>
        </w:rPr>
        <w:t>Bayer przeciwko Niemcom</w:t>
      </w:r>
      <w:r>
        <w:t xml:space="preserve"> (skarga nr</w:t>
      </w:r>
      <w:r w:rsidR="0027376A">
        <w:t xml:space="preserve"> </w:t>
      </w:r>
      <w:r>
        <w:t>8453/04</w:t>
      </w:r>
      <w:r>
        <w:rPr>
          <w:snapToGrid w:val="0"/>
        </w:rPr>
        <w:t>, 16</w:t>
      </w:r>
      <w:r w:rsidR="0027376A">
        <w:rPr>
          <w:snapToGrid w:val="0"/>
        </w:rPr>
        <w:t xml:space="preserve"> </w:t>
      </w:r>
      <w:r>
        <w:rPr>
          <w:snapToGrid w:val="0"/>
        </w:rPr>
        <w:t>lipca 2009</w:t>
      </w:r>
      <w:r w:rsidR="0027376A">
        <w:rPr>
          <w:snapToGrid w:val="0"/>
        </w:rPr>
        <w:t xml:space="preserve"> </w:t>
      </w:r>
      <w:r>
        <w:rPr>
          <w:snapToGrid w:val="0"/>
        </w:rPr>
        <w:t xml:space="preserve">r.), która dotyczyła usunięcia </w:t>
      </w:r>
      <w:r w:rsidR="00DE5D9C">
        <w:rPr>
          <w:snapToGrid w:val="0"/>
        </w:rPr>
        <w:t xml:space="preserve">z urzędu </w:t>
      </w:r>
      <w:r>
        <w:rPr>
          <w:snapToGrid w:val="0"/>
        </w:rPr>
        <w:t>zatrudnionego przez państwo komornika w wyniku postępowania dyscyplinarnego,</w:t>
      </w:r>
      <w:r>
        <w:t xml:space="preserve"> Trybunał uznał, że</w:t>
      </w:r>
      <w:r w:rsidR="00AD58B2">
        <w:t> </w:t>
      </w:r>
      <w:r>
        <w:rPr>
          <w:snapToGrid w:val="0"/>
        </w:rPr>
        <w:t>spory</w:t>
      </w:r>
      <w:r>
        <w:t xml:space="preserve"> dotyczące „zarobków, uposażeń lub podobnych uprawnień” stanowiły niemające wyczerpującego charakteru</w:t>
      </w:r>
      <w:r>
        <w:rPr>
          <w:snapToGrid w:val="0"/>
        </w:rPr>
        <w:t xml:space="preserve"> przykłady „zwykłych sporów pracowniczych”, do których art.</w:t>
      </w:r>
      <w:r w:rsidR="0027376A">
        <w:rPr>
          <w:snapToGrid w:val="0"/>
        </w:rPr>
        <w:t xml:space="preserve"> </w:t>
      </w:r>
      <w:r>
        <w:rPr>
          <w:snapToGrid w:val="0"/>
        </w:rPr>
        <w:t>6 powinien mieć co do zasady zastosowanie zgodnie z</w:t>
      </w:r>
      <w:r w:rsidR="0027376A">
        <w:rPr>
          <w:snapToGrid w:val="0"/>
        </w:rPr>
        <w:t xml:space="preserve"> </w:t>
      </w:r>
      <w:r>
        <w:rPr>
          <w:snapToGrid w:val="0"/>
        </w:rPr>
        <w:t xml:space="preserve">testem </w:t>
      </w:r>
      <w:r>
        <w:rPr>
          <w:i/>
          <w:iCs/>
          <w:snapToGrid w:val="0"/>
        </w:rPr>
        <w:t>Vilho Eskelinen</w:t>
      </w:r>
      <w:r>
        <w:rPr>
          <w:snapToGrid w:val="0"/>
        </w:rPr>
        <w:t xml:space="preserve"> (</w:t>
      </w:r>
      <w:r>
        <w:rPr>
          <w:i/>
          <w:iCs/>
          <w:snapToGrid w:val="0"/>
        </w:rPr>
        <w:t>ibid.</w:t>
      </w:r>
      <w:r w:rsidR="00DE5D9C">
        <w:rPr>
          <w:i/>
          <w:iCs/>
          <w:snapToGrid w:val="0"/>
        </w:rPr>
        <w:t>,</w:t>
      </w:r>
      <w:r>
        <w:rPr>
          <w:snapToGrid w:val="0"/>
        </w:rPr>
        <w:t xml:space="preserve"> §</w:t>
      </w:r>
      <w:r w:rsidR="0027376A">
        <w:rPr>
          <w:snapToGrid w:val="0"/>
        </w:rPr>
        <w:t xml:space="preserve"> </w:t>
      </w:r>
      <w:r>
        <w:rPr>
          <w:snapToGrid w:val="0"/>
        </w:rPr>
        <w:t xml:space="preserve">38; zob. także </w:t>
      </w:r>
      <w:r>
        <w:rPr>
          <w:i/>
          <w:iCs/>
          <w:snapToGrid w:val="0"/>
        </w:rPr>
        <w:t>Regner</w:t>
      </w:r>
      <w:r>
        <w:rPr>
          <w:snapToGrid w:val="0"/>
        </w:rPr>
        <w:t xml:space="preserve">, </w:t>
      </w:r>
      <w:r>
        <w:rPr>
          <w:i/>
          <w:iCs/>
          <w:snapToGrid w:val="0"/>
        </w:rPr>
        <w:t>op. cit.</w:t>
      </w:r>
      <w:r>
        <w:rPr>
          <w:snapToGrid w:val="0"/>
        </w:rPr>
        <w:t>, §</w:t>
      </w:r>
      <w:r w:rsidR="0027376A">
        <w:rPr>
          <w:snapToGrid w:val="0"/>
        </w:rPr>
        <w:t xml:space="preserve"> </w:t>
      </w:r>
      <w:r>
        <w:rPr>
          <w:snapToGrid w:val="0"/>
        </w:rPr>
        <w:t>108).</w:t>
      </w:r>
    </w:p>
    <w:p w:rsidR="005A52C0" w:rsidRPr="00FF2363" w:rsidRDefault="005A52C0" w:rsidP="00FF2363">
      <w:pPr>
        <w:pStyle w:val="ECHRHeading5"/>
      </w:pPr>
      <w:r>
        <w:t>(ii)</w:t>
      </w:r>
      <w:r w:rsidR="0027376A">
        <w:t xml:space="preserve"> </w:t>
      </w:r>
      <w:r>
        <w:t>Zastosowanie tych zasad w niniejszej sprawie</w:t>
      </w:r>
    </w:p>
    <w:p w:rsidR="005A52C0" w:rsidRPr="00FF2363" w:rsidRDefault="005A52C0" w:rsidP="00FF2363">
      <w:pPr>
        <w:pStyle w:val="ECHRPara"/>
      </w:pPr>
      <w:r w:rsidRPr="00FF2363">
        <w:rPr>
          <w:noProof/>
        </w:rPr>
        <w:t>53</w:t>
      </w:r>
      <w:r>
        <w:t>.</w:t>
      </w:r>
      <w:r w:rsidR="0027376A">
        <w:t xml:space="preserve"> </w:t>
      </w:r>
      <w:r>
        <w:t>W świetle powyższych zasad podniesiony przez Rząd argument, jakoby cywilny aspekt art.</w:t>
      </w:r>
      <w:r w:rsidR="0027376A">
        <w:t xml:space="preserve"> </w:t>
      </w:r>
      <w:r>
        <w:t>6 ust.</w:t>
      </w:r>
      <w:r w:rsidR="0027376A">
        <w:t xml:space="preserve"> </w:t>
      </w:r>
      <w:r>
        <w:t>1 nie miał zastosowania tylko na</w:t>
      </w:r>
      <w:r w:rsidR="00AD58B2">
        <w:t> </w:t>
      </w:r>
      <w:r>
        <w:t>tej</w:t>
      </w:r>
      <w:r w:rsidR="00AD58B2">
        <w:t> </w:t>
      </w:r>
      <w:r>
        <w:t xml:space="preserve">podstawie, że spór dotyczący skarżącego należy do sfery prawa </w:t>
      </w:r>
      <w:r>
        <w:lastRenderedPageBreak/>
        <w:t>publicznego oraz że nie ma mowy o żadnym prawie „o charakterze cywilnym”, należy uznać za nieprzekonujący. Jak wykazano powyżej, powołanie się na cywilny aspekt w sporze należącym do sfery prawa publicznego może być uzasadnione, jeżeli kwestie prawa prywatnego mają charakter nadrzędny w</w:t>
      </w:r>
      <w:r w:rsidR="0027376A">
        <w:t xml:space="preserve"> </w:t>
      </w:r>
      <w:r>
        <w:t>stosunku do kwestii prawa publicznego w świetle bezpośrednich konsekwencji dla cywilnego prawa o charakterze pieniężnym lub niepieniężnym. Ponadto Trybunał, powołując się na kryteria określone w</w:t>
      </w:r>
      <w:r w:rsidR="0027376A">
        <w:t xml:space="preserve"> </w:t>
      </w:r>
      <w:r>
        <w:t xml:space="preserve">wyroku w sprawie </w:t>
      </w:r>
      <w:r>
        <w:rPr>
          <w:i/>
          <w:iCs/>
        </w:rPr>
        <w:t>Vilho Eskelinen i Inni</w:t>
      </w:r>
      <w:r>
        <w:t>, stosuje ogólne domniemanie, że</w:t>
      </w:r>
      <w:r w:rsidR="00AD58B2">
        <w:t> </w:t>
      </w:r>
      <w:r>
        <w:t>takie bezpośrednie konsekwencje dla praw o charakterze cywilnym istnieją w przypadku „zwykłych sporów pracowniczych” dotyczących urzędników służby publicznej, w tym sędziów (</w:t>
      </w:r>
      <w:r w:rsidR="00DE5D9C">
        <w:rPr>
          <w:i/>
          <w:iCs/>
        </w:rPr>
        <w:t xml:space="preserve">ibid., </w:t>
      </w:r>
      <w:r>
        <w:t>§</w:t>
      </w:r>
      <w:r w:rsidR="0027376A">
        <w:t xml:space="preserve"> </w:t>
      </w:r>
      <w:r>
        <w:t xml:space="preserve">62 oraz </w:t>
      </w:r>
      <w:r>
        <w:rPr>
          <w:i/>
          <w:iCs/>
        </w:rPr>
        <w:t>Baka</w:t>
      </w:r>
      <w:r>
        <w:t xml:space="preserve">, </w:t>
      </w:r>
      <w:r>
        <w:rPr>
          <w:i/>
          <w:iCs/>
        </w:rPr>
        <w:t>op.</w:t>
      </w:r>
      <w:r w:rsidR="00AD58B2">
        <w:rPr>
          <w:i/>
          <w:iCs/>
        </w:rPr>
        <w:t> </w:t>
      </w:r>
      <w:r>
        <w:rPr>
          <w:i/>
          <w:iCs/>
        </w:rPr>
        <w:t>cit.</w:t>
      </w:r>
      <w:r>
        <w:t>, §</w:t>
      </w:r>
      <w:r w:rsidR="0027376A">
        <w:t xml:space="preserve"> </w:t>
      </w:r>
      <w:r>
        <w:t>104)</w:t>
      </w:r>
      <w:r>
        <w:rPr>
          <w:i/>
          <w:iCs/>
        </w:rPr>
        <w:t>.</w:t>
      </w:r>
    </w:p>
    <w:p w:rsidR="005A52C0" w:rsidRPr="00FF2363" w:rsidRDefault="005A52C0" w:rsidP="00FF2363">
      <w:pPr>
        <w:pStyle w:val="ECHRPara"/>
      </w:pPr>
      <w:r w:rsidRPr="00FF2363">
        <w:rPr>
          <w:noProof/>
        </w:rPr>
        <w:t>54</w:t>
      </w:r>
      <w:r>
        <w:t>.</w:t>
      </w:r>
      <w:r w:rsidR="0027376A">
        <w:t xml:space="preserve"> </w:t>
      </w:r>
      <w:r>
        <w:t>Przedmiotowa sprawa w rzeczy samej dotyczy „zwykłego sporu pracowniczego”, ponieważ w swojej istocie wpływa na (i)</w:t>
      </w:r>
      <w:r w:rsidR="0027376A">
        <w:t xml:space="preserve"> </w:t>
      </w:r>
      <w:r>
        <w:t>zakres prac, jakie</w:t>
      </w:r>
      <w:r w:rsidR="00AD58B2">
        <w:t> </w:t>
      </w:r>
      <w:r>
        <w:t>skarżący miał wykonywać w ramach zatrudnienia oraz (ii)</w:t>
      </w:r>
      <w:r w:rsidR="0027376A">
        <w:t xml:space="preserve"> </w:t>
      </w:r>
      <w:r>
        <w:t>jego wynagrodzeni</w:t>
      </w:r>
      <w:r w:rsidR="00A83A48">
        <w:t>e</w:t>
      </w:r>
      <w:r>
        <w:t xml:space="preserve"> otrzymywane z tytułu stosunku pracy (por.</w:t>
      </w:r>
      <w:r w:rsidR="0027376A">
        <w:t xml:space="preserve"> </w:t>
      </w:r>
      <w:r>
        <w:rPr>
          <w:i/>
          <w:iCs/>
        </w:rPr>
        <w:t>Ohneberg</w:t>
      </w:r>
      <w:r>
        <w:t xml:space="preserve">, </w:t>
      </w:r>
      <w:r>
        <w:rPr>
          <w:i/>
          <w:iCs/>
        </w:rPr>
        <w:t>op.</w:t>
      </w:r>
      <w:r w:rsidR="00AD58B2">
        <w:rPr>
          <w:i/>
          <w:iCs/>
        </w:rPr>
        <w:t> </w:t>
      </w:r>
      <w:r>
        <w:rPr>
          <w:i/>
          <w:iCs/>
        </w:rPr>
        <w:t>cit.</w:t>
      </w:r>
      <w:r>
        <w:rPr>
          <w:snapToGrid w:val="0"/>
        </w:rPr>
        <w:t>, §</w:t>
      </w:r>
      <w:r w:rsidR="0027376A">
        <w:rPr>
          <w:snapToGrid w:val="0"/>
        </w:rPr>
        <w:t xml:space="preserve"> </w:t>
      </w:r>
      <w:r>
        <w:rPr>
          <w:snapToGrid w:val="0"/>
        </w:rPr>
        <w:t>25</w:t>
      </w:r>
      <w:r>
        <w:t>). Zważywszy na te dwie kwestie, nie ma powodu, by uznać, iż</w:t>
      </w:r>
      <w:r w:rsidR="00AD58B2">
        <w:t> </w:t>
      </w:r>
      <w:r>
        <w:t>spór dotyczący skarżącego był pozbawiony elementu o charakterze cywilnym bądź że element ten był niewystarczający, by uzasadnić powołanie „cywilnego” aspektu art.</w:t>
      </w:r>
      <w:r w:rsidR="0027376A">
        <w:t xml:space="preserve"> </w:t>
      </w:r>
      <w:r>
        <w:t>6.</w:t>
      </w:r>
    </w:p>
    <w:p w:rsidR="005A52C0" w:rsidRPr="00FF2363" w:rsidRDefault="005A52C0" w:rsidP="00FF2363">
      <w:pPr>
        <w:pStyle w:val="ECHRPara"/>
      </w:pPr>
      <w:r w:rsidRPr="00992932">
        <w:rPr>
          <w:noProof/>
        </w:rPr>
        <w:t>55</w:t>
      </w:r>
      <w:r w:rsidRPr="00992932">
        <w:t>.</w:t>
      </w:r>
      <w:r w:rsidR="0027376A" w:rsidRPr="00992932">
        <w:t xml:space="preserve"> </w:t>
      </w:r>
      <w:r w:rsidR="00992932" w:rsidRPr="00992932">
        <w:t>Stosując dalej test</w:t>
      </w:r>
      <w:r w:rsidRPr="00992932">
        <w:t xml:space="preserve"> </w:t>
      </w:r>
      <w:r w:rsidR="00FD3857">
        <w:t xml:space="preserve">wypracowany w sprawie </w:t>
      </w:r>
      <w:r w:rsidRPr="00992932">
        <w:rPr>
          <w:i/>
          <w:iCs/>
        </w:rPr>
        <w:t>Vilho Eskelinen</w:t>
      </w:r>
      <w:r w:rsidRPr="00992932">
        <w:t>, za</w:t>
      </w:r>
      <w:r w:rsidR="00AD58B2">
        <w:t> </w:t>
      </w:r>
      <w:r>
        <w:t>bezsporny należy uznać fakt, że prawo krajowe przewiduje dostęp do</w:t>
      </w:r>
      <w:r w:rsidR="00DD683D">
        <w:t> </w:t>
      </w:r>
      <w:r>
        <w:t>sądu w przypadku skarg dotyczących odwołania ze stanowiska administracyjnego w wymiarze sprawiedliwości. W związku z powyższym art.</w:t>
      </w:r>
      <w:r w:rsidR="0027376A">
        <w:t xml:space="preserve"> </w:t>
      </w:r>
      <w:r>
        <w:t xml:space="preserve">6 ma zastosowanie </w:t>
      </w:r>
      <w:r w:rsidR="00CA5A9B">
        <w:t>w swym aspekcie cywilnym</w:t>
      </w:r>
      <w:r>
        <w:t>.</w:t>
      </w:r>
    </w:p>
    <w:p w:rsidR="005A52C0" w:rsidRPr="00FF2363" w:rsidRDefault="005A52C0" w:rsidP="00FF2363">
      <w:pPr>
        <w:pStyle w:val="ECHRPara"/>
      </w:pPr>
      <w:r w:rsidRPr="00FF2363">
        <w:rPr>
          <w:noProof/>
        </w:rPr>
        <w:t>56</w:t>
      </w:r>
      <w:r>
        <w:t>.</w:t>
      </w:r>
      <w:r w:rsidR="0027376A">
        <w:t xml:space="preserve"> </w:t>
      </w:r>
      <w:r>
        <w:t>Wynika z tego, iż zastrzeżenie wstępne Rządu co do możliwości zastosowania art.</w:t>
      </w:r>
      <w:r w:rsidR="0027376A">
        <w:t xml:space="preserve"> </w:t>
      </w:r>
      <w:r>
        <w:t>6 §</w:t>
      </w:r>
      <w:r w:rsidR="0027376A">
        <w:t xml:space="preserve"> </w:t>
      </w:r>
      <w:r>
        <w:t>1 Konwencji należy oddalić.</w:t>
      </w:r>
    </w:p>
    <w:p w:rsidR="005A52C0" w:rsidRPr="00FF2363" w:rsidRDefault="005A52C0" w:rsidP="00FF2363">
      <w:pPr>
        <w:pStyle w:val="ECHRPara"/>
        <w:keepNext/>
      </w:pPr>
      <w:r w:rsidRPr="00FF2363">
        <w:rPr>
          <w:noProof/>
        </w:rPr>
        <w:t>57</w:t>
      </w:r>
      <w:r>
        <w:t>.</w:t>
      </w:r>
      <w:r w:rsidR="0027376A">
        <w:t xml:space="preserve"> </w:t>
      </w:r>
      <w:r>
        <w:t>Trybunał zauważa ponadto, że skarga ta nie jest w sposób oczywisty nieuzasadniona w rozumieniu art.</w:t>
      </w:r>
      <w:r w:rsidR="0027376A">
        <w:t xml:space="preserve"> </w:t>
      </w:r>
      <w:r>
        <w:t>35 ust.</w:t>
      </w:r>
      <w:r w:rsidR="0027376A">
        <w:t xml:space="preserve"> </w:t>
      </w:r>
      <w:r>
        <w:t>3 lit.</w:t>
      </w:r>
      <w:r w:rsidR="0027376A">
        <w:t xml:space="preserve"> </w:t>
      </w:r>
      <w:r>
        <w:t>a Konwencji. Nie jest ona też niedopuszczalna na jakiejkolwiek innej podstawie. Należy ją zatem uznać za dopuszczalną.</w:t>
      </w:r>
    </w:p>
    <w:p w:rsidR="005A52C0" w:rsidRPr="00FF2363" w:rsidRDefault="005A52C0" w:rsidP="00FF2363">
      <w:pPr>
        <w:pStyle w:val="ECHRHeading2"/>
      </w:pPr>
      <w:r w:rsidRPr="00147692">
        <w:t>B.</w:t>
      </w:r>
      <w:r w:rsidR="0027376A" w:rsidRPr="00147692">
        <w:t xml:space="preserve"> </w:t>
      </w:r>
      <w:r w:rsidRPr="00147692">
        <w:t>Przedmiot skargi</w:t>
      </w:r>
    </w:p>
    <w:p w:rsidR="005A52C0" w:rsidRPr="00FF2363" w:rsidRDefault="005A52C0" w:rsidP="00FF2363">
      <w:pPr>
        <w:pStyle w:val="ECHRHeading3"/>
      </w:pPr>
      <w:r>
        <w:t>1.</w:t>
      </w:r>
      <w:r w:rsidR="0027376A">
        <w:t xml:space="preserve"> </w:t>
      </w:r>
      <w:r>
        <w:t>Stanowiska stron</w:t>
      </w:r>
    </w:p>
    <w:p w:rsidR="005A52C0" w:rsidRPr="00FF2363" w:rsidRDefault="005A52C0" w:rsidP="00FF2363">
      <w:pPr>
        <w:pStyle w:val="ECHRPara"/>
      </w:pPr>
      <w:r w:rsidRPr="00FF2363">
        <w:rPr>
          <w:noProof/>
        </w:rPr>
        <w:t>58</w:t>
      </w:r>
      <w:r>
        <w:t>.</w:t>
      </w:r>
      <w:r w:rsidR="0027376A">
        <w:t xml:space="preserve"> </w:t>
      </w:r>
      <w:r>
        <w:t>Skarżący podniósł, że NRS nie stanowi „niezawisłego i</w:t>
      </w:r>
      <w:r w:rsidR="0027376A">
        <w:t xml:space="preserve"> </w:t>
      </w:r>
      <w:r>
        <w:t>bezstronnego sądu” ze względu na jej skład, podporządkowanie jej członków innym organom Państwa oraz brak obiektywnej bezstronności i</w:t>
      </w:r>
      <w:r w:rsidR="0027376A">
        <w:t xml:space="preserve"> </w:t>
      </w:r>
      <w:r>
        <w:t>istnienie osobistych uprzedzeń ze strony niektórych członków Rady. Co więcej, NSA również nie dopełnił obowiązku zapewnienia „niezawisłego i</w:t>
      </w:r>
      <w:r w:rsidR="0027376A">
        <w:t xml:space="preserve"> </w:t>
      </w:r>
      <w:r>
        <w:t>bezstronnego sądu”.</w:t>
      </w:r>
    </w:p>
    <w:p w:rsidR="005A52C0" w:rsidRPr="00FF2363" w:rsidRDefault="005A52C0" w:rsidP="00FF2363">
      <w:pPr>
        <w:pStyle w:val="ECHRPara"/>
      </w:pPr>
      <w:r w:rsidRPr="00FF2363">
        <w:rPr>
          <w:noProof/>
        </w:rPr>
        <w:t>59</w:t>
      </w:r>
      <w:r>
        <w:t>.</w:t>
      </w:r>
      <w:r w:rsidR="0027376A">
        <w:t xml:space="preserve"> </w:t>
      </w:r>
      <w:r>
        <w:t>Rząd stwierdził, że wymogi przewidziane w art.</w:t>
      </w:r>
      <w:r w:rsidR="0027376A">
        <w:t xml:space="preserve"> </w:t>
      </w:r>
      <w:r>
        <w:t>6 ust.</w:t>
      </w:r>
      <w:r w:rsidR="0027376A">
        <w:t xml:space="preserve"> </w:t>
      </w:r>
      <w:r>
        <w:t xml:space="preserve">1 zostały spełnione oraz że nic nie wskazywało na stronniczość organów krajowych. </w:t>
      </w:r>
      <w:r>
        <w:lastRenderedPageBreak/>
        <w:t>Podkreślił, że wyrok NSA opierał się na stanowiskach stron i zawierał wystarczające uzasadnienie.</w:t>
      </w:r>
    </w:p>
    <w:p w:rsidR="005A52C0" w:rsidRPr="00FF2363" w:rsidRDefault="005A52C0" w:rsidP="00FF2363">
      <w:pPr>
        <w:pStyle w:val="ECHRHeading3"/>
      </w:pPr>
      <w:r>
        <w:t>2.</w:t>
      </w:r>
      <w:r w:rsidR="0027376A">
        <w:t xml:space="preserve"> </w:t>
      </w:r>
      <w:r>
        <w:t>Ocena Trybunału</w:t>
      </w:r>
    </w:p>
    <w:p w:rsidR="005A52C0" w:rsidRPr="00FF2363" w:rsidRDefault="005A52C0" w:rsidP="00FF2363">
      <w:pPr>
        <w:pStyle w:val="ECHRHeading4"/>
      </w:pPr>
      <w:r>
        <w:t>(a)</w:t>
      </w:r>
      <w:r w:rsidR="0027376A">
        <w:t xml:space="preserve"> </w:t>
      </w:r>
      <w:r>
        <w:t>Ogólne zasady odnoszące się do wymogów „niezawisłości i bezstronności sądu” na etapach rozstrzygnięcia i kontroli sprawy</w:t>
      </w:r>
    </w:p>
    <w:p w:rsidR="005A52C0" w:rsidRPr="00FF2363" w:rsidRDefault="005A52C0" w:rsidP="00FF2363">
      <w:pPr>
        <w:pStyle w:val="ECHRPara"/>
      </w:pPr>
      <w:r w:rsidRPr="00FF2363">
        <w:rPr>
          <w:noProof/>
        </w:rPr>
        <w:t>60</w:t>
      </w:r>
      <w:r>
        <w:t>.</w:t>
      </w:r>
      <w:r w:rsidR="0027376A">
        <w:t xml:space="preserve"> </w:t>
      </w:r>
      <w:r>
        <w:t>Przy ustalaniu</w:t>
      </w:r>
      <w:r w:rsidR="009837E9">
        <w:t>,</w:t>
      </w:r>
      <w:r>
        <w:t xml:space="preserve"> czy dany organ może zostać uznany za „niezawisły” </w:t>
      </w:r>
      <w:r w:rsidR="00DD683D">
        <w:t>–</w:t>
      </w:r>
      <w:r>
        <w:t xml:space="preserve"> zwłaszcza od egzekutywy i stron w sprawie </w:t>
      </w:r>
      <w:r w:rsidR="00DD683D">
        <w:t>–</w:t>
      </w:r>
      <w:r>
        <w:t xml:space="preserve"> Trybunał w</w:t>
      </w:r>
      <w:r w:rsidR="00DD683D">
        <w:t> </w:t>
      </w:r>
      <w:r>
        <w:t>rozpatrywanych dotąd sprawach uwzględniał</w:t>
      </w:r>
      <w:r w:rsidR="009837E9">
        <w:t>,</w:t>
      </w:r>
      <w:r>
        <w:t xml:space="preserve"> między innymi, sposób mianowania jego członków oraz długość ich kadencji, istnienie gwarancji zabezpieczających przed naciskami z zewnątrz, a także kwestię</w:t>
      </w:r>
      <w:r w:rsidR="009837E9">
        <w:t>,</w:t>
      </w:r>
      <w:r>
        <w:t xml:space="preserve"> czy taki organ sprawia wrażenie niezawisł</w:t>
      </w:r>
      <w:r w:rsidR="009837E9">
        <w:t>ego</w:t>
      </w:r>
      <w:r>
        <w:t xml:space="preserve"> (zob. </w:t>
      </w:r>
      <w:r>
        <w:rPr>
          <w:i/>
          <w:iCs/>
        </w:rPr>
        <w:t>Maktouf i Damjanović</w:t>
      </w:r>
      <w:r>
        <w:rPr>
          <w:snapToGrid w:val="0"/>
        </w:rPr>
        <w:t xml:space="preserve"> </w:t>
      </w:r>
      <w:r>
        <w:rPr>
          <w:i/>
          <w:iCs/>
        </w:rPr>
        <w:t xml:space="preserve">przeciwko Bośni i Hercegowinie </w:t>
      </w:r>
      <w:r>
        <w:rPr>
          <w:snapToGrid w:val="0"/>
        </w:rPr>
        <w:t>[WI], skargi nr 2312/08 i 34179/08, §</w:t>
      </w:r>
      <w:r w:rsidR="0027376A">
        <w:rPr>
          <w:snapToGrid w:val="0"/>
        </w:rPr>
        <w:t xml:space="preserve"> </w:t>
      </w:r>
      <w:r>
        <w:rPr>
          <w:snapToGrid w:val="0"/>
        </w:rPr>
        <w:t>49,</w:t>
      </w:r>
      <w:r>
        <w:t xml:space="preserve"> </w:t>
      </w:r>
      <w:r w:rsidR="000D5B2D">
        <w:t>ETPC</w:t>
      </w:r>
      <w:r w:rsidR="0027376A">
        <w:t xml:space="preserve"> </w:t>
      </w:r>
      <w:r>
        <w:t>2013 (fragmenty) i przytoczone tam orzecznictwo)</w:t>
      </w:r>
      <w:bookmarkStart w:id="3" w:name="HIT18"/>
      <w:bookmarkEnd w:id="3"/>
      <w:r>
        <w:t>.</w:t>
      </w:r>
    </w:p>
    <w:p w:rsidR="005A52C0" w:rsidRPr="00FF2363" w:rsidRDefault="005A52C0" w:rsidP="00FF2363">
      <w:pPr>
        <w:pStyle w:val="ECHRPara"/>
      </w:pPr>
      <w:r w:rsidRPr="00FF2363">
        <w:rPr>
          <w:noProof/>
        </w:rPr>
        <w:t>61</w:t>
      </w:r>
      <w:r>
        <w:t>.</w:t>
      </w:r>
      <w:r w:rsidR="0027376A">
        <w:t xml:space="preserve"> </w:t>
      </w:r>
      <w:r>
        <w:t>Co do zasady bezstronność oznacza brak uprzedzeń czy</w:t>
      </w:r>
      <w:r w:rsidR="00DD683D">
        <w:t> </w:t>
      </w:r>
      <w:r>
        <w:t>stronniczości. Jak wynika z utrwalonego orzecznictwa Trybunału, istnienie bezstronności dla celów art.</w:t>
      </w:r>
      <w:r w:rsidR="0027376A">
        <w:t xml:space="preserve"> </w:t>
      </w:r>
      <w:r>
        <w:t>6</w:t>
      </w:r>
      <w:r w:rsidR="0027376A">
        <w:t xml:space="preserve"> </w:t>
      </w:r>
      <w:r>
        <w:t>ust.</w:t>
      </w:r>
      <w:r w:rsidR="0027376A">
        <w:t xml:space="preserve"> </w:t>
      </w:r>
      <w:r>
        <w:t>1 należy ustalić na podstawie: (i)</w:t>
      </w:r>
      <w:r w:rsidR="00DD683D">
        <w:t> </w:t>
      </w:r>
      <w:r w:rsidRPr="009837E9">
        <w:t>kryterium subiektywn</w:t>
      </w:r>
      <w:r w:rsidR="009837E9" w:rsidRPr="009837E9">
        <w:t>ego</w:t>
      </w:r>
      <w:r w:rsidRPr="009837E9">
        <w:t xml:space="preserve">, </w:t>
      </w:r>
      <w:r w:rsidR="009837E9">
        <w:t xml:space="preserve">w ramach którego </w:t>
      </w:r>
      <w:r w:rsidRPr="009837E9">
        <w:t>należy uwzględnić osobiste przekonania i zachowanie konkretnego sędziego – to jest, czy w danej sprawie sędzia wykazywał osobiste uprzedzenia lub był stronniczy; oraz</w:t>
      </w:r>
      <w:r w:rsidR="00DD683D">
        <w:t> </w:t>
      </w:r>
      <w:r w:rsidRPr="009837E9">
        <w:t>(ii)</w:t>
      </w:r>
      <w:r w:rsidR="00DD683D">
        <w:t> </w:t>
      </w:r>
      <w:r w:rsidRPr="009837E9">
        <w:t xml:space="preserve">kryterium </w:t>
      </w:r>
      <w:r w:rsidR="009837E9" w:rsidRPr="009837E9">
        <w:t>obiektywnego</w:t>
      </w:r>
      <w:r w:rsidRPr="009837E9">
        <w:t>, to jest</w:t>
      </w:r>
      <w:r>
        <w:t xml:space="preserve"> </w:t>
      </w:r>
      <w:r w:rsidR="009837E9">
        <w:t xml:space="preserve">poprzez </w:t>
      </w:r>
      <w:r>
        <w:t xml:space="preserve">upewnienie się, czy </w:t>
      </w:r>
      <w:r w:rsidR="00DD683D">
        <w:t>–</w:t>
      </w:r>
      <w:r>
        <w:t xml:space="preserve"> w</w:t>
      </w:r>
      <w:r w:rsidR="00DD683D">
        <w:t> </w:t>
      </w:r>
      <w:r>
        <w:t xml:space="preserve">oderwaniu od indywidualnego zachowania członków </w:t>
      </w:r>
      <w:r w:rsidR="00DD683D">
        <w:t>–</w:t>
      </w:r>
      <w:r>
        <w:t xml:space="preserve"> dany sąd, jako taki, w tym między innymi skład sądu, oferuje wystarczające gwarancje wykluczające wszelkie u</w:t>
      </w:r>
      <w:r w:rsidR="009837E9">
        <w:t>prawnione</w:t>
      </w:r>
      <w:r>
        <w:t xml:space="preserve"> wątpliwości dotyczące jego bezstronności (zob.</w:t>
      </w:r>
      <w:r w:rsidR="0027376A">
        <w:t xml:space="preserve"> </w:t>
      </w:r>
      <w:r>
        <w:t xml:space="preserve">między innymi </w:t>
      </w:r>
      <w:r>
        <w:rPr>
          <w:i/>
          <w:iCs/>
        </w:rPr>
        <w:t>Micallef przeciwko Malcie</w:t>
      </w:r>
      <w:r>
        <w:t xml:space="preserve"> [WI], skarga nr</w:t>
      </w:r>
      <w:r w:rsidR="0027376A">
        <w:t xml:space="preserve"> </w:t>
      </w:r>
      <w:r>
        <w:t>17056/06, §</w:t>
      </w:r>
      <w:r w:rsidR="0027376A">
        <w:t xml:space="preserve"> </w:t>
      </w:r>
      <w:r>
        <w:t xml:space="preserve">93, </w:t>
      </w:r>
      <w:r w:rsidR="000D5B2D">
        <w:t>ETPC</w:t>
      </w:r>
      <w:r>
        <w:t xml:space="preserve"> 2009 i przytoczone tam orzecznictwo).</w:t>
      </w:r>
    </w:p>
    <w:p w:rsidR="005A52C0" w:rsidRPr="00FF2363" w:rsidRDefault="005A52C0" w:rsidP="00FF2363">
      <w:pPr>
        <w:pStyle w:val="ECHRPara"/>
      </w:pPr>
      <w:r w:rsidRPr="00FF2363">
        <w:rPr>
          <w:noProof/>
        </w:rPr>
        <w:t>62</w:t>
      </w:r>
      <w:r>
        <w:t>.</w:t>
      </w:r>
      <w:r w:rsidR="0027376A">
        <w:t xml:space="preserve"> </w:t>
      </w:r>
      <w:r>
        <w:t xml:space="preserve">Bezstronności subiektywnej i obiektywnej nie można jednakże ściśle rozgraniczyć, jako że postępowanie sędziego może nie tylko wywoływać obiektywne wątpliwości dotyczące bezstronności </w:t>
      </w:r>
      <w:r w:rsidR="009837E9">
        <w:t xml:space="preserve">sądu </w:t>
      </w:r>
      <w:r>
        <w:t>z punktu widzenia obserwatora zewnętrznego (kryterium obiektywn</w:t>
      </w:r>
      <w:r w:rsidR="009837E9">
        <w:t>e</w:t>
      </w:r>
      <w:r>
        <w:t xml:space="preserve">), lecz może wiązać się </w:t>
      </w:r>
      <w:r w:rsidR="009837E9">
        <w:t xml:space="preserve">także </w:t>
      </w:r>
      <w:r>
        <w:t>z jego osobistym przekonaniem (kryterium subiektywn</w:t>
      </w:r>
      <w:r w:rsidR="009837E9">
        <w:t>e</w:t>
      </w:r>
      <w:r>
        <w:t>) (zob.</w:t>
      </w:r>
      <w:r w:rsidR="00DD683D">
        <w:t> </w:t>
      </w:r>
      <w:r>
        <w:rPr>
          <w:i/>
          <w:iCs/>
        </w:rPr>
        <w:t xml:space="preserve">Kyprianou przeciwko Cyprowi </w:t>
      </w:r>
      <w:r>
        <w:t>[WI], skarga nr 73797/01, §</w:t>
      </w:r>
      <w:r w:rsidR="0027376A">
        <w:t xml:space="preserve"> </w:t>
      </w:r>
      <w:r>
        <w:t xml:space="preserve">119, </w:t>
      </w:r>
      <w:r w:rsidR="000D5B2D">
        <w:t>ETPC</w:t>
      </w:r>
      <w:r>
        <w:t xml:space="preserve"> 2005</w:t>
      </w:r>
      <w:r>
        <w:noBreakHyphen/>
        <w:t xml:space="preserve">XIII). Zatem w tych sprawach, w których występują trudności związane z przedstawieniem dowodów służących obaleniu domniemania dotyczącego subiektywnej bezstronności sędziego, wymóg bezstronności obiektywnej stanowi dodatkową ważną gwarancję (zob. </w:t>
      </w:r>
      <w:r>
        <w:rPr>
          <w:i/>
          <w:iCs/>
        </w:rPr>
        <w:t>Pullar przeciwko Zjednoczonemu Królestwu</w:t>
      </w:r>
      <w:r>
        <w:t>, 10</w:t>
      </w:r>
      <w:r w:rsidR="0027376A">
        <w:t xml:space="preserve"> </w:t>
      </w:r>
      <w:r>
        <w:t>czerwca 1996</w:t>
      </w:r>
      <w:r w:rsidR="0027376A">
        <w:t xml:space="preserve"> </w:t>
      </w:r>
      <w:r>
        <w:t>r., §</w:t>
      </w:r>
      <w:r w:rsidR="0027376A">
        <w:t xml:space="preserve"> </w:t>
      </w:r>
      <w:r>
        <w:t xml:space="preserve">32, </w:t>
      </w:r>
      <w:r>
        <w:rPr>
          <w:i/>
          <w:iCs/>
        </w:rPr>
        <w:t>Raporty</w:t>
      </w:r>
      <w:r>
        <w:t xml:space="preserve"> 1996</w:t>
      </w:r>
      <w:r>
        <w:noBreakHyphen/>
        <w:t>III).</w:t>
      </w:r>
    </w:p>
    <w:p w:rsidR="005A52C0" w:rsidRPr="00FF2363" w:rsidRDefault="005A52C0" w:rsidP="00FF2363">
      <w:pPr>
        <w:pStyle w:val="ECHRPara"/>
      </w:pPr>
      <w:r w:rsidRPr="00FF2363">
        <w:rPr>
          <w:noProof/>
        </w:rPr>
        <w:t>63</w:t>
      </w:r>
      <w:r>
        <w:t>.</w:t>
      </w:r>
      <w:r w:rsidR="0027376A">
        <w:t xml:space="preserve"> </w:t>
      </w:r>
      <w:r>
        <w:t>W tym względzie pewne znaczenie mo</w:t>
      </w:r>
      <w:r w:rsidR="00D10A61">
        <w:t>gą</w:t>
      </w:r>
      <w:r>
        <w:t xml:space="preserve"> mieć nawet </w:t>
      </w:r>
      <w:r w:rsidRPr="00D10A61">
        <w:t>pozory,</w:t>
      </w:r>
      <w:r>
        <w:t xml:space="preserve"> innymi słowy, „nie wystarczy wymierzać sprawiedliwoś</w:t>
      </w:r>
      <w:r w:rsidR="005C56BF">
        <w:t>ć</w:t>
      </w:r>
      <w:r>
        <w:t xml:space="preserve">, wymierzanie sprawiedliwości musi jeszcze być widoczne”. </w:t>
      </w:r>
      <w:r w:rsidRPr="007B5BE0">
        <w:t>Kluczowa kwestią</w:t>
      </w:r>
      <w:r>
        <w:t xml:space="preserve"> jest tu</w:t>
      </w:r>
      <w:r w:rsidR="00DD683D">
        <w:t> </w:t>
      </w:r>
      <w:r>
        <w:t xml:space="preserve">potrzeba, by w społeczeństwie demokratycznym sądy budziły zaufanie ludzi (zob. </w:t>
      </w:r>
      <w:r>
        <w:rPr>
          <w:i/>
          <w:iCs/>
        </w:rPr>
        <w:t xml:space="preserve">Morice przeciwko Francji </w:t>
      </w:r>
      <w:r>
        <w:t>[WI], skarga nr</w:t>
      </w:r>
      <w:r w:rsidR="0027376A">
        <w:t xml:space="preserve"> </w:t>
      </w:r>
      <w:r>
        <w:t>29369/10, §</w:t>
      </w:r>
      <w:r w:rsidR="0027376A">
        <w:t xml:space="preserve"> </w:t>
      </w:r>
      <w:r>
        <w:t xml:space="preserve">78, </w:t>
      </w:r>
      <w:r w:rsidR="000D5B2D">
        <w:t>ETPC</w:t>
      </w:r>
      <w:r w:rsidR="0027376A">
        <w:t xml:space="preserve"> </w:t>
      </w:r>
      <w:r>
        <w:t>2015).</w:t>
      </w:r>
    </w:p>
    <w:p w:rsidR="005A52C0" w:rsidRPr="00FF2363" w:rsidRDefault="005A52C0" w:rsidP="00FF2363">
      <w:pPr>
        <w:pStyle w:val="ECHRPara"/>
      </w:pPr>
      <w:r w:rsidRPr="00FF2363">
        <w:rPr>
          <w:noProof/>
        </w:rPr>
        <w:lastRenderedPageBreak/>
        <w:t>64</w:t>
      </w:r>
      <w:r>
        <w:t>.</w:t>
      </w:r>
      <w:r w:rsidR="0027376A">
        <w:t xml:space="preserve"> </w:t>
      </w:r>
      <w:r>
        <w:t xml:space="preserve">Wreszcie pojęcia niezawisłości i obiektywnej bezstronności są ściśle ze sobą powiązane i, zależnie od okoliczności, mogą wymagać łącznego zbadania (zob. na przykład </w:t>
      </w:r>
      <w:r>
        <w:rPr>
          <w:i/>
          <w:iCs/>
        </w:rPr>
        <w:t>Cooper przeciwko Zjednoczonemu Królestwu</w:t>
      </w:r>
      <w:r>
        <w:t xml:space="preserve"> [WI], skarga nr</w:t>
      </w:r>
      <w:r w:rsidR="0027376A">
        <w:t xml:space="preserve"> </w:t>
      </w:r>
      <w:r>
        <w:t>48843/99, §</w:t>
      </w:r>
      <w:r w:rsidR="0027376A">
        <w:t xml:space="preserve"> </w:t>
      </w:r>
      <w:r>
        <w:t xml:space="preserve">104, </w:t>
      </w:r>
      <w:r w:rsidR="000D5B2D">
        <w:t>ETPC</w:t>
      </w:r>
      <w:r>
        <w:t xml:space="preserve"> 2003</w:t>
      </w:r>
      <w:r>
        <w:noBreakHyphen/>
        <w:t>XII).</w:t>
      </w:r>
    </w:p>
    <w:p w:rsidR="005A52C0" w:rsidRPr="00FF2363" w:rsidRDefault="005A52C0" w:rsidP="00FF2363">
      <w:pPr>
        <w:pStyle w:val="ECHRPara"/>
      </w:pPr>
      <w:r w:rsidRPr="00FF2363">
        <w:rPr>
          <w:noProof/>
        </w:rPr>
        <w:t>65</w:t>
      </w:r>
      <w:r>
        <w:t>.</w:t>
      </w:r>
      <w:r w:rsidR="0027376A">
        <w:t xml:space="preserve"> </w:t>
      </w:r>
      <w:r>
        <w:t>Jak wynika z orzecznictwa Trybunału, nawet jeśli organ orzekający rozstrzygający spory dotyczące „praw i obowiązków o charakterze cywilnym” nie spełnia w pewnym zakresie wymogów art.</w:t>
      </w:r>
      <w:r w:rsidR="0027376A">
        <w:t xml:space="preserve"> </w:t>
      </w:r>
      <w:r>
        <w:t>6</w:t>
      </w:r>
      <w:r w:rsidR="0027376A">
        <w:t xml:space="preserve"> </w:t>
      </w:r>
      <w:r>
        <w:t>ust.</w:t>
      </w:r>
      <w:r w:rsidR="0027376A">
        <w:t xml:space="preserve"> </w:t>
      </w:r>
      <w:r>
        <w:t>1, nie</w:t>
      </w:r>
      <w:r w:rsidR="00DD683D">
        <w:t> </w:t>
      </w:r>
      <w:r>
        <w:t>można stwierdzić naruszenia Konwencji, jeżeli postępowanie przed takim organem „podlega późniejszej kontroli organu sądowego posiadającego pełną jurysdykcję i zapewniającego gwarancje wynikające z</w:t>
      </w:r>
      <w:r w:rsidR="00DD683D">
        <w:t> </w:t>
      </w:r>
      <w:r>
        <w:t>art.</w:t>
      </w:r>
      <w:r w:rsidR="0027376A">
        <w:t xml:space="preserve"> </w:t>
      </w:r>
      <w:r>
        <w:t>6 ust.</w:t>
      </w:r>
      <w:r w:rsidR="0027376A">
        <w:t xml:space="preserve"> </w:t>
      </w:r>
      <w:r>
        <w:t>1” (zob.</w:t>
      </w:r>
      <w:r w:rsidR="0027376A">
        <w:t xml:space="preserve"> </w:t>
      </w:r>
      <w:r>
        <w:rPr>
          <w:i/>
          <w:iCs/>
        </w:rPr>
        <w:t>Albert i Le Compte przeciwko Belgii</w:t>
      </w:r>
      <w:r>
        <w:t>, 10</w:t>
      </w:r>
      <w:r w:rsidR="0027376A">
        <w:t xml:space="preserve"> </w:t>
      </w:r>
      <w:r>
        <w:t>lutego 1983</w:t>
      </w:r>
      <w:r w:rsidR="0027376A">
        <w:t xml:space="preserve"> </w:t>
      </w:r>
      <w:r>
        <w:t>r., §</w:t>
      </w:r>
      <w:r w:rsidR="0027376A">
        <w:t xml:space="preserve"> </w:t>
      </w:r>
      <w:r>
        <w:t>29, Seria A nr</w:t>
      </w:r>
      <w:r w:rsidR="0027376A">
        <w:t xml:space="preserve"> </w:t>
      </w:r>
      <w:r>
        <w:t xml:space="preserve">58, oraz </w:t>
      </w:r>
      <w:r>
        <w:rPr>
          <w:i/>
          <w:iCs/>
        </w:rPr>
        <w:t>Tsfayo przeciwko Zjednoczonemu Królestwu</w:t>
      </w:r>
      <w:r>
        <w:t>, skarga nr</w:t>
      </w:r>
      <w:r w:rsidR="0027376A">
        <w:t xml:space="preserve"> </w:t>
      </w:r>
      <w:r>
        <w:t>60860/00, §</w:t>
      </w:r>
      <w:r w:rsidR="0027376A">
        <w:t xml:space="preserve"> </w:t>
      </w:r>
      <w:r>
        <w:t>42, 14</w:t>
      </w:r>
      <w:r w:rsidR="0027376A">
        <w:t xml:space="preserve"> </w:t>
      </w:r>
      <w:r>
        <w:t>listopada 2006</w:t>
      </w:r>
      <w:r w:rsidR="0027376A">
        <w:t xml:space="preserve"> </w:t>
      </w:r>
      <w:r>
        <w:t>r.).</w:t>
      </w:r>
    </w:p>
    <w:p w:rsidR="005A52C0" w:rsidRPr="00FF2363" w:rsidRDefault="005A52C0" w:rsidP="00FF2363">
      <w:pPr>
        <w:pStyle w:val="ECHRHeading4"/>
      </w:pPr>
      <w:r>
        <w:t>(b)</w:t>
      </w:r>
      <w:r w:rsidR="0027376A">
        <w:t xml:space="preserve"> </w:t>
      </w:r>
      <w:r>
        <w:t>Zastosowanie tych zasad w niniejszej sprawie</w:t>
      </w:r>
    </w:p>
    <w:p w:rsidR="005A52C0" w:rsidRPr="00FF2363" w:rsidRDefault="005A52C0" w:rsidP="00FF2363">
      <w:pPr>
        <w:pStyle w:val="ECHRHeading5"/>
      </w:pPr>
      <w:r>
        <w:t>(i)</w:t>
      </w:r>
      <w:r w:rsidR="0027376A">
        <w:t xml:space="preserve"> </w:t>
      </w:r>
      <w:r>
        <w:t>Podejście do rozpoznania skargi</w:t>
      </w:r>
    </w:p>
    <w:p w:rsidR="005A52C0" w:rsidRPr="00FF2363" w:rsidRDefault="005A52C0" w:rsidP="00FF2363">
      <w:pPr>
        <w:pStyle w:val="ECHRPara"/>
      </w:pPr>
      <w:r w:rsidRPr="00FF2363">
        <w:rPr>
          <w:noProof/>
        </w:rPr>
        <w:t>66</w:t>
      </w:r>
      <w:r>
        <w:t>.</w:t>
      </w:r>
      <w:r w:rsidR="0027376A">
        <w:t xml:space="preserve"> </w:t>
      </w:r>
      <w:r>
        <w:t>Kwestia sposobu wykonywania obowiązków prezesa Apelacyjnego Sądu Administracyjnego w Kijowie przez skarżącego została pierwotnie podniesiona przez Radę Sędzi</w:t>
      </w:r>
      <w:r w:rsidR="00366CB2">
        <w:t>ów Sądu Administracyjnego, która</w:t>
      </w:r>
      <w:r>
        <w:t xml:space="preserve"> </w:t>
      </w:r>
      <w:r w:rsidR="00DD683D">
        <w:t>–</w:t>
      </w:r>
      <w:r>
        <w:t xml:space="preserve"> przeprowadziwszy dochodzenie </w:t>
      </w:r>
      <w:r w:rsidR="00DD683D">
        <w:t>–</w:t>
      </w:r>
      <w:r>
        <w:t xml:space="preserve"> postanowi</w:t>
      </w:r>
      <w:r w:rsidR="00366CB2">
        <w:t>ła</w:t>
      </w:r>
      <w:r>
        <w:t xml:space="preserve"> wnieść do NRS o odwołanie skarżącego ze stanowiska administracyjnego. Sprawa została następnie rozpatrzona przez NRS, która nie była związana wnioskiem Rady Sędziów Sądu Administracyjnego. Wręcz przeciwnie </w:t>
      </w:r>
      <w:r w:rsidR="00DD683D">
        <w:t>–</w:t>
      </w:r>
      <w:r>
        <w:t xml:space="preserve"> NRS była uprawniona do</w:t>
      </w:r>
      <w:r w:rsidR="00DD683D">
        <w:t> </w:t>
      </w:r>
      <w:r>
        <w:t>oceny faktów we własnym zakresie, dokonania własnej kwalifikacji prawnej przedmiotu sprawy i przyjęcia wiążącej decyzji w następstwie przeprowadzenia przesłuchania oraz oceny materiału dowodowego. W</w:t>
      </w:r>
      <w:r w:rsidR="00DD683D">
        <w:t> </w:t>
      </w:r>
      <w:r>
        <w:t xml:space="preserve">przedmiotowej sprawie rozparzenie kwestii przez NRS zakończyło się podjęciem decyzji o odwołaniu skarżącego, która to decyzja została niedługo potem wprowadzona w życie (zob. </w:t>
      </w:r>
      <w:r w:rsidR="00043509">
        <w:t>paragraf</w:t>
      </w:r>
      <w:r w:rsidR="0027376A">
        <w:t xml:space="preserve"> </w:t>
      </w:r>
      <w:r w:rsidRPr="00FF2363">
        <w:t>20</w:t>
      </w:r>
      <w:r>
        <w:t xml:space="preserve"> powyżej). Następnie, po wykonaniu decyzji, została ona poddana kontroli NSA.</w:t>
      </w:r>
    </w:p>
    <w:p w:rsidR="005A52C0" w:rsidRPr="00FF2363" w:rsidRDefault="005A52C0" w:rsidP="00FF2363">
      <w:pPr>
        <w:pStyle w:val="ECHRPara"/>
      </w:pPr>
      <w:r w:rsidRPr="00FF2363">
        <w:rPr>
          <w:noProof/>
        </w:rPr>
        <w:t>67</w:t>
      </w:r>
      <w:r>
        <w:t>.</w:t>
      </w:r>
      <w:r w:rsidR="0027376A">
        <w:t xml:space="preserve"> </w:t>
      </w:r>
      <w:r>
        <w:t>Opisany powyżej przebieg procedur krajowych sugeruje, że Rada Sędziów Sądu Administracyjnego przeprowadziła w tej sprawie wstępne dochodzenie. Skarżący nie kwestionuje tego aspektu sprawy i skupia się w</w:t>
      </w:r>
      <w:r w:rsidR="00DD683D">
        <w:t> </w:t>
      </w:r>
      <w:r>
        <w:t>swojej skardze na rzekomej nierzetelności postępowania przed NRS i</w:t>
      </w:r>
      <w:r w:rsidR="0027376A">
        <w:t xml:space="preserve"> </w:t>
      </w:r>
      <w:r>
        <w:t>NSA oraz braku „wystarczającej kontroli” ze strony NSA. W obliczu tych okoliczności Trybunał musi zbadać, czy NRS i NSA spełniły wymogi art.</w:t>
      </w:r>
      <w:r w:rsidR="0027376A">
        <w:t xml:space="preserve"> </w:t>
      </w:r>
      <w:r>
        <w:t>6 ust.</w:t>
      </w:r>
      <w:r w:rsidR="0027376A">
        <w:t xml:space="preserve"> </w:t>
      </w:r>
      <w:r>
        <w:t>1 Konwencji. Jeżeli jednak NRS nie spełniła tych wymogów, problem na gruncie art.</w:t>
      </w:r>
      <w:r w:rsidR="0027376A">
        <w:t xml:space="preserve"> </w:t>
      </w:r>
      <w:r>
        <w:t>6 zaistniałby wyłącznie wówczas, gdy NSA nie zapewniłby „wystarczającej kontroli” w zgodzie z art.</w:t>
      </w:r>
      <w:r w:rsidR="0027376A">
        <w:t xml:space="preserve"> </w:t>
      </w:r>
      <w:r w:rsidRPr="00D5056B">
        <w:t xml:space="preserve">6 (por. </w:t>
      </w:r>
      <w:r w:rsidRPr="008C7998">
        <w:rPr>
          <w:i/>
          <w:lang w:val="it-IT"/>
        </w:rPr>
        <w:t>Le Compte, Van</w:t>
      </w:r>
      <w:r w:rsidR="0027376A">
        <w:rPr>
          <w:i/>
          <w:iCs/>
          <w:lang w:val="it-IT"/>
        </w:rPr>
        <w:t xml:space="preserve"> </w:t>
      </w:r>
      <w:r w:rsidRPr="008C7998">
        <w:rPr>
          <w:i/>
          <w:lang w:val="it-IT"/>
        </w:rPr>
        <w:t>Leuven i</w:t>
      </w:r>
      <w:r w:rsidR="00DD683D" w:rsidRPr="008C7998">
        <w:rPr>
          <w:i/>
          <w:lang w:val="it-IT"/>
        </w:rPr>
        <w:t> </w:t>
      </w:r>
      <w:r w:rsidRPr="008C7998">
        <w:rPr>
          <w:i/>
          <w:lang w:val="it-IT"/>
        </w:rPr>
        <w:t>De Meyere</w:t>
      </w:r>
      <w:r w:rsidRPr="008C7998">
        <w:rPr>
          <w:lang w:val="it-IT"/>
        </w:rPr>
        <w:t xml:space="preserve">, </w:t>
      </w:r>
      <w:r w:rsidRPr="008C7998">
        <w:rPr>
          <w:i/>
          <w:lang w:val="it-IT"/>
        </w:rPr>
        <w:t>op. cit.</w:t>
      </w:r>
      <w:r w:rsidRPr="008C7998">
        <w:rPr>
          <w:lang w:val="it-IT"/>
        </w:rPr>
        <w:t>, §§</w:t>
      </w:r>
      <w:r w:rsidR="0027376A">
        <w:rPr>
          <w:lang w:val="it-IT"/>
        </w:rPr>
        <w:t xml:space="preserve"> </w:t>
      </w:r>
      <w:r w:rsidRPr="008C7998">
        <w:rPr>
          <w:lang w:val="it-IT"/>
        </w:rPr>
        <w:t xml:space="preserve">51 i 54 oraz </w:t>
      </w:r>
      <w:r w:rsidRPr="008C7998">
        <w:rPr>
          <w:i/>
          <w:lang w:val="it-IT"/>
        </w:rPr>
        <w:t>Oleksandr</w:t>
      </w:r>
      <w:r w:rsidR="0027376A">
        <w:rPr>
          <w:i/>
          <w:iCs/>
          <w:lang w:val="it-IT"/>
        </w:rPr>
        <w:t xml:space="preserve"> </w:t>
      </w:r>
      <w:r w:rsidRPr="008C7998">
        <w:rPr>
          <w:i/>
          <w:lang w:val="it-IT"/>
        </w:rPr>
        <w:t>Volkov</w:t>
      </w:r>
      <w:r w:rsidRPr="008C7998">
        <w:rPr>
          <w:lang w:val="it-IT"/>
        </w:rPr>
        <w:t xml:space="preserve">, </w:t>
      </w:r>
      <w:r w:rsidRPr="008C7998">
        <w:rPr>
          <w:i/>
          <w:lang w:val="it-IT"/>
        </w:rPr>
        <w:t>op. cit.</w:t>
      </w:r>
      <w:r w:rsidRPr="008C7998">
        <w:rPr>
          <w:lang w:val="it-IT"/>
        </w:rPr>
        <w:t>, §§</w:t>
      </w:r>
      <w:r w:rsidR="0027376A">
        <w:rPr>
          <w:lang w:val="it-IT"/>
        </w:rPr>
        <w:t xml:space="preserve"> </w:t>
      </w:r>
      <w:r w:rsidRPr="008C7998">
        <w:rPr>
          <w:lang w:val="it-IT"/>
        </w:rPr>
        <w:t xml:space="preserve">108, 123 i 130). </w:t>
      </w:r>
      <w:r>
        <w:t xml:space="preserve">W świetle powyższego do </w:t>
      </w:r>
      <w:r w:rsidRPr="00D10A61">
        <w:t>Trybunału zwrócono się</w:t>
      </w:r>
      <w:r>
        <w:t xml:space="preserve"> przede wszystkim o zbadanie, czy NRS spełniła wymogi „niezawisł</w:t>
      </w:r>
      <w:r w:rsidR="00A53715">
        <w:t>ego</w:t>
      </w:r>
      <w:r>
        <w:t xml:space="preserve"> i</w:t>
      </w:r>
      <w:r w:rsidR="00DD683D">
        <w:t> </w:t>
      </w:r>
      <w:r>
        <w:t>bezstronn</w:t>
      </w:r>
      <w:r w:rsidR="00A53715">
        <w:t>ego</w:t>
      </w:r>
      <w:r>
        <w:t xml:space="preserve"> sądu”. W drugiej kolejności, jeżeli wymogi te nie zostały </w:t>
      </w:r>
      <w:r>
        <w:lastRenderedPageBreak/>
        <w:t>na</w:t>
      </w:r>
      <w:r w:rsidR="00DD683D">
        <w:t> </w:t>
      </w:r>
      <w:r>
        <w:t>tym etapie zaspokojone, należy ustalić, czy kontrola zapewniona przez NSA była „wystarczająca”, by naprawić stwierdzone uchybienia. W trzeciej kolejności należy ustalić, czy NSA spełnił wymogi niezawisłości i</w:t>
      </w:r>
      <w:r w:rsidR="00DD683D">
        <w:t> </w:t>
      </w:r>
      <w:r>
        <w:t>bezstronności.</w:t>
      </w:r>
    </w:p>
    <w:p w:rsidR="005A52C0" w:rsidRPr="00FF2363" w:rsidRDefault="005A52C0" w:rsidP="00FF2363">
      <w:pPr>
        <w:pStyle w:val="ECHRHeading5"/>
      </w:pPr>
      <w:r>
        <w:t>(ii)</w:t>
      </w:r>
      <w:r w:rsidR="0027376A">
        <w:t xml:space="preserve"> </w:t>
      </w:r>
      <w:r>
        <w:t>Postępowanie przed NRS</w:t>
      </w:r>
    </w:p>
    <w:p w:rsidR="005A52C0" w:rsidRPr="00FF2363" w:rsidRDefault="005A52C0" w:rsidP="00FF2363">
      <w:pPr>
        <w:pStyle w:val="ECHRPara"/>
      </w:pPr>
      <w:r w:rsidRPr="00FF2363">
        <w:rPr>
          <w:noProof/>
        </w:rPr>
        <w:t>68</w:t>
      </w:r>
      <w:r>
        <w:t>.</w:t>
      </w:r>
      <w:r w:rsidR="0027376A">
        <w:t xml:space="preserve"> </w:t>
      </w:r>
      <w:r>
        <w:t xml:space="preserve">W wyroku w sprawie </w:t>
      </w:r>
      <w:r>
        <w:rPr>
          <w:i/>
          <w:iCs/>
        </w:rPr>
        <w:t>Oleksandr Volkov</w:t>
      </w:r>
      <w:r>
        <w:t xml:space="preserve"> (</w:t>
      </w:r>
      <w:r>
        <w:rPr>
          <w:i/>
          <w:iCs/>
        </w:rPr>
        <w:t>op.</w:t>
      </w:r>
      <w:r w:rsidR="0027376A">
        <w:rPr>
          <w:i/>
          <w:iCs/>
        </w:rPr>
        <w:t xml:space="preserve"> </w:t>
      </w:r>
      <w:r>
        <w:rPr>
          <w:i/>
          <w:iCs/>
        </w:rPr>
        <w:t>cit.</w:t>
      </w:r>
      <w:r>
        <w:t>) Trybunał określił szereg kryteriów służących ocenie, czy NRS jako organ dyscyplinarny właściwy w sprawach sędziów spełniła wymogi niezawisłości i</w:t>
      </w:r>
      <w:r w:rsidR="00DD683D">
        <w:t> </w:t>
      </w:r>
      <w:r>
        <w:t xml:space="preserve">bezstronności. Dokonując określenia wspomnianych kryteriów, Trybunał opierał się na dotychczasowym orzecznictwie i uwzględnił </w:t>
      </w:r>
      <w:r w:rsidR="00A53715">
        <w:t xml:space="preserve">istotne </w:t>
      </w:r>
      <w:r>
        <w:t>teksty międzynarodowe, w szczególności opinie i rekomendacje innych organów Rady Europy. Po pierwsze, Trybunał podkreślił konieczno</w:t>
      </w:r>
      <w:r w:rsidR="00A53715">
        <w:t>ść znaczącego udziału sędziów w takim</w:t>
      </w:r>
      <w:r>
        <w:t xml:space="preserve"> organie, uznając, że w przypadku, gdy co najmniej połowa składu sądu składa się z sędziów, w tym także sędzią jest przewodniczący posiadający głos decydujący, fakt ten w istotny sposób wskazuje na bezstronność (</w:t>
      </w:r>
      <w:r w:rsidR="00DE5D9C">
        <w:rPr>
          <w:i/>
          <w:iCs/>
        </w:rPr>
        <w:t xml:space="preserve">ibid., </w:t>
      </w:r>
      <w:r>
        <w:t>§</w:t>
      </w:r>
      <w:r w:rsidR="0027376A">
        <w:t xml:space="preserve"> </w:t>
      </w:r>
      <w:r>
        <w:t>109). Po drugie, zważywszy na wagę ograniczenia wpływu organów politycznych na skład organu dyscyplinarnego, należ</w:t>
      </w:r>
      <w:r w:rsidR="00A53715">
        <w:t>y</w:t>
      </w:r>
      <w:r>
        <w:t xml:space="preserve"> ocenić sposób powoływania sędziów mających zasiadać w tym organie z uwzględnieniem władz, które ich powołały</w:t>
      </w:r>
      <w:r w:rsidR="00A53715">
        <w:t>,</w:t>
      </w:r>
      <w:r>
        <w:t xml:space="preserve"> oraz</w:t>
      </w:r>
      <w:r w:rsidR="00DD683D">
        <w:t> </w:t>
      </w:r>
      <w:r>
        <w:t>roli społeczności sędziowskiej w tym procesie (</w:t>
      </w:r>
      <w:r w:rsidR="00DE5D9C">
        <w:rPr>
          <w:i/>
          <w:iCs/>
        </w:rPr>
        <w:t xml:space="preserve">ibid., </w:t>
      </w:r>
      <w:r>
        <w:t>§</w:t>
      </w:r>
      <w:r w:rsidR="0027376A">
        <w:t xml:space="preserve"> </w:t>
      </w:r>
      <w:r>
        <w:t>112). Po</w:t>
      </w:r>
      <w:r w:rsidR="00DD683D">
        <w:t> </w:t>
      </w:r>
      <w:r>
        <w:t>trzecie, należ</w:t>
      </w:r>
      <w:r w:rsidR="00A53715">
        <w:t>y</w:t>
      </w:r>
      <w:r>
        <w:t xml:space="preserve"> ustalić, czy członkowie organu dyscyplinarnego </w:t>
      </w:r>
      <w:r w:rsidR="00A53715">
        <w:t>są</w:t>
      </w:r>
      <w:r>
        <w:t xml:space="preserve"> zatrudnieni w</w:t>
      </w:r>
      <w:r w:rsidR="0027376A">
        <w:t xml:space="preserve"> </w:t>
      </w:r>
      <w:r>
        <w:t>pełnym wymiarze godzin, czy też pracują i otrzymują wynagrodzenie spoza tego organu, co w nieunikniony sposób skutkuje ich</w:t>
      </w:r>
      <w:r w:rsidR="00DD683D">
        <w:t> </w:t>
      </w:r>
      <w:r>
        <w:t>materialnym, hierarchicznym i administracyjnym uzależnieniem od</w:t>
      </w:r>
      <w:r w:rsidR="00DD683D">
        <w:t> </w:t>
      </w:r>
      <w:r>
        <w:t>pracodawców podstawowych i stanowi zagrożenie dla ich niezawisłości i</w:t>
      </w:r>
      <w:r w:rsidR="00DD683D">
        <w:t> </w:t>
      </w:r>
      <w:r>
        <w:t>bezstronności (</w:t>
      </w:r>
      <w:r w:rsidR="00DE5D9C">
        <w:rPr>
          <w:i/>
          <w:iCs/>
        </w:rPr>
        <w:t xml:space="preserve">ibid., </w:t>
      </w:r>
      <w:r>
        <w:t>§</w:t>
      </w:r>
      <w:r w:rsidR="0027376A">
        <w:t xml:space="preserve"> </w:t>
      </w:r>
      <w:r>
        <w:t>113). Po czwarte, należy zwrócić uwagę na</w:t>
      </w:r>
      <w:r w:rsidR="00DD683D">
        <w:t> </w:t>
      </w:r>
      <w:r>
        <w:t>obecność przedstawicieli prokuratury w składzie organu dyscyplinarnego właściwego do spraw sędziów. Włączenie z urzędu Prokuratora Generalnego oraz innych członków powoływanych przez prokuraturę budzi zaniepokojenie jako potencjalne zagrożenie dla bezstronności organu dyscyplinarnego w</w:t>
      </w:r>
      <w:r w:rsidR="0027376A">
        <w:t xml:space="preserve"> </w:t>
      </w:r>
      <w:r>
        <w:t>świetle funkcji prokuratorów w krajowych postępowaniach sądowych (</w:t>
      </w:r>
      <w:r w:rsidR="00DE5D9C">
        <w:rPr>
          <w:i/>
          <w:iCs/>
        </w:rPr>
        <w:t xml:space="preserve">ibid., </w:t>
      </w:r>
      <w:r>
        <w:t>§</w:t>
      </w:r>
      <w:r w:rsidR="0027376A">
        <w:t xml:space="preserve"> </w:t>
      </w:r>
      <w:r>
        <w:t>114). Po piąte, w przypadku gdy</w:t>
      </w:r>
      <w:r w:rsidR="00DD683D">
        <w:t> </w:t>
      </w:r>
      <w:r>
        <w:t>członkowie organu dyscyplinarnego prowadzili wstępne dochodzenie w</w:t>
      </w:r>
      <w:r w:rsidR="00DD683D">
        <w:t> </w:t>
      </w:r>
      <w:r>
        <w:t>sprawie dyscyplinarnej skarżącego, a następnie brali udział w</w:t>
      </w:r>
      <w:r w:rsidR="00DD683D">
        <w:t> </w:t>
      </w:r>
      <w:r>
        <w:t>podejmowaniu decyzji w jego sprawie przez organ dyscyplinarny, takie</w:t>
      </w:r>
      <w:r w:rsidR="00DD683D">
        <w:t> </w:t>
      </w:r>
      <w:r w:rsidRPr="00D10A61">
        <w:t>po</w:t>
      </w:r>
      <w:r w:rsidR="00D10A61" w:rsidRPr="00D10A61">
        <w:t>łączenie</w:t>
      </w:r>
      <w:r>
        <w:t xml:space="preserve"> funkcji może budzić obiektywne wątpliwości co do ich bezstronności (</w:t>
      </w:r>
      <w:r w:rsidR="00DE5D9C">
        <w:rPr>
          <w:i/>
          <w:iCs/>
        </w:rPr>
        <w:t xml:space="preserve">ibid., </w:t>
      </w:r>
      <w:r>
        <w:t>§</w:t>
      </w:r>
      <w:r w:rsidR="0027376A">
        <w:t xml:space="preserve"> </w:t>
      </w:r>
      <w:r>
        <w:t>115).</w:t>
      </w:r>
    </w:p>
    <w:p w:rsidR="005A52C0" w:rsidRPr="00FF2363" w:rsidRDefault="005A52C0" w:rsidP="00FF2363">
      <w:pPr>
        <w:pStyle w:val="ECHRPara"/>
      </w:pPr>
      <w:r w:rsidRPr="00FF2363">
        <w:rPr>
          <w:noProof/>
        </w:rPr>
        <w:t>69</w:t>
      </w:r>
      <w:r>
        <w:t>.</w:t>
      </w:r>
      <w:r w:rsidR="0027376A">
        <w:t xml:space="preserve"> </w:t>
      </w:r>
      <w:r>
        <w:t xml:space="preserve">W sprawie </w:t>
      </w:r>
      <w:r>
        <w:rPr>
          <w:i/>
          <w:iCs/>
        </w:rPr>
        <w:t>Oleksandr Volkov</w:t>
      </w:r>
      <w:r>
        <w:t xml:space="preserve"> Trybunał orzekł, że skład NRS, przewidziany w Konstytucji, wskaz</w:t>
      </w:r>
      <w:r w:rsidR="00EC419E">
        <w:t>ywał</w:t>
      </w:r>
      <w:r>
        <w:t xml:space="preserve"> na szereg nieprawidłowośc</w:t>
      </w:r>
      <w:r w:rsidR="00EC419E">
        <w:t>i strukturalnych, które uchybiały</w:t>
      </w:r>
      <w:r>
        <w:t xml:space="preserve"> wymogom niezawisłości i bezstronności. W</w:t>
      </w:r>
      <w:r w:rsidR="00DD683D">
        <w:t> </w:t>
      </w:r>
      <w:r>
        <w:t xml:space="preserve">myśl tych </w:t>
      </w:r>
      <w:r w:rsidR="00EC419E">
        <w:t xml:space="preserve">uregulowań </w:t>
      </w:r>
      <w:r>
        <w:t xml:space="preserve">konstytucyjnych znaczną większość składu NRS stanowili </w:t>
      </w:r>
      <w:r w:rsidR="00FD3857">
        <w:t>członkowie</w:t>
      </w:r>
      <w:r>
        <w:t xml:space="preserve"> niebędący sędziami, powoływani bezpośrednio przez władze wykonawcze i ustawodawcze, Minister Sprawiedliwości </w:t>
      </w:r>
      <w:r>
        <w:lastRenderedPageBreak/>
        <w:t>i</w:t>
      </w:r>
      <w:r w:rsidR="00DD683D">
        <w:t> </w:t>
      </w:r>
      <w:r>
        <w:t xml:space="preserve">Prokurator Generalny </w:t>
      </w:r>
      <w:r w:rsidR="00EC419E">
        <w:t xml:space="preserve">wchodzili zaś w skład </w:t>
      </w:r>
      <w:r>
        <w:t>Rady z urzędu. Decyzja o</w:t>
      </w:r>
      <w:r w:rsidR="00DD683D">
        <w:t> </w:t>
      </w:r>
      <w:r>
        <w:t xml:space="preserve">odwołaniu skarżącego w sprawie </w:t>
      </w:r>
      <w:r>
        <w:rPr>
          <w:i/>
          <w:iCs/>
        </w:rPr>
        <w:t>Oleksandr Volkov</w:t>
      </w:r>
      <w:r>
        <w:t xml:space="preserve"> została podjęta przez szesnastu członków NRS, spośród których sędziami było tylko trzech. Ponadto </w:t>
      </w:r>
      <w:r w:rsidR="00EC419E">
        <w:t>tylko czterech spośród dwudziestu członków NRS</w:t>
      </w:r>
      <w:r>
        <w:t xml:space="preserve"> </w:t>
      </w:r>
      <w:r w:rsidR="00EC419E">
        <w:t xml:space="preserve">było </w:t>
      </w:r>
      <w:r>
        <w:t>zatrudnionych</w:t>
      </w:r>
      <w:r w:rsidR="00EC419E">
        <w:t xml:space="preserve"> w pełnym wymiarze godzin</w:t>
      </w:r>
      <w:r>
        <w:t>, natomiast pozostali członkowie pracowali i</w:t>
      </w:r>
      <w:r w:rsidR="0027376A">
        <w:t xml:space="preserve"> </w:t>
      </w:r>
      <w:r>
        <w:t>otrzymywali wynagrodzenie spoza NRS. Członkostwo i</w:t>
      </w:r>
      <w:r w:rsidR="00DD683D">
        <w:t> </w:t>
      </w:r>
      <w:r>
        <w:t>obecność Prokuratora Generalnego i innych przedstawicieli prokuratury w</w:t>
      </w:r>
      <w:r w:rsidR="00DD683D">
        <w:t> </w:t>
      </w:r>
      <w:r>
        <w:t>NRS budzi</w:t>
      </w:r>
      <w:r w:rsidR="00EC419E">
        <w:t>ła</w:t>
      </w:r>
      <w:r>
        <w:t xml:space="preserve"> dalsze wątpliwości co do bezstronności tego organu z uwagi na rolę, jaką prokuratura odgrywa w krajowych postępowaniach sądowych. Co więcej, dwoje członków NRS, którzy wnieśli zarzuty dyscyplinarne przeciwko skarżącemu na podstawie wyników własnego wstępnego dochodzenia, brało później udział w rozstrzyganiu meritum </w:t>
      </w:r>
      <w:r w:rsidR="00EC419E">
        <w:t>jego sprawy</w:t>
      </w:r>
      <w:r>
        <w:t xml:space="preserve"> (</w:t>
      </w:r>
      <w:r w:rsidR="00DE5D9C">
        <w:rPr>
          <w:i/>
          <w:iCs/>
        </w:rPr>
        <w:t xml:space="preserve">ibid., </w:t>
      </w:r>
      <w:r>
        <w:t>§§</w:t>
      </w:r>
      <w:r w:rsidR="0027376A">
        <w:t xml:space="preserve"> </w:t>
      </w:r>
      <w:r>
        <w:t>110–15).</w:t>
      </w:r>
    </w:p>
    <w:p w:rsidR="005A52C0" w:rsidRPr="00FF2363" w:rsidRDefault="005A52C0" w:rsidP="00FF2363">
      <w:pPr>
        <w:pStyle w:val="ECHRPara"/>
      </w:pPr>
      <w:r w:rsidRPr="00FF2363">
        <w:rPr>
          <w:noProof/>
        </w:rPr>
        <w:t>70</w:t>
      </w:r>
      <w:r>
        <w:t>.</w:t>
      </w:r>
      <w:r w:rsidR="0027376A">
        <w:t xml:space="preserve"> </w:t>
      </w:r>
      <w:r>
        <w:t xml:space="preserve">Powyższe ustalenia są w pełni adekwatne w przypadku przedmiotowej skargi. NRS została powołana i funkcjonowała w myśl dokładnie tych samych konstytucyjnych zasad, co w sprawie </w:t>
      </w:r>
      <w:r>
        <w:rPr>
          <w:i/>
          <w:iCs/>
        </w:rPr>
        <w:t>Oleksandr Volkov.</w:t>
      </w:r>
      <w:r>
        <w:t xml:space="preserve"> Z tego względu w niniejszej sprawie do głosu dochodzą te same wątpliwości dotyczące zgodności postępowania przed NRS ze standardami niezawisłości i bezstronności. Sprawę skarżącego rozpoznawało i</w:t>
      </w:r>
      <w:r w:rsidR="00DD683D">
        <w:t> </w:t>
      </w:r>
      <w:r>
        <w:t xml:space="preserve">rozstrzygało osiemnastu członków NRS, spośród których sędziami było tylko ośmiu. Członkowie niebędący sędziami stanowili większość mającą decydujący wpływ na wynik postępowania. Ponadto zaniepokojenie budziły zarówno kwestie sposobu powoływania członków NRS </w:t>
      </w:r>
      <w:r w:rsidR="00EC419E">
        <w:t xml:space="preserve">spośród sędziów </w:t>
      </w:r>
      <w:r>
        <w:t>przez organy wykonawcze i ustawodawcze, ograniczającego liczbę sędziów zasiadających w NRS z wyboru innych sędziów, jak również fakt, iż</w:t>
      </w:r>
      <w:r w:rsidR="00DD683D">
        <w:t> </w:t>
      </w:r>
      <w:r>
        <w:t xml:space="preserve">większość członków NRS nie była </w:t>
      </w:r>
      <w:r w:rsidR="00EC419E">
        <w:t>przez nią</w:t>
      </w:r>
      <w:r>
        <w:t xml:space="preserve"> zatrudniona w pełnym wymiarze godzin oraz </w:t>
      </w:r>
      <w:r w:rsidR="00EC419E">
        <w:t xml:space="preserve">to, </w:t>
      </w:r>
      <w:r>
        <w:t>że członkiem NRS był Prokurator Generalny.</w:t>
      </w:r>
    </w:p>
    <w:p w:rsidR="005A52C0" w:rsidRPr="00FF2363" w:rsidRDefault="005A52C0" w:rsidP="00FF2363">
      <w:pPr>
        <w:pStyle w:val="ECHRPara"/>
      </w:pPr>
      <w:r w:rsidRPr="00FF2363">
        <w:rPr>
          <w:noProof/>
        </w:rPr>
        <w:t>71</w:t>
      </w:r>
      <w:r>
        <w:t>.</w:t>
      </w:r>
      <w:r w:rsidR="0027376A">
        <w:t xml:space="preserve"> </w:t>
      </w:r>
      <w:r>
        <w:t xml:space="preserve">Ponadto, co się tyczy zarzutów skarżącego, szczegółowo przedstawionych przed Trybunałem, że określeni członkowie NRS wykazywali w jego sprawie osobiste uprzedzenia, nie można pomijać faktu, że sędzia K., który był członkiem NRS, początkowo </w:t>
      </w:r>
      <w:r w:rsidR="00DD683D">
        <w:t>–</w:t>
      </w:r>
      <w:r>
        <w:t xml:space="preserve"> działając w</w:t>
      </w:r>
      <w:r w:rsidR="00DD683D">
        <w:t> </w:t>
      </w:r>
      <w:r>
        <w:t xml:space="preserve">charakterze przewodniczącego Rady Sędziów Sądu Administracyjnego </w:t>
      </w:r>
      <w:r w:rsidR="00DD683D">
        <w:t>–</w:t>
      </w:r>
      <w:r>
        <w:t xml:space="preserve"> był zaangażowany we wstępne dochodzenie w sprawie skarżącego oraz złożenie do NRS wniosku o jego odwołanie (zob. </w:t>
      </w:r>
      <w:r w:rsidR="00043509">
        <w:t>paragrafy</w:t>
      </w:r>
      <w:r w:rsidR="0027376A">
        <w:t xml:space="preserve"> </w:t>
      </w:r>
      <w:r w:rsidRPr="00FF2363">
        <w:t>15</w:t>
      </w:r>
      <w:r>
        <w:t xml:space="preserve"> i </w:t>
      </w:r>
      <w:r w:rsidRPr="00FF2363">
        <w:t>18</w:t>
      </w:r>
      <w:r>
        <w:t xml:space="preserve"> powyżej). Okoliczności te budz</w:t>
      </w:r>
      <w:r w:rsidR="00EC419E">
        <w:t>ą</w:t>
      </w:r>
      <w:r>
        <w:t xml:space="preserve"> obiektywne wątpliwości co</w:t>
      </w:r>
      <w:r w:rsidR="00DD683D">
        <w:t> </w:t>
      </w:r>
      <w:r>
        <w:t>do</w:t>
      </w:r>
      <w:r w:rsidR="00DD683D">
        <w:t> </w:t>
      </w:r>
      <w:r>
        <w:t>bezstronności sędziego K., zważywszy na to, że brał on następnie udział w podejmowaniu decyzji co do meritum sprawy skarżącego w</w:t>
      </w:r>
      <w:r w:rsidR="00DD683D">
        <w:t> </w:t>
      </w:r>
      <w:r>
        <w:t xml:space="preserve">ramach NRS (por. </w:t>
      </w:r>
      <w:r>
        <w:rPr>
          <w:i/>
          <w:iCs/>
        </w:rPr>
        <w:t>Oleksandr Volkov</w:t>
      </w:r>
      <w:r>
        <w:t xml:space="preserve">, </w:t>
      </w:r>
      <w:r>
        <w:rPr>
          <w:i/>
          <w:iCs/>
        </w:rPr>
        <w:t>op. cit.</w:t>
      </w:r>
      <w:r>
        <w:t>, §</w:t>
      </w:r>
      <w:r w:rsidR="0027376A">
        <w:t xml:space="preserve"> </w:t>
      </w:r>
      <w:r>
        <w:t xml:space="preserve">115; </w:t>
      </w:r>
      <w:r>
        <w:rPr>
          <w:i/>
          <w:iCs/>
        </w:rPr>
        <w:t>Poposki i Duma</w:t>
      </w:r>
      <w:r>
        <w:t xml:space="preserve"> </w:t>
      </w:r>
      <w:r>
        <w:rPr>
          <w:i/>
          <w:iCs/>
        </w:rPr>
        <w:t>przeciwko byłej Jugosłowiańskiej Republice Macedonii</w:t>
      </w:r>
      <w:r>
        <w:t>, skargi nr 69916/10 i 36531/11</w:t>
      </w:r>
      <w:r>
        <w:rPr>
          <w:snapToGrid w:val="0"/>
        </w:rPr>
        <w:t>, §</w:t>
      </w:r>
      <w:r w:rsidR="0027376A">
        <w:rPr>
          <w:snapToGrid w:val="0"/>
        </w:rPr>
        <w:t xml:space="preserve"> </w:t>
      </w:r>
      <w:r>
        <w:rPr>
          <w:snapToGrid w:val="0"/>
        </w:rPr>
        <w:t xml:space="preserve">48, </w:t>
      </w:r>
      <w:r>
        <w:t>7</w:t>
      </w:r>
      <w:r w:rsidR="0027376A">
        <w:rPr>
          <w:snapToGrid w:val="0"/>
        </w:rPr>
        <w:t xml:space="preserve"> </w:t>
      </w:r>
      <w:r>
        <w:t>stycznia 2016</w:t>
      </w:r>
      <w:r w:rsidR="0027376A">
        <w:t xml:space="preserve"> </w:t>
      </w:r>
      <w:r>
        <w:t xml:space="preserve">r.; oraz </w:t>
      </w:r>
      <w:r>
        <w:rPr>
          <w:i/>
          <w:iCs/>
        </w:rPr>
        <w:t>Sturua</w:t>
      </w:r>
      <w:r>
        <w:t xml:space="preserve">, </w:t>
      </w:r>
      <w:r>
        <w:rPr>
          <w:i/>
          <w:iCs/>
        </w:rPr>
        <w:t>op. cit.</w:t>
      </w:r>
      <w:r>
        <w:t>,</w:t>
      </w:r>
      <w:r>
        <w:rPr>
          <w:i/>
          <w:iCs/>
        </w:rPr>
        <w:t xml:space="preserve"> </w:t>
      </w:r>
      <w:r>
        <w:t>§</w:t>
      </w:r>
      <w:r w:rsidR="0027376A">
        <w:t xml:space="preserve"> </w:t>
      </w:r>
      <w:r>
        <w:t>35).</w:t>
      </w:r>
    </w:p>
    <w:p w:rsidR="005A52C0" w:rsidRPr="00FF2363" w:rsidRDefault="005A52C0" w:rsidP="00FF2363">
      <w:pPr>
        <w:pStyle w:val="ECHRPara"/>
      </w:pPr>
      <w:r w:rsidRPr="00FF2363">
        <w:rPr>
          <w:noProof/>
        </w:rPr>
        <w:t>72</w:t>
      </w:r>
      <w:r>
        <w:t>.</w:t>
      </w:r>
      <w:r w:rsidR="0027376A">
        <w:t xml:space="preserve"> </w:t>
      </w:r>
      <w:r>
        <w:t>Powyższe ustalenia są dla Trybunału wystarczające, aby stwierdzić, że w postępowaniu przed NRS brak było gwarancji niezawisłości i</w:t>
      </w:r>
      <w:r w:rsidR="00DD683D">
        <w:t> </w:t>
      </w:r>
      <w:r>
        <w:t xml:space="preserve">bezstronności w świetle nieprawidłowości strukturalnych i istnienia </w:t>
      </w:r>
      <w:r w:rsidR="00B72C1A" w:rsidRPr="00D10A61">
        <w:t>wrażenia</w:t>
      </w:r>
      <w:r w:rsidR="00B72C1A">
        <w:t xml:space="preserve"> </w:t>
      </w:r>
      <w:r>
        <w:t>osobistych uprzedzeń.</w:t>
      </w:r>
    </w:p>
    <w:p w:rsidR="005A52C0" w:rsidRPr="00FF2363" w:rsidRDefault="005A52C0" w:rsidP="00FF2363">
      <w:pPr>
        <w:pStyle w:val="ECHRHeading5"/>
      </w:pPr>
      <w:r>
        <w:lastRenderedPageBreak/>
        <w:t>(iii)</w:t>
      </w:r>
      <w:r w:rsidR="0027376A">
        <w:t xml:space="preserve"> </w:t>
      </w:r>
      <w:r>
        <w:t>Czy rozpoznanie sprawy przez NSA stanowiło wystarczającą kontrolę</w:t>
      </w:r>
    </w:p>
    <w:p w:rsidR="005A52C0" w:rsidRPr="00FF2363" w:rsidRDefault="005A52C0" w:rsidP="00FF2363">
      <w:pPr>
        <w:pStyle w:val="ECHRPara"/>
      </w:pPr>
      <w:r w:rsidRPr="00FF2363">
        <w:rPr>
          <w:noProof/>
        </w:rPr>
        <w:t>73</w:t>
      </w:r>
      <w:r>
        <w:t>.</w:t>
      </w:r>
      <w:r w:rsidR="0027376A">
        <w:t xml:space="preserve"> </w:t>
      </w:r>
      <w:r>
        <w:t xml:space="preserve">Trybunał uznał, iż aby określić, czy sąd wyższej instancji ma „pełną jurysdykcję” bądź zapewnia „wystarczającą kontrolę” umożliwiającą naprawienie braku niezawisłości </w:t>
      </w:r>
      <w:r w:rsidR="00B72C1A">
        <w:t xml:space="preserve">i bezstronności </w:t>
      </w:r>
      <w:r>
        <w:t>w pierwszej instancji, należy uwzględnić czynniki takie jak przedmiot decyzji, względem której złożono odwołanie, sposób jej wydania oraz treść sporu, w tym pożądane i</w:t>
      </w:r>
      <w:r w:rsidR="00DD683D">
        <w:t> </w:t>
      </w:r>
      <w:r>
        <w:t xml:space="preserve">rzeczywiste podstawy odwołania (zob. </w:t>
      </w:r>
      <w:r>
        <w:rPr>
          <w:i/>
          <w:iCs/>
        </w:rPr>
        <w:t>Bryan przeciwko Zjednoczonemu Królestwu</w:t>
      </w:r>
      <w:r>
        <w:t>, 22</w:t>
      </w:r>
      <w:r w:rsidR="0027376A">
        <w:t xml:space="preserve"> </w:t>
      </w:r>
      <w:r>
        <w:t>listopada 1995</w:t>
      </w:r>
      <w:r w:rsidR="0027376A">
        <w:t xml:space="preserve"> </w:t>
      </w:r>
      <w:r>
        <w:t>r., §§</w:t>
      </w:r>
      <w:r w:rsidR="0027376A">
        <w:t xml:space="preserve"> </w:t>
      </w:r>
      <w:r>
        <w:t>44–47, Seria A nr 335</w:t>
      </w:r>
      <w:r>
        <w:noBreakHyphen/>
        <w:t xml:space="preserve">A oraz </w:t>
      </w:r>
      <w:r>
        <w:rPr>
          <w:i/>
          <w:iCs/>
        </w:rPr>
        <w:t>Tsfayo</w:t>
      </w:r>
      <w:r>
        <w:t xml:space="preserve">, </w:t>
      </w:r>
      <w:r>
        <w:rPr>
          <w:i/>
          <w:iCs/>
        </w:rPr>
        <w:t>op. cit.</w:t>
      </w:r>
      <w:r>
        <w:t>, §</w:t>
      </w:r>
      <w:r w:rsidR="0027376A">
        <w:t xml:space="preserve"> </w:t>
      </w:r>
      <w:r>
        <w:t>43).</w:t>
      </w:r>
    </w:p>
    <w:p w:rsidR="005A52C0" w:rsidRPr="00FF2363" w:rsidRDefault="005A52C0" w:rsidP="00FF2363">
      <w:pPr>
        <w:pStyle w:val="ECHRPara"/>
      </w:pPr>
      <w:r w:rsidRPr="00FF2363">
        <w:rPr>
          <w:noProof/>
        </w:rPr>
        <w:t>74</w:t>
      </w:r>
      <w:r>
        <w:t>.</w:t>
      </w:r>
      <w:r w:rsidR="0027376A">
        <w:t xml:space="preserve"> </w:t>
      </w:r>
      <w:r>
        <w:t xml:space="preserve">W sprawie </w:t>
      </w:r>
      <w:r>
        <w:rPr>
          <w:i/>
          <w:iCs/>
        </w:rPr>
        <w:t>Oleksandr Volkov</w:t>
      </w:r>
      <w:r>
        <w:t xml:space="preserve"> Trybunał stwierdził wprost, że NSA nie</w:t>
      </w:r>
      <w:r w:rsidR="00DD683D">
        <w:t> </w:t>
      </w:r>
      <w:r>
        <w:t>zapewnił wystarczającej kontroli w sprawie dotyczącej odwołania sędziego ze stanowiska. Po pierwsze, Trybunał zauważył, że NSA uprawniony był do uznania zakwestionowanych decyzji za niezgodne z</w:t>
      </w:r>
      <w:r w:rsidR="00DD683D">
        <w:t> </w:t>
      </w:r>
      <w:r>
        <w:t xml:space="preserve">prawem, lecz bez możliwości ich uchylania i podejmowania dalszych kroków w przypadku uznania ich za niezbędne. Mimo że </w:t>
      </w:r>
      <w:r w:rsidR="00B72C1A">
        <w:t>decyzja uznana</w:t>
      </w:r>
      <w:r>
        <w:t xml:space="preserve"> za</w:t>
      </w:r>
      <w:r w:rsidR="00DD683D">
        <w:t> </w:t>
      </w:r>
      <w:r w:rsidR="00B72C1A">
        <w:t>niezgodną z prawem nie pociągała</w:t>
      </w:r>
      <w:r>
        <w:t xml:space="preserve"> za sobą konsekwencji prawnych, brak możliwości formalnego uchylenia zakwestionowan</w:t>
      </w:r>
      <w:r w:rsidR="00B72C1A">
        <w:t>ej</w:t>
      </w:r>
      <w:r>
        <w:t xml:space="preserve"> decyzji przez NSA </w:t>
      </w:r>
      <w:r w:rsidR="00B72C1A">
        <w:t xml:space="preserve">przy jednoczesnym </w:t>
      </w:r>
      <w:r>
        <w:t>brak</w:t>
      </w:r>
      <w:r w:rsidR="00B72C1A">
        <w:t>u</w:t>
      </w:r>
      <w:r>
        <w:t xml:space="preserve"> zasad dotyczących dalszego toku postępowania dyscyplinarnego (w szczególności kroków, jakie powinny podejmować zaangażowane władze po uznaniu zaskarżonych decyzji za niezgodne z</w:t>
      </w:r>
      <w:r w:rsidR="00DD683D">
        <w:t> </w:t>
      </w:r>
      <w:r>
        <w:t xml:space="preserve">prawem, oraz terminów, w jakich działania takie powinny zostać podjęte) </w:t>
      </w:r>
      <w:r w:rsidR="00B72C1A">
        <w:t>spowodowały</w:t>
      </w:r>
      <w:r>
        <w:t xml:space="preserve"> poważną niepewność co do faktycznych konsekwencji prawnych uznania przez sąd niezgodności decyzji z </w:t>
      </w:r>
      <w:r w:rsidR="00B72C1A">
        <w:t>prawem. Praktyka sądowa sugerowała</w:t>
      </w:r>
      <w:r>
        <w:t xml:space="preserve"> ponadto, że nie było automatycznego przywrócenia na</w:t>
      </w:r>
      <w:r w:rsidR="00DD683D">
        <w:t> </w:t>
      </w:r>
      <w:r>
        <w:t>stanowisko na podstawie pozytywnej deklaracji NSA, ponieważ odwołujący się sędziowie musieli wszcząć odrębne postępowanie w</w:t>
      </w:r>
      <w:r w:rsidR="00DD683D">
        <w:t> </w:t>
      </w:r>
      <w:r>
        <w:t>tej</w:t>
      </w:r>
      <w:r w:rsidR="00DD683D">
        <w:t> </w:t>
      </w:r>
      <w:r>
        <w:t>sprawie (</w:t>
      </w:r>
      <w:r w:rsidR="00DE5D9C">
        <w:rPr>
          <w:i/>
          <w:iCs/>
        </w:rPr>
        <w:t xml:space="preserve">ibid., </w:t>
      </w:r>
      <w:r>
        <w:t>§§</w:t>
      </w:r>
      <w:r w:rsidR="0027376A">
        <w:t xml:space="preserve"> </w:t>
      </w:r>
      <w:r>
        <w:t>125 i</w:t>
      </w:r>
      <w:r w:rsidR="0027376A">
        <w:t xml:space="preserve"> </w:t>
      </w:r>
      <w:r>
        <w:t>126). Trybunał przyjrzał się również sposobowi przeprowadzenia i</w:t>
      </w:r>
      <w:r w:rsidR="0027376A">
        <w:t xml:space="preserve"> </w:t>
      </w:r>
      <w:r>
        <w:t>faktycznemu zakresowi kontroli NSA i</w:t>
      </w:r>
      <w:r w:rsidR="00DD683D">
        <w:t> </w:t>
      </w:r>
      <w:r>
        <w:t>stwierdził, że</w:t>
      </w:r>
      <w:r w:rsidR="0027376A">
        <w:t xml:space="preserve"> </w:t>
      </w:r>
      <w:r>
        <w:t>również te względy nie były odpowiednie do zapewnienia „wystarczającej kontroli” (</w:t>
      </w:r>
      <w:r w:rsidR="00DE5D9C">
        <w:rPr>
          <w:i/>
          <w:iCs/>
        </w:rPr>
        <w:t xml:space="preserve">ibid., </w:t>
      </w:r>
      <w:r>
        <w:t>§§</w:t>
      </w:r>
      <w:r w:rsidR="0027376A">
        <w:t xml:space="preserve"> </w:t>
      </w:r>
      <w:r>
        <w:t>127 i</w:t>
      </w:r>
      <w:r w:rsidR="0027376A">
        <w:t xml:space="preserve"> </w:t>
      </w:r>
      <w:r>
        <w:t>128).</w:t>
      </w:r>
    </w:p>
    <w:p w:rsidR="005A52C0" w:rsidRPr="00FF2363" w:rsidRDefault="005A52C0" w:rsidP="00FF2363">
      <w:pPr>
        <w:pStyle w:val="ECHRPara"/>
      </w:pPr>
      <w:r w:rsidRPr="00FF2363">
        <w:rPr>
          <w:noProof/>
        </w:rPr>
        <w:t>75</w:t>
      </w:r>
      <w:r>
        <w:t>.</w:t>
      </w:r>
      <w:r w:rsidR="0027376A">
        <w:t xml:space="preserve"> </w:t>
      </w:r>
      <w:r>
        <w:t>Powyższe ustalenia w jednakowym zakresie odnoszą się również do</w:t>
      </w:r>
      <w:r w:rsidR="00DD683D">
        <w:t> </w:t>
      </w:r>
      <w:r>
        <w:t>niniejszej sprawy. Dokonując kontroli decyzji NRS, która miała skutek natychmiastowy, NSA działał na podstawie tych samych ram prawnych i</w:t>
      </w:r>
      <w:r w:rsidR="00DD683D">
        <w:t> </w:t>
      </w:r>
      <w:r>
        <w:t>dysponował tak samo ograniczonymi uprawnieniami, a jego działanie było obarczone taką samą niepewnością co do skutków prawnych.</w:t>
      </w:r>
    </w:p>
    <w:p w:rsidR="005A52C0" w:rsidRPr="00FF2363" w:rsidRDefault="005A52C0" w:rsidP="00FF2363">
      <w:pPr>
        <w:pStyle w:val="ECHRPara"/>
      </w:pPr>
      <w:r w:rsidRPr="00FF2363">
        <w:rPr>
          <w:noProof/>
        </w:rPr>
        <w:t>76</w:t>
      </w:r>
      <w:r>
        <w:t>.</w:t>
      </w:r>
      <w:r w:rsidR="0027376A">
        <w:t xml:space="preserve"> </w:t>
      </w:r>
      <w:r>
        <w:t>Co więcej, analiza treści rozpatrywanego sporu wskazuje na poważne rozbieżności między deklarowanymi a rzeczywistymi podstawami kontroli. Po pierwsze, w swojej decyzji NSA stwierdził, że skarżący nie</w:t>
      </w:r>
      <w:r w:rsidR="00DD683D">
        <w:t> </w:t>
      </w:r>
      <w:r>
        <w:t xml:space="preserve">zakwestionował stanu faktycznego stanowiącego uzasadnienie </w:t>
      </w:r>
      <w:r w:rsidR="004257B1">
        <w:t>jego odwołania, a zatem przyjął</w:t>
      </w:r>
      <w:r>
        <w:t xml:space="preserve">, że stan ten był taki, jak przedstawiono. Stwierdzenie to stoi w sprzeczności z treścią uzasadnienia odwołania wniesionego przez skarżącego do NSA, w którym wyraźnie kwestionował on przedstawiony stan faktyczny. Skarżący argumentował w szczególności, że ustalenia NRS miały charakter zbyt ogólny oraz że NRS powinna była </w:t>
      </w:r>
      <w:r>
        <w:lastRenderedPageBreak/>
        <w:t>powołać się na konkretne okoliczności, jak i czas ich wystąpienia, aby</w:t>
      </w:r>
      <w:r w:rsidR="00DD683D">
        <w:t> </w:t>
      </w:r>
      <w:r>
        <w:t>uzasadnić swoje wnioski.</w:t>
      </w:r>
    </w:p>
    <w:p w:rsidR="005A52C0" w:rsidRPr="00FF2363" w:rsidRDefault="005A52C0" w:rsidP="00FF2363">
      <w:pPr>
        <w:pStyle w:val="ECHRPara"/>
      </w:pPr>
      <w:r w:rsidRPr="00FF2363">
        <w:rPr>
          <w:noProof/>
        </w:rPr>
        <w:t>77</w:t>
      </w:r>
      <w:r>
        <w:t>.</w:t>
      </w:r>
      <w:r w:rsidR="0027376A">
        <w:t xml:space="preserve"> </w:t>
      </w:r>
      <w:r>
        <w:t>Po drugie, NSA nie podjął rzeczywistych starań, by zbadać inny ważny argument podniesiony przez skarżącego, stanowiący zarzut braku niezawisłości i bezstronności w postępowaniu przed NRS (zob.</w:t>
      </w:r>
      <w:r w:rsidR="0027376A">
        <w:t xml:space="preserve"> </w:t>
      </w:r>
      <w:r w:rsidR="00043509">
        <w:t>paragraf</w:t>
      </w:r>
      <w:r w:rsidR="0027376A">
        <w:t xml:space="preserve"> </w:t>
      </w:r>
      <w:r>
        <w:t>21 powyżej). Powoławszy się na</w:t>
      </w:r>
      <w:r w:rsidR="004257B1">
        <w:t xml:space="preserve"> swą</w:t>
      </w:r>
      <w:r>
        <w:t xml:space="preserve"> właściwość do dokonania kontroli, czy</w:t>
      </w:r>
      <w:r w:rsidR="00DD683D">
        <w:t> </w:t>
      </w:r>
      <w:r>
        <w:t>zakwestionowana decyzja została podjęta w sposób zgodny z szeregiem kryteriów, w szczególności wymogiem bezstronności, NSA doszedł do</w:t>
      </w:r>
      <w:r w:rsidR="00DD683D">
        <w:t> </w:t>
      </w:r>
      <w:r>
        <w:t>ogólnego wniosku, że NRS nie naruszyła Konstytucji ani przepisów ukraińskiego prawa. NSA pominął jednak w swojej ocenie kwestię tego, czy</w:t>
      </w:r>
      <w:r w:rsidR="00DD683D">
        <w:t> </w:t>
      </w:r>
      <w:r>
        <w:t xml:space="preserve">postępowanie przed NRS przeprowadzono zgodnie z zasadami niezawisłości i bezstronności. Nie podano uzasadnienia </w:t>
      </w:r>
      <w:r w:rsidR="004257B1">
        <w:t>w tym względzie</w:t>
      </w:r>
      <w:r>
        <w:t>.</w:t>
      </w:r>
    </w:p>
    <w:p w:rsidR="005A52C0" w:rsidRPr="00FF2363" w:rsidRDefault="005A52C0" w:rsidP="00FF2363">
      <w:pPr>
        <w:pStyle w:val="ECHRPara"/>
      </w:pPr>
      <w:r w:rsidRPr="00FF2363">
        <w:rPr>
          <w:noProof/>
        </w:rPr>
        <w:t>78</w:t>
      </w:r>
      <w:r>
        <w:t>.</w:t>
      </w:r>
      <w:r w:rsidR="0027376A">
        <w:t xml:space="preserve"> </w:t>
      </w:r>
      <w:r>
        <w:t>W świetle powyższych ustaleń należy stwierdzić, że kontrola sprawy skarżącego przeprowadzona przez NSA była niewystarczająca. W związku z tym nie zapewniała możliwości naprawienia wad dotyczących rzetelności postępowania przed NRS.</w:t>
      </w:r>
    </w:p>
    <w:p w:rsidR="005A52C0" w:rsidRPr="00FF2363" w:rsidRDefault="005A52C0" w:rsidP="00FF2363">
      <w:pPr>
        <w:pStyle w:val="ECHRHeading5"/>
      </w:pPr>
      <w:r w:rsidRPr="007B5BE0">
        <w:t>(iv)</w:t>
      </w:r>
      <w:r w:rsidR="0027376A" w:rsidRPr="007B5BE0">
        <w:t xml:space="preserve"> </w:t>
      </w:r>
      <w:r w:rsidR="006C4832" w:rsidRPr="007B5BE0">
        <w:t>Czy NSA spełniał standardy</w:t>
      </w:r>
      <w:r w:rsidRPr="007B5BE0">
        <w:t xml:space="preserve"> niezawisłości i bezstronności</w:t>
      </w:r>
    </w:p>
    <w:p w:rsidR="005A52C0" w:rsidRPr="00FF2363" w:rsidRDefault="005A52C0" w:rsidP="00FF2363">
      <w:pPr>
        <w:pStyle w:val="ECHRPara"/>
      </w:pPr>
      <w:r w:rsidRPr="00FF2363">
        <w:rPr>
          <w:noProof/>
        </w:rPr>
        <w:t>79</w:t>
      </w:r>
      <w:r>
        <w:t>.</w:t>
      </w:r>
      <w:r w:rsidR="0027376A">
        <w:t xml:space="preserve"> </w:t>
      </w:r>
      <w:r>
        <w:t>Co się tyczy gwarancji niezawisłości i bezstronności na gruncie art.</w:t>
      </w:r>
      <w:r w:rsidR="0027376A">
        <w:t xml:space="preserve"> </w:t>
      </w:r>
      <w:r>
        <w:t>6 ust.</w:t>
      </w:r>
      <w:r w:rsidR="0027376A">
        <w:t xml:space="preserve"> </w:t>
      </w:r>
      <w:r>
        <w:t>1, jakie organ sądowy przeprowadzający kontrolę ma obowiązek zapewnić, kontrola w niniejszej sprawie została przeprowadzona przez sędziów NSA, którzy z punktu widzenia postępowania dyscyplinarnego również podlegali jurysdykcji NRS. Oznacza to, iż sędziowie ci także mogli zostać objęci postępowaniem dyscyplinarnym przed NRS. Fakt, iż</w:t>
      </w:r>
      <w:r w:rsidR="00DD683D">
        <w:t> </w:t>
      </w:r>
      <w:r>
        <w:t xml:space="preserve">sędziowie NSA podlegali prawu dyscyplinarnemu i byli związani zasadami dyscypliny i etyki sądowej sam w sobie nie stanowi przesłanki, aby podawać w wątpliwość ich niezawisłość i bezstronność wobec organu uprawnionego do wykonywania przepisów dyscyplinarnych. Kwestia przestrzegania podstawowych gwarancji niezawisłości i bezstronności może </w:t>
      </w:r>
      <w:r w:rsidR="007B5BE0">
        <w:t>się jednak pojawiać</w:t>
      </w:r>
      <w:r>
        <w:t>, gdy struktura i sposób funkcjonowania organu dyscyplinarnego budzi poważne obawy w tym zakresie. Niniejsza sprawa w</w:t>
      </w:r>
      <w:r w:rsidR="00DD683D">
        <w:t> </w:t>
      </w:r>
      <w:r>
        <w:t xml:space="preserve">istocie wskazuje na istnienie poważnych problemów tego typu po stronie NRS, w szczególności jeśli chodzi o wady strukturalne i </w:t>
      </w:r>
      <w:r w:rsidR="007B5BE0">
        <w:t xml:space="preserve">wrażenie </w:t>
      </w:r>
      <w:r>
        <w:t>osobiste</w:t>
      </w:r>
      <w:r w:rsidR="007B5BE0">
        <w:t>go</w:t>
      </w:r>
      <w:r>
        <w:t xml:space="preserve"> uprzedzenia (zob. </w:t>
      </w:r>
      <w:r w:rsidR="00043509">
        <w:t>paragrafy</w:t>
      </w:r>
      <w:r w:rsidR="0027376A">
        <w:t xml:space="preserve"> </w:t>
      </w:r>
      <w:r>
        <w:t xml:space="preserve">70–72 powyżej). Po drugie, </w:t>
      </w:r>
      <w:r w:rsidR="007B5BE0">
        <w:t>N</w:t>
      </w:r>
      <w:r>
        <w:t>RS</w:t>
      </w:r>
      <w:r w:rsidR="00DD683D">
        <w:t> </w:t>
      </w:r>
      <w:r>
        <w:t>nie jest jedynie organem dyscyplinarnym; w rzeczywistości organ ten</w:t>
      </w:r>
      <w:r w:rsidR="00DD683D">
        <w:t> </w:t>
      </w:r>
      <w:r>
        <w:t xml:space="preserve">dysponuje szerokimi uprawnieniami w odniesieniu do kariery zawodowej sędziów (powoływanie, dyscyplinowanie i odwoływanie). Mając na uwadze powyższe czynniki oraz szczególny kontekst </w:t>
      </w:r>
      <w:r w:rsidR="007B5BE0">
        <w:t xml:space="preserve">ukraińskiego </w:t>
      </w:r>
      <w:r>
        <w:t>systemu w</w:t>
      </w:r>
      <w:r w:rsidR="0027376A">
        <w:t xml:space="preserve"> </w:t>
      </w:r>
      <w:r>
        <w:t xml:space="preserve">tamtym czasie, w świetle wyroku w sprawie </w:t>
      </w:r>
      <w:r>
        <w:rPr>
          <w:i/>
          <w:iCs/>
        </w:rPr>
        <w:t>Oleksandr Volkov</w:t>
      </w:r>
      <w:r>
        <w:t xml:space="preserve"> (</w:t>
      </w:r>
      <w:r>
        <w:rPr>
          <w:i/>
          <w:iCs/>
        </w:rPr>
        <w:t>op. cit.</w:t>
      </w:r>
      <w:r>
        <w:t>, §</w:t>
      </w:r>
      <w:r w:rsidR="0027376A">
        <w:t xml:space="preserve"> </w:t>
      </w:r>
      <w:r>
        <w:t>130) Trybunał stwierdza, że sędziowie NSA rozpoznający sprawę skarżącego, w której NRS była stroną, nie byli w stanie wykazać się „niezawisłością i bezstronnością” wymaganymi na podstawie art.</w:t>
      </w:r>
      <w:r w:rsidR="0027376A">
        <w:t xml:space="preserve"> </w:t>
      </w:r>
      <w:r>
        <w:t>6 Konwencji.</w:t>
      </w:r>
    </w:p>
    <w:p w:rsidR="005A52C0" w:rsidRPr="00FF2363" w:rsidRDefault="005A52C0" w:rsidP="00FF2363">
      <w:pPr>
        <w:pStyle w:val="ECHRPara"/>
      </w:pPr>
      <w:r w:rsidRPr="00FF2363">
        <w:rPr>
          <w:noProof/>
        </w:rPr>
        <w:lastRenderedPageBreak/>
        <w:t>80</w:t>
      </w:r>
      <w:r>
        <w:t>.</w:t>
      </w:r>
      <w:r w:rsidR="0027376A">
        <w:t xml:space="preserve"> </w:t>
      </w:r>
      <w:r>
        <w:t>Z powyższych ustaleń wynika, że kontrola sądowa przeprowadzona przez NSA w niniejszej sprawie nie spełniała wymogu niezawisłości i</w:t>
      </w:r>
      <w:r w:rsidR="00DD683D">
        <w:t> </w:t>
      </w:r>
      <w:r>
        <w:t>bezstronności.</w:t>
      </w:r>
    </w:p>
    <w:p w:rsidR="005A52C0" w:rsidRPr="00FF2363" w:rsidRDefault="005A52C0" w:rsidP="00FF2363">
      <w:pPr>
        <w:pStyle w:val="ECHRHeading5"/>
      </w:pPr>
      <w:r>
        <w:t>(v)</w:t>
      </w:r>
      <w:r w:rsidR="0027376A">
        <w:t xml:space="preserve"> </w:t>
      </w:r>
      <w:r>
        <w:t>Wnioski</w:t>
      </w:r>
    </w:p>
    <w:p w:rsidR="005A52C0" w:rsidRPr="00FF2363" w:rsidRDefault="005A52C0" w:rsidP="00FF2363">
      <w:pPr>
        <w:pStyle w:val="ECHRPara"/>
      </w:pPr>
      <w:r w:rsidRPr="00FF2363">
        <w:rPr>
          <w:noProof/>
        </w:rPr>
        <w:t>81</w:t>
      </w:r>
      <w:r>
        <w:t>.</w:t>
      </w:r>
      <w:r w:rsidR="0027376A">
        <w:t xml:space="preserve"> </w:t>
      </w:r>
      <w:r>
        <w:t>W świetle powyższego Trybunał stwierdza, że NRS nie zapewniła niezawisłego i bezstronnego rozpoznania sprawy skarżącego oraz</w:t>
      </w:r>
      <w:r w:rsidR="00DD683D">
        <w:t> </w:t>
      </w:r>
      <w:r>
        <w:t>że</w:t>
      </w:r>
      <w:r w:rsidR="00DD683D">
        <w:t> </w:t>
      </w:r>
      <w:r>
        <w:t>późniejsza kontrola jego sprawy przez NSA nie naprawiła tych błędów.</w:t>
      </w:r>
    </w:p>
    <w:p w:rsidR="005A52C0" w:rsidRPr="00FF2363" w:rsidRDefault="005A52C0" w:rsidP="00FF2363">
      <w:pPr>
        <w:pStyle w:val="ECHRPara"/>
      </w:pPr>
      <w:r w:rsidRPr="00FF2363">
        <w:rPr>
          <w:noProof/>
        </w:rPr>
        <w:t>82</w:t>
      </w:r>
      <w:r>
        <w:t>.</w:t>
      </w:r>
      <w:r w:rsidR="0027376A">
        <w:t xml:space="preserve"> </w:t>
      </w:r>
      <w:r>
        <w:t>Należy zatem uznać, że doszło do naruszenia art.</w:t>
      </w:r>
      <w:r w:rsidR="0027376A">
        <w:t xml:space="preserve"> </w:t>
      </w:r>
      <w:r>
        <w:t>6 ust.</w:t>
      </w:r>
      <w:r w:rsidR="0027376A">
        <w:t xml:space="preserve"> </w:t>
      </w:r>
      <w:r>
        <w:t>1 Konwencji.</w:t>
      </w:r>
    </w:p>
    <w:p w:rsidR="005A52C0" w:rsidRPr="00FF2363" w:rsidRDefault="005A52C0" w:rsidP="00FF2363">
      <w:pPr>
        <w:pStyle w:val="ECHRHeading1"/>
      </w:pPr>
      <w:r>
        <w:t>II.</w:t>
      </w:r>
      <w:r w:rsidR="0027376A">
        <w:t xml:space="preserve"> </w:t>
      </w:r>
      <w:r>
        <w:t>ZARZUCANE NARUSZENIE ART.</w:t>
      </w:r>
      <w:r w:rsidR="0027376A">
        <w:t xml:space="preserve"> </w:t>
      </w:r>
      <w:r>
        <w:t>8 KONWENCJI</w:t>
      </w:r>
    </w:p>
    <w:p w:rsidR="005A52C0" w:rsidRPr="00FF2363" w:rsidRDefault="005A52C0" w:rsidP="00FF2363">
      <w:pPr>
        <w:pStyle w:val="ECHRPara"/>
      </w:pPr>
      <w:r w:rsidRPr="00FF2363">
        <w:rPr>
          <w:noProof/>
        </w:rPr>
        <w:t>83</w:t>
      </w:r>
      <w:r>
        <w:t>.</w:t>
      </w:r>
      <w:r w:rsidR="0027376A">
        <w:t xml:space="preserve"> </w:t>
      </w:r>
      <w:r>
        <w:t>Na podstawie art.</w:t>
      </w:r>
      <w:r w:rsidR="0027376A">
        <w:t xml:space="preserve"> </w:t>
      </w:r>
      <w:r>
        <w:t>8 Konwencji skarżący zarzucił, że w wyniku odwołania go ze stanowiska prezesa Apelacyjnego Sądu Administracyjnego w Kijowie zostało naruszone jego prawo do poszanowania życia prywatnego.</w:t>
      </w:r>
    </w:p>
    <w:p w:rsidR="005A52C0" w:rsidRPr="00FF2363" w:rsidRDefault="005A52C0" w:rsidP="00FF2363">
      <w:pPr>
        <w:pStyle w:val="ECHRPara"/>
      </w:pPr>
      <w:r w:rsidRPr="00FF2363">
        <w:rPr>
          <w:noProof/>
        </w:rPr>
        <w:t>84</w:t>
      </w:r>
      <w:r>
        <w:t>.</w:t>
      </w:r>
      <w:r w:rsidR="0027376A">
        <w:t xml:space="preserve"> </w:t>
      </w:r>
      <w:r>
        <w:t>Artykuł</w:t>
      </w:r>
      <w:r w:rsidR="0027376A">
        <w:t xml:space="preserve"> </w:t>
      </w:r>
      <w:r>
        <w:t>8 Konwencji w istotnych częściach stanowi:</w:t>
      </w:r>
    </w:p>
    <w:p w:rsidR="005A52C0" w:rsidRPr="00FF2363" w:rsidRDefault="005A52C0" w:rsidP="00FF2363">
      <w:pPr>
        <w:pStyle w:val="ECHRParaQuote"/>
      </w:pPr>
      <w:r>
        <w:t>„1.</w:t>
      </w:r>
      <w:r w:rsidR="0027376A">
        <w:t xml:space="preserve"> </w:t>
      </w:r>
      <w:r>
        <w:t>Każdy ma prawo do poszanowania swojego życia prywatnego […].</w:t>
      </w:r>
    </w:p>
    <w:p w:rsidR="005A52C0" w:rsidRPr="00FF2363" w:rsidRDefault="005A52C0" w:rsidP="00FF2363">
      <w:pPr>
        <w:pStyle w:val="JuQuotSub"/>
      </w:pPr>
      <w:r>
        <w:t>2.</w:t>
      </w:r>
      <w:r w:rsidR="0027376A">
        <w:t xml:space="preserve"> </w:t>
      </w:r>
      <w:r>
        <w:t>Niedopuszczalna jest ingerencja władzy publicznej w korzystanie z tego prawa z wyjątkiem przypadków przewidzianych przez ustawę i koniecznych w</w:t>
      </w:r>
      <w:r w:rsidR="00DD683D">
        <w:t> </w:t>
      </w:r>
      <w:r>
        <w:t>demokratycznym społeczeństwie z uwagi na bezpieczeństwo państwowe, bezpieczeństwo publiczne lub dobrobyt gospodarczy kraju, ochronę porządku i</w:t>
      </w:r>
      <w:r w:rsidR="00DD683D">
        <w:t> </w:t>
      </w:r>
      <w:r>
        <w:t>zapobieganie przestępstwom, ochronę zdrowia i moralności lub ochronę praw i</w:t>
      </w:r>
      <w:r w:rsidR="00DD683D">
        <w:t> </w:t>
      </w:r>
      <w:r>
        <w:t>wolności osób”.</w:t>
      </w:r>
    </w:p>
    <w:p w:rsidR="005A52C0" w:rsidRPr="00FF2363" w:rsidRDefault="005A52C0" w:rsidP="00FF2363">
      <w:pPr>
        <w:pStyle w:val="ECHRHeading2"/>
      </w:pPr>
      <w:r>
        <w:t>A.</w:t>
      </w:r>
      <w:r w:rsidR="0027376A">
        <w:t xml:space="preserve"> </w:t>
      </w:r>
      <w:r>
        <w:t>Stanowiska stron</w:t>
      </w:r>
    </w:p>
    <w:p w:rsidR="005A52C0" w:rsidRPr="00FF2363" w:rsidRDefault="005A52C0" w:rsidP="00FF2363">
      <w:pPr>
        <w:pStyle w:val="ECHRHeading3"/>
      </w:pPr>
      <w:r>
        <w:t>1.</w:t>
      </w:r>
      <w:r w:rsidR="0027376A">
        <w:t xml:space="preserve"> </w:t>
      </w:r>
      <w:r>
        <w:t>Skarżący</w:t>
      </w:r>
    </w:p>
    <w:p w:rsidR="005A52C0" w:rsidRPr="00FF2363" w:rsidRDefault="005A52C0" w:rsidP="00FF2363">
      <w:pPr>
        <w:pStyle w:val="ECHRPara"/>
      </w:pPr>
      <w:r w:rsidRPr="00FF2363">
        <w:rPr>
          <w:noProof/>
        </w:rPr>
        <w:t>85</w:t>
      </w:r>
      <w:r>
        <w:t>.</w:t>
      </w:r>
      <w:r w:rsidR="0027376A">
        <w:t xml:space="preserve"> </w:t>
      </w:r>
      <w:r>
        <w:t xml:space="preserve">Skarżący podniósł, że jego prawo do poszanowania życia prywatnego </w:t>
      </w:r>
      <w:r w:rsidRPr="00D10A61">
        <w:t>zostało naruszone,</w:t>
      </w:r>
      <w:r>
        <w:t xml:space="preserve"> ponieważ doszło do nieodwracalnego uszczerbku na jego karierze, dobrym imieniu oraz relacjach społecznych i</w:t>
      </w:r>
      <w:r w:rsidR="0027376A">
        <w:t xml:space="preserve"> </w:t>
      </w:r>
      <w:r>
        <w:t>zawodowych. Ponadto obniżenie wynagrodzenia oraz oczekiwanych świadczeń emerytalnych negatywnie wpłynęło na jego sytuację majątkową. Na</w:t>
      </w:r>
      <w:r w:rsidR="00DD683D">
        <w:t> </w:t>
      </w:r>
      <w:r>
        <w:t xml:space="preserve">poparcie swojego twierdzenia skarżący powołał się na wyrok w sprawie </w:t>
      </w:r>
      <w:r>
        <w:rPr>
          <w:i/>
          <w:iCs/>
        </w:rPr>
        <w:t>Erményi przeciwko Węgrom</w:t>
      </w:r>
      <w:r>
        <w:t xml:space="preserve"> (skarga nr</w:t>
      </w:r>
      <w:r w:rsidR="0027376A">
        <w:t xml:space="preserve"> </w:t>
      </w:r>
      <w:r>
        <w:t>22254/14, §§</w:t>
      </w:r>
      <w:r w:rsidR="0027376A">
        <w:t xml:space="preserve"> </w:t>
      </w:r>
      <w:r>
        <w:t>30 i 31, 22</w:t>
      </w:r>
      <w:r w:rsidR="0027376A">
        <w:t xml:space="preserve"> </w:t>
      </w:r>
      <w:r>
        <w:t>listopada 2016</w:t>
      </w:r>
      <w:r w:rsidR="0027376A">
        <w:t xml:space="preserve"> </w:t>
      </w:r>
      <w:r>
        <w:t>r.), w którym zakończenie mandatu skarżącego jako wiceprezesa Sądu Najwyższego uznano za naruszenie prawa do poszanowania życia prywatnego.</w:t>
      </w:r>
    </w:p>
    <w:p w:rsidR="005A52C0" w:rsidRPr="00FF2363" w:rsidRDefault="005A52C0" w:rsidP="00FF2363">
      <w:pPr>
        <w:pStyle w:val="ECHRPara"/>
      </w:pPr>
      <w:r w:rsidRPr="00FF2363">
        <w:rPr>
          <w:noProof/>
        </w:rPr>
        <w:t>86</w:t>
      </w:r>
      <w:r>
        <w:t>.</w:t>
      </w:r>
      <w:r w:rsidR="0027376A">
        <w:t xml:space="preserve"> </w:t>
      </w:r>
      <w:r>
        <w:t>Co się tyczy reputacji, skarżący argumentował, że stanowisko prezesa sądu apelacyjnego wiąże się z prestiżem i wpływami. Jako</w:t>
      </w:r>
      <w:r w:rsidR="00DD683D">
        <w:t> </w:t>
      </w:r>
      <w:r>
        <w:t>że</w:t>
      </w:r>
      <w:r w:rsidR="00DD683D">
        <w:t> </w:t>
      </w:r>
      <w:r>
        <w:t>skarżący na przestrzeni 25</w:t>
      </w:r>
      <w:r w:rsidR="0027376A">
        <w:t xml:space="preserve"> </w:t>
      </w:r>
      <w:r>
        <w:t xml:space="preserve">lat swojej kariery zajmował stanowisko prezesa kilku sądów, funkcja, z której go odwołano, stanowiła szczyt jego </w:t>
      </w:r>
      <w:r>
        <w:lastRenderedPageBreak/>
        <w:t>osiągnięć zawodowych w dziedzinie prawa oraz punkt kulminacyjny kilku dekad osobistego poświęcenia oraz oddania profesji. Odwołanie go z tego stanowiska zburzyło jego osobisty autorytet i podważyło kompetencje w</w:t>
      </w:r>
      <w:r w:rsidR="00DD683D">
        <w:t> </w:t>
      </w:r>
      <w:r>
        <w:t>oczach osób pełniących podobne funkcje. Co więcej, powód odwołania, mianowicie naruszenie przepisów regulujących organizację procesu wymiaru sprawiedliwości, odbiło się na jego pozycji zawodowej w ujęciu ogólnym, jak i na przyszłych możliwościach rozwoju kariery oraz awansu. Miało to szczególne znaczenie w świetle faktu, że informacja o odwołaniu skarżącego była szeroko rozpowszechniana. W kontekście zarzutu dotyczącego poważnego uszczerbku na reputacji skarżący stwierdził, że</w:t>
      </w:r>
      <w:r w:rsidR="00DD683D">
        <w:t> </w:t>
      </w:r>
      <w:r>
        <w:t>jego niesłuszne odwołanie ze stanowiska zaszkodziło interesowi jego dzieci, będący</w:t>
      </w:r>
      <w:r w:rsidR="00C46B73">
        <w:t>ch</w:t>
      </w:r>
      <w:r>
        <w:t xml:space="preserve"> z wykształcenia prawnikami.</w:t>
      </w:r>
    </w:p>
    <w:p w:rsidR="005A52C0" w:rsidRPr="00FF2363" w:rsidRDefault="005A52C0" w:rsidP="00FF2363">
      <w:pPr>
        <w:pStyle w:val="ECHRPara"/>
      </w:pPr>
      <w:r w:rsidRPr="00FF2363">
        <w:rPr>
          <w:noProof/>
        </w:rPr>
        <w:t>87</w:t>
      </w:r>
      <w:r>
        <w:t>.</w:t>
      </w:r>
      <w:r w:rsidR="0027376A">
        <w:t xml:space="preserve"> </w:t>
      </w:r>
      <w:r>
        <w:t>W odniesieniu do przedmiotu swojej skargi skarżący podniósł ponadto, że ingerencja w jego prawo do poszanowania życia prywatnego nie była „</w:t>
      </w:r>
      <w:r w:rsidR="00C46B73">
        <w:t>przewidziana przez ustawę</w:t>
      </w:r>
      <w:r>
        <w:t>”, ponieważ obowiązujące prawo było w tym względzie zbyt ogólnikowe oraz nie przewidywało gwarancji proceduralnych zabezpieczających przed jego arbitralnym stosowaniem. W</w:t>
      </w:r>
      <w:r w:rsidR="00DD683D">
        <w:t> </w:t>
      </w:r>
      <w:r>
        <w:t>dalszej kolejności skarżący stwierdził, że jego odwołanie było nieproporcjonalne w świetle rozpatrywanych okoliczności, ponieważ sposób, w jaki do niego doszło, w żaden sposób nie umożliwił mu naprawienia błędów związanych z zarządzaniem, jakich skarżący się rzekomo dopuścił.</w:t>
      </w:r>
    </w:p>
    <w:p w:rsidR="005A52C0" w:rsidRPr="00FF2363" w:rsidRDefault="005A52C0" w:rsidP="00FF2363">
      <w:pPr>
        <w:pStyle w:val="ECHRHeading3"/>
      </w:pPr>
      <w:r>
        <w:t>2.</w:t>
      </w:r>
      <w:r w:rsidR="0027376A">
        <w:t xml:space="preserve"> </w:t>
      </w:r>
      <w:r>
        <w:t>Rząd</w:t>
      </w:r>
    </w:p>
    <w:p w:rsidR="005A52C0" w:rsidRPr="00FF2363" w:rsidRDefault="005A52C0" w:rsidP="00FF2363">
      <w:pPr>
        <w:pStyle w:val="ECHRPara"/>
      </w:pPr>
      <w:r w:rsidRPr="00FF2363">
        <w:rPr>
          <w:noProof/>
        </w:rPr>
        <w:t>88</w:t>
      </w:r>
      <w:r>
        <w:t>.</w:t>
      </w:r>
      <w:r w:rsidR="0027376A">
        <w:t xml:space="preserve"> </w:t>
      </w:r>
      <w:r>
        <w:t>Rząd podniósł, że prawo do sprawowania funkcji administracyjnych w sądzie nie wchodzi w zakres zastosowania art.</w:t>
      </w:r>
      <w:r w:rsidR="0027376A">
        <w:t xml:space="preserve"> </w:t>
      </w:r>
      <w:r>
        <w:t>8 Konwencji. W</w:t>
      </w:r>
      <w:r w:rsidR="00DD683D">
        <w:t> </w:t>
      </w:r>
      <w:r>
        <w:t xml:space="preserve">przeciwieństwie do spraw </w:t>
      </w:r>
      <w:r>
        <w:rPr>
          <w:i/>
          <w:iCs/>
        </w:rPr>
        <w:t>Oleksandr Volkov</w:t>
      </w:r>
      <w:r>
        <w:t xml:space="preserve"> (</w:t>
      </w:r>
      <w:r>
        <w:rPr>
          <w:i/>
          <w:iCs/>
        </w:rPr>
        <w:t>op. cit.</w:t>
      </w:r>
      <w:r>
        <w:t xml:space="preserve">) i </w:t>
      </w:r>
      <w:r>
        <w:rPr>
          <w:i/>
          <w:iCs/>
        </w:rPr>
        <w:t>Özpınar przeciwko Turcji</w:t>
      </w:r>
      <w:r>
        <w:t xml:space="preserve"> (skarga nr</w:t>
      </w:r>
      <w:r w:rsidR="0027376A">
        <w:t xml:space="preserve"> </w:t>
      </w:r>
      <w:r>
        <w:t>20999/04, 19</w:t>
      </w:r>
      <w:r w:rsidR="0027376A">
        <w:t xml:space="preserve"> </w:t>
      </w:r>
      <w:r>
        <w:t>października 2010</w:t>
      </w:r>
      <w:r w:rsidR="0027376A">
        <w:t xml:space="preserve"> </w:t>
      </w:r>
      <w:r>
        <w:t>r.), skarżący w</w:t>
      </w:r>
      <w:r w:rsidR="00DD683D">
        <w:t> </w:t>
      </w:r>
      <w:r>
        <w:t xml:space="preserve">niniejszej sprawie nie został usunięty z urzędu sędziowskiego. W świetle tego istotnego rozróżnienia jego skarga była niezgodna </w:t>
      </w:r>
      <w:r>
        <w:rPr>
          <w:i/>
          <w:iCs/>
        </w:rPr>
        <w:t>ratione materiae</w:t>
      </w:r>
      <w:r>
        <w:t xml:space="preserve"> z</w:t>
      </w:r>
      <w:r w:rsidR="00DD683D">
        <w:t> </w:t>
      </w:r>
      <w:r>
        <w:t>postanowieniami Konwencji.</w:t>
      </w:r>
    </w:p>
    <w:p w:rsidR="005A52C0" w:rsidRPr="00FF2363" w:rsidRDefault="005A52C0" w:rsidP="00FF2363">
      <w:pPr>
        <w:pStyle w:val="ECHRPara"/>
      </w:pPr>
      <w:r w:rsidRPr="00FF2363">
        <w:rPr>
          <w:noProof/>
        </w:rPr>
        <w:t>89</w:t>
      </w:r>
      <w:r>
        <w:t>.</w:t>
      </w:r>
      <w:r w:rsidR="0027376A">
        <w:t xml:space="preserve"> </w:t>
      </w:r>
      <w:r>
        <w:t>Rząd stwierdził ponadto, że nawet przy założeniu, że art.</w:t>
      </w:r>
      <w:r w:rsidR="0027376A">
        <w:t xml:space="preserve"> </w:t>
      </w:r>
      <w:r>
        <w:t>8 znajdował w tej sprawie zastosowanie, usunięcie skarżącego ze stanowiska administracyjnego wywarło znikomy wpływ na jego życie prywatne. Skarżący najprawdopodobniej przeniósł się do innego biura w tym samym budynku i otrzymał nieco niższe wynagrodzenie. W świetle powyższego skarżący nie doznał „znaczącego uszczerbku”, w związku z czym skargę należało uznać za niedopuszczalną na gruncie art.</w:t>
      </w:r>
      <w:r w:rsidR="0027376A">
        <w:t xml:space="preserve"> </w:t>
      </w:r>
      <w:r>
        <w:t>35 ust.</w:t>
      </w:r>
      <w:r w:rsidR="0027376A">
        <w:t xml:space="preserve"> </w:t>
      </w:r>
      <w:r>
        <w:t>3 lit.</w:t>
      </w:r>
      <w:r w:rsidR="0027376A">
        <w:t xml:space="preserve"> </w:t>
      </w:r>
      <w:r>
        <w:t>b oraz art.</w:t>
      </w:r>
      <w:r w:rsidR="0027376A">
        <w:t xml:space="preserve"> </w:t>
      </w:r>
      <w:r>
        <w:t>35 ust.</w:t>
      </w:r>
      <w:r w:rsidR="0027376A">
        <w:t xml:space="preserve"> </w:t>
      </w:r>
      <w:r>
        <w:t>4 Konwencji.</w:t>
      </w:r>
    </w:p>
    <w:p w:rsidR="005A52C0" w:rsidRPr="00FF2363" w:rsidRDefault="005A52C0" w:rsidP="00FF2363">
      <w:pPr>
        <w:pStyle w:val="ECHRPara"/>
      </w:pPr>
      <w:r w:rsidRPr="00FF2363">
        <w:rPr>
          <w:noProof/>
        </w:rPr>
        <w:t>90</w:t>
      </w:r>
      <w:r>
        <w:t>.</w:t>
      </w:r>
      <w:r w:rsidR="0027376A">
        <w:t xml:space="preserve"> </w:t>
      </w:r>
      <w:r>
        <w:t>W odniesieniu do przedmiotu skargi Rząd podniósł, że</w:t>
      </w:r>
      <w:r w:rsidR="00DD683D">
        <w:t> </w:t>
      </w:r>
      <w:r>
        <w:t>w</w:t>
      </w:r>
      <w:r w:rsidR="00DD683D">
        <w:t> </w:t>
      </w:r>
      <w:r>
        <w:t xml:space="preserve">przeciwieństwie do sprawy </w:t>
      </w:r>
      <w:r>
        <w:rPr>
          <w:i/>
          <w:iCs/>
        </w:rPr>
        <w:t>Oleksandr Volkov</w:t>
      </w:r>
      <w:r>
        <w:t xml:space="preserve"> prawo krajowe mające zastosowanie w przedmiotowej sprawie było wystarczająco jednoznaczne i</w:t>
      </w:r>
      <w:r w:rsidR="00DD683D">
        <w:t> </w:t>
      </w:r>
      <w:r>
        <w:t xml:space="preserve">przewidywalne w swoim zastosowaniu; ingerencja ta służyła uprawnionemu celowi zapewnienia bezpieczeństwa publicznego, dobrobytu </w:t>
      </w:r>
      <w:r>
        <w:lastRenderedPageBreak/>
        <w:t>gospodarczego kraju, zapobiegania przestępstwom oraz ochronie praw innych osób. Rząd stwierdził, że błędy operacyjne skarżącego stanowiły zagrożenie dla prawidłowego funkcjonowania wymiaru sprawiedliwości w</w:t>
      </w:r>
      <w:r w:rsidR="00DD683D">
        <w:t> </w:t>
      </w:r>
      <w:r>
        <w:t>Apelacyjnym Sądzie Administracyjnym w Kijowie, który to sąd swoją jurysdykcją obejmuje kilka regionów w kraju. W świetle zaistniałych okoliczności ingerencja ta była zatem niezbędna dla osiągnięcia wyżej wymienionych, uprawnionych celów.</w:t>
      </w:r>
    </w:p>
    <w:p w:rsidR="005A52C0" w:rsidRPr="00FF2363" w:rsidRDefault="005A52C0" w:rsidP="00FF2363">
      <w:pPr>
        <w:pStyle w:val="ECHRHeading2"/>
      </w:pPr>
      <w:r>
        <w:t>B.</w:t>
      </w:r>
      <w:r w:rsidR="0027376A">
        <w:t xml:space="preserve"> </w:t>
      </w:r>
      <w:r>
        <w:t>Interweniująca strona trzecia</w:t>
      </w:r>
    </w:p>
    <w:p w:rsidR="005A52C0" w:rsidRPr="00FF2363" w:rsidRDefault="005A52C0" w:rsidP="00FF2363">
      <w:pPr>
        <w:pStyle w:val="ECHRPara"/>
      </w:pPr>
      <w:r w:rsidRPr="00FF2363">
        <w:rPr>
          <w:noProof/>
        </w:rPr>
        <w:t>91</w:t>
      </w:r>
      <w:r>
        <w:t>.</w:t>
      </w:r>
      <w:r w:rsidR="0027376A">
        <w:t xml:space="preserve"> </w:t>
      </w:r>
      <w:r>
        <w:t>Strona trzecia podniosła, że podczas rozstrzygania o możliwości zastosowania art.</w:t>
      </w:r>
      <w:r w:rsidR="0027376A">
        <w:t xml:space="preserve"> </w:t>
      </w:r>
      <w:r>
        <w:t>8 Konwencji należy uwzględnić fakt, że stanowisko prezesa sądu zawsze implikuje sprawowanie roli przywódczej w wymiarze sprawiedliwości oraz że usunięcie osoby z tego stanowiska ma wpływ na jej życie prywatne. W szczególności wpływa ono na relacje zawodowe danej osoby oraz jej dobre imię i pozycję.</w:t>
      </w:r>
    </w:p>
    <w:p w:rsidR="005A52C0" w:rsidRPr="00FF2363" w:rsidRDefault="005A52C0" w:rsidP="00FF2363">
      <w:pPr>
        <w:pStyle w:val="ECHRHeading2"/>
      </w:pPr>
      <w:r>
        <w:t>C.</w:t>
      </w:r>
      <w:r w:rsidR="0027376A">
        <w:t xml:space="preserve"> </w:t>
      </w:r>
      <w:r>
        <w:t>Ocena Trybunału</w:t>
      </w:r>
    </w:p>
    <w:p w:rsidR="005A52C0" w:rsidRPr="00FF2363" w:rsidRDefault="005A52C0" w:rsidP="00FF2363">
      <w:pPr>
        <w:pStyle w:val="ECHRHeading3"/>
      </w:pPr>
      <w:r>
        <w:t>Dopuszczalność</w:t>
      </w:r>
    </w:p>
    <w:p w:rsidR="005A52C0" w:rsidRPr="00FF2363" w:rsidRDefault="005A52C0" w:rsidP="00FF2363">
      <w:pPr>
        <w:pStyle w:val="ECHRHeading4"/>
      </w:pPr>
      <w:r>
        <w:t>(a)</w:t>
      </w:r>
      <w:r w:rsidR="0027376A">
        <w:t xml:space="preserve"> </w:t>
      </w:r>
      <w:r>
        <w:t>Uwagi wstępne</w:t>
      </w:r>
    </w:p>
    <w:p w:rsidR="005A52C0" w:rsidRPr="00FF2363" w:rsidRDefault="005A52C0" w:rsidP="00FF2363">
      <w:pPr>
        <w:pStyle w:val="ECHRPara"/>
      </w:pPr>
      <w:r w:rsidRPr="00FF2363">
        <w:rPr>
          <w:noProof/>
        </w:rPr>
        <w:t>92</w:t>
      </w:r>
      <w:r>
        <w:t>.</w:t>
      </w:r>
      <w:r w:rsidR="0027376A">
        <w:t xml:space="preserve"> </w:t>
      </w:r>
      <w:r>
        <w:t>Trybunał zauważa, że niniejsz</w:t>
      </w:r>
      <w:r w:rsidR="00FF35AA">
        <w:t>a sprawa</w:t>
      </w:r>
      <w:r>
        <w:t xml:space="preserve"> </w:t>
      </w:r>
      <w:r w:rsidR="00FF35AA">
        <w:t xml:space="preserve">dotyczy </w:t>
      </w:r>
      <w:r>
        <w:t>sp</w:t>
      </w:r>
      <w:r w:rsidR="00FF35AA">
        <w:t>oru</w:t>
      </w:r>
      <w:r>
        <w:t xml:space="preserve"> jednostki i</w:t>
      </w:r>
      <w:r w:rsidR="00DD683D">
        <w:t> </w:t>
      </w:r>
      <w:r>
        <w:t xml:space="preserve">Państwa </w:t>
      </w:r>
      <w:r w:rsidR="00FF35AA">
        <w:t xml:space="preserve">odnośnie do </w:t>
      </w:r>
      <w:r>
        <w:t>zatrudnienia. Decyzję o odwołaniu skarżącego podjął organ Państwa. Przy dokonywaniu oceny, czy w takiej sprawie dochodzi do</w:t>
      </w:r>
      <w:r w:rsidR="00DD683D">
        <w:t> </w:t>
      </w:r>
      <w:r>
        <w:t>ingerencji w życie prywatne na gruncie art.</w:t>
      </w:r>
      <w:r w:rsidR="0027376A">
        <w:t xml:space="preserve"> </w:t>
      </w:r>
      <w:r>
        <w:t xml:space="preserve">8 Konwencji, kwestie możliwości zastosowania postanowienia i przedmiotu sprawy są ze sobą ściśle powiązane. Jeżeli środek zostanie uznany za mający poważny wpływ na życie prywatne skarżącego, konkluzja taka oznacza, że skarga jest zgodna </w:t>
      </w:r>
      <w:r>
        <w:rPr>
          <w:i/>
          <w:iCs/>
        </w:rPr>
        <w:t>ratione materiae</w:t>
      </w:r>
      <w:r>
        <w:t xml:space="preserve"> z postanowieniami Konwencji, a </w:t>
      </w:r>
      <w:r w:rsidR="00FF35AA">
        <w:t xml:space="preserve">jednocześnie </w:t>
      </w:r>
      <w:r>
        <w:t xml:space="preserve">środek stanowi „ingerencję” w „prawo do poszanowania życia prywatnego” na potrzeby </w:t>
      </w:r>
      <w:r w:rsidR="00FF35AA">
        <w:t xml:space="preserve">oceny </w:t>
      </w:r>
      <w:r>
        <w:t xml:space="preserve">przedmiotu skargi pod kątem trzech kryteriów </w:t>
      </w:r>
      <w:r w:rsidR="00FF35AA">
        <w:t xml:space="preserve">wynikających z </w:t>
      </w:r>
      <w:r>
        <w:t>art.</w:t>
      </w:r>
      <w:r w:rsidR="0027376A">
        <w:t xml:space="preserve"> </w:t>
      </w:r>
      <w:r>
        <w:t>8 (ocen</w:t>
      </w:r>
      <w:r w:rsidR="007B408B">
        <w:t>y</w:t>
      </w:r>
      <w:r>
        <w:t xml:space="preserve"> zgodności z prawem, uprawnionego celu i</w:t>
      </w:r>
      <w:r w:rsidR="00DD683D">
        <w:t> </w:t>
      </w:r>
      <w:r>
        <w:t>konieczności takiej „ingerencji”). Należy zatem stwierdzić, że w tego typu sprawach kwestie możliwości zastosowania i istnienia „ingerencji” są ze</w:t>
      </w:r>
      <w:r w:rsidR="00DD683D">
        <w:t> </w:t>
      </w:r>
      <w:r>
        <w:t>sobą nierozerwalnie powiązane.</w:t>
      </w:r>
    </w:p>
    <w:p w:rsidR="005A52C0" w:rsidRPr="00FF2363" w:rsidRDefault="005A52C0" w:rsidP="00FF2363">
      <w:pPr>
        <w:pStyle w:val="ECHRPara"/>
      </w:pPr>
      <w:r w:rsidRPr="00FF2363">
        <w:rPr>
          <w:noProof/>
        </w:rPr>
        <w:t>93</w:t>
      </w:r>
      <w:r>
        <w:t>.</w:t>
      </w:r>
      <w:r w:rsidR="0027376A">
        <w:t xml:space="preserve"> </w:t>
      </w:r>
      <w:r>
        <w:t xml:space="preserve">W rozpatrywanych dotąd sprawach Trybunał podejmował tę kwestię albo na etapie rozpatrywania dopuszczalności (zob. na przykład </w:t>
      </w:r>
      <w:r>
        <w:rPr>
          <w:i/>
          <w:iCs/>
        </w:rPr>
        <w:t>Bigaeva</w:t>
      </w:r>
      <w:r>
        <w:t xml:space="preserve"> </w:t>
      </w:r>
      <w:r>
        <w:rPr>
          <w:i/>
          <w:iCs/>
        </w:rPr>
        <w:t>przeciwko Grecji</w:t>
      </w:r>
      <w:r>
        <w:t>, skarga nr</w:t>
      </w:r>
      <w:r w:rsidR="0027376A">
        <w:t xml:space="preserve"> </w:t>
      </w:r>
      <w:r>
        <w:t>26713/05, §§</w:t>
      </w:r>
      <w:r w:rsidR="0027376A">
        <w:t xml:space="preserve"> </w:t>
      </w:r>
      <w:r>
        <w:t xml:space="preserve">22–25, </w:t>
      </w:r>
      <w:r>
        <w:rPr>
          <w:snapToGrid w:val="0"/>
        </w:rPr>
        <w:t>28</w:t>
      </w:r>
      <w:r w:rsidR="0027376A">
        <w:rPr>
          <w:snapToGrid w:val="0"/>
        </w:rPr>
        <w:t xml:space="preserve"> </w:t>
      </w:r>
      <w:r>
        <w:rPr>
          <w:snapToGrid w:val="0"/>
        </w:rPr>
        <w:t>maja 2009</w:t>
      </w:r>
      <w:r w:rsidR="0027376A">
        <w:rPr>
          <w:snapToGrid w:val="0"/>
        </w:rPr>
        <w:t xml:space="preserve"> </w:t>
      </w:r>
      <w:r>
        <w:rPr>
          <w:snapToGrid w:val="0"/>
        </w:rPr>
        <w:t>r.</w:t>
      </w:r>
      <w:r>
        <w:t xml:space="preserve">; </w:t>
      </w:r>
      <w:r>
        <w:rPr>
          <w:i/>
          <w:iCs/>
        </w:rPr>
        <w:t>Gillberg</w:t>
      </w:r>
      <w:r>
        <w:t xml:space="preserve"> </w:t>
      </w:r>
      <w:r>
        <w:rPr>
          <w:i/>
          <w:iCs/>
        </w:rPr>
        <w:t xml:space="preserve">przeciwko Szwecji </w:t>
      </w:r>
      <w:r>
        <w:t>[WI]</w:t>
      </w:r>
      <w:r>
        <w:rPr>
          <w:snapToGrid w:val="0"/>
        </w:rPr>
        <w:t>, skarga nr</w:t>
      </w:r>
      <w:r w:rsidR="0027376A">
        <w:t xml:space="preserve"> </w:t>
      </w:r>
      <w:r>
        <w:t xml:space="preserve">41723/06, </w:t>
      </w:r>
      <w:r>
        <w:rPr>
          <w:snapToGrid w:val="0"/>
        </w:rPr>
        <w:t>§§</w:t>
      </w:r>
      <w:r w:rsidR="0027376A">
        <w:rPr>
          <w:snapToGrid w:val="0"/>
        </w:rPr>
        <w:t xml:space="preserve"> </w:t>
      </w:r>
      <w:r>
        <w:rPr>
          <w:snapToGrid w:val="0"/>
        </w:rPr>
        <w:t xml:space="preserve">64–74, </w:t>
      </w:r>
      <w:r>
        <w:t>3</w:t>
      </w:r>
      <w:r w:rsidR="0027376A">
        <w:t xml:space="preserve"> </w:t>
      </w:r>
      <w:r>
        <w:t>kwietnia 2012</w:t>
      </w:r>
      <w:r w:rsidR="0027376A">
        <w:t xml:space="preserve"> </w:t>
      </w:r>
      <w:r>
        <w:t xml:space="preserve">r.; oraz </w:t>
      </w:r>
      <w:r>
        <w:rPr>
          <w:i/>
          <w:iCs/>
        </w:rPr>
        <w:t>Fernández Martínez</w:t>
      </w:r>
      <w:r>
        <w:t xml:space="preserve"> </w:t>
      </w:r>
      <w:r>
        <w:rPr>
          <w:i/>
          <w:iCs/>
        </w:rPr>
        <w:t xml:space="preserve">przeciwko Hiszpanii </w:t>
      </w:r>
      <w:r>
        <w:t>[WI], skarga nr</w:t>
      </w:r>
      <w:r w:rsidR="0027376A">
        <w:t xml:space="preserve"> </w:t>
      </w:r>
      <w:r>
        <w:t>56030/07, §§</w:t>
      </w:r>
      <w:r w:rsidR="00DD683D">
        <w:t> </w:t>
      </w:r>
      <w:r>
        <w:t>109</w:t>
      </w:r>
      <w:r>
        <w:noBreakHyphen/>
        <w:t xml:space="preserve">13, ECHR 2014 (fragmenty)), albo na etapie rozpatrywania przedmiotu sprawy (zob. </w:t>
      </w:r>
      <w:r>
        <w:rPr>
          <w:i/>
          <w:iCs/>
        </w:rPr>
        <w:t>Sidabras i Džiautas przeciwko Litwie</w:t>
      </w:r>
      <w:r>
        <w:t>, skargi nr</w:t>
      </w:r>
      <w:r w:rsidR="00DD683D">
        <w:t> </w:t>
      </w:r>
      <w:r>
        <w:t>55480/00 i 59330/00, §§</w:t>
      </w:r>
      <w:r w:rsidR="0027376A">
        <w:t xml:space="preserve"> </w:t>
      </w:r>
      <w:r>
        <w:t xml:space="preserve">42–50, </w:t>
      </w:r>
      <w:r w:rsidR="000D5B2D">
        <w:t>ETPC</w:t>
      </w:r>
      <w:r w:rsidR="0027376A">
        <w:t xml:space="preserve"> </w:t>
      </w:r>
      <w:r>
        <w:t>2004</w:t>
      </w:r>
      <w:r>
        <w:noBreakHyphen/>
        <w:t xml:space="preserve">VIII; </w:t>
      </w:r>
      <w:r>
        <w:rPr>
          <w:i/>
          <w:iCs/>
        </w:rPr>
        <w:t xml:space="preserve">Campagnano </w:t>
      </w:r>
      <w:r>
        <w:rPr>
          <w:i/>
          <w:iCs/>
        </w:rPr>
        <w:lastRenderedPageBreak/>
        <w:t>przeciwko Włochom</w:t>
      </w:r>
      <w:r>
        <w:t>, skarga nr</w:t>
      </w:r>
      <w:r w:rsidR="0027376A">
        <w:t xml:space="preserve"> </w:t>
      </w:r>
      <w:r>
        <w:t>77955/01, §§</w:t>
      </w:r>
      <w:r w:rsidR="0027376A">
        <w:t xml:space="preserve"> </w:t>
      </w:r>
      <w:r>
        <w:t xml:space="preserve">53 i 54, </w:t>
      </w:r>
      <w:r w:rsidR="000D5B2D">
        <w:t>ETPC</w:t>
      </w:r>
      <w:r w:rsidR="0027376A">
        <w:t xml:space="preserve"> </w:t>
      </w:r>
      <w:r>
        <w:t>2006</w:t>
      </w:r>
      <w:r>
        <w:noBreakHyphen/>
        <w:t xml:space="preserve">IV; </w:t>
      </w:r>
      <w:r>
        <w:rPr>
          <w:i/>
          <w:iCs/>
        </w:rPr>
        <w:t>Özpınar</w:t>
      </w:r>
      <w:r>
        <w:t xml:space="preserve">, </w:t>
      </w:r>
      <w:r>
        <w:rPr>
          <w:i/>
          <w:iCs/>
        </w:rPr>
        <w:t>op. cit.</w:t>
      </w:r>
      <w:r>
        <w:t>, §§</w:t>
      </w:r>
      <w:r w:rsidR="0027376A">
        <w:t xml:space="preserve"> </w:t>
      </w:r>
      <w:r>
        <w:t xml:space="preserve">43–48; </w:t>
      </w:r>
      <w:r>
        <w:rPr>
          <w:i/>
          <w:iCs/>
        </w:rPr>
        <w:t>Sodan przeciwko Turcji</w:t>
      </w:r>
      <w:r>
        <w:t>, skarga nr</w:t>
      </w:r>
      <w:r w:rsidR="0027376A">
        <w:t xml:space="preserve"> </w:t>
      </w:r>
      <w:r>
        <w:t>18650/05</w:t>
      </w:r>
      <w:r>
        <w:rPr>
          <w:snapToGrid w:val="0"/>
        </w:rPr>
        <w:t>, §§</w:t>
      </w:r>
      <w:r w:rsidR="00DD683D">
        <w:rPr>
          <w:snapToGrid w:val="0"/>
        </w:rPr>
        <w:t> </w:t>
      </w:r>
      <w:r>
        <w:rPr>
          <w:snapToGrid w:val="0"/>
        </w:rPr>
        <w:t>43–50, 2</w:t>
      </w:r>
      <w:r w:rsidR="0027376A">
        <w:rPr>
          <w:snapToGrid w:val="0"/>
        </w:rPr>
        <w:t xml:space="preserve"> </w:t>
      </w:r>
      <w:r>
        <w:rPr>
          <w:snapToGrid w:val="0"/>
        </w:rPr>
        <w:t>lutego 2016</w:t>
      </w:r>
      <w:r w:rsidR="0027376A">
        <w:rPr>
          <w:snapToGrid w:val="0"/>
        </w:rPr>
        <w:t xml:space="preserve"> </w:t>
      </w:r>
      <w:r>
        <w:rPr>
          <w:snapToGrid w:val="0"/>
        </w:rPr>
        <w:t>r.</w:t>
      </w:r>
      <w:r>
        <w:t xml:space="preserve">; oraz </w:t>
      </w:r>
      <w:r>
        <w:rPr>
          <w:i/>
          <w:iCs/>
        </w:rPr>
        <w:t>Şahin Kuş</w:t>
      </w:r>
      <w:r>
        <w:t xml:space="preserve"> </w:t>
      </w:r>
      <w:r>
        <w:rPr>
          <w:i/>
          <w:iCs/>
        </w:rPr>
        <w:t>przeciwko Turcji</w:t>
      </w:r>
      <w:r>
        <w:t>, skarga nr</w:t>
      </w:r>
      <w:r w:rsidR="00DD683D">
        <w:t> </w:t>
      </w:r>
      <w:r>
        <w:t>33160/04</w:t>
      </w:r>
      <w:r>
        <w:rPr>
          <w:snapToGrid w:val="0"/>
        </w:rPr>
        <w:t xml:space="preserve">, </w:t>
      </w:r>
      <w:r>
        <w:t>§§</w:t>
      </w:r>
      <w:r w:rsidR="0027376A">
        <w:t xml:space="preserve"> </w:t>
      </w:r>
      <w:r>
        <w:t>34</w:t>
      </w:r>
      <w:r>
        <w:noBreakHyphen/>
        <w:t>37</w:t>
      </w:r>
      <w:r>
        <w:rPr>
          <w:snapToGrid w:val="0"/>
        </w:rPr>
        <w:t xml:space="preserve">, </w:t>
      </w:r>
      <w:r>
        <w:t>7</w:t>
      </w:r>
      <w:r w:rsidR="0027376A">
        <w:rPr>
          <w:snapToGrid w:val="0"/>
        </w:rPr>
        <w:t xml:space="preserve"> </w:t>
      </w:r>
      <w:r>
        <w:rPr>
          <w:snapToGrid w:val="0"/>
        </w:rPr>
        <w:t>czerwca 2016</w:t>
      </w:r>
      <w:r w:rsidR="0027376A">
        <w:rPr>
          <w:snapToGrid w:val="0"/>
        </w:rPr>
        <w:t xml:space="preserve"> </w:t>
      </w:r>
      <w:r>
        <w:rPr>
          <w:snapToGrid w:val="0"/>
        </w:rPr>
        <w:t>r.</w:t>
      </w:r>
      <w:r>
        <w:t xml:space="preserve">). W świetle zasady spójności brak jest uzasadnienia dla tego rodzaju dwutorowej praktyki. Jako że kwestia możliwości zastosowania </w:t>
      </w:r>
      <w:r w:rsidR="004709C0">
        <w:t xml:space="preserve">odnosi się do </w:t>
      </w:r>
      <w:r>
        <w:t xml:space="preserve">jurysdykcji Trybunału </w:t>
      </w:r>
      <w:r>
        <w:rPr>
          <w:i/>
          <w:iCs/>
        </w:rPr>
        <w:t>ratione materiae</w:t>
      </w:r>
      <w:r>
        <w:t>, należy zapewnić poszanowanie ogólnej zasady rozpoznawania skarg i</w:t>
      </w:r>
      <w:r w:rsidR="0027376A">
        <w:t xml:space="preserve"> </w:t>
      </w:r>
      <w:r>
        <w:t>dokonać analizy w tym zakresie na etapie rozpatrywania dopuszczalności, chyba że istnieje konkretny powód, by zagadnienie to</w:t>
      </w:r>
      <w:r w:rsidR="00DD683D">
        <w:t> </w:t>
      </w:r>
      <w:r w:rsidR="004709C0">
        <w:t>dołączyć do</w:t>
      </w:r>
      <w:r>
        <w:t xml:space="preserve"> przedmiotu sprawy. W niniejszej sprawie brak jest takiego konkretnego powodu, zatem kwestię możliwości zastosowania art.</w:t>
      </w:r>
      <w:r w:rsidR="0027376A">
        <w:t xml:space="preserve"> </w:t>
      </w:r>
      <w:r>
        <w:t xml:space="preserve">8 należy </w:t>
      </w:r>
      <w:r w:rsidR="00F346E9">
        <w:t>z</w:t>
      </w:r>
      <w:r>
        <w:t>badać na etapie rozpatrywania dopuszczalności.</w:t>
      </w:r>
    </w:p>
    <w:p w:rsidR="005A52C0" w:rsidRPr="00FF2363" w:rsidRDefault="005A52C0" w:rsidP="00FF2363">
      <w:pPr>
        <w:pStyle w:val="ECHRPara"/>
      </w:pPr>
      <w:r w:rsidRPr="00FF2363">
        <w:rPr>
          <w:noProof/>
        </w:rPr>
        <w:t>94</w:t>
      </w:r>
      <w:r>
        <w:t>.</w:t>
      </w:r>
      <w:r w:rsidR="0027376A">
        <w:t xml:space="preserve"> </w:t>
      </w:r>
      <w:r>
        <w:t>Trybunał musi zatem zbadać, czy art.</w:t>
      </w:r>
      <w:r w:rsidR="0027376A">
        <w:t xml:space="preserve"> </w:t>
      </w:r>
      <w:r>
        <w:t xml:space="preserve">8 Konwencji ma zastosowanie w niniejszej sprawie, a tym samym czy Trybunał jest właściwy </w:t>
      </w:r>
      <w:r>
        <w:rPr>
          <w:i/>
          <w:iCs/>
        </w:rPr>
        <w:t>ratione materiae</w:t>
      </w:r>
      <w:r>
        <w:t xml:space="preserve"> do zbadania </w:t>
      </w:r>
      <w:r w:rsidR="00F346E9">
        <w:t xml:space="preserve">przedmiotu </w:t>
      </w:r>
      <w:r>
        <w:t>skargi.</w:t>
      </w:r>
    </w:p>
    <w:p w:rsidR="005A52C0" w:rsidRPr="00FF2363" w:rsidRDefault="005A52C0" w:rsidP="00FF2363">
      <w:pPr>
        <w:pStyle w:val="ECHRHeading4"/>
      </w:pPr>
      <w:r>
        <w:t>(b)</w:t>
      </w:r>
      <w:r w:rsidR="0027376A">
        <w:t xml:space="preserve"> </w:t>
      </w:r>
      <w:r>
        <w:t>Ogólne zasady</w:t>
      </w:r>
    </w:p>
    <w:p w:rsidR="005A52C0" w:rsidRPr="00FF2363" w:rsidRDefault="005A52C0" w:rsidP="00FF2363">
      <w:pPr>
        <w:pStyle w:val="ECHRHeading5"/>
      </w:pPr>
      <w:r>
        <w:t>(i)</w:t>
      </w:r>
      <w:r w:rsidR="0027376A">
        <w:t xml:space="preserve"> </w:t>
      </w:r>
      <w:r>
        <w:t xml:space="preserve">„Życie prywatne” </w:t>
      </w:r>
      <w:r w:rsidR="00F346E9">
        <w:t>jako szerokie pojęcie</w:t>
      </w:r>
    </w:p>
    <w:p w:rsidR="005A52C0" w:rsidRPr="00FF2363" w:rsidRDefault="005A52C0" w:rsidP="00FF2363">
      <w:pPr>
        <w:pStyle w:val="ECHRPara"/>
      </w:pPr>
      <w:r w:rsidRPr="00FF2363">
        <w:rPr>
          <w:noProof/>
        </w:rPr>
        <w:t>95</w:t>
      </w:r>
      <w:r>
        <w:t>.</w:t>
      </w:r>
      <w:r w:rsidR="0027376A">
        <w:t xml:space="preserve"> </w:t>
      </w:r>
      <w:r>
        <w:t xml:space="preserve"> „Życie prywatne” jest pojęciem szerokim, niepoddającym się</w:t>
      </w:r>
      <w:r w:rsidR="002E281C">
        <w:t> </w:t>
      </w:r>
      <w:r>
        <w:t>wyczerpującej definicji. Obejmuje fizyczną i psychologiczną integralność osoby. Może ono zatem obejmować wiele aspektów fizycznej i</w:t>
      </w:r>
      <w:r w:rsidR="002E281C">
        <w:t> </w:t>
      </w:r>
      <w:r>
        <w:t xml:space="preserve">społecznej tożsamości danej osoby. </w:t>
      </w:r>
      <w:r w:rsidR="00F346E9">
        <w:t>A</w:t>
      </w:r>
      <w:r>
        <w:t>rt.</w:t>
      </w:r>
      <w:r w:rsidR="0027376A">
        <w:t xml:space="preserve"> </w:t>
      </w:r>
      <w:r>
        <w:t xml:space="preserve">8 </w:t>
      </w:r>
      <w:r w:rsidR="00F346E9">
        <w:t xml:space="preserve">chroni </w:t>
      </w:r>
      <w:r>
        <w:t>również prawo do</w:t>
      </w:r>
      <w:r w:rsidR="002E281C">
        <w:t> </w:t>
      </w:r>
      <w:r>
        <w:t>rozwoju osobistego oraz prawo do nawiązywania i pogłębiania relacji z</w:t>
      </w:r>
      <w:r w:rsidR="002E281C">
        <w:t> </w:t>
      </w:r>
      <w:r>
        <w:t xml:space="preserve">innymi osobami i ze światem zewnętrznym (zob. </w:t>
      </w:r>
      <w:r>
        <w:rPr>
          <w:i/>
          <w:iCs/>
        </w:rPr>
        <w:t>S. i Marper przeciwko Zjednoczonemu Królestwu</w:t>
      </w:r>
      <w:r>
        <w:t xml:space="preserve"> [WI], skargi nr 30562/04 i 30566/04, §</w:t>
      </w:r>
      <w:r w:rsidR="0027376A">
        <w:t xml:space="preserve"> </w:t>
      </w:r>
      <w:r>
        <w:t xml:space="preserve">66, </w:t>
      </w:r>
      <w:r w:rsidR="000D5B2D">
        <w:t>ETPC</w:t>
      </w:r>
      <w:r w:rsidR="002E281C">
        <w:t> </w:t>
      </w:r>
      <w:r>
        <w:t xml:space="preserve">2008; </w:t>
      </w:r>
      <w:r>
        <w:rPr>
          <w:i/>
          <w:iCs/>
        </w:rPr>
        <w:t>Gillberg</w:t>
      </w:r>
      <w:r>
        <w:rPr>
          <w:snapToGrid w:val="0"/>
        </w:rPr>
        <w:t xml:space="preserve">, </w:t>
      </w:r>
      <w:r>
        <w:rPr>
          <w:i/>
          <w:iCs/>
          <w:snapToGrid w:val="0"/>
        </w:rPr>
        <w:t>op. cit.</w:t>
      </w:r>
      <w:r>
        <w:rPr>
          <w:snapToGrid w:val="0"/>
        </w:rPr>
        <w:t>, §</w:t>
      </w:r>
      <w:r w:rsidR="0027376A">
        <w:rPr>
          <w:snapToGrid w:val="0"/>
        </w:rPr>
        <w:t xml:space="preserve"> </w:t>
      </w:r>
      <w:r>
        <w:rPr>
          <w:snapToGrid w:val="0"/>
        </w:rPr>
        <w:t>66</w:t>
      </w:r>
      <w:r>
        <w:t xml:space="preserve">; oraz </w:t>
      </w:r>
      <w:r>
        <w:rPr>
          <w:i/>
          <w:iCs/>
        </w:rPr>
        <w:t>Bărbulescu przeciwko Rumunii</w:t>
      </w:r>
      <w:r>
        <w:t xml:space="preserve"> [WI],</w:t>
      </w:r>
      <w:r>
        <w:rPr>
          <w:i/>
          <w:iCs/>
        </w:rPr>
        <w:t xml:space="preserve"> </w:t>
      </w:r>
      <w:r>
        <w:t>skarga nr</w:t>
      </w:r>
      <w:r w:rsidR="0027376A">
        <w:t xml:space="preserve"> </w:t>
      </w:r>
      <w:r>
        <w:t>61496/08, §</w:t>
      </w:r>
      <w:r w:rsidR="0027376A">
        <w:t xml:space="preserve"> </w:t>
      </w:r>
      <w:r>
        <w:t xml:space="preserve">70, </w:t>
      </w:r>
      <w:r w:rsidR="000D5B2D">
        <w:t>ETPC</w:t>
      </w:r>
      <w:r w:rsidR="0027376A">
        <w:t xml:space="preserve"> </w:t>
      </w:r>
      <w:r>
        <w:t>2017 (fragmenty), i</w:t>
      </w:r>
      <w:r w:rsidR="0027376A">
        <w:t xml:space="preserve"> </w:t>
      </w:r>
      <w:r>
        <w:t>przytoczone tam orzecznictwo).</w:t>
      </w:r>
    </w:p>
    <w:p w:rsidR="005A52C0" w:rsidRPr="00FF2363" w:rsidRDefault="005A52C0" w:rsidP="00FF2363">
      <w:pPr>
        <w:pStyle w:val="ECHRPara"/>
      </w:pPr>
      <w:r w:rsidRPr="00FF2363">
        <w:rPr>
          <w:noProof/>
        </w:rPr>
        <w:t>96</w:t>
      </w:r>
      <w:r>
        <w:t>.</w:t>
      </w:r>
      <w:r w:rsidR="0027376A">
        <w:t xml:space="preserve"> </w:t>
      </w:r>
      <w:r>
        <w:t>Należy zatem uznać, iż zbyt zawężające byłoby ograniczenie pojęcia „życia prywatnego” do „najbliższego otoczenia”, w którym osoba może prowadzić życie osobiste zależnie od własnych wyborów, z całkowitym wyłączeniem świata zewnętrznego, który do niego nie należy (zob.</w:t>
      </w:r>
      <w:r w:rsidR="002E281C">
        <w:t> </w:t>
      </w:r>
      <w:r>
        <w:rPr>
          <w:i/>
          <w:iCs/>
        </w:rPr>
        <w:t>Fernández Martínez</w:t>
      </w:r>
      <w:r>
        <w:t xml:space="preserve">, </w:t>
      </w:r>
      <w:r>
        <w:rPr>
          <w:i/>
          <w:iCs/>
        </w:rPr>
        <w:t>op. cit.</w:t>
      </w:r>
      <w:r>
        <w:t>, §</w:t>
      </w:r>
      <w:r w:rsidR="0027376A">
        <w:t xml:space="preserve"> </w:t>
      </w:r>
      <w:r>
        <w:t>109).</w:t>
      </w:r>
    </w:p>
    <w:p w:rsidR="005A52C0" w:rsidRPr="00FF2363" w:rsidRDefault="005A52C0" w:rsidP="00FF2363">
      <w:pPr>
        <w:pStyle w:val="ECHRHeading5"/>
      </w:pPr>
      <w:r>
        <w:t>(ii)</w:t>
      </w:r>
      <w:r w:rsidR="0027376A">
        <w:t xml:space="preserve"> </w:t>
      </w:r>
      <w:r>
        <w:t>Prawo do poszanowania dobrego imienia</w:t>
      </w:r>
    </w:p>
    <w:p w:rsidR="005A52C0" w:rsidRPr="00FF2363" w:rsidRDefault="005A52C0" w:rsidP="00FF2363">
      <w:pPr>
        <w:pStyle w:val="ECHRPara"/>
      </w:pPr>
      <w:r w:rsidRPr="00FF2363">
        <w:rPr>
          <w:rFonts w:eastAsia="Times New Roman"/>
        </w:rPr>
        <w:t>97</w:t>
      </w:r>
      <w:r>
        <w:t>.</w:t>
      </w:r>
      <w:r w:rsidR="0027376A">
        <w:t xml:space="preserve"> </w:t>
      </w:r>
      <w:r>
        <w:t>Na kanwie tak wypracowanego orzecznictwa do Trybunału zwrócono się o ustalenie, czy pojęcie „życia prywatnego” powinno obejmować prawo do poszanowania dobrego imienia, którego w art.</w:t>
      </w:r>
      <w:r w:rsidR="0027376A">
        <w:t xml:space="preserve"> </w:t>
      </w:r>
      <w:r>
        <w:t xml:space="preserve">8 wprost nie wymieniono. W wyroku w sprawie </w:t>
      </w:r>
      <w:r>
        <w:rPr>
          <w:i/>
          <w:iCs/>
        </w:rPr>
        <w:t>Pfeifer przeciwko Austrii</w:t>
      </w:r>
      <w:r>
        <w:t xml:space="preserve"> (skarga nr</w:t>
      </w:r>
      <w:r w:rsidR="0027376A">
        <w:t xml:space="preserve"> </w:t>
      </w:r>
      <w:r>
        <w:t>12556/03, §</w:t>
      </w:r>
      <w:r w:rsidR="0027376A">
        <w:t xml:space="preserve"> </w:t>
      </w:r>
      <w:r>
        <w:t>35, 15</w:t>
      </w:r>
      <w:r w:rsidR="0027376A">
        <w:t xml:space="preserve"> </w:t>
      </w:r>
      <w:r>
        <w:t>listopada 2007</w:t>
      </w:r>
      <w:r w:rsidR="0027376A">
        <w:t xml:space="preserve"> </w:t>
      </w:r>
      <w:r>
        <w:t xml:space="preserve">r.) Trybunał, uwzględniwszy własne orzecznictwo, uznał, że dobre imię osoby, nawet jeśli dana osoba jest krytykowana w kontekście debaty publicznej, stanowi część osobistej tożsamości i psychologicznej </w:t>
      </w:r>
      <w:r>
        <w:lastRenderedPageBreak/>
        <w:t>integralności takiej osoby i jako taka wchodzi w zakresie jej „życia prywatnego”.</w:t>
      </w:r>
    </w:p>
    <w:p w:rsidR="005A52C0" w:rsidRPr="00FF2363" w:rsidRDefault="005A52C0" w:rsidP="00FF2363">
      <w:pPr>
        <w:pStyle w:val="ECHRPara"/>
      </w:pPr>
      <w:bookmarkStart w:id="4" w:name="C1_Gillberg_principle"/>
      <w:r w:rsidRPr="00FF2363">
        <w:t>98</w:t>
      </w:r>
      <w:bookmarkEnd w:id="4"/>
      <w:r>
        <w:t>.</w:t>
      </w:r>
      <w:r w:rsidR="0027376A">
        <w:t xml:space="preserve"> </w:t>
      </w:r>
      <w:r>
        <w:t>Należy jednak podkreślić, że art.</w:t>
      </w:r>
      <w:r w:rsidR="0027376A">
        <w:t xml:space="preserve"> </w:t>
      </w:r>
      <w:r>
        <w:t xml:space="preserve">8 nie można powołać w przypadku skargi na utratę dobrego imienia stanowiącą możliwą do przewidzenia konsekwencję poczynań danej osoby, na przykład popełnienia przestępstwa karnego (zob. </w:t>
      </w:r>
      <w:r>
        <w:rPr>
          <w:i/>
          <w:iCs/>
        </w:rPr>
        <w:t>Sidabras i Džiautas</w:t>
      </w:r>
      <w:r>
        <w:t xml:space="preserve">, </w:t>
      </w:r>
      <w:r>
        <w:rPr>
          <w:i/>
          <w:iCs/>
        </w:rPr>
        <w:t>op. cit.</w:t>
      </w:r>
      <w:r>
        <w:t>, §</w:t>
      </w:r>
      <w:r w:rsidR="0027376A">
        <w:t xml:space="preserve"> </w:t>
      </w:r>
      <w:r>
        <w:t xml:space="preserve">49 oraz </w:t>
      </w:r>
      <w:r>
        <w:rPr>
          <w:i/>
          <w:iCs/>
        </w:rPr>
        <w:t>Axel</w:t>
      </w:r>
      <w:r w:rsidR="0027376A">
        <w:rPr>
          <w:i/>
          <w:iCs/>
        </w:rPr>
        <w:t xml:space="preserve"> </w:t>
      </w:r>
      <w:r>
        <w:rPr>
          <w:i/>
          <w:iCs/>
        </w:rPr>
        <w:t>Springer AG przeciwko Niemcom</w:t>
      </w:r>
      <w:r>
        <w:t xml:space="preserve"> [WI], skarga nr</w:t>
      </w:r>
      <w:r w:rsidR="0027376A">
        <w:t xml:space="preserve"> </w:t>
      </w:r>
      <w:r>
        <w:t>39954/08, §</w:t>
      </w:r>
      <w:r w:rsidR="0027376A">
        <w:t xml:space="preserve"> </w:t>
      </w:r>
      <w:r>
        <w:t>83, 7</w:t>
      </w:r>
      <w:r w:rsidR="0027376A">
        <w:t xml:space="preserve"> </w:t>
      </w:r>
      <w:r>
        <w:t>lutego 2012</w:t>
      </w:r>
      <w:r w:rsidR="0027376A">
        <w:t xml:space="preserve"> </w:t>
      </w:r>
      <w:r>
        <w:t>r.). W</w:t>
      </w:r>
      <w:r w:rsidR="002E281C">
        <w:t> </w:t>
      </w:r>
      <w:r>
        <w:t xml:space="preserve">wyroku w sprawie </w:t>
      </w:r>
      <w:r>
        <w:rPr>
          <w:i/>
          <w:iCs/>
        </w:rPr>
        <w:t>Gillberg</w:t>
      </w:r>
      <w:r>
        <w:t xml:space="preserve"> (</w:t>
      </w:r>
      <w:r>
        <w:rPr>
          <w:i/>
          <w:iCs/>
        </w:rPr>
        <w:t>op. cit.</w:t>
      </w:r>
      <w:r>
        <w:t>) Wielka Izba nie ograniczyła tej</w:t>
      </w:r>
      <w:r w:rsidR="002E281C">
        <w:t> </w:t>
      </w:r>
      <w:r>
        <w:t>reguły do uszczerbku na reputacji i zastosowała szerszą zasadę, zgodnie z</w:t>
      </w:r>
      <w:r w:rsidR="0027376A">
        <w:t xml:space="preserve"> </w:t>
      </w:r>
      <w:r>
        <w:t>którą każdy rodzaj osobistego, społecznego, psychologicznego lub</w:t>
      </w:r>
      <w:r w:rsidR="002E281C">
        <w:t> </w:t>
      </w:r>
      <w:r>
        <w:t>materialnego cierpienia może stanowić przewidywalną konsekwencję popełnienia przestępstwa karnego, a tym samym że nie można się na</w:t>
      </w:r>
      <w:r w:rsidR="002E281C">
        <w:t> </w:t>
      </w:r>
      <w:r>
        <w:t>nie</w:t>
      </w:r>
      <w:r w:rsidR="002E281C">
        <w:t> </w:t>
      </w:r>
      <w:r>
        <w:t>powołać, by stwierdzić, że wyrok w sprawie karnej sam w sobie stanowił ingerencję w prawo do poszanowania „życia prywatnego” (</w:t>
      </w:r>
      <w:r w:rsidR="00DE5D9C">
        <w:rPr>
          <w:i/>
          <w:iCs/>
        </w:rPr>
        <w:t>ibid.,</w:t>
      </w:r>
      <w:r w:rsidR="00DE5D9C" w:rsidRPr="008C7998">
        <w:rPr>
          <w:i/>
        </w:rPr>
        <w:t xml:space="preserve"> </w:t>
      </w:r>
      <w:r>
        <w:t>§</w:t>
      </w:r>
      <w:r w:rsidR="002E281C">
        <w:t> </w:t>
      </w:r>
      <w:r>
        <w:t>68). Ta rozszerzona zasada powinna obejmować nie tylko przestępstwa karne, lecz także inne rodzaje przewinień pociągające za sobą w pewnym zakresie odpowiedzialność prawną o przewidywalnych negatywnych konsekwencjach dla „życia prywatnego”.</w:t>
      </w:r>
    </w:p>
    <w:p w:rsidR="005A52C0" w:rsidRPr="00FF2363" w:rsidRDefault="005A52C0" w:rsidP="00FF2363">
      <w:pPr>
        <w:pStyle w:val="ECHRPara"/>
      </w:pPr>
      <w:r w:rsidRPr="00FF2363">
        <w:rPr>
          <w:noProof/>
        </w:rPr>
        <w:t>99</w:t>
      </w:r>
      <w:r>
        <w:t>.</w:t>
      </w:r>
      <w:r w:rsidR="0027376A">
        <w:t xml:space="preserve"> </w:t>
      </w:r>
      <w:r>
        <w:t>Opierając się na tej linii orzecznictwa, Trybunał wielokrotnie stosował art.</w:t>
      </w:r>
      <w:r w:rsidR="0027376A">
        <w:t xml:space="preserve"> </w:t>
      </w:r>
      <w:r>
        <w:t>8 do kwestii sprawowania funkcji zawodowych.</w:t>
      </w:r>
    </w:p>
    <w:p w:rsidR="005A52C0" w:rsidRPr="00FF2363" w:rsidRDefault="005A52C0" w:rsidP="00FF2363">
      <w:pPr>
        <w:pStyle w:val="ECHRHeading5"/>
      </w:pPr>
      <w:r>
        <w:t>(iii)</w:t>
      </w:r>
      <w:r w:rsidR="0027376A">
        <w:t xml:space="preserve"> </w:t>
      </w:r>
      <w:r>
        <w:t xml:space="preserve"> „Życie prywatne” w sytuacjach dotyczących zatrudnienia</w:t>
      </w:r>
    </w:p>
    <w:p w:rsidR="005A52C0" w:rsidRPr="00FF2363" w:rsidRDefault="005A52C0" w:rsidP="00FF2363">
      <w:pPr>
        <w:pStyle w:val="ECHRPara"/>
      </w:pPr>
      <w:r w:rsidRPr="00FF2363">
        <w:rPr>
          <w:noProof/>
        </w:rPr>
        <w:t>100</w:t>
      </w:r>
      <w:r>
        <w:t>.</w:t>
      </w:r>
      <w:r w:rsidR="0027376A">
        <w:t xml:space="preserve"> </w:t>
      </w:r>
      <w:r>
        <w:t>Wprawdzie z art.</w:t>
      </w:r>
      <w:r w:rsidR="0027376A">
        <w:t xml:space="preserve"> </w:t>
      </w:r>
      <w:r>
        <w:t>8 nie można wywodzić prawa do zatrudnienia w</w:t>
      </w:r>
      <w:r w:rsidR="002E281C">
        <w:t> </w:t>
      </w:r>
      <w:r>
        <w:t>ujęciu ogólnym, prawa dostępu do służby cywilnej ani prawa do wyboru określonego zawodu, jednak pojęcie „życia prywatnego” nie wyklucza z</w:t>
      </w:r>
      <w:r w:rsidR="002E281C">
        <w:t> </w:t>
      </w:r>
      <w:r>
        <w:t>zasady działalności o charakterze zawodowym lub biznesowym. To</w:t>
      </w:r>
      <w:r w:rsidR="002E281C">
        <w:t> </w:t>
      </w:r>
      <w:r>
        <w:t xml:space="preserve">właśnie w ramach życia zawodowego większość ludzi ma możliwość nawiązywania relacji ze światem zewnętrznym (zob. </w:t>
      </w:r>
      <w:r>
        <w:rPr>
          <w:i/>
          <w:iCs/>
        </w:rPr>
        <w:t>Niemietz przeciwko Niemcom</w:t>
      </w:r>
      <w:r>
        <w:t>, 16</w:t>
      </w:r>
      <w:r w:rsidR="0027376A">
        <w:t xml:space="preserve"> </w:t>
      </w:r>
      <w:r>
        <w:t>grudnia 1992</w:t>
      </w:r>
      <w:r w:rsidR="0027376A">
        <w:t xml:space="preserve"> </w:t>
      </w:r>
      <w:r>
        <w:t>r., §</w:t>
      </w:r>
      <w:r w:rsidR="0027376A">
        <w:t xml:space="preserve"> </w:t>
      </w:r>
      <w:r>
        <w:t>29, Seria</w:t>
      </w:r>
      <w:r w:rsidR="0027376A">
        <w:t xml:space="preserve"> </w:t>
      </w:r>
      <w:r>
        <w:t>A nr</w:t>
      </w:r>
      <w:r w:rsidR="0027376A">
        <w:t xml:space="preserve"> </w:t>
      </w:r>
      <w:r>
        <w:t>251</w:t>
      </w:r>
      <w:r>
        <w:noBreakHyphen/>
        <w:t xml:space="preserve">B; </w:t>
      </w:r>
      <w:r>
        <w:rPr>
          <w:i/>
          <w:iCs/>
        </w:rPr>
        <w:t>Oleksandr Volkov</w:t>
      </w:r>
      <w:r>
        <w:t xml:space="preserve">, </w:t>
      </w:r>
      <w:r>
        <w:rPr>
          <w:i/>
          <w:iCs/>
        </w:rPr>
        <w:t>op. cit.</w:t>
      </w:r>
      <w:r>
        <w:t>, §</w:t>
      </w:r>
      <w:r w:rsidR="0027376A">
        <w:t xml:space="preserve"> </w:t>
      </w:r>
      <w:r>
        <w:t xml:space="preserve">165; oraz </w:t>
      </w:r>
      <w:r>
        <w:rPr>
          <w:i/>
          <w:iCs/>
        </w:rPr>
        <w:t>Bărbulescu</w:t>
      </w:r>
      <w:r>
        <w:t xml:space="preserve">, </w:t>
      </w:r>
      <w:r>
        <w:rPr>
          <w:i/>
          <w:iCs/>
        </w:rPr>
        <w:t>op. cit.</w:t>
      </w:r>
      <w:r>
        <w:t>, §</w:t>
      </w:r>
      <w:r w:rsidR="0027376A">
        <w:t xml:space="preserve"> </w:t>
      </w:r>
      <w:r>
        <w:t xml:space="preserve">71). Życie zawodowe stanowi zatem część sfery interakcji osoby z innymi osobami, która </w:t>
      </w:r>
      <w:r w:rsidR="00DD683D">
        <w:t>–</w:t>
      </w:r>
      <w:r>
        <w:t xml:space="preserve"> nawet w</w:t>
      </w:r>
      <w:r w:rsidR="002E281C">
        <w:t> </w:t>
      </w:r>
      <w:r>
        <w:t xml:space="preserve">kontekście publicznym </w:t>
      </w:r>
      <w:r w:rsidR="00DD683D">
        <w:t>–</w:t>
      </w:r>
      <w:r>
        <w:t xml:space="preserve"> może w określonych okolicznościach wchodzić w zakres „życia prywatnego” (zob. </w:t>
      </w:r>
      <w:r>
        <w:rPr>
          <w:i/>
          <w:iCs/>
        </w:rPr>
        <w:t>Fernández</w:t>
      </w:r>
      <w:r w:rsidR="0027376A">
        <w:rPr>
          <w:i/>
          <w:iCs/>
        </w:rPr>
        <w:t xml:space="preserve"> </w:t>
      </w:r>
      <w:r>
        <w:rPr>
          <w:i/>
          <w:iCs/>
        </w:rPr>
        <w:t>Martínez</w:t>
      </w:r>
      <w:r>
        <w:t>,</w:t>
      </w:r>
      <w:r>
        <w:rPr>
          <w:i/>
          <w:iCs/>
        </w:rPr>
        <w:t xml:space="preserve"> op. cit.</w:t>
      </w:r>
      <w:r>
        <w:t>, §</w:t>
      </w:r>
      <w:r w:rsidR="0027376A">
        <w:t xml:space="preserve"> </w:t>
      </w:r>
      <w:r>
        <w:t>110).</w:t>
      </w:r>
    </w:p>
    <w:p w:rsidR="005A52C0" w:rsidRPr="008C7998" w:rsidRDefault="005A52C0" w:rsidP="00FF2363">
      <w:pPr>
        <w:pStyle w:val="ECHRPara"/>
      </w:pPr>
      <w:r w:rsidRPr="00FF2363">
        <w:rPr>
          <w:noProof/>
        </w:rPr>
        <w:t>101</w:t>
      </w:r>
      <w:r>
        <w:t>.</w:t>
      </w:r>
      <w:r w:rsidR="0027376A">
        <w:t xml:space="preserve"> </w:t>
      </w:r>
      <w:r>
        <w:t>W sytuacjach dotyczących zatrudnienia wiążących się ze skargami na podstawie art.</w:t>
      </w:r>
      <w:r w:rsidR="0027376A">
        <w:t xml:space="preserve"> </w:t>
      </w:r>
      <w:r>
        <w:t xml:space="preserve">8, Trybunał rozpatrywał rozmaite sprawy. Na szczególną uwagę zasługują te dotyczące zwolnienia ze służby wojskowej (zob. </w:t>
      </w:r>
      <w:r>
        <w:rPr>
          <w:i/>
          <w:iCs/>
        </w:rPr>
        <w:t>Smith i</w:t>
      </w:r>
      <w:r w:rsidR="002E281C">
        <w:rPr>
          <w:i/>
          <w:iCs/>
        </w:rPr>
        <w:t> </w:t>
      </w:r>
      <w:r>
        <w:rPr>
          <w:i/>
          <w:iCs/>
        </w:rPr>
        <w:t>Grady przeciwko Zjednoczonemu Królestwu</w:t>
      </w:r>
      <w:r>
        <w:t>, skargi nr</w:t>
      </w:r>
      <w:r w:rsidR="0027376A">
        <w:t xml:space="preserve"> </w:t>
      </w:r>
      <w:r>
        <w:t>33985/96 i</w:t>
      </w:r>
      <w:r w:rsidR="002E281C">
        <w:t> </w:t>
      </w:r>
      <w:r>
        <w:t xml:space="preserve">33986/96, </w:t>
      </w:r>
      <w:r w:rsidR="000D5B2D">
        <w:t>ETPC</w:t>
      </w:r>
      <w:r>
        <w:t xml:space="preserve"> 1999</w:t>
      </w:r>
      <w:r>
        <w:noBreakHyphen/>
        <w:t>VI), odwołania z urzędu sędziowskiego (zob.</w:t>
      </w:r>
      <w:r w:rsidR="002E281C">
        <w:t> </w:t>
      </w:r>
      <w:r>
        <w:rPr>
          <w:i/>
          <w:iCs/>
        </w:rPr>
        <w:t>Özpınar</w:t>
      </w:r>
      <w:r>
        <w:t xml:space="preserve">, </w:t>
      </w:r>
      <w:r>
        <w:rPr>
          <w:i/>
          <w:iCs/>
        </w:rPr>
        <w:t>op. cit.</w:t>
      </w:r>
      <w:r>
        <w:t xml:space="preserve">; </w:t>
      </w:r>
      <w:r>
        <w:rPr>
          <w:i/>
          <w:iCs/>
        </w:rPr>
        <w:t>Oleksandr Volkov</w:t>
      </w:r>
      <w:r>
        <w:t xml:space="preserve">, </w:t>
      </w:r>
      <w:r>
        <w:rPr>
          <w:i/>
          <w:iCs/>
        </w:rPr>
        <w:t>op. cit.</w:t>
      </w:r>
      <w:r>
        <w:t xml:space="preserve">; oraz </w:t>
      </w:r>
      <w:r>
        <w:rPr>
          <w:i/>
          <w:iCs/>
        </w:rPr>
        <w:t>Kulykov i Inni</w:t>
      </w:r>
      <w:r>
        <w:t xml:space="preserve">, </w:t>
      </w:r>
      <w:r>
        <w:rPr>
          <w:i/>
          <w:iCs/>
        </w:rPr>
        <w:t>op.</w:t>
      </w:r>
      <w:r w:rsidR="002E281C">
        <w:rPr>
          <w:i/>
          <w:iCs/>
        </w:rPr>
        <w:t> </w:t>
      </w:r>
      <w:r>
        <w:rPr>
          <w:i/>
          <w:iCs/>
        </w:rPr>
        <w:t>cit.</w:t>
      </w:r>
      <w:r>
        <w:t xml:space="preserve">), odwołania z funkcji administracyjnych w wymiarze sprawiedliwości (zob. </w:t>
      </w:r>
      <w:r>
        <w:rPr>
          <w:i/>
          <w:iCs/>
        </w:rPr>
        <w:t>Erményi</w:t>
      </w:r>
      <w:r>
        <w:t xml:space="preserve">, </w:t>
      </w:r>
      <w:r>
        <w:rPr>
          <w:i/>
          <w:iCs/>
        </w:rPr>
        <w:t>op. cit.</w:t>
      </w:r>
      <w:r>
        <w:t xml:space="preserve">) oraz przenosin na inne stanowiska w służbie publicznej (zob. </w:t>
      </w:r>
      <w:r>
        <w:rPr>
          <w:i/>
          <w:iCs/>
        </w:rPr>
        <w:t>Sodan</w:t>
      </w:r>
      <w:r>
        <w:t xml:space="preserve">, </w:t>
      </w:r>
      <w:r>
        <w:rPr>
          <w:i/>
          <w:iCs/>
        </w:rPr>
        <w:t>op. cit.</w:t>
      </w:r>
      <w:r>
        <w:t xml:space="preserve">). Inne rodzaje spraw dotyczyły ograniczeń w dostępie do zatrudnienia w służbach publicznych (zob. </w:t>
      </w:r>
      <w:r>
        <w:rPr>
          <w:i/>
          <w:iCs/>
        </w:rPr>
        <w:t>Naidin przeciwko Rumunii</w:t>
      </w:r>
      <w:r>
        <w:t>, skarga nr</w:t>
      </w:r>
      <w:r w:rsidR="0027376A">
        <w:t xml:space="preserve"> </w:t>
      </w:r>
      <w:r>
        <w:t>38162/07</w:t>
      </w:r>
      <w:r>
        <w:rPr>
          <w:snapToGrid w:val="0"/>
        </w:rPr>
        <w:t>, 21</w:t>
      </w:r>
      <w:r w:rsidR="0027376A">
        <w:rPr>
          <w:snapToGrid w:val="0"/>
        </w:rPr>
        <w:t xml:space="preserve"> </w:t>
      </w:r>
      <w:r>
        <w:rPr>
          <w:snapToGrid w:val="0"/>
        </w:rPr>
        <w:t>października 2014</w:t>
      </w:r>
      <w:r w:rsidR="0027376A">
        <w:rPr>
          <w:snapToGrid w:val="0"/>
        </w:rPr>
        <w:t xml:space="preserve"> </w:t>
      </w:r>
      <w:r>
        <w:rPr>
          <w:snapToGrid w:val="0"/>
        </w:rPr>
        <w:t xml:space="preserve">r.), </w:t>
      </w:r>
      <w:r>
        <w:t xml:space="preserve">utraty </w:t>
      </w:r>
      <w:r>
        <w:lastRenderedPageBreak/>
        <w:t>zatrudnienia poza sektorem służb</w:t>
      </w:r>
      <w:r w:rsidR="00377AD4">
        <w:t>y publicznej</w:t>
      </w:r>
      <w:r>
        <w:t xml:space="preserve"> (zob. </w:t>
      </w:r>
      <w:r>
        <w:rPr>
          <w:i/>
          <w:iCs/>
        </w:rPr>
        <w:t>Obst przeciwko Niemcom</w:t>
      </w:r>
      <w:r>
        <w:t>, skarga nr</w:t>
      </w:r>
      <w:r w:rsidR="0027376A">
        <w:t xml:space="preserve"> </w:t>
      </w:r>
      <w:r>
        <w:t>425/03, 23</w:t>
      </w:r>
      <w:r w:rsidR="0027376A">
        <w:t xml:space="preserve"> </w:t>
      </w:r>
      <w:r>
        <w:t>września 2010</w:t>
      </w:r>
      <w:r w:rsidR="0027376A">
        <w:t xml:space="preserve"> </w:t>
      </w:r>
      <w:r>
        <w:t xml:space="preserve">r.; </w:t>
      </w:r>
      <w:r>
        <w:rPr>
          <w:i/>
          <w:iCs/>
        </w:rPr>
        <w:t>Schüth przeciwko Niemcom</w:t>
      </w:r>
      <w:r>
        <w:t>, skarga nr</w:t>
      </w:r>
      <w:r w:rsidR="0027376A">
        <w:t xml:space="preserve"> </w:t>
      </w:r>
      <w:r>
        <w:t xml:space="preserve">1620/03, </w:t>
      </w:r>
      <w:r w:rsidR="000D5B2D">
        <w:t>ETPC</w:t>
      </w:r>
      <w:r>
        <w:t xml:space="preserve"> 2010; </w:t>
      </w:r>
      <w:r>
        <w:rPr>
          <w:i/>
          <w:iCs/>
        </w:rPr>
        <w:t>Fernández Martínez</w:t>
      </w:r>
      <w:r>
        <w:t xml:space="preserve">, </w:t>
      </w:r>
      <w:r>
        <w:rPr>
          <w:i/>
          <w:iCs/>
        </w:rPr>
        <w:t>op. cit.</w:t>
      </w:r>
      <w:r>
        <w:t xml:space="preserve">; </w:t>
      </w:r>
      <w:r>
        <w:rPr>
          <w:i/>
          <w:iCs/>
        </w:rPr>
        <w:t>Şahin Kuş</w:t>
      </w:r>
      <w:r>
        <w:t xml:space="preserve">, </w:t>
      </w:r>
      <w:r>
        <w:rPr>
          <w:i/>
          <w:iCs/>
        </w:rPr>
        <w:t>op. cit.</w:t>
      </w:r>
      <w:r>
        <w:rPr>
          <w:snapToGrid w:val="0"/>
        </w:rPr>
        <w:t xml:space="preserve">; oraz </w:t>
      </w:r>
      <w:r>
        <w:rPr>
          <w:i/>
          <w:iCs/>
        </w:rPr>
        <w:t>Bărbulescu</w:t>
      </w:r>
      <w:r>
        <w:t>,</w:t>
      </w:r>
      <w:r>
        <w:rPr>
          <w:i/>
          <w:iCs/>
        </w:rPr>
        <w:t xml:space="preserve"> op. cit.</w:t>
      </w:r>
      <w:r>
        <w:rPr>
          <w:snapToGrid w:val="0"/>
        </w:rPr>
        <w:t>) oraz ograniczeń w dostępnie do zawodu w</w:t>
      </w:r>
      <w:r w:rsidR="0027376A">
        <w:rPr>
          <w:snapToGrid w:val="0"/>
        </w:rPr>
        <w:t xml:space="preserve"> </w:t>
      </w:r>
      <w:r>
        <w:rPr>
          <w:snapToGrid w:val="0"/>
        </w:rPr>
        <w:t xml:space="preserve">sektorze prywatnym (zob. </w:t>
      </w:r>
      <w:r w:rsidRPr="008C7998">
        <w:rPr>
          <w:i/>
        </w:rPr>
        <w:t>Sidabras and Džiautas</w:t>
      </w:r>
      <w:r w:rsidRPr="008C7998">
        <w:t xml:space="preserve">, </w:t>
      </w:r>
      <w:r w:rsidRPr="008C7998">
        <w:rPr>
          <w:i/>
        </w:rPr>
        <w:t>op. cit.</w:t>
      </w:r>
      <w:r w:rsidRPr="008C7998">
        <w:t xml:space="preserve">; </w:t>
      </w:r>
      <w:r w:rsidRPr="008C7998">
        <w:rPr>
          <w:i/>
        </w:rPr>
        <w:t>Campagnano</w:t>
      </w:r>
      <w:r w:rsidRPr="008C7998">
        <w:t xml:space="preserve">, </w:t>
      </w:r>
      <w:r w:rsidRPr="008C7998">
        <w:rPr>
          <w:i/>
        </w:rPr>
        <w:t>op. cit.</w:t>
      </w:r>
      <w:r w:rsidRPr="008C7998">
        <w:t xml:space="preserve">; oraz </w:t>
      </w:r>
      <w:r w:rsidRPr="008C7998">
        <w:rPr>
          <w:i/>
        </w:rPr>
        <w:t>Bigaeva</w:t>
      </w:r>
      <w:r w:rsidRPr="008C7998">
        <w:t xml:space="preserve">, </w:t>
      </w:r>
      <w:r w:rsidRPr="008C7998">
        <w:rPr>
          <w:i/>
        </w:rPr>
        <w:t>op. cit.</w:t>
      </w:r>
      <w:r w:rsidRPr="008C7998">
        <w:t>).</w:t>
      </w:r>
    </w:p>
    <w:p w:rsidR="005A52C0" w:rsidRPr="00FF2363" w:rsidRDefault="005A52C0" w:rsidP="00FF2363">
      <w:pPr>
        <w:pStyle w:val="ECHRPara"/>
      </w:pPr>
      <w:r w:rsidRPr="00FF2363">
        <w:rPr>
          <w:noProof/>
        </w:rPr>
        <w:t>102</w:t>
      </w:r>
      <w:r>
        <w:t>.</w:t>
      </w:r>
      <w:r w:rsidR="0027376A">
        <w:t xml:space="preserve"> </w:t>
      </w:r>
      <w:r>
        <w:t>W sprawach należących do powyższej kategorii Trybunał stosuje pojęcie „życia prywatnego” na podstawie dwóch różnych podejść: (α)</w:t>
      </w:r>
      <w:r w:rsidR="002E281C">
        <w:t> </w:t>
      </w:r>
      <w:r>
        <w:t>uznanie kwestii „życia prywatnego” za podstawę sporu (podejście oparte na powodach) oraz (β)</w:t>
      </w:r>
      <w:r w:rsidR="0027376A">
        <w:t xml:space="preserve"> </w:t>
      </w:r>
      <w:r>
        <w:t>wywiedzenie kwestii „życia prywatnego” z</w:t>
      </w:r>
      <w:r w:rsidR="002E281C">
        <w:t> </w:t>
      </w:r>
      <w:r>
        <w:t>konsekwencji zaskarżonego środka (podejście oparte na konsekwencjach).</w:t>
      </w:r>
    </w:p>
    <w:p w:rsidR="005A52C0" w:rsidRPr="00FF2363" w:rsidRDefault="005A52C0" w:rsidP="00FF2363">
      <w:pPr>
        <w:pStyle w:val="ECHRHeading6"/>
      </w:pPr>
      <w:r>
        <w:t>(α)</w:t>
      </w:r>
      <w:r w:rsidR="0027376A">
        <w:t xml:space="preserve"> </w:t>
      </w:r>
      <w:r>
        <w:t>Podejście oparte na powodach</w:t>
      </w:r>
    </w:p>
    <w:p w:rsidR="005A52C0" w:rsidRPr="00FF2363" w:rsidRDefault="005A52C0" w:rsidP="00FF2363">
      <w:pPr>
        <w:pStyle w:val="ECHRPara"/>
      </w:pPr>
      <w:r w:rsidRPr="00FF2363">
        <w:rPr>
          <w:noProof/>
        </w:rPr>
        <w:t>103</w:t>
      </w:r>
      <w:r>
        <w:t>.</w:t>
      </w:r>
      <w:r w:rsidR="0027376A">
        <w:t xml:space="preserve"> </w:t>
      </w:r>
      <w:r>
        <w:t>Trybunał uznaje skargi dotyczące wykonywania funkcji zawodowych za mieszczące się w zakresie „życia prywatnego”, gdy</w:t>
      </w:r>
      <w:r w:rsidR="002E281C">
        <w:t> </w:t>
      </w:r>
      <w:r>
        <w:t xml:space="preserve">czynniki odnoszące się do tej sfery życia stanowią </w:t>
      </w:r>
      <w:r w:rsidRPr="00D10A61">
        <w:t xml:space="preserve">kryteria kwalifikujące </w:t>
      </w:r>
      <w:r w:rsidR="00D10A61" w:rsidRPr="00D10A61">
        <w:t xml:space="preserve">na </w:t>
      </w:r>
      <w:r w:rsidRPr="00D10A61">
        <w:t>daną funkcję oraz gdy zaskarżany środek opiera</w:t>
      </w:r>
      <w:r>
        <w:t xml:space="preserve"> się na</w:t>
      </w:r>
      <w:r w:rsidR="002E281C">
        <w:t> </w:t>
      </w:r>
      <w:r>
        <w:t>powodach naruszających wolność dokonywania wyborów w sferze życia prywatnego.</w:t>
      </w:r>
    </w:p>
    <w:p w:rsidR="005A52C0" w:rsidRPr="00FF2363" w:rsidRDefault="005A52C0" w:rsidP="00FF2363">
      <w:pPr>
        <w:pStyle w:val="ECHRPara"/>
      </w:pPr>
      <w:r w:rsidRPr="00FF2363">
        <w:rPr>
          <w:noProof/>
        </w:rPr>
        <w:t>104</w:t>
      </w:r>
      <w:r>
        <w:t>.</w:t>
      </w:r>
      <w:r w:rsidR="0027376A">
        <w:t xml:space="preserve"> </w:t>
      </w:r>
      <w:r>
        <w:t>Zatem, w obszarze służby publicznej, gdy zaskarżano środki podejmowane przez organy Państwa, Trybunał orzekał na przykład, że</w:t>
      </w:r>
      <w:r w:rsidR="002E281C">
        <w:t> </w:t>
      </w:r>
      <w:r>
        <w:t>dochodzenie prowadzone przez żandarmerię wojskową w sprawie homoseksualności skarżących oraz ich późniejsze zwolnienie wyłącznie na</w:t>
      </w:r>
      <w:r w:rsidR="002E281C">
        <w:t> </w:t>
      </w:r>
      <w:r>
        <w:t>podstawie ich orientacji seksualnej stanowiło bezpośrednią ingerencję w</w:t>
      </w:r>
      <w:r w:rsidR="002E281C">
        <w:t> </w:t>
      </w:r>
      <w:r>
        <w:t>prawo do poszanowania życia prywatnego (zob.</w:t>
      </w:r>
      <w:r w:rsidR="0027376A">
        <w:t xml:space="preserve"> </w:t>
      </w:r>
      <w:r>
        <w:rPr>
          <w:i/>
          <w:iCs/>
        </w:rPr>
        <w:t>Smith i Grady</w:t>
      </w:r>
      <w:r>
        <w:t xml:space="preserve">, </w:t>
      </w:r>
      <w:r>
        <w:rPr>
          <w:i/>
          <w:iCs/>
        </w:rPr>
        <w:t>op. cit.</w:t>
      </w:r>
      <w:r>
        <w:t>, §</w:t>
      </w:r>
      <w:r w:rsidR="002E281C">
        <w:t> </w:t>
      </w:r>
      <w:r>
        <w:t xml:space="preserve">71). W sprawie </w:t>
      </w:r>
      <w:r>
        <w:rPr>
          <w:i/>
          <w:iCs/>
        </w:rPr>
        <w:t xml:space="preserve">Özpınar </w:t>
      </w:r>
      <w:r>
        <w:t>(</w:t>
      </w:r>
      <w:r>
        <w:rPr>
          <w:i/>
          <w:iCs/>
        </w:rPr>
        <w:t>op. cit.</w:t>
      </w:r>
      <w:r>
        <w:t>) postępowanie w sprawie odwołania skarżącej ze stanowiska sędziego wchodziło w zakres zastosowania art.</w:t>
      </w:r>
      <w:r w:rsidR="0027376A">
        <w:t xml:space="preserve"> </w:t>
      </w:r>
      <w:r>
        <w:t>8 Konwencji, ponieważ dotyczyło nie tylko sposobu wywiązywania się z</w:t>
      </w:r>
      <w:r w:rsidR="002E281C">
        <w:t> </w:t>
      </w:r>
      <w:r>
        <w:t>obowiązków zawodowych, lecz także dotykało pewnych aspektów jej życia prywatnego, w szczególności bliskich prywatnych relacji, ubioru i</w:t>
      </w:r>
      <w:r w:rsidR="002E281C">
        <w:t> </w:t>
      </w:r>
      <w:r>
        <w:t>makijażu oraz faktu, że nie mieszkała z matką (</w:t>
      </w:r>
      <w:r w:rsidR="00DE5D9C">
        <w:rPr>
          <w:i/>
          <w:iCs/>
        </w:rPr>
        <w:t xml:space="preserve">ibid., </w:t>
      </w:r>
      <w:r>
        <w:t>§§</w:t>
      </w:r>
      <w:r w:rsidR="0027376A">
        <w:t xml:space="preserve"> </w:t>
      </w:r>
      <w:r>
        <w:t>43 i</w:t>
      </w:r>
      <w:r w:rsidR="0027376A">
        <w:t xml:space="preserve"> </w:t>
      </w:r>
      <w:r>
        <w:t>47). W innej sprawie przeniesienie skarżącego na mniej istotne stanowisko w ramach służb</w:t>
      </w:r>
      <w:r w:rsidR="00225821">
        <w:t>y</w:t>
      </w:r>
      <w:r>
        <w:t xml:space="preserve"> publiczn</w:t>
      </w:r>
      <w:r w:rsidR="00225821">
        <w:t>ej</w:t>
      </w:r>
      <w:r>
        <w:t xml:space="preserve"> spowodowało ingerencję w „życie prywatne”, ponieważ środek ten był w istocie zawoalowaną formą kary, a do jego podjęcia doprowadziły powody związane z osobistymi przekonaniami skarżącego oraz sposobem ubierania się jego żony (zob. </w:t>
      </w:r>
      <w:r>
        <w:rPr>
          <w:i/>
          <w:iCs/>
        </w:rPr>
        <w:t>S</w:t>
      </w:r>
      <w:bookmarkStart w:id="5" w:name="File15656"/>
      <w:r>
        <w:rPr>
          <w:i/>
          <w:iCs/>
        </w:rPr>
        <w:t>o</w:t>
      </w:r>
      <w:bookmarkEnd w:id="5"/>
      <w:r>
        <w:rPr>
          <w:i/>
          <w:iCs/>
        </w:rPr>
        <w:t>dan</w:t>
      </w:r>
      <w:r>
        <w:t xml:space="preserve">, </w:t>
      </w:r>
      <w:r>
        <w:rPr>
          <w:i/>
          <w:iCs/>
        </w:rPr>
        <w:t>op. cit.</w:t>
      </w:r>
      <w:r>
        <w:t>, §§</w:t>
      </w:r>
      <w:r w:rsidR="0027376A">
        <w:t xml:space="preserve"> </w:t>
      </w:r>
      <w:r>
        <w:t>47–49).</w:t>
      </w:r>
    </w:p>
    <w:p w:rsidR="005A52C0" w:rsidRPr="00FF2363" w:rsidRDefault="005A52C0" w:rsidP="00FF2363">
      <w:pPr>
        <w:pStyle w:val="ECHRPara"/>
      </w:pPr>
      <w:r w:rsidRPr="00FF2363">
        <w:rPr>
          <w:rFonts w:eastAsia="Times New Roman"/>
          <w:color w:val="222222"/>
        </w:rPr>
        <w:t>105</w:t>
      </w:r>
      <w:r>
        <w:rPr>
          <w:color w:val="222222"/>
        </w:rPr>
        <w:t>.</w:t>
      </w:r>
      <w:r w:rsidR="0027376A">
        <w:rPr>
          <w:color w:val="222222"/>
        </w:rPr>
        <w:t xml:space="preserve"> </w:t>
      </w:r>
      <w:r>
        <w:t>Podobny tok rozumowania Trybunał przyjm</w:t>
      </w:r>
      <w:r w:rsidR="00225821">
        <w:t>uje</w:t>
      </w:r>
      <w:r>
        <w:t xml:space="preserve"> z punktu widzenia pozytywnych obowiązków zachowania właściwej równowagi między prywatnymi interesami pracowników oraz interesami pracodawcy niebędącego podmiotem rządowym, gdy powody odwołania dotyczą bezpośrednio postępowania skarżących w życiu prywatnym, na przykład ich</w:t>
      </w:r>
      <w:r w:rsidR="002E281C">
        <w:t> </w:t>
      </w:r>
      <w:r>
        <w:t xml:space="preserve">związków pozamałżeńskich (zob. </w:t>
      </w:r>
      <w:r>
        <w:rPr>
          <w:i/>
          <w:iCs/>
        </w:rPr>
        <w:t>Obst</w:t>
      </w:r>
      <w:r>
        <w:t xml:space="preserve">, </w:t>
      </w:r>
      <w:r>
        <w:rPr>
          <w:i/>
          <w:iCs/>
        </w:rPr>
        <w:t>op. cit.</w:t>
      </w:r>
      <w:r>
        <w:t>, §§</w:t>
      </w:r>
      <w:r w:rsidR="0027376A">
        <w:t xml:space="preserve"> </w:t>
      </w:r>
      <w:r>
        <w:t>43 i</w:t>
      </w:r>
      <w:r w:rsidR="0027376A">
        <w:t xml:space="preserve"> </w:t>
      </w:r>
      <w:r>
        <w:t>nast.) lub</w:t>
      </w:r>
      <w:r w:rsidR="002E281C">
        <w:t> </w:t>
      </w:r>
      <w:r>
        <w:t xml:space="preserve">zamieszkiwania z nowym partnerem po separacji (zob. </w:t>
      </w:r>
      <w:r>
        <w:rPr>
          <w:i/>
          <w:iCs/>
        </w:rPr>
        <w:t>Schüth</w:t>
      </w:r>
      <w:r>
        <w:t xml:space="preserve">, </w:t>
      </w:r>
      <w:r>
        <w:rPr>
          <w:i/>
          <w:iCs/>
        </w:rPr>
        <w:t>op. cit.</w:t>
      </w:r>
      <w:r>
        <w:t>, §§</w:t>
      </w:r>
      <w:r w:rsidR="0027376A">
        <w:t xml:space="preserve"> </w:t>
      </w:r>
      <w:r>
        <w:t>57 i</w:t>
      </w:r>
      <w:r w:rsidR="0027376A">
        <w:t xml:space="preserve"> </w:t>
      </w:r>
      <w:r>
        <w:t xml:space="preserve">nast.). W przypadku skargi dotyczącej zwolnienia pracownika </w:t>
      </w:r>
      <w:r>
        <w:lastRenderedPageBreak/>
        <w:t>przez</w:t>
      </w:r>
      <w:r w:rsidR="002E281C">
        <w:t> </w:t>
      </w:r>
      <w:r>
        <w:t>prywatną spółkę na podstawie monitorowania jego korespondencji w</w:t>
      </w:r>
      <w:r w:rsidR="002E281C">
        <w:t> </w:t>
      </w:r>
      <w:r>
        <w:t>miejscu pracy przez pracodawcę, środek ten był objęty zastosowaniem art.</w:t>
      </w:r>
      <w:r w:rsidR="0027376A">
        <w:t xml:space="preserve"> </w:t>
      </w:r>
      <w:r>
        <w:t>8 w zakresie dotyczącym „korespondencji” oraz z uwagi na to, że</w:t>
      </w:r>
      <w:r w:rsidR="002E281C">
        <w:t> </w:t>
      </w:r>
      <w:r>
        <w:t>ingerował w uzasadnioną możliwość korzystania z „życia prywatnego” w</w:t>
      </w:r>
      <w:r w:rsidR="002E281C">
        <w:t> </w:t>
      </w:r>
      <w:r>
        <w:t xml:space="preserve">miejscu pracy (zob. </w:t>
      </w:r>
      <w:r>
        <w:rPr>
          <w:i/>
          <w:iCs/>
        </w:rPr>
        <w:t>Bărbulescu</w:t>
      </w:r>
      <w:r>
        <w:t xml:space="preserve">, </w:t>
      </w:r>
      <w:r>
        <w:rPr>
          <w:i/>
          <w:iCs/>
        </w:rPr>
        <w:t>op. cit.</w:t>
      </w:r>
      <w:r>
        <w:t>, §§</w:t>
      </w:r>
      <w:r w:rsidR="0027376A">
        <w:t xml:space="preserve"> </w:t>
      </w:r>
      <w:r>
        <w:t>81 i</w:t>
      </w:r>
      <w:r w:rsidR="0027376A">
        <w:t xml:space="preserve"> </w:t>
      </w:r>
      <w:r>
        <w:t>127).</w:t>
      </w:r>
    </w:p>
    <w:p w:rsidR="005A52C0" w:rsidRPr="00FF2363" w:rsidRDefault="005A52C0" w:rsidP="00FF2363">
      <w:pPr>
        <w:pStyle w:val="ECHRPara"/>
      </w:pPr>
      <w:r w:rsidRPr="00FF2363">
        <w:rPr>
          <w:noProof/>
        </w:rPr>
        <w:t>106</w:t>
      </w:r>
      <w:r>
        <w:t>.</w:t>
      </w:r>
      <w:r w:rsidR="0027376A">
        <w:t xml:space="preserve"> </w:t>
      </w:r>
      <w:r>
        <w:t>Z powyższych przykładów wynika, że powody odwołania się do</w:t>
      </w:r>
      <w:r w:rsidR="002E281C">
        <w:t> </w:t>
      </w:r>
      <w:r>
        <w:t>zaskarżonego środka wpływającego na życie zawodowe mogą być związane z życiem prywatnym danej osoby oraz że same w sobie mogą pociągać za sobą możliwość zastosowania art.</w:t>
      </w:r>
      <w:r w:rsidR="0027376A">
        <w:t xml:space="preserve"> </w:t>
      </w:r>
      <w:r>
        <w:t>8.</w:t>
      </w:r>
    </w:p>
    <w:p w:rsidR="005A52C0" w:rsidRPr="00FF2363" w:rsidRDefault="005A52C0" w:rsidP="00FF2363">
      <w:pPr>
        <w:pStyle w:val="ECHRHeading6"/>
      </w:pPr>
      <w:r>
        <w:t>(β)</w:t>
      </w:r>
      <w:r w:rsidR="0027376A">
        <w:t xml:space="preserve"> </w:t>
      </w:r>
      <w:r>
        <w:t>Podejście oparte na konsekwencjach</w:t>
      </w:r>
    </w:p>
    <w:p w:rsidR="005A52C0" w:rsidRPr="00FF2363" w:rsidRDefault="005A52C0" w:rsidP="00FF2363">
      <w:pPr>
        <w:pStyle w:val="ECHRPara"/>
      </w:pPr>
      <w:r w:rsidRPr="00FF2363">
        <w:rPr>
          <w:noProof/>
        </w:rPr>
        <w:t>107</w:t>
      </w:r>
      <w:r>
        <w:t>.</w:t>
      </w:r>
      <w:r w:rsidR="0027376A">
        <w:t xml:space="preserve"> </w:t>
      </w:r>
      <w:r>
        <w:t>W przypadku gdy powody zastosowania środka wpływającego na</w:t>
      </w:r>
      <w:r w:rsidR="002E281C">
        <w:t> </w:t>
      </w:r>
      <w:r>
        <w:t>życie zawodowe danej osoby nie są związane z jej życiem prywatnym, naruszenie art.</w:t>
      </w:r>
      <w:r w:rsidR="0027376A">
        <w:t xml:space="preserve"> </w:t>
      </w:r>
      <w:r>
        <w:t>8 w dalszym ciągu może mieć miejsce, jeżeli zaskarżony środek ma lub może mieć poważny niekorzystny wpływ na życie prywatne osoby, której dotyczy. W związku z powyższym Trybunał uwzględnia negatywne konsekwencje odnoszące się do (i)</w:t>
      </w:r>
      <w:r w:rsidR="0027376A">
        <w:t xml:space="preserve"> </w:t>
      </w:r>
      <w:r>
        <w:t>wpływu na „najbliższe otoczenie”, w szczególności gdy są to poważne konsekwencje materialne, (ii)</w:t>
      </w:r>
      <w:r w:rsidR="0027376A">
        <w:t xml:space="preserve"> </w:t>
      </w:r>
      <w:r>
        <w:t>możliwość „nawiązywania i pogłębiania relacji z innymi osobami” oraz</w:t>
      </w:r>
      <w:r w:rsidR="002E281C">
        <w:t> </w:t>
      </w:r>
      <w:r>
        <w:t>(iii)</w:t>
      </w:r>
      <w:r w:rsidR="0027376A">
        <w:t xml:space="preserve"> </w:t>
      </w:r>
      <w:r>
        <w:t>wpływu na dobre imię danej osoby.</w:t>
      </w:r>
    </w:p>
    <w:p w:rsidR="005A52C0" w:rsidRPr="00FF2363" w:rsidRDefault="005A52C0" w:rsidP="00FF2363">
      <w:pPr>
        <w:pStyle w:val="ECHRPara"/>
      </w:pPr>
      <w:r w:rsidRPr="00FF2363">
        <w:rPr>
          <w:noProof/>
        </w:rPr>
        <w:t>108</w:t>
      </w:r>
      <w:r>
        <w:t>.</w:t>
      </w:r>
      <w:r w:rsidR="0027376A">
        <w:t xml:space="preserve"> </w:t>
      </w:r>
      <w:r>
        <w:t xml:space="preserve">W myśl tego podejścia </w:t>
      </w:r>
      <w:r>
        <w:rPr>
          <w:snapToGrid w:val="0"/>
        </w:rPr>
        <w:t>Trybunał uznał, że odwołanie skarżącego ze</w:t>
      </w:r>
      <w:r w:rsidR="002E281C">
        <w:rPr>
          <w:snapToGrid w:val="0"/>
        </w:rPr>
        <w:t> </w:t>
      </w:r>
      <w:r>
        <w:rPr>
          <w:snapToGrid w:val="0"/>
        </w:rPr>
        <w:t>stanowiska sędziego ze względu na naruszenie obowiązków zawodowych poprzez złamanie przysięgi sędziowskiej wywarło wpływ na</w:t>
      </w:r>
      <w:r w:rsidR="002E281C">
        <w:rPr>
          <w:snapToGrid w:val="0"/>
        </w:rPr>
        <w:t> </w:t>
      </w:r>
      <w:r>
        <w:rPr>
          <w:snapToGrid w:val="0"/>
        </w:rPr>
        <w:t>szereg jego relacji zawodowych oraz relacji o innym charakterze. Odwołanie miało także wpływ na „najbliższe otoczenie” skarżącego, jako</w:t>
      </w:r>
      <w:r w:rsidR="002E281C">
        <w:rPr>
          <w:snapToGrid w:val="0"/>
        </w:rPr>
        <w:t> </w:t>
      </w:r>
      <w:r>
        <w:rPr>
          <w:snapToGrid w:val="0"/>
        </w:rPr>
        <w:t>że wiązało się z</w:t>
      </w:r>
      <w:r w:rsidR="0027376A">
        <w:rPr>
          <w:snapToGrid w:val="0"/>
        </w:rPr>
        <w:t xml:space="preserve"> </w:t>
      </w:r>
      <w:r>
        <w:rPr>
          <w:snapToGrid w:val="0"/>
        </w:rPr>
        <w:t>utratą dochodów, oraz spowodowało uszczerbek na</w:t>
      </w:r>
      <w:r w:rsidR="002E281C">
        <w:rPr>
          <w:snapToGrid w:val="0"/>
        </w:rPr>
        <w:t> </w:t>
      </w:r>
      <w:r>
        <w:rPr>
          <w:snapToGrid w:val="0"/>
        </w:rPr>
        <w:t xml:space="preserve">jego dobrym imieniu (zob. </w:t>
      </w:r>
      <w:r>
        <w:rPr>
          <w:i/>
          <w:iCs/>
          <w:snapToGrid w:val="0"/>
        </w:rPr>
        <w:t>Oleksandr Volkov</w:t>
      </w:r>
      <w:r>
        <w:rPr>
          <w:snapToGrid w:val="0"/>
        </w:rPr>
        <w:t xml:space="preserve">, </w:t>
      </w:r>
      <w:r>
        <w:rPr>
          <w:i/>
          <w:iCs/>
          <w:snapToGrid w:val="0"/>
        </w:rPr>
        <w:t>op. cit.</w:t>
      </w:r>
      <w:r>
        <w:rPr>
          <w:snapToGrid w:val="0"/>
        </w:rPr>
        <w:t>, §</w:t>
      </w:r>
      <w:r w:rsidR="0027376A">
        <w:rPr>
          <w:snapToGrid w:val="0"/>
        </w:rPr>
        <w:t xml:space="preserve"> </w:t>
      </w:r>
      <w:r>
        <w:rPr>
          <w:snapToGrid w:val="0"/>
        </w:rPr>
        <w:t xml:space="preserve">166). </w:t>
      </w:r>
      <w:r>
        <w:t>Odmowa</w:t>
      </w:r>
      <w:r w:rsidR="002E281C">
        <w:t> </w:t>
      </w:r>
      <w:r>
        <w:t>dopuszczenia skarżącej, cudzoziemki, do egzaminu adwokackiego w Grecji wchodziła w zakres art.</w:t>
      </w:r>
      <w:r w:rsidR="0027376A">
        <w:t xml:space="preserve"> </w:t>
      </w:r>
      <w:r>
        <w:t xml:space="preserve">8, ponieważ wpływała na jej prywatne wybory co do ścieżki zawodowej i życia prywatnego (zob. </w:t>
      </w:r>
      <w:r>
        <w:rPr>
          <w:i/>
          <w:iCs/>
        </w:rPr>
        <w:t>Bigaeva</w:t>
      </w:r>
      <w:r>
        <w:t xml:space="preserve">, </w:t>
      </w:r>
      <w:r>
        <w:rPr>
          <w:i/>
          <w:iCs/>
        </w:rPr>
        <w:t>op. cit.</w:t>
      </w:r>
      <w:r>
        <w:t xml:space="preserve">, </w:t>
      </w:r>
      <w:r>
        <w:rPr>
          <w:snapToGrid w:val="0"/>
        </w:rPr>
        <w:t>§§</w:t>
      </w:r>
      <w:r w:rsidR="0027376A">
        <w:rPr>
          <w:snapToGrid w:val="0"/>
        </w:rPr>
        <w:t xml:space="preserve"> </w:t>
      </w:r>
      <w:r>
        <w:rPr>
          <w:snapToGrid w:val="0"/>
        </w:rPr>
        <w:t xml:space="preserve">24 i 25). </w:t>
      </w:r>
      <w:r>
        <w:t>Wpisanie nazwiska skarżącej do rejestru dłużników niewypłacalnych pociągało za sobą szereg ograniczeń prawnych co</w:t>
      </w:r>
      <w:r w:rsidR="002E281C">
        <w:t> </w:t>
      </w:r>
      <w:r>
        <w:t>do</w:t>
      </w:r>
      <w:r w:rsidR="002E281C">
        <w:t> </w:t>
      </w:r>
      <w:r>
        <w:t>wykonywania działalności zawodowej oraz praw o charakterze cywilnym. Tym samym działanie to miało wpływ na możliwość pogłębiania relacji ze światem zewnętrznym i ingerowało w</w:t>
      </w:r>
      <w:r w:rsidR="0027376A">
        <w:t xml:space="preserve"> </w:t>
      </w:r>
      <w:r>
        <w:t xml:space="preserve">sferę jej życia prywatnego (zob. </w:t>
      </w:r>
      <w:r>
        <w:rPr>
          <w:i/>
          <w:iCs/>
        </w:rPr>
        <w:t>Campagnano</w:t>
      </w:r>
      <w:r>
        <w:t xml:space="preserve">, </w:t>
      </w:r>
      <w:r>
        <w:rPr>
          <w:i/>
          <w:iCs/>
        </w:rPr>
        <w:t>op. cit.</w:t>
      </w:r>
      <w:r>
        <w:t>, §</w:t>
      </w:r>
      <w:r w:rsidR="0027376A">
        <w:t xml:space="preserve"> </w:t>
      </w:r>
      <w:r>
        <w:t>54). Daleko idący zakaz podejmowania zatrudnienia w sektorze prywatnym również uznano za mający wpływ na</w:t>
      </w:r>
      <w:r w:rsidR="002E281C">
        <w:t> </w:t>
      </w:r>
      <w:r>
        <w:t xml:space="preserve">„życie prywatne” (zob. </w:t>
      </w:r>
      <w:r>
        <w:rPr>
          <w:i/>
          <w:iCs/>
        </w:rPr>
        <w:t>Sidabras i Džiautas</w:t>
      </w:r>
      <w:r>
        <w:t xml:space="preserve">, </w:t>
      </w:r>
      <w:r>
        <w:rPr>
          <w:i/>
          <w:iCs/>
        </w:rPr>
        <w:t>op. cit.</w:t>
      </w:r>
      <w:r>
        <w:t>, §</w:t>
      </w:r>
      <w:r w:rsidR="0027376A">
        <w:t xml:space="preserve"> </w:t>
      </w:r>
      <w:r>
        <w:t>47).</w:t>
      </w:r>
    </w:p>
    <w:p w:rsidR="005A52C0" w:rsidRPr="00FF2363" w:rsidRDefault="005A52C0" w:rsidP="00FF2363">
      <w:pPr>
        <w:pStyle w:val="ECHRPara"/>
      </w:pPr>
      <w:r w:rsidRPr="00FF2363">
        <w:rPr>
          <w:noProof/>
        </w:rPr>
        <w:t>109</w:t>
      </w:r>
      <w:r>
        <w:t>.</w:t>
      </w:r>
      <w:r w:rsidR="0027376A">
        <w:t xml:space="preserve"> </w:t>
      </w:r>
      <w:r>
        <w:t>W sytuacjach, gdy podejście oparte na powodach nie uzasadnia zastosowania art.</w:t>
      </w:r>
      <w:r w:rsidR="0027376A">
        <w:t xml:space="preserve"> </w:t>
      </w:r>
      <w:r>
        <w:t>8, do stwierdzenia, czy skarga w istocie dotyczy „życia prywatnego”, konieczna jest analiza wpływu zaskarżonego środka na</w:t>
      </w:r>
      <w:r w:rsidR="002E281C">
        <w:t> </w:t>
      </w:r>
      <w:r>
        <w:t>wymienione aspekty tej sfery życia. Tym niemniej podział ten</w:t>
      </w:r>
      <w:r w:rsidR="002E281C">
        <w:t> </w:t>
      </w:r>
      <w:r>
        <w:t>nie</w:t>
      </w:r>
      <w:r w:rsidR="002E281C">
        <w:t> </w:t>
      </w:r>
      <w:r>
        <w:t xml:space="preserve">wyklucza spraw, w których Trybunał może uznać za stosowne odwołanie się do obu tych podejść i zbadać, czy powody uzasadniające </w:t>
      </w:r>
      <w:r>
        <w:lastRenderedPageBreak/>
        <w:t xml:space="preserve">podjęcie zaskarżonego środka obejmują kwestie odnoszące się do życia prywatnego, a jednocześnie przeanalizować konsekwencje takiego środka (zob. </w:t>
      </w:r>
      <w:r>
        <w:rPr>
          <w:i/>
          <w:iCs/>
        </w:rPr>
        <w:t>Fernández Martínez</w:t>
      </w:r>
      <w:r>
        <w:t xml:space="preserve">, </w:t>
      </w:r>
      <w:r>
        <w:rPr>
          <w:i/>
          <w:iCs/>
        </w:rPr>
        <w:t>op. cit.</w:t>
      </w:r>
      <w:r>
        <w:t>, §§</w:t>
      </w:r>
      <w:r w:rsidR="0027376A">
        <w:t xml:space="preserve"> </w:t>
      </w:r>
      <w:r>
        <w:t>110–12).</w:t>
      </w:r>
    </w:p>
    <w:p w:rsidR="005A52C0" w:rsidRPr="00FF2363" w:rsidRDefault="005A52C0" w:rsidP="00FF2363">
      <w:pPr>
        <w:pStyle w:val="ECHRHeading5"/>
      </w:pPr>
      <w:r>
        <w:t>(iv)</w:t>
      </w:r>
      <w:r w:rsidR="0027376A">
        <w:t xml:space="preserve"> </w:t>
      </w:r>
      <w:r>
        <w:t>Minimalny poziom dolegliwości zarzucanego naruszenia</w:t>
      </w:r>
    </w:p>
    <w:p w:rsidR="005A52C0" w:rsidRPr="00FF2363" w:rsidRDefault="005A52C0" w:rsidP="00FF2363">
      <w:pPr>
        <w:pStyle w:val="ECHRPara"/>
      </w:pPr>
      <w:r w:rsidRPr="00FF2363">
        <w:rPr>
          <w:noProof/>
        </w:rPr>
        <w:t>110</w:t>
      </w:r>
      <w:r>
        <w:t>.</w:t>
      </w:r>
      <w:r w:rsidR="0027376A">
        <w:t xml:space="preserve"> </w:t>
      </w:r>
      <w:r>
        <w:t>W sprawach, w których Trybunał odwołuje się do podejścia opartego na konsekwencjach, istotne miejsce zajmuje analiza powagi skutków zaskarżonego środka. Trybunał odnosił się do kwestii powagi lub</w:t>
      </w:r>
      <w:r w:rsidR="002E281C">
        <w:t> </w:t>
      </w:r>
      <w:r>
        <w:t>dotkliwości zarzucanego naruszenia w kilku kontekstach. Zagadnienie to przywoływane było w szczególności podczas oceny „znaczącego uszczerbku” n</w:t>
      </w:r>
      <w:r w:rsidR="00EE6196">
        <w:t>a gruncie art.</w:t>
      </w:r>
      <w:r w:rsidR="0027376A">
        <w:t xml:space="preserve"> </w:t>
      </w:r>
      <w:r w:rsidR="00EE6196">
        <w:t>35 ust.</w:t>
      </w:r>
      <w:r w:rsidR="0027376A">
        <w:t xml:space="preserve"> </w:t>
      </w:r>
      <w:r w:rsidR="00EE6196">
        <w:t>3 lit.</w:t>
      </w:r>
      <w:r w:rsidR="0027376A">
        <w:t xml:space="preserve"> </w:t>
      </w:r>
      <w:r w:rsidR="00EE6196">
        <w:t>b</w:t>
      </w:r>
      <w:r>
        <w:t xml:space="preserve"> Konwencji jako wyraźny wymóg dopuszczalności obowiązujący w odniesieniu do całego systemu praw wynikających z Konwencji (zob. na przykład </w:t>
      </w:r>
      <w:r>
        <w:rPr>
          <w:i/>
          <w:iCs/>
        </w:rPr>
        <w:t>Giusti przeciwko Włochom</w:t>
      </w:r>
      <w:r>
        <w:t>, skarga nr</w:t>
      </w:r>
      <w:r w:rsidR="0027376A">
        <w:t xml:space="preserve"> </w:t>
      </w:r>
      <w:r>
        <w:t>13175/03, §</w:t>
      </w:r>
      <w:r w:rsidR="0027376A">
        <w:t xml:space="preserve"> </w:t>
      </w:r>
      <w:r>
        <w:t>34, 18</w:t>
      </w:r>
      <w:r w:rsidR="0027376A">
        <w:t xml:space="preserve"> </w:t>
      </w:r>
      <w:r>
        <w:t>października 2011</w:t>
      </w:r>
      <w:r w:rsidR="0027376A">
        <w:t xml:space="preserve"> </w:t>
      </w:r>
      <w:r>
        <w:t xml:space="preserve">r.; </w:t>
      </w:r>
      <w:r>
        <w:rPr>
          <w:i/>
          <w:iCs/>
        </w:rPr>
        <w:t>Gagliano Giorgi przeciwko Włochom</w:t>
      </w:r>
      <w:r>
        <w:t>, skarga nr</w:t>
      </w:r>
      <w:r w:rsidR="0027376A">
        <w:t xml:space="preserve"> </w:t>
      </w:r>
      <w:r>
        <w:t>23563/07, §</w:t>
      </w:r>
      <w:r w:rsidR="0027376A">
        <w:t xml:space="preserve"> </w:t>
      </w:r>
      <w:r>
        <w:t xml:space="preserve">56, </w:t>
      </w:r>
      <w:r w:rsidR="000D5B2D">
        <w:t>ETPC</w:t>
      </w:r>
      <w:r>
        <w:t xml:space="preserve"> 2012 (fragmenty); oraz </w:t>
      </w:r>
      <w:r>
        <w:rPr>
          <w:i/>
          <w:iCs/>
        </w:rPr>
        <w:t>El Kaada przeciwko Niemcom</w:t>
      </w:r>
      <w:r>
        <w:rPr>
          <w:snapToGrid w:val="0"/>
        </w:rPr>
        <w:t xml:space="preserve">, </w:t>
      </w:r>
      <w:r>
        <w:t>skarga nr</w:t>
      </w:r>
      <w:r w:rsidR="0027376A">
        <w:t xml:space="preserve"> </w:t>
      </w:r>
      <w:r>
        <w:t>2130/10</w:t>
      </w:r>
      <w:r>
        <w:rPr>
          <w:snapToGrid w:val="0"/>
        </w:rPr>
        <w:t>, §</w:t>
      </w:r>
      <w:r w:rsidR="0027376A">
        <w:rPr>
          <w:snapToGrid w:val="0"/>
        </w:rPr>
        <w:t xml:space="preserve"> </w:t>
      </w:r>
      <w:r>
        <w:rPr>
          <w:snapToGrid w:val="0"/>
        </w:rPr>
        <w:t>41, 12</w:t>
      </w:r>
      <w:r w:rsidR="0027376A">
        <w:rPr>
          <w:snapToGrid w:val="0"/>
        </w:rPr>
        <w:t xml:space="preserve"> </w:t>
      </w:r>
      <w:r>
        <w:rPr>
          <w:snapToGrid w:val="0"/>
        </w:rPr>
        <w:t>listopada 2015</w:t>
      </w:r>
      <w:r w:rsidR="0027376A">
        <w:rPr>
          <w:snapToGrid w:val="0"/>
        </w:rPr>
        <w:t xml:space="preserve"> </w:t>
      </w:r>
      <w:r>
        <w:rPr>
          <w:snapToGrid w:val="0"/>
        </w:rPr>
        <w:t>r.</w:t>
      </w:r>
      <w:r>
        <w:t>). Ponadto Trybunał konsekwentnie stosował próg dotkliwości w</w:t>
      </w:r>
      <w:r w:rsidR="002E281C">
        <w:t> </w:t>
      </w:r>
      <w:r>
        <w:t>sprawach dotyczących art.</w:t>
      </w:r>
      <w:r w:rsidR="0027376A">
        <w:t xml:space="preserve"> </w:t>
      </w:r>
      <w:r>
        <w:t xml:space="preserve">3 Konwencji (zob. na przykład </w:t>
      </w:r>
      <w:r>
        <w:rPr>
          <w:i/>
          <w:iCs/>
        </w:rPr>
        <w:t>Jalloh przeciwko Niemcom</w:t>
      </w:r>
      <w:r>
        <w:t xml:space="preserve"> [WI], skarga nr</w:t>
      </w:r>
      <w:r w:rsidR="0027376A">
        <w:t xml:space="preserve"> </w:t>
      </w:r>
      <w:r>
        <w:t>54810/00, §</w:t>
      </w:r>
      <w:r w:rsidR="0027376A">
        <w:t xml:space="preserve"> </w:t>
      </w:r>
      <w:r>
        <w:t xml:space="preserve">67, </w:t>
      </w:r>
      <w:r w:rsidR="000D5B2D">
        <w:t>ETPC</w:t>
      </w:r>
      <w:r>
        <w:t xml:space="preserve"> 2006</w:t>
      </w:r>
      <w:r>
        <w:noBreakHyphen/>
        <w:t>IX;</w:t>
      </w:r>
      <w:r>
        <w:rPr>
          <w:i/>
          <w:iCs/>
        </w:rPr>
        <w:t xml:space="preserve"> Gäfgen przeciwko Niemcom</w:t>
      </w:r>
      <w:r>
        <w:t xml:space="preserve"> [WI], skarga nr</w:t>
      </w:r>
      <w:r w:rsidR="0027376A">
        <w:t xml:space="preserve"> </w:t>
      </w:r>
      <w:r>
        <w:t>22978/05, §</w:t>
      </w:r>
      <w:r w:rsidR="0027376A">
        <w:t xml:space="preserve"> </w:t>
      </w:r>
      <w:r>
        <w:t xml:space="preserve">88, </w:t>
      </w:r>
      <w:r w:rsidR="000D5B2D">
        <w:t>ETPC</w:t>
      </w:r>
      <w:r>
        <w:t xml:space="preserve"> 2010; oraz </w:t>
      </w:r>
      <w:r>
        <w:rPr>
          <w:i/>
          <w:iCs/>
        </w:rPr>
        <w:t>Bouyid przeciwko Belgii</w:t>
      </w:r>
      <w:r>
        <w:t xml:space="preserve"> [WI], skarga nr</w:t>
      </w:r>
      <w:r w:rsidR="0027376A">
        <w:t xml:space="preserve"> </w:t>
      </w:r>
      <w:r>
        <w:t>23380/09, §</w:t>
      </w:r>
      <w:r w:rsidR="0027376A">
        <w:t xml:space="preserve"> </w:t>
      </w:r>
      <w:r>
        <w:t xml:space="preserve">86, </w:t>
      </w:r>
      <w:r w:rsidR="000D5B2D">
        <w:t>ETPC</w:t>
      </w:r>
      <w:r>
        <w:t xml:space="preserve"> 2015).</w:t>
      </w:r>
    </w:p>
    <w:p w:rsidR="005A52C0" w:rsidRPr="00FF2363" w:rsidRDefault="005A52C0" w:rsidP="00FF2363">
      <w:pPr>
        <w:pStyle w:val="ECHRPara"/>
      </w:pPr>
      <w:r w:rsidRPr="00606693">
        <w:rPr>
          <w:noProof/>
        </w:rPr>
        <w:t>111</w:t>
      </w:r>
      <w:r w:rsidRPr="00606693">
        <w:t>.</w:t>
      </w:r>
      <w:r w:rsidR="0027376A" w:rsidRPr="00606693">
        <w:t xml:space="preserve"> </w:t>
      </w:r>
      <w:r w:rsidRPr="00606693">
        <w:t>Pojęcie progu dotkliwości jest przedmiotem szczegółowych analiz</w:t>
      </w:r>
      <w:r>
        <w:t xml:space="preserve"> na gruncie art.</w:t>
      </w:r>
      <w:r w:rsidR="0027376A">
        <w:t xml:space="preserve"> </w:t>
      </w:r>
      <w:r>
        <w:t>8. W sprawach dotyczących środowiska roszczenie dające się uzasadnić na podstawie art.</w:t>
      </w:r>
      <w:r w:rsidR="0027376A">
        <w:t xml:space="preserve"> </w:t>
      </w:r>
      <w:r>
        <w:t xml:space="preserve">8 może zaistnieć w przypadku, gdy zagrożenie środowiskowe osiąga poziom dotkliwości skutkujący znacznym pogorszeniem możliwości korzystania przez skarżącego z własnego </w:t>
      </w:r>
      <w:r w:rsidR="00606693">
        <w:t xml:space="preserve">mieszkania </w:t>
      </w:r>
      <w:r>
        <w:t>bądź życia prywatnego lub rodzinnego. Trybunał orzekał, że</w:t>
      </w:r>
      <w:r w:rsidR="002E281C">
        <w:t> </w:t>
      </w:r>
      <w:r>
        <w:t>w</w:t>
      </w:r>
      <w:r w:rsidR="002E281C">
        <w:t> </w:t>
      </w:r>
      <w:r>
        <w:t>takich sprawach ocena minimalnego poziomu dolegliwości jest względna i</w:t>
      </w:r>
      <w:r w:rsidR="0027376A">
        <w:t xml:space="preserve"> </w:t>
      </w:r>
      <w:r>
        <w:t>uzależniona od wszystkich okoliczności sprawy, takich jak</w:t>
      </w:r>
      <w:r w:rsidR="002E281C">
        <w:t> </w:t>
      </w:r>
      <w:r>
        <w:t>nasilenie i czas utrzymywania się uciążliwych warunków oraz ich wpływ na</w:t>
      </w:r>
      <w:r w:rsidR="002E281C">
        <w:t> </w:t>
      </w:r>
      <w:r>
        <w:t>fizyczne bądź psychiczne zdrowie skarżącego lub jakość jego życia (zob.</w:t>
      </w:r>
      <w:r>
        <w:rPr>
          <w:i/>
          <w:iCs/>
        </w:rPr>
        <w:t xml:space="preserve"> Fadeyeva przeciwko Rosji</w:t>
      </w:r>
      <w:r>
        <w:t>, skarga nr</w:t>
      </w:r>
      <w:r w:rsidR="0027376A">
        <w:t xml:space="preserve"> </w:t>
      </w:r>
      <w:r>
        <w:t>55723/00, §§</w:t>
      </w:r>
      <w:r w:rsidR="0027376A">
        <w:t xml:space="preserve"> </w:t>
      </w:r>
      <w:r>
        <w:t xml:space="preserve">68 i 69, </w:t>
      </w:r>
      <w:r w:rsidR="000D5B2D">
        <w:t>ETPC</w:t>
      </w:r>
      <w:r>
        <w:t xml:space="preserve"> 2005</w:t>
      </w:r>
      <w:r>
        <w:noBreakHyphen/>
        <w:t xml:space="preserve">IV; </w:t>
      </w:r>
      <w:r>
        <w:rPr>
          <w:i/>
          <w:iCs/>
        </w:rPr>
        <w:t>Dubetska i Inni przeciwko Ukrainie</w:t>
      </w:r>
      <w:r>
        <w:t>, skarga nr</w:t>
      </w:r>
      <w:r w:rsidR="0027376A">
        <w:t xml:space="preserve"> </w:t>
      </w:r>
      <w:r>
        <w:t>30499/03</w:t>
      </w:r>
      <w:r>
        <w:rPr>
          <w:snapToGrid w:val="0"/>
        </w:rPr>
        <w:t>, §</w:t>
      </w:r>
      <w:r w:rsidR="002E281C">
        <w:rPr>
          <w:snapToGrid w:val="0"/>
        </w:rPr>
        <w:t> </w:t>
      </w:r>
      <w:r>
        <w:rPr>
          <w:snapToGrid w:val="0"/>
        </w:rPr>
        <w:t>105, 10</w:t>
      </w:r>
      <w:r w:rsidR="0027376A">
        <w:rPr>
          <w:snapToGrid w:val="0"/>
        </w:rPr>
        <w:t xml:space="preserve"> </w:t>
      </w:r>
      <w:r>
        <w:rPr>
          <w:snapToGrid w:val="0"/>
        </w:rPr>
        <w:t>lutego 2011</w:t>
      </w:r>
      <w:r w:rsidR="0027376A">
        <w:rPr>
          <w:snapToGrid w:val="0"/>
        </w:rPr>
        <w:t xml:space="preserve"> </w:t>
      </w:r>
      <w:r>
        <w:rPr>
          <w:snapToGrid w:val="0"/>
        </w:rPr>
        <w:t xml:space="preserve">r.; oraz </w:t>
      </w:r>
      <w:r>
        <w:rPr>
          <w:i/>
          <w:iCs/>
        </w:rPr>
        <w:t>Grimkovskaya przeciwko Ukrainie</w:t>
      </w:r>
      <w:r>
        <w:t>, skarga nr</w:t>
      </w:r>
      <w:r w:rsidR="002E281C">
        <w:t> </w:t>
      </w:r>
      <w:r>
        <w:t>38182/03, §</w:t>
      </w:r>
      <w:r w:rsidR="0027376A">
        <w:t xml:space="preserve"> </w:t>
      </w:r>
      <w:r>
        <w:t>58, 21</w:t>
      </w:r>
      <w:r w:rsidR="0027376A">
        <w:t xml:space="preserve"> </w:t>
      </w:r>
      <w:r>
        <w:t>lipca 2011</w:t>
      </w:r>
      <w:r w:rsidR="0027376A">
        <w:t xml:space="preserve"> </w:t>
      </w:r>
      <w:r>
        <w:t>r.</w:t>
      </w:r>
      <w:r>
        <w:rPr>
          <w:snapToGrid w:val="0"/>
        </w:rPr>
        <w:t>). Podejście to zastosowano również w</w:t>
      </w:r>
      <w:r w:rsidR="002E281C">
        <w:rPr>
          <w:snapToGrid w:val="0"/>
        </w:rPr>
        <w:t> </w:t>
      </w:r>
      <w:r>
        <w:rPr>
          <w:snapToGrid w:val="0"/>
        </w:rPr>
        <w:t>sprawach dotyczących uciążliwych warunków, rozpatrywanych na</w:t>
      </w:r>
      <w:r w:rsidR="002E281C">
        <w:rPr>
          <w:snapToGrid w:val="0"/>
        </w:rPr>
        <w:t> </w:t>
      </w:r>
      <w:r>
        <w:rPr>
          <w:snapToGrid w:val="0"/>
        </w:rPr>
        <w:t>gruncie art.</w:t>
      </w:r>
      <w:r w:rsidR="0027376A">
        <w:rPr>
          <w:snapToGrid w:val="0"/>
        </w:rPr>
        <w:t xml:space="preserve"> </w:t>
      </w:r>
      <w:r>
        <w:rPr>
          <w:snapToGrid w:val="0"/>
        </w:rPr>
        <w:t xml:space="preserve">8, wykazujących bliskie podobieństwa do wymienionych powyżej spraw dotyczących środowiska (zob. </w:t>
      </w:r>
      <w:r>
        <w:rPr>
          <w:i/>
          <w:iCs/>
        </w:rPr>
        <w:t>Borysiewicz przeciwko Polsce</w:t>
      </w:r>
      <w:r>
        <w:t>, skarga nr</w:t>
      </w:r>
      <w:r w:rsidR="0027376A">
        <w:t xml:space="preserve"> </w:t>
      </w:r>
      <w:r>
        <w:t>71146/01, §</w:t>
      </w:r>
      <w:r w:rsidR="0027376A">
        <w:t xml:space="preserve"> </w:t>
      </w:r>
      <w:r>
        <w:t>51, 1</w:t>
      </w:r>
      <w:r w:rsidR="0027376A">
        <w:t xml:space="preserve"> </w:t>
      </w:r>
      <w:r>
        <w:t>lipca 2008</w:t>
      </w:r>
      <w:r w:rsidR="0027376A">
        <w:t xml:space="preserve"> </w:t>
      </w:r>
      <w:r>
        <w:t xml:space="preserve">r. oraz </w:t>
      </w:r>
      <w:r>
        <w:rPr>
          <w:i/>
          <w:iCs/>
        </w:rPr>
        <w:t>Udovičić przeciwko Chorwacji</w:t>
      </w:r>
      <w:r>
        <w:rPr>
          <w:snapToGrid w:val="0"/>
        </w:rPr>
        <w:t xml:space="preserve">, </w:t>
      </w:r>
      <w:r>
        <w:t>skarga nr</w:t>
      </w:r>
      <w:r w:rsidR="0027376A">
        <w:t xml:space="preserve"> </w:t>
      </w:r>
      <w:r>
        <w:t>27310/09, §</w:t>
      </w:r>
      <w:r w:rsidR="0027376A">
        <w:t xml:space="preserve"> </w:t>
      </w:r>
      <w:r>
        <w:t>137, 24</w:t>
      </w:r>
      <w:r w:rsidR="0027376A">
        <w:t xml:space="preserve"> </w:t>
      </w:r>
      <w:r>
        <w:t>kwietnia 2014</w:t>
      </w:r>
      <w:r w:rsidR="0027376A">
        <w:t xml:space="preserve"> </w:t>
      </w:r>
      <w:r>
        <w:t>r.).</w:t>
      </w:r>
    </w:p>
    <w:p w:rsidR="005A52C0" w:rsidRDefault="005A52C0" w:rsidP="00D10A61">
      <w:pPr>
        <w:pStyle w:val="ECHRPara"/>
      </w:pPr>
      <w:r w:rsidRPr="00FF2363">
        <w:rPr>
          <w:noProof/>
        </w:rPr>
        <w:t>112</w:t>
      </w:r>
      <w:r>
        <w:t>.</w:t>
      </w:r>
      <w:r w:rsidR="0027376A">
        <w:t xml:space="preserve"> </w:t>
      </w:r>
      <w:r>
        <w:t xml:space="preserve">Ponadto Trybunał uznawał, że atak na dobre imię danej osoby musi osiągać pewien poziom powagi i </w:t>
      </w:r>
      <w:r w:rsidR="00137F35">
        <w:t>by</w:t>
      </w:r>
      <w:r w:rsidR="00D10A61" w:rsidRPr="00D10A61">
        <w:t>ć dokonan</w:t>
      </w:r>
      <w:r w:rsidR="00D10A61">
        <w:t>y</w:t>
      </w:r>
      <w:r w:rsidR="00D10A61" w:rsidRPr="00D10A61">
        <w:t xml:space="preserve"> w sposób</w:t>
      </w:r>
      <w:r w:rsidR="00D10A61">
        <w:t xml:space="preserve"> wyrządzający szkodę </w:t>
      </w:r>
      <w:r w:rsidR="00A60E34">
        <w:t>dla osobistego korzystania</w:t>
      </w:r>
      <w:r w:rsidR="00D10A61" w:rsidRPr="00D10A61">
        <w:t xml:space="preserve"> z prawa do poszanowania życia prywatnego</w:t>
      </w:r>
      <w:r w:rsidR="00D10A61">
        <w:t xml:space="preserve"> </w:t>
      </w:r>
      <w:r>
        <w:t xml:space="preserve">(zob. </w:t>
      </w:r>
      <w:r>
        <w:rPr>
          <w:i/>
          <w:iCs/>
        </w:rPr>
        <w:t>A. przeciwko Norwegii</w:t>
      </w:r>
      <w:r>
        <w:t>, skarga nr</w:t>
      </w:r>
      <w:r w:rsidR="0027376A">
        <w:t xml:space="preserve"> </w:t>
      </w:r>
      <w:r>
        <w:t xml:space="preserve">28070/06, </w:t>
      </w:r>
      <w:r>
        <w:rPr>
          <w:snapToGrid w:val="0"/>
        </w:rPr>
        <w:t>§§</w:t>
      </w:r>
      <w:r w:rsidR="0027376A">
        <w:rPr>
          <w:snapToGrid w:val="0"/>
        </w:rPr>
        <w:t xml:space="preserve"> </w:t>
      </w:r>
      <w:r>
        <w:rPr>
          <w:snapToGrid w:val="0"/>
        </w:rPr>
        <w:t xml:space="preserve">63–64, </w:t>
      </w:r>
      <w:r>
        <w:rPr>
          <w:snapToGrid w:val="0"/>
        </w:rPr>
        <w:lastRenderedPageBreak/>
        <w:t>9</w:t>
      </w:r>
      <w:r w:rsidR="002E281C">
        <w:rPr>
          <w:snapToGrid w:val="0"/>
        </w:rPr>
        <w:t> </w:t>
      </w:r>
      <w:r>
        <w:rPr>
          <w:snapToGrid w:val="0"/>
        </w:rPr>
        <w:t>kwietnia 2009</w:t>
      </w:r>
      <w:r w:rsidR="0027376A">
        <w:rPr>
          <w:snapToGrid w:val="0"/>
        </w:rPr>
        <w:t xml:space="preserve"> </w:t>
      </w:r>
      <w:r>
        <w:rPr>
          <w:snapToGrid w:val="0"/>
        </w:rPr>
        <w:t xml:space="preserve">r.; </w:t>
      </w:r>
      <w:r>
        <w:rPr>
          <w:i/>
          <w:iCs/>
        </w:rPr>
        <w:t>Polanco Torres i Movilla Polanco przeciwko Hiszpanii</w:t>
      </w:r>
      <w:r>
        <w:t>, skarga nr 34147/06, §§</w:t>
      </w:r>
      <w:r w:rsidR="0027376A">
        <w:t xml:space="preserve"> </w:t>
      </w:r>
      <w:r>
        <w:t>40 i 44, 21</w:t>
      </w:r>
      <w:r w:rsidR="0027376A">
        <w:t xml:space="preserve"> </w:t>
      </w:r>
      <w:r>
        <w:t>września 2010</w:t>
      </w:r>
      <w:r w:rsidR="0027376A">
        <w:t xml:space="preserve"> </w:t>
      </w:r>
      <w:r>
        <w:t xml:space="preserve">r.; </w:t>
      </w:r>
      <w:r>
        <w:rPr>
          <w:i/>
          <w:iCs/>
        </w:rPr>
        <w:t>Axel Springer AG</w:t>
      </w:r>
      <w:r>
        <w:t>,</w:t>
      </w:r>
      <w:r>
        <w:rPr>
          <w:i/>
          <w:iCs/>
        </w:rPr>
        <w:t xml:space="preserve"> op.</w:t>
      </w:r>
      <w:r w:rsidR="002E281C">
        <w:rPr>
          <w:i/>
          <w:iCs/>
        </w:rPr>
        <w:t> </w:t>
      </w:r>
      <w:r>
        <w:rPr>
          <w:i/>
          <w:iCs/>
        </w:rPr>
        <w:t>cit.</w:t>
      </w:r>
      <w:r>
        <w:t>, §</w:t>
      </w:r>
      <w:r w:rsidR="0027376A">
        <w:t xml:space="preserve"> </w:t>
      </w:r>
      <w:r>
        <w:t xml:space="preserve">83; </w:t>
      </w:r>
      <w:r>
        <w:rPr>
          <w:i/>
          <w:iCs/>
        </w:rPr>
        <w:t>Delfi AS</w:t>
      </w:r>
      <w:r>
        <w:t xml:space="preserve"> </w:t>
      </w:r>
      <w:r>
        <w:rPr>
          <w:i/>
          <w:iCs/>
        </w:rPr>
        <w:t xml:space="preserve">przeciwko Estonii </w:t>
      </w:r>
      <w:r>
        <w:t>[WI], skarga nr</w:t>
      </w:r>
      <w:r w:rsidR="0027376A">
        <w:t xml:space="preserve"> </w:t>
      </w:r>
      <w:r>
        <w:t>64569/09, §</w:t>
      </w:r>
      <w:r w:rsidR="0027376A">
        <w:t xml:space="preserve"> </w:t>
      </w:r>
      <w:r>
        <w:t xml:space="preserve">137, </w:t>
      </w:r>
      <w:r w:rsidR="000D5B2D">
        <w:t>ETPC</w:t>
      </w:r>
      <w:r>
        <w:t xml:space="preserve"> 2015; oraz </w:t>
      </w:r>
      <w:r>
        <w:rPr>
          <w:i/>
          <w:iCs/>
        </w:rPr>
        <w:t xml:space="preserve">Bédat przeciwko Szwajcarii </w:t>
      </w:r>
      <w:r>
        <w:t>[WI], skarga nr</w:t>
      </w:r>
      <w:r w:rsidR="0027376A">
        <w:t xml:space="preserve"> </w:t>
      </w:r>
      <w:r>
        <w:t>56925/08, §</w:t>
      </w:r>
      <w:r w:rsidR="002E281C">
        <w:t> </w:t>
      </w:r>
      <w:r>
        <w:t xml:space="preserve">72, </w:t>
      </w:r>
      <w:r w:rsidR="000D5B2D">
        <w:t>ETPC</w:t>
      </w:r>
      <w:r>
        <w:t xml:space="preserve"> 2016). Wymóg ten obejmuje dobre imię w kręgach społecznych w ogóle oraz reputację zawodową w</w:t>
      </w:r>
      <w:r w:rsidR="0027376A">
        <w:t xml:space="preserve"> </w:t>
      </w:r>
      <w:r>
        <w:t xml:space="preserve">szczególności (w odniesieniu do tego drugiego aspektu zob. </w:t>
      </w:r>
      <w:r>
        <w:rPr>
          <w:i/>
          <w:iCs/>
        </w:rPr>
        <w:t>Medžlis Islamske Zajednice Brčko i Inni przeciwko Bośni i Hercegowinie</w:t>
      </w:r>
      <w:r>
        <w:t xml:space="preserve"> [WI],</w:t>
      </w:r>
      <w:r>
        <w:rPr>
          <w:i/>
          <w:iCs/>
        </w:rPr>
        <w:t xml:space="preserve"> </w:t>
      </w:r>
      <w:r>
        <w:t>skargi nr</w:t>
      </w:r>
      <w:r w:rsidR="0027376A">
        <w:t xml:space="preserve"> </w:t>
      </w:r>
      <w:r>
        <w:t>17224/11, §§</w:t>
      </w:r>
      <w:r w:rsidR="0027376A">
        <w:t xml:space="preserve"> </w:t>
      </w:r>
      <w:r>
        <w:t xml:space="preserve">76 i 105–06, </w:t>
      </w:r>
      <w:r w:rsidR="000D5B2D">
        <w:t>ETPC</w:t>
      </w:r>
      <w:r>
        <w:t xml:space="preserve"> 2017).</w:t>
      </w:r>
    </w:p>
    <w:p w:rsidR="005A52C0" w:rsidRPr="00FF2363" w:rsidRDefault="005A52C0" w:rsidP="00FF2363">
      <w:pPr>
        <w:pStyle w:val="ECHRPara"/>
        <w:rPr>
          <w:rFonts w:eastAsia="Times New Roman"/>
        </w:rPr>
      </w:pPr>
      <w:r w:rsidRPr="00FF2363">
        <w:rPr>
          <w:rFonts w:eastAsia="Times New Roman"/>
        </w:rPr>
        <w:t>113</w:t>
      </w:r>
      <w:r>
        <w:t>.</w:t>
      </w:r>
      <w:r w:rsidR="0027376A">
        <w:t xml:space="preserve"> </w:t>
      </w:r>
      <w:r>
        <w:t xml:space="preserve">W rozpatrywanej niedawno sprawie </w:t>
      </w:r>
      <w:r>
        <w:rPr>
          <w:i/>
          <w:iCs/>
        </w:rPr>
        <w:t>Erményi</w:t>
      </w:r>
      <w:r>
        <w:t xml:space="preserve"> Trybunał orzekł, że</w:t>
      </w:r>
      <w:r w:rsidR="002E281C">
        <w:t> </w:t>
      </w:r>
      <w:r>
        <w:t xml:space="preserve">odwołanie skarżącego ze stanowiska administracyjnego </w:t>
      </w:r>
      <w:r w:rsidR="00DD683D">
        <w:t>–</w:t>
      </w:r>
      <w:r>
        <w:t xml:space="preserve"> z funkcji wiceprezesa Sądu Najwyższego </w:t>
      </w:r>
      <w:r w:rsidR="00DD683D">
        <w:t>–</w:t>
      </w:r>
      <w:r>
        <w:t xml:space="preserve"> stanowiło ingerencję w jego prawo do</w:t>
      </w:r>
      <w:r w:rsidR="002E281C">
        <w:t> </w:t>
      </w:r>
      <w:r>
        <w:t xml:space="preserve">poszanowania życia prywatnego (zob. </w:t>
      </w:r>
      <w:r>
        <w:rPr>
          <w:i/>
          <w:iCs/>
        </w:rPr>
        <w:t>Erményi</w:t>
      </w:r>
      <w:r>
        <w:t xml:space="preserve">, </w:t>
      </w:r>
      <w:r>
        <w:rPr>
          <w:i/>
          <w:iCs/>
        </w:rPr>
        <w:t>op. cit.</w:t>
      </w:r>
      <w:r>
        <w:t>, §</w:t>
      </w:r>
      <w:r w:rsidR="0027376A">
        <w:t xml:space="preserve"> </w:t>
      </w:r>
      <w:r>
        <w:t>31). Choć</w:t>
      </w:r>
      <w:r w:rsidR="002E281C">
        <w:t> </w:t>
      </w:r>
      <w:r>
        <w:t>Trybunał nie rozwinął tego punktu, w świetle braku stanowisk stron w</w:t>
      </w:r>
      <w:r w:rsidR="002E281C">
        <w:t> </w:t>
      </w:r>
      <w:r>
        <w:t>tym zakresie</w:t>
      </w:r>
      <w:r w:rsidR="00606693">
        <w:t>,</w:t>
      </w:r>
      <w:r>
        <w:t xml:space="preserve"> należy przyjąć, iż zaskarżony środek miał poważny wpływ na życie prywatne skarżącego. Nie można interpretować tej konkluzji jako założenia, że odwołanie skarżącego ze stanowiska niejako „automatycznie” powodowało problem w sferze jego życia prywatnego. W tym względzie Trybunał pragnie przypomnieć, że próg dotkliwości zajmuje istotne miejsce w sprawach, w których istnienie </w:t>
      </w:r>
      <w:r w:rsidR="00606693">
        <w:t xml:space="preserve">kwestii dotyczącej </w:t>
      </w:r>
      <w:r>
        <w:t>życia prywatnego jest rozpatrywane w ramach podejścia opartego na konsekwencjach.</w:t>
      </w:r>
    </w:p>
    <w:p w:rsidR="005A52C0" w:rsidRPr="00FF2363" w:rsidRDefault="005A52C0" w:rsidP="00FF2363">
      <w:pPr>
        <w:pStyle w:val="ECHRPara"/>
        <w:rPr>
          <w:rFonts w:eastAsia="Times New Roman"/>
        </w:rPr>
      </w:pPr>
      <w:r w:rsidRPr="00FF2363">
        <w:rPr>
          <w:rFonts w:eastAsia="Times New Roman"/>
        </w:rPr>
        <w:t>114</w:t>
      </w:r>
      <w:r>
        <w:t>.</w:t>
      </w:r>
      <w:r w:rsidR="0027376A">
        <w:t xml:space="preserve"> </w:t>
      </w:r>
      <w:r>
        <w:t>Nieodłączną cechą podejścia opartego na konsekwencjach w</w:t>
      </w:r>
      <w:r w:rsidR="002E281C">
        <w:t> </w:t>
      </w:r>
      <w:r>
        <w:t>ramach art.</w:t>
      </w:r>
      <w:r w:rsidR="0027376A">
        <w:t xml:space="preserve"> </w:t>
      </w:r>
      <w:r>
        <w:t>8 jest zatem konieczność przedstawienia przez skarżącego przekonujących dowodów na osiągnięcie poziomu dotkliwości. W myśl orzecznictwa Wielkiej Izby skarżący mają obowiązek wskazać i objaśnić konkretne konsekwencje dla ich życia prywatnego oraz charakter i zakres doznanego cierpienia, a także należycie uzasadnić swoje zarzuty (zob.</w:t>
      </w:r>
      <w:r w:rsidR="002E281C">
        <w:t> </w:t>
      </w:r>
      <w:r>
        <w:rPr>
          <w:i/>
          <w:iCs/>
        </w:rPr>
        <w:t>Gillberg</w:t>
      </w:r>
      <w:r>
        <w:t xml:space="preserve">, </w:t>
      </w:r>
      <w:r>
        <w:rPr>
          <w:i/>
          <w:iCs/>
        </w:rPr>
        <w:t>op. cit.</w:t>
      </w:r>
      <w:r>
        <w:t>, §§</w:t>
      </w:r>
      <w:r w:rsidR="0027376A">
        <w:t xml:space="preserve"> </w:t>
      </w:r>
      <w:r>
        <w:t>70–73). Wymóg wyczerpania krajowych środków odwoławczych nakazuje podniesienie takich zarzutów w</w:t>
      </w:r>
      <w:r w:rsidR="002E281C">
        <w:t> </w:t>
      </w:r>
      <w:r>
        <w:t>wystarczającym zakresie na szczeblu krajowym.</w:t>
      </w:r>
    </w:p>
    <w:p w:rsidR="005A52C0" w:rsidRPr="00FF2363" w:rsidRDefault="005A52C0" w:rsidP="00FF2363">
      <w:pPr>
        <w:pStyle w:val="ECHRHeading5"/>
        <w:rPr>
          <w:rFonts w:eastAsia="Times New Roman"/>
        </w:rPr>
      </w:pPr>
      <w:r>
        <w:t>(v)</w:t>
      </w:r>
      <w:r w:rsidR="0027376A">
        <w:t xml:space="preserve"> </w:t>
      </w:r>
      <w:r>
        <w:t>Wnioski: zakres art.</w:t>
      </w:r>
      <w:r w:rsidR="0027376A">
        <w:t xml:space="preserve"> </w:t>
      </w:r>
      <w:r>
        <w:t>8 w sporach dotyczących zatrudnienia</w:t>
      </w:r>
    </w:p>
    <w:p w:rsidR="005A52C0" w:rsidRPr="00FF2363" w:rsidRDefault="005A52C0" w:rsidP="00FF2363">
      <w:pPr>
        <w:pStyle w:val="ECHRPara"/>
      </w:pPr>
      <w:r w:rsidRPr="00FF2363">
        <w:rPr>
          <w:noProof/>
        </w:rPr>
        <w:t>115</w:t>
      </w:r>
      <w:r>
        <w:t>.</w:t>
      </w:r>
      <w:r w:rsidR="0027376A">
        <w:t xml:space="preserve"> </w:t>
      </w:r>
      <w:r>
        <w:t>Opierając się na przytoczonym powyżej orzecznictwie, Trybunał stwierdza, że spory dotyczące zatrudnienia nie są z założenia wyłączone z</w:t>
      </w:r>
      <w:r w:rsidR="002E281C">
        <w:t> </w:t>
      </w:r>
      <w:r>
        <w:t>zakresu „życia prywatnego” w rozumieniu art.</w:t>
      </w:r>
      <w:r w:rsidR="0027376A">
        <w:t xml:space="preserve"> </w:t>
      </w:r>
      <w:r>
        <w:t>8 Konwencji. W przypadku takich sporów istnieją pewne typowe aspekty życia prywatnego, które mogą ucierpieć w następstwie odwołania, degradacji, niedopuszczenia do</w:t>
      </w:r>
      <w:r w:rsidR="002E281C">
        <w:t> </w:t>
      </w:r>
      <w:r>
        <w:t>wykonywania zawodu lub podobnych niekorzystnych środków. Do</w:t>
      </w:r>
      <w:r w:rsidR="002E281C">
        <w:t> </w:t>
      </w:r>
      <w:r>
        <w:t>aspektów tych należą: (i)</w:t>
      </w:r>
      <w:r w:rsidR="0027376A">
        <w:t xml:space="preserve"> </w:t>
      </w:r>
      <w:r>
        <w:t>„najbliższe otocznie” skarżącego, (ii)</w:t>
      </w:r>
      <w:r w:rsidR="002E281C">
        <w:t> </w:t>
      </w:r>
      <w:r>
        <w:t>możliwość „nawiązywania i pogłębiania relacji z innymi osobami” oraz</w:t>
      </w:r>
      <w:r w:rsidR="002E281C">
        <w:t> </w:t>
      </w:r>
      <w:r>
        <w:t>(iii)</w:t>
      </w:r>
      <w:r w:rsidR="0027376A">
        <w:t xml:space="preserve"> </w:t>
      </w:r>
      <w:r>
        <w:t>dobre imię skarżącego w kręgach społecznych i zawodowych. W</w:t>
      </w:r>
      <w:r w:rsidR="002E281C">
        <w:t> </w:t>
      </w:r>
      <w:r>
        <w:t>tego typu sprawach do ingerencji w życie prywatne zazwyczaj dochodzi dwojako: ze względu na powody stojące u podstaw zaskarżonego środka (w</w:t>
      </w:r>
      <w:r w:rsidR="002E281C">
        <w:t> </w:t>
      </w:r>
      <w:r>
        <w:t xml:space="preserve">takich przypadkach Trybunał odwołuje się do podejścia opartego </w:t>
      </w:r>
      <w:r>
        <w:lastRenderedPageBreak/>
        <w:t>na</w:t>
      </w:r>
      <w:r w:rsidR="002E281C">
        <w:t> </w:t>
      </w:r>
      <w:r>
        <w:t xml:space="preserve">powodach) lub </w:t>
      </w:r>
      <w:r w:rsidR="00DD683D">
        <w:t>–</w:t>
      </w:r>
      <w:r>
        <w:t xml:space="preserve"> w</w:t>
      </w:r>
      <w:r w:rsidR="0027376A">
        <w:t xml:space="preserve"> </w:t>
      </w:r>
      <w:r>
        <w:t xml:space="preserve">określonych przypadkach </w:t>
      </w:r>
      <w:r w:rsidR="00DD683D">
        <w:t>–</w:t>
      </w:r>
      <w:r>
        <w:t xml:space="preserve"> z uwagi na konsekwencje dla życia prywatnego (wówczas Trybunał stosuje podejście oparte na</w:t>
      </w:r>
      <w:r w:rsidR="002E281C">
        <w:t> </w:t>
      </w:r>
      <w:r>
        <w:t>konsekwencjach).</w:t>
      </w:r>
    </w:p>
    <w:p w:rsidR="005A52C0" w:rsidRPr="00FF2363" w:rsidRDefault="005A52C0" w:rsidP="00FF2363">
      <w:pPr>
        <w:pStyle w:val="ECHRPara"/>
      </w:pPr>
      <w:r w:rsidRPr="00FF2363">
        <w:rPr>
          <w:noProof/>
        </w:rPr>
        <w:t>116</w:t>
      </w:r>
      <w:r>
        <w:t>.</w:t>
      </w:r>
      <w:r w:rsidR="0027376A">
        <w:t xml:space="preserve"> </w:t>
      </w:r>
      <w:r>
        <w:t>W przypadku podejścia opartego na konsekwencjach próg dotkliwości wszystkich wspomnianych powyżej aspektów odgrywa kluczową rolę. To na skarżącym spoczywa ciężar wykazania w sposób przekonujący, że w jego sprawie próg ten został osiągnięty. Skarżący ma</w:t>
      </w:r>
      <w:r w:rsidR="002E281C">
        <w:t> </w:t>
      </w:r>
      <w:r>
        <w:t>obowiązek przedstawić dowody potwierdzające konsekwencje zaskarżonego środka. Trybunał przyjmuje możliwość zastosowania art.</w:t>
      </w:r>
      <w:r w:rsidR="0027376A">
        <w:t xml:space="preserve"> </w:t>
      </w:r>
      <w:r>
        <w:t>8 wyłącznie wówczas, gdy konsekwencje te są bardzo poważne i wpływają na</w:t>
      </w:r>
      <w:r w:rsidR="002E281C">
        <w:t> </w:t>
      </w:r>
      <w:r>
        <w:t>życie prywatne skarżącego w bardzo znaczącym stopniu.</w:t>
      </w:r>
    </w:p>
    <w:p w:rsidR="005A52C0" w:rsidRPr="00FF2363" w:rsidRDefault="005A52C0" w:rsidP="00FF2363">
      <w:pPr>
        <w:pStyle w:val="ECHRPara"/>
      </w:pPr>
      <w:r w:rsidRPr="00FF2363">
        <w:rPr>
          <w:noProof/>
        </w:rPr>
        <w:t>117</w:t>
      </w:r>
      <w:r>
        <w:t>.</w:t>
      </w:r>
      <w:r w:rsidR="0027376A">
        <w:t xml:space="preserve"> </w:t>
      </w:r>
      <w:r>
        <w:t>Trybunał ustanowił kryteria oceny dotkliwości lub powagi zarzucanych naruszeń w różnych kontekstach regulacyjnych. Cierpienie skarżącego należy oceniać poprzez porównanie jego życia przed podjęciem zakwestionowanego środka oraz po jego zastosowaniu. Trybunał uważa ponadto, że podczas ustalania powagi konsekwencji w sprawach dotyczących zatrudnienia stosown</w:t>
      </w:r>
      <w:r w:rsidR="008A59C3">
        <w:t>e</w:t>
      </w:r>
      <w:r>
        <w:t xml:space="preserve"> jest </w:t>
      </w:r>
      <w:r w:rsidR="008A59C3">
        <w:t>dokonanie oceny</w:t>
      </w:r>
      <w:r>
        <w:t xml:space="preserve"> subiektywnych odczuć skarżącego na tle obiektywnych okoliczności danej sprawy. Taka</w:t>
      </w:r>
      <w:r w:rsidR="002E281C">
        <w:t> </w:t>
      </w:r>
      <w:r>
        <w:t>analiza powinna obejmować skutki zaskarżanego środka zarówno w</w:t>
      </w:r>
      <w:r w:rsidR="002E281C">
        <w:t> </w:t>
      </w:r>
      <w:r>
        <w:t>aspekcie materialnym, jak i niematerialnym. W gestii skarżącego pozostaje jednak określenie i potwierdzenie charakteru i zakresu doznanego cierpienia, które to cierpienie powinien z zaskarżonym środkiem łączyć związek przyczynowy. Mając na uwadze zasadę wyczerpania krajowych środków odwoławczych, najważniejsze aspekty takich zarzutów należy w</w:t>
      </w:r>
      <w:r w:rsidR="002E281C">
        <w:t> </w:t>
      </w:r>
      <w:r>
        <w:t>wystarczającym zakresie podnieść przed władzami krajowymi rozpatrującymi daną sprawę.</w:t>
      </w:r>
    </w:p>
    <w:p w:rsidR="005A52C0" w:rsidRPr="00FF2363" w:rsidRDefault="005A52C0" w:rsidP="00FF2363">
      <w:pPr>
        <w:pStyle w:val="ECHRHeading4"/>
        <w:rPr>
          <w:rFonts w:eastAsia="Times New Roman"/>
        </w:rPr>
      </w:pPr>
      <w:r>
        <w:t>(c)</w:t>
      </w:r>
      <w:r w:rsidR="0027376A">
        <w:t xml:space="preserve"> </w:t>
      </w:r>
      <w:r>
        <w:t xml:space="preserve">Zastosowanie zasad </w:t>
      </w:r>
      <w:r w:rsidR="008A59C3">
        <w:t xml:space="preserve">ogólnych </w:t>
      </w:r>
      <w:r>
        <w:t>w niniejszej sprawie</w:t>
      </w:r>
    </w:p>
    <w:p w:rsidR="005A52C0" w:rsidRPr="00FF2363" w:rsidRDefault="005A52C0" w:rsidP="00FF2363">
      <w:pPr>
        <w:pStyle w:val="ECHRPara"/>
      </w:pPr>
      <w:r w:rsidRPr="00FF2363">
        <w:rPr>
          <w:noProof/>
        </w:rPr>
        <w:t>118</w:t>
      </w:r>
      <w:r>
        <w:t>.</w:t>
      </w:r>
      <w:r w:rsidR="0027376A">
        <w:t xml:space="preserve"> </w:t>
      </w:r>
      <w:r>
        <w:t>W niniejszej sprawie Trybunał musi odpowiedzieć na pytanie, czy</w:t>
      </w:r>
      <w:r w:rsidR="002E281C">
        <w:t> </w:t>
      </w:r>
      <w:r>
        <w:t>odwołanie skarżącego ze stanowiska prezesa sądu apelacyjnego bez</w:t>
      </w:r>
      <w:r w:rsidR="002E281C">
        <w:t> </w:t>
      </w:r>
      <w:r>
        <w:t>usunięcia go ze stanowiska sędziego miało wpływ na jego życie prywatne, a</w:t>
      </w:r>
      <w:r w:rsidR="0027376A">
        <w:t xml:space="preserve"> </w:t>
      </w:r>
      <w:r>
        <w:t xml:space="preserve">tym samym </w:t>
      </w:r>
      <w:r w:rsidR="00DD683D">
        <w:t>–</w:t>
      </w:r>
      <w:r>
        <w:t xml:space="preserve"> czy zastosowanie ma art.</w:t>
      </w:r>
      <w:r w:rsidR="0027376A">
        <w:t xml:space="preserve"> </w:t>
      </w:r>
      <w:r>
        <w:t>8.</w:t>
      </w:r>
    </w:p>
    <w:p w:rsidR="005A52C0" w:rsidRPr="00FF2363" w:rsidRDefault="005A52C0" w:rsidP="00FF2363">
      <w:pPr>
        <w:pStyle w:val="ECHRPara"/>
      </w:pPr>
      <w:r w:rsidRPr="00FF2363">
        <w:rPr>
          <w:noProof/>
        </w:rPr>
        <w:t>119</w:t>
      </w:r>
      <w:r>
        <w:t>.</w:t>
      </w:r>
      <w:r w:rsidR="0027376A">
        <w:t xml:space="preserve"> </w:t>
      </w:r>
      <w:r>
        <w:t>Trybunał w pierwszej kolejności przeanalizuje, w jaki sposób w</w:t>
      </w:r>
      <w:r w:rsidR="002E281C">
        <w:t> </w:t>
      </w:r>
      <w:r>
        <w:t>niniejszej sprawie dotyczącej zatrudnienia może dojść do głosu kwestia życia prywatnego: czy ze względu na powody stojące u podstaw odwołania skarżącego, czy też z uwagi na konsekwencje tej decyzji dla jego życia prywatnego.</w:t>
      </w:r>
    </w:p>
    <w:p w:rsidR="005A52C0" w:rsidRPr="00FF2363" w:rsidRDefault="005A52C0" w:rsidP="00FF2363">
      <w:pPr>
        <w:pStyle w:val="ECHRPara"/>
      </w:pPr>
      <w:r w:rsidRPr="00FF2363">
        <w:rPr>
          <w:noProof/>
        </w:rPr>
        <w:t>120</w:t>
      </w:r>
      <w:r>
        <w:t>.</w:t>
      </w:r>
      <w:r w:rsidR="0027376A">
        <w:t xml:space="preserve"> </w:t>
      </w:r>
      <w:r>
        <w:t>Podane wprost powody odwołania skarżącego ze stanowiska prezesa Apelacyjnego Sądu Administracyjnego w Kijowie były ściśle ograniczone do jego działań w sferze publicznej, to jest domniemanych błędów związanych z zarządzaniem, które rzekomo stanowiły zagrożenie dla prawidłowego funkcjonowania sądu. Powody te pozostawały jedynie w</w:t>
      </w:r>
      <w:r w:rsidR="002E281C">
        <w:t> </w:t>
      </w:r>
      <w:r>
        <w:t xml:space="preserve">sferze zadań administracyjnych skarżącego w miejscu pracy i nie miały żadnego związku z jego życiem prywatnym. W świetle braku jakichkolwiek </w:t>
      </w:r>
      <w:r>
        <w:lastRenderedPageBreak/>
        <w:t>tego typu kwestii w deklarowanych powodach jego odwołania należ</w:t>
      </w:r>
      <w:r w:rsidR="008A59C3">
        <w:t>y</w:t>
      </w:r>
      <w:r>
        <w:t xml:space="preserve"> ustalić, czy dowody i uzasadnione zarzuty przedstawione przez skarżącego wskaz</w:t>
      </w:r>
      <w:r w:rsidR="008A59C3">
        <w:t>ują</w:t>
      </w:r>
      <w:r>
        <w:t xml:space="preserve"> na to, że środek ten pociągał za sobą poważne negatywne konsekwencje dla aspektów składających się na jego „życie prywatne”, to</w:t>
      </w:r>
      <w:r w:rsidR="002E281C">
        <w:t> </w:t>
      </w:r>
      <w:r>
        <w:t>jest (i)</w:t>
      </w:r>
      <w:r w:rsidR="0027376A">
        <w:t xml:space="preserve"> </w:t>
      </w:r>
      <w:r>
        <w:t>jego „najbliższego otoczenia”, (ii)</w:t>
      </w:r>
      <w:r w:rsidR="0027376A">
        <w:t xml:space="preserve"> </w:t>
      </w:r>
      <w:r>
        <w:t>jego możliwości nawiązywania i</w:t>
      </w:r>
      <w:r w:rsidR="0027376A">
        <w:t xml:space="preserve"> </w:t>
      </w:r>
      <w:r>
        <w:t>pogłębiania relacji z innymi osobami bądź (iii) jego dobrego imienia.</w:t>
      </w:r>
    </w:p>
    <w:p w:rsidR="005A52C0" w:rsidRPr="00FF2363" w:rsidRDefault="005A52C0" w:rsidP="00FF2363">
      <w:pPr>
        <w:pStyle w:val="ECHRPara"/>
      </w:pPr>
      <w:r w:rsidRPr="00FF2363">
        <w:rPr>
          <w:noProof/>
        </w:rPr>
        <w:t>121</w:t>
      </w:r>
      <w:r>
        <w:t>.</w:t>
      </w:r>
      <w:r w:rsidR="0027376A">
        <w:t xml:space="preserve"> </w:t>
      </w:r>
      <w:r>
        <w:t xml:space="preserve">W odniesieniu do konsekwencji odwołania skarżącego pierwszą kwestią, do jakiej należy się odnieść, jest to, czy w świetle zasady wyłączającej ustanowionej w sprawie </w:t>
      </w:r>
      <w:r>
        <w:rPr>
          <w:i/>
          <w:iCs/>
        </w:rPr>
        <w:t>Gillberg</w:t>
      </w:r>
      <w:r>
        <w:t xml:space="preserve"> (zob. </w:t>
      </w:r>
      <w:r w:rsidR="00043509">
        <w:t>paragraf</w:t>
      </w:r>
      <w:r w:rsidR="0027376A">
        <w:t xml:space="preserve"> </w:t>
      </w:r>
      <w:r w:rsidRPr="00FF2363">
        <w:t>98</w:t>
      </w:r>
      <w:r>
        <w:t xml:space="preserve"> powyżej) może być mowa o jakimkolwiek zakresie dla zastosowania art.</w:t>
      </w:r>
      <w:r w:rsidR="0027376A">
        <w:t xml:space="preserve"> </w:t>
      </w:r>
      <w:r>
        <w:t>8. W myśl tej zasady, w przypadku gdy negatywne skutki będące przedmiotem skargi ograniczają się do konsekwencji niezgodnego z prawem postępowania, które to konsekwencje skarżący mógł przewidzieć, nie można powołać się</w:t>
      </w:r>
      <w:r w:rsidR="002E281C">
        <w:t> </w:t>
      </w:r>
      <w:r>
        <w:t>na art.</w:t>
      </w:r>
      <w:r w:rsidR="0027376A">
        <w:t xml:space="preserve"> </w:t>
      </w:r>
      <w:r>
        <w:t>8 w celu postawienia zarzutu, że takie negatywne skutki stanowiły ingerencję w życie prywatne. Na uwagę zasługuje fakt, iż</w:t>
      </w:r>
      <w:r w:rsidR="002E281C">
        <w:t> </w:t>
      </w:r>
      <w:r>
        <w:t>w</w:t>
      </w:r>
      <w:r w:rsidR="002E281C">
        <w:t> </w:t>
      </w:r>
      <w:r>
        <w:t xml:space="preserve">sprawie </w:t>
      </w:r>
      <w:r>
        <w:rPr>
          <w:i/>
          <w:iCs/>
        </w:rPr>
        <w:t>Gillberg</w:t>
      </w:r>
      <w:r>
        <w:t xml:space="preserve"> fakt niezgodnego z prawem postępowania skarżącego pozostawał w dużej mierze bezsporny (zob. </w:t>
      </w:r>
      <w:r>
        <w:rPr>
          <w:i/>
          <w:iCs/>
        </w:rPr>
        <w:t>Gillberg</w:t>
      </w:r>
      <w:r>
        <w:t xml:space="preserve">, </w:t>
      </w:r>
      <w:r>
        <w:rPr>
          <w:i/>
          <w:iCs/>
        </w:rPr>
        <w:t>op. cit.</w:t>
      </w:r>
      <w:r>
        <w:t>, §</w:t>
      </w:r>
      <w:r w:rsidR="0027376A">
        <w:t xml:space="preserve"> </w:t>
      </w:r>
      <w:r>
        <w:t>71), natomiast w</w:t>
      </w:r>
      <w:r w:rsidR="0027376A">
        <w:t xml:space="preserve"> </w:t>
      </w:r>
      <w:r>
        <w:t>niniejszej sprawie skarżący kwestionował fakt, że jakiekolwiek niewłaściwe postępowanie w ogóle miało miejsce, sugerując tym samym, że</w:t>
      </w:r>
      <w:r w:rsidR="002E281C">
        <w:t> </w:t>
      </w:r>
      <w:r>
        <w:t>środek wiążący się z odpowiedzialnością prawną, jakim było jego odwołanie, nie mógł stanowić przewidywalnej konsekwencji jego postępowania na stanowisku prezesa sądu apelacyjnego. Zważywszy na</w:t>
      </w:r>
      <w:r w:rsidR="002E281C">
        <w:t> </w:t>
      </w:r>
      <w:r>
        <w:t>powyższe okoliczności, należy uznać, że niniejsza sprawa różni się w</w:t>
      </w:r>
      <w:r w:rsidR="002E281C">
        <w:t> </w:t>
      </w:r>
      <w:r>
        <w:t xml:space="preserve">tym aspekcie od sprawy </w:t>
      </w:r>
      <w:r>
        <w:rPr>
          <w:i/>
          <w:iCs/>
        </w:rPr>
        <w:t>Gillberg</w:t>
      </w:r>
      <w:r>
        <w:t>, a zatem Trybunał nie może zastosować tego podejścia.</w:t>
      </w:r>
    </w:p>
    <w:p w:rsidR="005A52C0" w:rsidRPr="00FF2363" w:rsidRDefault="005A52C0" w:rsidP="00FF2363">
      <w:pPr>
        <w:pStyle w:val="ECHRPara"/>
      </w:pPr>
      <w:r w:rsidRPr="00FF2363">
        <w:rPr>
          <w:noProof/>
        </w:rPr>
        <w:t>122</w:t>
      </w:r>
      <w:r>
        <w:t>.</w:t>
      </w:r>
      <w:r w:rsidR="0027376A">
        <w:t xml:space="preserve"> </w:t>
      </w:r>
      <w:r>
        <w:t xml:space="preserve">Co się tyczy konsekwencji odwołania skarżącego dla jego </w:t>
      </w:r>
      <w:r w:rsidRPr="00A60E34">
        <w:t>„najbliższego otoczenia”, skarżący podniósł, że jego odwołanie</w:t>
      </w:r>
      <w:r>
        <w:t xml:space="preserve"> spowodowało obniżenie jego wynagrodzenia i oczekiwanych świadczeń emerytalnych. Argument ten należy rozpatrywać jako mający związek z</w:t>
      </w:r>
      <w:r w:rsidR="002E281C">
        <w:t> </w:t>
      </w:r>
      <w:r>
        <w:t>pogorszeniem sytuacji majątkowej skarżącego i jego rodziny. Choć</w:t>
      </w:r>
      <w:r w:rsidR="002E281C">
        <w:t> </w:t>
      </w:r>
      <w:r>
        <w:t>pieniężny aspekt sporu uznano za istotny w kontekście możliwości zastosowania art.</w:t>
      </w:r>
      <w:r w:rsidR="0027376A">
        <w:t xml:space="preserve"> </w:t>
      </w:r>
      <w:r>
        <w:t>6 w jego aspekcie cywilnym, konkluzja ta nie przekłada się automatycznie na</w:t>
      </w:r>
      <w:r w:rsidR="00A60E34">
        <w:t xml:space="preserve"> objęcie tej kwestii zakresem </w:t>
      </w:r>
      <w:r>
        <w:t>art.</w:t>
      </w:r>
      <w:r w:rsidR="0027376A">
        <w:t xml:space="preserve"> </w:t>
      </w:r>
      <w:r>
        <w:t>8 Konwencji. W</w:t>
      </w:r>
      <w:r w:rsidR="002E281C">
        <w:t> </w:t>
      </w:r>
      <w:r>
        <w:t>niniejszej sprawie skarżący nie przedstawił żadnych dowodów, które</w:t>
      </w:r>
      <w:r w:rsidR="002E281C">
        <w:t> </w:t>
      </w:r>
      <w:r>
        <w:t>wskazywałyby na to, że wynikające z odwołania obniżenie miesięcznego wynagrodzenia (zob.</w:t>
      </w:r>
      <w:r w:rsidR="0027376A">
        <w:t xml:space="preserve"> </w:t>
      </w:r>
      <w:r w:rsidR="00043509">
        <w:t>paragraf</w:t>
      </w:r>
      <w:r w:rsidR="0027376A">
        <w:t xml:space="preserve"> </w:t>
      </w:r>
      <w:r w:rsidRPr="00FF2363">
        <w:t>22</w:t>
      </w:r>
      <w:r>
        <w:t xml:space="preserve"> powyżej) poważnie wpłynęło na jego „najbliższe otoczenie” w życiu prywatnym. W świetle braku takich dowodów spekulacją byłoby przyjęcie odmiennego założenia. Nie istnieją żadne inne przesłanki wskazujące na to, że zaskarżony środek miał wpływ na „najbliższe otoczenie” w życiu prywatnym skarżącego.</w:t>
      </w:r>
    </w:p>
    <w:p w:rsidR="005A52C0" w:rsidRPr="00FF2363" w:rsidRDefault="005A52C0" w:rsidP="00FF2363">
      <w:pPr>
        <w:pStyle w:val="ECHRPara"/>
      </w:pPr>
      <w:r w:rsidRPr="00FF2363">
        <w:rPr>
          <w:noProof/>
        </w:rPr>
        <w:t>123</w:t>
      </w:r>
      <w:r>
        <w:t>.</w:t>
      </w:r>
      <w:r w:rsidR="0027376A">
        <w:t xml:space="preserve"> </w:t>
      </w:r>
      <w:r>
        <w:t xml:space="preserve">W kwestii nawiązywania i pogłębiania relacji z innymi osobami należy zauważyć, iż odwołanie skarżącego ze stanowiska prezesa Apelacyjnego Sądu Administracyjnego w Kijowie nie pociągało za sobą usunięcia go z zawodu. Skarżący kontynuował swoją pracę jako zwykły </w:t>
      </w:r>
      <w:r>
        <w:lastRenderedPageBreak/>
        <w:t>sędzia i nadal pracował w tym samym sądzie wraz ze swoimi współpracownikami. Skarżący nie przedstawił żadnych innych zarzutów w</w:t>
      </w:r>
      <w:r w:rsidR="002E281C">
        <w:t> </w:t>
      </w:r>
      <w:r>
        <w:t>tym względzie. Należy zatem stwierdzić, że nawet jeśli odwołanie skarżącego ze stanowiska wpłynęło na możliwości nawiązywania i</w:t>
      </w:r>
      <w:r w:rsidR="002E281C">
        <w:t> </w:t>
      </w:r>
      <w:r>
        <w:t>pogłębiania relacji, w tym także o charakterze zawodowym, nie</w:t>
      </w:r>
      <w:r w:rsidR="002E281C">
        <w:t> </w:t>
      </w:r>
      <w:r>
        <w:t>ma</w:t>
      </w:r>
      <w:r w:rsidR="002E281C">
        <w:t> </w:t>
      </w:r>
      <w:r>
        <w:t>podstaw faktycznych, by uznać, że wpływ ten był znaczny. Koniec końców, niestosown</w:t>
      </w:r>
      <w:r w:rsidR="00DA2FB8">
        <w:t>e</w:t>
      </w:r>
      <w:r>
        <w:t xml:space="preserve"> wydaje się ustalanie zażyłości i jakości relacji w życiu prywatnym przez odniesienie do pełnionych stanowisk i funkcji administracyjnych.</w:t>
      </w:r>
    </w:p>
    <w:p w:rsidR="005A52C0" w:rsidRPr="00FF2363" w:rsidRDefault="005A52C0" w:rsidP="00FF2363">
      <w:pPr>
        <w:pStyle w:val="ECHRPara"/>
      </w:pPr>
      <w:r w:rsidRPr="00FF2363">
        <w:rPr>
          <w:noProof/>
        </w:rPr>
        <w:t>124</w:t>
      </w:r>
      <w:r>
        <w:t>.</w:t>
      </w:r>
      <w:r w:rsidR="0027376A">
        <w:t xml:space="preserve"> </w:t>
      </w:r>
      <w:r>
        <w:t>Pozostaje zatem odpowiedzieć na pytanie, czy zaskarżany środek naruszył dobre imię skarżącego w taki sposób, że miał poważny wpływ na</w:t>
      </w:r>
      <w:r w:rsidR="002E281C">
        <w:t> </w:t>
      </w:r>
      <w:r>
        <w:t>poważanie, jakim cieszył się on wśród innych, i w rezultacie wywarł poważny wpływ na kontakty skarżącego ze społeczeństwem. Trybunał przeanalizuje tę kwestię pod kątem reputacji zawodowej i społecznej.</w:t>
      </w:r>
    </w:p>
    <w:p w:rsidR="005A52C0" w:rsidRPr="00FF2363" w:rsidRDefault="005A52C0" w:rsidP="00FF2363">
      <w:pPr>
        <w:pStyle w:val="ECHRPara"/>
      </w:pPr>
      <w:r w:rsidRPr="00FF2363">
        <w:rPr>
          <w:noProof/>
        </w:rPr>
        <w:t>125</w:t>
      </w:r>
      <w:r>
        <w:t>.</w:t>
      </w:r>
      <w:r w:rsidR="0027376A">
        <w:t xml:space="preserve"> </w:t>
      </w:r>
      <w:r>
        <w:t>Jeżeli chodzi o dobre imię skarżącego w kręgach zawodowych, Trybunał uznaje za stosowne zauważyć, że głównym zajęciem skarżącego był zawód sędziego. Zawód ten wymagał od niego specjalistycznej wiedzy, kwalifikacji, umiejętności i doświadczenia. W zamian za służbę w tym charakterze skarżący otrzymywał większą część swojego wynagrodzenia. Jednocześnie sprawowanie z powodzeniem funkcji prezesowskiej lub</w:t>
      </w:r>
      <w:r w:rsidR="002E281C">
        <w:t> </w:t>
      </w:r>
      <w:r>
        <w:t>administracyjnej w sądzie nie należy, w ścisłym rozumieniu, do</w:t>
      </w:r>
      <w:r w:rsidR="002E281C">
        <w:t> </w:t>
      </w:r>
      <w:r>
        <w:t>właściwości profesji sędziowskiej. Z tego względu należy uznać, że</w:t>
      </w:r>
      <w:r w:rsidR="002E281C">
        <w:t> </w:t>
      </w:r>
      <w:r>
        <w:t>w</w:t>
      </w:r>
      <w:r w:rsidR="002E281C">
        <w:t> </w:t>
      </w:r>
      <w:r>
        <w:t>ujęciu obiektywnym zasadniczą rolę zawodową skarżącego</w:t>
      </w:r>
      <w:r w:rsidR="00DA2FB8" w:rsidRPr="00DA2FB8">
        <w:t xml:space="preserve"> </w:t>
      </w:r>
      <w:r w:rsidR="00DA2FB8">
        <w:t>stanowiła</w:t>
      </w:r>
      <w:r w:rsidR="00DA2FB8" w:rsidRPr="00DA2FB8">
        <w:t xml:space="preserve"> </w:t>
      </w:r>
      <w:r w:rsidR="00DA2FB8">
        <w:t>funkcja sędziowska</w:t>
      </w:r>
      <w:r>
        <w:t>. Stanowisko prezesa sądu, jakkolwiek ważne i</w:t>
      </w:r>
      <w:r w:rsidR="002E281C">
        <w:t> </w:t>
      </w:r>
      <w:r>
        <w:t>prestiżowe w kręgach wymiaru sprawiedliwości i jakkolwiek subiektywnie postrzegane i cenione przez skarżącego, nie odnosiło się do zasadniczej sfery jego działalności zawodowej.</w:t>
      </w:r>
    </w:p>
    <w:p w:rsidR="005A52C0" w:rsidRPr="00FF2363" w:rsidRDefault="005A52C0" w:rsidP="00FF2363">
      <w:pPr>
        <w:pStyle w:val="ECHRPara"/>
      </w:pPr>
      <w:r w:rsidRPr="00FF2363">
        <w:rPr>
          <w:noProof/>
        </w:rPr>
        <w:t>126</w:t>
      </w:r>
      <w:r>
        <w:t>.</w:t>
      </w:r>
      <w:r w:rsidR="0027376A">
        <w:t xml:space="preserve"> </w:t>
      </w:r>
      <w:r>
        <w:t>Na żadnym etapie postępowania, którego dotyczy skarga, władze krajowe nie analizowały pracy skarżącego na stanowisku sędziego ani</w:t>
      </w:r>
      <w:r w:rsidR="002E281C">
        <w:t> </w:t>
      </w:r>
      <w:r>
        <w:t>nie</w:t>
      </w:r>
      <w:r w:rsidR="002E281C">
        <w:t> </w:t>
      </w:r>
      <w:r>
        <w:t>wyraziły żadnej opinii na temat jego kompetencji sędziowskich czy</w:t>
      </w:r>
      <w:r w:rsidR="002E281C">
        <w:t> </w:t>
      </w:r>
      <w:r>
        <w:t xml:space="preserve">profesjonalizmu. Decyzje wydane w sprawie skarżącego dotyczyły jedynie jego umiejętności związanych z zarządzaniem, jego zawodowa rola jako sędziego pozostawała </w:t>
      </w:r>
      <w:r w:rsidR="00DA2FB8">
        <w:t xml:space="preserve">zaś </w:t>
      </w:r>
      <w:r>
        <w:t>poza sferą rozważań. Nie można uznawać, że</w:t>
      </w:r>
      <w:r w:rsidR="002E281C">
        <w:t> </w:t>
      </w:r>
      <w:r>
        <w:t xml:space="preserve">ten ograniczony zakres kontroli i krytyki odnosił się do istoty reputacji zawodowej skarżącego. Pod tym względem niniejsza sprawa zasadniczo różni się od sprawy </w:t>
      </w:r>
      <w:r>
        <w:rPr>
          <w:i/>
          <w:iCs/>
        </w:rPr>
        <w:t>Oleksandr Volkov</w:t>
      </w:r>
      <w:r>
        <w:t xml:space="preserve"> (</w:t>
      </w:r>
      <w:r>
        <w:rPr>
          <w:i/>
          <w:iCs/>
        </w:rPr>
        <w:t>op. cit.</w:t>
      </w:r>
      <w:r>
        <w:t>), w której krytyka i sankcje dyscyplinarne spadły na skarżącego w związku z pełnieniem obowiązków na stanowisku sędziego.</w:t>
      </w:r>
    </w:p>
    <w:p w:rsidR="005A52C0" w:rsidRPr="00FF2363" w:rsidRDefault="005A52C0" w:rsidP="00FF2363">
      <w:pPr>
        <w:pStyle w:val="ECHRPara"/>
      </w:pPr>
      <w:r w:rsidRPr="00FF2363">
        <w:rPr>
          <w:noProof/>
        </w:rPr>
        <w:t>127</w:t>
      </w:r>
      <w:r>
        <w:t>.</w:t>
      </w:r>
      <w:r w:rsidR="0027376A">
        <w:t xml:space="preserve"> </w:t>
      </w:r>
      <w:r>
        <w:t xml:space="preserve">W drugiej kolejności Trybunał zwraca uwagę na argument skarżącego, jakoby po tym, jak zajmował stanowisko prezesa sądu przez ponad dwadzieścia pięć lat, stanowisko prezesa Apelacyjnego Sądu Administracyjnego w Kijowie stanowiło szczyt jego osiągnięć zawodowych w dziedzinie prawa, a odwołanie go z tego stanowiska negatywnie wpłynęło na postrzeganie jego kompetencji przez osoby na podobnych stanowiskach. </w:t>
      </w:r>
      <w:r>
        <w:lastRenderedPageBreak/>
        <w:t xml:space="preserve">Skarżący nie wyjaśnił jednak, w jaki sposób domniemana utrata </w:t>
      </w:r>
      <w:r w:rsidR="00DA2FB8">
        <w:t>poważania</w:t>
      </w:r>
      <w:r>
        <w:t>, nawet przy założeniu, że miałaby wpływ na jego reputację związaną z</w:t>
      </w:r>
      <w:r w:rsidR="002E281C">
        <w:t> </w:t>
      </w:r>
      <w:r>
        <w:t>zasadniczą częścią działalności zawodowej, poważnie zaszkodziła</w:t>
      </w:r>
      <w:r w:rsidR="00DA2FB8">
        <w:t xml:space="preserve"> mu </w:t>
      </w:r>
      <w:r>
        <w:t>w</w:t>
      </w:r>
      <w:r w:rsidR="002E281C">
        <w:t> </w:t>
      </w:r>
      <w:r w:rsidR="00DA2FB8">
        <w:t xml:space="preserve">jego </w:t>
      </w:r>
      <w:r>
        <w:t>środowisku zawodowym. W każd</w:t>
      </w:r>
      <w:r w:rsidR="00DA2FB8">
        <w:t>ym razie Trybunał nie dysponuje</w:t>
      </w:r>
      <w:r>
        <w:t xml:space="preserve"> wystarczającym materiałem, by stwierdzić, że domniemana utrata </w:t>
      </w:r>
      <w:r w:rsidR="00DA2FB8">
        <w:t xml:space="preserve">poważania </w:t>
      </w:r>
      <w:r>
        <w:t>osiągnęła wysoki poziom powagi wymagany na gruncie art.</w:t>
      </w:r>
      <w:r w:rsidR="0027376A">
        <w:t xml:space="preserve"> </w:t>
      </w:r>
      <w:r>
        <w:t xml:space="preserve">8 Konwencji, o czym mowa w </w:t>
      </w:r>
      <w:r w:rsidR="00DA2FB8">
        <w:t>paragrafach</w:t>
      </w:r>
      <w:r w:rsidR="0027376A">
        <w:t xml:space="preserve"> </w:t>
      </w:r>
      <w:r>
        <w:t>116 i</w:t>
      </w:r>
      <w:r w:rsidR="0027376A">
        <w:t xml:space="preserve"> </w:t>
      </w:r>
      <w:r>
        <w:t>117 powyżej.</w:t>
      </w:r>
    </w:p>
    <w:p w:rsidR="005A52C0" w:rsidRPr="00FF2363" w:rsidRDefault="005A52C0" w:rsidP="00FF2363">
      <w:pPr>
        <w:pStyle w:val="ECHRPara"/>
      </w:pPr>
      <w:r w:rsidRPr="00FF2363">
        <w:rPr>
          <w:noProof/>
        </w:rPr>
        <w:t>128</w:t>
      </w:r>
      <w:r>
        <w:t>.</w:t>
      </w:r>
      <w:r w:rsidR="0027376A">
        <w:t xml:space="preserve"> </w:t>
      </w:r>
      <w:r>
        <w:t>Przede wszystkim skarżący nie wyjaśnił, w jaki sposób odwołanie go ze stanowiska wpłynęło na jego dalszą karierę w zawodzie sędziego. Trybunał pragnie zauważyć, że odwołanie skarżącego ze stanowiska nie</w:t>
      </w:r>
      <w:r w:rsidR="002E281C">
        <w:t> </w:t>
      </w:r>
      <w:r>
        <w:t>wykluczało możliwości jego ponownego powołania, choć ze względu na</w:t>
      </w:r>
      <w:r w:rsidR="002E281C">
        <w:t> </w:t>
      </w:r>
      <w:r>
        <w:t>jego podeszły wiek takie rozważania miałyby wyłącznie charakter teoretyczny. Tak czy inaczej, zastosowany środek nie był istotny pod</w:t>
      </w:r>
      <w:r w:rsidR="002E281C">
        <w:t> </w:t>
      </w:r>
      <w:r>
        <w:t>względem czasu trwania, ponieważ był ograniczony czasem służby w</w:t>
      </w:r>
      <w:r w:rsidR="002E281C">
        <w:t> </w:t>
      </w:r>
      <w:r>
        <w:t>sądownictwie pozostałym skarżącemu do osiągnięcia wieku emerytalnego, czyli około dwóch lat (zob.</w:t>
      </w:r>
      <w:r w:rsidR="0027376A">
        <w:t xml:space="preserve"> </w:t>
      </w:r>
      <w:r>
        <w:t>art.</w:t>
      </w:r>
      <w:r w:rsidR="0027376A">
        <w:t xml:space="preserve"> </w:t>
      </w:r>
      <w:r>
        <w:t xml:space="preserve">125 Konstytucji, przywoływany w </w:t>
      </w:r>
      <w:r w:rsidR="00043509">
        <w:t>paragraf</w:t>
      </w:r>
      <w:r w:rsidR="00AD58B2">
        <w:t>ie</w:t>
      </w:r>
      <w:r w:rsidR="0027376A">
        <w:t xml:space="preserve"> </w:t>
      </w:r>
      <w:r w:rsidRPr="00FF2363">
        <w:t>26</w:t>
      </w:r>
      <w:r>
        <w:t xml:space="preserve"> powyżej).</w:t>
      </w:r>
    </w:p>
    <w:p w:rsidR="005A52C0" w:rsidRPr="00FF2363" w:rsidRDefault="005A52C0" w:rsidP="00FF2363">
      <w:pPr>
        <w:pStyle w:val="ECHRPara"/>
      </w:pPr>
      <w:r w:rsidRPr="00FF2363">
        <w:rPr>
          <w:noProof/>
        </w:rPr>
        <w:t>129</w:t>
      </w:r>
      <w:r>
        <w:t>.</w:t>
      </w:r>
      <w:r w:rsidR="0027376A">
        <w:t xml:space="preserve"> </w:t>
      </w:r>
      <w:r>
        <w:t>Co się tyczy reputacji społecznej w ujęciu ogólnym, krytyka ze</w:t>
      </w:r>
      <w:r w:rsidR="002E281C">
        <w:t> </w:t>
      </w:r>
      <w:r>
        <w:t xml:space="preserve">strony władz nie odnosiła się do szeroko rozumianego aspektu etycznego osobowości i charakteru skarżącego. Pomimo faktu, że odwołanie skarżącego ze stanowiska opierało się na ustaleniach dotyczących uchybienia obowiązkom służbowym w </w:t>
      </w:r>
      <w:r w:rsidR="00DA2FB8">
        <w:t>administrowaniu funkcjonowaniem</w:t>
      </w:r>
      <w:r>
        <w:t xml:space="preserve"> wymiaru sprawiedliwości, nie zawierało ono zarzutu umyślnego uchybienia lub zachowania o charakterze przestępczym. W żadnym momencie nie</w:t>
      </w:r>
      <w:r w:rsidR="002E281C">
        <w:t> </w:t>
      </w:r>
      <w:r>
        <w:t xml:space="preserve">zakwestionowano wartości moralnych skarżącego, a w zaskarżonej decyzji brak jest jakichkolwiek zarzutów tego rodzaju (por. </w:t>
      </w:r>
      <w:r>
        <w:rPr>
          <w:i/>
          <w:iCs/>
        </w:rPr>
        <w:t>Lekavičienė przeciwko Litwie</w:t>
      </w:r>
      <w:r>
        <w:t>, skarga nr</w:t>
      </w:r>
      <w:r w:rsidR="0027376A">
        <w:t xml:space="preserve"> </w:t>
      </w:r>
      <w:r>
        <w:t>48427/09, 27</w:t>
      </w:r>
      <w:r w:rsidR="0027376A">
        <w:t xml:space="preserve"> </w:t>
      </w:r>
      <w:r>
        <w:t>czerwca 2017</w:t>
      </w:r>
      <w:r w:rsidR="0027376A">
        <w:t xml:space="preserve"> </w:t>
      </w:r>
      <w:r>
        <w:t xml:space="preserve">r. oraz </w:t>
      </w:r>
      <w:r>
        <w:rPr>
          <w:i/>
          <w:iCs/>
        </w:rPr>
        <w:t>Jankauskas przeciwko Litwie (nr</w:t>
      </w:r>
      <w:r w:rsidR="0027376A">
        <w:rPr>
          <w:i/>
          <w:iCs/>
        </w:rPr>
        <w:t xml:space="preserve"> </w:t>
      </w:r>
      <w:r>
        <w:rPr>
          <w:i/>
          <w:iCs/>
        </w:rPr>
        <w:t>2)</w:t>
      </w:r>
      <w:r>
        <w:t>, skarga nr</w:t>
      </w:r>
      <w:r w:rsidR="0027376A">
        <w:t xml:space="preserve"> </w:t>
      </w:r>
      <w:r>
        <w:t>50446/09, 27</w:t>
      </w:r>
      <w:r w:rsidR="0027376A">
        <w:t xml:space="preserve"> </w:t>
      </w:r>
      <w:r>
        <w:t>czerwca 2017</w:t>
      </w:r>
      <w:r w:rsidR="0027376A">
        <w:t xml:space="preserve"> </w:t>
      </w:r>
      <w:r>
        <w:t>r.).</w:t>
      </w:r>
    </w:p>
    <w:p w:rsidR="005A52C0" w:rsidRPr="00FF2363" w:rsidRDefault="005A52C0" w:rsidP="00FF2363">
      <w:pPr>
        <w:pStyle w:val="ECHRPara"/>
      </w:pPr>
      <w:r w:rsidRPr="00FF2363">
        <w:rPr>
          <w:noProof/>
        </w:rPr>
        <w:t>130</w:t>
      </w:r>
      <w:r>
        <w:t>.</w:t>
      </w:r>
      <w:r w:rsidR="0027376A">
        <w:t xml:space="preserve"> </w:t>
      </w:r>
      <w:r>
        <w:t>Zarzut skarżącego, jakoby informacja o decyzji o jego odwołaniu ze</w:t>
      </w:r>
      <w:r w:rsidR="002E281C">
        <w:t> </w:t>
      </w:r>
      <w:r>
        <w:t>stanowiska była rozpowszechniana w mediach i trafiła do nieznanej liczby osób, nie może sam w sobie świadczyć o znacznym uszczerbku dla</w:t>
      </w:r>
      <w:r w:rsidR="002E281C">
        <w:t> </w:t>
      </w:r>
      <w:r>
        <w:t>zawodowej i społecznej reputacji skarżącego. Co więcej, skarżący nie</w:t>
      </w:r>
      <w:r w:rsidR="002E281C">
        <w:t> </w:t>
      </w:r>
      <w:r>
        <w:t>uzasadnił tego zarzutu poprzez przytoczenie szczegółowych informacji o</w:t>
      </w:r>
      <w:r w:rsidR="0027376A">
        <w:t xml:space="preserve"> </w:t>
      </w:r>
      <w:r>
        <w:t>osobach odpowiedzialnych za publikowanie takich informacji, skali takich publikacji oraz ich wpływu.</w:t>
      </w:r>
    </w:p>
    <w:p w:rsidR="005A52C0" w:rsidRPr="00FF2363" w:rsidRDefault="005A52C0" w:rsidP="00FF2363">
      <w:pPr>
        <w:pStyle w:val="ECHRPara"/>
      </w:pPr>
      <w:r w:rsidRPr="00FF2363">
        <w:rPr>
          <w:noProof/>
        </w:rPr>
        <w:t>131</w:t>
      </w:r>
      <w:r>
        <w:t>.</w:t>
      </w:r>
      <w:r w:rsidR="0027376A">
        <w:t xml:space="preserve"> </w:t>
      </w:r>
      <w:r>
        <w:t>Wreszcie w aktach brak jest dowodów na poparcie zarzutu skarżącego, jakoby uszczerbek na reputacji był poważny w świetle szkody wyrządzonej interesom jego dzieci oraz jakoby szkoda ta miała negatywny wpływ na jego życie prywatne. Zarzut ten nie został podniesiony na</w:t>
      </w:r>
      <w:r w:rsidR="002E281C">
        <w:t> </w:t>
      </w:r>
      <w:r>
        <w:t>szczeblu krajowym oraz nie został uzasadniony w postępowaniu toczącym się przed Trybunałem.</w:t>
      </w:r>
    </w:p>
    <w:p w:rsidR="005A52C0" w:rsidRPr="00FF2363" w:rsidRDefault="005A52C0" w:rsidP="00FF2363">
      <w:pPr>
        <w:pStyle w:val="ECHRPara"/>
      </w:pPr>
      <w:r w:rsidRPr="00FF2363">
        <w:rPr>
          <w:noProof/>
        </w:rPr>
        <w:t>132</w:t>
      </w:r>
      <w:r>
        <w:t>.</w:t>
      </w:r>
      <w:r w:rsidR="0027376A">
        <w:t xml:space="preserve"> </w:t>
      </w:r>
      <w:r>
        <w:t xml:space="preserve">Skarżący nie powołał się </w:t>
      </w:r>
      <w:r w:rsidR="00DD683D">
        <w:t>–</w:t>
      </w:r>
      <w:r>
        <w:t xml:space="preserve"> ani przed Trybunałem, ani</w:t>
      </w:r>
      <w:r w:rsidR="002E281C">
        <w:t> </w:t>
      </w:r>
      <w:r>
        <w:t>w</w:t>
      </w:r>
      <w:r w:rsidR="002E281C">
        <w:t> </w:t>
      </w:r>
      <w:r>
        <w:t xml:space="preserve">postępowaniu krajowym </w:t>
      </w:r>
      <w:r w:rsidR="00DD683D">
        <w:t>–</w:t>
      </w:r>
      <w:r>
        <w:t xml:space="preserve"> na żadne osobiste okoliczności wskazujące na to, że środek miał poważny wpływ na jego życie prywatne.</w:t>
      </w:r>
    </w:p>
    <w:p w:rsidR="005A52C0" w:rsidRPr="00FF2363" w:rsidRDefault="005A52C0" w:rsidP="00FF2363">
      <w:pPr>
        <w:pStyle w:val="ECHRPara"/>
      </w:pPr>
      <w:r w:rsidRPr="00FF2363">
        <w:rPr>
          <w:noProof/>
        </w:rPr>
        <w:lastRenderedPageBreak/>
        <w:t>133</w:t>
      </w:r>
      <w:r>
        <w:t>.</w:t>
      </w:r>
      <w:r w:rsidR="0027376A">
        <w:t xml:space="preserve"> </w:t>
      </w:r>
      <w:r>
        <w:t>W świetle powyższego ocena subiektywnych odczuć skarżącego na</w:t>
      </w:r>
      <w:r w:rsidR="002E281C">
        <w:t> </w:t>
      </w:r>
      <w:r>
        <w:t>tle przesłanek obiektywnych oraz analiza materialnych i niematerialnych aspektów wpływu odwołania skarżącego ze stanowiska na podstawie dowodów przedstawionych przed Trybunałem prowadzi do stwierdzenia, że</w:t>
      </w:r>
      <w:r w:rsidR="002E281C">
        <w:t> </w:t>
      </w:r>
      <w:r>
        <w:t>rzeczone odwołanie miało jedynie ograniczony negatywny wpływ na życie prywatne skarżącego oraz nie przekraczało progu dotkliwości wymaganego do powołania się na art.</w:t>
      </w:r>
      <w:r w:rsidR="0027376A">
        <w:t xml:space="preserve"> </w:t>
      </w:r>
      <w:r>
        <w:t>8 Konwencji.</w:t>
      </w:r>
    </w:p>
    <w:p w:rsidR="005A52C0" w:rsidRPr="00FF2363" w:rsidRDefault="005A52C0" w:rsidP="00FF2363">
      <w:pPr>
        <w:pStyle w:val="ECHRPara"/>
      </w:pPr>
      <w:r w:rsidRPr="00FF2363">
        <w:rPr>
          <w:noProof/>
        </w:rPr>
        <w:t>134</w:t>
      </w:r>
      <w:r>
        <w:t>.</w:t>
      </w:r>
      <w:r w:rsidR="0027376A">
        <w:t xml:space="preserve"> </w:t>
      </w:r>
      <w:r>
        <w:t>Z uwagi na to, że ani powody odwołania skarżącego ze stanowiska nie były związane z jego „życiem prywatnym” w rozumieniu art.</w:t>
      </w:r>
      <w:r w:rsidR="0027376A">
        <w:t xml:space="preserve"> </w:t>
      </w:r>
      <w:r>
        <w:t>8, ani</w:t>
      </w:r>
      <w:r w:rsidR="002E281C">
        <w:t> </w:t>
      </w:r>
      <w:r>
        <w:t>konsekwencje zastosowanego środka nie miały wpływu na tę sferę jego życia, Trybunał stwierdza, że art.</w:t>
      </w:r>
      <w:r w:rsidR="0027376A">
        <w:t xml:space="preserve"> </w:t>
      </w:r>
      <w:r>
        <w:t>8 nie ma w niniejszej sprawie zastosowania. Należy zatem podtrzymać zastrzeżenie Rządu w</w:t>
      </w:r>
      <w:r w:rsidR="002E281C">
        <w:t> </w:t>
      </w:r>
      <w:r>
        <w:t>tym</w:t>
      </w:r>
      <w:r w:rsidR="002E281C">
        <w:t> </w:t>
      </w:r>
      <w:r>
        <w:t xml:space="preserve">względzie, a skargę oddalić jako niezgodną </w:t>
      </w:r>
      <w:r>
        <w:rPr>
          <w:i/>
          <w:iCs/>
        </w:rPr>
        <w:t xml:space="preserve">ratione materiae </w:t>
      </w:r>
      <w:r>
        <w:t>z</w:t>
      </w:r>
      <w:r w:rsidR="002E281C">
        <w:t> </w:t>
      </w:r>
      <w:r>
        <w:t xml:space="preserve">postanowieniami Konwencji </w:t>
      </w:r>
      <w:r w:rsidR="00EE6196">
        <w:t>zgodnie z art.</w:t>
      </w:r>
      <w:r w:rsidR="0027376A">
        <w:t xml:space="preserve"> </w:t>
      </w:r>
      <w:r w:rsidR="00EE6196">
        <w:t>35 ust.</w:t>
      </w:r>
      <w:r w:rsidR="0027376A">
        <w:t xml:space="preserve"> </w:t>
      </w:r>
      <w:r w:rsidR="00EE6196">
        <w:t>3 lit.</w:t>
      </w:r>
      <w:r w:rsidR="0027376A">
        <w:t xml:space="preserve"> </w:t>
      </w:r>
      <w:r w:rsidR="00EE6196">
        <w:t>a</w:t>
      </w:r>
      <w:r>
        <w:t xml:space="preserve"> i art.</w:t>
      </w:r>
      <w:r w:rsidR="0027376A">
        <w:t xml:space="preserve"> </w:t>
      </w:r>
      <w:r>
        <w:t>35 ust.</w:t>
      </w:r>
      <w:r w:rsidR="0027376A">
        <w:t xml:space="preserve"> </w:t>
      </w:r>
      <w:r>
        <w:t>4. W świetle tego wniosku nie ma potrzeby orzekania w kwestii drugiego zastrzeżenia podniesionego przez Rząd na podstawie art.</w:t>
      </w:r>
      <w:r w:rsidR="0027376A">
        <w:t xml:space="preserve"> </w:t>
      </w:r>
      <w:r>
        <w:t>35 ust.</w:t>
      </w:r>
      <w:r w:rsidR="0027376A">
        <w:t xml:space="preserve"> </w:t>
      </w:r>
      <w:r>
        <w:t>3 lit.</w:t>
      </w:r>
      <w:r w:rsidR="0027376A">
        <w:t xml:space="preserve"> </w:t>
      </w:r>
      <w:r>
        <w:t>b Konwencji.</w:t>
      </w:r>
    </w:p>
    <w:p w:rsidR="005A52C0" w:rsidRPr="00FF2363" w:rsidRDefault="005A52C0" w:rsidP="00FF2363">
      <w:pPr>
        <w:pStyle w:val="ECHRHeading1"/>
      </w:pPr>
      <w:r>
        <w:t>III.</w:t>
      </w:r>
      <w:r w:rsidR="0027376A">
        <w:t xml:space="preserve"> </w:t>
      </w:r>
      <w:r>
        <w:t>ZARZUCANE NARUSZENIE ART.</w:t>
      </w:r>
      <w:r w:rsidR="0027376A">
        <w:t xml:space="preserve"> </w:t>
      </w:r>
      <w:r>
        <w:t>18 KONWENCJI I ART.</w:t>
      </w:r>
      <w:r w:rsidR="0027376A">
        <w:t xml:space="preserve"> </w:t>
      </w:r>
      <w:r>
        <w:t>1 PROTOKOŁU NR</w:t>
      </w:r>
      <w:r w:rsidR="0027376A">
        <w:t xml:space="preserve"> </w:t>
      </w:r>
      <w:r>
        <w:t>1</w:t>
      </w:r>
    </w:p>
    <w:p w:rsidR="005A52C0" w:rsidRPr="00FF2363" w:rsidRDefault="005A52C0" w:rsidP="00FF2363">
      <w:pPr>
        <w:pStyle w:val="ECHRPara"/>
      </w:pPr>
      <w:r w:rsidRPr="00FF2363">
        <w:rPr>
          <w:noProof/>
        </w:rPr>
        <w:t>135</w:t>
      </w:r>
      <w:r>
        <w:t>.</w:t>
      </w:r>
      <w:r w:rsidR="0027376A">
        <w:t xml:space="preserve"> </w:t>
      </w:r>
      <w:r>
        <w:t>Skarżący podnosił przed Wielką Izbą, że odwołanie go ze</w:t>
      </w:r>
      <w:r w:rsidR="002E281C">
        <w:t> </w:t>
      </w:r>
      <w:r>
        <w:t>stanowiska prezesa Apelacyjnego Sądu Administracyjnego w Kijowie służyło ukrytym celom politycznym i jako takie stanowiło naruszenie art.</w:t>
      </w:r>
      <w:r w:rsidR="0027376A">
        <w:t xml:space="preserve"> </w:t>
      </w:r>
      <w:r>
        <w:t>18 Konwencji. Skarżył się ponadto na naruszenie jego praw o charakterze pieniężnym na gruncie art.</w:t>
      </w:r>
      <w:r w:rsidR="0027376A">
        <w:t xml:space="preserve"> </w:t>
      </w:r>
      <w:r>
        <w:t xml:space="preserve">1 </w:t>
      </w:r>
      <w:r w:rsidR="00BA0FA6">
        <w:t xml:space="preserve">Protokołu </w:t>
      </w:r>
      <w:r>
        <w:t>nr</w:t>
      </w:r>
      <w:r w:rsidR="0027376A">
        <w:t xml:space="preserve"> </w:t>
      </w:r>
      <w:r>
        <w:t>1, ponieważ uniemożliwiło mu</w:t>
      </w:r>
      <w:r w:rsidR="002E281C">
        <w:t> </w:t>
      </w:r>
      <w:r>
        <w:t>to</w:t>
      </w:r>
      <w:r w:rsidR="002E281C">
        <w:t> </w:t>
      </w:r>
      <w:r>
        <w:t>otrzymywanie wyższego wynagrodzenia i wyższych świadczeń emerytalnych. Artykuły te stanowią, co następuje:</w:t>
      </w:r>
    </w:p>
    <w:p w:rsidR="005A52C0" w:rsidRPr="00FF2363" w:rsidRDefault="005A52C0" w:rsidP="00FF2363">
      <w:pPr>
        <w:pStyle w:val="ECHRTitleCentre3"/>
      </w:pPr>
      <w:r w:rsidRPr="00C63901">
        <w:t>Artykuł 18</w:t>
      </w:r>
    </w:p>
    <w:p w:rsidR="005A52C0" w:rsidRPr="00FF2363" w:rsidRDefault="005A52C0" w:rsidP="00FF2363">
      <w:pPr>
        <w:pStyle w:val="ECHRParaQuote"/>
      </w:pPr>
      <w:r>
        <w:t>„Ograniczenia praw i wolności, na które zezwala niniejsza Konwencja, nie będą stosowane w innych celach, niż te, dla których je wprowadzono”.</w:t>
      </w:r>
    </w:p>
    <w:p w:rsidR="005A52C0" w:rsidRPr="00FF2363" w:rsidRDefault="005A52C0" w:rsidP="00FF2363">
      <w:pPr>
        <w:pStyle w:val="ECHRTitleCentre3"/>
      </w:pPr>
      <w:r>
        <w:t>Artykuł</w:t>
      </w:r>
      <w:r w:rsidR="0027376A">
        <w:t xml:space="preserve"> </w:t>
      </w:r>
      <w:r>
        <w:t xml:space="preserve">1 </w:t>
      </w:r>
      <w:r w:rsidR="00EE6196">
        <w:t xml:space="preserve">Protokołu </w:t>
      </w:r>
      <w:r>
        <w:t>nr</w:t>
      </w:r>
      <w:r w:rsidR="0027376A">
        <w:t xml:space="preserve"> </w:t>
      </w:r>
      <w:r>
        <w:t>1</w:t>
      </w:r>
    </w:p>
    <w:p w:rsidR="005A52C0" w:rsidRPr="00FF2363" w:rsidRDefault="005A52C0" w:rsidP="00FF2363">
      <w:pPr>
        <w:pStyle w:val="ECHRParaQuote"/>
      </w:pPr>
      <w:r>
        <w:t>„Każda osoba fizyczna i prawna ma prawo do poszanowania swego mienia. Nikt</w:t>
      </w:r>
      <w:r w:rsidR="00C63901">
        <w:t> </w:t>
      </w:r>
      <w:r>
        <w:t>nie</w:t>
      </w:r>
      <w:r w:rsidR="00C63901">
        <w:t> </w:t>
      </w:r>
      <w:r>
        <w:t>może być pozbawiony swojej własności, chyba że w interesie publicznym i</w:t>
      </w:r>
      <w:r w:rsidR="00C63901">
        <w:t> </w:t>
      </w:r>
      <w:r>
        <w:t>na warunkach przewidzianych przez ustawę oraz zgodnie z podstawowymi zasadami prawa międzynarodowego.</w:t>
      </w:r>
    </w:p>
    <w:p w:rsidR="005A52C0" w:rsidRPr="00FF2363" w:rsidRDefault="005A52C0" w:rsidP="00FF2363">
      <w:pPr>
        <w:pStyle w:val="ECHRParaQuote"/>
      </w:pPr>
      <w: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5A52C0" w:rsidRPr="00FF2363" w:rsidRDefault="005A52C0" w:rsidP="00FF2363">
      <w:pPr>
        <w:pStyle w:val="ECHRPara"/>
      </w:pPr>
      <w:r w:rsidRPr="00FF2363">
        <w:rPr>
          <w:noProof/>
        </w:rPr>
        <w:t>136</w:t>
      </w:r>
      <w:r>
        <w:t>.</w:t>
      </w:r>
      <w:r w:rsidR="0027376A">
        <w:t xml:space="preserve"> </w:t>
      </w:r>
      <w:r>
        <w:t>Trybunał zauważa, że skarga skarżącego na gruncie art.</w:t>
      </w:r>
      <w:r w:rsidR="0027376A">
        <w:t xml:space="preserve"> </w:t>
      </w:r>
      <w:r>
        <w:t>18 Konwencji została po raz pierwszy wniesiona w 2017</w:t>
      </w:r>
      <w:r w:rsidR="0027376A">
        <w:t xml:space="preserve"> </w:t>
      </w:r>
      <w:r>
        <w:t xml:space="preserve">r. w stanowisku </w:t>
      </w:r>
      <w:r>
        <w:lastRenderedPageBreak/>
        <w:t>skarżącego przedstawianym przed Wielką Izbą. Skarga ta została zatem wniesiona po upływie sześciomiesięcznego terminu, w związku z czym należy ją uznać za niedopuszczalną na podstawie art.</w:t>
      </w:r>
      <w:r w:rsidR="0027376A">
        <w:t xml:space="preserve"> </w:t>
      </w:r>
      <w:r>
        <w:t>35 ust.</w:t>
      </w:r>
      <w:r w:rsidR="0027376A">
        <w:t xml:space="preserve"> </w:t>
      </w:r>
      <w:r>
        <w:t>1 i 4 Konwencji.</w:t>
      </w:r>
    </w:p>
    <w:p w:rsidR="005A52C0" w:rsidRPr="00FF2363" w:rsidRDefault="005A52C0" w:rsidP="00FF2363">
      <w:pPr>
        <w:pStyle w:val="ECHRPara"/>
      </w:pPr>
      <w:r w:rsidRPr="00FF2363">
        <w:rPr>
          <w:noProof/>
        </w:rPr>
        <w:t>137</w:t>
      </w:r>
      <w:r>
        <w:t>.</w:t>
      </w:r>
      <w:r w:rsidR="0027376A">
        <w:t xml:space="preserve"> </w:t>
      </w:r>
      <w:r>
        <w:t>W odniesieniu do skargi skarżącego na gruncie art.</w:t>
      </w:r>
      <w:r w:rsidR="0027376A">
        <w:t xml:space="preserve"> </w:t>
      </w:r>
      <w:r>
        <w:t xml:space="preserve">1 </w:t>
      </w:r>
      <w:r w:rsidR="00BA0FA6">
        <w:t xml:space="preserve">Protokołu </w:t>
      </w:r>
      <w:r>
        <w:t>nr</w:t>
      </w:r>
      <w:r w:rsidR="0027376A">
        <w:t xml:space="preserve"> </w:t>
      </w:r>
      <w:r>
        <w:t xml:space="preserve">1 artykuł ten znajduje zastosowanie wyłącznie w odniesieniu do istniejącej własności osoby i nie rodzi prawa do nabycia własności (zob. </w:t>
      </w:r>
      <w:r>
        <w:rPr>
          <w:i/>
          <w:iCs/>
        </w:rPr>
        <w:t>Stummer przeciwko Austrii</w:t>
      </w:r>
      <w:r>
        <w:t xml:space="preserve"> [WI], skarga nr</w:t>
      </w:r>
      <w:r w:rsidR="0027376A">
        <w:t xml:space="preserve"> </w:t>
      </w:r>
      <w:r>
        <w:t>37452/02, §</w:t>
      </w:r>
      <w:r w:rsidR="0027376A">
        <w:t xml:space="preserve"> </w:t>
      </w:r>
      <w:r>
        <w:t xml:space="preserve">82, </w:t>
      </w:r>
      <w:r w:rsidR="000D5B2D">
        <w:t>ETPC</w:t>
      </w:r>
      <w:r>
        <w:t xml:space="preserve"> 2011). Co więcej, przyszłych dochodów nie można uznawać za „własność”, chyba że jest to</w:t>
      </w:r>
      <w:r w:rsidR="00C63901">
        <w:t> </w:t>
      </w:r>
      <w:r>
        <w:t xml:space="preserve">dochód </w:t>
      </w:r>
      <w:r w:rsidRPr="00A60E34">
        <w:t xml:space="preserve">już </w:t>
      </w:r>
      <w:r w:rsidR="00BA0FA6" w:rsidRPr="00A60E34">
        <w:t>zarobiony</w:t>
      </w:r>
      <w:r w:rsidR="00BA0FA6">
        <w:t xml:space="preserve"> </w:t>
      </w:r>
      <w:r>
        <w:t xml:space="preserve">lub na pewno należny (zob. </w:t>
      </w:r>
      <w:r>
        <w:rPr>
          <w:i/>
          <w:iCs/>
        </w:rPr>
        <w:t xml:space="preserve">Erkan przeciwko Turcji </w:t>
      </w:r>
      <w:r>
        <w:t>(dec.), skarga nr</w:t>
      </w:r>
      <w:r w:rsidR="0027376A">
        <w:t xml:space="preserve"> </w:t>
      </w:r>
      <w:r>
        <w:t>29840/03, 24</w:t>
      </w:r>
      <w:r w:rsidR="0027376A">
        <w:t xml:space="preserve"> </w:t>
      </w:r>
      <w:r>
        <w:t>marca 2005</w:t>
      </w:r>
      <w:r w:rsidR="0027376A">
        <w:t xml:space="preserve"> </w:t>
      </w:r>
      <w:r>
        <w:t xml:space="preserve">r. oraz </w:t>
      </w:r>
      <w:r>
        <w:rPr>
          <w:i/>
          <w:iCs/>
        </w:rPr>
        <w:t>Anheuser-Busch Inc. przeciwko Portugalii</w:t>
      </w:r>
      <w:r>
        <w:t xml:space="preserve"> [WI], skarga nr</w:t>
      </w:r>
      <w:r w:rsidR="0027376A">
        <w:t xml:space="preserve"> </w:t>
      </w:r>
      <w:r>
        <w:t>73049/01, §</w:t>
      </w:r>
      <w:r w:rsidR="0027376A">
        <w:t xml:space="preserve"> </w:t>
      </w:r>
      <w:r>
        <w:t xml:space="preserve">64, </w:t>
      </w:r>
      <w:r w:rsidR="000D5B2D">
        <w:t>ETPC</w:t>
      </w:r>
      <w:r>
        <w:t xml:space="preserve"> 2007</w:t>
      </w:r>
      <w:r>
        <w:noBreakHyphen/>
        <w:t>I). Odwołanie skarżącego ze stanowiska prezesa sądu uniemożliwiło mu</w:t>
      </w:r>
      <w:r w:rsidR="00C63901">
        <w:t> </w:t>
      </w:r>
      <w:r>
        <w:t>otrzymywanie wyższego wynagrodzenia na tym stanowisku oraz ubieganie się o wyższe świadczenia emerytalne w przyszłości. Ten</w:t>
      </w:r>
      <w:r w:rsidR="00C63901">
        <w:t> </w:t>
      </w:r>
      <w:r>
        <w:t>dodatkowy dochód nie został jednak faktycznie</w:t>
      </w:r>
      <w:r w:rsidR="00BA0FA6">
        <w:t xml:space="preserve"> zarobiony</w:t>
      </w:r>
      <w:r>
        <w:t>. Nie można też twierdzić, że był on na pewno należny. W świetle powyższych okoliczności należy uznać, że</w:t>
      </w:r>
      <w:r w:rsidR="0027376A">
        <w:t xml:space="preserve"> </w:t>
      </w:r>
      <w:r>
        <w:t xml:space="preserve">niniejsza skarga jest niezgodna </w:t>
      </w:r>
      <w:r>
        <w:rPr>
          <w:i/>
          <w:iCs/>
        </w:rPr>
        <w:t>ratione materiae</w:t>
      </w:r>
      <w:r>
        <w:t xml:space="preserve"> z</w:t>
      </w:r>
      <w:r w:rsidR="0027376A">
        <w:t xml:space="preserve"> </w:t>
      </w:r>
      <w:r>
        <w:t>postanowieniami Konwencji i protokołów do niej, w związku z</w:t>
      </w:r>
      <w:r w:rsidR="00C63901">
        <w:t> </w:t>
      </w:r>
      <w:r>
        <w:t>czym podlega odrzuceniu w</w:t>
      </w:r>
      <w:r w:rsidR="0027376A">
        <w:t xml:space="preserve"> </w:t>
      </w:r>
      <w:r>
        <w:t>trybie art.</w:t>
      </w:r>
      <w:r w:rsidR="0027376A">
        <w:t xml:space="preserve"> </w:t>
      </w:r>
      <w:r>
        <w:t>35 ust.</w:t>
      </w:r>
      <w:r w:rsidR="0027376A">
        <w:t xml:space="preserve"> </w:t>
      </w:r>
      <w:r>
        <w:t>3 lit.</w:t>
      </w:r>
      <w:r w:rsidR="0027376A">
        <w:t xml:space="preserve"> </w:t>
      </w:r>
      <w:r>
        <w:t>a i art.</w:t>
      </w:r>
      <w:r w:rsidR="0027376A">
        <w:t xml:space="preserve"> </w:t>
      </w:r>
      <w:r>
        <w:t>35 ust.</w:t>
      </w:r>
      <w:r w:rsidR="0027376A">
        <w:t xml:space="preserve"> </w:t>
      </w:r>
      <w:r>
        <w:t>4.</w:t>
      </w:r>
    </w:p>
    <w:p w:rsidR="005A52C0" w:rsidRPr="00FF2363" w:rsidRDefault="005A52C0" w:rsidP="00FF2363">
      <w:pPr>
        <w:pStyle w:val="ECHRHeading1"/>
      </w:pPr>
      <w:r>
        <w:t>IV.</w:t>
      </w:r>
      <w:r w:rsidR="0027376A">
        <w:t xml:space="preserve"> </w:t>
      </w:r>
      <w:r>
        <w:t>INNE ZARZUCANE NARUSZENIA KONWENCJI</w:t>
      </w:r>
    </w:p>
    <w:p w:rsidR="005A52C0" w:rsidRPr="00FF2363" w:rsidRDefault="005A52C0" w:rsidP="00FF2363">
      <w:pPr>
        <w:pStyle w:val="ECHRPara"/>
      </w:pPr>
      <w:r w:rsidRPr="00FF2363">
        <w:rPr>
          <w:noProof/>
        </w:rPr>
        <w:t>138</w:t>
      </w:r>
      <w:r>
        <w:t>.</w:t>
      </w:r>
      <w:r w:rsidR="0027376A">
        <w:t xml:space="preserve"> </w:t>
      </w:r>
      <w:r>
        <w:t>Skarżący skarżył się na gruncie art.</w:t>
      </w:r>
      <w:r w:rsidR="0027376A">
        <w:t xml:space="preserve"> </w:t>
      </w:r>
      <w:r>
        <w:t>6 ust.</w:t>
      </w:r>
      <w:r w:rsidR="0027376A">
        <w:t xml:space="preserve"> </w:t>
      </w:r>
      <w:r>
        <w:t>1 Konwencji, że zasady równości broni, pewności prawa i „sądu ustanowionego ustawą” zostały naruszone, a wymóg, by decyzja zawierała stosowne uzasadnienie, nie</w:t>
      </w:r>
      <w:r w:rsidR="00C63901">
        <w:t> </w:t>
      </w:r>
      <w:r>
        <w:t>został spełniony. Powołując się na art.</w:t>
      </w:r>
      <w:r w:rsidR="0027376A">
        <w:t xml:space="preserve"> </w:t>
      </w:r>
      <w:r>
        <w:t>13 Konwencji, skarżący zarzucił, że</w:t>
      </w:r>
      <w:r w:rsidR="0027376A">
        <w:t xml:space="preserve"> </w:t>
      </w:r>
      <w:r>
        <w:t>w jego sprawie zabrakło skutecznego środka odwoławczego.</w:t>
      </w:r>
    </w:p>
    <w:p w:rsidR="005A52C0" w:rsidRPr="00FF2363" w:rsidRDefault="005A52C0" w:rsidP="00FF2363">
      <w:pPr>
        <w:pStyle w:val="ECHRPara"/>
      </w:pPr>
      <w:r w:rsidRPr="00FF2363">
        <w:rPr>
          <w:noProof/>
        </w:rPr>
        <w:t>139</w:t>
      </w:r>
      <w:r>
        <w:t>.</w:t>
      </w:r>
      <w:r w:rsidR="0027376A">
        <w:t xml:space="preserve"> </w:t>
      </w:r>
      <w:r>
        <w:t>Mając na uwadze okoliczności faktyczne sprawy oraz powyższe ustalenia na gruncie art.</w:t>
      </w:r>
      <w:r w:rsidR="0027376A">
        <w:t xml:space="preserve"> </w:t>
      </w:r>
      <w:r>
        <w:t>6 ust.</w:t>
      </w:r>
      <w:r w:rsidR="0027376A">
        <w:t xml:space="preserve"> </w:t>
      </w:r>
      <w:r>
        <w:t>1 Konwencji w odniesieniu do zasad niez</w:t>
      </w:r>
      <w:r w:rsidR="007B7FED">
        <w:t>a</w:t>
      </w:r>
      <w:r>
        <w:t xml:space="preserve">wisłego i bezstronnego sądu, Trybunał uznaje, że zasadnicze zagadnienie prawne na gruncie Konwencji zostały określone. Nie ma zatem potrzeby oddzielnego orzekania o dopuszczalności i przedmiocie pozostałych skarg (zob. między innymi </w:t>
      </w:r>
      <w:r>
        <w:rPr>
          <w:i/>
          <w:iCs/>
        </w:rPr>
        <w:t>Varnava i Inni przeciwko Turcji</w:t>
      </w:r>
      <w:r>
        <w:t xml:space="preserve"> [WI], skargi nr 16064/90 i 8</w:t>
      </w:r>
      <w:r w:rsidR="0027376A">
        <w:t xml:space="preserve"> </w:t>
      </w:r>
      <w:r>
        <w:t>innych, §§</w:t>
      </w:r>
      <w:r w:rsidR="0027376A">
        <w:t xml:space="preserve"> </w:t>
      </w:r>
      <w:r>
        <w:t xml:space="preserve">210–11, </w:t>
      </w:r>
      <w:r w:rsidR="000D5B2D">
        <w:t>ETPC</w:t>
      </w:r>
      <w:r>
        <w:t xml:space="preserve"> 2009, i </w:t>
      </w:r>
      <w:r>
        <w:rPr>
          <w:i/>
          <w:iCs/>
        </w:rPr>
        <w:t>Centrum Zasobów Prawnych w</w:t>
      </w:r>
      <w:r w:rsidR="0027376A">
        <w:rPr>
          <w:i/>
          <w:iCs/>
        </w:rPr>
        <w:t xml:space="preserve"> </w:t>
      </w:r>
      <w:r>
        <w:rPr>
          <w:i/>
          <w:iCs/>
        </w:rPr>
        <w:t xml:space="preserve">imieniu Valentina Câmpeanu </w:t>
      </w:r>
      <w:r w:rsidR="00BA0FA6">
        <w:rPr>
          <w:iCs/>
        </w:rPr>
        <w:t>(</w:t>
      </w:r>
      <w:r w:rsidR="00BA0FA6" w:rsidRPr="00FF2363">
        <w:rPr>
          <w:i/>
        </w:rPr>
        <w:t>Centre for Legal Resources on behalf of Valentin Câmpeanu</w:t>
      </w:r>
      <w:r w:rsidR="00BA0FA6">
        <w:rPr>
          <w:iCs/>
        </w:rPr>
        <w:t xml:space="preserve">) </w:t>
      </w:r>
      <w:r>
        <w:rPr>
          <w:i/>
          <w:iCs/>
        </w:rPr>
        <w:t>przeciwko Rumunii</w:t>
      </w:r>
      <w:r>
        <w:t xml:space="preserve"> [WI], skarga nr</w:t>
      </w:r>
      <w:r w:rsidR="0027376A">
        <w:t xml:space="preserve"> </w:t>
      </w:r>
      <w:r>
        <w:t>47848/08, §</w:t>
      </w:r>
      <w:r w:rsidR="0027376A">
        <w:t xml:space="preserve"> </w:t>
      </w:r>
      <w:r>
        <w:t xml:space="preserve">156, </w:t>
      </w:r>
      <w:r w:rsidR="000D5B2D">
        <w:t>ETPC</w:t>
      </w:r>
      <w:r>
        <w:t xml:space="preserve"> 2014, i przytoczone tam orzecznictwo).</w:t>
      </w:r>
    </w:p>
    <w:p w:rsidR="005A52C0" w:rsidRPr="00FF2363" w:rsidRDefault="005A52C0" w:rsidP="00FF2363">
      <w:pPr>
        <w:pStyle w:val="ECHRHeading1"/>
      </w:pPr>
      <w:r>
        <w:t>V.</w:t>
      </w:r>
      <w:r w:rsidR="0027376A">
        <w:t xml:space="preserve"> </w:t>
      </w:r>
      <w:r>
        <w:t>ZASTOSOWANIE ART.</w:t>
      </w:r>
      <w:r w:rsidR="0027376A">
        <w:t xml:space="preserve"> </w:t>
      </w:r>
      <w:r>
        <w:t>41 KONWENCJI</w:t>
      </w:r>
    </w:p>
    <w:p w:rsidR="005A52C0" w:rsidRPr="00FF2363" w:rsidRDefault="005A52C0" w:rsidP="00FF2363">
      <w:pPr>
        <w:pStyle w:val="ECHRPara"/>
      </w:pPr>
      <w:r w:rsidRPr="00FF2363">
        <w:rPr>
          <w:noProof/>
        </w:rPr>
        <w:t>140</w:t>
      </w:r>
      <w:r>
        <w:t>.</w:t>
      </w:r>
      <w:r w:rsidR="0027376A">
        <w:t xml:space="preserve"> </w:t>
      </w:r>
      <w:r>
        <w:t>Artykuł</w:t>
      </w:r>
      <w:r w:rsidR="0027376A">
        <w:t xml:space="preserve"> </w:t>
      </w:r>
      <w:r>
        <w:t>41 Konwencji stanowi:</w:t>
      </w:r>
    </w:p>
    <w:p w:rsidR="005A52C0" w:rsidRPr="00FF2363" w:rsidRDefault="005A52C0" w:rsidP="00FF2363">
      <w:pPr>
        <w:pStyle w:val="ECHRParaQuote"/>
        <w:keepNext/>
        <w:keepLines/>
      </w:pPr>
      <w: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5A52C0" w:rsidRPr="00FF2363" w:rsidRDefault="005A52C0" w:rsidP="00FF2363">
      <w:pPr>
        <w:pStyle w:val="ECHRHeading2"/>
      </w:pPr>
      <w:r>
        <w:t>A.</w:t>
      </w:r>
      <w:r w:rsidR="0027376A">
        <w:t xml:space="preserve"> </w:t>
      </w:r>
      <w:r>
        <w:t>Szkoda</w:t>
      </w:r>
    </w:p>
    <w:p w:rsidR="005A52C0" w:rsidRPr="00FF2363" w:rsidRDefault="005A52C0" w:rsidP="00FF2363">
      <w:pPr>
        <w:pStyle w:val="ECHRPara"/>
      </w:pPr>
      <w:r w:rsidRPr="00FF2363">
        <w:rPr>
          <w:noProof/>
        </w:rPr>
        <w:t>141</w:t>
      </w:r>
      <w:r>
        <w:t>.</w:t>
      </w:r>
      <w:r w:rsidR="0027376A">
        <w:t xml:space="preserve"> </w:t>
      </w:r>
      <w:r>
        <w:t>Skarżący początkowo dochodził zadośćuczynienia za szkodę majątkową, które to roszczenie następnie wycofał pismem z dnia 24</w:t>
      </w:r>
      <w:r w:rsidR="00C63901">
        <w:t> </w:t>
      </w:r>
      <w:r>
        <w:t>listopada 2017</w:t>
      </w:r>
      <w:r w:rsidR="0027376A">
        <w:t xml:space="preserve"> </w:t>
      </w:r>
      <w:r>
        <w:t>r. Ponadto skarżący dochodził kwoty</w:t>
      </w:r>
      <w:r w:rsidR="0027376A">
        <w:t xml:space="preserve"> </w:t>
      </w:r>
      <w:r>
        <w:t>10</w:t>
      </w:r>
      <w:r w:rsidR="0027376A">
        <w:t xml:space="preserve"> </w:t>
      </w:r>
      <w:r>
        <w:t>000</w:t>
      </w:r>
      <w:r w:rsidR="0027376A">
        <w:t xml:space="preserve"> </w:t>
      </w:r>
      <w:r>
        <w:t>euro (EUR) tytułem zadośćuczynienia za szkody niemajątkowe</w:t>
      </w:r>
    </w:p>
    <w:p w:rsidR="005A52C0" w:rsidRPr="00FF2363" w:rsidRDefault="005A52C0" w:rsidP="00FF2363">
      <w:pPr>
        <w:pStyle w:val="ECHRPara"/>
      </w:pPr>
      <w:r w:rsidRPr="00FF2363">
        <w:rPr>
          <w:noProof/>
        </w:rPr>
        <w:t>142</w:t>
      </w:r>
      <w:r>
        <w:t>.</w:t>
      </w:r>
      <w:r w:rsidR="0027376A">
        <w:t xml:space="preserve"> </w:t>
      </w:r>
      <w:r>
        <w:t xml:space="preserve">Rząd podniósł, że roszczenie </w:t>
      </w:r>
      <w:r w:rsidR="00043509">
        <w:t xml:space="preserve">z </w:t>
      </w:r>
      <w:r>
        <w:t>tytułu szkody niemajątkowe</w:t>
      </w:r>
      <w:r w:rsidR="00043509">
        <w:t>j</w:t>
      </w:r>
      <w:r>
        <w:t xml:space="preserve"> było bezpodstawne.</w:t>
      </w:r>
    </w:p>
    <w:p w:rsidR="005A52C0" w:rsidRPr="00FF2363" w:rsidRDefault="005A52C0" w:rsidP="00FF2363">
      <w:pPr>
        <w:pStyle w:val="ECHRPara"/>
      </w:pPr>
      <w:r w:rsidRPr="00FF2363">
        <w:rPr>
          <w:noProof/>
        </w:rPr>
        <w:t>143</w:t>
      </w:r>
      <w:r>
        <w:t>.</w:t>
      </w:r>
      <w:r w:rsidR="0027376A">
        <w:t xml:space="preserve"> </w:t>
      </w:r>
      <w:r>
        <w:t xml:space="preserve">Trybunał uznaje, że skarżący musiał doznać szkody niemajątkowej, której nie naprawi samo stwierdzenie naruszenia Konwencji w niniejszym wyroku. </w:t>
      </w:r>
      <w:r w:rsidR="00043509">
        <w:t xml:space="preserve">Działając </w:t>
      </w:r>
      <w:r>
        <w:t xml:space="preserve">w oparciu o zasadę słuszności, </w:t>
      </w:r>
      <w:r w:rsidR="00043509">
        <w:t xml:space="preserve">Trybunał </w:t>
      </w:r>
      <w:r>
        <w:t>przyznaje skarżącemu 3000</w:t>
      </w:r>
      <w:r w:rsidR="0027376A">
        <w:t xml:space="preserve"> </w:t>
      </w:r>
      <w:r>
        <w:t>EUR zadośćuczynienia za szkodę niemajątkową.</w:t>
      </w:r>
    </w:p>
    <w:p w:rsidR="005A52C0" w:rsidRPr="00FF2363" w:rsidRDefault="005A52C0" w:rsidP="00FF2363">
      <w:pPr>
        <w:pStyle w:val="ECHRHeading2"/>
      </w:pPr>
      <w:r>
        <w:t>B.</w:t>
      </w:r>
      <w:r w:rsidR="0027376A">
        <w:t xml:space="preserve"> </w:t>
      </w:r>
      <w:r>
        <w:t>Koszty i wydatki</w:t>
      </w:r>
    </w:p>
    <w:p w:rsidR="005A52C0" w:rsidRPr="00FF2363" w:rsidRDefault="005A52C0" w:rsidP="00FF2363">
      <w:pPr>
        <w:pStyle w:val="ECHRPara"/>
      </w:pPr>
      <w:r w:rsidRPr="00FF2363">
        <w:rPr>
          <w:noProof/>
        </w:rPr>
        <w:t>144</w:t>
      </w:r>
      <w:r>
        <w:t>.</w:t>
      </w:r>
      <w:r w:rsidR="0027376A">
        <w:t xml:space="preserve"> </w:t>
      </w:r>
      <w:r>
        <w:t>W postępowaniu przed Izbą p.</w:t>
      </w:r>
      <w:r w:rsidR="0027376A">
        <w:t xml:space="preserve"> </w:t>
      </w:r>
      <w:r>
        <w:t>Denisov i jedenaścioro innych skarżących łącznie dochodzili kwoty 15</w:t>
      </w:r>
      <w:r w:rsidR="0027376A">
        <w:t xml:space="preserve"> </w:t>
      </w:r>
      <w:r>
        <w:t>691,97</w:t>
      </w:r>
      <w:r w:rsidR="0027376A">
        <w:t xml:space="preserve"> </w:t>
      </w:r>
      <w:r>
        <w:t>funtów (GBP) tytułem poniesionych kosztów i wydatków. Następnie skarga p.</w:t>
      </w:r>
      <w:r w:rsidR="0027376A">
        <w:t xml:space="preserve"> </w:t>
      </w:r>
      <w:r>
        <w:t>Denisova została rozpoznana oddzielnie po zrzeczeniu się jurysdykcji na rzecz Wielkiej Izby. W postępowaniu przed Wielką Izbą p.</w:t>
      </w:r>
      <w:r w:rsidR="0027376A">
        <w:t xml:space="preserve"> </w:t>
      </w:r>
      <w:r>
        <w:t>Denisov, reprezentowany przez dwóch prawników, dochodził kwoty 33</w:t>
      </w:r>
      <w:r w:rsidR="0027376A">
        <w:t xml:space="preserve"> </w:t>
      </w:r>
      <w:r>
        <w:t>600</w:t>
      </w:r>
      <w:r w:rsidR="0027376A">
        <w:t xml:space="preserve"> </w:t>
      </w:r>
      <w:r>
        <w:t>GBP tytułem kosztów prawych, 1418,98</w:t>
      </w:r>
      <w:r w:rsidR="0027376A">
        <w:t xml:space="preserve"> </w:t>
      </w:r>
      <w:r>
        <w:t>GBP i 2499,79</w:t>
      </w:r>
      <w:r w:rsidR="0027376A">
        <w:t xml:space="preserve"> </w:t>
      </w:r>
      <w:r>
        <w:t>EUR tytułem kosztów administracyjnych i usług tłumacza oraz innych wydatków, a także 712</w:t>
      </w:r>
      <w:r w:rsidR="0027376A">
        <w:t xml:space="preserve"> </w:t>
      </w:r>
      <w:r>
        <w:t>GBP, 630,20</w:t>
      </w:r>
      <w:r w:rsidR="0027376A">
        <w:t xml:space="preserve"> </w:t>
      </w:r>
      <w:r>
        <w:t>EUR i</w:t>
      </w:r>
      <w:r w:rsidR="00C63901">
        <w:t> </w:t>
      </w:r>
      <w:r>
        <w:t>8867</w:t>
      </w:r>
      <w:r w:rsidR="00C63901">
        <w:t> </w:t>
      </w:r>
      <w:r>
        <w:t>UAH tytułem kosztów podróży, w tym w związku z osobistym stawiennictwem skarżącego na rozprawie przed Trybunałem. Skarżący zwrócił się o dokonanie przelewu kwoty zasądzonej tytułem poniesionych kosztów i wydatków na konta bankowe w Zjednoczonym Królestwie, wskazane przez jego przedstawicieli.</w:t>
      </w:r>
    </w:p>
    <w:p w:rsidR="005A52C0" w:rsidRPr="00FF2363" w:rsidRDefault="005A52C0" w:rsidP="00FF2363">
      <w:pPr>
        <w:pStyle w:val="ECHRPara"/>
      </w:pPr>
      <w:r w:rsidRPr="00FF2363">
        <w:rPr>
          <w:noProof/>
        </w:rPr>
        <w:t>145</w:t>
      </w:r>
      <w:r>
        <w:t>.</w:t>
      </w:r>
      <w:r w:rsidR="0027376A">
        <w:t xml:space="preserve"> </w:t>
      </w:r>
      <w:r>
        <w:t>Rząd podniósł, że roszczenia skarżącego były nadmierne oraz</w:t>
      </w:r>
      <w:r w:rsidR="00C63901">
        <w:t> </w:t>
      </w:r>
      <w:r>
        <w:t>niedostatecznie uzasadnione. Argumentował w szczególności, że</w:t>
      </w:r>
      <w:r w:rsidR="00C63901">
        <w:t> </w:t>
      </w:r>
      <w:r>
        <w:t>kwoty dochodzone tytułem kosztów prawnych były zawyżone, a koszt tłumaczenia nie musiał zostać poniesiony. W związku z tym, o ile zostałoby stwierdzone naruszenie Konwencji, kwoty zasądzone tytułem tych kosztów należałoby znacznie obniżyć.</w:t>
      </w:r>
    </w:p>
    <w:p w:rsidR="005A52C0" w:rsidRPr="00FF2363" w:rsidRDefault="005A52C0" w:rsidP="00FF2363">
      <w:pPr>
        <w:pStyle w:val="ECHRPara"/>
      </w:pPr>
      <w:r w:rsidRPr="00FF2363">
        <w:rPr>
          <w:noProof/>
        </w:rPr>
        <w:t>146</w:t>
      </w:r>
      <w:r>
        <w:t>.</w:t>
      </w:r>
      <w:r w:rsidR="0027376A">
        <w:t xml:space="preserve"> </w:t>
      </w:r>
      <w:r>
        <w:t xml:space="preserve">Zgodnie z orzecznictwem Trybunału skarżącemu przysługuje prawo do zwrotu poniesionych kosztów i wydatków </w:t>
      </w:r>
      <w:r w:rsidR="006716AB">
        <w:t xml:space="preserve">jedynie </w:t>
      </w:r>
      <w:r>
        <w:t xml:space="preserve">wówczas, </w:t>
      </w:r>
      <w:r w:rsidR="006716AB">
        <w:t>gdy</w:t>
      </w:r>
      <w:r w:rsidR="00C63901">
        <w:t> </w:t>
      </w:r>
      <w:r>
        <w:t>wykazał, że były one rzeczywiście poniesione</w:t>
      </w:r>
      <w:r w:rsidR="006716AB">
        <w:t xml:space="preserve"> oraz że były konieczne</w:t>
      </w:r>
      <w:r>
        <w:t xml:space="preserve"> i</w:t>
      </w:r>
      <w:r w:rsidR="00C63901">
        <w:t> </w:t>
      </w:r>
      <w:r>
        <w:t xml:space="preserve">uzasadnione co do wysokości. Co więcej, podlegają one zwrotowi tylko wówczas </w:t>
      </w:r>
      <w:r w:rsidR="00DD683D">
        <w:t>–</w:t>
      </w:r>
      <w:r>
        <w:t xml:space="preserve"> i w zakresie, w jakim </w:t>
      </w:r>
      <w:r w:rsidR="00DD683D">
        <w:t>–</w:t>
      </w:r>
      <w:r>
        <w:t xml:space="preserve"> odnoszą się one do stwierdzonego </w:t>
      </w:r>
      <w:r>
        <w:lastRenderedPageBreak/>
        <w:t xml:space="preserve">naruszenia (zob. </w:t>
      </w:r>
      <w:r>
        <w:rPr>
          <w:i/>
          <w:iCs/>
        </w:rPr>
        <w:t xml:space="preserve">Murray przeciwko Holandii </w:t>
      </w:r>
      <w:r>
        <w:t>[WI]</w:t>
      </w:r>
      <w:r>
        <w:rPr>
          <w:snapToGrid w:val="0"/>
        </w:rPr>
        <w:t xml:space="preserve">, </w:t>
      </w:r>
      <w:r>
        <w:t>skarga nr</w:t>
      </w:r>
      <w:r w:rsidR="0027376A">
        <w:t xml:space="preserve"> </w:t>
      </w:r>
      <w:r>
        <w:t>10511/10</w:t>
      </w:r>
      <w:r>
        <w:rPr>
          <w:snapToGrid w:val="0"/>
        </w:rPr>
        <w:t>, §</w:t>
      </w:r>
      <w:r w:rsidR="00C63901">
        <w:rPr>
          <w:snapToGrid w:val="0"/>
        </w:rPr>
        <w:t> </w:t>
      </w:r>
      <w:r>
        <w:rPr>
          <w:snapToGrid w:val="0"/>
        </w:rPr>
        <w:t xml:space="preserve">134, </w:t>
      </w:r>
      <w:r w:rsidR="000D5B2D">
        <w:rPr>
          <w:snapToGrid w:val="0"/>
        </w:rPr>
        <w:t>ETPC</w:t>
      </w:r>
      <w:r>
        <w:rPr>
          <w:snapToGrid w:val="0"/>
        </w:rPr>
        <w:t xml:space="preserve"> 2016</w:t>
      </w:r>
      <w:r>
        <w:t>). W tym względzie Trybunał zauważa, że skargi skarżącego zostały uznane jedynie częściowo, a znaczna część jego roszczeń odnosiła się do tej części skargi, która została uznana za</w:t>
      </w:r>
      <w:r w:rsidR="00C63901">
        <w:t> </w:t>
      </w:r>
      <w:r>
        <w:t>niedopuszczalną. W zaistniałych okolicznościach Trybunał może orzec o</w:t>
      </w:r>
      <w:r w:rsidR="00C63901">
        <w:t> </w:t>
      </w:r>
      <w:r>
        <w:t>proporcjonalnym obniżeniu kwot zasądzonych tytułem kosztów i</w:t>
      </w:r>
      <w:r w:rsidR="00C63901">
        <w:t> </w:t>
      </w:r>
      <w:r>
        <w:t xml:space="preserve">wydatków (zob. na przykład </w:t>
      </w:r>
      <w:r>
        <w:rPr>
          <w:i/>
          <w:iCs/>
        </w:rPr>
        <w:t>Bykov przeciwko Rosji</w:t>
      </w:r>
      <w:r>
        <w:t xml:space="preserve"> [WI], skargi nr</w:t>
      </w:r>
      <w:r w:rsidR="00C63901">
        <w:t> </w:t>
      </w:r>
      <w:r>
        <w:t>4378/02, §</w:t>
      </w:r>
      <w:r w:rsidR="0027376A">
        <w:t xml:space="preserve"> </w:t>
      </w:r>
      <w:r>
        <w:t>114, 10</w:t>
      </w:r>
      <w:r w:rsidR="0027376A">
        <w:t xml:space="preserve"> </w:t>
      </w:r>
      <w:r>
        <w:t>marca 2009</w:t>
      </w:r>
      <w:r w:rsidR="0027376A">
        <w:t xml:space="preserve"> </w:t>
      </w:r>
      <w:r>
        <w:t xml:space="preserve">r. oraz </w:t>
      </w:r>
      <w:r>
        <w:rPr>
          <w:i/>
          <w:iCs/>
        </w:rPr>
        <w:t>Bayatyan przeciwko Armenii</w:t>
      </w:r>
      <w:r>
        <w:t xml:space="preserve"> [WI], skarga nr</w:t>
      </w:r>
      <w:r w:rsidR="0027376A">
        <w:t xml:space="preserve"> </w:t>
      </w:r>
      <w:r>
        <w:t>23459/03, §</w:t>
      </w:r>
      <w:r w:rsidR="0027376A">
        <w:t xml:space="preserve"> </w:t>
      </w:r>
      <w:r>
        <w:t xml:space="preserve">135, </w:t>
      </w:r>
      <w:r w:rsidR="000D5B2D">
        <w:t>ETPC</w:t>
      </w:r>
      <w:r w:rsidR="0027376A">
        <w:t xml:space="preserve"> </w:t>
      </w:r>
      <w:r>
        <w:t>2011).</w:t>
      </w:r>
    </w:p>
    <w:p w:rsidR="005A52C0" w:rsidRPr="00FF2363" w:rsidRDefault="005A52C0" w:rsidP="00FF2363">
      <w:pPr>
        <w:pStyle w:val="ECHRPara"/>
      </w:pPr>
      <w:r w:rsidRPr="00FF2363">
        <w:rPr>
          <w:noProof/>
        </w:rPr>
        <w:t>147</w:t>
      </w:r>
      <w:r>
        <w:t>.</w:t>
      </w:r>
      <w:r w:rsidR="0027376A">
        <w:t xml:space="preserve"> </w:t>
      </w:r>
      <w:r>
        <w:t xml:space="preserve">Ponadto Trybunał pragnie zauważyć, że osobiste stawiennictwo skarżącego przed Wielką Izbą nie było wymagane oraz że można mieć wątpliwości co do tego, czy poniesienie tych kosztów i wydatków było konieczne (por. </w:t>
      </w:r>
      <w:r>
        <w:rPr>
          <w:i/>
          <w:iCs/>
        </w:rPr>
        <w:t>Martinie przeciwko Francji</w:t>
      </w:r>
      <w:r>
        <w:t xml:space="preserve"> [WI], skarga nr 58675/00, §</w:t>
      </w:r>
      <w:r w:rsidR="0027376A">
        <w:t xml:space="preserve"> </w:t>
      </w:r>
      <w:r>
        <w:t xml:space="preserve">62, </w:t>
      </w:r>
      <w:r w:rsidR="000D5B2D">
        <w:t>ETPC</w:t>
      </w:r>
      <w:r>
        <w:t xml:space="preserve"> 2006-VI). Niemniej jednak, uwzględniając dotychczasowe orzecznictwo (zob. w szczególności </w:t>
      </w:r>
      <w:r w:rsidRPr="009A119B">
        <w:rPr>
          <w:i/>
          <w:iCs/>
        </w:rPr>
        <w:t>Folgerø i Inni przeciwko Norwegii</w:t>
      </w:r>
      <w:r>
        <w:t xml:space="preserve"> [WI], skarga nr</w:t>
      </w:r>
      <w:r w:rsidR="0027376A">
        <w:t xml:space="preserve"> </w:t>
      </w:r>
      <w:r>
        <w:t>15472/02, §</w:t>
      </w:r>
      <w:r w:rsidR="0027376A">
        <w:t xml:space="preserve"> </w:t>
      </w:r>
      <w:r>
        <w:t xml:space="preserve">112, </w:t>
      </w:r>
      <w:r w:rsidR="000D5B2D">
        <w:t>ETPC</w:t>
      </w:r>
      <w:r w:rsidR="0027376A">
        <w:t xml:space="preserve"> </w:t>
      </w:r>
      <w:r>
        <w:t>2007</w:t>
      </w:r>
      <w:r>
        <w:noBreakHyphen/>
        <w:t xml:space="preserve">III, </w:t>
      </w:r>
      <w:r w:rsidRPr="009A119B">
        <w:rPr>
          <w:i/>
          <w:iCs/>
        </w:rPr>
        <w:t>Söderman przeciwko Szwecji</w:t>
      </w:r>
      <w:r>
        <w:t xml:space="preserve"> [WI], skarga nr</w:t>
      </w:r>
      <w:r w:rsidR="0027376A">
        <w:t xml:space="preserve"> </w:t>
      </w:r>
      <w:r>
        <w:t>5786/08, §</w:t>
      </w:r>
      <w:r w:rsidR="0027376A">
        <w:t xml:space="preserve"> </w:t>
      </w:r>
      <w:r>
        <w:t xml:space="preserve">126, </w:t>
      </w:r>
      <w:r w:rsidR="000D5B2D">
        <w:t>ETPC</w:t>
      </w:r>
      <w:r>
        <w:t xml:space="preserve"> 2013 oraz </w:t>
      </w:r>
      <w:r w:rsidRPr="009A119B">
        <w:rPr>
          <w:i/>
          <w:iCs/>
        </w:rPr>
        <w:t xml:space="preserve">Jeunesse przeciwko Holandii </w:t>
      </w:r>
      <w:r>
        <w:t>[WI], skarga nr</w:t>
      </w:r>
      <w:r w:rsidR="0027376A">
        <w:t xml:space="preserve"> </w:t>
      </w:r>
      <w:r>
        <w:t>12738/10, §</w:t>
      </w:r>
      <w:r w:rsidR="0027376A">
        <w:t xml:space="preserve"> </w:t>
      </w:r>
      <w:r>
        <w:t>135, 3</w:t>
      </w:r>
      <w:r w:rsidR="0027376A">
        <w:t xml:space="preserve"> </w:t>
      </w:r>
      <w:r>
        <w:t>października 2014</w:t>
      </w:r>
      <w:r w:rsidR="00C63901">
        <w:t> </w:t>
      </w:r>
      <w:r>
        <w:t>r.), Trybunał przyjmuje, że koszty i wydatki poniesione w związku z</w:t>
      </w:r>
      <w:r w:rsidR="00C63901">
        <w:t> </w:t>
      </w:r>
      <w:r>
        <w:t>uczestnictwem skarżącego w rozprawie przed Wielką Izbą można uznać w</w:t>
      </w:r>
      <w:r w:rsidR="00C63901">
        <w:t> </w:t>
      </w:r>
      <w:r>
        <w:t>zakresie, w jakim były one rozsądne i zostały odpowiednio uzasadnione.</w:t>
      </w:r>
    </w:p>
    <w:p w:rsidR="005A52C0" w:rsidRPr="00FF2363" w:rsidRDefault="005A52C0" w:rsidP="00FF2363">
      <w:pPr>
        <w:pStyle w:val="ECHRPara"/>
      </w:pPr>
      <w:r w:rsidRPr="00FF2363">
        <w:rPr>
          <w:noProof/>
        </w:rPr>
        <w:t>148</w:t>
      </w:r>
      <w:r>
        <w:t>.</w:t>
      </w:r>
      <w:r w:rsidR="0027376A">
        <w:t xml:space="preserve"> </w:t>
      </w:r>
      <w:r>
        <w:t>W świetle powyższych ustaleń, mając na uwadze posiadane dokumenty oraz powyższe kryteria, Trybunał uznaje za uzasadnione zasądzić kwotę 3000</w:t>
      </w:r>
      <w:r w:rsidR="0027376A">
        <w:t xml:space="preserve"> </w:t>
      </w:r>
      <w:r>
        <w:t>EUR na pokrycie kosztów wszelkiego rodzaju. Zgodnie z życzeniem skarżącego zasądzona kwota ma zostać wpłacona bezpośrednio na konta bankowe wskazane przez jego przedstawicieli (zob.</w:t>
      </w:r>
      <w:r w:rsidR="00C63901">
        <w:t> </w:t>
      </w:r>
      <w:r>
        <w:t xml:space="preserve">na przykład </w:t>
      </w:r>
      <w:r>
        <w:rPr>
          <w:i/>
          <w:iCs/>
        </w:rPr>
        <w:t>Hristovi przeciwko Bułgarii</w:t>
      </w:r>
      <w:r>
        <w:t>, skarga nr</w:t>
      </w:r>
      <w:r w:rsidR="0027376A">
        <w:t xml:space="preserve"> </w:t>
      </w:r>
      <w:r>
        <w:t>42697/05, §</w:t>
      </w:r>
      <w:r w:rsidR="0027376A">
        <w:t xml:space="preserve"> </w:t>
      </w:r>
      <w:r>
        <w:t>109, 11</w:t>
      </w:r>
      <w:r w:rsidR="0027376A">
        <w:t xml:space="preserve"> </w:t>
      </w:r>
      <w:r>
        <w:t>października 2011</w:t>
      </w:r>
      <w:r w:rsidR="0027376A">
        <w:t xml:space="preserve"> </w:t>
      </w:r>
      <w:r>
        <w:t xml:space="preserve">r. oraz </w:t>
      </w:r>
      <w:r>
        <w:rPr>
          <w:i/>
          <w:iCs/>
        </w:rPr>
        <w:t>Singartiyski i Inni przeciwko Bułgarii</w:t>
      </w:r>
      <w:r>
        <w:t>, skarga nr</w:t>
      </w:r>
      <w:r w:rsidR="0027376A">
        <w:t xml:space="preserve"> </w:t>
      </w:r>
      <w:r>
        <w:t>48284/07, §</w:t>
      </w:r>
      <w:r w:rsidR="0027376A">
        <w:t xml:space="preserve"> </w:t>
      </w:r>
      <w:r>
        <w:t>54, 18</w:t>
      </w:r>
      <w:r w:rsidR="0027376A">
        <w:t xml:space="preserve"> </w:t>
      </w:r>
      <w:r>
        <w:t>października 2011</w:t>
      </w:r>
      <w:r w:rsidR="0027376A">
        <w:t xml:space="preserve"> </w:t>
      </w:r>
      <w:r>
        <w:t>r.).</w:t>
      </w:r>
    </w:p>
    <w:p w:rsidR="005A52C0" w:rsidRPr="00FF2363" w:rsidRDefault="005A52C0" w:rsidP="00FF2363">
      <w:pPr>
        <w:pStyle w:val="ECHRHeading2"/>
      </w:pPr>
      <w:r>
        <w:t>C.</w:t>
      </w:r>
      <w:r w:rsidR="0027376A">
        <w:t xml:space="preserve"> </w:t>
      </w:r>
      <w:r>
        <w:t>Odsetki za zwłokę</w:t>
      </w:r>
    </w:p>
    <w:p w:rsidR="005A52C0" w:rsidRPr="00FF2363" w:rsidRDefault="005A52C0" w:rsidP="00FF2363">
      <w:pPr>
        <w:pStyle w:val="ECHRPara"/>
      </w:pPr>
      <w:r w:rsidRPr="00FF2363">
        <w:rPr>
          <w:noProof/>
        </w:rPr>
        <w:t>149</w:t>
      </w:r>
      <w:r>
        <w:t>.</w:t>
      </w:r>
      <w:r w:rsidR="0027376A">
        <w:t xml:space="preserve"> </w:t>
      </w:r>
      <w:r>
        <w:t>Trybunał za słuszne uznaje wyznaczenie wysokości odsetek za</w:t>
      </w:r>
      <w:r w:rsidR="00C63901">
        <w:t> </w:t>
      </w:r>
      <w:r>
        <w:t>zwłokę na podstawie marginalnej stopy procentowej Europejskiego Banku Centralnego powiększonej o trzy punkty procentowe.</w:t>
      </w:r>
    </w:p>
    <w:p w:rsidR="005A52C0" w:rsidRPr="00FF2363" w:rsidRDefault="005A52C0" w:rsidP="00FF2363">
      <w:pPr>
        <w:pStyle w:val="ECHRTitle1"/>
      </w:pPr>
      <w:r>
        <w:t>Z TYCH PRZYCZYN TRYBUNAŁ</w:t>
      </w:r>
    </w:p>
    <w:p w:rsidR="005A52C0" w:rsidRPr="00FF2363" w:rsidRDefault="005A52C0" w:rsidP="00FF2363">
      <w:pPr>
        <w:pStyle w:val="JuList"/>
      </w:pPr>
      <w:r>
        <w:t>1.</w:t>
      </w:r>
      <w:r w:rsidR="0027376A">
        <w:t xml:space="preserve"> </w:t>
      </w:r>
      <w:r>
        <w:rPr>
          <w:i/>
          <w:iCs/>
        </w:rPr>
        <w:t>Uznaje</w:t>
      </w:r>
      <w:r>
        <w:t xml:space="preserve"> jednogłośnie za dopuszczalną skargę na gruncie art.</w:t>
      </w:r>
      <w:r w:rsidR="0027376A">
        <w:t xml:space="preserve"> </w:t>
      </w:r>
      <w:r>
        <w:t>6 ust.</w:t>
      </w:r>
      <w:r w:rsidR="0027376A">
        <w:t xml:space="preserve"> </w:t>
      </w:r>
      <w:r>
        <w:t>1 Konwencji w odniesieniu do zasady niezawisłości i bezstronności sądu;</w:t>
      </w:r>
    </w:p>
    <w:p w:rsidR="005A52C0" w:rsidRPr="00FF2363" w:rsidRDefault="005A52C0" w:rsidP="00FF2363">
      <w:pPr>
        <w:pStyle w:val="JuList"/>
        <w:ind w:left="0" w:firstLine="0"/>
      </w:pPr>
    </w:p>
    <w:p w:rsidR="005A52C0" w:rsidRPr="00FF2363" w:rsidRDefault="005A52C0" w:rsidP="00FF2363">
      <w:pPr>
        <w:pStyle w:val="JuList"/>
      </w:pPr>
      <w:r>
        <w:lastRenderedPageBreak/>
        <w:t>2.</w:t>
      </w:r>
      <w:r w:rsidR="0027376A">
        <w:t xml:space="preserve"> </w:t>
      </w:r>
      <w:r>
        <w:rPr>
          <w:i/>
          <w:iCs/>
        </w:rPr>
        <w:t>uznaje</w:t>
      </w:r>
      <w:r>
        <w:t xml:space="preserve"> większością głosów za niedopuszczalną skargę na gruncie art.</w:t>
      </w:r>
      <w:r w:rsidR="0027376A">
        <w:t xml:space="preserve"> </w:t>
      </w:r>
      <w:r>
        <w:t>8 Konwencji;</w:t>
      </w:r>
    </w:p>
    <w:p w:rsidR="005A52C0" w:rsidRPr="00FF2363" w:rsidRDefault="005A52C0" w:rsidP="00FF2363">
      <w:pPr>
        <w:pStyle w:val="JuList"/>
      </w:pPr>
    </w:p>
    <w:p w:rsidR="005A52C0" w:rsidRPr="00FF2363" w:rsidRDefault="005A52C0" w:rsidP="00FF2363">
      <w:pPr>
        <w:pStyle w:val="JuList"/>
      </w:pPr>
      <w:r>
        <w:t>3.</w:t>
      </w:r>
      <w:r w:rsidR="0027376A">
        <w:t xml:space="preserve"> </w:t>
      </w:r>
      <w:r>
        <w:rPr>
          <w:i/>
          <w:iCs/>
        </w:rPr>
        <w:t>uznaje</w:t>
      </w:r>
      <w:r>
        <w:t xml:space="preserve"> jednogłośnie za niedopuszczalną skargę na gruncie art.</w:t>
      </w:r>
      <w:r w:rsidR="0027376A">
        <w:t xml:space="preserve"> </w:t>
      </w:r>
      <w:r>
        <w:t>18 Konwencji i art.</w:t>
      </w:r>
      <w:r w:rsidR="0027376A">
        <w:t xml:space="preserve"> </w:t>
      </w:r>
      <w:r>
        <w:t xml:space="preserve">1 </w:t>
      </w:r>
      <w:r w:rsidR="006716AB">
        <w:t xml:space="preserve">Protokołu </w:t>
      </w:r>
      <w:r>
        <w:t>nr</w:t>
      </w:r>
      <w:r w:rsidR="0027376A">
        <w:t xml:space="preserve"> </w:t>
      </w:r>
      <w:r>
        <w:t>1 do Konwencji;</w:t>
      </w:r>
    </w:p>
    <w:p w:rsidR="005A52C0" w:rsidRPr="00FF2363" w:rsidRDefault="005A52C0" w:rsidP="00FF2363">
      <w:pPr>
        <w:pStyle w:val="JuList"/>
      </w:pPr>
    </w:p>
    <w:p w:rsidR="005A52C0" w:rsidRPr="00FF2363" w:rsidRDefault="005A52C0" w:rsidP="00FF2363">
      <w:pPr>
        <w:pStyle w:val="JuList"/>
      </w:pPr>
      <w:r>
        <w:t>4.</w:t>
      </w:r>
      <w:r w:rsidR="0027376A">
        <w:t xml:space="preserve"> </w:t>
      </w:r>
      <w:r>
        <w:rPr>
          <w:i/>
          <w:iCs/>
        </w:rPr>
        <w:t>orzeka</w:t>
      </w:r>
      <w:r>
        <w:t xml:space="preserve"> jednogłośnie, że nastąpiło naruszenie art.</w:t>
      </w:r>
      <w:r w:rsidR="0027376A">
        <w:t xml:space="preserve"> </w:t>
      </w:r>
      <w:r>
        <w:t>6 ust.</w:t>
      </w:r>
      <w:r w:rsidR="0027376A">
        <w:t xml:space="preserve"> </w:t>
      </w:r>
      <w:r>
        <w:t>1 Konwencji w</w:t>
      </w:r>
      <w:r w:rsidR="00C63901">
        <w:t> </w:t>
      </w:r>
      <w:r>
        <w:t>odniesieniu do zasad niezawisłości i bezstronności sądu;</w:t>
      </w:r>
    </w:p>
    <w:p w:rsidR="005A52C0" w:rsidRPr="00FF2363" w:rsidRDefault="005A52C0" w:rsidP="00FF2363">
      <w:pPr>
        <w:pStyle w:val="JuList"/>
      </w:pPr>
    </w:p>
    <w:p w:rsidR="005A52C0" w:rsidRPr="00FF2363" w:rsidRDefault="005A52C0" w:rsidP="00FF2363">
      <w:pPr>
        <w:pStyle w:val="JuList"/>
      </w:pPr>
      <w:r>
        <w:t>5.</w:t>
      </w:r>
      <w:r w:rsidR="0027376A">
        <w:t xml:space="preserve"> </w:t>
      </w:r>
      <w:r>
        <w:rPr>
          <w:i/>
          <w:iCs/>
        </w:rPr>
        <w:t>uznaje</w:t>
      </w:r>
      <w:r>
        <w:t xml:space="preserve"> jednogłośnie,</w:t>
      </w:r>
      <w:r>
        <w:rPr>
          <w:color w:val="000000"/>
        </w:rPr>
        <w:t xml:space="preserve"> </w:t>
      </w:r>
      <w:r>
        <w:t>że nie ma potrzeby badać dopuszczalności i</w:t>
      </w:r>
      <w:r w:rsidR="00C63901">
        <w:t> </w:t>
      </w:r>
      <w:r>
        <w:t>przedmiotu pozostałych skarg;</w:t>
      </w:r>
    </w:p>
    <w:p w:rsidR="005A52C0" w:rsidRPr="00FF2363" w:rsidRDefault="005A52C0" w:rsidP="00FF2363">
      <w:pPr>
        <w:pStyle w:val="JuList"/>
      </w:pPr>
    </w:p>
    <w:p w:rsidR="005A52C0" w:rsidRPr="00FF2363" w:rsidRDefault="005A52C0" w:rsidP="00FF2363">
      <w:pPr>
        <w:pStyle w:val="JuList"/>
      </w:pPr>
      <w:r>
        <w:t>6.</w:t>
      </w:r>
      <w:r w:rsidR="0027376A">
        <w:t xml:space="preserve"> </w:t>
      </w:r>
      <w:r>
        <w:rPr>
          <w:i/>
          <w:iCs/>
        </w:rPr>
        <w:t>uznaje</w:t>
      </w:r>
      <w:r>
        <w:t xml:space="preserve"> jednogłośnie</w:t>
      </w:r>
    </w:p>
    <w:p w:rsidR="005A52C0" w:rsidRPr="00FF2363" w:rsidRDefault="005A52C0" w:rsidP="00FF2363">
      <w:pPr>
        <w:pStyle w:val="JuLista"/>
      </w:pPr>
      <w:r>
        <w:t>a)</w:t>
      </w:r>
      <w:r w:rsidR="0027376A">
        <w:t xml:space="preserve"> </w:t>
      </w:r>
      <w:r>
        <w:t>że pozwane Państwo winno, w terminie trzech miesięcy, uiścić na</w:t>
      </w:r>
      <w:r w:rsidR="00C63901">
        <w:t> </w:t>
      </w:r>
      <w:r>
        <w:t>rzecz skarżącego następujące kwoty, przeliczon</w:t>
      </w:r>
      <w:r w:rsidR="006716AB">
        <w:t>e</w:t>
      </w:r>
      <w:r>
        <w:t xml:space="preserve"> na walutę pozwanego </w:t>
      </w:r>
      <w:r w:rsidR="006716AB">
        <w:t xml:space="preserve">Państwa </w:t>
      </w:r>
      <w:r>
        <w:t>według kursu obowiązującego w dniu płatności:</w:t>
      </w:r>
    </w:p>
    <w:p w:rsidR="005A52C0" w:rsidRPr="00FF2363" w:rsidRDefault="005A52C0" w:rsidP="00FF2363">
      <w:pPr>
        <w:pStyle w:val="JuListi"/>
      </w:pPr>
      <w:r>
        <w:t>(i)</w:t>
      </w:r>
      <w:r w:rsidR="0027376A">
        <w:t xml:space="preserve"> </w:t>
      </w:r>
      <w:r>
        <w:t>3000 EUR (trzy tysiące euro), plus wszelkie należne podatki, tytułem zadośćuczynienia za szkodę niemajątkową;</w:t>
      </w:r>
    </w:p>
    <w:p w:rsidR="005A52C0" w:rsidRPr="00FF2363" w:rsidRDefault="005A52C0" w:rsidP="00FF2363">
      <w:pPr>
        <w:pStyle w:val="JuListi"/>
      </w:pPr>
      <w:r>
        <w:t>(ii)</w:t>
      </w:r>
      <w:r w:rsidR="0027376A">
        <w:t xml:space="preserve"> </w:t>
      </w:r>
      <w:r>
        <w:t>3000</w:t>
      </w:r>
      <w:r w:rsidR="0027376A">
        <w:t xml:space="preserve"> </w:t>
      </w:r>
      <w:r>
        <w:t>EUR (trzy tysiące euro), plus wszelkie należne podatki, tytułem poniesionych kosztów i wydatków, przy czym kwota ta</w:t>
      </w:r>
      <w:r w:rsidR="00C63901">
        <w:t> </w:t>
      </w:r>
      <w:r>
        <w:t xml:space="preserve">podlega wpłacie na konto bankowe wskazane przez przedstawicieli skarżącego, </w:t>
      </w:r>
    </w:p>
    <w:p w:rsidR="005A52C0" w:rsidRPr="00FF2363" w:rsidRDefault="005A52C0" w:rsidP="00FF2363">
      <w:pPr>
        <w:pStyle w:val="JuLista"/>
      </w:pPr>
      <w:r>
        <w:t>b)</w:t>
      </w:r>
      <w:r w:rsidR="0027376A">
        <w:t xml:space="preserve"> </w:t>
      </w:r>
      <w:r>
        <w:t>że od upływu wyżej wskazanego terminu trzech miesięcy aż</w:t>
      </w:r>
      <w:r w:rsidR="00C63901">
        <w:t> </w:t>
      </w:r>
      <w:r>
        <w:t>do</w:t>
      </w:r>
      <w:r w:rsidR="00C63901">
        <w:t> </w:t>
      </w:r>
      <w:r>
        <w:t>momentu uregulowania należności, należne będą odsetki zwykłe od określonych powyżej kwot, naliczone według stopy równej marginalnej stopie procentowej Europejskiego Banku Centralnego obowiązującej w</w:t>
      </w:r>
      <w:r w:rsidR="0027376A">
        <w:t xml:space="preserve"> </w:t>
      </w:r>
      <w:r>
        <w:t>tym okresie, powiększonej o trzy punkty procentowe;</w:t>
      </w:r>
    </w:p>
    <w:p w:rsidR="005A52C0" w:rsidRPr="00FF2363" w:rsidRDefault="005A52C0" w:rsidP="00FF2363">
      <w:pPr>
        <w:pStyle w:val="JuList"/>
      </w:pPr>
    </w:p>
    <w:p w:rsidR="005A52C0" w:rsidRPr="00FF2363" w:rsidRDefault="005A52C0" w:rsidP="00FF2363">
      <w:pPr>
        <w:pStyle w:val="JuList"/>
      </w:pPr>
      <w:r>
        <w:t>7.</w:t>
      </w:r>
      <w:r w:rsidR="0027376A">
        <w:t xml:space="preserve"> </w:t>
      </w:r>
      <w:r>
        <w:rPr>
          <w:i/>
          <w:iCs/>
        </w:rPr>
        <w:t>oddala</w:t>
      </w:r>
      <w:r>
        <w:t>, szesnastoma głosami do jednego, pozostałą część roszczenia skarżącego dotyczącego słusznego zadośćuczynienia.</w:t>
      </w:r>
    </w:p>
    <w:p w:rsidR="005A52C0" w:rsidRPr="00FF2363" w:rsidRDefault="005A52C0" w:rsidP="00FF2363">
      <w:pPr>
        <w:pStyle w:val="JuParaLast"/>
      </w:pPr>
      <w:r>
        <w:t>Sporządzono w języku angielskim i francuskim i podano do wiadomości na rozprawie publicznej w Budynku Praw Człowieka w Strasburgu w</w:t>
      </w:r>
      <w:r w:rsidR="0027376A">
        <w:t xml:space="preserve"> </w:t>
      </w:r>
      <w:r>
        <w:t>dniu</w:t>
      </w:r>
      <w:r w:rsidR="0027376A">
        <w:t xml:space="preserve"> </w:t>
      </w:r>
      <w:r>
        <w:t>25 września 2018</w:t>
      </w:r>
      <w:r w:rsidR="0027376A">
        <w:t xml:space="preserve"> </w:t>
      </w:r>
      <w:r>
        <w:t>r.</w:t>
      </w:r>
    </w:p>
    <w:p w:rsidR="005A52C0" w:rsidRPr="00FF2363" w:rsidRDefault="005A52C0" w:rsidP="00FF2363">
      <w:pPr>
        <w:pStyle w:val="JuSigned"/>
        <w:tabs>
          <w:tab w:val="clear" w:pos="851"/>
          <w:tab w:val="center" w:pos="1134"/>
        </w:tabs>
      </w:pPr>
      <w:r>
        <w:tab/>
        <w:t>Françoise Elens-Passos</w:t>
      </w:r>
      <w:r>
        <w:tab/>
        <w:t>Guido Raimondi</w:t>
      </w:r>
      <w:r>
        <w:br/>
      </w:r>
      <w:r>
        <w:tab/>
        <w:t>Zastępca Kanclerza</w:t>
      </w:r>
      <w:r>
        <w:tab/>
        <w:t>Przewodniczący</w:t>
      </w:r>
    </w:p>
    <w:p w:rsidR="00240D33" w:rsidRPr="00FF2363" w:rsidRDefault="00240D33">
      <w:pPr>
        <w:pStyle w:val="JuSigned"/>
        <w:tabs>
          <w:tab w:val="clear" w:pos="851"/>
          <w:tab w:val="center" w:pos="1134"/>
        </w:tabs>
      </w:pPr>
    </w:p>
    <w:sectPr w:rsidR="00240D33" w:rsidRPr="00FF2363" w:rsidSect="0054441A">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E86" w:rsidRPr="003152BA" w:rsidRDefault="00993E86" w:rsidP="00014566">
      <w:r w:rsidRPr="003152BA">
        <w:separator/>
      </w:r>
    </w:p>
  </w:endnote>
  <w:endnote w:type="continuationSeparator" w:id="0">
    <w:p w:rsidR="00993E86" w:rsidRPr="003152BA" w:rsidRDefault="00993E86"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Pr="00150BFA" w:rsidRDefault="00507637" w:rsidP="00D315BF">
    <w:pPr>
      <w:jc w:val="center"/>
    </w:pPr>
    <w:r>
      <w:rPr>
        <w:noProof/>
        <w:lang w:eastAsia="pl-PL"/>
      </w:rPr>
      <w:drawing>
        <wp:inline distT="0" distB="0" distL="0" distR="0" wp14:anchorId="76C97699" wp14:editId="29D7D5AD">
          <wp:extent cx="762000" cy="619125"/>
          <wp:effectExtent l="19050" t="0" r="0" b="0"/>
          <wp:docPr id="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
                  <a:srcRect/>
                  <a:stretch>
                    <a:fillRect/>
                  </a:stretch>
                </pic:blipFill>
                <pic:spPr bwMode="auto">
                  <a:xfrm>
                    <a:off x="0" y="0"/>
                    <a:ext cx="762000" cy="619125"/>
                  </a:xfrm>
                  <a:prstGeom prst="rect">
                    <a:avLst/>
                  </a:prstGeom>
                  <a:noFill/>
                  <a:ln w="9525">
                    <a:noFill/>
                    <a:miter lim="800000"/>
                    <a:headEnd/>
                    <a:tailEnd/>
                  </a:ln>
                </pic:spPr>
              </pic:pic>
            </a:graphicData>
          </a:graphic>
        </wp:inline>
      </w:drawing>
    </w:r>
  </w:p>
  <w:p w:rsidR="00507637" w:rsidRPr="00A737D1" w:rsidRDefault="00507637" w:rsidP="00D315BF">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Default="0050763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Pr="00A737D1" w:rsidRDefault="00507637" w:rsidP="00D315BF">
    <w:pPr>
      <w:pStyle w:val="Stopka"/>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E86" w:rsidRPr="003152BA" w:rsidRDefault="00993E86" w:rsidP="00014566">
      <w:r w:rsidRPr="003152BA">
        <w:separator/>
      </w:r>
    </w:p>
  </w:footnote>
  <w:footnote w:type="continuationSeparator" w:id="0">
    <w:p w:rsidR="00993E86" w:rsidRPr="003152BA" w:rsidRDefault="00993E86" w:rsidP="00014566">
      <w:r w:rsidRPr="003152BA">
        <w:continuationSeparator/>
      </w:r>
    </w:p>
  </w:footnote>
  <w:footnote w:id="1">
    <w:p w:rsidR="00507637" w:rsidRPr="00EE6196" w:rsidRDefault="00507637" w:rsidP="003B4AC8">
      <w:pPr>
        <w:pStyle w:val="s50c0b1c7"/>
        <w:jc w:val="both"/>
        <w:rPr>
          <w:lang w:val="en-GB"/>
        </w:rPr>
      </w:pPr>
      <w:r w:rsidRPr="009B6F67">
        <w:rPr>
          <w:rStyle w:val="Odwoanieprzypisudolnego"/>
          <w:sz w:val="20"/>
          <w:szCs w:val="20"/>
        </w:rPr>
        <w:footnoteRef/>
      </w:r>
      <w:r w:rsidRPr="009B6F67">
        <w:t xml:space="preserve"> </w:t>
      </w:r>
      <w:r w:rsidRPr="009B6F67">
        <w:rPr>
          <w:sz w:val="20"/>
          <w:szCs w:val="20"/>
        </w:rPr>
        <w:t xml:space="preserve">Źródło: Nota informacyjna na temat orzecznictwa Trybunału nr 221, sierpień-wrzesień 2018 </w:t>
      </w:r>
      <w:r>
        <w:rPr>
          <w:sz w:val="20"/>
          <w:szCs w:val="20"/>
        </w:rPr>
        <w:t xml:space="preserve">r. </w:t>
      </w:r>
      <w:r w:rsidRPr="009B6F67">
        <w:rPr>
          <w:sz w:val="20"/>
          <w:szCs w:val="20"/>
        </w:rPr>
        <w:t>(</w:t>
      </w:r>
      <w:r w:rsidRPr="009B6F67">
        <w:rPr>
          <w:rStyle w:val="s3aeeab2"/>
          <w:i/>
          <w:iCs/>
          <w:sz w:val="20"/>
          <w:szCs w:val="20"/>
        </w:rPr>
        <w:t xml:space="preserve">Information Note. </w:t>
      </w:r>
      <w:r w:rsidRPr="009B6F67">
        <w:rPr>
          <w:rStyle w:val="s3aeeab2"/>
          <w:i/>
          <w:iCs/>
          <w:sz w:val="20"/>
          <w:szCs w:val="20"/>
          <w:lang w:val="en-US"/>
        </w:rPr>
        <w:t>Case-law of the European Court of Human Rights No. 221, August-</w:t>
      </w:r>
      <w:r w:rsidRPr="009B6F67">
        <w:rPr>
          <w:rStyle w:val="sfbbfee58"/>
          <w:i/>
          <w:iCs/>
          <w:sz w:val="20"/>
          <w:szCs w:val="20"/>
          <w:lang w:val="en-US"/>
        </w:rPr>
        <w:t>September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Pr="00A45145" w:rsidRDefault="00507637" w:rsidP="00D315BF">
    <w:pPr>
      <w:jc w:val="center"/>
    </w:pPr>
    <w:r>
      <w:rPr>
        <w:noProof/>
        <w:lang w:eastAsia="pl-PL"/>
      </w:rPr>
      <w:drawing>
        <wp:inline distT="0" distB="0" distL="0" distR="0" wp14:anchorId="61561C0B" wp14:editId="3F7EBA85">
          <wp:extent cx="2962275" cy="1219200"/>
          <wp:effectExtent l="19050" t="0" r="9525" b="0"/>
          <wp:docPr id="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
                  <a:srcRect/>
                  <a:stretch>
                    <a:fillRect/>
                  </a:stretch>
                </pic:blipFill>
                <pic:spPr bwMode="auto">
                  <a:xfrm>
                    <a:off x="0" y="0"/>
                    <a:ext cx="2962275" cy="1219200"/>
                  </a:xfrm>
                  <a:prstGeom prst="rect">
                    <a:avLst/>
                  </a:prstGeom>
                  <a:noFill/>
                  <a:ln w="9525">
                    <a:noFill/>
                    <a:miter lim="800000"/>
                    <a:headEnd/>
                    <a:tailEnd/>
                  </a:ln>
                </pic:spPr>
              </pic:pic>
            </a:graphicData>
          </a:graphic>
        </wp:inline>
      </w:drawing>
    </w:r>
  </w:p>
  <w:p w:rsidR="00507637" w:rsidRDefault="00507637" w:rsidP="00D315B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Pr="003152BA" w:rsidRDefault="00F07F4F" w:rsidP="00EE1DA9">
    <w:pPr>
      <w:pStyle w:val="ECHRHeader"/>
    </w:pPr>
    <w:r>
      <w:rPr>
        <w:rStyle w:val="Numerstrony"/>
      </w:rPr>
      <w:fldChar w:fldCharType="begin"/>
    </w:r>
    <w:r w:rsidR="00507637">
      <w:rPr>
        <w:rStyle w:val="Numerstrony"/>
      </w:rPr>
      <w:instrText xml:space="preserve"> PAGE </w:instrText>
    </w:r>
    <w:r>
      <w:rPr>
        <w:rStyle w:val="Numerstrony"/>
      </w:rPr>
      <w:fldChar w:fldCharType="separate"/>
    </w:r>
    <w:r w:rsidR="00DD0989">
      <w:rPr>
        <w:rStyle w:val="Numerstrony"/>
        <w:noProof/>
      </w:rPr>
      <w:t>32</w:t>
    </w:r>
    <w:r>
      <w:rPr>
        <w:rStyle w:val="Numerstrony"/>
      </w:rPr>
      <w:fldChar w:fldCharType="end"/>
    </w:r>
    <w:r w:rsidR="00507637">
      <w:tab/>
    </w:r>
    <w:r w:rsidR="00507637">
      <w:rPr>
        <w:rStyle w:val="Numerstrony"/>
      </w:rPr>
      <w:t xml:space="preserve">WYROK W SPRAWIE </w:t>
    </w:r>
    <w:r w:rsidR="00507637">
      <w:t>DENISOV PRZECIWKO UKRAINIE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637" w:rsidRPr="003152BA" w:rsidRDefault="00507637" w:rsidP="00D60D87">
    <w:pPr>
      <w:pStyle w:val="ECHRHeader"/>
    </w:pPr>
    <w:r>
      <w:rPr>
        <w:rStyle w:val="Numerstrony"/>
      </w:rPr>
      <w:tab/>
      <w:t xml:space="preserve">WYROK W SPRAWIE </w:t>
    </w:r>
    <w:r>
      <w:t>DENISOV PRZECIWKO UKRAINIE</w:t>
    </w:r>
    <w:r>
      <w:tab/>
    </w:r>
    <w:r w:rsidR="00F07F4F">
      <w:rPr>
        <w:rStyle w:val="Numerstrony"/>
      </w:rPr>
      <w:fldChar w:fldCharType="begin"/>
    </w:r>
    <w:r>
      <w:rPr>
        <w:rStyle w:val="Numerstrony"/>
      </w:rPr>
      <w:instrText xml:space="preserve"> PAGE </w:instrText>
    </w:r>
    <w:r w:rsidR="00F07F4F">
      <w:rPr>
        <w:rStyle w:val="Numerstrony"/>
      </w:rPr>
      <w:fldChar w:fldCharType="separate"/>
    </w:r>
    <w:r w:rsidR="00DD0989">
      <w:rPr>
        <w:rStyle w:val="Numerstrony"/>
        <w:noProof/>
      </w:rPr>
      <w:t>31</w:t>
    </w:r>
    <w:r w:rsidR="00F07F4F">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JuAppQuestion"/>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23802660"/>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96082F28"/>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9482EC3A"/>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7666B2C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2760110"/>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AEE8A85E"/>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861DDE"/>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2860B6"/>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0CF6A5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nsid w:val="71C73010"/>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CF490E"/>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737461D"/>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5"/>
  </w:num>
  <w:num w:numId="32">
    <w:abstractNumId w:val="12"/>
  </w:num>
  <w:num w:numId="33">
    <w:abstractNumId w:val="10"/>
  </w:num>
  <w:num w:numId="34">
    <w:abstractNumId w:val="18"/>
  </w:num>
  <w:num w:numId="35">
    <w:abstractNumId w:val="11"/>
  </w:num>
  <w:num w:numId="36">
    <w:abstractNumId w:val="16"/>
  </w:num>
  <w:num w:numId="37">
    <w:abstractNumId w:val="14"/>
  </w:num>
  <w:num w:numId="38">
    <w:abstractNumId w:val="13"/>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F4885"/>
    <w:rsid w:val="00000067"/>
    <w:rsid w:val="00000BD7"/>
    <w:rsid w:val="000010ED"/>
    <w:rsid w:val="000029EB"/>
    <w:rsid w:val="0000318F"/>
    <w:rsid w:val="000041F8"/>
    <w:rsid w:val="000042A8"/>
    <w:rsid w:val="00004308"/>
    <w:rsid w:val="00004370"/>
    <w:rsid w:val="000057B1"/>
    <w:rsid w:val="00005BF0"/>
    <w:rsid w:val="00007154"/>
    <w:rsid w:val="000103AE"/>
    <w:rsid w:val="000111E3"/>
    <w:rsid w:val="00011D69"/>
    <w:rsid w:val="00012AD3"/>
    <w:rsid w:val="00014566"/>
    <w:rsid w:val="00015C2D"/>
    <w:rsid w:val="00015F00"/>
    <w:rsid w:val="00017218"/>
    <w:rsid w:val="00017DC9"/>
    <w:rsid w:val="00022C1D"/>
    <w:rsid w:val="00023330"/>
    <w:rsid w:val="00024979"/>
    <w:rsid w:val="00030D01"/>
    <w:rsid w:val="00034987"/>
    <w:rsid w:val="000350E3"/>
    <w:rsid w:val="00036DE8"/>
    <w:rsid w:val="00042C6E"/>
    <w:rsid w:val="00043509"/>
    <w:rsid w:val="00050DD3"/>
    <w:rsid w:val="0005386E"/>
    <w:rsid w:val="000540F3"/>
    <w:rsid w:val="00054636"/>
    <w:rsid w:val="00054FEE"/>
    <w:rsid w:val="00055B9D"/>
    <w:rsid w:val="00057ED6"/>
    <w:rsid w:val="000602DF"/>
    <w:rsid w:val="00061B05"/>
    <w:rsid w:val="00062973"/>
    <w:rsid w:val="00062D5D"/>
    <w:rsid w:val="000632D5"/>
    <w:rsid w:val="000644EE"/>
    <w:rsid w:val="000656C9"/>
    <w:rsid w:val="00066F84"/>
    <w:rsid w:val="00071ABC"/>
    <w:rsid w:val="00073321"/>
    <w:rsid w:val="0007586E"/>
    <w:rsid w:val="00076493"/>
    <w:rsid w:val="0007745F"/>
    <w:rsid w:val="0008254F"/>
    <w:rsid w:val="00083B65"/>
    <w:rsid w:val="00084923"/>
    <w:rsid w:val="000856D7"/>
    <w:rsid w:val="000902AD"/>
    <w:rsid w:val="0009157D"/>
    <w:rsid w:val="000925AD"/>
    <w:rsid w:val="000925CC"/>
    <w:rsid w:val="00095663"/>
    <w:rsid w:val="00096CF7"/>
    <w:rsid w:val="0009735B"/>
    <w:rsid w:val="00097EF4"/>
    <w:rsid w:val="000A07C5"/>
    <w:rsid w:val="000A2485"/>
    <w:rsid w:val="000A24EB"/>
    <w:rsid w:val="000A5319"/>
    <w:rsid w:val="000B0B2E"/>
    <w:rsid w:val="000B2987"/>
    <w:rsid w:val="000B5240"/>
    <w:rsid w:val="000B6880"/>
    <w:rsid w:val="000B6923"/>
    <w:rsid w:val="000C033C"/>
    <w:rsid w:val="000C1EE5"/>
    <w:rsid w:val="000C24D3"/>
    <w:rsid w:val="000C5F3C"/>
    <w:rsid w:val="000C6DCC"/>
    <w:rsid w:val="000C788D"/>
    <w:rsid w:val="000D47AA"/>
    <w:rsid w:val="000D5B2D"/>
    <w:rsid w:val="000D721F"/>
    <w:rsid w:val="000E069B"/>
    <w:rsid w:val="000E0E82"/>
    <w:rsid w:val="000E1DC5"/>
    <w:rsid w:val="000E1ED4"/>
    <w:rsid w:val="000E208B"/>
    <w:rsid w:val="000E223F"/>
    <w:rsid w:val="000E35AC"/>
    <w:rsid w:val="000E7D45"/>
    <w:rsid w:val="000F338C"/>
    <w:rsid w:val="000F5506"/>
    <w:rsid w:val="000F5FFA"/>
    <w:rsid w:val="000F7851"/>
    <w:rsid w:val="001025DB"/>
    <w:rsid w:val="001036DB"/>
    <w:rsid w:val="00104E23"/>
    <w:rsid w:val="00105B10"/>
    <w:rsid w:val="00105D8F"/>
    <w:rsid w:val="00107471"/>
    <w:rsid w:val="0010758C"/>
    <w:rsid w:val="00111B0C"/>
    <w:rsid w:val="00112B0D"/>
    <w:rsid w:val="001133F3"/>
    <w:rsid w:val="00114E9B"/>
    <w:rsid w:val="001159A6"/>
    <w:rsid w:val="00120D6C"/>
    <w:rsid w:val="00123B64"/>
    <w:rsid w:val="001257EC"/>
    <w:rsid w:val="00126A7F"/>
    <w:rsid w:val="00127292"/>
    <w:rsid w:val="00132C6A"/>
    <w:rsid w:val="00133D33"/>
    <w:rsid w:val="00134D64"/>
    <w:rsid w:val="00135600"/>
    <w:rsid w:val="00135A30"/>
    <w:rsid w:val="0013612C"/>
    <w:rsid w:val="00136345"/>
    <w:rsid w:val="00137F35"/>
    <w:rsid w:val="00137FF6"/>
    <w:rsid w:val="001401FF"/>
    <w:rsid w:val="00141650"/>
    <w:rsid w:val="001436D7"/>
    <w:rsid w:val="0014414F"/>
    <w:rsid w:val="001450D2"/>
    <w:rsid w:val="001457D8"/>
    <w:rsid w:val="001462A8"/>
    <w:rsid w:val="00146F4B"/>
    <w:rsid w:val="00147692"/>
    <w:rsid w:val="00150BFA"/>
    <w:rsid w:val="00155994"/>
    <w:rsid w:val="00160A30"/>
    <w:rsid w:val="00162995"/>
    <w:rsid w:val="00162A12"/>
    <w:rsid w:val="00166530"/>
    <w:rsid w:val="00167033"/>
    <w:rsid w:val="00167229"/>
    <w:rsid w:val="0017473E"/>
    <w:rsid w:val="00174DA0"/>
    <w:rsid w:val="0017583E"/>
    <w:rsid w:val="001832BD"/>
    <w:rsid w:val="00186B45"/>
    <w:rsid w:val="00191A52"/>
    <w:rsid w:val="00191A87"/>
    <w:rsid w:val="001943B5"/>
    <w:rsid w:val="00195134"/>
    <w:rsid w:val="001A1014"/>
    <w:rsid w:val="001A145B"/>
    <w:rsid w:val="001A44B3"/>
    <w:rsid w:val="001A4ACF"/>
    <w:rsid w:val="001A674C"/>
    <w:rsid w:val="001B012C"/>
    <w:rsid w:val="001B1405"/>
    <w:rsid w:val="001B358F"/>
    <w:rsid w:val="001B3B24"/>
    <w:rsid w:val="001B4833"/>
    <w:rsid w:val="001C0F98"/>
    <w:rsid w:val="001C2A42"/>
    <w:rsid w:val="001C393A"/>
    <w:rsid w:val="001C535C"/>
    <w:rsid w:val="001D0E0E"/>
    <w:rsid w:val="001D4FEC"/>
    <w:rsid w:val="001D63ED"/>
    <w:rsid w:val="001D7348"/>
    <w:rsid w:val="001E035B"/>
    <w:rsid w:val="001E0961"/>
    <w:rsid w:val="001E1040"/>
    <w:rsid w:val="001E3EAE"/>
    <w:rsid w:val="001E5348"/>
    <w:rsid w:val="001E6F32"/>
    <w:rsid w:val="001F14C0"/>
    <w:rsid w:val="001F2145"/>
    <w:rsid w:val="001F6262"/>
    <w:rsid w:val="001F67B0"/>
    <w:rsid w:val="001F7B3D"/>
    <w:rsid w:val="00204F05"/>
    <w:rsid w:val="00205F9F"/>
    <w:rsid w:val="00210338"/>
    <w:rsid w:val="00210D78"/>
    <w:rsid w:val="002115FC"/>
    <w:rsid w:val="002133F8"/>
    <w:rsid w:val="0021423C"/>
    <w:rsid w:val="00216A49"/>
    <w:rsid w:val="002175D3"/>
    <w:rsid w:val="002202D1"/>
    <w:rsid w:val="002206EE"/>
    <w:rsid w:val="00225012"/>
    <w:rsid w:val="002252A7"/>
    <w:rsid w:val="00225821"/>
    <w:rsid w:val="00227120"/>
    <w:rsid w:val="002309D7"/>
    <w:rsid w:val="00230D00"/>
    <w:rsid w:val="00231DF7"/>
    <w:rsid w:val="00231FD1"/>
    <w:rsid w:val="002339E0"/>
    <w:rsid w:val="00233CF8"/>
    <w:rsid w:val="0023575D"/>
    <w:rsid w:val="00237148"/>
    <w:rsid w:val="00240D33"/>
    <w:rsid w:val="00241E4D"/>
    <w:rsid w:val="0024222D"/>
    <w:rsid w:val="002433B8"/>
    <w:rsid w:val="0024488D"/>
    <w:rsid w:val="00244B0E"/>
    <w:rsid w:val="00244F6C"/>
    <w:rsid w:val="00246600"/>
    <w:rsid w:val="00246CE4"/>
    <w:rsid w:val="00247622"/>
    <w:rsid w:val="002532C5"/>
    <w:rsid w:val="00256B8A"/>
    <w:rsid w:val="00260C03"/>
    <w:rsid w:val="0026540E"/>
    <w:rsid w:val="00266F7B"/>
    <w:rsid w:val="0027225C"/>
    <w:rsid w:val="0027376A"/>
    <w:rsid w:val="00275123"/>
    <w:rsid w:val="00276A4B"/>
    <w:rsid w:val="00282240"/>
    <w:rsid w:val="00284AB3"/>
    <w:rsid w:val="0028572A"/>
    <w:rsid w:val="00285F09"/>
    <w:rsid w:val="0029165A"/>
    <w:rsid w:val="002948AD"/>
    <w:rsid w:val="00294C05"/>
    <w:rsid w:val="00294C92"/>
    <w:rsid w:val="002958FA"/>
    <w:rsid w:val="002962B0"/>
    <w:rsid w:val="002A00BC"/>
    <w:rsid w:val="002A01CC"/>
    <w:rsid w:val="002A2EA5"/>
    <w:rsid w:val="002A4E58"/>
    <w:rsid w:val="002A61B1"/>
    <w:rsid w:val="002A663C"/>
    <w:rsid w:val="002A69F8"/>
    <w:rsid w:val="002A73A2"/>
    <w:rsid w:val="002B1E6C"/>
    <w:rsid w:val="002B444B"/>
    <w:rsid w:val="002B5887"/>
    <w:rsid w:val="002C0205"/>
    <w:rsid w:val="002C0692"/>
    <w:rsid w:val="002C0E27"/>
    <w:rsid w:val="002C3040"/>
    <w:rsid w:val="002D022D"/>
    <w:rsid w:val="002D0434"/>
    <w:rsid w:val="002D1590"/>
    <w:rsid w:val="002D24BB"/>
    <w:rsid w:val="002D3668"/>
    <w:rsid w:val="002E253A"/>
    <w:rsid w:val="002E281C"/>
    <w:rsid w:val="002E343C"/>
    <w:rsid w:val="002F171B"/>
    <w:rsid w:val="002F1DA1"/>
    <w:rsid w:val="002F244B"/>
    <w:rsid w:val="002F2AF7"/>
    <w:rsid w:val="002F3080"/>
    <w:rsid w:val="002F344D"/>
    <w:rsid w:val="002F35D3"/>
    <w:rsid w:val="002F714D"/>
    <w:rsid w:val="002F7E1C"/>
    <w:rsid w:val="003004FB"/>
    <w:rsid w:val="00300734"/>
    <w:rsid w:val="00301A75"/>
    <w:rsid w:val="00302F70"/>
    <w:rsid w:val="0030336F"/>
    <w:rsid w:val="0030375E"/>
    <w:rsid w:val="00305075"/>
    <w:rsid w:val="0031102C"/>
    <w:rsid w:val="00312A30"/>
    <w:rsid w:val="003152BA"/>
    <w:rsid w:val="0031541D"/>
    <w:rsid w:val="0031748E"/>
    <w:rsid w:val="00320F72"/>
    <w:rsid w:val="00321A19"/>
    <w:rsid w:val="0032463E"/>
    <w:rsid w:val="00326176"/>
    <w:rsid w:val="00326224"/>
    <w:rsid w:val="0032676F"/>
    <w:rsid w:val="0032682C"/>
    <w:rsid w:val="00331EAC"/>
    <w:rsid w:val="003333AA"/>
    <w:rsid w:val="00334B64"/>
    <w:rsid w:val="00337EE4"/>
    <w:rsid w:val="00340FFD"/>
    <w:rsid w:val="00342CF4"/>
    <w:rsid w:val="00342F9D"/>
    <w:rsid w:val="003506B1"/>
    <w:rsid w:val="00353B27"/>
    <w:rsid w:val="00354F0A"/>
    <w:rsid w:val="00356AC7"/>
    <w:rsid w:val="003609FA"/>
    <w:rsid w:val="003612D1"/>
    <w:rsid w:val="00362746"/>
    <w:rsid w:val="00362C04"/>
    <w:rsid w:val="00365756"/>
    <w:rsid w:val="00366CB2"/>
    <w:rsid w:val="003710C8"/>
    <w:rsid w:val="003750BE"/>
    <w:rsid w:val="003757B7"/>
    <w:rsid w:val="00377AD4"/>
    <w:rsid w:val="00382AFF"/>
    <w:rsid w:val="00384622"/>
    <w:rsid w:val="00387B9D"/>
    <w:rsid w:val="00392770"/>
    <w:rsid w:val="003927A6"/>
    <w:rsid w:val="0039364F"/>
    <w:rsid w:val="00396686"/>
    <w:rsid w:val="0039778E"/>
    <w:rsid w:val="003A106D"/>
    <w:rsid w:val="003A441D"/>
    <w:rsid w:val="003A6ED2"/>
    <w:rsid w:val="003B0B9D"/>
    <w:rsid w:val="003B135D"/>
    <w:rsid w:val="003B4941"/>
    <w:rsid w:val="003B4AC8"/>
    <w:rsid w:val="003B5237"/>
    <w:rsid w:val="003C0738"/>
    <w:rsid w:val="003C5714"/>
    <w:rsid w:val="003C6B9F"/>
    <w:rsid w:val="003C6E2A"/>
    <w:rsid w:val="003D0299"/>
    <w:rsid w:val="003D0AE9"/>
    <w:rsid w:val="003E095E"/>
    <w:rsid w:val="003E0BF1"/>
    <w:rsid w:val="003E1350"/>
    <w:rsid w:val="003E18B8"/>
    <w:rsid w:val="003E3016"/>
    <w:rsid w:val="003E6D80"/>
    <w:rsid w:val="003E6EFE"/>
    <w:rsid w:val="003F05FA"/>
    <w:rsid w:val="003F244A"/>
    <w:rsid w:val="003F30B8"/>
    <w:rsid w:val="003F32BC"/>
    <w:rsid w:val="003F4AA0"/>
    <w:rsid w:val="003F4C45"/>
    <w:rsid w:val="003F5949"/>
    <w:rsid w:val="003F5F7B"/>
    <w:rsid w:val="003F7D64"/>
    <w:rsid w:val="0040199E"/>
    <w:rsid w:val="004034B1"/>
    <w:rsid w:val="00407DFB"/>
    <w:rsid w:val="004112C9"/>
    <w:rsid w:val="004120E5"/>
    <w:rsid w:val="00414300"/>
    <w:rsid w:val="00414EFE"/>
    <w:rsid w:val="00416B76"/>
    <w:rsid w:val="00416E7E"/>
    <w:rsid w:val="00421F39"/>
    <w:rsid w:val="00422284"/>
    <w:rsid w:val="004257B1"/>
    <w:rsid w:val="00425B5D"/>
    <w:rsid w:val="00425C67"/>
    <w:rsid w:val="00425CE8"/>
    <w:rsid w:val="00426941"/>
    <w:rsid w:val="00427E7A"/>
    <w:rsid w:val="00436307"/>
    <w:rsid w:val="00436C49"/>
    <w:rsid w:val="0044037F"/>
    <w:rsid w:val="00443D28"/>
    <w:rsid w:val="00445366"/>
    <w:rsid w:val="0044614D"/>
    <w:rsid w:val="00447F5B"/>
    <w:rsid w:val="004517CA"/>
    <w:rsid w:val="0045188D"/>
    <w:rsid w:val="00453D46"/>
    <w:rsid w:val="0045551C"/>
    <w:rsid w:val="00460F1D"/>
    <w:rsid w:val="00461DB0"/>
    <w:rsid w:val="00463926"/>
    <w:rsid w:val="00464097"/>
    <w:rsid w:val="004646E0"/>
    <w:rsid w:val="00464C9A"/>
    <w:rsid w:val="004709C0"/>
    <w:rsid w:val="00470DA8"/>
    <w:rsid w:val="00471506"/>
    <w:rsid w:val="00471812"/>
    <w:rsid w:val="004724C0"/>
    <w:rsid w:val="00474F3D"/>
    <w:rsid w:val="00477E3A"/>
    <w:rsid w:val="00483E5F"/>
    <w:rsid w:val="00485FF9"/>
    <w:rsid w:val="004866B6"/>
    <w:rsid w:val="004907F0"/>
    <w:rsid w:val="0049140B"/>
    <w:rsid w:val="004923A5"/>
    <w:rsid w:val="004936C5"/>
    <w:rsid w:val="00496BFB"/>
    <w:rsid w:val="004A0D7E"/>
    <w:rsid w:val="004A15C7"/>
    <w:rsid w:val="004A4ACD"/>
    <w:rsid w:val="004A7D8A"/>
    <w:rsid w:val="004B013B"/>
    <w:rsid w:val="004B112B"/>
    <w:rsid w:val="004C01E4"/>
    <w:rsid w:val="004C086C"/>
    <w:rsid w:val="004C1F56"/>
    <w:rsid w:val="004C27BC"/>
    <w:rsid w:val="004C39DE"/>
    <w:rsid w:val="004C7B8E"/>
    <w:rsid w:val="004D15F3"/>
    <w:rsid w:val="004D204D"/>
    <w:rsid w:val="004D347F"/>
    <w:rsid w:val="004D5311"/>
    <w:rsid w:val="004D5DCC"/>
    <w:rsid w:val="004D7C68"/>
    <w:rsid w:val="004F10AF"/>
    <w:rsid w:val="004F11A4"/>
    <w:rsid w:val="004F2389"/>
    <w:rsid w:val="004F2E81"/>
    <w:rsid w:val="004F304D"/>
    <w:rsid w:val="004F5023"/>
    <w:rsid w:val="004F5512"/>
    <w:rsid w:val="004F61BE"/>
    <w:rsid w:val="004F66B1"/>
    <w:rsid w:val="00502A0D"/>
    <w:rsid w:val="0050665E"/>
    <w:rsid w:val="00507637"/>
    <w:rsid w:val="00511B1F"/>
    <w:rsid w:val="00511C07"/>
    <w:rsid w:val="00512D5D"/>
    <w:rsid w:val="005140D0"/>
    <w:rsid w:val="0051434F"/>
    <w:rsid w:val="005173A6"/>
    <w:rsid w:val="00520BAA"/>
    <w:rsid w:val="00525208"/>
    <w:rsid w:val="005257A5"/>
    <w:rsid w:val="005264C0"/>
    <w:rsid w:val="00526909"/>
    <w:rsid w:val="00526A8A"/>
    <w:rsid w:val="005303A5"/>
    <w:rsid w:val="00530586"/>
    <w:rsid w:val="00531B36"/>
    <w:rsid w:val="00531DF2"/>
    <w:rsid w:val="00532FF0"/>
    <w:rsid w:val="00533CF7"/>
    <w:rsid w:val="00535BB8"/>
    <w:rsid w:val="00535FCE"/>
    <w:rsid w:val="00537276"/>
    <w:rsid w:val="005374AD"/>
    <w:rsid w:val="00541FB6"/>
    <w:rsid w:val="005442EE"/>
    <w:rsid w:val="0054441A"/>
    <w:rsid w:val="00544F85"/>
    <w:rsid w:val="0054612C"/>
    <w:rsid w:val="00547353"/>
    <w:rsid w:val="005474E7"/>
    <w:rsid w:val="005512A3"/>
    <w:rsid w:val="005534E2"/>
    <w:rsid w:val="00553CDD"/>
    <w:rsid w:val="00556B57"/>
    <w:rsid w:val="00556C2C"/>
    <w:rsid w:val="005578CE"/>
    <w:rsid w:val="00562781"/>
    <w:rsid w:val="00562901"/>
    <w:rsid w:val="00563E83"/>
    <w:rsid w:val="00566629"/>
    <w:rsid w:val="00566977"/>
    <w:rsid w:val="0057271C"/>
    <w:rsid w:val="00572845"/>
    <w:rsid w:val="00574BEA"/>
    <w:rsid w:val="0057663D"/>
    <w:rsid w:val="00581F8E"/>
    <w:rsid w:val="005841EB"/>
    <w:rsid w:val="00584651"/>
    <w:rsid w:val="0059047C"/>
    <w:rsid w:val="005921BE"/>
    <w:rsid w:val="00592772"/>
    <w:rsid w:val="005945B8"/>
    <w:rsid w:val="0059574A"/>
    <w:rsid w:val="005A1B9B"/>
    <w:rsid w:val="005A2C30"/>
    <w:rsid w:val="005A2FC9"/>
    <w:rsid w:val="005A52C0"/>
    <w:rsid w:val="005A6751"/>
    <w:rsid w:val="005B092E"/>
    <w:rsid w:val="005B0968"/>
    <w:rsid w:val="005B152C"/>
    <w:rsid w:val="005B1EE0"/>
    <w:rsid w:val="005B2B24"/>
    <w:rsid w:val="005B4425"/>
    <w:rsid w:val="005B4B94"/>
    <w:rsid w:val="005C3EE8"/>
    <w:rsid w:val="005C5067"/>
    <w:rsid w:val="005C56BF"/>
    <w:rsid w:val="005D34F9"/>
    <w:rsid w:val="005D4190"/>
    <w:rsid w:val="005D41C3"/>
    <w:rsid w:val="005D67A3"/>
    <w:rsid w:val="005E2988"/>
    <w:rsid w:val="005E2A43"/>
    <w:rsid w:val="005E3085"/>
    <w:rsid w:val="005E3866"/>
    <w:rsid w:val="005E438A"/>
    <w:rsid w:val="005F25E6"/>
    <w:rsid w:val="005F4885"/>
    <w:rsid w:val="005F51E1"/>
    <w:rsid w:val="00600077"/>
    <w:rsid w:val="00606693"/>
    <w:rsid w:val="00611C80"/>
    <w:rsid w:val="0061466A"/>
    <w:rsid w:val="00616E79"/>
    <w:rsid w:val="00620692"/>
    <w:rsid w:val="006227D1"/>
    <w:rsid w:val="006242CA"/>
    <w:rsid w:val="00627507"/>
    <w:rsid w:val="00630263"/>
    <w:rsid w:val="00633717"/>
    <w:rsid w:val="00633A1A"/>
    <w:rsid w:val="00633E63"/>
    <w:rsid w:val="006344E1"/>
    <w:rsid w:val="0064144F"/>
    <w:rsid w:val="00641574"/>
    <w:rsid w:val="00641D25"/>
    <w:rsid w:val="00646F28"/>
    <w:rsid w:val="00647E8E"/>
    <w:rsid w:val="0065189E"/>
    <w:rsid w:val="00651C6D"/>
    <w:rsid w:val="00653620"/>
    <w:rsid w:val="00653906"/>
    <w:rsid w:val="00653E15"/>
    <w:rsid w:val="006545C4"/>
    <w:rsid w:val="00661971"/>
    <w:rsid w:val="00661CE8"/>
    <w:rsid w:val="006623D9"/>
    <w:rsid w:val="0066550C"/>
    <w:rsid w:val="00667F9B"/>
    <w:rsid w:val="006704E3"/>
    <w:rsid w:val="006716AB"/>
    <w:rsid w:val="006716F2"/>
    <w:rsid w:val="00673BD4"/>
    <w:rsid w:val="00674A2B"/>
    <w:rsid w:val="00676FD3"/>
    <w:rsid w:val="0068093E"/>
    <w:rsid w:val="00682BF2"/>
    <w:rsid w:val="006859CE"/>
    <w:rsid w:val="00686474"/>
    <w:rsid w:val="00691270"/>
    <w:rsid w:val="00694BA8"/>
    <w:rsid w:val="00696650"/>
    <w:rsid w:val="00696D6B"/>
    <w:rsid w:val="00697029"/>
    <w:rsid w:val="006A037C"/>
    <w:rsid w:val="006A08AE"/>
    <w:rsid w:val="006A36F4"/>
    <w:rsid w:val="006A406F"/>
    <w:rsid w:val="006A4562"/>
    <w:rsid w:val="006A5256"/>
    <w:rsid w:val="006A5D3A"/>
    <w:rsid w:val="006B1D12"/>
    <w:rsid w:val="006B2118"/>
    <w:rsid w:val="006B2F9C"/>
    <w:rsid w:val="006B4C7D"/>
    <w:rsid w:val="006B668D"/>
    <w:rsid w:val="006C0CE1"/>
    <w:rsid w:val="006C23D4"/>
    <w:rsid w:val="006C4832"/>
    <w:rsid w:val="006C4E84"/>
    <w:rsid w:val="006C6552"/>
    <w:rsid w:val="006C7BB0"/>
    <w:rsid w:val="006C7C1E"/>
    <w:rsid w:val="006D3237"/>
    <w:rsid w:val="006D5B7D"/>
    <w:rsid w:val="006E2E37"/>
    <w:rsid w:val="006E3CF1"/>
    <w:rsid w:val="006E6253"/>
    <w:rsid w:val="006E75A0"/>
    <w:rsid w:val="006E7E80"/>
    <w:rsid w:val="006F1DF9"/>
    <w:rsid w:val="006F24DB"/>
    <w:rsid w:val="006F48CA"/>
    <w:rsid w:val="006F4A81"/>
    <w:rsid w:val="006F4FBA"/>
    <w:rsid w:val="006F64DD"/>
    <w:rsid w:val="006F6C5D"/>
    <w:rsid w:val="006F6D72"/>
    <w:rsid w:val="006F7802"/>
    <w:rsid w:val="007000A7"/>
    <w:rsid w:val="007042D9"/>
    <w:rsid w:val="00705110"/>
    <w:rsid w:val="00715127"/>
    <w:rsid w:val="0071533B"/>
    <w:rsid w:val="00715E8E"/>
    <w:rsid w:val="00723580"/>
    <w:rsid w:val="00723755"/>
    <w:rsid w:val="0072618F"/>
    <w:rsid w:val="007264EC"/>
    <w:rsid w:val="007312E0"/>
    <w:rsid w:val="0073136C"/>
    <w:rsid w:val="00731F0F"/>
    <w:rsid w:val="00733250"/>
    <w:rsid w:val="00741404"/>
    <w:rsid w:val="00741D7E"/>
    <w:rsid w:val="007449E5"/>
    <w:rsid w:val="007466BF"/>
    <w:rsid w:val="00746C5A"/>
    <w:rsid w:val="00747FF0"/>
    <w:rsid w:val="007509D5"/>
    <w:rsid w:val="00752F31"/>
    <w:rsid w:val="007539D8"/>
    <w:rsid w:val="00756768"/>
    <w:rsid w:val="00760016"/>
    <w:rsid w:val="0076023B"/>
    <w:rsid w:val="0076444C"/>
    <w:rsid w:val="00764D4E"/>
    <w:rsid w:val="00765A1F"/>
    <w:rsid w:val="00774A6E"/>
    <w:rsid w:val="00775B6D"/>
    <w:rsid w:val="00776D68"/>
    <w:rsid w:val="00783758"/>
    <w:rsid w:val="0078389D"/>
    <w:rsid w:val="007850EE"/>
    <w:rsid w:val="00785B95"/>
    <w:rsid w:val="00786404"/>
    <w:rsid w:val="00786E90"/>
    <w:rsid w:val="007872A2"/>
    <w:rsid w:val="00790E96"/>
    <w:rsid w:val="007928CF"/>
    <w:rsid w:val="007929AE"/>
    <w:rsid w:val="00793366"/>
    <w:rsid w:val="00793B64"/>
    <w:rsid w:val="00794013"/>
    <w:rsid w:val="007A4E16"/>
    <w:rsid w:val="007A4E8C"/>
    <w:rsid w:val="007A6D59"/>
    <w:rsid w:val="007A716F"/>
    <w:rsid w:val="007A7655"/>
    <w:rsid w:val="007B270A"/>
    <w:rsid w:val="007B408B"/>
    <w:rsid w:val="007B5595"/>
    <w:rsid w:val="007B5A6C"/>
    <w:rsid w:val="007B5BE0"/>
    <w:rsid w:val="007B7FED"/>
    <w:rsid w:val="007C0695"/>
    <w:rsid w:val="007C0779"/>
    <w:rsid w:val="007C419A"/>
    <w:rsid w:val="007C4CC8"/>
    <w:rsid w:val="007C5426"/>
    <w:rsid w:val="007C5798"/>
    <w:rsid w:val="007D0E31"/>
    <w:rsid w:val="007D1ECA"/>
    <w:rsid w:val="007D4832"/>
    <w:rsid w:val="007D4B9D"/>
    <w:rsid w:val="007E0F42"/>
    <w:rsid w:val="007E214B"/>
    <w:rsid w:val="007E21B2"/>
    <w:rsid w:val="007E2C4E"/>
    <w:rsid w:val="007F1905"/>
    <w:rsid w:val="007F29D6"/>
    <w:rsid w:val="007F449A"/>
    <w:rsid w:val="0080048F"/>
    <w:rsid w:val="0080081C"/>
    <w:rsid w:val="00801300"/>
    <w:rsid w:val="00802C64"/>
    <w:rsid w:val="00803C2C"/>
    <w:rsid w:val="0080403C"/>
    <w:rsid w:val="00805E52"/>
    <w:rsid w:val="008061D0"/>
    <w:rsid w:val="00810B38"/>
    <w:rsid w:val="0081710C"/>
    <w:rsid w:val="008204C7"/>
    <w:rsid w:val="008206EC"/>
    <w:rsid w:val="00820992"/>
    <w:rsid w:val="00821E1C"/>
    <w:rsid w:val="008232E8"/>
    <w:rsid w:val="00823602"/>
    <w:rsid w:val="008255F5"/>
    <w:rsid w:val="00826897"/>
    <w:rsid w:val="008270D1"/>
    <w:rsid w:val="0083014E"/>
    <w:rsid w:val="0083214A"/>
    <w:rsid w:val="00834220"/>
    <w:rsid w:val="00835569"/>
    <w:rsid w:val="00837A91"/>
    <w:rsid w:val="00841B22"/>
    <w:rsid w:val="0084241C"/>
    <w:rsid w:val="00844D90"/>
    <w:rsid w:val="00845723"/>
    <w:rsid w:val="00851EF9"/>
    <w:rsid w:val="00852213"/>
    <w:rsid w:val="008577FD"/>
    <w:rsid w:val="008609D2"/>
    <w:rsid w:val="00860B03"/>
    <w:rsid w:val="00862058"/>
    <w:rsid w:val="008623BD"/>
    <w:rsid w:val="0086497A"/>
    <w:rsid w:val="00865764"/>
    <w:rsid w:val="00866B7F"/>
    <w:rsid w:val="008713A1"/>
    <w:rsid w:val="008723A2"/>
    <w:rsid w:val="008754AB"/>
    <w:rsid w:val="0088060C"/>
    <w:rsid w:val="00880B07"/>
    <w:rsid w:val="00885891"/>
    <w:rsid w:val="00893576"/>
    <w:rsid w:val="0089380D"/>
    <w:rsid w:val="00893E73"/>
    <w:rsid w:val="00894153"/>
    <w:rsid w:val="008A1FF4"/>
    <w:rsid w:val="008A43C4"/>
    <w:rsid w:val="008A4E94"/>
    <w:rsid w:val="008A59C3"/>
    <w:rsid w:val="008A6EEB"/>
    <w:rsid w:val="008A77EB"/>
    <w:rsid w:val="008B02DC"/>
    <w:rsid w:val="008B0F07"/>
    <w:rsid w:val="008B16D1"/>
    <w:rsid w:val="008B57CE"/>
    <w:rsid w:val="008B659F"/>
    <w:rsid w:val="008B6D22"/>
    <w:rsid w:val="008C26DE"/>
    <w:rsid w:val="008C4036"/>
    <w:rsid w:val="008C6A0A"/>
    <w:rsid w:val="008C7330"/>
    <w:rsid w:val="008C73EC"/>
    <w:rsid w:val="008C7998"/>
    <w:rsid w:val="008D213D"/>
    <w:rsid w:val="008D2225"/>
    <w:rsid w:val="008D4752"/>
    <w:rsid w:val="008D552A"/>
    <w:rsid w:val="008D5ED2"/>
    <w:rsid w:val="008E271C"/>
    <w:rsid w:val="008E418E"/>
    <w:rsid w:val="008E4D44"/>
    <w:rsid w:val="008E5BC6"/>
    <w:rsid w:val="008E6A25"/>
    <w:rsid w:val="008F348A"/>
    <w:rsid w:val="008F5193"/>
    <w:rsid w:val="009013A7"/>
    <w:rsid w:val="009017FB"/>
    <w:rsid w:val="009017FC"/>
    <w:rsid w:val="00902F9D"/>
    <w:rsid w:val="00903B43"/>
    <w:rsid w:val="0090506B"/>
    <w:rsid w:val="009050C9"/>
    <w:rsid w:val="009066FC"/>
    <w:rsid w:val="00910A6B"/>
    <w:rsid w:val="00912660"/>
    <w:rsid w:val="0091267E"/>
    <w:rsid w:val="009138D0"/>
    <w:rsid w:val="009140A3"/>
    <w:rsid w:val="009144A2"/>
    <w:rsid w:val="0091510C"/>
    <w:rsid w:val="00915BAC"/>
    <w:rsid w:val="009259AC"/>
    <w:rsid w:val="00926F38"/>
    <w:rsid w:val="00933B0C"/>
    <w:rsid w:val="00934301"/>
    <w:rsid w:val="0093550C"/>
    <w:rsid w:val="00936CD1"/>
    <w:rsid w:val="00941747"/>
    <w:rsid w:val="00941EFB"/>
    <w:rsid w:val="00943262"/>
    <w:rsid w:val="00945F34"/>
    <w:rsid w:val="00947AFB"/>
    <w:rsid w:val="00951D7D"/>
    <w:rsid w:val="00952C12"/>
    <w:rsid w:val="00954151"/>
    <w:rsid w:val="009627A4"/>
    <w:rsid w:val="009630C7"/>
    <w:rsid w:val="00963864"/>
    <w:rsid w:val="00966DFA"/>
    <w:rsid w:val="009708D8"/>
    <w:rsid w:val="00972B11"/>
    <w:rsid w:val="00972B55"/>
    <w:rsid w:val="009743B7"/>
    <w:rsid w:val="0097592E"/>
    <w:rsid w:val="00980578"/>
    <w:rsid w:val="0098228B"/>
    <w:rsid w:val="009828DA"/>
    <w:rsid w:val="00982D07"/>
    <w:rsid w:val="009837E9"/>
    <w:rsid w:val="00985BAB"/>
    <w:rsid w:val="00985EAA"/>
    <w:rsid w:val="009923A7"/>
    <w:rsid w:val="00992932"/>
    <w:rsid w:val="00993E86"/>
    <w:rsid w:val="009943F3"/>
    <w:rsid w:val="00997F03"/>
    <w:rsid w:val="009A019D"/>
    <w:rsid w:val="009A119B"/>
    <w:rsid w:val="009A1658"/>
    <w:rsid w:val="009A2BE8"/>
    <w:rsid w:val="009A33E7"/>
    <w:rsid w:val="009A46DF"/>
    <w:rsid w:val="009A514D"/>
    <w:rsid w:val="009A6A96"/>
    <w:rsid w:val="009B1B5F"/>
    <w:rsid w:val="009B1F8B"/>
    <w:rsid w:val="009B2EC2"/>
    <w:rsid w:val="009B6673"/>
    <w:rsid w:val="009B6F67"/>
    <w:rsid w:val="009B7A0B"/>
    <w:rsid w:val="009C191B"/>
    <w:rsid w:val="009C2BD6"/>
    <w:rsid w:val="009C35B7"/>
    <w:rsid w:val="009C3BD7"/>
    <w:rsid w:val="009C6B95"/>
    <w:rsid w:val="009C6D58"/>
    <w:rsid w:val="009D0EE3"/>
    <w:rsid w:val="009D374A"/>
    <w:rsid w:val="009E0462"/>
    <w:rsid w:val="009E1231"/>
    <w:rsid w:val="009E1F32"/>
    <w:rsid w:val="009E2CD6"/>
    <w:rsid w:val="009E4BBB"/>
    <w:rsid w:val="009E5829"/>
    <w:rsid w:val="009E776C"/>
    <w:rsid w:val="009F0CE2"/>
    <w:rsid w:val="009F1296"/>
    <w:rsid w:val="009F6BD9"/>
    <w:rsid w:val="009F7474"/>
    <w:rsid w:val="00A00AB9"/>
    <w:rsid w:val="00A048FF"/>
    <w:rsid w:val="00A06DCE"/>
    <w:rsid w:val="00A07D84"/>
    <w:rsid w:val="00A130B4"/>
    <w:rsid w:val="00A134C6"/>
    <w:rsid w:val="00A1726E"/>
    <w:rsid w:val="00A204CF"/>
    <w:rsid w:val="00A212FF"/>
    <w:rsid w:val="00A2132E"/>
    <w:rsid w:val="00A219A2"/>
    <w:rsid w:val="00A23D49"/>
    <w:rsid w:val="00A25479"/>
    <w:rsid w:val="00A27004"/>
    <w:rsid w:val="00A27BB0"/>
    <w:rsid w:val="00A27C54"/>
    <w:rsid w:val="00A30C29"/>
    <w:rsid w:val="00A31F2D"/>
    <w:rsid w:val="00A3454F"/>
    <w:rsid w:val="00A34DD6"/>
    <w:rsid w:val="00A36819"/>
    <w:rsid w:val="00A36989"/>
    <w:rsid w:val="00A36D73"/>
    <w:rsid w:val="00A3770B"/>
    <w:rsid w:val="00A41D4A"/>
    <w:rsid w:val="00A43628"/>
    <w:rsid w:val="00A45145"/>
    <w:rsid w:val="00A45B4F"/>
    <w:rsid w:val="00A500C8"/>
    <w:rsid w:val="00A50298"/>
    <w:rsid w:val="00A515B7"/>
    <w:rsid w:val="00A53715"/>
    <w:rsid w:val="00A54067"/>
    <w:rsid w:val="00A54192"/>
    <w:rsid w:val="00A57D71"/>
    <w:rsid w:val="00A6035E"/>
    <w:rsid w:val="00A60E34"/>
    <w:rsid w:val="00A6144C"/>
    <w:rsid w:val="00A61801"/>
    <w:rsid w:val="00A61AAD"/>
    <w:rsid w:val="00A62249"/>
    <w:rsid w:val="00A66617"/>
    <w:rsid w:val="00A671F8"/>
    <w:rsid w:val="00A673A4"/>
    <w:rsid w:val="00A70145"/>
    <w:rsid w:val="00A71FD0"/>
    <w:rsid w:val="00A724AE"/>
    <w:rsid w:val="00A732AE"/>
    <w:rsid w:val="00A73329"/>
    <w:rsid w:val="00A737D1"/>
    <w:rsid w:val="00A73C38"/>
    <w:rsid w:val="00A81B65"/>
    <w:rsid w:val="00A82359"/>
    <w:rsid w:val="00A83A48"/>
    <w:rsid w:val="00A865D2"/>
    <w:rsid w:val="00A90489"/>
    <w:rsid w:val="00A92155"/>
    <w:rsid w:val="00A92648"/>
    <w:rsid w:val="00A94C20"/>
    <w:rsid w:val="00A96ED6"/>
    <w:rsid w:val="00AA227F"/>
    <w:rsid w:val="00AA3BC7"/>
    <w:rsid w:val="00AA51CF"/>
    <w:rsid w:val="00AA754A"/>
    <w:rsid w:val="00AA7E0A"/>
    <w:rsid w:val="00AB099E"/>
    <w:rsid w:val="00AB2456"/>
    <w:rsid w:val="00AB3AF8"/>
    <w:rsid w:val="00AB4328"/>
    <w:rsid w:val="00AB57ED"/>
    <w:rsid w:val="00AB5FA0"/>
    <w:rsid w:val="00AB693D"/>
    <w:rsid w:val="00AB7B0C"/>
    <w:rsid w:val="00AC611D"/>
    <w:rsid w:val="00AC7B8D"/>
    <w:rsid w:val="00AD0004"/>
    <w:rsid w:val="00AD2706"/>
    <w:rsid w:val="00AD58B2"/>
    <w:rsid w:val="00AE0A2E"/>
    <w:rsid w:val="00AE3049"/>
    <w:rsid w:val="00AE354C"/>
    <w:rsid w:val="00AF13D5"/>
    <w:rsid w:val="00AF4B07"/>
    <w:rsid w:val="00AF5550"/>
    <w:rsid w:val="00AF6186"/>
    <w:rsid w:val="00AF6D45"/>
    <w:rsid w:val="00AF6F30"/>
    <w:rsid w:val="00AF76AE"/>
    <w:rsid w:val="00AF7A3A"/>
    <w:rsid w:val="00B0175F"/>
    <w:rsid w:val="00B0197C"/>
    <w:rsid w:val="00B0287D"/>
    <w:rsid w:val="00B04FC2"/>
    <w:rsid w:val="00B05B8E"/>
    <w:rsid w:val="00B06E17"/>
    <w:rsid w:val="00B12AD0"/>
    <w:rsid w:val="00B141BD"/>
    <w:rsid w:val="00B144D5"/>
    <w:rsid w:val="00B160DB"/>
    <w:rsid w:val="00B20836"/>
    <w:rsid w:val="00B235BB"/>
    <w:rsid w:val="00B25054"/>
    <w:rsid w:val="00B25ABA"/>
    <w:rsid w:val="00B27A44"/>
    <w:rsid w:val="00B30BBF"/>
    <w:rsid w:val="00B32100"/>
    <w:rsid w:val="00B33C03"/>
    <w:rsid w:val="00B34F58"/>
    <w:rsid w:val="00B3514F"/>
    <w:rsid w:val="00B40E8B"/>
    <w:rsid w:val="00B42D7C"/>
    <w:rsid w:val="00B44E56"/>
    <w:rsid w:val="00B46543"/>
    <w:rsid w:val="00B47D33"/>
    <w:rsid w:val="00B52BE0"/>
    <w:rsid w:val="00B534D1"/>
    <w:rsid w:val="00B54133"/>
    <w:rsid w:val="00B5717D"/>
    <w:rsid w:val="00B60FAB"/>
    <w:rsid w:val="00B637B9"/>
    <w:rsid w:val="00B701ED"/>
    <w:rsid w:val="00B704D5"/>
    <w:rsid w:val="00B7242D"/>
    <w:rsid w:val="00B72C1A"/>
    <w:rsid w:val="00B761A6"/>
    <w:rsid w:val="00B8086C"/>
    <w:rsid w:val="00B80A73"/>
    <w:rsid w:val="00B84B14"/>
    <w:rsid w:val="00B859C2"/>
    <w:rsid w:val="00B861B4"/>
    <w:rsid w:val="00B86DFE"/>
    <w:rsid w:val="00B873AA"/>
    <w:rsid w:val="00B90990"/>
    <w:rsid w:val="00B91952"/>
    <w:rsid w:val="00B922FF"/>
    <w:rsid w:val="00B92491"/>
    <w:rsid w:val="00B92536"/>
    <w:rsid w:val="00B9281E"/>
    <w:rsid w:val="00B93925"/>
    <w:rsid w:val="00B95105"/>
    <w:rsid w:val="00B95187"/>
    <w:rsid w:val="00B9537B"/>
    <w:rsid w:val="00B96957"/>
    <w:rsid w:val="00B97728"/>
    <w:rsid w:val="00BA0FA6"/>
    <w:rsid w:val="00BA2D55"/>
    <w:rsid w:val="00BA71B1"/>
    <w:rsid w:val="00BB0637"/>
    <w:rsid w:val="00BB345F"/>
    <w:rsid w:val="00BB55A4"/>
    <w:rsid w:val="00BB5883"/>
    <w:rsid w:val="00BB6408"/>
    <w:rsid w:val="00BB68EA"/>
    <w:rsid w:val="00BC1C27"/>
    <w:rsid w:val="00BC29C9"/>
    <w:rsid w:val="00BC36A4"/>
    <w:rsid w:val="00BC425C"/>
    <w:rsid w:val="00BC6A7C"/>
    <w:rsid w:val="00BC6BBF"/>
    <w:rsid w:val="00BD076F"/>
    <w:rsid w:val="00BD1572"/>
    <w:rsid w:val="00BD3066"/>
    <w:rsid w:val="00BE14E3"/>
    <w:rsid w:val="00BE3774"/>
    <w:rsid w:val="00BE3C3B"/>
    <w:rsid w:val="00BE41E5"/>
    <w:rsid w:val="00BE5901"/>
    <w:rsid w:val="00BF0BBB"/>
    <w:rsid w:val="00BF2A50"/>
    <w:rsid w:val="00BF4109"/>
    <w:rsid w:val="00BF4CC3"/>
    <w:rsid w:val="00BF4D30"/>
    <w:rsid w:val="00BF532A"/>
    <w:rsid w:val="00BF6E60"/>
    <w:rsid w:val="00C01B8E"/>
    <w:rsid w:val="00C0533D"/>
    <w:rsid w:val="00C054C7"/>
    <w:rsid w:val="00C057B5"/>
    <w:rsid w:val="00C14840"/>
    <w:rsid w:val="00C14F77"/>
    <w:rsid w:val="00C1598C"/>
    <w:rsid w:val="00C163C6"/>
    <w:rsid w:val="00C22687"/>
    <w:rsid w:val="00C23B77"/>
    <w:rsid w:val="00C30664"/>
    <w:rsid w:val="00C32E4D"/>
    <w:rsid w:val="00C333A0"/>
    <w:rsid w:val="00C346BB"/>
    <w:rsid w:val="00C36A81"/>
    <w:rsid w:val="00C36D7D"/>
    <w:rsid w:val="00C3781F"/>
    <w:rsid w:val="00C40030"/>
    <w:rsid w:val="00C41974"/>
    <w:rsid w:val="00C43962"/>
    <w:rsid w:val="00C43C42"/>
    <w:rsid w:val="00C447AD"/>
    <w:rsid w:val="00C449EC"/>
    <w:rsid w:val="00C46B73"/>
    <w:rsid w:val="00C47893"/>
    <w:rsid w:val="00C478DF"/>
    <w:rsid w:val="00C5362B"/>
    <w:rsid w:val="00C53F4A"/>
    <w:rsid w:val="00C54125"/>
    <w:rsid w:val="00C55704"/>
    <w:rsid w:val="00C55B54"/>
    <w:rsid w:val="00C573F7"/>
    <w:rsid w:val="00C601D7"/>
    <w:rsid w:val="00C6098E"/>
    <w:rsid w:val="00C6152C"/>
    <w:rsid w:val="00C621C2"/>
    <w:rsid w:val="00C622CF"/>
    <w:rsid w:val="00C624F8"/>
    <w:rsid w:val="00C63901"/>
    <w:rsid w:val="00C65756"/>
    <w:rsid w:val="00C66B5D"/>
    <w:rsid w:val="00C66D79"/>
    <w:rsid w:val="00C6780B"/>
    <w:rsid w:val="00C73A78"/>
    <w:rsid w:val="00C74810"/>
    <w:rsid w:val="00C76E28"/>
    <w:rsid w:val="00C82D9D"/>
    <w:rsid w:val="00C83CCF"/>
    <w:rsid w:val="00C90BDA"/>
    <w:rsid w:val="00C90D68"/>
    <w:rsid w:val="00C915FB"/>
    <w:rsid w:val="00C939FE"/>
    <w:rsid w:val="00CA47D4"/>
    <w:rsid w:val="00CA4BDA"/>
    <w:rsid w:val="00CA5A9B"/>
    <w:rsid w:val="00CA69C3"/>
    <w:rsid w:val="00CB0E68"/>
    <w:rsid w:val="00CB180C"/>
    <w:rsid w:val="00CB1F66"/>
    <w:rsid w:val="00CB2951"/>
    <w:rsid w:val="00CB4F01"/>
    <w:rsid w:val="00CB54DE"/>
    <w:rsid w:val="00CB79A0"/>
    <w:rsid w:val="00CB7F70"/>
    <w:rsid w:val="00CC3F24"/>
    <w:rsid w:val="00CC70EA"/>
    <w:rsid w:val="00CD282B"/>
    <w:rsid w:val="00CD4C35"/>
    <w:rsid w:val="00CD6618"/>
    <w:rsid w:val="00CD7369"/>
    <w:rsid w:val="00CE0B0E"/>
    <w:rsid w:val="00CE2F1E"/>
    <w:rsid w:val="00CE3831"/>
    <w:rsid w:val="00CE7BA8"/>
    <w:rsid w:val="00D00ABB"/>
    <w:rsid w:val="00D00E25"/>
    <w:rsid w:val="00D01678"/>
    <w:rsid w:val="00D02EEC"/>
    <w:rsid w:val="00D03551"/>
    <w:rsid w:val="00D06A63"/>
    <w:rsid w:val="00D07E0E"/>
    <w:rsid w:val="00D101AA"/>
    <w:rsid w:val="00D10A61"/>
    <w:rsid w:val="00D11478"/>
    <w:rsid w:val="00D15ED0"/>
    <w:rsid w:val="00D21B3E"/>
    <w:rsid w:val="00D21FED"/>
    <w:rsid w:val="00D23446"/>
    <w:rsid w:val="00D24251"/>
    <w:rsid w:val="00D24CE1"/>
    <w:rsid w:val="00D315BF"/>
    <w:rsid w:val="00D343E2"/>
    <w:rsid w:val="00D361A2"/>
    <w:rsid w:val="00D440CE"/>
    <w:rsid w:val="00D44C2E"/>
    <w:rsid w:val="00D45414"/>
    <w:rsid w:val="00D45D24"/>
    <w:rsid w:val="00D5056B"/>
    <w:rsid w:val="00D50AE0"/>
    <w:rsid w:val="00D52EA3"/>
    <w:rsid w:val="00D53C0F"/>
    <w:rsid w:val="00D566BD"/>
    <w:rsid w:val="00D57A4D"/>
    <w:rsid w:val="00D60AA7"/>
    <w:rsid w:val="00D60D87"/>
    <w:rsid w:val="00D61A10"/>
    <w:rsid w:val="00D6435F"/>
    <w:rsid w:val="00D73EC9"/>
    <w:rsid w:val="00D75E28"/>
    <w:rsid w:val="00D772C2"/>
    <w:rsid w:val="00D772E2"/>
    <w:rsid w:val="00D8008E"/>
    <w:rsid w:val="00D81F98"/>
    <w:rsid w:val="00D82C45"/>
    <w:rsid w:val="00D835EA"/>
    <w:rsid w:val="00D83F71"/>
    <w:rsid w:val="00D908A8"/>
    <w:rsid w:val="00D91261"/>
    <w:rsid w:val="00D977B6"/>
    <w:rsid w:val="00DA2FB8"/>
    <w:rsid w:val="00DA30B1"/>
    <w:rsid w:val="00DA408B"/>
    <w:rsid w:val="00DA4A31"/>
    <w:rsid w:val="00DA61F2"/>
    <w:rsid w:val="00DA7B04"/>
    <w:rsid w:val="00DB36C2"/>
    <w:rsid w:val="00DB424F"/>
    <w:rsid w:val="00DB702A"/>
    <w:rsid w:val="00DB713E"/>
    <w:rsid w:val="00DB7196"/>
    <w:rsid w:val="00DC169B"/>
    <w:rsid w:val="00DC2AB9"/>
    <w:rsid w:val="00DC63F0"/>
    <w:rsid w:val="00DD0989"/>
    <w:rsid w:val="00DD683D"/>
    <w:rsid w:val="00DD6EE5"/>
    <w:rsid w:val="00DE02C3"/>
    <w:rsid w:val="00DE1B8E"/>
    <w:rsid w:val="00DE386C"/>
    <w:rsid w:val="00DE4D35"/>
    <w:rsid w:val="00DE50FB"/>
    <w:rsid w:val="00DE5D9C"/>
    <w:rsid w:val="00DE74A8"/>
    <w:rsid w:val="00DF0549"/>
    <w:rsid w:val="00DF098B"/>
    <w:rsid w:val="00DF113A"/>
    <w:rsid w:val="00DF11C4"/>
    <w:rsid w:val="00DF210C"/>
    <w:rsid w:val="00DF4B6A"/>
    <w:rsid w:val="00E02C04"/>
    <w:rsid w:val="00E02C09"/>
    <w:rsid w:val="00E04D59"/>
    <w:rsid w:val="00E059D0"/>
    <w:rsid w:val="00E07DA1"/>
    <w:rsid w:val="00E123CB"/>
    <w:rsid w:val="00E1557C"/>
    <w:rsid w:val="00E17607"/>
    <w:rsid w:val="00E20E13"/>
    <w:rsid w:val="00E21DBC"/>
    <w:rsid w:val="00E22E65"/>
    <w:rsid w:val="00E2499F"/>
    <w:rsid w:val="00E275D7"/>
    <w:rsid w:val="00E27DBE"/>
    <w:rsid w:val="00E3081C"/>
    <w:rsid w:val="00E31216"/>
    <w:rsid w:val="00E31E7B"/>
    <w:rsid w:val="00E32AB1"/>
    <w:rsid w:val="00E36C71"/>
    <w:rsid w:val="00E40404"/>
    <w:rsid w:val="00E4133A"/>
    <w:rsid w:val="00E430F4"/>
    <w:rsid w:val="00E459C6"/>
    <w:rsid w:val="00E4665C"/>
    <w:rsid w:val="00E46CE7"/>
    <w:rsid w:val="00E47589"/>
    <w:rsid w:val="00E564A4"/>
    <w:rsid w:val="00E64915"/>
    <w:rsid w:val="00E661D4"/>
    <w:rsid w:val="00E6709A"/>
    <w:rsid w:val="00E67321"/>
    <w:rsid w:val="00E70091"/>
    <w:rsid w:val="00E70FD9"/>
    <w:rsid w:val="00E720F5"/>
    <w:rsid w:val="00E73ACA"/>
    <w:rsid w:val="00E76D47"/>
    <w:rsid w:val="00E7719F"/>
    <w:rsid w:val="00E77D3F"/>
    <w:rsid w:val="00E82410"/>
    <w:rsid w:val="00E849F7"/>
    <w:rsid w:val="00E85177"/>
    <w:rsid w:val="00E90239"/>
    <w:rsid w:val="00E90302"/>
    <w:rsid w:val="00E94AE6"/>
    <w:rsid w:val="00E9597F"/>
    <w:rsid w:val="00E97396"/>
    <w:rsid w:val="00EA185E"/>
    <w:rsid w:val="00EA1913"/>
    <w:rsid w:val="00EA592A"/>
    <w:rsid w:val="00EA737F"/>
    <w:rsid w:val="00EB14E4"/>
    <w:rsid w:val="00EB32A5"/>
    <w:rsid w:val="00EB34ED"/>
    <w:rsid w:val="00EB3A08"/>
    <w:rsid w:val="00EB6701"/>
    <w:rsid w:val="00EB689F"/>
    <w:rsid w:val="00EB71E1"/>
    <w:rsid w:val="00EB7BE0"/>
    <w:rsid w:val="00EB7EEA"/>
    <w:rsid w:val="00EC0F1E"/>
    <w:rsid w:val="00EC315E"/>
    <w:rsid w:val="00EC419E"/>
    <w:rsid w:val="00ED077C"/>
    <w:rsid w:val="00ED1190"/>
    <w:rsid w:val="00ED229E"/>
    <w:rsid w:val="00ED48AA"/>
    <w:rsid w:val="00ED4B43"/>
    <w:rsid w:val="00ED6544"/>
    <w:rsid w:val="00ED6CE2"/>
    <w:rsid w:val="00EE0277"/>
    <w:rsid w:val="00EE119A"/>
    <w:rsid w:val="00EE1DA9"/>
    <w:rsid w:val="00EE3E00"/>
    <w:rsid w:val="00EE5DD2"/>
    <w:rsid w:val="00EE6196"/>
    <w:rsid w:val="00EF0073"/>
    <w:rsid w:val="00EF2AB1"/>
    <w:rsid w:val="00EF3F1B"/>
    <w:rsid w:val="00EF41F1"/>
    <w:rsid w:val="00EF4F08"/>
    <w:rsid w:val="00EF573B"/>
    <w:rsid w:val="00EF5EE1"/>
    <w:rsid w:val="00F003AA"/>
    <w:rsid w:val="00F00A79"/>
    <w:rsid w:val="00F00E86"/>
    <w:rsid w:val="00F00F8B"/>
    <w:rsid w:val="00F02735"/>
    <w:rsid w:val="00F030E6"/>
    <w:rsid w:val="00F0429B"/>
    <w:rsid w:val="00F0594E"/>
    <w:rsid w:val="00F07C1E"/>
    <w:rsid w:val="00F07F4F"/>
    <w:rsid w:val="00F10034"/>
    <w:rsid w:val="00F105DB"/>
    <w:rsid w:val="00F10BF7"/>
    <w:rsid w:val="00F129B9"/>
    <w:rsid w:val="00F132BC"/>
    <w:rsid w:val="00F13D80"/>
    <w:rsid w:val="00F16AAA"/>
    <w:rsid w:val="00F20019"/>
    <w:rsid w:val="00F21161"/>
    <w:rsid w:val="00F218EF"/>
    <w:rsid w:val="00F21BC7"/>
    <w:rsid w:val="00F25474"/>
    <w:rsid w:val="00F266A2"/>
    <w:rsid w:val="00F30214"/>
    <w:rsid w:val="00F31AD6"/>
    <w:rsid w:val="00F32269"/>
    <w:rsid w:val="00F32DBC"/>
    <w:rsid w:val="00F33DEE"/>
    <w:rsid w:val="00F346E9"/>
    <w:rsid w:val="00F35774"/>
    <w:rsid w:val="00F36885"/>
    <w:rsid w:val="00F41DC7"/>
    <w:rsid w:val="00F42397"/>
    <w:rsid w:val="00F4457E"/>
    <w:rsid w:val="00F46C4E"/>
    <w:rsid w:val="00F509DB"/>
    <w:rsid w:val="00F52BE7"/>
    <w:rsid w:val="00F53840"/>
    <w:rsid w:val="00F56A6F"/>
    <w:rsid w:val="00F5709C"/>
    <w:rsid w:val="00F6076C"/>
    <w:rsid w:val="00F61EAA"/>
    <w:rsid w:val="00F6365F"/>
    <w:rsid w:val="00F64579"/>
    <w:rsid w:val="00F64EF1"/>
    <w:rsid w:val="00F668E2"/>
    <w:rsid w:val="00F679A2"/>
    <w:rsid w:val="00F71856"/>
    <w:rsid w:val="00F71F4D"/>
    <w:rsid w:val="00F74574"/>
    <w:rsid w:val="00F814DF"/>
    <w:rsid w:val="00F8169C"/>
    <w:rsid w:val="00F81955"/>
    <w:rsid w:val="00F842EF"/>
    <w:rsid w:val="00F855CE"/>
    <w:rsid w:val="00F85BED"/>
    <w:rsid w:val="00F8765F"/>
    <w:rsid w:val="00F90767"/>
    <w:rsid w:val="00F93E81"/>
    <w:rsid w:val="00F94746"/>
    <w:rsid w:val="00F953B9"/>
    <w:rsid w:val="00F96AD2"/>
    <w:rsid w:val="00FA10DD"/>
    <w:rsid w:val="00FA22EE"/>
    <w:rsid w:val="00FA685B"/>
    <w:rsid w:val="00FA6B67"/>
    <w:rsid w:val="00FA79CC"/>
    <w:rsid w:val="00FB0C01"/>
    <w:rsid w:val="00FC18F2"/>
    <w:rsid w:val="00FC18F8"/>
    <w:rsid w:val="00FC39E5"/>
    <w:rsid w:val="00FC3A78"/>
    <w:rsid w:val="00FC5FFE"/>
    <w:rsid w:val="00FC6062"/>
    <w:rsid w:val="00FC6542"/>
    <w:rsid w:val="00FD1005"/>
    <w:rsid w:val="00FD3180"/>
    <w:rsid w:val="00FD3857"/>
    <w:rsid w:val="00FD6C75"/>
    <w:rsid w:val="00FE0FD0"/>
    <w:rsid w:val="00FE22F4"/>
    <w:rsid w:val="00FE71B3"/>
    <w:rsid w:val="00FE773D"/>
    <w:rsid w:val="00FF2363"/>
    <w:rsid w:val="00FF29EA"/>
    <w:rsid w:val="00FF2A36"/>
    <w:rsid w:val="00FF2AC9"/>
    <w:rsid w:val="00FF35AA"/>
    <w:rsid w:val="00FF42C5"/>
    <w:rsid w:val="00FF4DB3"/>
    <w:rsid w:val="00FF6E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locked="0" w:unhideWhenUsed="0"/>
    <w:lsdException w:name="No Spacing" w:locked="0" w:semiHidden="0" w:unhideWhenUsed="0" w:qFormat="1"/>
    <w:lsdException w:name="Light Shading" w:locked="0" w:semiHidden="0" w:unhideWhenUsed="0"/>
    <w:lsdException w:name="Light List" w:locked="0" w:semiHidden="0" w:unhideWhenUsed="0"/>
    <w:lsdException w:name="Light Grid" w:locked="0" w:semiHidden="0" w:unhideWhenUsed="0"/>
    <w:lsdException w:name="Medium Shading 1" w:locked="0" w:semiHidden="0" w:unhideWhenUsed="0"/>
    <w:lsdException w:name="Medium Shading 2" w:locked="0" w:semiHidden="0" w:unhideWhenUsed="0"/>
    <w:lsdException w:name="Medium List 1" w:locked="0" w:semiHidden="0" w:unhideWhenUsed="0"/>
    <w:lsdException w:name="Medium List 2" w:locked="0" w:semiHidden="0" w:unhideWhenUsed="0"/>
    <w:lsdException w:name="Medium Grid 1" w:locked="0" w:semiHidden="0" w:unhideWhenUsed="0"/>
    <w:lsdException w:name="Medium Grid 2" w:locked="0" w:semiHidden="0" w:unhideWhenUsed="0"/>
    <w:lsdException w:name="Medium Grid 3" w:locked="0" w:semiHidden="0" w:unhideWhenUsed="0"/>
    <w:lsdException w:name="Dark List" w:locked="0" w:semiHidden="0" w:unhideWhenUsed="0"/>
    <w:lsdException w:name="Colorful Shading" w:locked="0" w:semiHidden="0" w:unhideWhenUsed="0"/>
    <w:lsdException w:name="Colorful List" w:locked="0" w:semiHidden="0" w:unhideWhenUsed="0"/>
    <w:lsdException w:name="Colorful Grid" w:locked="0" w:semiHidden="0" w:unhideWhenUsed="0"/>
    <w:lsdException w:name="Light Shading Accent 1" w:locked="0" w:semiHidden="0" w:unhideWhenUsed="0"/>
    <w:lsdException w:name="Light List Accent 1" w:locked="0" w:semiHidden="0" w:unhideWhenUsed="0"/>
    <w:lsdException w:name="Light Grid Accent 1" w:locked="0" w:semiHidden="0" w:unhideWhenUsed="0"/>
    <w:lsdException w:name="Medium Shading 1 Accent 1" w:locked="0" w:semiHidden="0" w:unhideWhenUsed="0"/>
    <w:lsdException w:name="Medium Shading 2 Accent 1" w:locked="0" w:semiHidden="0" w:unhideWhenUsed="0"/>
    <w:lsdException w:name="Medium List 1 Accent 1" w:locked="0" w:semiHidden="0"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nhideWhenUsed="0"/>
    <w:lsdException w:name="Medium Grid 1 Accent 1" w:locked="0" w:semiHidden="0" w:unhideWhenUsed="0"/>
    <w:lsdException w:name="Medium Grid 2 Accent 1" w:locked="0" w:semiHidden="0" w:unhideWhenUsed="0"/>
    <w:lsdException w:name="Medium Grid 3 Accent 1" w:locked="0" w:semiHidden="0" w:unhideWhenUsed="0"/>
    <w:lsdException w:name="Dark List Accent 1" w:locked="0" w:semiHidden="0" w:unhideWhenUsed="0"/>
    <w:lsdException w:name="Colorful Shading Accent 1" w:locked="0" w:semiHidden="0" w:unhideWhenUsed="0"/>
    <w:lsdException w:name="Colorful List Accent 1" w:locked="0" w:semiHidden="0" w:unhideWhenUsed="0"/>
    <w:lsdException w:name="Colorful Grid Accent 1" w:locked="0" w:semiHidden="0" w:unhideWhenUsed="0"/>
    <w:lsdException w:name="Light Shading Accent 2" w:locked="0" w:semiHidden="0" w:unhideWhenUsed="0"/>
    <w:lsdException w:name="Light List Accent 2" w:locked="0" w:semiHidden="0" w:unhideWhenUsed="0"/>
    <w:lsdException w:name="Light Grid Accent 2" w:locked="0" w:semiHidden="0" w:unhideWhenUsed="0"/>
    <w:lsdException w:name="Medium Shading 1 Accent 2" w:locked="0" w:semiHidden="0" w:unhideWhenUsed="0"/>
    <w:lsdException w:name="Medium Shading 2 Accent 2" w:locked="0" w:semiHidden="0" w:unhideWhenUsed="0"/>
    <w:lsdException w:name="Medium List 1 Accent 2" w:locked="0" w:semiHidden="0" w:unhideWhenUsed="0"/>
    <w:lsdException w:name="Medium List 2 Accent 2" w:locked="0" w:semiHidden="0" w:unhideWhenUsed="0"/>
    <w:lsdException w:name="Medium Grid 1 Accent 2" w:locked="0" w:semiHidden="0" w:unhideWhenUsed="0"/>
    <w:lsdException w:name="Medium Grid 2 Accent 2" w:locked="0" w:semiHidden="0" w:unhideWhenUsed="0"/>
    <w:lsdException w:name="Medium Grid 3 Accent 2" w:locked="0" w:semiHidden="0" w:unhideWhenUsed="0"/>
    <w:lsdException w:name="Dark List Accent 2" w:locked="0" w:semiHidden="0" w:unhideWhenUsed="0"/>
    <w:lsdException w:name="Colorful Shading Accent 2" w:locked="0" w:semiHidden="0" w:unhideWhenUsed="0"/>
    <w:lsdException w:name="Colorful List Accent 2" w:locked="0" w:semiHidden="0" w:unhideWhenUsed="0"/>
    <w:lsdException w:name="Colorful Grid Accent 2" w:locked="0" w:semiHidden="0" w:unhideWhenUsed="0"/>
    <w:lsdException w:name="Light Shading Accent 3" w:locked="0" w:semiHidden="0" w:unhideWhenUsed="0"/>
    <w:lsdException w:name="Light List Accent 3" w:locked="0" w:semiHidden="0" w:unhideWhenUsed="0"/>
    <w:lsdException w:name="Light Grid Accent 3" w:locked="0" w:semiHidden="0" w:unhideWhenUsed="0"/>
    <w:lsdException w:name="Medium Shading 1 Accent 3" w:locked="0" w:semiHidden="0" w:unhideWhenUsed="0"/>
    <w:lsdException w:name="Medium Shading 2 Accent 3" w:locked="0" w:semiHidden="0" w:unhideWhenUsed="0"/>
    <w:lsdException w:name="Medium List 1 Accent 3" w:locked="0" w:semiHidden="0" w:unhideWhenUsed="0"/>
    <w:lsdException w:name="Medium List 2 Accent 3" w:locked="0" w:semiHidden="0" w:unhideWhenUsed="0"/>
    <w:lsdException w:name="Medium Grid 1 Accent 3" w:locked="0" w:semiHidden="0" w:unhideWhenUsed="0"/>
    <w:lsdException w:name="Medium Grid 2 Accent 3" w:locked="0" w:semiHidden="0" w:unhideWhenUsed="0"/>
    <w:lsdException w:name="Medium Grid 3 Accent 3" w:locked="0" w:semiHidden="0" w:unhideWhenUsed="0"/>
    <w:lsdException w:name="Dark List Accent 3" w:locked="0" w:semiHidden="0" w:unhideWhenUsed="0"/>
    <w:lsdException w:name="Colorful Shading Accent 3" w:locked="0" w:semiHidden="0" w:unhideWhenUsed="0"/>
    <w:lsdException w:name="Colorful List Accent 3" w:locked="0" w:semiHidden="0" w:unhideWhenUsed="0"/>
    <w:lsdException w:name="Colorful Grid Accent 3" w:locked="0" w:semiHidden="0" w:unhideWhenUsed="0"/>
    <w:lsdException w:name="Light Shading Accent 4" w:locked="0" w:semiHidden="0" w:unhideWhenUsed="0"/>
    <w:lsdException w:name="Light List Accent 4" w:locked="0" w:semiHidden="0" w:unhideWhenUsed="0"/>
    <w:lsdException w:name="Light Grid Accent 4" w:locked="0" w:semiHidden="0" w:unhideWhenUsed="0"/>
    <w:lsdException w:name="Medium Shading 1 Accent 4" w:locked="0" w:semiHidden="0" w:unhideWhenUsed="0"/>
    <w:lsdException w:name="Medium Shading 2 Accent 4" w:locked="0" w:semiHidden="0" w:unhideWhenUsed="0"/>
    <w:lsdException w:name="Medium List 1 Accent 4" w:locked="0" w:semiHidden="0" w:unhideWhenUsed="0"/>
    <w:lsdException w:name="Medium List 2 Accent 4" w:locked="0" w:semiHidden="0" w:unhideWhenUsed="0"/>
    <w:lsdException w:name="Medium Grid 1 Accent 4" w:locked="0" w:semiHidden="0" w:unhideWhenUsed="0"/>
    <w:lsdException w:name="Medium Grid 2 Accent 4" w:locked="0" w:semiHidden="0" w:unhideWhenUsed="0"/>
    <w:lsdException w:name="Medium Grid 3 Accent 4" w:locked="0" w:semiHidden="0" w:unhideWhenUsed="0"/>
    <w:lsdException w:name="Dark List Accent 4" w:locked="0" w:semiHidden="0" w:unhideWhenUsed="0"/>
    <w:lsdException w:name="Colorful Shading Accent 4" w:locked="0" w:semiHidden="0" w:unhideWhenUsed="0"/>
    <w:lsdException w:name="Colorful List Accent 4" w:locked="0" w:semiHidden="0" w:unhideWhenUsed="0"/>
    <w:lsdException w:name="Colorful Grid Accent 4" w:locked="0" w:semiHidden="0" w:unhideWhenUsed="0"/>
    <w:lsdException w:name="Light Shading Accent 5" w:locked="0" w:semiHidden="0" w:unhideWhenUsed="0"/>
    <w:lsdException w:name="Light List Accent 5" w:locked="0" w:semiHidden="0" w:unhideWhenUsed="0"/>
    <w:lsdException w:name="Light Grid Accent 5" w:locked="0" w:semiHidden="0" w:unhideWhenUsed="0"/>
    <w:lsdException w:name="Medium Shading 1 Accent 5" w:locked="0" w:semiHidden="0" w:unhideWhenUsed="0"/>
    <w:lsdException w:name="Medium Shading 2 Accent 5" w:locked="0" w:semiHidden="0" w:unhideWhenUsed="0"/>
    <w:lsdException w:name="Medium List 1 Accent 5" w:locked="0" w:semiHidden="0" w:unhideWhenUsed="0"/>
    <w:lsdException w:name="Medium List 2 Accent 5" w:locked="0" w:semiHidden="0" w:unhideWhenUsed="0"/>
    <w:lsdException w:name="Medium Grid 1 Accent 5" w:locked="0" w:semiHidden="0" w:unhideWhenUsed="0"/>
    <w:lsdException w:name="Medium Grid 2 Accent 5" w:locked="0" w:semiHidden="0" w:unhideWhenUsed="0"/>
    <w:lsdException w:name="Medium Grid 3 Accent 5" w:locked="0" w:semiHidden="0" w:unhideWhenUsed="0"/>
    <w:lsdException w:name="Dark List Accent 5" w:locked="0" w:semiHidden="0" w:unhideWhenUsed="0"/>
    <w:lsdException w:name="Colorful Shading Accent 5" w:locked="0" w:semiHidden="0" w:unhideWhenUsed="0"/>
    <w:lsdException w:name="Colorful List Accent 5" w:locked="0" w:semiHidden="0" w:unhideWhenUsed="0"/>
    <w:lsdException w:name="Colorful Grid Accent 5" w:locked="0" w:semiHidden="0" w:unhideWhenUsed="0"/>
    <w:lsdException w:name="Light Shading Accent 6" w:locked="0" w:semiHidden="0" w:unhideWhenUsed="0"/>
    <w:lsdException w:name="Light List Accent 6" w:locked="0" w:semiHidden="0" w:unhideWhenUsed="0"/>
    <w:lsdException w:name="Light Grid Accent 6" w:locked="0" w:semiHidden="0" w:unhideWhenUsed="0"/>
    <w:lsdException w:name="Medium Shading 1 Accent 6" w:locked="0" w:semiHidden="0" w:unhideWhenUsed="0"/>
    <w:lsdException w:name="Medium Shading 2 Accent 6" w:locked="0" w:semiHidden="0" w:unhideWhenUsed="0"/>
    <w:lsdException w:name="Medium List 1 Accent 6" w:locked="0" w:semiHidden="0" w:unhideWhenUsed="0"/>
    <w:lsdException w:name="Medium List 2 Accent 6" w:locked="0" w:semiHidden="0" w:unhideWhenUsed="0"/>
    <w:lsdException w:name="Medium Grid 1 Accent 6" w:locked="0" w:semiHidden="0" w:unhideWhenUsed="0"/>
    <w:lsdException w:name="Medium Grid 2 Accent 6" w:locked="0" w:semiHidden="0" w:unhideWhenUsed="0"/>
    <w:lsdException w:name="Medium Grid 3 Accent 6" w:locked="0" w:semiHidden="0" w:unhideWhenUsed="0"/>
    <w:lsdException w:name="Dark List Accent 6" w:locked="0" w:semiHidden="0" w:unhideWhenUsed="0"/>
    <w:lsdException w:name="Colorful Shading Accent 6" w:locked="0" w:semiHidden="0" w:unhideWhenUsed="0"/>
    <w:lsdException w:name="Colorful List Accent 6" w:locked="0" w:semiHidden="0" w:unhideWhenUsed="0"/>
    <w:lsdException w:name="Colorful Grid Accent 6" w:locked="0" w:semiHidden="0"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nhideWhenUsed="0" w:qFormat="1"/>
    <w:lsdException w:name="Bibliography" w:locked="0"/>
    <w:lsdException w:name="TOC Heading" w:locked="0" w:semiHidden="0" w:unhideWhenUsed="0" w:qFormat="1"/>
  </w:latentStyles>
  <w:style w:type="paragraph" w:default="1" w:styleId="Normalny">
    <w:name w:val="Normal"/>
    <w:qFormat/>
    <w:rsid w:val="00786E90"/>
    <w:pPr>
      <w:jc w:val="both"/>
    </w:pPr>
    <w:rPr>
      <w:rFonts w:eastAsia="MS Mincho"/>
      <w:sz w:val="24"/>
      <w:szCs w:val="24"/>
      <w:lang w:eastAsia="en-US"/>
    </w:rPr>
  </w:style>
  <w:style w:type="paragraph" w:styleId="Nagwek1">
    <w:name w:val="heading 1"/>
    <w:basedOn w:val="Normalny"/>
    <w:next w:val="Normalny"/>
    <w:link w:val="Nagwek1Znak"/>
    <w:uiPriority w:val="99"/>
    <w:qFormat/>
    <w:rsid w:val="00786E9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786E9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786E9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786E9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786E90"/>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786E9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786E90"/>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786E90"/>
    <w:pPr>
      <w:outlineLvl w:val="7"/>
    </w:pPr>
    <w:rPr>
      <w:rFonts w:eastAsia="MS Gothic"/>
      <w:sz w:val="20"/>
      <w:szCs w:val="20"/>
      <w:lang w:eastAsia="pl-PL"/>
    </w:rPr>
  </w:style>
  <w:style w:type="paragraph" w:styleId="Nagwek9">
    <w:name w:val="heading 9"/>
    <w:basedOn w:val="Normalny"/>
    <w:next w:val="Normalny"/>
    <w:link w:val="Nagwek9Znak"/>
    <w:uiPriority w:val="99"/>
    <w:qFormat/>
    <w:rsid w:val="00786E90"/>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786E90"/>
    <w:rPr>
      <w:rFonts w:ascii="Times New Roman" w:eastAsia="MS Gothic" w:hAnsi="Times New Roman" w:cs="Times New Roman"/>
      <w:b/>
      <w:bCs/>
      <w:color w:val="333333"/>
      <w:sz w:val="28"/>
      <w:szCs w:val="28"/>
      <w:lang w:val="pl-PL"/>
    </w:rPr>
  </w:style>
  <w:style w:type="character" w:customStyle="1" w:styleId="Nagwek2Znak">
    <w:name w:val="Nagłówek 2 Znak"/>
    <w:basedOn w:val="Domylnaczcionkaakapitu"/>
    <w:link w:val="Nagwek2"/>
    <w:uiPriority w:val="99"/>
    <w:semiHidden/>
    <w:locked/>
    <w:rsid w:val="00786E90"/>
    <w:rPr>
      <w:rFonts w:ascii="Times New Roman" w:eastAsia="MS Gothic" w:hAnsi="Times New Roman" w:cs="Times New Roman"/>
      <w:b/>
      <w:bCs/>
      <w:color w:val="4D4D4D"/>
      <w:sz w:val="26"/>
      <w:szCs w:val="26"/>
      <w:lang w:val="pl-PL"/>
    </w:rPr>
  </w:style>
  <w:style w:type="character" w:customStyle="1" w:styleId="Nagwek3Znak">
    <w:name w:val="Nagłówek 3 Znak"/>
    <w:basedOn w:val="Domylnaczcionkaakapitu"/>
    <w:link w:val="Nagwek3"/>
    <w:uiPriority w:val="99"/>
    <w:semiHidden/>
    <w:locked/>
    <w:rsid w:val="00786E90"/>
    <w:rPr>
      <w:rFonts w:ascii="Times New Roman" w:eastAsia="MS Gothic" w:hAnsi="Times New Roman" w:cs="Times New Roman"/>
      <w:b/>
      <w:bCs/>
      <w:color w:val="5F5F5F"/>
      <w:sz w:val="24"/>
      <w:szCs w:val="24"/>
      <w:lang w:val="pl-PL"/>
    </w:rPr>
  </w:style>
  <w:style w:type="character" w:customStyle="1" w:styleId="Nagwek4Znak">
    <w:name w:val="Nagłówek 4 Znak"/>
    <w:basedOn w:val="Domylnaczcionkaakapitu"/>
    <w:link w:val="Nagwek4"/>
    <w:uiPriority w:val="99"/>
    <w:semiHidden/>
    <w:locked/>
    <w:rsid w:val="00786E90"/>
    <w:rPr>
      <w:rFonts w:ascii="Times New Roman" w:eastAsia="MS Gothic" w:hAnsi="Times New Roman" w:cs="Times New Roman"/>
      <w:b/>
      <w:bCs/>
      <w:i/>
      <w:iCs/>
      <w:color w:val="777777"/>
      <w:sz w:val="24"/>
      <w:szCs w:val="24"/>
      <w:lang w:val="pl-PL"/>
    </w:rPr>
  </w:style>
  <w:style w:type="character" w:customStyle="1" w:styleId="Nagwek5Znak">
    <w:name w:val="Nagłówek 5 Znak"/>
    <w:basedOn w:val="Domylnaczcionkaakapitu"/>
    <w:link w:val="Nagwek5"/>
    <w:uiPriority w:val="99"/>
    <w:semiHidden/>
    <w:locked/>
    <w:rsid w:val="00786E90"/>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786E90"/>
    <w:rPr>
      <w:rFonts w:ascii="Times New Roman" w:eastAsia="MS Gothic" w:hAnsi="Times New Roman" w:cs="Times New Roman"/>
      <w:b/>
      <w:bCs/>
      <w:i/>
      <w:iCs/>
      <w:color w:val="7F7F7F"/>
      <w:sz w:val="24"/>
      <w:szCs w:val="24"/>
      <w:lang w:val="pl-PL"/>
    </w:rPr>
  </w:style>
  <w:style w:type="character" w:customStyle="1" w:styleId="Nagwek7Znak">
    <w:name w:val="Nagłówek 7 Znak"/>
    <w:basedOn w:val="Domylnaczcionkaakapitu"/>
    <w:link w:val="Nagwek7"/>
    <w:uiPriority w:val="99"/>
    <w:semiHidden/>
    <w:locked/>
    <w:rsid w:val="00786E90"/>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786E90"/>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786E90"/>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786E9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786E90"/>
    <w:rPr>
      <w:rFonts w:ascii="Tahoma" w:eastAsia="MS Mincho" w:hAnsi="Tahoma" w:cs="Tahoma"/>
      <w:sz w:val="16"/>
      <w:szCs w:val="16"/>
      <w:lang w:val="pl-PL"/>
    </w:rPr>
  </w:style>
  <w:style w:type="character" w:styleId="Tytuksiki">
    <w:name w:val="Book Title"/>
    <w:basedOn w:val="Domylnaczcionkaakapitu"/>
    <w:uiPriority w:val="99"/>
    <w:qFormat/>
    <w:rsid w:val="00786E90"/>
    <w:rPr>
      <w:i/>
      <w:iCs/>
      <w:smallCaps/>
      <w:spacing w:val="5"/>
    </w:rPr>
  </w:style>
  <w:style w:type="paragraph" w:customStyle="1" w:styleId="ECHRHeader">
    <w:name w:val="ECHR_Header"/>
    <w:aliases w:val="Ju_Header"/>
    <w:basedOn w:val="Nagwek"/>
    <w:uiPriority w:val="99"/>
    <w:rsid w:val="00786E90"/>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786E90"/>
    <w:pPr>
      <w:jc w:val="left"/>
    </w:pPr>
    <w:rPr>
      <w:sz w:val="8"/>
      <w:szCs w:val="8"/>
    </w:rPr>
  </w:style>
  <w:style w:type="character" w:styleId="Pogrubienie">
    <w:name w:val="Strong"/>
    <w:basedOn w:val="Domylnaczcionkaakapitu"/>
    <w:uiPriority w:val="99"/>
    <w:qFormat/>
    <w:rsid w:val="00786E90"/>
    <w:rPr>
      <w:b/>
      <w:bCs/>
    </w:rPr>
  </w:style>
  <w:style w:type="paragraph" w:styleId="Bezodstpw">
    <w:name w:val="No Spacing"/>
    <w:basedOn w:val="Normalny"/>
    <w:link w:val="BezodstpwZnak"/>
    <w:uiPriority w:val="99"/>
    <w:qFormat/>
    <w:rsid w:val="00786E90"/>
    <w:rPr>
      <w:sz w:val="20"/>
      <w:szCs w:val="20"/>
      <w:lang w:eastAsia="pl-PL"/>
    </w:rPr>
  </w:style>
  <w:style w:type="character" w:customStyle="1" w:styleId="BezodstpwZnak">
    <w:name w:val="Bez odstępów Znak"/>
    <w:link w:val="Bezodstpw"/>
    <w:uiPriority w:val="99"/>
    <w:semiHidden/>
    <w:locked/>
    <w:rsid w:val="00786E90"/>
    <w:rPr>
      <w:rFonts w:eastAsia="MS Mincho"/>
    </w:rPr>
  </w:style>
  <w:style w:type="paragraph" w:customStyle="1" w:styleId="ECHRFooterLine">
    <w:name w:val="ECHR_Footer_Line"/>
    <w:aliases w:val="Footer_Line"/>
    <w:basedOn w:val="Normalny"/>
    <w:next w:val="ECHRFooter"/>
    <w:uiPriority w:val="99"/>
    <w:semiHidden/>
    <w:rsid w:val="00786E9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786E90"/>
  </w:style>
  <w:style w:type="paragraph" w:customStyle="1" w:styleId="DecList">
    <w:name w:val="Dec_List"/>
    <w:basedOn w:val="Normalny"/>
    <w:uiPriority w:val="99"/>
    <w:semiHidden/>
    <w:rsid w:val="00786E90"/>
    <w:pPr>
      <w:spacing w:before="240"/>
      <w:ind w:left="284"/>
    </w:pPr>
  </w:style>
  <w:style w:type="paragraph" w:customStyle="1" w:styleId="JuParaSub">
    <w:name w:val="Ju_Para_Sub"/>
    <w:basedOn w:val="ECHRPara"/>
    <w:uiPriority w:val="99"/>
    <w:rsid w:val="00786E90"/>
    <w:pPr>
      <w:ind w:left="284"/>
    </w:pPr>
  </w:style>
  <w:style w:type="paragraph" w:customStyle="1" w:styleId="ECHRTitleCentre3">
    <w:name w:val="ECHR_Title_Centre_3"/>
    <w:aliases w:val="Ju_H_Article"/>
    <w:basedOn w:val="Normalny"/>
    <w:next w:val="ECHRParaQuote"/>
    <w:uiPriority w:val="99"/>
    <w:rsid w:val="00786E9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786E90"/>
    <w:pPr>
      <w:keepNext/>
      <w:keepLines/>
      <w:spacing w:after="240"/>
      <w:jc w:val="center"/>
      <w:outlineLvl w:val="0"/>
    </w:pPr>
    <w:rPr>
      <w:sz w:val="28"/>
      <w:szCs w:val="28"/>
    </w:rPr>
  </w:style>
  <w:style w:type="paragraph" w:customStyle="1" w:styleId="DummyStyle">
    <w:name w:val="Dummy_Style"/>
    <w:basedOn w:val="Normalny"/>
    <w:uiPriority w:val="99"/>
    <w:semiHidden/>
    <w:rsid w:val="00786E90"/>
    <w:rPr>
      <w:color w:val="00B050"/>
    </w:rPr>
  </w:style>
  <w:style w:type="paragraph" w:customStyle="1" w:styleId="OpiQuot">
    <w:name w:val="Opi_Quot"/>
    <w:basedOn w:val="ECHRParaQuote"/>
    <w:uiPriority w:val="99"/>
    <w:rsid w:val="00786E90"/>
  </w:style>
  <w:style w:type="paragraph" w:customStyle="1" w:styleId="JuAppQuestion">
    <w:name w:val="Ju_App_Question"/>
    <w:basedOn w:val="Normalny"/>
    <w:uiPriority w:val="99"/>
    <w:semiHidden/>
    <w:rsid w:val="00786E90"/>
    <w:pPr>
      <w:numPr>
        <w:numId w:val="20"/>
      </w:numPr>
      <w:tabs>
        <w:tab w:val="clear" w:pos="1492"/>
        <w:tab w:val="num" w:pos="720"/>
      </w:tabs>
      <w:ind w:left="720"/>
      <w:jc w:val="left"/>
    </w:pPr>
    <w:rPr>
      <w:b/>
      <w:bCs/>
    </w:rPr>
  </w:style>
  <w:style w:type="paragraph" w:customStyle="1" w:styleId="ECHRTitleCentre2">
    <w:name w:val="ECHR_Title_Centre_2"/>
    <w:aliases w:val="Dec_H_Case"/>
    <w:basedOn w:val="Normalny"/>
    <w:next w:val="ECHRPara"/>
    <w:uiPriority w:val="99"/>
    <w:rsid w:val="00786E90"/>
    <w:pPr>
      <w:spacing w:after="240"/>
      <w:jc w:val="center"/>
      <w:outlineLvl w:val="0"/>
    </w:pPr>
  </w:style>
  <w:style w:type="paragraph" w:customStyle="1" w:styleId="JuHeaderLandscape">
    <w:name w:val="Ju_Header_Landscape"/>
    <w:basedOn w:val="ECHRHeader"/>
    <w:uiPriority w:val="99"/>
    <w:rsid w:val="00786E90"/>
    <w:pPr>
      <w:tabs>
        <w:tab w:val="clear" w:pos="3686"/>
        <w:tab w:val="clear" w:pos="7371"/>
        <w:tab w:val="center" w:pos="6146"/>
        <w:tab w:val="right" w:pos="12293"/>
      </w:tabs>
    </w:pPr>
  </w:style>
  <w:style w:type="paragraph" w:styleId="Tytu">
    <w:name w:val="Title"/>
    <w:basedOn w:val="Normalny"/>
    <w:next w:val="Normalny"/>
    <w:link w:val="TytuZnak"/>
    <w:uiPriority w:val="99"/>
    <w:qFormat/>
    <w:rsid w:val="00786E90"/>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786E90"/>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786E90"/>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786E90"/>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786E90"/>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786E90"/>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786E90"/>
    <w:pPr>
      <w:keepNext/>
      <w:keepLines/>
      <w:spacing w:before="240" w:after="120"/>
      <w:ind w:left="1236"/>
    </w:pPr>
  </w:style>
  <w:style w:type="paragraph" w:customStyle="1" w:styleId="JuQuotSub">
    <w:name w:val="Ju_Quot_Sub"/>
    <w:basedOn w:val="ECHRParaQuote"/>
    <w:uiPriority w:val="99"/>
    <w:rsid w:val="00786E90"/>
    <w:pPr>
      <w:ind w:left="567"/>
    </w:pPr>
  </w:style>
  <w:style w:type="paragraph" w:customStyle="1" w:styleId="JuInitialled">
    <w:name w:val="Ju_Initialled"/>
    <w:basedOn w:val="Normalny"/>
    <w:uiPriority w:val="99"/>
    <w:rsid w:val="00786E90"/>
    <w:pPr>
      <w:tabs>
        <w:tab w:val="center" w:pos="6407"/>
      </w:tabs>
      <w:spacing w:before="720"/>
      <w:jc w:val="right"/>
    </w:pPr>
  </w:style>
  <w:style w:type="character" w:customStyle="1" w:styleId="JUNAMES">
    <w:name w:val="JU_NAMES"/>
    <w:uiPriority w:val="99"/>
    <w:rsid w:val="00786E90"/>
    <w:rPr>
      <w:smallCaps/>
    </w:rPr>
  </w:style>
  <w:style w:type="paragraph" w:styleId="Nagwek">
    <w:name w:val="header"/>
    <w:basedOn w:val="Normalny"/>
    <w:link w:val="NagwekZnak"/>
    <w:uiPriority w:val="99"/>
    <w:rsid w:val="00786E9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786E90"/>
    <w:rPr>
      <w:sz w:val="24"/>
      <w:szCs w:val="24"/>
      <w:lang w:val="pl-PL"/>
    </w:rPr>
  </w:style>
  <w:style w:type="paragraph" w:customStyle="1" w:styleId="ECHRHeading1">
    <w:name w:val="ECHR_Heading_1"/>
    <w:aliases w:val="Ju_H_I_Roman"/>
    <w:basedOn w:val="Nagwek1"/>
    <w:next w:val="ECHRPara"/>
    <w:uiPriority w:val="99"/>
    <w:rsid w:val="00786E90"/>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786E90"/>
    <w:pPr>
      <w:keepNext/>
      <w:keepLines/>
      <w:tabs>
        <w:tab w:val="left" w:pos="584"/>
      </w:tabs>
      <w:spacing w:before="360" w:after="240"/>
      <w:ind w:left="584" w:hanging="352"/>
    </w:pPr>
    <w:rPr>
      <w:color w:val="auto"/>
      <w:sz w:val="24"/>
      <w:szCs w:val="24"/>
    </w:rPr>
  </w:style>
  <w:style w:type="paragraph" w:customStyle="1" w:styleId="JuTitle">
    <w:name w:val="Ju_Title"/>
    <w:basedOn w:val="Normalny"/>
    <w:next w:val="ECHRPara"/>
    <w:uiPriority w:val="99"/>
    <w:semiHidden/>
    <w:rsid w:val="00786E90"/>
    <w:pPr>
      <w:spacing w:before="720" w:after="240"/>
      <w:jc w:val="center"/>
      <w:outlineLvl w:val="0"/>
    </w:pPr>
    <w:rPr>
      <w:b/>
      <w:bCs/>
      <w:caps/>
    </w:rPr>
  </w:style>
  <w:style w:type="paragraph" w:customStyle="1" w:styleId="JuCase">
    <w:name w:val="Ju_Case"/>
    <w:basedOn w:val="Normalny"/>
    <w:next w:val="ECHRPara"/>
    <w:uiPriority w:val="99"/>
    <w:rsid w:val="00786E90"/>
    <w:pPr>
      <w:ind w:firstLine="284"/>
    </w:pPr>
    <w:rPr>
      <w:b/>
      <w:bCs/>
    </w:rPr>
  </w:style>
  <w:style w:type="character" w:styleId="Wyrnieniedelikatne">
    <w:name w:val="Subtle Emphasis"/>
    <w:basedOn w:val="Domylnaczcionkaakapitu"/>
    <w:uiPriority w:val="99"/>
    <w:qFormat/>
    <w:rsid w:val="00786E90"/>
    <w:rPr>
      <w:i/>
      <w:iCs/>
    </w:rPr>
  </w:style>
  <w:style w:type="table" w:customStyle="1" w:styleId="ECHRTable">
    <w:name w:val="ECHR_Table"/>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786E90"/>
    <w:pPr>
      <w:keepNext/>
      <w:keepLines/>
      <w:spacing w:before="720" w:after="240"/>
      <w:outlineLvl w:val="0"/>
    </w:pPr>
    <w:rPr>
      <w:sz w:val="28"/>
      <w:szCs w:val="28"/>
    </w:rPr>
  </w:style>
  <w:style w:type="character" w:styleId="Uwydatnienie">
    <w:name w:val="Emphasis"/>
    <w:basedOn w:val="Domylnaczcionkaakapitu"/>
    <w:uiPriority w:val="99"/>
    <w:qFormat/>
    <w:rsid w:val="00786E90"/>
    <w:rPr>
      <w:b/>
      <w:bCs/>
      <w:i/>
      <w:iCs/>
      <w:spacing w:val="10"/>
      <w:shd w:val="clear" w:color="auto" w:fill="auto"/>
    </w:rPr>
  </w:style>
  <w:style w:type="paragraph" w:styleId="Stopka">
    <w:name w:val="footer"/>
    <w:basedOn w:val="Normalny"/>
    <w:link w:val="StopkaZnak"/>
    <w:uiPriority w:val="99"/>
    <w:semiHidden/>
    <w:rsid w:val="00786E9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786E90"/>
    <w:rPr>
      <w:sz w:val="24"/>
      <w:szCs w:val="24"/>
      <w:lang w:val="pl-PL"/>
    </w:rPr>
  </w:style>
  <w:style w:type="character" w:styleId="Odwoanieprzypisudolnego">
    <w:name w:val="footnote reference"/>
    <w:basedOn w:val="Domylnaczcionkaakapitu"/>
    <w:uiPriority w:val="99"/>
    <w:semiHidden/>
    <w:rsid w:val="00786E90"/>
    <w:rPr>
      <w:vertAlign w:val="superscript"/>
    </w:rPr>
  </w:style>
  <w:style w:type="paragraph" w:styleId="Tekstprzypisudolnego">
    <w:name w:val="footnote text"/>
    <w:basedOn w:val="Normalny"/>
    <w:link w:val="TekstprzypisudolnegoZnak"/>
    <w:uiPriority w:val="99"/>
    <w:semiHidden/>
    <w:rsid w:val="00786E9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786E90"/>
    <w:rPr>
      <w:rFonts w:eastAsia="MS Mincho"/>
      <w:sz w:val="20"/>
      <w:szCs w:val="20"/>
      <w:lang w:val="pl-PL"/>
    </w:rPr>
  </w:style>
  <w:style w:type="character" w:styleId="Hipercze">
    <w:name w:val="Hyperlink"/>
    <w:basedOn w:val="Domylnaczcionkaakapitu"/>
    <w:uiPriority w:val="99"/>
    <w:semiHidden/>
    <w:rsid w:val="00786E90"/>
    <w:rPr>
      <w:color w:val="0072BC"/>
      <w:u w:val="single"/>
    </w:rPr>
  </w:style>
  <w:style w:type="character" w:styleId="Wyrnienieintensywne">
    <w:name w:val="Intense Emphasis"/>
    <w:basedOn w:val="Domylnaczcionkaakapitu"/>
    <w:uiPriority w:val="99"/>
    <w:qFormat/>
    <w:rsid w:val="00786E90"/>
    <w:rPr>
      <w:b/>
      <w:bCs/>
    </w:rPr>
  </w:style>
  <w:style w:type="paragraph" w:styleId="Cytatintensywny">
    <w:name w:val="Intense Quote"/>
    <w:basedOn w:val="Normalny"/>
    <w:next w:val="Normalny"/>
    <w:link w:val="CytatintensywnyZnak"/>
    <w:uiPriority w:val="99"/>
    <w:qFormat/>
    <w:rsid w:val="00786E90"/>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786E90"/>
    <w:rPr>
      <w:rFonts w:eastAsia="MS Mincho"/>
      <w:b/>
      <w:bCs/>
      <w:i/>
      <w:iCs/>
    </w:rPr>
  </w:style>
  <w:style w:type="character" w:styleId="Odwoanieintensywne">
    <w:name w:val="Intense Reference"/>
    <w:basedOn w:val="Domylnaczcionkaakapitu"/>
    <w:uiPriority w:val="99"/>
    <w:qFormat/>
    <w:rsid w:val="00786E90"/>
    <w:rPr>
      <w:smallCaps/>
      <w:spacing w:val="5"/>
      <w:u w:val="single"/>
    </w:rPr>
  </w:style>
  <w:style w:type="paragraph" w:styleId="Akapitzlist">
    <w:name w:val="List Paragraph"/>
    <w:basedOn w:val="Normalny"/>
    <w:uiPriority w:val="99"/>
    <w:qFormat/>
    <w:rsid w:val="00786E90"/>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786E90"/>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786E90"/>
    <w:rPr>
      <w:rFonts w:eastAsia="MS Mincho"/>
      <w:i/>
      <w:iCs/>
    </w:rPr>
  </w:style>
  <w:style w:type="character" w:styleId="Odwoaniedelikatne">
    <w:name w:val="Subtle Reference"/>
    <w:basedOn w:val="Domylnaczcionkaakapitu"/>
    <w:uiPriority w:val="99"/>
    <w:qFormat/>
    <w:rsid w:val="00786E90"/>
    <w:rPr>
      <w:smallCaps/>
    </w:rPr>
  </w:style>
  <w:style w:type="table" w:styleId="Tabela-Siatka">
    <w:name w:val="Table Grid"/>
    <w:basedOn w:val="Standardowy"/>
    <w:uiPriority w:val="99"/>
    <w:semiHidden/>
    <w:rsid w:val="00786E90"/>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86E9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786E9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786E9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786E9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786E9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786E90"/>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786E90"/>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link w:val="JuQuotChar"/>
    <w:uiPriority w:val="99"/>
    <w:rsid w:val="00786E90"/>
    <w:pPr>
      <w:spacing w:before="120" w:after="120"/>
      <w:ind w:left="425" w:firstLine="142"/>
    </w:pPr>
    <w:rPr>
      <w:sz w:val="20"/>
      <w:szCs w:val="20"/>
      <w:lang w:eastAsia="pl-PL"/>
    </w:rPr>
  </w:style>
  <w:style w:type="paragraph" w:customStyle="1" w:styleId="ECHRPara">
    <w:name w:val="ECHR_Para"/>
    <w:aliases w:val="Ju_Para,Left,First line:  0 cm,Para,N_Para,Ju_Para + Interligne : Double"/>
    <w:basedOn w:val="Normalny"/>
    <w:link w:val="ECHRParaChar"/>
    <w:uiPriority w:val="99"/>
    <w:rsid w:val="00786E90"/>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786E90"/>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786E90"/>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link w:val="JuListChar"/>
    <w:uiPriority w:val="99"/>
    <w:rsid w:val="00786E90"/>
    <w:pPr>
      <w:ind w:left="340" w:hanging="340"/>
    </w:pPr>
    <w:rPr>
      <w:lang w:eastAsia="pl-PL"/>
    </w:rPr>
  </w:style>
  <w:style w:type="paragraph" w:customStyle="1" w:styleId="JuSigned">
    <w:name w:val="Ju_Signed"/>
    <w:basedOn w:val="Normalny"/>
    <w:next w:val="JuParaLast"/>
    <w:uiPriority w:val="99"/>
    <w:rsid w:val="00786E90"/>
    <w:pPr>
      <w:tabs>
        <w:tab w:val="center" w:pos="851"/>
        <w:tab w:val="center" w:pos="6407"/>
      </w:tabs>
      <w:spacing w:before="720"/>
      <w:jc w:val="left"/>
    </w:pPr>
  </w:style>
  <w:style w:type="paragraph" w:customStyle="1" w:styleId="JuParaLast">
    <w:name w:val="Ju_Para_Last"/>
    <w:basedOn w:val="Normalny"/>
    <w:next w:val="ECHRPara"/>
    <w:uiPriority w:val="99"/>
    <w:rsid w:val="00786E90"/>
    <w:pPr>
      <w:keepNext/>
      <w:keepLines/>
      <w:spacing w:before="240"/>
      <w:ind w:firstLine="284"/>
    </w:pPr>
  </w:style>
  <w:style w:type="paragraph" w:customStyle="1" w:styleId="JuCourt">
    <w:name w:val="Ju_Court"/>
    <w:basedOn w:val="Normalny"/>
    <w:next w:val="Normalny"/>
    <w:uiPriority w:val="99"/>
    <w:rsid w:val="00786E90"/>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786E90"/>
    <w:pPr>
      <w:ind w:left="346" w:firstLine="0"/>
    </w:pPr>
  </w:style>
  <w:style w:type="paragraph" w:customStyle="1" w:styleId="JuListi">
    <w:name w:val="Ju_List_i"/>
    <w:basedOn w:val="Normalny"/>
    <w:next w:val="JuLista"/>
    <w:uiPriority w:val="99"/>
    <w:rsid w:val="00786E90"/>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786E90"/>
    <w:rPr>
      <w:vertAlign w:val="superscript"/>
    </w:rPr>
  </w:style>
  <w:style w:type="paragraph" w:styleId="Tekstprzypisukocowego">
    <w:name w:val="endnote text"/>
    <w:basedOn w:val="Normalny"/>
    <w:link w:val="TekstprzypisukocowegoZnak"/>
    <w:uiPriority w:val="99"/>
    <w:semiHidden/>
    <w:rsid w:val="00786E9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786E90"/>
    <w:rPr>
      <w:rFonts w:eastAsia="MS Mincho"/>
      <w:sz w:val="20"/>
      <w:szCs w:val="20"/>
      <w:lang w:val="pl-PL"/>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31"/>
      </w:numPr>
    </w:pPr>
  </w:style>
  <w:style w:type="character" w:customStyle="1" w:styleId="JuITMark">
    <w:name w:val="Ju_ITMark"/>
    <w:uiPriority w:val="99"/>
    <w:rsid w:val="00786E90"/>
    <w:rPr>
      <w:color w:val="auto"/>
      <w:sz w:val="14"/>
      <w:szCs w:val="14"/>
      <w:shd w:val="clear" w:color="auto" w:fill="BEE5FF"/>
    </w:rPr>
  </w:style>
  <w:style w:type="paragraph" w:styleId="Podtytu">
    <w:name w:val="Subtitle"/>
    <w:basedOn w:val="Normalny"/>
    <w:next w:val="Normalny"/>
    <w:link w:val="PodtytuZnak"/>
    <w:uiPriority w:val="99"/>
    <w:qFormat/>
    <w:rsid w:val="00786E90"/>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786E90"/>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customStyle="1" w:styleId="Kolorowasiatka1">
    <w:name w:val="Kolorowa siatka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uiPriority w:val="99"/>
    <w:semiHidden/>
    <w:rsid w:val="00014566"/>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uiPriority w:val="99"/>
    <w:semiHidden/>
    <w:rsid w:val="00014566"/>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customStyle="1" w:styleId="Jasnasiatka1">
    <w:name w:val="Jasna siatka1"/>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uiPriority w:val="99"/>
    <w:semiHidden/>
    <w:rsid w:val="00014566"/>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numPr>
        <w:numId w:val="17"/>
      </w:numPr>
      <w:tabs>
        <w:tab w:val="clear" w:pos="643"/>
        <w:tab w:val="num" w:pos="926"/>
      </w:tabs>
      <w:ind w:left="926"/>
    </w:pPr>
  </w:style>
  <w:style w:type="paragraph" w:styleId="Listanumerowana4">
    <w:name w:val="List Number 4"/>
    <w:basedOn w:val="Normalny"/>
    <w:uiPriority w:val="99"/>
    <w:semiHidden/>
    <w:rsid w:val="00014566"/>
    <w:pPr>
      <w:numPr>
        <w:numId w:val="18"/>
      </w:numPr>
      <w:tabs>
        <w:tab w:val="clear" w:pos="926"/>
        <w:tab w:val="num" w:pos="1209"/>
      </w:tabs>
      <w:ind w:left="1209"/>
    </w:pPr>
  </w:style>
  <w:style w:type="paragraph" w:styleId="Listanumerowana5">
    <w:name w:val="List Number 5"/>
    <w:basedOn w:val="Normalny"/>
    <w:uiPriority w:val="99"/>
    <w:semiHidden/>
    <w:rsid w:val="00014566"/>
    <w:pPr>
      <w:numPr>
        <w:numId w:val="1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customStyle="1" w:styleId="redniasiatka11">
    <w:name w:val="Średnia siatka 1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uiPriority w:val="99"/>
    <w:semiHidden/>
    <w:rsid w:val="00014566"/>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786E90"/>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86E9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786E9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99"/>
    <w:rsid w:val="00786E90"/>
    <w:pPr>
      <w:ind w:left="635" w:hanging="357"/>
      <w:outlineLvl w:val="2"/>
    </w:pPr>
  </w:style>
  <w:style w:type="paragraph" w:customStyle="1" w:styleId="OpiHa">
    <w:name w:val="Opi_H_a"/>
    <w:basedOn w:val="ECHRHeading3"/>
    <w:uiPriority w:val="99"/>
    <w:rsid w:val="00786E90"/>
    <w:pPr>
      <w:ind w:left="833" w:hanging="357"/>
      <w:outlineLvl w:val="3"/>
    </w:pPr>
    <w:rPr>
      <w:b/>
      <w:bCs/>
      <w:i w:val="0"/>
      <w:iCs w:val="0"/>
      <w:sz w:val="20"/>
      <w:szCs w:val="20"/>
    </w:rPr>
  </w:style>
  <w:style w:type="paragraph" w:customStyle="1" w:styleId="OpiHA0">
    <w:name w:val="Opi_H_A"/>
    <w:basedOn w:val="ECHRHeading1"/>
    <w:next w:val="OpiPara"/>
    <w:uiPriority w:val="99"/>
    <w:rsid w:val="00786E90"/>
    <w:pPr>
      <w:tabs>
        <w:tab w:val="clear" w:pos="357"/>
      </w:tabs>
      <w:outlineLvl w:val="1"/>
    </w:pPr>
    <w:rPr>
      <w:b/>
      <w:bCs/>
    </w:rPr>
  </w:style>
  <w:style w:type="paragraph" w:customStyle="1" w:styleId="OpiHi">
    <w:name w:val="Opi_H_i"/>
    <w:basedOn w:val="ECHRHeading4"/>
    <w:uiPriority w:val="99"/>
    <w:rsid w:val="00786E90"/>
    <w:pPr>
      <w:ind w:left="1037" w:hanging="357"/>
      <w:outlineLvl w:val="4"/>
    </w:pPr>
    <w:rPr>
      <w:b w:val="0"/>
      <w:bCs w:val="0"/>
      <w:i/>
      <w:iCs/>
    </w:rPr>
  </w:style>
  <w:style w:type="paragraph" w:customStyle="1" w:styleId="OpiPara">
    <w:name w:val="Opi_Para"/>
    <w:basedOn w:val="ECHRPara"/>
    <w:uiPriority w:val="99"/>
    <w:rsid w:val="00786E90"/>
  </w:style>
  <w:style w:type="paragraph" w:customStyle="1" w:styleId="OpiParaSub">
    <w:name w:val="Opi_Para_Sub"/>
    <w:basedOn w:val="JuParaSub"/>
    <w:uiPriority w:val="99"/>
    <w:rsid w:val="00786E90"/>
  </w:style>
  <w:style w:type="paragraph" w:customStyle="1" w:styleId="OpiQuotSub">
    <w:name w:val="Opi_Quot_Sub"/>
    <w:basedOn w:val="JuQuotSub"/>
    <w:uiPriority w:val="99"/>
    <w:rsid w:val="00786E90"/>
  </w:style>
  <w:style w:type="paragraph" w:customStyle="1" w:styleId="OpiTranslation">
    <w:name w:val="Opi_Translation"/>
    <w:basedOn w:val="Normalny"/>
    <w:next w:val="OpiPara"/>
    <w:uiPriority w:val="99"/>
    <w:rsid w:val="00786E90"/>
    <w:pPr>
      <w:jc w:val="center"/>
      <w:outlineLvl w:val="0"/>
    </w:pPr>
    <w:rPr>
      <w:i/>
      <w:iCs/>
    </w:rPr>
  </w:style>
  <w:style w:type="character" w:customStyle="1" w:styleId="ECHRParaChar">
    <w:name w:val="ECHR_Para Char"/>
    <w:aliases w:val="Ju_Para Char"/>
    <w:link w:val="ECHRPara"/>
    <w:uiPriority w:val="99"/>
    <w:locked/>
    <w:rsid w:val="005374AD"/>
    <w:rPr>
      <w:rFonts w:eastAsia="MS Mincho"/>
      <w:sz w:val="24"/>
      <w:szCs w:val="24"/>
      <w:lang w:val="pl-PL"/>
    </w:rPr>
  </w:style>
  <w:style w:type="character" w:customStyle="1" w:styleId="JuQuotChar">
    <w:name w:val="Ju_Quot Char"/>
    <w:link w:val="ECHRParaQuote"/>
    <w:uiPriority w:val="99"/>
    <w:locked/>
    <w:rsid w:val="005374AD"/>
    <w:rPr>
      <w:rFonts w:eastAsia="MS Mincho"/>
      <w:sz w:val="20"/>
      <w:szCs w:val="20"/>
      <w:lang w:val="pl-PL"/>
    </w:rPr>
  </w:style>
  <w:style w:type="character" w:customStyle="1" w:styleId="JuListChar">
    <w:name w:val="Ju_List Char"/>
    <w:link w:val="JuList"/>
    <w:uiPriority w:val="99"/>
    <w:locked/>
    <w:rsid w:val="00FF2A36"/>
    <w:rPr>
      <w:rFonts w:eastAsia="MS Mincho"/>
      <w:sz w:val="24"/>
      <w:szCs w:val="24"/>
      <w:lang w:val="pl-PL"/>
    </w:rPr>
  </w:style>
  <w:style w:type="paragraph" w:styleId="Poprawka">
    <w:name w:val="Revision"/>
    <w:hidden/>
    <w:uiPriority w:val="99"/>
    <w:semiHidden/>
    <w:rsid w:val="00FF2A36"/>
    <w:rPr>
      <w:rFonts w:eastAsia="MS Mincho"/>
      <w:sz w:val="24"/>
      <w:szCs w:val="24"/>
      <w:lang w:eastAsia="en-US"/>
    </w:rPr>
  </w:style>
  <w:style w:type="paragraph" w:customStyle="1" w:styleId="ECHRParaSpaced">
    <w:name w:val="ECHR_Para_Spaced"/>
    <w:aliases w:val="Para_Spaced"/>
    <w:basedOn w:val="ECHRPara"/>
    <w:uiPriority w:val="99"/>
    <w:rsid w:val="00D50AE0"/>
    <w:pPr>
      <w:spacing w:before="120" w:after="120"/>
      <w:ind w:firstLine="0"/>
    </w:pPr>
    <w:rPr>
      <w:rFonts w:eastAsia="Times New Roman"/>
      <w:sz w:val="22"/>
      <w:szCs w:val="22"/>
    </w:rPr>
  </w:style>
  <w:style w:type="paragraph" w:customStyle="1" w:styleId="s50c0b1c7">
    <w:name w:val="s50c0b1c7"/>
    <w:basedOn w:val="Normalny"/>
    <w:uiPriority w:val="99"/>
    <w:rsid w:val="003B4AC8"/>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3B4AC8"/>
  </w:style>
  <w:style w:type="character" w:customStyle="1" w:styleId="sfbbfee58">
    <w:name w:val="sfbbfee58"/>
    <w:basedOn w:val="Domylnaczcionkaakapitu"/>
    <w:uiPriority w:val="99"/>
    <w:rsid w:val="003B4AC8"/>
  </w:style>
  <w:style w:type="paragraph" w:customStyle="1" w:styleId="ClinContent">
    <w:name w:val="ClinContent"/>
    <w:basedOn w:val="Normalny"/>
    <w:uiPriority w:val="99"/>
    <w:rsid w:val="00E430F4"/>
    <w:pPr>
      <w:spacing w:before="240"/>
    </w:pPr>
    <w:rPr>
      <w:rFonts w:ascii="Verdana" w:eastAsia="Times New Roman" w:hAnsi="Verdana" w:cs="Verdana"/>
      <w:sz w:val="20"/>
      <w:szCs w:val="20"/>
      <w:lang w:eastAsia="en-GB"/>
    </w:rPr>
  </w:style>
  <w:style w:type="character" w:customStyle="1" w:styleId="s4f807e54">
    <w:name w:val="s4f807e54"/>
    <w:uiPriority w:val="99"/>
    <w:rsid w:val="003B135D"/>
  </w:style>
  <w:style w:type="numbering" w:styleId="1ai">
    <w:name w:val="Outline List 1"/>
    <w:basedOn w:val="Bezlisty"/>
    <w:uiPriority w:val="99"/>
    <w:semiHidden/>
    <w:unhideWhenUsed/>
    <w:locked/>
    <w:rsid w:val="00677D11"/>
    <w:pPr>
      <w:numPr>
        <w:numId w:val="33"/>
      </w:numPr>
    </w:pPr>
  </w:style>
  <w:style w:type="numbering" w:styleId="111111">
    <w:name w:val="Outline List 2"/>
    <w:basedOn w:val="Bezlisty"/>
    <w:uiPriority w:val="99"/>
    <w:semiHidden/>
    <w:unhideWhenUsed/>
    <w:locked/>
    <w:rsid w:val="00677D11"/>
    <w:pPr>
      <w:numPr>
        <w:numId w:val="32"/>
      </w:numPr>
    </w:pPr>
  </w:style>
  <w:style w:type="numbering" w:styleId="Artykusekcja">
    <w:name w:val="Outline List 3"/>
    <w:basedOn w:val="Bezlisty"/>
    <w:uiPriority w:val="99"/>
    <w:semiHidden/>
    <w:unhideWhenUsed/>
    <w:locked/>
    <w:rsid w:val="00677D11"/>
    <w:pPr>
      <w:numPr>
        <w:numId w:val="34"/>
      </w:numPr>
    </w:pPr>
  </w:style>
  <w:style w:type="table" w:styleId="Kolorowasiatka">
    <w:name w:val="Colorful Grid"/>
    <w:basedOn w:val="Standardowy"/>
    <w:uiPriority w:val="99"/>
    <w:rsid w:val="00414EFE"/>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lista">
    <w:name w:val="Colorful List"/>
    <w:basedOn w:val="Standardowy"/>
    <w:uiPriority w:val="99"/>
    <w:rsid w:val="00414EFE"/>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ecieniowanie">
    <w:name w:val="Colorful Shading"/>
    <w:basedOn w:val="Standardowy"/>
    <w:uiPriority w:val="99"/>
    <w:rsid w:val="00414EFE"/>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iemnalista">
    <w:name w:val="Dark List"/>
    <w:basedOn w:val="Standardowy"/>
    <w:uiPriority w:val="99"/>
    <w:rsid w:val="00414EFE"/>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Jasnasiatka">
    <w:name w:val="Light Grid"/>
    <w:basedOn w:val="Standardowy"/>
    <w:uiPriority w:val="99"/>
    <w:rsid w:val="00414EFE"/>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lista">
    <w:name w:val="Light List"/>
    <w:basedOn w:val="Standardowy"/>
    <w:uiPriority w:val="99"/>
    <w:rsid w:val="00414EFE"/>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ecieniowanie">
    <w:name w:val="Light Shading"/>
    <w:basedOn w:val="Standardowy"/>
    <w:uiPriority w:val="99"/>
    <w:rsid w:val="00414EFE"/>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414EFE"/>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redniasiatka1">
    <w:name w:val="Medium Grid 1"/>
    <w:basedOn w:val="Standardowy"/>
    <w:uiPriority w:val="99"/>
    <w:rsid w:val="00414EFE"/>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2">
    <w:name w:val="Medium Grid 2"/>
    <w:basedOn w:val="Standardowy"/>
    <w:uiPriority w:val="99"/>
    <w:rsid w:val="00414EFE"/>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3">
    <w:name w:val="Medium Grid 3"/>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lista1">
    <w:name w:val="Medium List 1"/>
    <w:basedOn w:val="Standardowy"/>
    <w:uiPriority w:val="99"/>
    <w:rsid w:val="00414EFE"/>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414EFE"/>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2">
    <w:name w:val="Medium List 2"/>
    <w:basedOn w:val="Standardowy"/>
    <w:uiPriority w:val="99"/>
    <w:rsid w:val="00414EFE"/>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rsid w:val="00414EFE"/>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414EFE"/>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2">
    <w:name w:val="Medium Shading 2"/>
    <w:basedOn w:val="Standardowy"/>
    <w:uiPriority w:val="99"/>
    <w:rsid w:val="00414EFE"/>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414EFE"/>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locked="0" w:unhideWhenUsed="0"/>
    <w:lsdException w:name="No Spacing" w:locked="0" w:semiHidden="0" w:unhideWhenUsed="0" w:qFormat="1"/>
    <w:lsdException w:name="Light Shading" w:locked="0" w:semiHidden="0" w:unhideWhenUsed="0"/>
    <w:lsdException w:name="Light List" w:locked="0" w:semiHidden="0" w:unhideWhenUsed="0"/>
    <w:lsdException w:name="Light Grid" w:locked="0" w:semiHidden="0" w:unhideWhenUsed="0"/>
    <w:lsdException w:name="Medium Shading 1" w:locked="0" w:semiHidden="0" w:unhideWhenUsed="0"/>
    <w:lsdException w:name="Medium Shading 2" w:locked="0" w:semiHidden="0" w:unhideWhenUsed="0"/>
    <w:lsdException w:name="Medium List 1" w:locked="0" w:semiHidden="0" w:unhideWhenUsed="0"/>
    <w:lsdException w:name="Medium List 2" w:locked="0" w:semiHidden="0" w:unhideWhenUsed="0"/>
    <w:lsdException w:name="Medium Grid 1" w:locked="0" w:semiHidden="0" w:unhideWhenUsed="0"/>
    <w:lsdException w:name="Medium Grid 2" w:locked="0" w:semiHidden="0" w:unhideWhenUsed="0"/>
    <w:lsdException w:name="Medium Grid 3" w:locked="0" w:semiHidden="0" w:unhideWhenUsed="0"/>
    <w:lsdException w:name="Dark List" w:locked="0" w:semiHidden="0" w:unhideWhenUsed="0"/>
    <w:lsdException w:name="Colorful Shading" w:locked="0" w:semiHidden="0" w:unhideWhenUsed="0"/>
    <w:lsdException w:name="Colorful List" w:locked="0" w:semiHidden="0" w:unhideWhenUsed="0"/>
    <w:lsdException w:name="Colorful Grid" w:locked="0" w:semiHidden="0" w:unhideWhenUsed="0"/>
    <w:lsdException w:name="Light Shading Accent 1" w:locked="0" w:semiHidden="0" w:unhideWhenUsed="0"/>
    <w:lsdException w:name="Light List Accent 1" w:locked="0" w:semiHidden="0" w:unhideWhenUsed="0"/>
    <w:lsdException w:name="Light Grid Accent 1" w:locked="0" w:semiHidden="0" w:unhideWhenUsed="0"/>
    <w:lsdException w:name="Medium Shading 1 Accent 1" w:locked="0" w:semiHidden="0" w:unhideWhenUsed="0"/>
    <w:lsdException w:name="Medium Shading 2 Accent 1" w:locked="0" w:semiHidden="0" w:unhideWhenUsed="0"/>
    <w:lsdException w:name="Medium List 1 Accent 1" w:locked="0" w:semiHidden="0" w:unhideWhenUsed="0"/>
    <w:lsdException w:name="Revision" w:locked="0" w:unhideWhenUsed="0"/>
    <w:lsdException w:name="List Paragraph" w:locked="0" w:semiHidden="0" w:unhideWhenUsed="0" w:qFormat="1"/>
    <w:lsdException w:name="Quote" w:locked="0" w:semiHidden="0" w:unhideWhenUsed="0" w:qFormat="1"/>
    <w:lsdException w:name="Intense Quote" w:locked="0" w:semiHidden="0" w:unhideWhenUsed="0" w:qFormat="1"/>
    <w:lsdException w:name="Medium List 2 Accent 1" w:locked="0" w:semiHidden="0" w:unhideWhenUsed="0"/>
    <w:lsdException w:name="Medium Grid 1 Accent 1" w:locked="0" w:semiHidden="0" w:unhideWhenUsed="0"/>
    <w:lsdException w:name="Medium Grid 2 Accent 1" w:locked="0" w:semiHidden="0" w:unhideWhenUsed="0"/>
    <w:lsdException w:name="Medium Grid 3 Accent 1" w:locked="0" w:semiHidden="0" w:unhideWhenUsed="0"/>
    <w:lsdException w:name="Dark List Accent 1" w:locked="0" w:semiHidden="0" w:unhideWhenUsed="0"/>
    <w:lsdException w:name="Colorful Shading Accent 1" w:locked="0" w:semiHidden="0" w:unhideWhenUsed="0"/>
    <w:lsdException w:name="Colorful List Accent 1" w:locked="0" w:semiHidden="0" w:unhideWhenUsed="0"/>
    <w:lsdException w:name="Colorful Grid Accent 1" w:locked="0" w:semiHidden="0" w:unhideWhenUsed="0"/>
    <w:lsdException w:name="Light Shading Accent 2" w:locked="0" w:semiHidden="0" w:unhideWhenUsed="0"/>
    <w:lsdException w:name="Light List Accent 2" w:locked="0" w:semiHidden="0" w:unhideWhenUsed="0"/>
    <w:lsdException w:name="Light Grid Accent 2" w:locked="0" w:semiHidden="0" w:unhideWhenUsed="0"/>
    <w:lsdException w:name="Medium Shading 1 Accent 2" w:locked="0" w:semiHidden="0" w:unhideWhenUsed="0"/>
    <w:lsdException w:name="Medium Shading 2 Accent 2" w:locked="0" w:semiHidden="0" w:unhideWhenUsed="0"/>
    <w:lsdException w:name="Medium List 1 Accent 2" w:locked="0" w:semiHidden="0" w:unhideWhenUsed="0"/>
    <w:lsdException w:name="Medium List 2 Accent 2" w:locked="0" w:semiHidden="0" w:unhideWhenUsed="0"/>
    <w:lsdException w:name="Medium Grid 1 Accent 2" w:locked="0" w:semiHidden="0" w:unhideWhenUsed="0"/>
    <w:lsdException w:name="Medium Grid 2 Accent 2" w:locked="0" w:semiHidden="0" w:unhideWhenUsed="0"/>
    <w:lsdException w:name="Medium Grid 3 Accent 2" w:locked="0" w:semiHidden="0" w:unhideWhenUsed="0"/>
    <w:lsdException w:name="Dark List Accent 2" w:locked="0" w:semiHidden="0" w:unhideWhenUsed="0"/>
    <w:lsdException w:name="Colorful Shading Accent 2" w:locked="0" w:semiHidden="0" w:unhideWhenUsed="0"/>
    <w:lsdException w:name="Colorful List Accent 2" w:locked="0" w:semiHidden="0" w:unhideWhenUsed="0"/>
    <w:lsdException w:name="Colorful Grid Accent 2" w:locked="0" w:semiHidden="0" w:unhideWhenUsed="0"/>
    <w:lsdException w:name="Light Shading Accent 3" w:locked="0" w:semiHidden="0" w:unhideWhenUsed="0"/>
    <w:lsdException w:name="Light List Accent 3" w:locked="0" w:semiHidden="0" w:unhideWhenUsed="0"/>
    <w:lsdException w:name="Light Grid Accent 3" w:locked="0" w:semiHidden="0" w:unhideWhenUsed="0"/>
    <w:lsdException w:name="Medium Shading 1 Accent 3" w:locked="0" w:semiHidden="0" w:unhideWhenUsed="0"/>
    <w:lsdException w:name="Medium Shading 2 Accent 3" w:locked="0" w:semiHidden="0" w:unhideWhenUsed="0"/>
    <w:lsdException w:name="Medium List 1 Accent 3" w:locked="0" w:semiHidden="0" w:unhideWhenUsed="0"/>
    <w:lsdException w:name="Medium List 2 Accent 3" w:locked="0" w:semiHidden="0" w:unhideWhenUsed="0"/>
    <w:lsdException w:name="Medium Grid 1 Accent 3" w:locked="0" w:semiHidden="0" w:unhideWhenUsed="0"/>
    <w:lsdException w:name="Medium Grid 2 Accent 3" w:locked="0" w:semiHidden="0" w:unhideWhenUsed="0"/>
    <w:lsdException w:name="Medium Grid 3 Accent 3" w:locked="0" w:semiHidden="0" w:unhideWhenUsed="0"/>
    <w:lsdException w:name="Dark List Accent 3" w:locked="0" w:semiHidden="0" w:unhideWhenUsed="0"/>
    <w:lsdException w:name="Colorful Shading Accent 3" w:locked="0" w:semiHidden="0" w:unhideWhenUsed="0"/>
    <w:lsdException w:name="Colorful List Accent 3" w:locked="0" w:semiHidden="0" w:unhideWhenUsed="0"/>
    <w:lsdException w:name="Colorful Grid Accent 3" w:locked="0" w:semiHidden="0" w:unhideWhenUsed="0"/>
    <w:lsdException w:name="Light Shading Accent 4" w:locked="0" w:semiHidden="0" w:unhideWhenUsed="0"/>
    <w:lsdException w:name="Light List Accent 4" w:locked="0" w:semiHidden="0" w:unhideWhenUsed="0"/>
    <w:lsdException w:name="Light Grid Accent 4" w:locked="0" w:semiHidden="0" w:unhideWhenUsed="0"/>
    <w:lsdException w:name="Medium Shading 1 Accent 4" w:locked="0" w:semiHidden="0" w:unhideWhenUsed="0"/>
    <w:lsdException w:name="Medium Shading 2 Accent 4" w:locked="0" w:semiHidden="0" w:unhideWhenUsed="0"/>
    <w:lsdException w:name="Medium List 1 Accent 4" w:locked="0" w:semiHidden="0" w:unhideWhenUsed="0"/>
    <w:lsdException w:name="Medium List 2 Accent 4" w:locked="0" w:semiHidden="0" w:unhideWhenUsed="0"/>
    <w:lsdException w:name="Medium Grid 1 Accent 4" w:locked="0" w:semiHidden="0" w:unhideWhenUsed="0"/>
    <w:lsdException w:name="Medium Grid 2 Accent 4" w:locked="0" w:semiHidden="0" w:unhideWhenUsed="0"/>
    <w:lsdException w:name="Medium Grid 3 Accent 4" w:locked="0" w:semiHidden="0" w:unhideWhenUsed="0"/>
    <w:lsdException w:name="Dark List Accent 4" w:locked="0" w:semiHidden="0" w:unhideWhenUsed="0"/>
    <w:lsdException w:name="Colorful Shading Accent 4" w:locked="0" w:semiHidden="0" w:unhideWhenUsed="0"/>
    <w:lsdException w:name="Colorful List Accent 4" w:locked="0" w:semiHidden="0" w:unhideWhenUsed="0"/>
    <w:lsdException w:name="Colorful Grid Accent 4" w:locked="0" w:semiHidden="0" w:unhideWhenUsed="0"/>
    <w:lsdException w:name="Light Shading Accent 5" w:locked="0" w:semiHidden="0" w:unhideWhenUsed="0"/>
    <w:lsdException w:name="Light List Accent 5" w:locked="0" w:semiHidden="0" w:unhideWhenUsed="0"/>
    <w:lsdException w:name="Light Grid Accent 5" w:locked="0" w:semiHidden="0" w:unhideWhenUsed="0"/>
    <w:lsdException w:name="Medium Shading 1 Accent 5" w:locked="0" w:semiHidden="0" w:unhideWhenUsed="0"/>
    <w:lsdException w:name="Medium Shading 2 Accent 5" w:locked="0" w:semiHidden="0" w:unhideWhenUsed="0"/>
    <w:lsdException w:name="Medium List 1 Accent 5" w:locked="0" w:semiHidden="0" w:unhideWhenUsed="0"/>
    <w:lsdException w:name="Medium List 2 Accent 5" w:locked="0" w:semiHidden="0" w:unhideWhenUsed="0"/>
    <w:lsdException w:name="Medium Grid 1 Accent 5" w:locked="0" w:semiHidden="0" w:unhideWhenUsed="0"/>
    <w:lsdException w:name="Medium Grid 2 Accent 5" w:locked="0" w:semiHidden="0" w:unhideWhenUsed="0"/>
    <w:lsdException w:name="Medium Grid 3 Accent 5" w:locked="0" w:semiHidden="0" w:unhideWhenUsed="0"/>
    <w:lsdException w:name="Dark List Accent 5" w:locked="0" w:semiHidden="0" w:unhideWhenUsed="0"/>
    <w:lsdException w:name="Colorful Shading Accent 5" w:locked="0" w:semiHidden="0" w:unhideWhenUsed="0"/>
    <w:lsdException w:name="Colorful List Accent 5" w:locked="0" w:semiHidden="0" w:unhideWhenUsed="0"/>
    <w:lsdException w:name="Colorful Grid Accent 5" w:locked="0" w:semiHidden="0" w:unhideWhenUsed="0"/>
    <w:lsdException w:name="Light Shading Accent 6" w:locked="0" w:semiHidden="0" w:unhideWhenUsed="0"/>
    <w:lsdException w:name="Light List Accent 6" w:locked="0" w:semiHidden="0" w:unhideWhenUsed="0"/>
    <w:lsdException w:name="Light Grid Accent 6" w:locked="0" w:semiHidden="0" w:unhideWhenUsed="0"/>
    <w:lsdException w:name="Medium Shading 1 Accent 6" w:locked="0" w:semiHidden="0" w:unhideWhenUsed="0"/>
    <w:lsdException w:name="Medium Shading 2 Accent 6" w:locked="0" w:semiHidden="0" w:unhideWhenUsed="0"/>
    <w:lsdException w:name="Medium List 1 Accent 6" w:locked="0" w:semiHidden="0" w:unhideWhenUsed="0"/>
    <w:lsdException w:name="Medium List 2 Accent 6" w:locked="0" w:semiHidden="0" w:unhideWhenUsed="0"/>
    <w:lsdException w:name="Medium Grid 1 Accent 6" w:locked="0" w:semiHidden="0" w:unhideWhenUsed="0"/>
    <w:lsdException w:name="Medium Grid 2 Accent 6" w:locked="0" w:semiHidden="0" w:unhideWhenUsed="0"/>
    <w:lsdException w:name="Medium Grid 3 Accent 6" w:locked="0" w:semiHidden="0" w:unhideWhenUsed="0"/>
    <w:lsdException w:name="Dark List Accent 6" w:locked="0" w:semiHidden="0" w:unhideWhenUsed="0"/>
    <w:lsdException w:name="Colorful Shading Accent 6" w:locked="0" w:semiHidden="0" w:unhideWhenUsed="0"/>
    <w:lsdException w:name="Colorful List Accent 6" w:locked="0" w:semiHidden="0" w:unhideWhenUsed="0"/>
    <w:lsdException w:name="Colorful Grid Accent 6" w:locked="0" w:semiHidden="0"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nhideWhenUsed="0" w:qFormat="1"/>
    <w:lsdException w:name="Bibliography" w:locked="0"/>
    <w:lsdException w:name="TOC Heading" w:locked="0" w:semiHidden="0" w:unhideWhenUsed="0" w:qFormat="1"/>
  </w:latentStyles>
  <w:style w:type="paragraph" w:default="1" w:styleId="Normalny">
    <w:name w:val="Normal"/>
    <w:qFormat/>
    <w:rsid w:val="00786E90"/>
    <w:pPr>
      <w:jc w:val="both"/>
    </w:pPr>
    <w:rPr>
      <w:rFonts w:eastAsia="MS Mincho"/>
      <w:sz w:val="24"/>
      <w:szCs w:val="24"/>
      <w:lang w:eastAsia="en-US"/>
    </w:rPr>
  </w:style>
  <w:style w:type="paragraph" w:styleId="Nagwek1">
    <w:name w:val="heading 1"/>
    <w:basedOn w:val="Normalny"/>
    <w:next w:val="Normalny"/>
    <w:link w:val="Nagwek1Znak"/>
    <w:uiPriority w:val="99"/>
    <w:qFormat/>
    <w:rsid w:val="00786E90"/>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786E90"/>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786E90"/>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786E90"/>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786E90"/>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786E90"/>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786E90"/>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786E90"/>
    <w:pPr>
      <w:outlineLvl w:val="7"/>
    </w:pPr>
    <w:rPr>
      <w:rFonts w:eastAsia="MS Gothic"/>
      <w:sz w:val="20"/>
      <w:szCs w:val="20"/>
      <w:lang w:eastAsia="pl-PL"/>
    </w:rPr>
  </w:style>
  <w:style w:type="paragraph" w:styleId="Nagwek9">
    <w:name w:val="heading 9"/>
    <w:basedOn w:val="Normalny"/>
    <w:next w:val="Normalny"/>
    <w:link w:val="Nagwek9Znak"/>
    <w:uiPriority w:val="99"/>
    <w:qFormat/>
    <w:rsid w:val="00786E90"/>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786E90"/>
    <w:rPr>
      <w:rFonts w:ascii="Times New Roman" w:eastAsia="MS Gothic" w:hAnsi="Times New Roman" w:cs="Times New Roman"/>
      <w:b/>
      <w:bCs/>
      <w:color w:val="333333"/>
      <w:sz w:val="28"/>
      <w:szCs w:val="28"/>
      <w:lang w:val="pl-PL"/>
    </w:rPr>
  </w:style>
  <w:style w:type="character" w:customStyle="1" w:styleId="Nagwek2Znak">
    <w:name w:val="Nagłówek 2 Znak"/>
    <w:basedOn w:val="Domylnaczcionkaakapitu"/>
    <w:link w:val="Nagwek2"/>
    <w:uiPriority w:val="99"/>
    <w:semiHidden/>
    <w:locked/>
    <w:rsid w:val="00786E90"/>
    <w:rPr>
      <w:rFonts w:ascii="Times New Roman" w:eastAsia="MS Gothic" w:hAnsi="Times New Roman" w:cs="Times New Roman"/>
      <w:b/>
      <w:bCs/>
      <w:color w:val="4D4D4D"/>
      <w:sz w:val="26"/>
      <w:szCs w:val="26"/>
      <w:lang w:val="pl-PL"/>
    </w:rPr>
  </w:style>
  <w:style w:type="character" w:customStyle="1" w:styleId="Nagwek3Znak">
    <w:name w:val="Nagłówek 3 Znak"/>
    <w:basedOn w:val="Domylnaczcionkaakapitu"/>
    <w:link w:val="Nagwek3"/>
    <w:uiPriority w:val="99"/>
    <w:semiHidden/>
    <w:locked/>
    <w:rsid w:val="00786E90"/>
    <w:rPr>
      <w:rFonts w:ascii="Times New Roman" w:eastAsia="MS Gothic" w:hAnsi="Times New Roman" w:cs="Times New Roman"/>
      <w:b/>
      <w:bCs/>
      <w:color w:val="5F5F5F"/>
      <w:sz w:val="24"/>
      <w:szCs w:val="24"/>
      <w:lang w:val="pl-PL"/>
    </w:rPr>
  </w:style>
  <w:style w:type="character" w:customStyle="1" w:styleId="Nagwek4Znak">
    <w:name w:val="Nagłówek 4 Znak"/>
    <w:basedOn w:val="Domylnaczcionkaakapitu"/>
    <w:link w:val="Nagwek4"/>
    <w:uiPriority w:val="99"/>
    <w:semiHidden/>
    <w:locked/>
    <w:rsid w:val="00786E90"/>
    <w:rPr>
      <w:rFonts w:ascii="Times New Roman" w:eastAsia="MS Gothic" w:hAnsi="Times New Roman" w:cs="Times New Roman"/>
      <w:b/>
      <w:bCs/>
      <w:i/>
      <w:iCs/>
      <w:color w:val="777777"/>
      <w:sz w:val="24"/>
      <w:szCs w:val="24"/>
      <w:lang w:val="pl-PL"/>
    </w:rPr>
  </w:style>
  <w:style w:type="character" w:customStyle="1" w:styleId="Nagwek5Znak">
    <w:name w:val="Nagłówek 5 Znak"/>
    <w:basedOn w:val="Domylnaczcionkaakapitu"/>
    <w:link w:val="Nagwek5"/>
    <w:uiPriority w:val="99"/>
    <w:semiHidden/>
    <w:locked/>
    <w:rsid w:val="00786E90"/>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786E90"/>
    <w:rPr>
      <w:rFonts w:ascii="Times New Roman" w:eastAsia="MS Gothic" w:hAnsi="Times New Roman" w:cs="Times New Roman"/>
      <w:b/>
      <w:bCs/>
      <w:i/>
      <w:iCs/>
      <w:color w:val="7F7F7F"/>
      <w:sz w:val="24"/>
      <w:szCs w:val="24"/>
      <w:lang w:val="pl-PL"/>
    </w:rPr>
  </w:style>
  <w:style w:type="character" w:customStyle="1" w:styleId="Nagwek7Znak">
    <w:name w:val="Nagłówek 7 Znak"/>
    <w:basedOn w:val="Domylnaczcionkaakapitu"/>
    <w:link w:val="Nagwek7"/>
    <w:uiPriority w:val="99"/>
    <w:semiHidden/>
    <w:locked/>
    <w:rsid w:val="00786E90"/>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786E90"/>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786E90"/>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786E90"/>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786E90"/>
    <w:rPr>
      <w:rFonts w:ascii="Tahoma" w:eastAsia="MS Mincho" w:hAnsi="Tahoma" w:cs="Tahoma"/>
      <w:sz w:val="16"/>
      <w:szCs w:val="16"/>
      <w:lang w:val="pl-PL"/>
    </w:rPr>
  </w:style>
  <w:style w:type="character" w:styleId="Tytuksiki">
    <w:name w:val="Book Title"/>
    <w:basedOn w:val="Domylnaczcionkaakapitu"/>
    <w:uiPriority w:val="99"/>
    <w:qFormat/>
    <w:rsid w:val="00786E90"/>
    <w:rPr>
      <w:i/>
      <w:iCs/>
      <w:smallCaps/>
      <w:spacing w:val="5"/>
    </w:rPr>
  </w:style>
  <w:style w:type="paragraph" w:customStyle="1" w:styleId="ECHRHeader">
    <w:name w:val="ECHR_Header"/>
    <w:aliases w:val="Ju_Header"/>
    <w:basedOn w:val="Nagwek"/>
    <w:uiPriority w:val="99"/>
    <w:rsid w:val="00786E90"/>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786E90"/>
    <w:pPr>
      <w:jc w:val="left"/>
    </w:pPr>
    <w:rPr>
      <w:sz w:val="8"/>
      <w:szCs w:val="8"/>
    </w:rPr>
  </w:style>
  <w:style w:type="character" w:styleId="Pogrubienie">
    <w:name w:val="Strong"/>
    <w:basedOn w:val="Domylnaczcionkaakapitu"/>
    <w:uiPriority w:val="99"/>
    <w:qFormat/>
    <w:rsid w:val="00786E90"/>
    <w:rPr>
      <w:b/>
      <w:bCs/>
    </w:rPr>
  </w:style>
  <w:style w:type="paragraph" w:styleId="Bezodstpw">
    <w:name w:val="No Spacing"/>
    <w:basedOn w:val="Normalny"/>
    <w:link w:val="BezodstpwZnak"/>
    <w:uiPriority w:val="99"/>
    <w:qFormat/>
    <w:rsid w:val="00786E90"/>
    <w:rPr>
      <w:sz w:val="20"/>
      <w:szCs w:val="20"/>
      <w:lang w:eastAsia="pl-PL"/>
    </w:rPr>
  </w:style>
  <w:style w:type="character" w:customStyle="1" w:styleId="BezodstpwZnak">
    <w:name w:val="Bez odstępów Znak"/>
    <w:link w:val="Bezodstpw"/>
    <w:uiPriority w:val="99"/>
    <w:semiHidden/>
    <w:locked/>
    <w:rsid w:val="00786E90"/>
    <w:rPr>
      <w:rFonts w:eastAsia="MS Mincho"/>
    </w:rPr>
  </w:style>
  <w:style w:type="paragraph" w:customStyle="1" w:styleId="ECHRFooterLine">
    <w:name w:val="ECHR_Footer_Line"/>
    <w:aliases w:val="Footer_Line"/>
    <w:basedOn w:val="Normalny"/>
    <w:next w:val="ECHRFooter"/>
    <w:uiPriority w:val="99"/>
    <w:semiHidden/>
    <w:rsid w:val="00786E9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99"/>
    <w:semiHidden/>
    <w:rsid w:val="00786E90"/>
  </w:style>
  <w:style w:type="paragraph" w:customStyle="1" w:styleId="DecList">
    <w:name w:val="Dec_List"/>
    <w:basedOn w:val="Normalny"/>
    <w:uiPriority w:val="99"/>
    <w:semiHidden/>
    <w:rsid w:val="00786E90"/>
    <w:pPr>
      <w:spacing w:before="240"/>
      <w:ind w:left="284"/>
    </w:pPr>
  </w:style>
  <w:style w:type="paragraph" w:customStyle="1" w:styleId="JuParaSub">
    <w:name w:val="Ju_Para_Sub"/>
    <w:basedOn w:val="ECHRPara"/>
    <w:uiPriority w:val="99"/>
    <w:rsid w:val="00786E90"/>
    <w:pPr>
      <w:ind w:left="284"/>
    </w:pPr>
  </w:style>
  <w:style w:type="paragraph" w:customStyle="1" w:styleId="ECHRTitleCentre3">
    <w:name w:val="ECHR_Title_Centre_3"/>
    <w:aliases w:val="Ju_H_Article"/>
    <w:basedOn w:val="Normalny"/>
    <w:next w:val="ECHRParaQuote"/>
    <w:uiPriority w:val="99"/>
    <w:rsid w:val="00786E90"/>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786E90"/>
    <w:pPr>
      <w:keepNext/>
      <w:keepLines/>
      <w:spacing w:after="240"/>
      <w:jc w:val="center"/>
      <w:outlineLvl w:val="0"/>
    </w:pPr>
    <w:rPr>
      <w:sz w:val="28"/>
      <w:szCs w:val="28"/>
    </w:rPr>
  </w:style>
  <w:style w:type="paragraph" w:customStyle="1" w:styleId="DummyStyle">
    <w:name w:val="Dummy_Style"/>
    <w:basedOn w:val="Normalny"/>
    <w:uiPriority w:val="99"/>
    <w:semiHidden/>
    <w:rsid w:val="00786E90"/>
    <w:rPr>
      <w:color w:val="00B050"/>
    </w:rPr>
  </w:style>
  <w:style w:type="paragraph" w:customStyle="1" w:styleId="OpiQuot">
    <w:name w:val="Opi_Quot"/>
    <w:basedOn w:val="ECHRParaQuote"/>
    <w:uiPriority w:val="99"/>
    <w:rsid w:val="00786E90"/>
  </w:style>
  <w:style w:type="paragraph" w:customStyle="1" w:styleId="JuAppQuestion">
    <w:name w:val="Ju_App_Question"/>
    <w:basedOn w:val="Normalny"/>
    <w:uiPriority w:val="99"/>
    <w:semiHidden/>
    <w:rsid w:val="00786E90"/>
    <w:pPr>
      <w:numPr>
        <w:numId w:val="20"/>
      </w:numPr>
      <w:tabs>
        <w:tab w:val="clear" w:pos="1492"/>
        <w:tab w:val="num" w:pos="720"/>
      </w:tabs>
      <w:ind w:left="720"/>
      <w:jc w:val="left"/>
    </w:pPr>
    <w:rPr>
      <w:b/>
      <w:bCs/>
    </w:rPr>
  </w:style>
  <w:style w:type="paragraph" w:customStyle="1" w:styleId="ECHRTitleCentre2">
    <w:name w:val="ECHR_Title_Centre_2"/>
    <w:aliases w:val="Dec_H_Case"/>
    <w:basedOn w:val="Normalny"/>
    <w:next w:val="ECHRPara"/>
    <w:uiPriority w:val="99"/>
    <w:rsid w:val="00786E90"/>
    <w:pPr>
      <w:spacing w:after="240"/>
      <w:jc w:val="center"/>
      <w:outlineLvl w:val="0"/>
    </w:pPr>
  </w:style>
  <w:style w:type="paragraph" w:customStyle="1" w:styleId="JuHeaderLandscape">
    <w:name w:val="Ju_Header_Landscape"/>
    <w:basedOn w:val="ECHRHeader"/>
    <w:uiPriority w:val="99"/>
    <w:rsid w:val="00786E90"/>
    <w:pPr>
      <w:tabs>
        <w:tab w:val="clear" w:pos="3686"/>
        <w:tab w:val="clear" w:pos="7371"/>
        <w:tab w:val="center" w:pos="6146"/>
        <w:tab w:val="right" w:pos="12293"/>
      </w:tabs>
    </w:pPr>
  </w:style>
  <w:style w:type="paragraph" w:styleId="Tytu">
    <w:name w:val="Title"/>
    <w:basedOn w:val="Normalny"/>
    <w:next w:val="Normalny"/>
    <w:link w:val="TytuZnak"/>
    <w:uiPriority w:val="99"/>
    <w:qFormat/>
    <w:rsid w:val="00786E90"/>
    <w:pPr>
      <w:pBdr>
        <w:bottom w:val="single" w:sz="4" w:space="1" w:color="auto"/>
      </w:pBdr>
    </w:pPr>
    <w:rPr>
      <w:rFonts w:eastAsia="MS Gothic"/>
      <w:spacing w:val="5"/>
      <w:sz w:val="52"/>
      <w:szCs w:val="52"/>
      <w:lang w:eastAsia="pl-PL"/>
    </w:rPr>
  </w:style>
  <w:style w:type="character" w:customStyle="1" w:styleId="TytuZnak">
    <w:name w:val="Tytuł Znak"/>
    <w:basedOn w:val="Domylnaczcionkaakapitu"/>
    <w:link w:val="Tytu"/>
    <w:uiPriority w:val="99"/>
    <w:semiHidden/>
    <w:locked/>
    <w:rsid w:val="00786E90"/>
    <w:rPr>
      <w:rFonts w:ascii="Times New Roman" w:eastAsia="MS Gothic" w:hAnsi="Times New Roman" w:cs="Times New Roman"/>
      <w:spacing w:val="5"/>
      <w:sz w:val="52"/>
      <w:szCs w:val="52"/>
    </w:rPr>
  </w:style>
  <w:style w:type="paragraph" w:customStyle="1" w:styleId="ECHRHeading3">
    <w:name w:val="ECHR_Heading_3"/>
    <w:aliases w:val="Ju_H_1."/>
    <w:basedOn w:val="Nagwek3"/>
    <w:next w:val="ECHRPara"/>
    <w:uiPriority w:val="99"/>
    <w:rsid w:val="00786E90"/>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786E90"/>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786E90"/>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786E90"/>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786E90"/>
    <w:pPr>
      <w:keepNext/>
      <w:keepLines/>
      <w:spacing w:before="240" w:after="120"/>
      <w:ind w:left="1236"/>
    </w:pPr>
  </w:style>
  <w:style w:type="paragraph" w:customStyle="1" w:styleId="JuQuotSub">
    <w:name w:val="Ju_Quot_Sub"/>
    <w:basedOn w:val="ECHRParaQuote"/>
    <w:uiPriority w:val="99"/>
    <w:rsid w:val="00786E90"/>
    <w:pPr>
      <w:ind w:left="567"/>
    </w:pPr>
  </w:style>
  <w:style w:type="paragraph" w:customStyle="1" w:styleId="JuInitialled">
    <w:name w:val="Ju_Initialled"/>
    <w:basedOn w:val="Normalny"/>
    <w:uiPriority w:val="99"/>
    <w:rsid w:val="00786E90"/>
    <w:pPr>
      <w:tabs>
        <w:tab w:val="center" w:pos="6407"/>
      </w:tabs>
      <w:spacing w:before="720"/>
      <w:jc w:val="right"/>
    </w:pPr>
  </w:style>
  <w:style w:type="character" w:customStyle="1" w:styleId="JUNAMES">
    <w:name w:val="JU_NAMES"/>
    <w:uiPriority w:val="99"/>
    <w:rsid w:val="00786E90"/>
    <w:rPr>
      <w:smallCaps/>
    </w:rPr>
  </w:style>
  <w:style w:type="paragraph" w:styleId="Nagwek">
    <w:name w:val="header"/>
    <w:basedOn w:val="Normalny"/>
    <w:link w:val="NagwekZnak"/>
    <w:uiPriority w:val="99"/>
    <w:rsid w:val="00786E90"/>
    <w:pPr>
      <w:tabs>
        <w:tab w:val="center" w:pos="4536"/>
        <w:tab w:val="right" w:pos="9072"/>
      </w:tabs>
    </w:pPr>
    <w:rPr>
      <w:rFonts w:eastAsia="Times New Roman"/>
      <w:lang w:eastAsia="pl-PL"/>
    </w:rPr>
  </w:style>
  <w:style w:type="character" w:customStyle="1" w:styleId="NagwekZnak">
    <w:name w:val="Nagłówek Znak"/>
    <w:basedOn w:val="Domylnaczcionkaakapitu"/>
    <w:link w:val="Nagwek"/>
    <w:uiPriority w:val="99"/>
    <w:locked/>
    <w:rsid w:val="00786E90"/>
    <w:rPr>
      <w:sz w:val="24"/>
      <w:szCs w:val="24"/>
      <w:lang w:val="pl-PL"/>
    </w:rPr>
  </w:style>
  <w:style w:type="paragraph" w:customStyle="1" w:styleId="ECHRHeading1">
    <w:name w:val="ECHR_Heading_1"/>
    <w:aliases w:val="Ju_H_I_Roman"/>
    <w:basedOn w:val="Nagwek1"/>
    <w:next w:val="ECHRPara"/>
    <w:uiPriority w:val="99"/>
    <w:rsid w:val="00786E90"/>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786E90"/>
    <w:pPr>
      <w:keepNext/>
      <w:keepLines/>
      <w:tabs>
        <w:tab w:val="left" w:pos="584"/>
      </w:tabs>
      <w:spacing w:before="360" w:after="240"/>
      <w:ind w:left="584" w:hanging="352"/>
    </w:pPr>
    <w:rPr>
      <w:color w:val="auto"/>
      <w:sz w:val="24"/>
      <w:szCs w:val="24"/>
    </w:rPr>
  </w:style>
  <w:style w:type="paragraph" w:customStyle="1" w:styleId="JuTitle">
    <w:name w:val="Ju_Title"/>
    <w:basedOn w:val="Normalny"/>
    <w:next w:val="ECHRPara"/>
    <w:uiPriority w:val="99"/>
    <w:semiHidden/>
    <w:rsid w:val="00786E90"/>
    <w:pPr>
      <w:spacing w:before="720" w:after="240"/>
      <w:jc w:val="center"/>
      <w:outlineLvl w:val="0"/>
    </w:pPr>
    <w:rPr>
      <w:b/>
      <w:bCs/>
      <w:caps/>
    </w:rPr>
  </w:style>
  <w:style w:type="paragraph" w:customStyle="1" w:styleId="JuCase">
    <w:name w:val="Ju_Case"/>
    <w:basedOn w:val="Normalny"/>
    <w:next w:val="ECHRPara"/>
    <w:uiPriority w:val="99"/>
    <w:rsid w:val="00786E90"/>
    <w:pPr>
      <w:ind w:firstLine="284"/>
    </w:pPr>
    <w:rPr>
      <w:b/>
      <w:bCs/>
    </w:rPr>
  </w:style>
  <w:style w:type="character" w:styleId="Wyrnieniedelikatne">
    <w:name w:val="Subtle Emphasis"/>
    <w:basedOn w:val="Domylnaczcionkaakapitu"/>
    <w:uiPriority w:val="99"/>
    <w:qFormat/>
    <w:rsid w:val="00786E90"/>
    <w:rPr>
      <w:i/>
      <w:iCs/>
    </w:rPr>
  </w:style>
  <w:style w:type="table" w:customStyle="1" w:styleId="ECHRTable">
    <w:name w:val="ECHR_Table"/>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
    <w:basedOn w:val="Normalny"/>
    <w:next w:val="ECHRPara"/>
    <w:uiPriority w:val="99"/>
    <w:rsid w:val="00786E90"/>
    <w:pPr>
      <w:keepNext/>
      <w:keepLines/>
      <w:spacing w:before="720" w:after="240"/>
      <w:outlineLvl w:val="0"/>
    </w:pPr>
    <w:rPr>
      <w:sz w:val="28"/>
      <w:szCs w:val="28"/>
    </w:rPr>
  </w:style>
  <w:style w:type="character" w:styleId="Uwydatnienie">
    <w:name w:val="Emphasis"/>
    <w:basedOn w:val="Domylnaczcionkaakapitu"/>
    <w:uiPriority w:val="99"/>
    <w:qFormat/>
    <w:rsid w:val="00786E90"/>
    <w:rPr>
      <w:b/>
      <w:bCs/>
      <w:i/>
      <w:iCs/>
      <w:spacing w:val="10"/>
      <w:shd w:val="clear" w:color="auto" w:fill="auto"/>
    </w:rPr>
  </w:style>
  <w:style w:type="paragraph" w:styleId="Stopka">
    <w:name w:val="footer"/>
    <w:basedOn w:val="Normalny"/>
    <w:link w:val="StopkaZnak"/>
    <w:uiPriority w:val="99"/>
    <w:semiHidden/>
    <w:rsid w:val="00786E90"/>
    <w:pPr>
      <w:tabs>
        <w:tab w:val="center" w:pos="4536"/>
        <w:tab w:val="right" w:pos="9696"/>
      </w:tabs>
      <w:ind w:left="-680" w:right="-680"/>
    </w:pPr>
    <w:rPr>
      <w:rFonts w:eastAsia="Times New Roman"/>
      <w:lang w:eastAsia="pl-PL"/>
    </w:rPr>
  </w:style>
  <w:style w:type="character" w:customStyle="1" w:styleId="StopkaZnak">
    <w:name w:val="Stopka Znak"/>
    <w:basedOn w:val="Domylnaczcionkaakapitu"/>
    <w:link w:val="Stopka"/>
    <w:uiPriority w:val="99"/>
    <w:semiHidden/>
    <w:locked/>
    <w:rsid w:val="00786E90"/>
    <w:rPr>
      <w:sz w:val="24"/>
      <w:szCs w:val="24"/>
      <w:lang w:val="pl-PL"/>
    </w:rPr>
  </w:style>
  <w:style w:type="character" w:styleId="Odwoanieprzypisudolnego">
    <w:name w:val="footnote reference"/>
    <w:basedOn w:val="Domylnaczcionkaakapitu"/>
    <w:uiPriority w:val="99"/>
    <w:semiHidden/>
    <w:rsid w:val="00786E90"/>
    <w:rPr>
      <w:vertAlign w:val="superscript"/>
    </w:rPr>
  </w:style>
  <w:style w:type="paragraph" w:styleId="Tekstprzypisudolnego">
    <w:name w:val="footnote text"/>
    <w:basedOn w:val="Normalny"/>
    <w:link w:val="TekstprzypisudolnegoZnak"/>
    <w:uiPriority w:val="99"/>
    <w:semiHidden/>
    <w:rsid w:val="00786E90"/>
    <w:rPr>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786E90"/>
    <w:rPr>
      <w:rFonts w:eastAsia="MS Mincho"/>
      <w:sz w:val="20"/>
      <w:szCs w:val="20"/>
      <w:lang w:val="pl-PL"/>
    </w:rPr>
  </w:style>
  <w:style w:type="character" w:styleId="Hipercze">
    <w:name w:val="Hyperlink"/>
    <w:basedOn w:val="Domylnaczcionkaakapitu"/>
    <w:uiPriority w:val="99"/>
    <w:semiHidden/>
    <w:rsid w:val="00786E90"/>
    <w:rPr>
      <w:color w:val="0072BC"/>
      <w:u w:val="single"/>
    </w:rPr>
  </w:style>
  <w:style w:type="character" w:styleId="Wyrnienieintensywne">
    <w:name w:val="Intense Emphasis"/>
    <w:basedOn w:val="Domylnaczcionkaakapitu"/>
    <w:uiPriority w:val="99"/>
    <w:qFormat/>
    <w:rsid w:val="00786E90"/>
    <w:rPr>
      <w:b/>
      <w:bCs/>
    </w:rPr>
  </w:style>
  <w:style w:type="paragraph" w:styleId="Cytatintensywny">
    <w:name w:val="Intense Quote"/>
    <w:basedOn w:val="Normalny"/>
    <w:next w:val="Normalny"/>
    <w:link w:val="CytatintensywnyZnak"/>
    <w:uiPriority w:val="99"/>
    <w:qFormat/>
    <w:rsid w:val="00786E90"/>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basedOn w:val="Domylnaczcionkaakapitu"/>
    <w:link w:val="Cytatintensywny"/>
    <w:uiPriority w:val="99"/>
    <w:semiHidden/>
    <w:locked/>
    <w:rsid w:val="00786E90"/>
    <w:rPr>
      <w:rFonts w:eastAsia="MS Mincho"/>
      <w:b/>
      <w:bCs/>
      <w:i/>
      <w:iCs/>
    </w:rPr>
  </w:style>
  <w:style w:type="character" w:styleId="Odwoanieintensywne">
    <w:name w:val="Intense Reference"/>
    <w:basedOn w:val="Domylnaczcionkaakapitu"/>
    <w:uiPriority w:val="99"/>
    <w:qFormat/>
    <w:rsid w:val="00786E90"/>
    <w:rPr>
      <w:smallCaps/>
      <w:spacing w:val="5"/>
      <w:u w:val="single"/>
    </w:rPr>
  </w:style>
  <w:style w:type="paragraph" w:styleId="Akapitzlist">
    <w:name w:val="List Paragraph"/>
    <w:basedOn w:val="Normalny"/>
    <w:uiPriority w:val="99"/>
    <w:qFormat/>
    <w:rsid w:val="00786E90"/>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786E90"/>
    <w:pPr>
      <w:spacing w:before="200"/>
      <w:ind w:left="360" w:right="360"/>
    </w:pPr>
    <w:rPr>
      <w:i/>
      <w:iCs/>
      <w:sz w:val="20"/>
      <w:szCs w:val="20"/>
      <w:lang w:eastAsia="pl-PL"/>
    </w:rPr>
  </w:style>
  <w:style w:type="character" w:customStyle="1" w:styleId="CytatZnak">
    <w:name w:val="Cytat Znak"/>
    <w:basedOn w:val="Domylnaczcionkaakapitu"/>
    <w:link w:val="Cytat"/>
    <w:uiPriority w:val="99"/>
    <w:semiHidden/>
    <w:locked/>
    <w:rsid w:val="00786E90"/>
    <w:rPr>
      <w:rFonts w:eastAsia="MS Mincho"/>
      <w:i/>
      <w:iCs/>
    </w:rPr>
  </w:style>
  <w:style w:type="character" w:styleId="Odwoaniedelikatne">
    <w:name w:val="Subtle Reference"/>
    <w:basedOn w:val="Domylnaczcionkaakapitu"/>
    <w:uiPriority w:val="99"/>
    <w:qFormat/>
    <w:rsid w:val="00786E90"/>
    <w:rPr>
      <w:smallCaps/>
    </w:rPr>
  </w:style>
  <w:style w:type="table" w:styleId="Tabela-Siatka">
    <w:name w:val="Table Grid"/>
    <w:basedOn w:val="Standardowy"/>
    <w:uiPriority w:val="99"/>
    <w:semiHidden/>
    <w:rsid w:val="00786E90"/>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86E90"/>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786E90"/>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786E90"/>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786E90"/>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786E90"/>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786E90"/>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786E90"/>
    <w:pPr>
      <w:keepNext/>
      <w:keepLines/>
      <w:spacing w:before="240"/>
      <w:jc w:val="center"/>
    </w:pPr>
    <w:rPr>
      <w:rFonts w:eastAsia="MS Gothic"/>
      <w:b/>
      <w:bCs/>
      <w:color w:val="474747"/>
      <w:sz w:val="28"/>
      <w:szCs w:val="28"/>
    </w:rPr>
  </w:style>
  <w:style w:type="paragraph" w:customStyle="1" w:styleId="ECHRParaQuote">
    <w:name w:val="ECHR_Para_Quote"/>
    <w:aliases w:val="Ju_Quot"/>
    <w:basedOn w:val="Normalny"/>
    <w:link w:val="JuQuotChar"/>
    <w:uiPriority w:val="99"/>
    <w:rsid w:val="00786E90"/>
    <w:pPr>
      <w:spacing w:before="120" w:after="120"/>
      <w:ind w:left="425" w:firstLine="142"/>
    </w:pPr>
    <w:rPr>
      <w:sz w:val="20"/>
      <w:szCs w:val="20"/>
      <w:lang w:eastAsia="pl-PL"/>
    </w:rPr>
  </w:style>
  <w:style w:type="paragraph" w:customStyle="1" w:styleId="ECHRPara">
    <w:name w:val="ECHR_Para"/>
    <w:aliases w:val="Ju_Para,Left,First line:  0 cm,Para,N_Para,Ju_Para + Interligne : Double"/>
    <w:basedOn w:val="Normalny"/>
    <w:link w:val="ECHRParaChar"/>
    <w:uiPriority w:val="99"/>
    <w:rsid w:val="00786E90"/>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786E90"/>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786E90"/>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List">
    <w:name w:val="Ju_List"/>
    <w:basedOn w:val="Normalny"/>
    <w:link w:val="JuListChar"/>
    <w:uiPriority w:val="99"/>
    <w:rsid w:val="00786E90"/>
    <w:pPr>
      <w:ind w:left="340" w:hanging="340"/>
    </w:pPr>
    <w:rPr>
      <w:lang w:eastAsia="pl-PL"/>
    </w:rPr>
  </w:style>
  <w:style w:type="paragraph" w:customStyle="1" w:styleId="JuSigned">
    <w:name w:val="Ju_Signed"/>
    <w:basedOn w:val="Normalny"/>
    <w:next w:val="JuParaLast"/>
    <w:uiPriority w:val="99"/>
    <w:rsid w:val="00786E90"/>
    <w:pPr>
      <w:tabs>
        <w:tab w:val="center" w:pos="851"/>
        <w:tab w:val="center" w:pos="6407"/>
      </w:tabs>
      <w:spacing w:before="720"/>
      <w:jc w:val="left"/>
    </w:pPr>
  </w:style>
  <w:style w:type="paragraph" w:customStyle="1" w:styleId="JuParaLast">
    <w:name w:val="Ju_Para_Last"/>
    <w:basedOn w:val="Normalny"/>
    <w:next w:val="ECHRPara"/>
    <w:uiPriority w:val="99"/>
    <w:rsid w:val="00786E90"/>
    <w:pPr>
      <w:keepNext/>
      <w:keepLines/>
      <w:spacing w:before="240"/>
      <w:ind w:firstLine="284"/>
    </w:pPr>
  </w:style>
  <w:style w:type="paragraph" w:customStyle="1" w:styleId="JuCourt">
    <w:name w:val="Ju_Court"/>
    <w:basedOn w:val="Normalny"/>
    <w:next w:val="Normalny"/>
    <w:uiPriority w:val="99"/>
    <w:rsid w:val="00786E90"/>
    <w:pPr>
      <w:tabs>
        <w:tab w:val="left" w:pos="907"/>
        <w:tab w:val="left" w:pos="1701"/>
        <w:tab w:val="right" w:pos="7371"/>
      </w:tabs>
      <w:spacing w:before="240"/>
      <w:ind w:left="397" w:hanging="397"/>
      <w:jc w:val="left"/>
    </w:pPr>
  </w:style>
  <w:style w:type="character" w:styleId="Numerstrony">
    <w:name w:val="page number"/>
    <w:basedOn w:val="Domylnaczcionkaakapitu"/>
    <w:uiPriority w:val="99"/>
    <w:semiHidden/>
    <w:rsid w:val="00014566"/>
    <w:rPr>
      <w:sz w:val="18"/>
      <w:szCs w:val="18"/>
    </w:rPr>
  </w:style>
  <w:style w:type="paragraph" w:customStyle="1" w:styleId="JuLista">
    <w:name w:val="Ju_List_a"/>
    <w:basedOn w:val="JuList"/>
    <w:uiPriority w:val="99"/>
    <w:rsid w:val="00786E90"/>
    <w:pPr>
      <w:ind w:left="346" w:firstLine="0"/>
    </w:pPr>
  </w:style>
  <w:style w:type="paragraph" w:customStyle="1" w:styleId="JuListi">
    <w:name w:val="Ju_List_i"/>
    <w:basedOn w:val="Normalny"/>
    <w:next w:val="JuLista"/>
    <w:uiPriority w:val="99"/>
    <w:rsid w:val="00786E90"/>
    <w:pPr>
      <w:ind w:left="794"/>
    </w:pPr>
  </w:style>
  <w:style w:type="character" w:styleId="Odwoaniedokomentarza">
    <w:name w:val="annotation reference"/>
    <w:basedOn w:val="Domylnaczcionkaakapitu"/>
    <w:uiPriority w:val="99"/>
    <w:semiHidden/>
    <w:rsid w:val="00014566"/>
    <w:rPr>
      <w:sz w:val="16"/>
      <w:szCs w:val="16"/>
    </w:rPr>
  </w:style>
  <w:style w:type="paragraph" w:styleId="Tekstkomentarza">
    <w:name w:val="annotation text"/>
    <w:basedOn w:val="Normalny"/>
    <w:link w:val="TekstkomentarzaZnak"/>
    <w:uiPriority w:val="99"/>
    <w:semiHidden/>
    <w:rsid w:val="00014566"/>
    <w:rPr>
      <w:sz w:val="20"/>
      <w:szCs w:val="20"/>
      <w:lang w:eastAsia="pl-PL"/>
    </w:rPr>
  </w:style>
  <w:style w:type="character" w:customStyle="1" w:styleId="TekstkomentarzaZnak">
    <w:name w:val="Tekst komentarza Znak"/>
    <w:basedOn w:val="Domylnaczcionkaakapitu"/>
    <w:link w:val="Tekstkomentarza"/>
    <w:uiPriority w:val="99"/>
    <w:semiHidden/>
    <w:locked/>
    <w:rsid w:val="00014566"/>
    <w:rPr>
      <w:rFonts w:eastAsia="MS Mincho"/>
      <w:sz w:val="20"/>
      <w:szCs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locked/>
    <w:rsid w:val="00014566"/>
    <w:rPr>
      <w:rFonts w:eastAsia="MS Mincho"/>
      <w:b/>
      <w:bCs/>
      <w:sz w:val="20"/>
      <w:szCs w:val="20"/>
    </w:rPr>
  </w:style>
  <w:style w:type="character" w:styleId="Odwoanieprzypisukocowego">
    <w:name w:val="endnote reference"/>
    <w:basedOn w:val="Domylnaczcionkaakapitu"/>
    <w:uiPriority w:val="99"/>
    <w:semiHidden/>
    <w:rsid w:val="00786E90"/>
    <w:rPr>
      <w:vertAlign w:val="superscript"/>
    </w:rPr>
  </w:style>
  <w:style w:type="paragraph" w:styleId="Tekstprzypisukocowego">
    <w:name w:val="endnote text"/>
    <w:basedOn w:val="Normalny"/>
    <w:link w:val="TekstprzypisukocowegoZnak"/>
    <w:uiPriority w:val="99"/>
    <w:semiHidden/>
    <w:rsid w:val="00786E90"/>
    <w:rPr>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786E90"/>
    <w:rPr>
      <w:rFonts w:eastAsia="MS Mincho"/>
      <w:sz w:val="20"/>
      <w:szCs w:val="20"/>
      <w:lang w:val="pl-PL"/>
    </w:rPr>
  </w:style>
  <w:style w:type="character" w:styleId="UyteHipercze">
    <w:name w:val="FollowedHyperlink"/>
    <w:basedOn w:val="Domylnaczcionkaakapitu"/>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szCs w:val="20"/>
      <w:lang w:eastAsia="pl-PL"/>
    </w:rPr>
  </w:style>
  <w:style w:type="character" w:customStyle="1" w:styleId="MapadokumentuZnak">
    <w:name w:val="Mapa dokumentu Znak"/>
    <w:basedOn w:val="Domylnaczcionkaakapitu"/>
    <w:link w:val="Mapadokumentu"/>
    <w:uiPriority w:val="99"/>
    <w:semiHidden/>
    <w:locked/>
    <w:rsid w:val="00014566"/>
    <w:rPr>
      <w:rFonts w:ascii="Tahoma" w:eastAsia="MS Mincho" w:hAnsi="Tahoma" w:cs="Tahoma"/>
      <w:sz w:val="20"/>
      <w:szCs w:val="20"/>
      <w:shd w:val="clear" w:color="auto" w:fill="000080"/>
    </w:rPr>
  </w:style>
  <w:style w:type="character" w:customStyle="1" w:styleId="JuNames0">
    <w:name w:val="Ju_Names"/>
    <w:uiPriority w:val="99"/>
    <w:rsid w:val="00014566"/>
    <w:rPr>
      <w:smallCaps/>
    </w:rPr>
  </w:style>
  <w:style w:type="paragraph" w:styleId="Listapunktowana">
    <w:name w:val="List Bullet"/>
    <w:basedOn w:val="Normalny"/>
    <w:uiPriority w:val="99"/>
    <w:semiHidden/>
    <w:rsid w:val="00014566"/>
    <w:pPr>
      <w:numPr>
        <w:numId w:val="31"/>
      </w:numPr>
    </w:pPr>
  </w:style>
  <w:style w:type="character" w:customStyle="1" w:styleId="JuITMark">
    <w:name w:val="Ju_ITMark"/>
    <w:uiPriority w:val="99"/>
    <w:rsid w:val="00786E90"/>
    <w:rPr>
      <w:color w:val="auto"/>
      <w:sz w:val="14"/>
      <w:szCs w:val="14"/>
      <w:shd w:val="clear" w:color="auto" w:fill="BEE5FF"/>
    </w:rPr>
  </w:style>
  <w:style w:type="paragraph" w:styleId="Podtytu">
    <w:name w:val="Subtitle"/>
    <w:basedOn w:val="Normalny"/>
    <w:next w:val="Normalny"/>
    <w:link w:val="PodtytuZnak"/>
    <w:uiPriority w:val="99"/>
    <w:qFormat/>
    <w:rsid w:val="00786E90"/>
    <w:pPr>
      <w:spacing w:after="600"/>
    </w:pPr>
    <w:rPr>
      <w:rFonts w:eastAsia="MS Gothic"/>
      <w:i/>
      <w:iCs/>
      <w:spacing w:val="13"/>
      <w:lang w:eastAsia="pl-PL"/>
    </w:rPr>
  </w:style>
  <w:style w:type="character" w:customStyle="1" w:styleId="PodtytuZnak">
    <w:name w:val="Podtytuł Znak"/>
    <w:basedOn w:val="Domylnaczcionkaakapitu"/>
    <w:link w:val="Podtytu"/>
    <w:uiPriority w:val="99"/>
    <w:semiHidden/>
    <w:locked/>
    <w:rsid w:val="00786E90"/>
    <w:rPr>
      <w:rFonts w:ascii="Times New Roman" w:eastAsia="MS Gothic" w:hAnsi="Times New Roman" w:cs="Times New Roman"/>
      <w:i/>
      <w:iCs/>
      <w:spacing w:val="13"/>
      <w:sz w:val="24"/>
      <w:szCs w:val="24"/>
    </w:rPr>
  </w:style>
  <w:style w:type="paragraph" w:styleId="Bibliografia">
    <w:name w:val="Bibliography"/>
    <w:basedOn w:val="Normalny"/>
    <w:next w:val="Normalny"/>
    <w:uiPriority w:val="99"/>
    <w:semiHidden/>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lang w:eastAsia="pl-PL"/>
    </w:rPr>
  </w:style>
  <w:style w:type="character" w:customStyle="1" w:styleId="TekstpodstawowyZnak">
    <w:name w:val="Tekst podstawowy Znak"/>
    <w:basedOn w:val="Domylnaczcionkaakapitu"/>
    <w:link w:val="Tekstpodstawowy"/>
    <w:uiPriority w:val="99"/>
    <w:semiHidden/>
    <w:locked/>
    <w:rsid w:val="00014566"/>
    <w:rPr>
      <w:rFonts w:eastAsia="MS Mincho"/>
      <w:sz w:val="24"/>
      <w:szCs w:val="24"/>
    </w:rPr>
  </w:style>
  <w:style w:type="paragraph" w:styleId="Tekstpodstawowy2">
    <w:name w:val="Body Text 2"/>
    <w:basedOn w:val="Normalny"/>
    <w:link w:val="Tekstpodstawowy2Znak"/>
    <w:uiPriority w:val="99"/>
    <w:semiHidden/>
    <w:rsid w:val="00014566"/>
    <w:pPr>
      <w:spacing w:after="120" w:line="480" w:lineRule="auto"/>
    </w:pPr>
    <w:rPr>
      <w:lang w:eastAsia="pl-PL"/>
    </w:rPr>
  </w:style>
  <w:style w:type="character" w:customStyle="1" w:styleId="Tekstpodstawowy2Znak">
    <w:name w:val="Tekst podstawowy 2 Znak"/>
    <w:basedOn w:val="Domylnaczcionkaakapitu"/>
    <w:link w:val="Tekstpodstawowy2"/>
    <w:uiPriority w:val="99"/>
    <w:semiHidden/>
    <w:locked/>
    <w:rsid w:val="00014566"/>
    <w:rPr>
      <w:rFonts w:eastAsia="MS Mincho"/>
      <w:sz w:val="24"/>
      <w:szCs w:val="24"/>
    </w:rPr>
  </w:style>
  <w:style w:type="paragraph" w:styleId="Tekstpodstawowy3">
    <w:name w:val="Body Text 3"/>
    <w:basedOn w:val="Normalny"/>
    <w:link w:val="Tekstpodstawowy3Znak"/>
    <w:uiPriority w:val="99"/>
    <w:semiHidden/>
    <w:rsid w:val="00014566"/>
    <w:pPr>
      <w:spacing w:after="120"/>
    </w:pPr>
    <w:rPr>
      <w:sz w:val="16"/>
      <w:szCs w:val="16"/>
      <w:lang w:eastAsia="pl-PL"/>
    </w:rPr>
  </w:style>
  <w:style w:type="character" w:customStyle="1" w:styleId="Tekstpodstawowy3Znak">
    <w:name w:val="Tekst podstawowy 3 Znak"/>
    <w:basedOn w:val="Domylnaczcionkaakapitu"/>
    <w:link w:val="Tekstpodstawowy3"/>
    <w:uiPriority w:val="99"/>
    <w:semiHidden/>
    <w:locked/>
    <w:rsid w:val="00014566"/>
    <w:rPr>
      <w:rFonts w:eastAsia="MS Mincho"/>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014566"/>
    <w:rPr>
      <w:rFonts w:eastAsia="MS Mincho"/>
      <w:sz w:val="24"/>
      <w:szCs w:val="24"/>
    </w:rPr>
  </w:style>
  <w:style w:type="paragraph" w:styleId="Tekstpodstawowywcity">
    <w:name w:val="Body Text Indent"/>
    <w:basedOn w:val="Normalny"/>
    <w:link w:val="TekstpodstawowywcityZnak"/>
    <w:uiPriority w:val="99"/>
    <w:semiHidden/>
    <w:rsid w:val="00014566"/>
    <w:pPr>
      <w:spacing w:after="120"/>
      <w:ind w:left="283"/>
    </w:pPr>
    <w:rPr>
      <w:lang w:eastAsia="pl-PL"/>
    </w:rPr>
  </w:style>
  <w:style w:type="character" w:customStyle="1" w:styleId="TekstpodstawowywcityZnak">
    <w:name w:val="Tekst podstawowy wcięty Znak"/>
    <w:basedOn w:val="Domylnaczcionkaakapitu"/>
    <w:link w:val="Tekstpodstawowywcity"/>
    <w:uiPriority w:val="99"/>
    <w:semiHidden/>
    <w:locked/>
    <w:rsid w:val="00014566"/>
    <w:rPr>
      <w:rFonts w:eastAsia="MS Mincho"/>
      <w:sz w:val="24"/>
      <w:szCs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014566"/>
    <w:rPr>
      <w:rFonts w:eastAsia="MS Mincho"/>
      <w:sz w:val="24"/>
      <w:szCs w:val="24"/>
    </w:rPr>
  </w:style>
  <w:style w:type="paragraph" w:styleId="Tekstpodstawowywcity2">
    <w:name w:val="Body Text Indent 2"/>
    <w:basedOn w:val="Normalny"/>
    <w:link w:val="Tekstpodstawowywcity2Znak"/>
    <w:uiPriority w:val="99"/>
    <w:semiHidden/>
    <w:rsid w:val="00014566"/>
    <w:pPr>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semiHidden/>
    <w:locked/>
    <w:rsid w:val="00014566"/>
    <w:rPr>
      <w:rFonts w:eastAsia="MS Mincho"/>
      <w:sz w:val="24"/>
      <w:szCs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014566"/>
    <w:rPr>
      <w:rFonts w:eastAsia="MS Mincho"/>
      <w:sz w:val="16"/>
      <w:szCs w:val="16"/>
    </w:rPr>
  </w:style>
  <w:style w:type="paragraph" w:styleId="Legenda">
    <w:name w:val="caption"/>
    <w:basedOn w:val="Normalny"/>
    <w:next w:val="Normalny"/>
    <w:uiPriority w:val="99"/>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lang w:eastAsia="pl-PL"/>
    </w:rPr>
  </w:style>
  <w:style w:type="character" w:customStyle="1" w:styleId="ZwrotpoegnalnyZnak">
    <w:name w:val="Zwrot pożegnalny Znak"/>
    <w:basedOn w:val="Domylnaczcionkaakapitu"/>
    <w:link w:val="Zwrotpoegnalny"/>
    <w:uiPriority w:val="99"/>
    <w:semiHidden/>
    <w:locked/>
    <w:rsid w:val="00014566"/>
    <w:rPr>
      <w:rFonts w:eastAsia="MS Mincho"/>
      <w:sz w:val="24"/>
      <w:szCs w:val="24"/>
    </w:rPr>
  </w:style>
  <w:style w:type="table" w:customStyle="1" w:styleId="Kolorowasiatka1">
    <w:name w:val="Kolorowa siatka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sz w:val="20"/>
      <w:szCs w:val="20"/>
      <w:lang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Kolorowalista1">
    <w:name w:val="Kolorowa lista1"/>
    <w:basedOn w:val="Standardowy"/>
    <w:uiPriority w:val="99"/>
    <w:semiHidden/>
    <w:rsid w:val="00014566"/>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sz w:val="20"/>
      <w:szCs w:val="20"/>
      <w:lang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sz w:val="20"/>
      <w:szCs w:val="20"/>
      <w:lang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sz w:val="20"/>
      <w:szCs w:val="20"/>
      <w:lang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sz w:val="20"/>
      <w:szCs w:val="20"/>
      <w:lang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sz w:val="20"/>
      <w:szCs w:val="20"/>
      <w:lang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Kolorowecieniowanie1">
    <w:name w:val="Kolorowe cieniowanie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sz w:val="20"/>
      <w:szCs w:val="20"/>
      <w:lang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sz w:val="20"/>
      <w:szCs w:val="20"/>
      <w:lang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sz w:val="20"/>
      <w:szCs w:val="20"/>
      <w:lang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sz w:val="20"/>
      <w:szCs w:val="20"/>
      <w:lang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Ciemnalista1">
    <w:name w:val="Ciemna lista1"/>
    <w:basedOn w:val="Standardowy"/>
    <w:uiPriority w:val="99"/>
    <w:semiHidden/>
    <w:rsid w:val="00014566"/>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sz w:val="20"/>
      <w:szCs w:val="20"/>
      <w:lang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sz w:val="20"/>
      <w:szCs w:val="20"/>
      <w:lang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sz w:val="20"/>
      <w:szCs w:val="20"/>
      <w:lang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sz w:val="20"/>
      <w:szCs w:val="20"/>
      <w:lang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sz w:val="20"/>
      <w:szCs w:val="20"/>
      <w:lang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lang w:eastAsia="pl-PL"/>
    </w:rPr>
  </w:style>
  <w:style w:type="character" w:customStyle="1" w:styleId="DataZnak">
    <w:name w:val="Data Znak"/>
    <w:basedOn w:val="Domylnaczcionkaakapitu"/>
    <w:link w:val="Data"/>
    <w:uiPriority w:val="99"/>
    <w:semiHidden/>
    <w:locked/>
    <w:rsid w:val="00014566"/>
    <w:rPr>
      <w:rFonts w:eastAsia="MS Mincho"/>
      <w:sz w:val="24"/>
      <w:szCs w:val="24"/>
    </w:rPr>
  </w:style>
  <w:style w:type="paragraph" w:styleId="Podpise-mail">
    <w:name w:val="E-mail Signature"/>
    <w:basedOn w:val="Normalny"/>
    <w:link w:val="Podpise-mailZnak"/>
    <w:uiPriority w:val="99"/>
    <w:semiHidden/>
    <w:rsid w:val="00014566"/>
    <w:rPr>
      <w:lang w:eastAsia="pl-PL"/>
    </w:rPr>
  </w:style>
  <w:style w:type="character" w:customStyle="1" w:styleId="Podpise-mailZnak">
    <w:name w:val="Podpis e-mail Znak"/>
    <w:basedOn w:val="Domylnaczcionkaakapitu"/>
    <w:link w:val="Podpise-mail"/>
    <w:uiPriority w:val="99"/>
    <w:semiHidden/>
    <w:locked/>
    <w:rsid w:val="00014566"/>
    <w:rPr>
      <w:rFonts w:eastAsia="MS Mincho"/>
      <w:sz w:val="24"/>
      <w:szCs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lang w:eastAsia="pl-PL"/>
    </w:rPr>
  </w:style>
  <w:style w:type="character" w:customStyle="1" w:styleId="HTML-adresZnak">
    <w:name w:val="HTML - adres Znak"/>
    <w:basedOn w:val="Domylnaczcionkaakapitu"/>
    <w:link w:val="HTML-adres"/>
    <w:uiPriority w:val="99"/>
    <w:semiHidden/>
    <w:locked/>
    <w:rsid w:val="00014566"/>
    <w:rPr>
      <w:rFonts w:eastAsia="MS Mincho"/>
      <w:i/>
      <w:iCs/>
      <w:sz w:val="24"/>
      <w:szCs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lang w:eastAsia="pl-PL"/>
    </w:rPr>
  </w:style>
  <w:style w:type="character" w:customStyle="1" w:styleId="HTML-wstpniesformatowanyZnak">
    <w:name w:val="HTML - wstępnie sformatowany Znak"/>
    <w:basedOn w:val="Domylnaczcionkaakapitu"/>
    <w:link w:val="HTML-wstpniesformatowany"/>
    <w:uiPriority w:val="99"/>
    <w:semiHidden/>
    <w:locked/>
    <w:rsid w:val="00014566"/>
    <w:rPr>
      <w:rFonts w:ascii="Consolas" w:eastAsia="MS Mincho"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customStyle="1" w:styleId="Jasnasiatka1">
    <w:name w:val="Jasna siatka1"/>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Jasnasiatkaakcent11">
    <w:name w:val="Jasna siatka — akcent 1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Jasnalista1">
    <w:name w:val="Jasna lista1"/>
    <w:basedOn w:val="Standardowy"/>
    <w:uiPriority w:val="99"/>
    <w:semiHidden/>
    <w:rsid w:val="00014566"/>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Jasnalistaakcent11">
    <w:name w:val="Jasna lista — akcent 1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Jasnecieniowanie1">
    <w:name w:val="Jasne cieniowanie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Jasnecieniowanieakcent11">
    <w:name w:val="Jasne cieniowanie — akcent 11"/>
    <w:basedOn w:val="Standardowy"/>
    <w:uiPriority w:val="99"/>
    <w:semiHidden/>
    <w:rsid w:val="00014566"/>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sz w:val="20"/>
      <w:szCs w:val="20"/>
      <w:lang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sz w:val="20"/>
      <w:szCs w:val="20"/>
      <w:lang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sz w:val="20"/>
      <w:szCs w:val="20"/>
      <w:lang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sz w:val="20"/>
      <w:szCs w:val="20"/>
      <w:lang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pPr>
  </w:style>
  <w:style w:type="paragraph" w:styleId="Lista2">
    <w:name w:val="List 2"/>
    <w:basedOn w:val="Normalny"/>
    <w:uiPriority w:val="99"/>
    <w:semiHidden/>
    <w:rsid w:val="00014566"/>
    <w:pPr>
      <w:ind w:left="566" w:hanging="283"/>
    </w:pPr>
  </w:style>
  <w:style w:type="paragraph" w:styleId="Lista3">
    <w:name w:val="List 3"/>
    <w:basedOn w:val="Normalny"/>
    <w:uiPriority w:val="99"/>
    <w:semiHidden/>
    <w:rsid w:val="00014566"/>
    <w:pPr>
      <w:ind w:left="849" w:hanging="283"/>
    </w:pPr>
  </w:style>
  <w:style w:type="paragraph" w:styleId="Lista4">
    <w:name w:val="List 4"/>
    <w:basedOn w:val="Normalny"/>
    <w:uiPriority w:val="99"/>
    <w:semiHidden/>
    <w:rsid w:val="00014566"/>
    <w:pPr>
      <w:ind w:left="1132" w:hanging="283"/>
    </w:pPr>
  </w:style>
  <w:style w:type="paragraph" w:styleId="Lista5">
    <w:name w:val="List 5"/>
    <w:basedOn w:val="Normalny"/>
    <w:uiPriority w:val="99"/>
    <w:semiHidden/>
    <w:rsid w:val="00014566"/>
    <w:pPr>
      <w:ind w:left="1415" w:hanging="283"/>
    </w:pPr>
  </w:style>
  <w:style w:type="paragraph" w:styleId="Listapunktowana2">
    <w:name w:val="List Bullet 2"/>
    <w:basedOn w:val="Normalny"/>
    <w:uiPriority w:val="99"/>
    <w:semiHidden/>
    <w:rsid w:val="00014566"/>
    <w:pPr>
      <w:numPr>
        <w:numId w:val="11"/>
      </w:numPr>
      <w:tabs>
        <w:tab w:val="clear" w:pos="360"/>
        <w:tab w:val="num" w:pos="643"/>
      </w:tabs>
      <w:ind w:left="643"/>
    </w:pPr>
  </w:style>
  <w:style w:type="paragraph" w:styleId="Listapunktowana3">
    <w:name w:val="List Bullet 3"/>
    <w:basedOn w:val="Normalny"/>
    <w:uiPriority w:val="99"/>
    <w:semiHidden/>
    <w:rsid w:val="00014566"/>
    <w:pPr>
      <w:numPr>
        <w:numId w:val="12"/>
      </w:numPr>
      <w:tabs>
        <w:tab w:val="clear" w:pos="643"/>
        <w:tab w:val="num" w:pos="926"/>
      </w:tabs>
      <w:ind w:left="926"/>
    </w:pPr>
  </w:style>
  <w:style w:type="paragraph" w:styleId="Listapunktowana4">
    <w:name w:val="List Bullet 4"/>
    <w:basedOn w:val="Normalny"/>
    <w:uiPriority w:val="99"/>
    <w:semiHidden/>
    <w:rsid w:val="00014566"/>
    <w:pPr>
      <w:numPr>
        <w:numId w:val="13"/>
      </w:numPr>
      <w:tabs>
        <w:tab w:val="clear" w:pos="926"/>
        <w:tab w:val="num" w:pos="1209"/>
      </w:tabs>
      <w:ind w:left="1209"/>
    </w:pPr>
  </w:style>
  <w:style w:type="paragraph" w:styleId="Listapunktowana5">
    <w:name w:val="List Bullet 5"/>
    <w:basedOn w:val="Normalny"/>
    <w:uiPriority w:val="99"/>
    <w:semiHidden/>
    <w:rsid w:val="00014566"/>
    <w:pPr>
      <w:numPr>
        <w:numId w:val="14"/>
      </w:numPr>
      <w:tabs>
        <w:tab w:val="clear" w:pos="1209"/>
        <w:tab w:val="num" w:pos="1492"/>
      </w:tabs>
      <w:ind w:left="1492"/>
    </w:pPr>
  </w:style>
  <w:style w:type="paragraph" w:styleId="Lista-kontynuacja">
    <w:name w:val="List Continue"/>
    <w:basedOn w:val="Normalny"/>
    <w:uiPriority w:val="99"/>
    <w:semiHidden/>
    <w:rsid w:val="00014566"/>
    <w:pPr>
      <w:spacing w:after="120"/>
      <w:ind w:left="283"/>
    </w:pPr>
  </w:style>
  <w:style w:type="paragraph" w:styleId="Lista-kontynuacja2">
    <w:name w:val="List Continue 2"/>
    <w:basedOn w:val="Normalny"/>
    <w:uiPriority w:val="99"/>
    <w:semiHidden/>
    <w:rsid w:val="00014566"/>
    <w:pPr>
      <w:spacing w:after="120"/>
      <w:ind w:left="566"/>
    </w:pPr>
  </w:style>
  <w:style w:type="paragraph" w:styleId="Lista-kontynuacja3">
    <w:name w:val="List Continue 3"/>
    <w:basedOn w:val="Normalny"/>
    <w:uiPriority w:val="99"/>
    <w:semiHidden/>
    <w:rsid w:val="00014566"/>
    <w:pPr>
      <w:spacing w:after="120"/>
      <w:ind w:left="849"/>
    </w:pPr>
  </w:style>
  <w:style w:type="paragraph" w:styleId="Lista-kontynuacja4">
    <w:name w:val="List Continue 4"/>
    <w:basedOn w:val="Normalny"/>
    <w:uiPriority w:val="99"/>
    <w:semiHidden/>
    <w:rsid w:val="00014566"/>
    <w:pPr>
      <w:spacing w:after="120"/>
      <w:ind w:left="1132"/>
    </w:pPr>
  </w:style>
  <w:style w:type="paragraph" w:styleId="Lista-kontynuacja5">
    <w:name w:val="List Continue 5"/>
    <w:basedOn w:val="Normalny"/>
    <w:uiPriority w:val="99"/>
    <w:semiHidden/>
    <w:rsid w:val="00014566"/>
    <w:pPr>
      <w:spacing w:after="120"/>
      <w:ind w:left="1415"/>
    </w:pPr>
  </w:style>
  <w:style w:type="paragraph" w:styleId="Listanumerowana">
    <w:name w:val="List Number"/>
    <w:basedOn w:val="Normalny"/>
    <w:uiPriority w:val="99"/>
    <w:semiHidden/>
    <w:rsid w:val="00014566"/>
    <w:pPr>
      <w:numPr>
        <w:numId w:val="15"/>
      </w:numPr>
      <w:tabs>
        <w:tab w:val="clear" w:pos="1492"/>
        <w:tab w:val="num" w:pos="360"/>
      </w:tabs>
      <w:ind w:left="360"/>
    </w:pPr>
  </w:style>
  <w:style w:type="paragraph" w:styleId="Listanumerowana2">
    <w:name w:val="List Number 2"/>
    <w:basedOn w:val="Normalny"/>
    <w:uiPriority w:val="99"/>
    <w:semiHidden/>
    <w:rsid w:val="00014566"/>
    <w:pPr>
      <w:numPr>
        <w:numId w:val="16"/>
      </w:numPr>
      <w:tabs>
        <w:tab w:val="clear" w:pos="360"/>
        <w:tab w:val="num" w:pos="643"/>
      </w:tabs>
      <w:ind w:left="643"/>
    </w:pPr>
  </w:style>
  <w:style w:type="paragraph" w:styleId="Listanumerowana3">
    <w:name w:val="List Number 3"/>
    <w:basedOn w:val="Normalny"/>
    <w:uiPriority w:val="99"/>
    <w:semiHidden/>
    <w:rsid w:val="00014566"/>
    <w:pPr>
      <w:numPr>
        <w:numId w:val="17"/>
      </w:numPr>
      <w:tabs>
        <w:tab w:val="clear" w:pos="643"/>
        <w:tab w:val="num" w:pos="926"/>
      </w:tabs>
      <w:ind w:left="926"/>
    </w:pPr>
  </w:style>
  <w:style w:type="paragraph" w:styleId="Listanumerowana4">
    <w:name w:val="List Number 4"/>
    <w:basedOn w:val="Normalny"/>
    <w:uiPriority w:val="99"/>
    <w:semiHidden/>
    <w:rsid w:val="00014566"/>
    <w:pPr>
      <w:numPr>
        <w:numId w:val="18"/>
      </w:numPr>
      <w:tabs>
        <w:tab w:val="clear" w:pos="926"/>
        <w:tab w:val="num" w:pos="1209"/>
      </w:tabs>
      <w:ind w:left="1209"/>
    </w:pPr>
  </w:style>
  <w:style w:type="paragraph" w:styleId="Listanumerowana5">
    <w:name w:val="List Number 5"/>
    <w:basedOn w:val="Normalny"/>
    <w:uiPriority w:val="99"/>
    <w:semiHidden/>
    <w:rsid w:val="00014566"/>
    <w:pPr>
      <w:numPr>
        <w:numId w:val="19"/>
      </w:numPr>
      <w:tabs>
        <w:tab w:val="clear" w:pos="1209"/>
        <w:tab w:val="num" w:pos="1492"/>
      </w:tabs>
      <w:ind w:left="1492"/>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locked/>
    <w:rsid w:val="00014566"/>
    <w:rPr>
      <w:rFonts w:ascii="Consolas" w:hAnsi="Consolas" w:cs="Consolas"/>
      <w:lang w:val="pl-PL" w:eastAsia="fr-FR"/>
    </w:rPr>
  </w:style>
  <w:style w:type="table" w:customStyle="1" w:styleId="redniasiatka11">
    <w:name w:val="Średnia siatka 1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redniasiatka21">
    <w:name w:val="Średnia siatka 2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redniasiatka31">
    <w:name w:val="Średnia siatka 3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rednialista11">
    <w:name w:val="Średnia lista 11"/>
    <w:basedOn w:val="Standardowy"/>
    <w:uiPriority w:val="99"/>
    <w:semiHidden/>
    <w:rsid w:val="00014566"/>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rednialista1akcent11">
    <w:name w:val="Średnia lista 1 — akcent 11"/>
    <w:basedOn w:val="Standardowy"/>
    <w:uiPriority w:val="99"/>
    <w:semiHidden/>
    <w:rsid w:val="00014566"/>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sz w:val="20"/>
      <w:szCs w:val="20"/>
      <w:lang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sz w:val="20"/>
      <w:szCs w:val="20"/>
      <w:lang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sz w:val="20"/>
      <w:szCs w:val="20"/>
      <w:lang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sz w:val="20"/>
      <w:szCs w:val="20"/>
      <w:lang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rednialista21">
    <w:name w:val="Średnia lista 2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sz w:val="20"/>
      <w:szCs w:val="20"/>
      <w:lang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sz w:val="20"/>
      <w:szCs w:val="20"/>
      <w:lang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sz w:val="20"/>
      <w:szCs w:val="20"/>
      <w:lang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sz w:val="20"/>
      <w:szCs w:val="20"/>
      <w:lang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sz w:val="20"/>
      <w:szCs w:val="20"/>
      <w:lang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basedOn w:val="Domylnaczcionkaakapitu"/>
    <w:link w:val="Nagwekwiadomoci"/>
    <w:uiPriority w:val="99"/>
    <w:semiHidden/>
    <w:locked/>
    <w:rsid w:val="00014566"/>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014566"/>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lang w:eastAsia="pl-PL"/>
    </w:rPr>
  </w:style>
  <w:style w:type="character" w:customStyle="1" w:styleId="NagweknotatkiZnak">
    <w:name w:val="Nagłówek notatki Znak"/>
    <w:basedOn w:val="Domylnaczcionkaakapitu"/>
    <w:link w:val="Nagweknotatki"/>
    <w:uiPriority w:val="99"/>
    <w:semiHidden/>
    <w:locked/>
    <w:rsid w:val="00014566"/>
    <w:rPr>
      <w:rFonts w:eastAsia="MS Mincho"/>
      <w:sz w:val="24"/>
      <w:szCs w:val="24"/>
    </w:rPr>
  </w:style>
  <w:style w:type="character" w:styleId="Tekstzastpczy">
    <w:name w:val="Placeholder Text"/>
    <w:basedOn w:val="Domylnaczcionkaakapitu"/>
    <w:uiPriority w:val="99"/>
    <w:semiHidden/>
    <w:rsid w:val="00786E90"/>
    <w:rPr>
      <w:color w:val="auto"/>
      <w:shd w:val="clear" w:color="auto" w:fill="DFDFDF"/>
    </w:rPr>
  </w:style>
  <w:style w:type="paragraph" w:styleId="Zwykytekst">
    <w:name w:val="Plain Text"/>
    <w:basedOn w:val="Normalny"/>
    <w:link w:val="ZwykytekstZnak"/>
    <w:uiPriority w:val="99"/>
    <w:semiHidden/>
    <w:rsid w:val="00014566"/>
    <w:rPr>
      <w:rFonts w:ascii="Consolas" w:hAnsi="Consolas" w:cs="Consolas"/>
      <w:sz w:val="21"/>
      <w:szCs w:val="21"/>
      <w:lang w:eastAsia="pl-PL"/>
    </w:rPr>
  </w:style>
  <w:style w:type="character" w:customStyle="1" w:styleId="ZwykytekstZnak">
    <w:name w:val="Zwykły tekst Znak"/>
    <w:basedOn w:val="Domylnaczcionkaakapitu"/>
    <w:link w:val="Zwykytekst"/>
    <w:uiPriority w:val="99"/>
    <w:semiHidden/>
    <w:locked/>
    <w:rsid w:val="00014566"/>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014566"/>
    <w:rPr>
      <w:lang w:eastAsia="pl-PL"/>
    </w:rPr>
  </w:style>
  <w:style w:type="character" w:customStyle="1" w:styleId="ZwrotgrzecznociowyZnak">
    <w:name w:val="Zwrot grzecznościowy Znak"/>
    <w:basedOn w:val="Domylnaczcionkaakapitu"/>
    <w:link w:val="Zwrotgrzecznociowy"/>
    <w:uiPriority w:val="99"/>
    <w:semiHidden/>
    <w:locked/>
    <w:rsid w:val="00014566"/>
    <w:rPr>
      <w:rFonts w:eastAsia="MS Mincho"/>
      <w:sz w:val="24"/>
      <w:szCs w:val="24"/>
    </w:rPr>
  </w:style>
  <w:style w:type="paragraph" w:styleId="Podpis">
    <w:name w:val="Signature"/>
    <w:basedOn w:val="Normalny"/>
    <w:link w:val="PodpisZnak"/>
    <w:uiPriority w:val="99"/>
    <w:semiHidden/>
    <w:rsid w:val="00014566"/>
    <w:pPr>
      <w:ind w:left="4252"/>
    </w:pPr>
    <w:rPr>
      <w:lang w:eastAsia="pl-PL"/>
    </w:rPr>
  </w:style>
  <w:style w:type="character" w:customStyle="1" w:styleId="PodpisZnak">
    <w:name w:val="Podpis Znak"/>
    <w:basedOn w:val="Domylnaczcionkaakapitu"/>
    <w:link w:val="Podpis"/>
    <w:uiPriority w:val="99"/>
    <w:semiHidden/>
    <w:locked/>
    <w:rsid w:val="00014566"/>
    <w:rPr>
      <w:rFonts w:eastAsia="MS Mincho"/>
      <w:sz w:val="24"/>
      <w:szCs w:val="24"/>
    </w:rPr>
  </w:style>
  <w:style w:type="table" w:styleId="Tabela-Efekty3W1">
    <w:name w:val="Table 3D effects 1"/>
    <w:basedOn w:val="Standardowy"/>
    <w:uiPriority w:val="99"/>
    <w:semiHidden/>
    <w:rsid w:val="00014566"/>
    <w:pPr>
      <w:suppressAutoHyphens/>
    </w:pPr>
    <w:rPr>
      <w:sz w:val="20"/>
      <w:szCs w:val="20"/>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sz w:val="20"/>
      <w:szCs w:val="20"/>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sz w:val="20"/>
      <w:szCs w:val="20"/>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sz w:val="20"/>
      <w:szCs w:val="20"/>
      <w:lang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sz w:val="20"/>
      <w:szCs w:val="20"/>
      <w:lang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sz w:val="20"/>
      <w:szCs w:val="20"/>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sz w:val="20"/>
      <w:szCs w:val="20"/>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sz w:val="20"/>
      <w:szCs w:val="20"/>
      <w:lang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sz w:val="20"/>
      <w:szCs w:val="20"/>
      <w:lang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sz w:val="20"/>
      <w:szCs w:val="20"/>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sz w:val="20"/>
      <w:szCs w:val="20"/>
      <w:lang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sz w:val="20"/>
      <w:szCs w:val="20"/>
      <w:lang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sz w:val="20"/>
      <w:szCs w:val="20"/>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sz w:val="20"/>
      <w:szCs w:val="20"/>
      <w:lang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sz w:val="20"/>
      <w:szCs w:val="20"/>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sz w:val="20"/>
      <w:szCs w:val="20"/>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86E90"/>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786E90"/>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99"/>
    <w:rsid w:val="00786E90"/>
    <w:pPr>
      <w:ind w:left="635" w:hanging="357"/>
      <w:outlineLvl w:val="2"/>
    </w:pPr>
  </w:style>
  <w:style w:type="paragraph" w:customStyle="1" w:styleId="OpiHa">
    <w:name w:val="Opi_H_a"/>
    <w:basedOn w:val="ECHRHeading3"/>
    <w:uiPriority w:val="99"/>
    <w:rsid w:val="00786E90"/>
    <w:pPr>
      <w:ind w:left="833" w:hanging="357"/>
      <w:outlineLvl w:val="3"/>
    </w:pPr>
    <w:rPr>
      <w:b/>
      <w:bCs/>
      <w:i w:val="0"/>
      <w:iCs w:val="0"/>
      <w:sz w:val="20"/>
      <w:szCs w:val="20"/>
    </w:rPr>
  </w:style>
  <w:style w:type="paragraph" w:customStyle="1" w:styleId="OpiHA0">
    <w:name w:val="Opi_H_A"/>
    <w:basedOn w:val="ECHRHeading1"/>
    <w:next w:val="OpiPara"/>
    <w:uiPriority w:val="99"/>
    <w:rsid w:val="00786E90"/>
    <w:pPr>
      <w:tabs>
        <w:tab w:val="clear" w:pos="357"/>
      </w:tabs>
      <w:outlineLvl w:val="1"/>
    </w:pPr>
    <w:rPr>
      <w:b/>
      <w:bCs/>
    </w:rPr>
  </w:style>
  <w:style w:type="paragraph" w:customStyle="1" w:styleId="OpiHi">
    <w:name w:val="Opi_H_i"/>
    <w:basedOn w:val="ECHRHeading4"/>
    <w:uiPriority w:val="99"/>
    <w:rsid w:val="00786E90"/>
    <w:pPr>
      <w:ind w:left="1037" w:hanging="357"/>
      <w:outlineLvl w:val="4"/>
    </w:pPr>
    <w:rPr>
      <w:b w:val="0"/>
      <w:bCs w:val="0"/>
      <w:i/>
      <w:iCs/>
    </w:rPr>
  </w:style>
  <w:style w:type="paragraph" w:customStyle="1" w:styleId="OpiPara">
    <w:name w:val="Opi_Para"/>
    <w:basedOn w:val="ECHRPara"/>
    <w:uiPriority w:val="99"/>
    <w:rsid w:val="00786E90"/>
  </w:style>
  <w:style w:type="paragraph" w:customStyle="1" w:styleId="OpiParaSub">
    <w:name w:val="Opi_Para_Sub"/>
    <w:basedOn w:val="JuParaSub"/>
    <w:uiPriority w:val="99"/>
    <w:rsid w:val="00786E90"/>
  </w:style>
  <w:style w:type="paragraph" w:customStyle="1" w:styleId="OpiQuotSub">
    <w:name w:val="Opi_Quot_Sub"/>
    <w:basedOn w:val="JuQuotSub"/>
    <w:uiPriority w:val="99"/>
    <w:rsid w:val="00786E90"/>
  </w:style>
  <w:style w:type="paragraph" w:customStyle="1" w:styleId="OpiTranslation">
    <w:name w:val="Opi_Translation"/>
    <w:basedOn w:val="Normalny"/>
    <w:next w:val="OpiPara"/>
    <w:uiPriority w:val="99"/>
    <w:rsid w:val="00786E90"/>
    <w:pPr>
      <w:jc w:val="center"/>
      <w:outlineLvl w:val="0"/>
    </w:pPr>
    <w:rPr>
      <w:i/>
      <w:iCs/>
    </w:rPr>
  </w:style>
  <w:style w:type="character" w:customStyle="1" w:styleId="ECHRParaChar">
    <w:name w:val="ECHR_Para Char"/>
    <w:aliases w:val="Ju_Para Char"/>
    <w:link w:val="ECHRPara"/>
    <w:uiPriority w:val="99"/>
    <w:locked/>
    <w:rsid w:val="005374AD"/>
    <w:rPr>
      <w:rFonts w:eastAsia="MS Mincho"/>
      <w:sz w:val="24"/>
      <w:szCs w:val="24"/>
      <w:lang w:val="pl-PL"/>
    </w:rPr>
  </w:style>
  <w:style w:type="character" w:customStyle="1" w:styleId="JuQuotChar">
    <w:name w:val="Ju_Quot Char"/>
    <w:link w:val="ECHRParaQuote"/>
    <w:uiPriority w:val="99"/>
    <w:locked/>
    <w:rsid w:val="005374AD"/>
    <w:rPr>
      <w:rFonts w:eastAsia="MS Mincho"/>
      <w:sz w:val="20"/>
      <w:szCs w:val="20"/>
      <w:lang w:val="pl-PL"/>
    </w:rPr>
  </w:style>
  <w:style w:type="character" w:customStyle="1" w:styleId="JuListChar">
    <w:name w:val="Ju_List Char"/>
    <w:link w:val="JuList"/>
    <w:uiPriority w:val="99"/>
    <w:locked/>
    <w:rsid w:val="00FF2A36"/>
    <w:rPr>
      <w:rFonts w:eastAsia="MS Mincho"/>
      <w:sz w:val="24"/>
      <w:szCs w:val="24"/>
      <w:lang w:val="pl-PL"/>
    </w:rPr>
  </w:style>
  <w:style w:type="paragraph" w:styleId="Poprawka">
    <w:name w:val="Revision"/>
    <w:hidden/>
    <w:uiPriority w:val="99"/>
    <w:semiHidden/>
    <w:rsid w:val="00FF2A36"/>
    <w:rPr>
      <w:rFonts w:eastAsia="MS Mincho"/>
      <w:sz w:val="24"/>
      <w:szCs w:val="24"/>
      <w:lang w:eastAsia="en-US"/>
    </w:rPr>
  </w:style>
  <w:style w:type="paragraph" w:customStyle="1" w:styleId="ECHRParaSpaced">
    <w:name w:val="ECHR_Para_Spaced"/>
    <w:aliases w:val="Para_Spaced"/>
    <w:basedOn w:val="ECHRPara"/>
    <w:uiPriority w:val="99"/>
    <w:rsid w:val="00D50AE0"/>
    <w:pPr>
      <w:spacing w:before="120" w:after="120"/>
      <w:ind w:firstLine="0"/>
    </w:pPr>
    <w:rPr>
      <w:rFonts w:eastAsia="Times New Roman"/>
      <w:sz w:val="22"/>
      <w:szCs w:val="22"/>
    </w:rPr>
  </w:style>
  <w:style w:type="paragraph" w:customStyle="1" w:styleId="s50c0b1c7">
    <w:name w:val="s50c0b1c7"/>
    <w:basedOn w:val="Normalny"/>
    <w:uiPriority w:val="99"/>
    <w:rsid w:val="003B4AC8"/>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3B4AC8"/>
  </w:style>
  <w:style w:type="character" w:customStyle="1" w:styleId="sfbbfee58">
    <w:name w:val="sfbbfee58"/>
    <w:basedOn w:val="Domylnaczcionkaakapitu"/>
    <w:uiPriority w:val="99"/>
    <w:rsid w:val="003B4AC8"/>
  </w:style>
  <w:style w:type="paragraph" w:customStyle="1" w:styleId="ClinContent">
    <w:name w:val="ClinContent"/>
    <w:basedOn w:val="Normalny"/>
    <w:uiPriority w:val="99"/>
    <w:rsid w:val="00E430F4"/>
    <w:pPr>
      <w:spacing w:before="240"/>
    </w:pPr>
    <w:rPr>
      <w:rFonts w:ascii="Verdana" w:eastAsia="Times New Roman" w:hAnsi="Verdana" w:cs="Verdana"/>
      <w:sz w:val="20"/>
      <w:szCs w:val="20"/>
      <w:lang w:eastAsia="en-GB"/>
    </w:rPr>
  </w:style>
  <w:style w:type="character" w:customStyle="1" w:styleId="s4f807e54">
    <w:name w:val="s4f807e54"/>
    <w:uiPriority w:val="99"/>
    <w:rsid w:val="003B135D"/>
  </w:style>
  <w:style w:type="numbering" w:styleId="1ai">
    <w:name w:val="Outline List 1"/>
    <w:basedOn w:val="Bezlisty"/>
    <w:uiPriority w:val="99"/>
    <w:semiHidden/>
    <w:unhideWhenUsed/>
    <w:locked/>
    <w:rsid w:val="00677D11"/>
    <w:pPr>
      <w:numPr>
        <w:numId w:val="33"/>
      </w:numPr>
    </w:pPr>
  </w:style>
  <w:style w:type="numbering" w:styleId="111111">
    <w:name w:val="Outline List 2"/>
    <w:basedOn w:val="Bezlisty"/>
    <w:uiPriority w:val="99"/>
    <w:semiHidden/>
    <w:unhideWhenUsed/>
    <w:locked/>
    <w:rsid w:val="00677D11"/>
    <w:pPr>
      <w:numPr>
        <w:numId w:val="32"/>
      </w:numPr>
    </w:pPr>
  </w:style>
  <w:style w:type="numbering" w:styleId="Artykusekcja">
    <w:name w:val="Outline List 3"/>
    <w:basedOn w:val="Bezlisty"/>
    <w:uiPriority w:val="99"/>
    <w:semiHidden/>
    <w:unhideWhenUsed/>
    <w:locked/>
    <w:rsid w:val="00677D11"/>
    <w:pPr>
      <w:numPr>
        <w:numId w:val="34"/>
      </w:numPr>
    </w:pPr>
  </w:style>
  <w:style w:type="table" w:styleId="Kolorowasiatka">
    <w:name w:val="Colorful Grid"/>
    <w:basedOn w:val="Standardowy"/>
    <w:uiPriority w:val="99"/>
    <w:rsid w:val="00414EFE"/>
    <w:rPr>
      <w:color w:val="000000"/>
      <w:sz w:val="20"/>
      <w:szCs w:val="20"/>
      <w:lang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lista">
    <w:name w:val="Colorful List"/>
    <w:basedOn w:val="Standardowy"/>
    <w:uiPriority w:val="99"/>
    <w:rsid w:val="00414EFE"/>
    <w:rPr>
      <w:color w:val="000000"/>
      <w:sz w:val="20"/>
      <w:szCs w:val="20"/>
      <w:lang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ecieniowanie">
    <w:name w:val="Colorful Shading"/>
    <w:basedOn w:val="Standardowy"/>
    <w:uiPriority w:val="99"/>
    <w:rsid w:val="00414EFE"/>
    <w:rPr>
      <w:color w:val="000000"/>
      <w:sz w:val="20"/>
      <w:szCs w:val="20"/>
      <w:lang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iemnalista">
    <w:name w:val="Dark List"/>
    <w:basedOn w:val="Standardowy"/>
    <w:uiPriority w:val="99"/>
    <w:rsid w:val="00414EFE"/>
    <w:rPr>
      <w:color w:val="0072BC"/>
      <w:sz w:val="20"/>
      <w:szCs w:val="20"/>
      <w:lang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Jasnasiatka">
    <w:name w:val="Light Grid"/>
    <w:basedOn w:val="Standardowy"/>
    <w:uiPriority w:val="99"/>
    <w:rsid w:val="00414EFE"/>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lista">
    <w:name w:val="Light List"/>
    <w:basedOn w:val="Standardowy"/>
    <w:uiPriority w:val="99"/>
    <w:rsid w:val="00414EFE"/>
    <w:rPr>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ecieniowanie">
    <w:name w:val="Light Shading"/>
    <w:basedOn w:val="Standardowy"/>
    <w:uiPriority w:val="99"/>
    <w:rsid w:val="00414EFE"/>
    <w:rPr>
      <w:color w:val="000000"/>
      <w:sz w:val="20"/>
      <w:szCs w:val="20"/>
      <w:lang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414EFE"/>
    <w:rPr>
      <w:color w:val="00548C"/>
      <w:sz w:val="20"/>
      <w:szCs w:val="20"/>
      <w:lang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redniasiatka1">
    <w:name w:val="Medium Grid 1"/>
    <w:basedOn w:val="Standardowy"/>
    <w:uiPriority w:val="99"/>
    <w:rsid w:val="00414EFE"/>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2">
    <w:name w:val="Medium Grid 2"/>
    <w:basedOn w:val="Standardowy"/>
    <w:uiPriority w:val="99"/>
    <w:rsid w:val="00414EFE"/>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3">
    <w:name w:val="Medium Grid 3"/>
    <w:basedOn w:val="Standardowy"/>
    <w:uiPriority w:val="99"/>
    <w:rsid w:val="00414EFE"/>
    <w:rPr>
      <w:sz w:val="20"/>
      <w:szCs w:val="20"/>
      <w:lang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lista1">
    <w:name w:val="Medium List 1"/>
    <w:basedOn w:val="Standardowy"/>
    <w:uiPriority w:val="99"/>
    <w:rsid w:val="00414EFE"/>
    <w:rPr>
      <w:color w:val="000000"/>
      <w:sz w:val="20"/>
      <w:szCs w:val="20"/>
      <w:lang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414EFE"/>
    <w:rPr>
      <w:color w:val="000000"/>
      <w:sz w:val="20"/>
      <w:szCs w:val="20"/>
      <w:lang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2">
    <w:name w:val="Medium List 2"/>
    <w:basedOn w:val="Standardowy"/>
    <w:uiPriority w:val="99"/>
    <w:rsid w:val="00414EFE"/>
    <w:rPr>
      <w:rFonts w:eastAsia="MS Gothic"/>
      <w:color w:val="000000"/>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rsid w:val="00414EFE"/>
    <w:rPr>
      <w:sz w:val="20"/>
      <w:szCs w:val="20"/>
      <w:lang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414EFE"/>
    <w:rPr>
      <w:sz w:val="20"/>
      <w:szCs w:val="20"/>
      <w:lang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2">
    <w:name w:val="Medium Shading 2"/>
    <w:basedOn w:val="Standardowy"/>
    <w:uiPriority w:val="99"/>
    <w:rsid w:val="00414EFE"/>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414EFE"/>
    <w:rPr>
      <w:sz w:val="20"/>
      <w:szCs w:val="20"/>
      <w:lang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0472">
      <w:bodyDiv w:val="1"/>
      <w:marLeft w:val="0"/>
      <w:marRight w:val="0"/>
      <w:marTop w:val="0"/>
      <w:marBottom w:val="0"/>
      <w:divBdr>
        <w:top w:val="none" w:sz="0" w:space="0" w:color="auto"/>
        <w:left w:val="none" w:sz="0" w:space="0" w:color="auto"/>
        <w:bottom w:val="none" w:sz="0" w:space="0" w:color="auto"/>
        <w:right w:val="none" w:sz="0" w:space="0" w:color="auto"/>
      </w:divBdr>
    </w:div>
    <w:div w:id="507520921">
      <w:bodyDiv w:val="1"/>
      <w:marLeft w:val="0"/>
      <w:marRight w:val="0"/>
      <w:marTop w:val="0"/>
      <w:marBottom w:val="0"/>
      <w:divBdr>
        <w:top w:val="none" w:sz="0" w:space="0" w:color="auto"/>
        <w:left w:val="none" w:sz="0" w:space="0" w:color="auto"/>
        <w:bottom w:val="none" w:sz="0" w:space="0" w:color="auto"/>
        <w:right w:val="none" w:sz="0" w:space="0" w:color="auto"/>
      </w:divBdr>
    </w:div>
    <w:div w:id="1720519333">
      <w:marLeft w:val="0"/>
      <w:marRight w:val="0"/>
      <w:marTop w:val="0"/>
      <w:marBottom w:val="0"/>
      <w:divBdr>
        <w:top w:val="none" w:sz="0" w:space="0" w:color="auto"/>
        <w:left w:val="none" w:sz="0" w:space="0" w:color="auto"/>
        <w:bottom w:val="none" w:sz="0" w:space="0" w:color="auto"/>
        <w:right w:val="none" w:sz="0" w:space="0" w:color="auto"/>
      </w:divBdr>
      <w:divsChild>
        <w:div w:id="1720519353">
          <w:marLeft w:val="0"/>
          <w:marRight w:val="0"/>
          <w:marTop w:val="0"/>
          <w:marBottom w:val="0"/>
          <w:divBdr>
            <w:top w:val="none" w:sz="0" w:space="0" w:color="auto"/>
            <w:left w:val="none" w:sz="0" w:space="0" w:color="auto"/>
            <w:bottom w:val="none" w:sz="0" w:space="0" w:color="auto"/>
            <w:right w:val="none" w:sz="0" w:space="0" w:color="auto"/>
          </w:divBdr>
          <w:divsChild>
            <w:div w:id="1720519374">
              <w:marLeft w:val="0"/>
              <w:marRight w:val="0"/>
              <w:marTop w:val="0"/>
              <w:marBottom w:val="0"/>
              <w:divBdr>
                <w:top w:val="none" w:sz="0" w:space="0" w:color="auto"/>
                <w:left w:val="none" w:sz="0" w:space="0" w:color="auto"/>
                <w:bottom w:val="none" w:sz="0" w:space="0" w:color="auto"/>
                <w:right w:val="none" w:sz="0" w:space="0" w:color="auto"/>
              </w:divBdr>
              <w:divsChild>
                <w:div w:id="1720519369">
                  <w:marLeft w:val="0"/>
                  <w:marRight w:val="0"/>
                  <w:marTop w:val="0"/>
                  <w:marBottom w:val="0"/>
                  <w:divBdr>
                    <w:top w:val="none" w:sz="0" w:space="0" w:color="auto"/>
                    <w:left w:val="none" w:sz="0" w:space="0" w:color="auto"/>
                    <w:bottom w:val="none" w:sz="0" w:space="0" w:color="auto"/>
                    <w:right w:val="none" w:sz="0" w:space="0" w:color="auto"/>
                  </w:divBdr>
                  <w:divsChild>
                    <w:div w:id="1720519344">
                      <w:marLeft w:val="0"/>
                      <w:marRight w:val="0"/>
                      <w:marTop w:val="0"/>
                      <w:marBottom w:val="0"/>
                      <w:divBdr>
                        <w:top w:val="none" w:sz="0" w:space="0" w:color="auto"/>
                        <w:left w:val="none" w:sz="0" w:space="0" w:color="auto"/>
                        <w:bottom w:val="none" w:sz="0" w:space="0" w:color="auto"/>
                        <w:right w:val="none" w:sz="0" w:space="0" w:color="auto"/>
                      </w:divBdr>
                      <w:divsChild>
                        <w:div w:id="1720519334">
                          <w:marLeft w:val="0"/>
                          <w:marRight w:val="0"/>
                          <w:marTop w:val="0"/>
                          <w:marBottom w:val="0"/>
                          <w:divBdr>
                            <w:top w:val="none" w:sz="0" w:space="0" w:color="auto"/>
                            <w:left w:val="none" w:sz="0" w:space="0" w:color="auto"/>
                            <w:bottom w:val="none" w:sz="0" w:space="0" w:color="auto"/>
                            <w:right w:val="none" w:sz="0" w:space="0" w:color="auto"/>
                          </w:divBdr>
                          <w:divsChild>
                            <w:div w:id="1720519361">
                              <w:marLeft w:val="0"/>
                              <w:marRight w:val="0"/>
                              <w:marTop w:val="0"/>
                              <w:marBottom w:val="0"/>
                              <w:divBdr>
                                <w:top w:val="none" w:sz="0" w:space="0" w:color="auto"/>
                                <w:left w:val="none" w:sz="0" w:space="0" w:color="auto"/>
                                <w:bottom w:val="none" w:sz="0" w:space="0" w:color="auto"/>
                                <w:right w:val="none" w:sz="0" w:space="0" w:color="auto"/>
                              </w:divBdr>
                              <w:divsChild>
                                <w:div w:id="1720519368">
                                  <w:marLeft w:val="0"/>
                                  <w:marRight w:val="0"/>
                                  <w:marTop w:val="0"/>
                                  <w:marBottom w:val="0"/>
                                  <w:divBdr>
                                    <w:top w:val="none" w:sz="0" w:space="0" w:color="auto"/>
                                    <w:left w:val="none" w:sz="0" w:space="0" w:color="auto"/>
                                    <w:bottom w:val="none" w:sz="0" w:space="0" w:color="auto"/>
                                    <w:right w:val="none" w:sz="0" w:space="0" w:color="auto"/>
                                  </w:divBdr>
                                  <w:divsChild>
                                    <w:div w:id="1720519339">
                                      <w:marLeft w:val="60"/>
                                      <w:marRight w:val="0"/>
                                      <w:marTop w:val="0"/>
                                      <w:marBottom w:val="0"/>
                                      <w:divBdr>
                                        <w:top w:val="none" w:sz="0" w:space="0" w:color="auto"/>
                                        <w:left w:val="none" w:sz="0" w:space="0" w:color="auto"/>
                                        <w:bottom w:val="none" w:sz="0" w:space="0" w:color="auto"/>
                                        <w:right w:val="none" w:sz="0" w:space="0" w:color="auto"/>
                                      </w:divBdr>
                                      <w:divsChild>
                                        <w:div w:id="1720519346">
                                          <w:marLeft w:val="0"/>
                                          <w:marRight w:val="0"/>
                                          <w:marTop w:val="0"/>
                                          <w:marBottom w:val="0"/>
                                          <w:divBdr>
                                            <w:top w:val="none" w:sz="0" w:space="0" w:color="auto"/>
                                            <w:left w:val="none" w:sz="0" w:space="0" w:color="auto"/>
                                            <w:bottom w:val="none" w:sz="0" w:space="0" w:color="auto"/>
                                            <w:right w:val="none" w:sz="0" w:space="0" w:color="auto"/>
                                          </w:divBdr>
                                          <w:divsChild>
                                            <w:div w:id="1720519329">
                                              <w:marLeft w:val="0"/>
                                              <w:marRight w:val="0"/>
                                              <w:marTop w:val="0"/>
                                              <w:marBottom w:val="120"/>
                                              <w:divBdr>
                                                <w:top w:val="single" w:sz="6" w:space="0" w:color="F5F5F5"/>
                                                <w:left w:val="single" w:sz="6" w:space="0" w:color="F5F5F5"/>
                                                <w:bottom w:val="single" w:sz="6" w:space="0" w:color="F5F5F5"/>
                                                <w:right w:val="single" w:sz="6" w:space="0" w:color="F5F5F5"/>
                                              </w:divBdr>
                                              <w:divsChild>
                                                <w:div w:id="1720519345">
                                                  <w:marLeft w:val="0"/>
                                                  <w:marRight w:val="0"/>
                                                  <w:marTop w:val="0"/>
                                                  <w:marBottom w:val="0"/>
                                                  <w:divBdr>
                                                    <w:top w:val="none" w:sz="0" w:space="0" w:color="auto"/>
                                                    <w:left w:val="none" w:sz="0" w:space="0" w:color="auto"/>
                                                    <w:bottom w:val="none" w:sz="0" w:space="0" w:color="auto"/>
                                                    <w:right w:val="none" w:sz="0" w:space="0" w:color="auto"/>
                                                  </w:divBdr>
                                                  <w:divsChild>
                                                    <w:div w:id="17205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0519337">
      <w:marLeft w:val="0"/>
      <w:marRight w:val="0"/>
      <w:marTop w:val="0"/>
      <w:marBottom w:val="0"/>
      <w:divBdr>
        <w:top w:val="none" w:sz="0" w:space="0" w:color="auto"/>
        <w:left w:val="none" w:sz="0" w:space="0" w:color="auto"/>
        <w:bottom w:val="none" w:sz="0" w:space="0" w:color="auto"/>
        <w:right w:val="none" w:sz="0" w:space="0" w:color="auto"/>
      </w:divBdr>
      <w:divsChild>
        <w:div w:id="1720519362">
          <w:marLeft w:val="0"/>
          <w:marRight w:val="0"/>
          <w:marTop w:val="0"/>
          <w:marBottom w:val="0"/>
          <w:divBdr>
            <w:top w:val="none" w:sz="0" w:space="0" w:color="auto"/>
            <w:left w:val="none" w:sz="0" w:space="0" w:color="auto"/>
            <w:bottom w:val="none" w:sz="0" w:space="0" w:color="auto"/>
            <w:right w:val="none" w:sz="0" w:space="0" w:color="auto"/>
          </w:divBdr>
          <w:divsChild>
            <w:div w:id="1720519336">
              <w:marLeft w:val="0"/>
              <w:marRight w:val="0"/>
              <w:marTop w:val="0"/>
              <w:marBottom w:val="0"/>
              <w:divBdr>
                <w:top w:val="none" w:sz="0" w:space="0" w:color="auto"/>
                <w:left w:val="none" w:sz="0" w:space="0" w:color="auto"/>
                <w:bottom w:val="none" w:sz="0" w:space="0" w:color="auto"/>
                <w:right w:val="none" w:sz="0" w:space="0" w:color="auto"/>
              </w:divBdr>
              <w:divsChild>
                <w:div w:id="1720519358">
                  <w:marLeft w:val="0"/>
                  <w:marRight w:val="0"/>
                  <w:marTop w:val="0"/>
                  <w:marBottom w:val="0"/>
                  <w:divBdr>
                    <w:top w:val="none" w:sz="0" w:space="0" w:color="auto"/>
                    <w:left w:val="none" w:sz="0" w:space="0" w:color="auto"/>
                    <w:bottom w:val="none" w:sz="0" w:space="0" w:color="auto"/>
                    <w:right w:val="none" w:sz="0" w:space="0" w:color="auto"/>
                  </w:divBdr>
                  <w:divsChild>
                    <w:div w:id="1720519367">
                      <w:marLeft w:val="0"/>
                      <w:marRight w:val="0"/>
                      <w:marTop w:val="0"/>
                      <w:marBottom w:val="0"/>
                      <w:divBdr>
                        <w:top w:val="none" w:sz="0" w:space="0" w:color="auto"/>
                        <w:left w:val="none" w:sz="0" w:space="0" w:color="auto"/>
                        <w:bottom w:val="none" w:sz="0" w:space="0" w:color="auto"/>
                        <w:right w:val="none" w:sz="0" w:space="0" w:color="auto"/>
                      </w:divBdr>
                      <w:divsChild>
                        <w:div w:id="1720519341">
                          <w:marLeft w:val="0"/>
                          <w:marRight w:val="0"/>
                          <w:marTop w:val="0"/>
                          <w:marBottom w:val="0"/>
                          <w:divBdr>
                            <w:top w:val="none" w:sz="0" w:space="0" w:color="auto"/>
                            <w:left w:val="none" w:sz="0" w:space="0" w:color="auto"/>
                            <w:bottom w:val="none" w:sz="0" w:space="0" w:color="auto"/>
                            <w:right w:val="none" w:sz="0" w:space="0" w:color="auto"/>
                          </w:divBdr>
                          <w:divsChild>
                            <w:div w:id="172051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19347">
      <w:marLeft w:val="0"/>
      <w:marRight w:val="0"/>
      <w:marTop w:val="0"/>
      <w:marBottom w:val="0"/>
      <w:divBdr>
        <w:top w:val="none" w:sz="0" w:space="0" w:color="auto"/>
        <w:left w:val="none" w:sz="0" w:space="0" w:color="auto"/>
        <w:bottom w:val="none" w:sz="0" w:space="0" w:color="auto"/>
        <w:right w:val="none" w:sz="0" w:space="0" w:color="auto"/>
      </w:divBdr>
    </w:div>
    <w:div w:id="1720519350">
      <w:marLeft w:val="0"/>
      <w:marRight w:val="0"/>
      <w:marTop w:val="0"/>
      <w:marBottom w:val="0"/>
      <w:divBdr>
        <w:top w:val="none" w:sz="0" w:space="0" w:color="auto"/>
        <w:left w:val="none" w:sz="0" w:space="0" w:color="auto"/>
        <w:bottom w:val="none" w:sz="0" w:space="0" w:color="auto"/>
        <w:right w:val="none" w:sz="0" w:space="0" w:color="auto"/>
      </w:divBdr>
    </w:div>
    <w:div w:id="1720519352">
      <w:marLeft w:val="0"/>
      <w:marRight w:val="0"/>
      <w:marTop w:val="0"/>
      <w:marBottom w:val="0"/>
      <w:divBdr>
        <w:top w:val="none" w:sz="0" w:space="0" w:color="auto"/>
        <w:left w:val="none" w:sz="0" w:space="0" w:color="auto"/>
        <w:bottom w:val="none" w:sz="0" w:space="0" w:color="auto"/>
        <w:right w:val="none" w:sz="0" w:space="0" w:color="auto"/>
      </w:divBdr>
    </w:div>
    <w:div w:id="1720519357">
      <w:marLeft w:val="0"/>
      <w:marRight w:val="0"/>
      <w:marTop w:val="0"/>
      <w:marBottom w:val="0"/>
      <w:divBdr>
        <w:top w:val="none" w:sz="0" w:space="0" w:color="auto"/>
        <w:left w:val="none" w:sz="0" w:space="0" w:color="auto"/>
        <w:bottom w:val="none" w:sz="0" w:space="0" w:color="auto"/>
        <w:right w:val="none" w:sz="0" w:space="0" w:color="auto"/>
      </w:divBdr>
      <w:divsChild>
        <w:div w:id="1720519356">
          <w:marLeft w:val="0"/>
          <w:marRight w:val="0"/>
          <w:marTop w:val="0"/>
          <w:marBottom w:val="0"/>
          <w:divBdr>
            <w:top w:val="none" w:sz="0" w:space="0" w:color="auto"/>
            <w:left w:val="none" w:sz="0" w:space="0" w:color="auto"/>
            <w:bottom w:val="none" w:sz="0" w:space="0" w:color="auto"/>
            <w:right w:val="none" w:sz="0" w:space="0" w:color="auto"/>
          </w:divBdr>
          <w:divsChild>
            <w:div w:id="1720519364">
              <w:marLeft w:val="0"/>
              <w:marRight w:val="0"/>
              <w:marTop w:val="0"/>
              <w:marBottom w:val="0"/>
              <w:divBdr>
                <w:top w:val="none" w:sz="0" w:space="0" w:color="auto"/>
                <w:left w:val="none" w:sz="0" w:space="0" w:color="auto"/>
                <w:bottom w:val="none" w:sz="0" w:space="0" w:color="auto"/>
                <w:right w:val="none" w:sz="0" w:space="0" w:color="auto"/>
              </w:divBdr>
              <w:divsChild>
                <w:div w:id="1720519349">
                  <w:marLeft w:val="0"/>
                  <w:marRight w:val="0"/>
                  <w:marTop w:val="0"/>
                  <w:marBottom w:val="0"/>
                  <w:divBdr>
                    <w:top w:val="none" w:sz="0" w:space="0" w:color="auto"/>
                    <w:left w:val="none" w:sz="0" w:space="0" w:color="auto"/>
                    <w:bottom w:val="none" w:sz="0" w:space="0" w:color="auto"/>
                    <w:right w:val="none" w:sz="0" w:space="0" w:color="auto"/>
                  </w:divBdr>
                  <w:divsChild>
                    <w:div w:id="1720519372">
                      <w:marLeft w:val="0"/>
                      <w:marRight w:val="0"/>
                      <w:marTop w:val="0"/>
                      <w:marBottom w:val="0"/>
                      <w:divBdr>
                        <w:top w:val="none" w:sz="0" w:space="0" w:color="auto"/>
                        <w:left w:val="none" w:sz="0" w:space="0" w:color="auto"/>
                        <w:bottom w:val="none" w:sz="0" w:space="0" w:color="auto"/>
                        <w:right w:val="none" w:sz="0" w:space="0" w:color="auto"/>
                      </w:divBdr>
                      <w:divsChild>
                        <w:div w:id="1720519370">
                          <w:marLeft w:val="0"/>
                          <w:marRight w:val="0"/>
                          <w:marTop w:val="0"/>
                          <w:marBottom w:val="0"/>
                          <w:divBdr>
                            <w:top w:val="none" w:sz="0" w:space="0" w:color="auto"/>
                            <w:left w:val="none" w:sz="0" w:space="0" w:color="auto"/>
                            <w:bottom w:val="none" w:sz="0" w:space="0" w:color="auto"/>
                            <w:right w:val="none" w:sz="0" w:space="0" w:color="auto"/>
                          </w:divBdr>
                          <w:divsChild>
                            <w:div w:id="17205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19363">
      <w:marLeft w:val="0"/>
      <w:marRight w:val="0"/>
      <w:marTop w:val="0"/>
      <w:marBottom w:val="0"/>
      <w:divBdr>
        <w:top w:val="none" w:sz="0" w:space="0" w:color="auto"/>
        <w:left w:val="none" w:sz="0" w:space="0" w:color="auto"/>
        <w:bottom w:val="none" w:sz="0" w:space="0" w:color="auto"/>
        <w:right w:val="none" w:sz="0" w:space="0" w:color="auto"/>
      </w:divBdr>
    </w:div>
    <w:div w:id="1720519365">
      <w:marLeft w:val="0"/>
      <w:marRight w:val="0"/>
      <w:marTop w:val="0"/>
      <w:marBottom w:val="0"/>
      <w:divBdr>
        <w:top w:val="none" w:sz="0" w:space="0" w:color="auto"/>
        <w:left w:val="none" w:sz="0" w:space="0" w:color="auto"/>
        <w:bottom w:val="none" w:sz="0" w:space="0" w:color="auto"/>
        <w:right w:val="none" w:sz="0" w:space="0" w:color="auto"/>
      </w:divBdr>
    </w:div>
    <w:div w:id="1720519371">
      <w:marLeft w:val="0"/>
      <w:marRight w:val="0"/>
      <w:marTop w:val="0"/>
      <w:marBottom w:val="0"/>
      <w:divBdr>
        <w:top w:val="none" w:sz="0" w:space="0" w:color="auto"/>
        <w:left w:val="none" w:sz="0" w:space="0" w:color="auto"/>
        <w:bottom w:val="none" w:sz="0" w:space="0" w:color="auto"/>
        <w:right w:val="none" w:sz="0" w:space="0" w:color="auto"/>
      </w:divBdr>
      <w:divsChild>
        <w:div w:id="1720519342">
          <w:marLeft w:val="0"/>
          <w:marRight w:val="0"/>
          <w:marTop w:val="0"/>
          <w:marBottom w:val="0"/>
          <w:divBdr>
            <w:top w:val="none" w:sz="0" w:space="0" w:color="auto"/>
            <w:left w:val="none" w:sz="0" w:space="0" w:color="auto"/>
            <w:bottom w:val="none" w:sz="0" w:space="0" w:color="auto"/>
            <w:right w:val="none" w:sz="0" w:space="0" w:color="auto"/>
          </w:divBdr>
          <w:divsChild>
            <w:div w:id="1720519366">
              <w:marLeft w:val="0"/>
              <w:marRight w:val="0"/>
              <w:marTop w:val="0"/>
              <w:marBottom w:val="0"/>
              <w:divBdr>
                <w:top w:val="none" w:sz="0" w:space="0" w:color="auto"/>
                <w:left w:val="none" w:sz="0" w:space="0" w:color="auto"/>
                <w:bottom w:val="none" w:sz="0" w:space="0" w:color="auto"/>
                <w:right w:val="none" w:sz="0" w:space="0" w:color="auto"/>
              </w:divBdr>
              <w:divsChild>
                <w:div w:id="1720519338">
                  <w:marLeft w:val="0"/>
                  <w:marRight w:val="0"/>
                  <w:marTop w:val="0"/>
                  <w:marBottom w:val="0"/>
                  <w:divBdr>
                    <w:top w:val="none" w:sz="0" w:space="0" w:color="auto"/>
                    <w:left w:val="none" w:sz="0" w:space="0" w:color="auto"/>
                    <w:bottom w:val="none" w:sz="0" w:space="0" w:color="auto"/>
                    <w:right w:val="none" w:sz="0" w:space="0" w:color="auto"/>
                  </w:divBdr>
                  <w:divsChild>
                    <w:div w:id="1720519331">
                      <w:marLeft w:val="0"/>
                      <w:marRight w:val="0"/>
                      <w:marTop w:val="0"/>
                      <w:marBottom w:val="0"/>
                      <w:divBdr>
                        <w:top w:val="none" w:sz="0" w:space="0" w:color="auto"/>
                        <w:left w:val="none" w:sz="0" w:space="0" w:color="auto"/>
                        <w:bottom w:val="none" w:sz="0" w:space="0" w:color="auto"/>
                        <w:right w:val="none" w:sz="0" w:space="0" w:color="auto"/>
                      </w:divBdr>
                      <w:divsChild>
                        <w:div w:id="1720519359">
                          <w:marLeft w:val="0"/>
                          <w:marRight w:val="0"/>
                          <w:marTop w:val="0"/>
                          <w:marBottom w:val="0"/>
                          <w:divBdr>
                            <w:top w:val="none" w:sz="0" w:space="0" w:color="auto"/>
                            <w:left w:val="none" w:sz="0" w:space="0" w:color="auto"/>
                            <w:bottom w:val="none" w:sz="0" w:space="0" w:color="auto"/>
                            <w:right w:val="none" w:sz="0" w:space="0" w:color="auto"/>
                          </w:divBdr>
                          <w:divsChild>
                            <w:div w:id="172051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19373">
      <w:marLeft w:val="0"/>
      <w:marRight w:val="0"/>
      <w:marTop w:val="0"/>
      <w:marBottom w:val="0"/>
      <w:divBdr>
        <w:top w:val="none" w:sz="0" w:space="0" w:color="auto"/>
        <w:left w:val="none" w:sz="0" w:space="0" w:color="auto"/>
        <w:bottom w:val="none" w:sz="0" w:space="0" w:color="auto"/>
        <w:right w:val="none" w:sz="0" w:space="0" w:color="auto"/>
      </w:divBdr>
      <w:divsChild>
        <w:div w:id="1720519343">
          <w:marLeft w:val="0"/>
          <w:marRight w:val="0"/>
          <w:marTop w:val="0"/>
          <w:marBottom w:val="0"/>
          <w:divBdr>
            <w:top w:val="none" w:sz="0" w:space="0" w:color="auto"/>
            <w:left w:val="none" w:sz="0" w:space="0" w:color="auto"/>
            <w:bottom w:val="none" w:sz="0" w:space="0" w:color="auto"/>
            <w:right w:val="none" w:sz="0" w:space="0" w:color="auto"/>
          </w:divBdr>
          <w:divsChild>
            <w:div w:id="1720519355">
              <w:marLeft w:val="0"/>
              <w:marRight w:val="0"/>
              <w:marTop w:val="0"/>
              <w:marBottom w:val="0"/>
              <w:divBdr>
                <w:top w:val="none" w:sz="0" w:space="0" w:color="auto"/>
                <w:left w:val="none" w:sz="0" w:space="0" w:color="auto"/>
                <w:bottom w:val="none" w:sz="0" w:space="0" w:color="auto"/>
                <w:right w:val="none" w:sz="0" w:space="0" w:color="auto"/>
              </w:divBdr>
              <w:divsChild>
                <w:div w:id="1720519354">
                  <w:marLeft w:val="0"/>
                  <w:marRight w:val="0"/>
                  <w:marTop w:val="0"/>
                  <w:marBottom w:val="0"/>
                  <w:divBdr>
                    <w:top w:val="none" w:sz="0" w:space="0" w:color="auto"/>
                    <w:left w:val="none" w:sz="0" w:space="0" w:color="auto"/>
                    <w:bottom w:val="none" w:sz="0" w:space="0" w:color="auto"/>
                    <w:right w:val="none" w:sz="0" w:space="0" w:color="auto"/>
                  </w:divBdr>
                  <w:divsChild>
                    <w:div w:id="1720519348">
                      <w:marLeft w:val="0"/>
                      <w:marRight w:val="0"/>
                      <w:marTop w:val="0"/>
                      <w:marBottom w:val="0"/>
                      <w:divBdr>
                        <w:top w:val="none" w:sz="0" w:space="0" w:color="auto"/>
                        <w:left w:val="none" w:sz="0" w:space="0" w:color="auto"/>
                        <w:bottom w:val="none" w:sz="0" w:space="0" w:color="auto"/>
                        <w:right w:val="none" w:sz="0" w:space="0" w:color="auto"/>
                      </w:divBdr>
                      <w:divsChild>
                        <w:div w:id="1720519335">
                          <w:marLeft w:val="0"/>
                          <w:marRight w:val="0"/>
                          <w:marTop w:val="0"/>
                          <w:marBottom w:val="0"/>
                          <w:divBdr>
                            <w:top w:val="none" w:sz="0" w:space="0" w:color="auto"/>
                            <w:left w:val="none" w:sz="0" w:space="0" w:color="auto"/>
                            <w:bottom w:val="none" w:sz="0" w:space="0" w:color="auto"/>
                            <w:right w:val="none" w:sz="0" w:space="0" w:color="auto"/>
                          </w:divBdr>
                          <w:divsChild>
                            <w:div w:id="172051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0519375">
      <w:marLeft w:val="0"/>
      <w:marRight w:val="0"/>
      <w:marTop w:val="0"/>
      <w:marBottom w:val="0"/>
      <w:divBdr>
        <w:top w:val="none" w:sz="0" w:space="0" w:color="auto"/>
        <w:left w:val="none" w:sz="0" w:space="0" w:color="auto"/>
        <w:bottom w:val="none" w:sz="0" w:space="0" w:color="auto"/>
        <w:right w:val="none" w:sz="0" w:space="0" w:color="auto"/>
      </w:divBdr>
    </w:div>
    <w:div w:id="1972401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11830</Words>
  <Characters>70982</Characters>
  <Application>Microsoft Office Word</Application>
  <DocSecurity>0</DocSecurity>
  <Lines>591</Lines>
  <Paragraphs>165</Paragraphs>
  <ScaleCrop>false</ScaleCrop>
  <LinksUpToDate>false</LinksUpToDate>
  <CharactersWithSpaces>82647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2020-10-16T11:21:00Z</dcterms:created>
  <dcterms:modified xsi:type="dcterms:W3CDTF">2020-10-16T11:56:00Z</dcterms:modified>
</cp:coreProperties>
</file>