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CE2" w:rsidRPr="00FF2363" w:rsidRDefault="00ED6CE2" w:rsidP="00FF2363">
      <w:pPr>
        <w:jc w:val="center"/>
        <w:rPr>
          <w:rFonts w:ascii="Times New Roman" w:hAnsi="Times New Roman" w:cs="Times New Roman"/>
        </w:rPr>
      </w:pPr>
      <w:bookmarkStart w:id="0" w:name="_GoBack"/>
      <w:bookmarkEnd w:id="0"/>
    </w:p>
    <w:p w:rsidR="00ED6CE2" w:rsidRPr="00FF2363" w:rsidRDefault="00ED6CE2" w:rsidP="00FF2363">
      <w:pPr>
        <w:jc w:val="center"/>
        <w:rPr>
          <w:rFonts w:ascii="Times New Roman" w:hAnsi="Times New Roman" w:cs="Times New Roman"/>
        </w:rPr>
      </w:pPr>
    </w:p>
    <w:p w:rsidR="00ED6CE2" w:rsidRPr="00FF2363" w:rsidRDefault="00ED6CE2" w:rsidP="00FF2363">
      <w:pPr>
        <w:tabs>
          <w:tab w:val="left" w:pos="5529"/>
        </w:tabs>
        <w:jc w:val="center"/>
        <w:rPr>
          <w:rFonts w:ascii="Times New Roman" w:hAnsi="Times New Roman" w:cs="Times New Roman"/>
        </w:rPr>
      </w:pPr>
      <w:r w:rsidRPr="00FF2363">
        <w:rPr>
          <w:rFonts w:ascii="Times New Roman" w:hAnsi="Times New Roman" w:cs="Times New Roman"/>
        </w:rPr>
        <w:t>GRAND CHAMBER</w:t>
      </w: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b/>
        </w:rPr>
      </w:pPr>
      <w:bookmarkStart w:id="1" w:name="To"/>
      <w:r w:rsidRPr="00FF2363">
        <w:rPr>
          <w:rFonts w:ascii="Times New Roman" w:hAnsi="Times New Roman" w:cs="Times New Roman"/>
          <w:b/>
        </w:rPr>
        <w:t xml:space="preserve">CASE OF </w:t>
      </w:r>
      <w:bookmarkEnd w:id="1"/>
      <w:r w:rsidRPr="00FF2363">
        <w:rPr>
          <w:rFonts w:ascii="Times New Roman" w:hAnsi="Times New Roman" w:cs="Times New Roman"/>
          <w:b/>
        </w:rPr>
        <w:t>DENISOV v. UKRAINE</w:t>
      </w: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i/>
        </w:rPr>
      </w:pPr>
      <w:r w:rsidRPr="00FF2363">
        <w:rPr>
          <w:rFonts w:ascii="Times New Roman" w:hAnsi="Times New Roman" w:cs="Times New Roman"/>
          <w:i/>
        </w:rPr>
        <w:t>(Application no. 76639/11)</w:t>
      </w: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r w:rsidRPr="00FF2363">
        <w:rPr>
          <w:rFonts w:ascii="Times New Roman" w:hAnsi="Times New Roman" w:cs="Times New Roman"/>
        </w:rPr>
        <w:t>JUDGMENT</w:t>
      </w:r>
    </w:p>
    <w:p w:rsidR="00ED6CE2" w:rsidRPr="00FF2363" w:rsidRDefault="00ED6CE2" w:rsidP="00FF2363">
      <w:pPr>
        <w:jc w:val="center"/>
        <w:rPr>
          <w:rFonts w:asciiTheme="majorHAnsi" w:hAnsiTheme="majorHAnsi" w:cstheme="majorHAnsi"/>
          <w:i/>
          <w:szCs w:val="24"/>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r w:rsidRPr="00FF2363">
        <w:rPr>
          <w:rFonts w:ascii="Times New Roman" w:hAnsi="Times New Roman" w:cs="Times New Roman"/>
        </w:rPr>
        <w:t>STRASBOURG</w:t>
      </w: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r w:rsidRPr="00FF2363">
        <w:rPr>
          <w:rFonts w:ascii="Times New Roman" w:hAnsi="Times New Roman" w:cs="Times New Roman"/>
        </w:rPr>
        <w:t>25 September 2018</w:t>
      </w: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ED6CE2" w:rsidRPr="00FF2363" w:rsidRDefault="00ED6CE2" w:rsidP="00FF2363">
      <w:pPr>
        <w:jc w:val="center"/>
        <w:rPr>
          <w:rFonts w:ascii="Times New Roman" w:hAnsi="Times New Roman" w:cs="Times New Roman"/>
        </w:rPr>
      </w:pPr>
    </w:p>
    <w:p w:rsidR="00FA22EE" w:rsidRPr="00FF2363" w:rsidRDefault="00FA22EE" w:rsidP="00FF2363">
      <w:pPr>
        <w:jc w:val="center"/>
        <w:rPr>
          <w:rFonts w:ascii="Times New Roman" w:hAnsi="Times New Roman" w:cs="Times New Roman"/>
        </w:rPr>
      </w:pPr>
    </w:p>
    <w:p w:rsidR="00ED6CE2" w:rsidRPr="00FF2363" w:rsidRDefault="00ED6CE2" w:rsidP="00FF2363">
      <w:pPr>
        <w:rPr>
          <w:rFonts w:ascii="Times New Roman" w:hAnsi="Times New Roman" w:cs="Times New Roman"/>
          <w:i/>
          <w:sz w:val="22"/>
        </w:rPr>
      </w:pPr>
      <w:r w:rsidRPr="00FF2363">
        <w:rPr>
          <w:rFonts w:ascii="Times New Roman" w:hAnsi="Times New Roman" w:cs="Times New Roman"/>
          <w:i/>
          <w:sz w:val="22"/>
        </w:rPr>
        <w:t>This judgment is final but it may be subject to editorial revision.</w:t>
      </w:r>
    </w:p>
    <w:p w:rsidR="00ED6CE2" w:rsidRPr="00FF2363" w:rsidRDefault="00ED6CE2" w:rsidP="00FF2363">
      <w:pPr>
        <w:rPr>
          <w:rFonts w:ascii="Times New Roman" w:hAnsi="Times New Roman" w:cs="Times New Roman"/>
          <w:sz w:val="22"/>
        </w:rPr>
      </w:pPr>
    </w:p>
    <w:p w:rsidR="00ED6CE2" w:rsidRPr="00FF2363" w:rsidRDefault="00ED6CE2" w:rsidP="00FF2363">
      <w:pPr>
        <w:rPr>
          <w:rFonts w:ascii="Times New Roman" w:hAnsi="Times New Roman" w:cs="Times New Roman"/>
          <w:sz w:val="22"/>
        </w:rPr>
        <w:sectPr w:rsidR="00ED6CE2" w:rsidRPr="00FF2363" w:rsidSect="00D315BF">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noEndnote/>
        </w:sectPr>
      </w:pPr>
    </w:p>
    <w:p w:rsidR="00014566" w:rsidRPr="00FF2363" w:rsidRDefault="00014566" w:rsidP="00FF2363">
      <w:pPr>
        <w:pStyle w:val="JuCase"/>
        <w:rPr>
          <w:bCs/>
        </w:rPr>
      </w:pPr>
      <w:r w:rsidRPr="00FF2363">
        <w:lastRenderedPageBreak/>
        <w:t xml:space="preserve">In the case of </w:t>
      </w:r>
      <w:r w:rsidR="005F4885" w:rsidRPr="00FF2363">
        <w:t>Denisov v. Ukraine</w:t>
      </w:r>
      <w:r w:rsidRPr="00FF2363">
        <w:t>,</w:t>
      </w:r>
    </w:p>
    <w:p w:rsidR="008E4D44" w:rsidRPr="00FF2363" w:rsidRDefault="008E4D44" w:rsidP="00FF2363">
      <w:pPr>
        <w:pStyle w:val="ECHRPara"/>
      </w:pPr>
      <w:r w:rsidRPr="00FF2363">
        <w:t>The European Court of Human Rights, sitting as a Grand Chamber composed of:</w:t>
      </w:r>
    </w:p>
    <w:p w:rsidR="00014566" w:rsidRPr="00FF2363" w:rsidRDefault="008E4D44" w:rsidP="00FF2363">
      <w:pPr>
        <w:pStyle w:val="ECHRDecisionBody"/>
      </w:pPr>
      <w:r w:rsidRPr="00FF2363">
        <w:tab/>
        <w:t>Guido Raimondi,</w:t>
      </w:r>
      <w:r w:rsidRPr="00FF2363">
        <w:rPr>
          <w:i/>
        </w:rPr>
        <w:t xml:space="preserve"> President,</w:t>
      </w:r>
      <w:r w:rsidRPr="00FF2363">
        <w:rPr>
          <w:i/>
        </w:rPr>
        <w:br/>
      </w:r>
      <w:r w:rsidRPr="00FF2363">
        <w:tab/>
        <w:t>Angelika Nußberger,</w:t>
      </w:r>
      <w:r w:rsidRPr="00FF2363">
        <w:rPr>
          <w:i/>
        </w:rPr>
        <w:br/>
      </w:r>
      <w:r w:rsidRPr="00FF2363">
        <w:tab/>
        <w:t>Linos-Alexandre Sicilianos,</w:t>
      </w:r>
      <w:r w:rsidRPr="00FF2363">
        <w:rPr>
          <w:i/>
        </w:rPr>
        <w:br/>
      </w:r>
      <w:r w:rsidRPr="00FF2363">
        <w:tab/>
        <w:t>Ganna Yudkivska,</w:t>
      </w:r>
      <w:r w:rsidRPr="00FF2363">
        <w:rPr>
          <w:i/>
        </w:rPr>
        <w:br/>
      </w:r>
      <w:r w:rsidRPr="00FF2363">
        <w:tab/>
        <w:t>Helena Jäderblom,</w:t>
      </w:r>
      <w:r w:rsidRPr="00FF2363">
        <w:rPr>
          <w:i/>
        </w:rPr>
        <w:br/>
      </w:r>
      <w:r w:rsidRPr="00FF2363">
        <w:tab/>
        <w:t>Robert Spano,</w:t>
      </w:r>
      <w:r w:rsidRPr="00FF2363">
        <w:rPr>
          <w:i/>
        </w:rPr>
        <w:br/>
      </w:r>
      <w:r w:rsidRPr="00FF2363">
        <w:tab/>
        <w:t>Vincent A. De Gaetano,</w:t>
      </w:r>
      <w:r w:rsidRPr="00FF2363">
        <w:rPr>
          <w:i/>
        </w:rPr>
        <w:br/>
      </w:r>
      <w:r w:rsidRPr="00FF2363">
        <w:tab/>
        <w:t>Erik Møse,</w:t>
      </w:r>
      <w:r w:rsidRPr="00FF2363">
        <w:rPr>
          <w:i/>
        </w:rPr>
        <w:br/>
      </w:r>
      <w:r w:rsidRPr="00FF2363">
        <w:tab/>
        <w:t>André Potocki,</w:t>
      </w:r>
      <w:r w:rsidRPr="00FF2363">
        <w:rPr>
          <w:i/>
        </w:rPr>
        <w:br/>
      </w:r>
      <w:r w:rsidRPr="00FF2363">
        <w:tab/>
        <w:t>Yonko Grozev,</w:t>
      </w:r>
      <w:r w:rsidRPr="00FF2363">
        <w:rPr>
          <w:i/>
        </w:rPr>
        <w:br/>
      </w:r>
      <w:r w:rsidRPr="00FF2363">
        <w:tab/>
        <w:t>Carlo Ranzoni,</w:t>
      </w:r>
      <w:r w:rsidRPr="00FF2363">
        <w:rPr>
          <w:i/>
        </w:rPr>
        <w:br/>
      </w:r>
      <w:r w:rsidRPr="00FF2363">
        <w:tab/>
        <w:t>Mārtiņš Mits,</w:t>
      </w:r>
      <w:r w:rsidRPr="00FF2363">
        <w:rPr>
          <w:i/>
        </w:rPr>
        <w:br/>
      </w:r>
      <w:r w:rsidRPr="00FF2363">
        <w:tab/>
        <w:t>Gabriele Kucsko-Stadlmayer,</w:t>
      </w:r>
      <w:r w:rsidRPr="00FF2363">
        <w:rPr>
          <w:i/>
        </w:rPr>
        <w:br/>
      </w:r>
      <w:r w:rsidRPr="00FF2363">
        <w:tab/>
        <w:t>Alena Poláčková,</w:t>
      </w:r>
      <w:r w:rsidRPr="00FF2363">
        <w:rPr>
          <w:i/>
        </w:rPr>
        <w:br/>
      </w:r>
      <w:r w:rsidRPr="00FF2363">
        <w:tab/>
        <w:t>Georgios A. Serghides,</w:t>
      </w:r>
      <w:r w:rsidRPr="00FF2363">
        <w:rPr>
          <w:i/>
        </w:rPr>
        <w:br/>
      </w:r>
      <w:r w:rsidRPr="00FF2363">
        <w:tab/>
        <w:t>Marko Bošnjak,</w:t>
      </w:r>
      <w:r w:rsidRPr="00FF2363">
        <w:rPr>
          <w:i/>
        </w:rPr>
        <w:br/>
      </w:r>
      <w:r w:rsidRPr="00FF2363">
        <w:tab/>
        <w:t>Péter Paczolay,</w:t>
      </w:r>
      <w:r w:rsidRPr="00FF2363">
        <w:rPr>
          <w:i/>
        </w:rPr>
        <w:t xml:space="preserve"> judges,</w:t>
      </w:r>
      <w:r w:rsidRPr="00FF2363">
        <w:rPr>
          <w:i/>
        </w:rPr>
        <w:br/>
      </w:r>
      <w:r w:rsidR="00014566" w:rsidRPr="00FF2363">
        <w:t xml:space="preserve">and </w:t>
      </w:r>
      <w:r w:rsidR="00894153" w:rsidRPr="00FF2363">
        <w:t xml:space="preserve">Françoise Elens-Passos, </w:t>
      </w:r>
      <w:r w:rsidR="00894153" w:rsidRPr="00FF2363">
        <w:rPr>
          <w:i/>
        </w:rPr>
        <w:t>Deputy Registrar</w:t>
      </w:r>
      <w:r w:rsidR="00014566" w:rsidRPr="00FF2363">
        <w:rPr>
          <w:i/>
        </w:rPr>
        <w:t>,</w:t>
      </w:r>
    </w:p>
    <w:p w:rsidR="00014566" w:rsidRPr="00FF2363" w:rsidRDefault="00014566" w:rsidP="00FF2363">
      <w:pPr>
        <w:pStyle w:val="ECHRPara"/>
      </w:pPr>
      <w:r w:rsidRPr="00FF2363">
        <w:t xml:space="preserve">Having deliberated in private on </w:t>
      </w:r>
      <w:r w:rsidR="00D315BF" w:rsidRPr="00FF2363">
        <w:t>18 October 2017</w:t>
      </w:r>
      <w:r w:rsidR="00FF29EA" w:rsidRPr="00FF2363">
        <w:t xml:space="preserve"> and </w:t>
      </w:r>
      <w:r w:rsidR="0051434F" w:rsidRPr="00FF2363">
        <w:t>13 June 2018</w:t>
      </w:r>
      <w:r w:rsidRPr="00FF2363">
        <w:t>,</w:t>
      </w:r>
    </w:p>
    <w:p w:rsidR="00014566" w:rsidRPr="00FF2363" w:rsidRDefault="00014566" w:rsidP="00FF2363">
      <w:pPr>
        <w:pStyle w:val="ECHRPara"/>
      </w:pPr>
      <w:r w:rsidRPr="00FF2363">
        <w:t xml:space="preserve">Delivers the following judgment, which was adopted on </w:t>
      </w:r>
      <w:r w:rsidR="00B144D5" w:rsidRPr="00FF2363">
        <w:t>that</w:t>
      </w:r>
      <w:r w:rsidRPr="00FF2363">
        <w:t xml:space="preserve"> date:</w:t>
      </w:r>
    </w:p>
    <w:p w:rsidR="00014566" w:rsidRPr="00FF2363" w:rsidRDefault="00014566" w:rsidP="00FF2363">
      <w:pPr>
        <w:pStyle w:val="ECHRTitle1"/>
      </w:pPr>
      <w:r w:rsidRPr="00FF2363">
        <w:t>PROCEDURE</w:t>
      </w:r>
    </w:p>
    <w:p w:rsidR="00835569"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w:t>
      </w:r>
      <w:r w:rsidRPr="00FF2363">
        <w:fldChar w:fldCharType="end"/>
      </w:r>
      <w:r w:rsidR="00014566" w:rsidRPr="00FF2363">
        <w:t xml:space="preserve">.  The case originated in </w:t>
      </w:r>
      <w:r w:rsidRPr="00FF2363">
        <w:t>an application (no. 76639/11)</w:t>
      </w:r>
      <w:r w:rsidR="00014566" w:rsidRPr="00FF2363">
        <w:t xml:space="preserve"> against </w:t>
      </w:r>
      <w:r w:rsidRPr="00FF2363">
        <w:t>Ukraine</w:t>
      </w:r>
      <w:r w:rsidR="00014566" w:rsidRPr="00FF2363">
        <w:t xml:space="preserve"> lodged with the </w:t>
      </w:r>
      <w:r w:rsidRPr="00FF2363">
        <w:t>Court under Article 34</w:t>
      </w:r>
      <w:r w:rsidR="00014566" w:rsidRPr="00FF2363">
        <w:t xml:space="preserve"> of the Convention for the Protection of Human Rights and Fundamental Freedoms (“the Convention”) by </w:t>
      </w:r>
      <w:r w:rsidRPr="00FF2363">
        <w:t>a Ukrainian national, Mr Anatoliy Oleksiyovych Denisov (“the applicant”), on 8 December 2011</w:t>
      </w:r>
      <w:r w:rsidR="00014566" w:rsidRPr="00FF2363">
        <w:t>.</w:t>
      </w:r>
    </w:p>
    <w:p w:rsidR="005F4885"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w:t>
      </w:r>
      <w:r w:rsidRPr="00FF2363">
        <w:fldChar w:fldCharType="end"/>
      </w:r>
      <w:r w:rsidR="00014566" w:rsidRPr="00FF2363">
        <w:t>.  </w:t>
      </w:r>
      <w:r w:rsidRPr="00FF2363">
        <w:t xml:space="preserve">The applicant was represented by Ms </w:t>
      </w:r>
      <w:r w:rsidR="002D0434" w:rsidRPr="00FF2363">
        <w:t>J</w:t>
      </w:r>
      <w:r w:rsidRPr="00FF2363">
        <w:t xml:space="preserve">. Gavron and Mr </w:t>
      </w:r>
      <w:r w:rsidR="002D0434" w:rsidRPr="00FF2363">
        <w:t xml:space="preserve">A. </w:t>
      </w:r>
      <w:r w:rsidR="0031748E" w:rsidRPr="00FF2363">
        <w:t>Halban</w:t>
      </w:r>
      <w:r w:rsidRPr="00FF2363">
        <w:t xml:space="preserve">, lawyers practising in London. </w:t>
      </w:r>
      <w:r w:rsidR="00014566" w:rsidRPr="00FF2363">
        <w:t xml:space="preserve">The </w:t>
      </w:r>
      <w:r w:rsidRPr="00FF2363">
        <w:t>Ukrainian</w:t>
      </w:r>
      <w:r w:rsidR="00014566" w:rsidRPr="00FF2363">
        <w:t xml:space="preserve"> Government (“the Government”) were represented by their Agent, Mr</w:t>
      </w:r>
      <w:r w:rsidR="0031748E" w:rsidRPr="00FF2363">
        <w:t xml:space="preserve"> </w:t>
      </w:r>
      <w:r w:rsidR="002D0434" w:rsidRPr="00FF2363">
        <w:t xml:space="preserve">I. </w:t>
      </w:r>
      <w:r w:rsidR="0031748E" w:rsidRPr="00FF2363">
        <w:t>Lishchyna</w:t>
      </w:r>
      <w:r w:rsidR="00014566" w:rsidRPr="00FF2363">
        <w:t>.</w:t>
      </w:r>
    </w:p>
    <w:p w:rsidR="00014566"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3</w:t>
      </w:r>
      <w:r w:rsidRPr="00FF2363">
        <w:fldChar w:fldCharType="end"/>
      </w:r>
      <w:r w:rsidRPr="00FF2363">
        <w:t>.  The applicant alleged, in particular,</w:t>
      </w:r>
      <w:r w:rsidR="0031748E" w:rsidRPr="00FF2363">
        <w:t xml:space="preserve"> that his dismissal from the position of president of a court of appeal </w:t>
      </w:r>
      <w:r w:rsidR="002D0434" w:rsidRPr="00FF2363">
        <w:t>had</w:t>
      </w:r>
      <w:r w:rsidR="0031748E" w:rsidRPr="00FF2363">
        <w:t xml:space="preserve"> not </w:t>
      </w:r>
      <w:r w:rsidR="002D0434" w:rsidRPr="00FF2363">
        <w:t xml:space="preserve">been carried out </w:t>
      </w:r>
      <w:r w:rsidR="0031748E" w:rsidRPr="00FF2363">
        <w:t>in conformity with Article 6 § 1 of the Convention and constituted an unlawful and disproportionate interference with his pr</w:t>
      </w:r>
      <w:r w:rsidR="00D315BF" w:rsidRPr="00FF2363">
        <w:t>ivate life, contrary to Article </w:t>
      </w:r>
      <w:r w:rsidR="0031748E" w:rsidRPr="00FF2363">
        <w:t>8 of the Convention</w:t>
      </w:r>
      <w:r w:rsidRPr="00FF2363">
        <w:t>.</w:t>
      </w:r>
    </w:p>
    <w:p w:rsidR="005F4885"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w:t>
      </w:r>
      <w:r w:rsidRPr="00FF2363">
        <w:fldChar w:fldCharType="end"/>
      </w:r>
      <w:r w:rsidR="00014566" w:rsidRPr="00FF2363">
        <w:t>.  </w:t>
      </w:r>
      <w:r w:rsidRPr="00FF2363">
        <w:t xml:space="preserve">On </w:t>
      </w:r>
      <w:r w:rsidRPr="00FF2363">
        <w:rPr>
          <w:szCs w:val="24"/>
        </w:rPr>
        <w:t>15 January 2014</w:t>
      </w:r>
      <w:r w:rsidR="00014566" w:rsidRPr="00FF2363">
        <w:t xml:space="preserve"> </w:t>
      </w:r>
      <w:r w:rsidR="00BD3066" w:rsidRPr="00FF2363">
        <w:t>the Government were given notice of the application</w:t>
      </w:r>
      <w:r w:rsidR="007509D5" w:rsidRPr="00FF2363">
        <w:t>.</w:t>
      </w:r>
    </w:p>
    <w:p w:rsidR="00042C6E" w:rsidRPr="00FF2363" w:rsidRDefault="00042C6E" w:rsidP="00FF2363">
      <w:pPr>
        <w:pStyle w:val="ECHRPara"/>
      </w:pPr>
      <w:r w:rsidRPr="00FF2363">
        <w:lastRenderedPageBreak/>
        <w:fldChar w:fldCharType="begin"/>
      </w:r>
      <w:r w:rsidRPr="00FF2363">
        <w:instrText xml:space="preserve"> SEQ level0 \*arabic </w:instrText>
      </w:r>
      <w:r w:rsidRPr="00FF2363">
        <w:fldChar w:fldCharType="separate"/>
      </w:r>
      <w:r w:rsidR="00FF2363" w:rsidRPr="00FF2363">
        <w:rPr>
          <w:noProof/>
        </w:rPr>
        <w:t>5</w:t>
      </w:r>
      <w:r w:rsidRPr="00FF2363">
        <w:fldChar w:fldCharType="end"/>
      </w:r>
      <w:r w:rsidRPr="00FF2363">
        <w:t xml:space="preserve">.  On </w:t>
      </w:r>
      <w:r w:rsidR="00BD3066" w:rsidRPr="00FF2363">
        <w:t>25 April 2017</w:t>
      </w:r>
      <w:r w:rsidRPr="00FF2363">
        <w:t xml:space="preserve">, after having consulted the parties, a Chamber of the Fifth Section of the Court, composed of </w:t>
      </w:r>
      <w:r w:rsidR="00BD3066" w:rsidRPr="00FF2363">
        <w:t>Angelika Nußberger, President, Erik Møse, Ganna Yudkivska, And</w:t>
      </w:r>
      <w:r w:rsidR="002F244B" w:rsidRPr="00FF2363">
        <w:t>ré Potocki, Yonko Grozev, Carlo </w:t>
      </w:r>
      <w:r w:rsidR="00BD3066" w:rsidRPr="00FF2363">
        <w:t>Ranzoni, Mārtiņš Mits, judges, and Milan Blaško, Deputy Section Registrar</w:t>
      </w:r>
      <w:r w:rsidRPr="00FF2363">
        <w:t xml:space="preserve">, decided to relinquish jurisdiction in favour of the Grand Chamber in the above case, neither of the parties having objected to </w:t>
      </w:r>
      <w:r w:rsidR="002D0434" w:rsidRPr="00FF2363">
        <w:t xml:space="preserve">such </w:t>
      </w:r>
      <w:r w:rsidRPr="00FF2363">
        <w:t>relinquishment (Article 30 of the Convention and Rule 72 of the Rules of Court).</w:t>
      </w:r>
    </w:p>
    <w:p w:rsidR="00042C6E" w:rsidRPr="00FF2363" w:rsidRDefault="00042C6E"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w:t>
      </w:r>
      <w:r w:rsidRPr="00FF2363">
        <w:fldChar w:fldCharType="end"/>
      </w:r>
      <w:r w:rsidRPr="00FF2363">
        <w:t>.  The composition of the Grand Chamber was determined according to the provisions of Article 26 §§ 4 and 5 of the Convention and Rule 24.</w:t>
      </w:r>
    </w:p>
    <w:p w:rsidR="00C14F77" w:rsidRPr="00FF2363" w:rsidRDefault="00BD3066" w:rsidP="00FF2363">
      <w:pPr>
        <w:pStyle w:val="ECHRPara"/>
        <w:rPr>
          <w:b/>
        </w:rPr>
      </w:pPr>
      <w:r w:rsidRPr="00FF2363">
        <w:fldChar w:fldCharType="begin"/>
      </w:r>
      <w:r w:rsidRPr="00FF2363">
        <w:instrText xml:space="preserve"> SEQ level0 \*arabic </w:instrText>
      </w:r>
      <w:r w:rsidRPr="00FF2363">
        <w:fldChar w:fldCharType="separate"/>
      </w:r>
      <w:r w:rsidR="00FF2363" w:rsidRPr="00FF2363">
        <w:rPr>
          <w:noProof/>
        </w:rPr>
        <w:t>7</w:t>
      </w:r>
      <w:r w:rsidRPr="00FF2363">
        <w:fldChar w:fldCharType="end"/>
      </w:r>
      <w:r w:rsidRPr="00FF2363">
        <w:t>.  The applicant and the Government each filed written observations on the admissibility and merits of the application.</w:t>
      </w:r>
      <w:r w:rsidR="00AD2706" w:rsidRPr="00FF2363">
        <w:t xml:space="preserve"> In addition, third-party comments were received from the International Commission of Jurists, which had been given leave by the President to intervene in the written procedure (Article 36 § 2 of the Convention and Rule 44 § 3).</w:t>
      </w:r>
    </w:p>
    <w:p w:rsidR="00835569"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w:t>
      </w:r>
      <w:r w:rsidRPr="00FF2363">
        <w:fldChar w:fldCharType="end"/>
      </w:r>
      <w:r w:rsidRPr="00FF2363">
        <w:t>.  A hearing took place in public in the Human Rights Building, Strasbourg, on 18 October 2017.</w:t>
      </w:r>
    </w:p>
    <w:p w:rsidR="005F4885" w:rsidRPr="00FF2363" w:rsidRDefault="005F4885" w:rsidP="00FF2363">
      <w:pPr>
        <w:pStyle w:val="ECHRPara"/>
      </w:pPr>
      <w:r w:rsidRPr="00FF2363">
        <w:t>There appeared before the Court:</w:t>
      </w:r>
    </w:p>
    <w:p w:rsidR="005F4885" w:rsidRPr="00FF2363" w:rsidRDefault="005F4885" w:rsidP="00FF2363">
      <w:pPr>
        <w:pStyle w:val="JuCourt"/>
      </w:pPr>
      <w:r w:rsidRPr="00FF2363">
        <w:t>(a)  </w:t>
      </w:r>
      <w:r w:rsidRPr="00FF2363">
        <w:rPr>
          <w:i/>
        </w:rPr>
        <w:t>for the Government</w:t>
      </w:r>
      <w:r w:rsidRPr="00FF2363">
        <w:br/>
        <w:t>Mr</w:t>
      </w:r>
      <w:r w:rsidRPr="00FF2363">
        <w:tab/>
      </w:r>
      <w:r w:rsidR="0031748E" w:rsidRPr="00FF2363">
        <w:rPr>
          <w:rStyle w:val="JuNames0"/>
        </w:rPr>
        <w:t>I. Lishchyna</w:t>
      </w:r>
      <w:r w:rsidRPr="00FF2363">
        <w:t>,</w:t>
      </w:r>
      <w:r w:rsidR="00835569" w:rsidRPr="00FF2363">
        <w:t xml:space="preserve"> </w:t>
      </w:r>
      <w:r w:rsidR="0031748E" w:rsidRPr="00FF2363">
        <w:tab/>
      </w:r>
      <w:r w:rsidRPr="00FF2363">
        <w:rPr>
          <w:i/>
        </w:rPr>
        <w:t>Agent</w:t>
      </w:r>
      <w:r w:rsidRPr="00FF2363">
        <w:t>,</w:t>
      </w:r>
      <w:r w:rsidRPr="00FF2363">
        <w:br/>
        <w:t>M</w:t>
      </w:r>
      <w:r w:rsidR="0031748E" w:rsidRPr="00FF2363">
        <w:t>s</w:t>
      </w:r>
      <w:r w:rsidRPr="00FF2363">
        <w:tab/>
      </w:r>
      <w:r w:rsidR="0031748E" w:rsidRPr="00FF2363">
        <w:rPr>
          <w:rStyle w:val="JuNames0"/>
        </w:rPr>
        <w:t>O. Davydchuk</w:t>
      </w:r>
      <w:r w:rsidRPr="00FF2363">
        <w:t xml:space="preserve">, </w:t>
      </w:r>
      <w:r w:rsidR="0031748E" w:rsidRPr="00FF2363">
        <w:t>Office of the Government Agent</w:t>
      </w:r>
      <w:r w:rsidRPr="00FF2363">
        <w:t>,</w:t>
      </w:r>
      <w:r w:rsidR="0031748E" w:rsidRPr="00FF2363">
        <w:t xml:space="preserve"> </w:t>
      </w:r>
      <w:r w:rsidR="0031748E" w:rsidRPr="00FF2363">
        <w:br/>
        <w:t>Ministry of Justice</w:t>
      </w:r>
      <w:r w:rsidR="009A6A96" w:rsidRPr="00FF2363">
        <w:t>,</w:t>
      </w:r>
      <w:r w:rsidR="0031748E" w:rsidRPr="00FF2363">
        <w:t xml:space="preserve"> </w:t>
      </w:r>
      <w:r w:rsidRPr="00FF2363">
        <w:tab/>
      </w:r>
      <w:r w:rsidRPr="00FF2363">
        <w:br/>
        <w:t>M</w:t>
      </w:r>
      <w:r w:rsidR="0031748E" w:rsidRPr="00FF2363">
        <w:t>s</w:t>
      </w:r>
      <w:r w:rsidRPr="00FF2363">
        <w:tab/>
      </w:r>
      <w:r w:rsidR="0031748E" w:rsidRPr="00FF2363">
        <w:rPr>
          <w:rStyle w:val="JuNames0"/>
        </w:rPr>
        <w:t>N. Rybachok</w:t>
      </w:r>
      <w:r w:rsidRPr="00FF2363">
        <w:t xml:space="preserve">, </w:t>
      </w:r>
      <w:r w:rsidR="0031748E" w:rsidRPr="00FF2363">
        <w:t>Office of the Government Agent</w:t>
      </w:r>
      <w:r w:rsidRPr="00FF2363">
        <w:t>,</w:t>
      </w:r>
      <w:r w:rsidR="0031748E" w:rsidRPr="00FF2363">
        <w:t xml:space="preserve"> </w:t>
      </w:r>
      <w:r w:rsidR="0031748E" w:rsidRPr="00FF2363">
        <w:br/>
        <w:t xml:space="preserve">Ministry of Justice, </w:t>
      </w:r>
      <w:r w:rsidR="0031748E" w:rsidRPr="00FF2363">
        <w:tab/>
      </w:r>
      <w:r w:rsidRPr="00FF2363">
        <w:rPr>
          <w:i/>
        </w:rPr>
        <w:t>Advisers</w:t>
      </w:r>
      <w:r w:rsidRPr="00FF2363">
        <w:t>;</w:t>
      </w:r>
    </w:p>
    <w:p w:rsidR="0031748E" w:rsidRPr="00FF2363" w:rsidRDefault="005F4885" w:rsidP="00FF2363">
      <w:pPr>
        <w:pStyle w:val="JuCourt"/>
      </w:pPr>
      <w:r w:rsidRPr="00FF2363">
        <w:t>(b)  </w:t>
      </w:r>
      <w:r w:rsidRPr="00FF2363">
        <w:rPr>
          <w:i/>
        </w:rPr>
        <w:t>for the applicant</w:t>
      </w:r>
      <w:r w:rsidRPr="00FF2363">
        <w:br/>
        <w:t>Ms</w:t>
      </w:r>
      <w:r w:rsidRPr="00FF2363">
        <w:tab/>
      </w:r>
      <w:r w:rsidR="0031748E" w:rsidRPr="00FF2363">
        <w:rPr>
          <w:rStyle w:val="JuNames0"/>
        </w:rPr>
        <w:t>J. Gavron</w:t>
      </w:r>
      <w:r w:rsidRPr="00FF2363">
        <w:t>,</w:t>
      </w:r>
      <w:r w:rsidRPr="00FF2363">
        <w:tab/>
      </w:r>
      <w:r w:rsidRPr="00FF2363">
        <w:br/>
      </w:r>
      <w:r w:rsidR="0031748E" w:rsidRPr="00FF2363">
        <w:t>Mr</w:t>
      </w:r>
      <w:r w:rsidR="0031748E" w:rsidRPr="00FF2363">
        <w:tab/>
      </w:r>
      <w:r w:rsidR="0031748E" w:rsidRPr="00FF2363">
        <w:rPr>
          <w:rStyle w:val="JuNames0"/>
        </w:rPr>
        <w:t>A. Halban</w:t>
      </w:r>
      <w:r w:rsidR="0031748E" w:rsidRPr="00FF2363">
        <w:t>,</w:t>
      </w:r>
      <w:r w:rsidR="0031748E" w:rsidRPr="00FF2363">
        <w:tab/>
      </w:r>
      <w:r w:rsidR="0031748E" w:rsidRPr="00FF2363">
        <w:rPr>
          <w:i/>
        </w:rPr>
        <w:t>Counsel</w:t>
      </w:r>
      <w:r w:rsidR="0031748E" w:rsidRPr="00FF2363">
        <w:t>.</w:t>
      </w:r>
    </w:p>
    <w:p w:rsidR="005F4885" w:rsidRPr="00FF2363" w:rsidRDefault="005F4885" w:rsidP="00FF2363">
      <w:pPr>
        <w:pStyle w:val="ECHRPara"/>
      </w:pPr>
    </w:p>
    <w:p w:rsidR="00014566" w:rsidRPr="00FF2363" w:rsidRDefault="005F4885" w:rsidP="00FF2363">
      <w:pPr>
        <w:pStyle w:val="ECHRPara"/>
      </w:pPr>
      <w:r w:rsidRPr="00FF2363">
        <w:t xml:space="preserve">The Court heard addresses by Mr </w:t>
      </w:r>
      <w:r w:rsidR="0031748E" w:rsidRPr="00FF2363">
        <w:t xml:space="preserve">Lishchyna, Ms Gavron and Mr Halban and </w:t>
      </w:r>
      <w:r w:rsidR="002D0434" w:rsidRPr="00FF2363">
        <w:t xml:space="preserve">their </w:t>
      </w:r>
      <w:r w:rsidR="0031748E" w:rsidRPr="00FF2363">
        <w:t xml:space="preserve">replies to the questions from </w:t>
      </w:r>
      <w:r w:rsidR="002D0434" w:rsidRPr="00FF2363">
        <w:t>its members</w:t>
      </w:r>
      <w:r w:rsidR="0031748E" w:rsidRPr="00FF2363">
        <w:t>.</w:t>
      </w:r>
    </w:p>
    <w:p w:rsidR="00F93E81" w:rsidRPr="00FF2363" w:rsidRDefault="0029165A" w:rsidP="00FF2363">
      <w:pPr>
        <w:pStyle w:val="ECHRPara"/>
      </w:pPr>
      <w:r w:rsidRPr="00FF2363">
        <w:rPr>
          <w:lang w:val="cs-CZ"/>
        </w:rPr>
        <w:fldChar w:fldCharType="begin"/>
      </w:r>
      <w:r w:rsidRPr="00FF2363">
        <w:rPr>
          <w:lang w:val="cs-CZ"/>
        </w:rPr>
        <w:instrText xml:space="preserve"> SEQ level0 \*arabic </w:instrText>
      </w:r>
      <w:r w:rsidRPr="00FF2363">
        <w:rPr>
          <w:lang w:val="cs-CZ"/>
        </w:rPr>
        <w:fldChar w:fldCharType="separate"/>
      </w:r>
      <w:r w:rsidR="00FF2363" w:rsidRPr="00FF2363">
        <w:rPr>
          <w:noProof/>
          <w:lang w:val="cs-CZ"/>
        </w:rPr>
        <w:t>9</w:t>
      </w:r>
      <w:r w:rsidRPr="00FF2363">
        <w:rPr>
          <w:lang w:val="cs-CZ"/>
        </w:rPr>
        <w:fldChar w:fldCharType="end"/>
      </w:r>
      <w:r w:rsidRPr="00FF2363">
        <w:rPr>
          <w:lang w:val="cs-CZ"/>
        </w:rPr>
        <w:t>.  </w:t>
      </w:r>
      <w:r w:rsidRPr="00FF2363">
        <w:t>At the Court</w:t>
      </w:r>
      <w:r w:rsidR="00FF2363" w:rsidRPr="00FF2363">
        <w:t>’</w:t>
      </w:r>
      <w:r w:rsidRPr="00FF2363">
        <w:t xml:space="preserve">s request, the applicant, </w:t>
      </w:r>
      <w:r w:rsidR="002D0434" w:rsidRPr="00FF2363">
        <w:t>in a</w:t>
      </w:r>
      <w:r w:rsidRPr="00FF2363">
        <w:t xml:space="preserve"> letter of 24 November 2017, amended his claim</w:t>
      </w:r>
      <w:r w:rsidR="002252A7" w:rsidRPr="00FF2363">
        <w:t>s</w:t>
      </w:r>
      <w:r w:rsidRPr="00FF2363">
        <w:t xml:space="preserve"> for costs and expenses to take into account the proceedings before the Grand Chamber. The Government submitted their comments on</w:t>
      </w:r>
      <w:r w:rsidR="002D0434" w:rsidRPr="00FF2363">
        <w:t xml:space="preserve"> his revised claims</w:t>
      </w:r>
      <w:r w:rsidRPr="00FF2363">
        <w:t xml:space="preserve"> </w:t>
      </w:r>
      <w:r w:rsidR="002D0434" w:rsidRPr="00FF2363">
        <w:t xml:space="preserve">on </w:t>
      </w:r>
      <w:r w:rsidRPr="00FF2363">
        <w:t>11 December 2017</w:t>
      </w:r>
      <w:r w:rsidR="002252A7" w:rsidRPr="00FF2363">
        <w:t>.</w:t>
      </w:r>
    </w:p>
    <w:p w:rsidR="00014566" w:rsidRPr="00FF2363" w:rsidRDefault="00014566" w:rsidP="00FF2363">
      <w:pPr>
        <w:pStyle w:val="ECHRTitle1"/>
      </w:pPr>
      <w:r w:rsidRPr="00FF2363">
        <w:t>THE FACTS</w:t>
      </w:r>
    </w:p>
    <w:p w:rsidR="00014566" w:rsidRPr="00FF2363" w:rsidRDefault="00014566" w:rsidP="00FF2363">
      <w:pPr>
        <w:pStyle w:val="ECHRHeading1"/>
      </w:pPr>
      <w:r w:rsidRPr="00FF2363">
        <w:t>I.  THE CIRCUMSTANCES OF THE CASE</w:t>
      </w:r>
    </w:p>
    <w:p w:rsidR="00014566" w:rsidRPr="00FF2363" w:rsidRDefault="002252A7"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10</w:t>
      </w:r>
      <w:r w:rsidRPr="00FF2363">
        <w:fldChar w:fldCharType="end"/>
      </w:r>
      <w:r w:rsidRPr="00FF2363">
        <w:t>.  </w:t>
      </w:r>
      <w:r w:rsidR="00014566" w:rsidRPr="00FF2363">
        <w:t xml:space="preserve">The </w:t>
      </w:r>
      <w:r w:rsidR="005F4885" w:rsidRPr="00FF2363">
        <w:t xml:space="preserve">applicant was born </w:t>
      </w:r>
      <w:r w:rsidR="00FE0FD0" w:rsidRPr="00FF2363">
        <w:t>on</w:t>
      </w:r>
      <w:r w:rsidR="00425B5D" w:rsidRPr="00FF2363">
        <w:t xml:space="preserve"> 6 July </w:t>
      </w:r>
      <w:r w:rsidR="005F4885" w:rsidRPr="00FF2363">
        <w:t>1948 and lives</w:t>
      </w:r>
      <w:r w:rsidR="00014566" w:rsidRPr="00FF2363">
        <w:t xml:space="preserve"> in </w:t>
      </w:r>
      <w:r w:rsidR="005F4885" w:rsidRPr="00FF2363">
        <w:t>Kyiv</w:t>
      </w:r>
      <w:r w:rsidR="00014566" w:rsidRPr="00FF2363">
        <w:t>.</w:t>
      </w:r>
    </w:p>
    <w:p w:rsidR="005374AD" w:rsidRPr="00FF2363" w:rsidRDefault="005374AD" w:rsidP="00FF2363">
      <w:pPr>
        <w:pStyle w:val="ECHRPara"/>
      </w:pPr>
      <w:r w:rsidRPr="00FF2363">
        <w:lastRenderedPageBreak/>
        <w:fldChar w:fldCharType="begin"/>
      </w:r>
      <w:r w:rsidRPr="00FF2363">
        <w:instrText xml:space="preserve"> SEQ level0 \*arabic </w:instrText>
      </w:r>
      <w:r w:rsidRPr="00FF2363">
        <w:fldChar w:fldCharType="separate"/>
      </w:r>
      <w:r w:rsidR="00FF2363" w:rsidRPr="00FF2363">
        <w:rPr>
          <w:noProof/>
        </w:rPr>
        <w:t>11</w:t>
      </w:r>
      <w:r w:rsidRPr="00FF2363">
        <w:fldChar w:fldCharType="end"/>
      </w:r>
      <w:r w:rsidRPr="00FF2363">
        <w:t>.  The applicant</w:t>
      </w:r>
      <w:r w:rsidR="00FF2363" w:rsidRPr="00FF2363">
        <w:t>’</w:t>
      </w:r>
      <w:r w:rsidR="00741D7E" w:rsidRPr="00FF2363">
        <w:t xml:space="preserve">s </w:t>
      </w:r>
      <w:r w:rsidRPr="00FF2363">
        <w:t>judicial career started in 1976, when he was first elected to the post of judge of a district court. During his judicial career the applicant held the position of president in several courts.</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w:t>
      </w:r>
      <w:r w:rsidRPr="00FF2363">
        <w:fldChar w:fldCharType="end"/>
      </w:r>
      <w:r w:rsidRPr="00FF2363">
        <w:t>.  On 22 December 2005 the applicant was elected to the post of judge of the Kyiv Administrative Court of Appeal by the Ukrainian Parliament.</w:t>
      </w:r>
    </w:p>
    <w:bookmarkStart w:id="2" w:name="A1_five_year_appointment"/>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w:t>
      </w:r>
      <w:r w:rsidRPr="00FF2363">
        <w:fldChar w:fldCharType="end"/>
      </w:r>
      <w:bookmarkEnd w:id="2"/>
      <w:r w:rsidRPr="00FF2363">
        <w:t>.  On 10 November 2006 the applicant was appointed, by the President of Ukraine, as acting president of the Kyiv Administrative Court of Appeal. On 6 February 2009 he was appointed president of that court by the Council of Judges of Ukraine (a body of judicial self-governance).</w:t>
      </w:r>
      <w:r w:rsidR="00741D7E" w:rsidRPr="00FF2363">
        <w:t xml:space="preserve"> He was appointed for a five-year term, </w:t>
      </w:r>
      <w:r w:rsidR="00174DA0" w:rsidRPr="00FF2363">
        <w:t>it being understood</w:t>
      </w:r>
      <w:r w:rsidR="00741D7E" w:rsidRPr="00FF2363">
        <w:t xml:space="preserve"> that he would reach </w:t>
      </w:r>
      <w:r w:rsidR="002D0434" w:rsidRPr="00FF2363">
        <w:t xml:space="preserve">the </w:t>
      </w:r>
      <w:r w:rsidR="00741D7E" w:rsidRPr="00FF2363">
        <w:t xml:space="preserve">retirement age </w:t>
      </w:r>
      <w:r w:rsidR="002D0434" w:rsidRPr="00FF2363">
        <w:t xml:space="preserve">in </w:t>
      </w:r>
      <w:r w:rsidR="00A92648" w:rsidRPr="00FF2363">
        <w:t xml:space="preserve">July </w:t>
      </w:r>
      <w:r w:rsidR="00741D7E" w:rsidRPr="00FF2363">
        <w:t>2013</w:t>
      </w:r>
      <w:r w:rsidR="002D0434" w:rsidRPr="00FF2363">
        <w:t>, before the end of that term</w:t>
      </w:r>
      <w:r w:rsidR="00741D7E" w:rsidRPr="00FF2363">
        <w:t>.</w:t>
      </w:r>
    </w:p>
    <w:p w:rsidR="00835569" w:rsidRPr="00FF2363" w:rsidRDefault="005374AD" w:rsidP="00FF2363">
      <w:pPr>
        <w:pStyle w:val="ECHRHeading2"/>
      </w:pPr>
      <w:r w:rsidRPr="00FF2363">
        <w:t>A.</w:t>
      </w:r>
      <w:r w:rsidR="001B1405" w:rsidRPr="00FF2363">
        <w:t> </w:t>
      </w:r>
      <w:r w:rsidRPr="00FF2363">
        <w:t>Preliminary inquiry into the applicant</w:t>
      </w:r>
      <w:r w:rsidR="00FF2363" w:rsidRPr="00FF2363">
        <w:t>’</w:t>
      </w:r>
      <w:r w:rsidRPr="00FF2363">
        <w:t>s performance as president of the court</w:t>
      </w:r>
    </w:p>
    <w:p w:rsidR="00835569"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w:t>
      </w:r>
      <w:r w:rsidRPr="00FF2363">
        <w:fldChar w:fldCharType="end"/>
      </w:r>
      <w:r w:rsidRPr="00FF2363">
        <w:t>.  In February 2011 the Council of Administrative Court Judges (another body of judicial self-governance) decided, among other issues, to review the functioning of the Kyiv Administrative Court of Appeal. The review was carried out in February and March 2011 and concerned the years 2009 and 2010, as well as the period between January and February 2011.</w:t>
      </w:r>
    </w:p>
    <w:bookmarkStart w:id="3" w:name="A1_personal_bias_2a"/>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15</w:t>
      </w:r>
      <w:r w:rsidRPr="00FF2363">
        <w:fldChar w:fldCharType="end"/>
      </w:r>
      <w:bookmarkEnd w:id="3"/>
      <w:r w:rsidRPr="00FF2363">
        <w:t>.  On 24 May 2011 the Council of Administrative Court Judges, chaired by Judge K., made a submission to the High Council of Justice (“the HCJ”) proposing the applicant</w:t>
      </w:r>
      <w:r w:rsidR="00FF2363" w:rsidRPr="00FF2363">
        <w:t>’</w:t>
      </w:r>
      <w:r w:rsidRPr="00FF2363">
        <w:t>s dismissal from the position of president of the Kyiv Administrative Court of Appeal for failure to perform his administrative duties properly. The proposal was based on the results of the aforementioned review.</w:t>
      </w:r>
    </w:p>
    <w:p w:rsidR="005374AD" w:rsidRPr="00FF2363" w:rsidRDefault="005374AD" w:rsidP="00FF2363">
      <w:pPr>
        <w:pStyle w:val="ECHRHeading2"/>
      </w:pPr>
      <w:r w:rsidRPr="00FF2363">
        <w:t>B.</w:t>
      </w:r>
      <w:r w:rsidR="001B1405" w:rsidRPr="00FF2363">
        <w:t> </w:t>
      </w:r>
      <w:r w:rsidRPr="00FF2363">
        <w:t>Proceedings before the HCJ</w:t>
      </w:r>
    </w:p>
    <w:p w:rsidR="00835569"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16</w:t>
      </w:r>
      <w:r w:rsidRPr="00FF2363">
        <w:fldChar w:fldCharType="end"/>
      </w:r>
      <w:r w:rsidRPr="00FF2363">
        <w:t xml:space="preserve">.  The HCJ scheduled hearings on 30 and 31 May 2011 and the applicant was invited to attend them. However, in view of information received from the Kyiv Administrative Court of Appeal </w:t>
      </w:r>
      <w:r w:rsidR="00741D7E" w:rsidRPr="00FF2363">
        <w:t xml:space="preserve">on 27 May 2011 </w:t>
      </w:r>
      <w:r w:rsidRPr="00FF2363">
        <w:t xml:space="preserve">that the applicant was on </w:t>
      </w:r>
      <w:r w:rsidR="00741D7E" w:rsidRPr="00FF2363">
        <w:t xml:space="preserve">annual leave </w:t>
      </w:r>
      <w:r w:rsidRPr="00FF2363">
        <w:t>until 8 July 2011, the HCJ adjourned the examination of the case. It sent the applicant a summons for the next hearing, which was scheduled on 14 June 2011. In reply, the Kyiv Administrative Court of Appeal informed the HCJ once again that the applicant was on holiday until 8 July 2011.</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17</w:t>
      </w:r>
      <w:r w:rsidRPr="00FF2363">
        <w:fldChar w:fldCharType="end"/>
      </w:r>
      <w:r w:rsidRPr="00FF2363">
        <w:t>.  On 14 June 2011 the HCJ examined the case in the applicant</w:t>
      </w:r>
      <w:r w:rsidR="00FF2363" w:rsidRPr="00FF2363">
        <w:t>’</w:t>
      </w:r>
      <w:r w:rsidRPr="00FF2363">
        <w:t xml:space="preserve">s absence and decided to dismiss him from the post of president of the court, relying on section 20 of the Judiciary and Status of Judges Act and section 32-1 of the High Council of Justice Act. The HCJ noted that “significant shortcomings, omissions and errors, and grave violations of the foundations of the organisation and administration of justice set forth by law [had] been found in the organisation of the work of the Kyiv Administrative Court of </w:t>
      </w:r>
      <w:r w:rsidRPr="00FF2363">
        <w:lastRenderedPageBreak/>
        <w:t>Appeal”. It stated that “the improper organisation of the court</w:t>
      </w:r>
      <w:r w:rsidR="00FF2363" w:rsidRPr="00FF2363">
        <w:t>’</w:t>
      </w:r>
      <w:r w:rsidRPr="00FF2363">
        <w:t>s work was the result of the failure by the president of the court, Mr A. Denisov, to comply with the provisions of the applicable laws concerning the fulfilment of his administrative duties”. It also found that “administrative documents issued by Mr A. Denisov regarding the distribution of duties between the vice-presidents of the court, the setting-up of court chambers and panels and the distribution of cases among judges, as well as personnel-related and other documents in certain cases, [violated] the provisions of [the domestic legislation]”. It lastly stated that the applicant</w:t>
      </w:r>
      <w:r w:rsidR="00FF2363" w:rsidRPr="00FF2363">
        <w:t>’</w:t>
      </w:r>
      <w:r w:rsidRPr="00FF2363">
        <w:t>s failures as president of the court involved a “lack of proper planning, control and effective use of human resources”.</w:t>
      </w:r>
    </w:p>
    <w:bookmarkStart w:id="4" w:name="A1_personal_bias_2b"/>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18</w:t>
      </w:r>
      <w:r w:rsidRPr="00FF2363">
        <w:fldChar w:fldCharType="end"/>
      </w:r>
      <w:bookmarkEnd w:id="4"/>
      <w:r w:rsidRPr="00FF2363">
        <w:t xml:space="preserve">.  The decision was voted on by the HCJ, whose members present on that occasion included Judge K., the Prosecutor General and other judicial and non-judicial members. Out of the eighteen members present, </w:t>
      </w:r>
      <w:r w:rsidR="000029EB" w:rsidRPr="00FF2363">
        <w:t>eight were judges. F</w:t>
      </w:r>
      <w:r w:rsidRPr="00FF2363">
        <w:t>ourteen vote</w:t>
      </w:r>
      <w:r w:rsidR="000029EB" w:rsidRPr="00FF2363">
        <w:t>s were cast</w:t>
      </w:r>
      <w:r w:rsidRPr="00FF2363">
        <w:t xml:space="preserve"> </w:t>
      </w:r>
      <w:r w:rsidR="001A4ACF" w:rsidRPr="00FF2363">
        <w:t xml:space="preserve">in favour of </w:t>
      </w:r>
      <w:r w:rsidRPr="00FF2363">
        <w:t>the applicant</w:t>
      </w:r>
      <w:r w:rsidR="00FF2363" w:rsidRPr="00FF2363">
        <w:t>’</w:t>
      </w:r>
      <w:r w:rsidRPr="00FF2363">
        <w:t>s dismissal.</w:t>
      </w:r>
    </w:p>
    <w:bookmarkStart w:id="5" w:name="A1_personal_bias_1"/>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19</w:t>
      </w:r>
      <w:r w:rsidRPr="00FF2363">
        <w:fldChar w:fldCharType="end"/>
      </w:r>
      <w:bookmarkEnd w:id="5"/>
      <w:r w:rsidRPr="00FF2363">
        <w:t>.  </w:t>
      </w:r>
      <w:r w:rsidR="000029EB" w:rsidRPr="00FF2363">
        <w:t xml:space="preserve">According to the applicant, </w:t>
      </w:r>
      <w:r w:rsidRPr="00FF2363">
        <w:t>the composition of the HCJ in his case included two members who on earlier occasions had initiated proceedings for his dismissal from the post of judge for an alleged “breach of oath”. Furthermore, the applicant alleged that the President of the HCJ and another member of the HCJ had previously communicated with him, attempting – albeit without success – to influence him in the course of his professional activities.</w:t>
      </w:r>
    </w:p>
    <w:bookmarkStart w:id="6" w:name="A1_moment_of_actual_removal"/>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20</w:t>
      </w:r>
      <w:r w:rsidRPr="00FF2363">
        <w:fldChar w:fldCharType="end"/>
      </w:r>
      <w:bookmarkEnd w:id="6"/>
      <w:r w:rsidRPr="00FF2363">
        <w:t>.  On 17 June 2011 the President of the HCJ asked the Kyiv Administrative Court of Appeal to ensure that the HCJ</w:t>
      </w:r>
      <w:r w:rsidR="00FF2363" w:rsidRPr="00FF2363">
        <w:t>’</w:t>
      </w:r>
      <w:r w:rsidRPr="00FF2363">
        <w:t>s decision on the applicant</w:t>
      </w:r>
      <w:r w:rsidR="00FF2363" w:rsidRPr="00FF2363">
        <w:t>’</w:t>
      </w:r>
      <w:r w:rsidRPr="00FF2363">
        <w:t>s dismissal was executed and that information about its execution was provided to the HCJ immediately. On 23 June 2011 the applicant was dismissed from his administrative position, remaining in office as a judge of the same court.</w:t>
      </w:r>
    </w:p>
    <w:p w:rsidR="005374AD" w:rsidRPr="00FF2363" w:rsidRDefault="00D315BF" w:rsidP="00FF2363">
      <w:pPr>
        <w:pStyle w:val="ECHRHeading2"/>
      </w:pPr>
      <w:r w:rsidRPr="00FF2363">
        <w:t>C. </w:t>
      </w:r>
      <w:r w:rsidR="005374AD" w:rsidRPr="00FF2363">
        <w:t xml:space="preserve">Proceedings before the </w:t>
      </w:r>
      <w:r w:rsidR="008C73EC" w:rsidRPr="00FF2363">
        <w:t>Higher Administrative Court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21</w:t>
      </w:r>
      <w:r w:rsidRPr="00FF2363">
        <w:fldChar w:fldCharType="end"/>
      </w:r>
      <w:r w:rsidRPr="00FF2363">
        <w:t xml:space="preserve">.  The applicant challenged the decision of the HCJ before the Higher Administrative Court (“the HAC”), arguing that the decision on his dismissal was unlawful and unfounded. In his claim the applicant submitted that the HCJ had failed to comply with the requirements of an independent and impartial tribunal. He emphasised that those requirements were part of the procedural safeguards provided for by Article 6 of the Convention, which was applicable to his case in its civil limb because the impugned decision had substantially affected his right to work and his professional dignity. The applicant further argued that his right to participate in the hearings had not been secured. He alleged that the decision of the HCJ was worded in general terms and that it did not refer to any specific facts or indicate a specific time when those facts had taken place. The applicant then asked the HAC to take into account the fact that his judicial career had </w:t>
      </w:r>
      <w:r w:rsidRPr="00FF2363">
        <w:lastRenderedPageBreak/>
        <w:t>exceeded thirty-five years, that he had held positions of president at several courts for twenty-five years, that he had been given awards for his judicial service and that during the initial period of his presidency of the Kyiv Administrative Court of Appeal that court had moved from a demolished military barracks to premises in the city centre with proper equipment and a sufficient number of hearing rooms.</w:t>
      </w:r>
    </w:p>
    <w:bookmarkStart w:id="7" w:name="A1_Pecuniary_claim"/>
    <w:p w:rsidR="00FA22EE"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22</w:t>
      </w:r>
      <w:r w:rsidRPr="00FF2363">
        <w:fldChar w:fldCharType="end"/>
      </w:r>
      <w:bookmarkEnd w:id="7"/>
      <w:r w:rsidRPr="00FF2363">
        <w:t>.  The applicant also claimed compensation for the pecuniary damage caused by the ensuing reduction in his remuneration, which, at the date of the claim, had amounted to 4,034.33 Ukrainian hryvnias (UAH)</w:t>
      </w:r>
      <w:r w:rsidR="00A90489" w:rsidRPr="00FF2363">
        <w:rPr>
          <w:rStyle w:val="Odwoanieprzypisudolnego"/>
        </w:rPr>
        <w:t xml:space="preserve"> </w:t>
      </w:r>
      <w:r w:rsidR="00A90489" w:rsidRPr="00FF2363">
        <w:rPr>
          <w:rStyle w:val="Odwoanieprzypisudolnego"/>
        </w:rPr>
        <w:footnoteReference w:id="1"/>
      </w:r>
      <w:r w:rsidR="00A90489" w:rsidRPr="00FF2363">
        <w:t xml:space="preserve"> </w:t>
      </w:r>
      <w:r w:rsidRPr="00FF2363">
        <w:t>in relation to the period which had elapsed in July and August 2011.</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23</w:t>
      </w:r>
      <w:r w:rsidRPr="00FF2363">
        <w:fldChar w:fldCharType="end"/>
      </w:r>
      <w:r w:rsidRPr="00FF2363">
        <w:t>.  On 25 August 2011 the HAC held a hearing in the presence of the applicant and decided to dismiss his claim in respect of pecuniary damage without considering it. The HAC adopted a decision to that effect, stating that it had no jurisdiction to determine that issue.</w:t>
      </w:r>
    </w:p>
    <w:p w:rsidR="00F93E81"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24</w:t>
      </w:r>
      <w:r w:rsidRPr="00FF2363">
        <w:fldChar w:fldCharType="end"/>
      </w:r>
      <w:r w:rsidRPr="00FF2363">
        <w:t>.  On 11 October 2011 the HAC rejected the applicant</w:t>
      </w:r>
      <w:r w:rsidR="00FF2363" w:rsidRPr="00FF2363">
        <w:t>’</w:t>
      </w:r>
      <w:r w:rsidRPr="00FF2363">
        <w:t xml:space="preserve">s claim concerning his dismissal from the administrative position as unsubstantiated. In its decision </w:t>
      </w:r>
      <w:r w:rsidR="00A92648" w:rsidRPr="00FF2363">
        <w:t xml:space="preserve">the HAC specified, in particular, that it had competence to review whether the impugned decision </w:t>
      </w:r>
      <w:r w:rsidR="0084241C" w:rsidRPr="00FF2363">
        <w:t xml:space="preserve">had been </w:t>
      </w:r>
      <w:r w:rsidR="00A92648" w:rsidRPr="00FF2363">
        <w:t>taken lawfully, reasonably, proportionately and, among other requirements, impartially. T</w:t>
      </w:r>
      <w:r w:rsidRPr="00FF2363">
        <w:t>he HAC stated that the applicant had not contested the facts forming the grounds for his dismissal and therefore those facts had been taken as established. The HAC then reiterated the failings attributed to the applicant and concluded that the HCJ</w:t>
      </w:r>
      <w:r w:rsidR="00FF2363" w:rsidRPr="00FF2363">
        <w:t>’</w:t>
      </w:r>
      <w:r w:rsidRPr="00FF2363">
        <w:t>s decision had been lawful and that the applicant</w:t>
      </w:r>
      <w:r w:rsidR="00FF2363" w:rsidRPr="00FF2363">
        <w:t>’</w:t>
      </w:r>
      <w:r w:rsidRPr="00FF2363">
        <w:t xml:space="preserve">s right to participate in the proceedings in person had not been violated because the HCJ had taken all the necessary measures to inform him about the hearings and the applicant had not had any valid reason for being absent from the hearings. The HAC found that the HCJ had acted in accordance with </w:t>
      </w:r>
      <w:r w:rsidR="00A92648" w:rsidRPr="00FF2363">
        <w:t xml:space="preserve">the Constitution, </w:t>
      </w:r>
      <w:r w:rsidRPr="00FF2363">
        <w:t>the Judiciary and Status of Judges Act and the High Council of Justice Act. It had also complied with the Rules of the HCJ, which provided that one of the grounds for the dismissal of a judge from an administrative position was a “breach of official duties”.</w:t>
      </w:r>
      <w:r w:rsidR="00A92648" w:rsidRPr="00FF2363">
        <w:t xml:space="preserve"> In conclusion, the HAC stated that the HCJ </w:t>
      </w:r>
      <w:r w:rsidR="00B3514F" w:rsidRPr="00FF2363">
        <w:t xml:space="preserve">had </w:t>
      </w:r>
      <w:r w:rsidR="00A92648" w:rsidRPr="00FF2363">
        <w:t>not violate</w:t>
      </w:r>
      <w:r w:rsidR="00B3514F" w:rsidRPr="00FF2363">
        <w:t>d</w:t>
      </w:r>
      <w:r w:rsidR="00A92648" w:rsidRPr="00FF2363">
        <w:t xml:space="preserve"> the Constitution </w:t>
      </w:r>
      <w:r w:rsidR="0044614D" w:rsidRPr="00FF2363">
        <w:t>or</w:t>
      </w:r>
      <w:r w:rsidR="00A92648" w:rsidRPr="00FF2363">
        <w:t xml:space="preserve"> the laws of Ukraine.</w:t>
      </w:r>
    </w:p>
    <w:p w:rsidR="00014566"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25</w:t>
      </w:r>
      <w:r w:rsidRPr="00FF2363">
        <w:fldChar w:fldCharType="end"/>
      </w:r>
      <w:r w:rsidRPr="00FF2363">
        <w:t>.  Following his dismissal from the position of president of the Kyiv Administrative Court of Appeal, the applicant continued to work as a regular judge in the same court until 20 June 2013, when Parliament dismissed him from the post of judge after he had tendered a statement of resignation.</w:t>
      </w:r>
    </w:p>
    <w:p w:rsidR="00835569" w:rsidRPr="00FF2363" w:rsidRDefault="00014566" w:rsidP="00FF2363">
      <w:pPr>
        <w:pStyle w:val="ECHRHeading1"/>
      </w:pPr>
      <w:r w:rsidRPr="00FF2363">
        <w:lastRenderedPageBreak/>
        <w:t>II.  RELEVANT DOMESTIC LAW</w:t>
      </w:r>
    </w:p>
    <w:p w:rsidR="005374AD" w:rsidRPr="00FF2363" w:rsidRDefault="005374AD" w:rsidP="00FF2363">
      <w:pPr>
        <w:pStyle w:val="ECHRHeading2"/>
      </w:pPr>
      <w:r w:rsidRPr="00FF2363">
        <w:t>A.</w:t>
      </w:r>
      <w:r w:rsidR="001B1405" w:rsidRPr="00FF2363">
        <w:t> </w:t>
      </w:r>
      <w:r w:rsidRPr="00FF2363">
        <w:t>Constitution of 28 June 1996 as worded at the relevant time</w:t>
      </w:r>
    </w:p>
    <w:bookmarkStart w:id="8" w:name="B1_Constitution"/>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26</w:t>
      </w:r>
      <w:r w:rsidRPr="00FF2363">
        <w:fldChar w:fldCharType="end"/>
      </w:r>
      <w:bookmarkEnd w:id="8"/>
      <w:r w:rsidRPr="00FF2363">
        <w:t>.  The relevant provisions of the Constitution read as follows at the relevant time:</w:t>
      </w:r>
    </w:p>
    <w:p w:rsidR="00835569" w:rsidRPr="00FF2363" w:rsidRDefault="005374AD" w:rsidP="00FF2363">
      <w:pPr>
        <w:pStyle w:val="ECHRTitleCentre3"/>
      </w:pPr>
      <w:r w:rsidRPr="00FF2363">
        <w:t>Article 6</w:t>
      </w:r>
    </w:p>
    <w:p w:rsidR="005374AD" w:rsidRPr="00FF2363" w:rsidRDefault="005374AD" w:rsidP="00FF2363">
      <w:pPr>
        <w:pStyle w:val="ECHRParaQuote"/>
      </w:pPr>
      <w:r w:rsidRPr="00FF2363">
        <w:rPr>
          <w:lang w:bidi="en-US"/>
        </w:rPr>
        <w:t xml:space="preserve">“The State power in Ukraine is exercised on the basis of its separation into legislative, executive and judicial branches. </w:t>
      </w:r>
      <w:r w:rsidR="00835569" w:rsidRPr="00FF2363">
        <w:rPr>
          <w:lang w:bidi="en-US"/>
        </w:rPr>
        <w:t>...</w:t>
      </w:r>
      <w:r w:rsidRPr="00FF2363">
        <w:rPr>
          <w:lang w:bidi="en-US"/>
        </w:rPr>
        <w:t>”</w:t>
      </w:r>
    </w:p>
    <w:p w:rsidR="005374AD" w:rsidRPr="00FF2363" w:rsidRDefault="005374AD" w:rsidP="00FF2363">
      <w:pPr>
        <w:pStyle w:val="ECHRTitleCentre3"/>
      </w:pPr>
      <w:r w:rsidRPr="00FF2363">
        <w:t>Article 126</w:t>
      </w:r>
    </w:p>
    <w:p w:rsidR="005374AD" w:rsidRPr="00FF2363" w:rsidRDefault="005374AD" w:rsidP="00FF2363">
      <w:pPr>
        <w:pStyle w:val="OpiQuot"/>
      </w:pPr>
      <w:r w:rsidRPr="00FF2363">
        <w:t>“... A judge shall be dismissed from office by the body which elected or appointed him or her in the event of:</w:t>
      </w:r>
    </w:p>
    <w:p w:rsidR="005374AD" w:rsidRPr="00FF2363" w:rsidRDefault="005374AD" w:rsidP="00FF2363">
      <w:pPr>
        <w:pStyle w:val="OpiQuot"/>
      </w:pPr>
      <w:r w:rsidRPr="00FF2363">
        <w:t>...</w:t>
      </w:r>
    </w:p>
    <w:p w:rsidR="005374AD" w:rsidRPr="00FF2363" w:rsidRDefault="005374AD" w:rsidP="00FF2363">
      <w:pPr>
        <w:pStyle w:val="OpiQuot"/>
      </w:pPr>
      <w:r w:rsidRPr="00FF2363">
        <w:t>(2) the judge</w:t>
      </w:r>
      <w:r w:rsidR="00FF2363" w:rsidRPr="00FF2363">
        <w:t>’</w:t>
      </w:r>
      <w:r w:rsidRPr="00FF2363">
        <w:t>s attainment of the age of sixty-five ...;”</w:t>
      </w:r>
    </w:p>
    <w:p w:rsidR="005374AD" w:rsidRPr="00FF2363" w:rsidRDefault="005374AD" w:rsidP="00FF2363">
      <w:pPr>
        <w:pStyle w:val="ECHRTitleCentre3"/>
      </w:pPr>
      <w:r w:rsidRPr="00FF2363">
        <w:t>Article 131</w:t>
      </w:r>
    </w:p>
    <w:p w:rsidR="005374AD" w:rsidRPr="00FF2363" w:rsidRDefault="005374AD" w:rsidP="00FF2363">
      <w:pPr>
        <w:pStyle w:val="OpiQuot"/>
      </w:pPr>
      <w:r w:rsidRPr="00FF2363">
        <w:t>“The High Council of Justice shall operate in Ukraine. Its tasks shall comprise:</w:t>
      </w:r>
    </w:p>
    <w:p w:rsidR="005374AD" w:rsidRPr="00FF2363" w:rsidRDefault="005374AD" w:rsidP="00FF2363">
      <w:pPr>
        <w:pStyle w:val="OpiQuot"/>
      </w:pPr>
      <w:r w:rsidRPr="00FF2363">
        <w:t>(1) making submissions on the appointment or dismissal of judges;</w:t>
      </w:r>
    </w:p>
    <w:p w:rsidR="005374AD" w:rsidRPr="00FF2363" w:rsidRDefault="005374AD" w:rsidP="00FF2363">
      <w:pPr>
        <w:pStyle w:val="OpiQuot"/>
      </w:pPr>
      <w:r w:rsidRPr="00FF2363">
        <w:t>(2) adopting decisions with regard to the violation by judges and prosecutors of the requirements concerning judicial incompatibility;</w:t>
      </w:r>
    </w:p>
    <w:p w:rsidR="005374AD" w:rsidRPr="00FF2363" w:rsidRDefault="005374AD" w:rsidP="00FF2363">
      <w:pPr>
        <w:pStyle w:val="OpiQuot"/>
      </w:pPr>
      <w:r w:rsidRPr="00FF2363">
        <w:t>(3) conducting disciplinary proceedings in respect of judges of the Supreme Court and judges of higher specialised courts, and considering complaints against decisions imposing disciplinary liability on judges of courts of appeal and local courts and on prosecutors.</w:t>
      </w:r>
    </w:p>
    <w:p w:rsidR="005374AD" w:rsidRPr="00FF2363" w:rsidRDefault="005374AD" w:rsidP="00FF2363">
      <w:pPr>
        <w:pStyle w:val="OpiQuot"/>
      </w:pPr>
      <w:r w:rsidRPr="00FF2363">
        <w:t>The High Council of Justice shall consist of twenty members. The Parliament of Ukraine, the President of Ukraine, the Assembly of Judges of Ukraine, the Assembly of Advocates of Ukraine, and the Assembly of Representatives of Higher Legal Educational Establishments and Scientific Institutions, shall each appoint three members to the High Council of Justice, and the All-Ukrainian Conference of Prosecutors shall appoint two members to the High Council of Justice.</w:t>
      </w:r>
    </w:p>
    <w:p w:rsidR="005374AD" w:rsidRPr="00FF2363" w:rsidRDefault="005374AD" w:rsidP="00FF2363">
      <w:pPr>
        <w:pStyle w:val="OpiQuot"/>
      </w:pPr>
      <w:r w:rsidRPr="00FF2363">
        <w:t xml:space="preserve">The President of the Supreme Court, the Minister of Justice and the Prosecutor General shall be </w:t>
      </w:r>
      <w:r w:rsidRPr="00FF2363">
        <w:rPr>
          <w:i/>
        </w:rPr>
        <w:t>ex officio</w:t>
      </w:r>
      <w:r w:rsidRPr="00FF2363">
        <w:t xml:space="preserve"> members of the High Council of Justice.”</w:t>
      </w:r>
    </w:p>
    <w:p w:rsidR="005374AD" w:rsidRPr="00FF2363" w:rsidRDefault="005374AD" w:rsidP="00FF2363">
      <w:pPr>
        <w:pStyle w:val="ECHRHeading2"/>
      </w:pPr>
      <w:r w:rsidRPr="00FF2363">
        <w:t>B.  Code of Administrative Justice of 6 July 2005 as worded at the relevant time</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27</w:t>
      </w:r>
      <w:r w:rsidRPr="00FF2363">
        <w:fldChar w:fldCharType="end"/>
      </w:r>
      <w:r w:rsidRPr="00FF2363">
        <w:t>.  The relevant provisions of the Code read as follows at the relevant time:</w:t>
      </w:r>
    </w:p>
    <w:p w:rsidR="005374AD" w:rsidRPr="00FF2363" w:rsidRDefault="005374AD" w:rsidP="00FF2363">
      <w:pPr>
        <w:pStyle w:val="ECHRTitleCentre3"/>
      </w:pPr>
      <w:r w:rsidRPr="00FF2363">
        <w:t>Article 161 – Questions to be determined by a court when deciding on a case</w:t>
      </w:r>
    </w:p>
    <w:p w:rsidR="005374AD" w:rsidRPr="00FF2363" w:rsidRDefault="005374AD" w:rsidP="00FF2363">
      <w:pPr>
        <w:pStyle w:val="ECHRParaQuote"/>
      </w:pPr>
      <w:r w:rsidRPr="00FF2363">
        <w:t>“1.  When deciding on a case, a court shall determine:</w:t>
      </w:r>
    </w:p>
    <w:p w:rsidR="005374AD" w:rsidRPr="00FF2363" w:rsidRDefault="005374AD" w:rsidP="00FF2363">
      <w:pPr>
        <w:pStyle w:val="ECHRParaQuote"/>
      </w:pPr>
      <w:r w:rsidRPr="00FF2363">
        <w:lastRenderedPageBreak/>
        <w:t>(1)  whether the circumstances referred to in the claim and objections took place and what evidence substantiates these circumstances;</w:t>
      </w:r>
    </w:p>
    <w:p w:rsidR="005374AD" w:rsidRPr="00FF2363" w:rsidRDefault="005374AD" w:rsidP="00FF2363">
      <w:pPr>
        <w:pStyle w:val="ECHRParaQuote"/>
      </w:pPr>
      <w:r w:rsidRPr="00FF2363">
        <w:t>(2)  whether there is any other factual information relevant to the case and evidence in support of that information;</w:t>
      </w:r>
    </w:p>
    <w:p w:rsidR="005374AD" w:rsidRPr="00FF2363" w:rsidRDefault="005374AD" w:rsidP="00FF2363">
      <w:pPr>
        <w:pStyle w:val="ECHRParaQuote"/>
      </w:pPr>
      <w:r w:rsidRPr="00FF2363">
        <w:t>(3)  which provision of law is to be applied to the legal relations in dispute;</w:t>
      </w:r>
    </w:p>
    <w:p w:rsidR="005374AD" w:rsidRPr="00FF2363" w:rsidRDefault="005374AD" w:rsidP="00FF2363">
      <w:pPr>
        <w:pStyle w:val="ECHRParaQuote"/>
      </w:pPr>
      <w:r w:rsidRPr="00FF2363">
        <w:t>...”</w:t>
      </w:r>
    </w:p>
    <w:p w:rsidR="005374AD" w:rsidRPr="00FF2363" w:rsidRDefault="005374AD" w:rsidP="00FF2363">
      <w:pPr>
        <w:pStyle w:val="ECHRTitleCentre3"/>
      </w:pPr>
      <w:r w:rsidRPr="00FF2363">
        <w:t>Article 171-1 – Proceedings in cases concerning acts, actions or omissions of the Parliament of Ukraine, the President of Ukraine, the High Council of Justice and the High Qualification Commission of Judges</w:t>
      </w:r>
    </w:p>
    <w:p w:rsidR="005374AD" w:rsidRPr="00FF2363" w:rsidRDefault="005374AD" w:rsidP="00FF2363">
      <w:pPr>
        <w:pStyle w:val="ECHRParaQuote"/>
      </w:pPr>
      <w:r w:rsidRPr="00FF2363">
        <w:t>“1.  The rules set down in this Article shall apply to proceedings in administrative cases concerning:</w:t>
      </w:r>
    </w:p>
    <w:p w:rsidR="005374AD" w:rsidRPr="00FF2363" w:rsidRDefault="005374AD" w:rsidP="00FF2363">
      <w:pPr>
        <w:pStyle w:val="ECHRParaQuote"/>
      </w:pPr>
      <w:r w:rsidRPr="00FF2363">
        <w:t>...</w:t>
      </w:r>
    </w:p>
    <w:p w:rsidR="005374AD" w:rsidRPr="00FF2363" w:rsidRDefault="005374AD" w:rsidP="00FF2363">
      <w:pPr>
        <w:pStyle w:val="ECHRParaQuote"/>
      </w:pPr>
      <w:r w:rsidRPr="00FF2363">
        <w:t>(2)  acts of the High Council of Justice; ...</w:t>
      </w:r>
    </w:p>
    <w:p w:rsidR="005374AD" w:rsidRPr="00FF2363" w:rsidRDefault="005374AD" w:rsidP="00FF2363">
      <w:pPr>
        <w:pStyle w:val="ECHRParaQuote"/>
      </w:pPr>
      <w:r w:rsidRPr="00FF2363">
        <w:t>2.  Acts, actions or omissions of the Parliament of Ukraine, the President of Ukraine, the High Council of Justice and the High Qualification Commission of Judges may be challenged before the Higher Administrative Court. For this purpose a separate chamber shall be set up in the Higher Administrative Court.</w:t>
      </w:r>
    </w:p>
    <w:p w:rsidR="005374AD" w:rsidRPr="00FF2363" w:rsidRDefault="005374AD" w:rsidP="00FF2363">
      <w:pPr>
        <w:pStyle w:val="ECHRParaQuote"/>
      </w:pPr>
      <w:r w:rsidRPr="00FF2363">
        <w:t>...</w:t>
      </w:r>
    </w:p>
    <w:p w:rsidR="005374AD" w:rsidRPr="00FF2363" w:rsidRDefault="005374AD" w:rsidP="00FF2363">
      <w:pPr>
        <w:pStyle w:val="ECHRParaQuote"/>
      </w:pPr>
      <w:r w:rsidRPr="00FF2363">
        <w:t>5.  Following the consideration of the case, the Higher Administrative Court may:</w:t>
      </w:r>
    </w:p>
    <w:p w:rsidR="005374AD" w:rsidRPr="00FF2363" w:rsidRDefault="005374AD" w:rsidP="00FF2363">
      <w:pPr>
        <w:pStyle w:val="ECHRParaQuote"/>
      </w:pPr>
      <w:r w:rsidRPr="00FF2363">
        <w:t>(1)  declare the act of the Parliament of Ukraine, the President of Ukraine, the High Council of Justice or the High Qualification Commission of Judges unlawful in full or in part;</w:t>
      </w:r>
    </w:p>
    <w:p w:rsidR="005374AD" w:rsidRPr="00FF2363" w:rsidRDefault="005374AD" w:rsidP="00FF2363">
      <w:pPr>
        <w:pStyle w:val="ECHRParaQuote"/>
      </w:pPr>
      <w:r w:rsidRPr="00FF2363">
        <w:t>(2)  declare the actions or omissions of the Parliament of Ukraine, the President of Ukraine, the High Council of Justice or the High Qualification Commission of Judges unlawful and oblige [it or them] to take certain actions. ...”</w:t>
      </w:r>
    </w:p>
    <w:p w:rsidR="005374AD" w:rsidRPr="00FF2363" w:rsidRDefault="005374AD" w:rsidP="00FF2363">
      <w:pPr>
        <w:pStyle w:val="ECHRHeading2"/>
      </w:pPr>
      <w:r w:rsidRPr="00FF2363">
        <w:t>C.  The Judiciary and Status of Judges Act of 7 July 2010 (in force at the relevant time)</w:t>
      </w:r>
    </w:p>
    <w:bookmarkStart w:id="9" w:name="B1_Domest_Law_on_Judiciary"/>
    <w:p w:rsidR="005374AD" w:rsidRPr="00FF2363" w:rsidRDefault="005374AD" w:rsidP="00FF2363">
      <w:pPr>
        <w:pStyle w:val="JuParaSub"/>
        <w:ind w:left="0"/>
      </w:pPr>
      <w:r w:rsidRPr="00FF2363">
        <w:fldChar w:fldCharType="begin"/>
      </w:r>
      <w:r w:rsidRPr="00FF2363">
        <w:instrText xml:space="preserve"> SEQ level0 \*arabic </w:instrText>
      </w:r>
      <w:r w:rsidRPr="00FF2363">
        <w:fldChar w:fldCharType="separate"/>
      </w:r>
      <w:r w:rsidR="00FF2363" w:rsidRPr="00FF2363">
        <w:rPr>
          <w:noProof/>
        </w:rPr>
        <w:t>28</w:t>
      </w:r>
      <w:r w:rsidRPr="00FF2363">
        <w:fldChar w:fldCharType="end"/>
      </w:r>
      <w:bookmarkEnd w:id="9"/>
      <w:r w:rsidRPr="00FF2363">
        <w:t>.  The relevant provisions of this Act read as follows at the relevant time:</w:t>
      </w:r>
    </w:p>
    <w:p w:rsidR="005374AD" w:rsidRPr="00FF2363" w:rsidRDefault="005374AD" w:rsidP="00FF2363">
      <w:pPr>
        <w:pStyle w:val="ECHRTitleCentre3"/>
      </w:pPr>
      <w:r w:rsidRPr="00FF2363">
        <w:t>Section 20 – Procedure for appointing judges to administrative positions</w:t>
      </w:r>
    </w:p>
    <w:p w:rsidR="005374AD" w:rsidRPr="00FF2363" w:rsidRDefault="005374AD" w:rsidP="00FF2363">
      <w:pPr>
        <w:pStyle w:val="ECHRParaQuote"/>
      </w:pPr>
      <w:r w:rsidRPr="00FF2363">
        <w:rPr>
          <w:lang w:bidi="en-US"/>
        </w:rPr>
        <w:t xml:space="preserve">“1. The administrative positions in a court are the positions of president and </w:t>
      </w:r>
      <w:r w:rsidRPr="00FF2363">
        <w:t>deputy president(s) of the court.</w:t>
      </w:r>
    </w:p>
    <w:p w:rsidR="00FA22EE" w:rsidRPr="00FF2363" w:rsidRDefault="005374AD" w:rsidP="00FF2363">
      <w:pPr>
        <w:pStyle w:val="ECHRParaQuote"/>
        <w:rPr>
          <w:lang w:bidi="en-US"/>
        </w:rPr>
      </w:pPr>
      <w:r w:rsidRPr="00FF2363">
        <w:t xml:space="preserve">2. The </w:t>
      </w:r>
      <w:r w:rsidRPr="00FF2363">
        <w:rPr>
          <w:lang w:bidi="en-US"/>
        </w:rPr>
        <w:t>president of ... the court of appeal ... [appointed for a five-year term from among the judges of the same court] may be dismissed from that position by the High Council of Justice on an application by the relevant council of judges.</w:t>
      </w:r>
    </w:p>
    <w:p w:rsidR="005374AD" w:rsidRPr="00FF2363" w:rsidRDefault="005374AD" w:rsidP="00FF2363">
      <w:pPr>
        <w:pStyle w:val="ECHRParaQuote"/>
        <w:rPr>
          <w:lang w:bidi="en-US"/>
        </w:rPr>
      </w:pPr>
      <w:r w:rsidRPr="00FF2363">
        <w:rPr>
          <w:lang w:bidi="en-US"/>
        </w:rPr>
        <w:t>...</w:t>
      </w:r>
    </w:p>
    <w:p w:rsidR="005374AD" w:rsidRPr="00FF2363" w:rsidRDefault="005374AD" w:rsidP="00FF2363">
      <w:pPr>
        <w:pStyle w:val="ECHRParaQuote"/>
        <w:rPr>
          <w:lang w:bidi="en-US"/>
        </w:rPr>
      </w:pPr>
      <w:r w:rsidRPr="00FF2363">
        <w:rPr>
          <w:lang w:bidi="en-US"/>
        </w:rPr>
        <w:t>6. The dismissal of a judge from an administrative position shall not entail removal from his or her judicial post. ...”</w:t>
      </w:r>
    </w:p>
    <w:p w:rsidR="005374AD" w:rsidRPr="00FF2363" w:rsidRDefault="005374AD" w:rsidP="00FF2363">
      <w:pPr>
        <w:pStyle w:val="ECHRTitleCentre3"/>
      </w:pPr>
      <w:r w:rsidRPr="00FF2363">
        <w:lastRenderedPageBreak/>
        <w:t>Section 29 – President of the court of appeal</w:t>
      </w:r>
    </w:p>
    <w:p w:rsidR="005374AD" w:rsidRPr="00FF2363" w:rsidRDefault="005374AD" w:rsidP="00FF2363">
      <w:pPr>
        <w:pStyle w:val="ECHRParaQuote"/>
        <w:rPr>
          <w:lang w:bidi="en-US"/>
        </w:rPr>
      </w:pPr>
      <w:r w:rsidRPr="00FF2363">
        <w:rPr>
          <w:lang w:bidi="en-US"/>
        </w:rPr>
        <w:t>“1. The president of the court of appeal shall:</w:t>
      </w:r>
    </w:p>
    <w:p w:rsidR="005374AD" w:rsidRPr="00FF2363" w:rsidRDefault="005374AD" w:rsidP="00FF2363">
      <w:pPr>
        <w:pStyle w:val="ECHRParaQuote"/>
        <w:rPr>
          <w:lang w:bidi="en-US"/>
        </w:rPr>
      </w:pPr>
      <w:r w:rsidRPr="00FF2363">
        <w:rPr>
          <w:lang w:bidi="en-US"/>
        </w:rPr>
        <w:t>(1) represent the court as a body of State power in relations with other State bodies, local self-government bodies, natural persons and legal entities;</w:t>
      </w:r>
    </w:p>
    <w:p w:rsidR="005374AD" w:rsidRPr="00FF2363" w:rsidRDefault="005374AD" w:rsidP="00FF2363">
      <w:pPr>
        <w:pStyle w:val="ECHRParaQuote"/>
        <w:rPr>
          <w:lang w:bidi="en-US"/>
        </w:rPr>
      </w:pPr>
      <w:r w:rsidRPr="00FF2363">
        <w:rPr>
          <w:lang w:bidi="en-US"/>
        </w:rPr>
        <w:t>(2) determine the administrative powers of the deputy presidents of the court of appeal;</w:t>
      </w:r>
    </w:p>
    <w:p w:rsidR="005374AD" w:rsidRPr="00FF2363" w:rsidRDefault="005374AD" w:rsidP="00FF2363">
      <w:pPr>
        <w:pStyle w:val="ECHRParaQuote"/>
        <w:rPr>
          <w:lang w:bidi="en-US"/>
        </w:rPr>
      </w:pPr>
      <w:r w:rsidRPr="00FF2363">
        <w:rPr>
          <w:lang w:bidi="en-US"/>
        </w:rPr>
        <w:t>(3) monitor the efficiency of the non-judicial staff at the court, and make proposals to the Head of the State Judicial Administration of Ukraine regarding the appointment of the head and deputy head of the non-judicial staff at the court, their dismissal from office and any incentives or disciplinary measures to be applied in respect of them in accordance with the law;</w:t>
      </w:r>
    </w:p>
    <w:p w:rsidR="005374AD" w:rsidRPr="00FF2363" w:rsidRDefault="005374AD" w:rsidP="00FF2363">
      <w:pPr>
        <w:pStyle w:val="ECHRParaQuote"/>
        <w:rPr>
          <w:lang w:bidi="en-US"/>
        </w:rPr>
      </w:pPr>
      <w:r w:rsidRPr="00FF2363">
        <w:rPr>
          <w:lang w:bidi="en-US"/>
        </w:rPr>
        <w:t>(4) issue relevant orders on the basis of decisions on the election or dismissal of a judge;</w:t>
      </w:r>
    </w:p>
    <w:p w:rsidR="005374AD" w:rsidRPr="00FF2363" w:rsidRDefault="005374AD" w:rsidP="00FF2363">
      <w:pPr>
        <w:pStyle w:val="ECHRParaQuote"/>
        <w:rPr>
          <w:lang w:bidi="en-US"/>
        </w:rPr>
      </w:pPr>
      <w:r w:rsidRPr="00FF2363">
        <w:rPr>
          <w:lang w:bidi="en-US"/>
        </w:rPr>
        <w:t>(5) notify, within ten days, the High Qualification Commission of Judges of Ukraine about available vacancies at the court of appeal;</w:t>
      </w:r>
    </w:p>
    <w:p w:rsidR="005374AD" w:rsidRPr="00FF2363" w:rsidRDefault="005374AD" w:rsidP="00FF2363">
      <w:pPr>
        <w:pStyle w:val="ECHRParaQuote"/>
        <w:rPr>
          <w:lang w:bidi="en-US"/>
        </w:rPr>
      </w:pPr>
      <w:r w:rsidRPr="00FF2363">
        <w:rPr>
          <w:lang w:bidi="en-US"/>
        </w:rPr>
        <w:t>(6) ensure the implementation of decisions taken at meetings of judges of the court of appeal;</w:t>
      </w:r>
    </w:p>
    <w:p w:rsidR="005374AD" w:rsidRPr="00FF2363" w:rsidRDefault="005374AD" w:rsidP="00FF2363">
      <w:pPr>
        <w:pStyle w:val="ECHRParaQuote"/>
        <w:rPr>
          <w:lang w:bidi="en-US"/>
        </w:rPr>
      </w:pPr>
      <w:r w:rsidRPr="00FF2363">
        <w:rPr>
          <w:lang w:bidi="en-US"/>
        </w:rPr>
        <w:t>(7) oversee the collection and analysis of judicial statistics, organise the examination and summarising of judicial practice, and provide information and analytical support to judges in order to improve the quality of justice;</w:t>
      </w:r>
    </w:p>
    <w:p w:rsidR="005374AD" w:rsidRPr="00FF2363" w:rsidRDefault="005374AD" w:rsidP="00FF2363">
      <w:pPr>
        <w:pStyle w:val="ECHRParaQuote"/>
        <w:rPr>
          <w:lang w:bidi="en-US"/>
        </w:rPr>
      </w:pPr>
      <w:r w:rsidRPr="00FF2363">
        <w:rPr>
          <w:lang w:bidi="en-US"/>
        </w:rPr>
        <w:t>(8) ensure the ongoing training requirements for judges of the court of appeal;</w:t>
      </w:r>
    </w:p>
    <w:p w:rsidR="005374AD" w:rsidRPr="00FF2363" w:rsidRDefault="005374AD" w:rsidP="00FF2363">
      <w:pPr>
        <w:pStyle w:val="ECHRParaQuote"/>
        <w:rPr>
          <w:lang w:bidi="en-US"/>
        </w:rPr>
      </w:pPr>
      <w:r w:rsidRPr="00FF2363">
        <w:rPr>
          <w:lang w:bidi="en-US"/>
        </w:rPr>
        <w:t>(9) exercise other powers envisaged by law.”</w:t>
      </w:r>
    </w:p>
    <w:p w:rsidR="005374AD" w:rsidRPr="00FF2363" w:rsidRDefault="005374AD" w:rsidP="00FF2363">
      <w:pPr>
        <w:pStyle w:val="ECHRTitleCentre3"/>
      </w:pPr>
      <w:r w:rsidRPr="00FF2363">
        <w:t>Section 113 – Objectives of judicial self-governance</w:t>
      </w:r>
    </w:p>
    <w:p w:rsidR="005374AD" w:rsidRPr="00FF2363" w:rsidRDefault="005374AD" w:rsidP="00FF2363">
      <w:pPr>
        <w:pStyle w:val="ECHRParaQuote"/>
        <w:rPr>
          <w:lang w:bidi="en-US"/>
        </w:rPr>
      </w:pPr>
      <w:r w:rsidRPr="00FF2363">
        <w:rPr>
          <w:lang w:bidi="en-US"/>
        </w:rPr>
        <w:t>“1. Judicial self-governance shall be established in Ukraine as a means of independent collective resolution by judges of issues relating to the internal activity of the courts. ...”</w:t>
      </w:r>
    </w:p>
    <w:p w:rsidR="005374AD" w:rsidRPr="00FF2363" w:rsidRDefault="005374AD" w:rsidP="00FF2363">
      <w:pPr>
        <w:pStyle w:val="ECHRTitleCentre3"/>
      </w:pPr>
      <w:r w:rsidRPr="00FF2363">
        <w:t>Section 114 – Organisational forms of judicial self-governance</w:t>
      </w:r>
    </w:p>
    <w:p w:rsidR="005374AD" w:rsidRPr="00FF2363" w:rsidRDefault="005374AD" w:rsidP="00FF2363">
      <w:pPr>
        <w:pStyle w:val="ECHRParaQuote"/>
        <w:rPr>
          <w:lang w:bidi="en-US"/>
        </w:rPr>
      </w:pPr>
      <w:r w:rsidRPr="00FF2363">
        <w:rPr>
          <w:lang w:bidi="en-US"/>
        </w:rPr>
        <w:t>“1. The organisational forms of judicial self-governance shall be the meetings of judges, the councils of judges, the conferences of judges, and the Assembly of Judges of Ukraine. ...”</w:t>
      </w:r>
    </w:p>
    <w:p w:rsidR="005374AD" w:rsidRPr="00FF2363" w:rsidRDefault="005374AD" w:rsidP="00FF2363">
      <w:pPr>
        <w:pStyle w:val="ECHRTitleCentre3"/>
      </w:pPr>
      <w:r w:rsidRPr="00FF2363">
        <w:t>Section 115 – Meetings of judges</w:t>
      </w:r>
    </w:p>
    <w:p w:rsidR="005374AD" w:rsidRPr="00FF2363" w:rsidRDefault="005374AD" w:rsidP="00FF2363">
      <w:pPr>
        <w:pStyle w:val="ECHRParaQuote"/>
        <w:rPr>
          <w:lang w:bidi="en-US"/>
        </w:rPr>
      </w:pPr>
      <w:r w:rsidRPr="00FF2363">
        <w:rPr>
          <w:lang w:bidi="en-US"/>
        </w:rPr>
        <w:t>“... 2. Meetings of judges [of a court] shall be convened by the president of the court on his own initiative or at the request of at least one-third of the judicial staff of the court. ...”</w:t>
      </w:r>
    </w:p>
    <w:p w:rsidR="005374AD" w:rsidRPr="00FF2363" w:rsidRDefault="005374AD" w:rsidP="00FF2363">
      <w:pPr>
        <w:pStyle w:val="ECHRTitleCentre3"/>
      </w:pPr>
      <w:r w:rsidRPr="00FF2363">
        <w:t>Section 122 – Councils of judges</w:t>
      </w:r>
    </w:p>
    <w:p w:rsidR="005374AD" w:rsidRPr="00FF2363" w:rsidRDefault="005374AD" w:rsidP="00FF2363">
      <w:pPr>
        <w:pStyle w:val="ECHRParaQuote"/>
        <w:rPr>
          <w:lang w:bidi="en-US"/>
        </w:rPr>
      </w:pPr>
      <w:r w:rsidRPr="00FF2363">
        <w:rPr>
          <w:lang w:bidi="en-US"/>
        </w:rPr>
        <w:t>“1. In the period between conferences of judges the functions of judicial self-governance shall be performed by the relevant council of judges. ...</w:t>
      </w:r>
    </w:p>
    <w:p w:rsidR="005374AD" w:rsidRPr="00FF2363" w:rsidRDefault="005374AD" w:rsidP="00FF2363">
      <w:pPr>
        <w:pStyle w:val="ECHRParaQuote"/>
        <w:rPr>
          <w:lang w:bidi="en-US"/>
        </w:rPr>
      </w:pPr>
      <w:r w:rsidRPr="00FF2363">
        <w:rPr>
          <w:lang w:bidi="en-US"/>
        </w:rPr>
        <w:t>3. The council of judges shall be composed of eleven judges ...</w:t>
      </w:r>
    </w:p>
    <w:p w:rsidR="005374AD" w:rsidRPr="00FF2363" w:rsidRDefault="005374AD" w:rsidP="00FF2363">
      <w:pPr>
        <w:pStyle w:val="ECHRParaQuote"/>
        <w:rPr>
          <w:lang w:bidi="en-US"/>
        </w:rPr>
      </w:pPr>
      <w:r w:rsidRPr="00FF2363">
        <w:rPr>
          <w:lang w:bidi="en-US"/>
        </w:rPr>
        <w:t>6. The council of judges shall:</w:t>
      </w:r>
    </w:p>
    <w:p w:rsidR="00835569" w:rsidRPr="00FF2363" w:rsidRDefault="005374AD" w:rsidP="00FF2363">
      <w:pPr>
        <w:pStyle w:val="ECHRParaQuote"/>
        <w:rPr>
          <w:lang w:bidi="en-US"/>
        </w:rPr>
      </w:pPr>
      <w:r w:rsidRPr="00FF2363">
        <w:rPr>
          <w:lang w:bidi="en-US"/>
        </w:rPr>
        <w:lastRenderedPageBreak/>
        <w:t>(1) oversee the organisation of the functioning of the relevant courts, examine reports on those issues by presidents of courts ...;</w:t>
      </w:r>
    </w:p>
    <w:p w:rsidR="005374AD" w:rsidRPr="00FF2363" w:rsidRDefault="005374AD" w:rsidP="00FF2363">
      <w:pPr>
        <w:pStyle w:val="ECHRParaQuote"/>
        <w:rPr>
          <w:lang w:bidi="en-US"/>
        </w:rPr>
      </w:pPr>
      <w:r w:rsidRPr="00FF2363">
        <w:rPr>
          <w:lang w:bidi="en-US"/>
        </w:rPr>
        <w:t>...</w:t>
      </w:r>
    </w:p>
    <w:p w:rsidR="005374AD" w:rsidRPr="00FF2363" w:rsidRDefault="005374AD" w:rsidP="00FF2363">
      <w:pPr>
        <w:pStyle w:val="ECHRParaQuote"/>
        <w:rPr>
          <w:lang w:bidi="en-US"/>
        </w:rPr>
      </w:pPr>
      <w:r w:rsidRPr="00FF2363">
        <w:rPr>
          <w:lang w:bidi="en-US"/>
        </w:rPr>
        <w:t>(3) make submissions to the High Council of Justice on the appointment of judges to administrative positions at the courts and their dismissal from such positions; ...”</w:t>
      </w:r>
    </w:p>
    <w:p w:rsidR="005374AD" w:rsidRPr="00FF2363" w:rsidRDefault="005374AD" w:rsidP="00FF2363">
      <w:pPr>
        <w:pStyle w:val="ECHRHeading2"/>
        <w:rPr>
          <w:lang w:bidi="en-US"/>
        </w:rPr>
      </w:pPr>
      <w:r w:rsidRPr="00FF2363">
        <w:rPr>
          <w:lang w:bidi="en-US"/>
        </w:rPr>
        <w:t>D.</w:t>
      </w:r>
      <w:r w:rsidR="0045551C" w:rsidRPr="00FF2363">
        <w:rPr>
          <w:lang w:bidi="en-US"/>
        </w:rPr>
        <w:t>  </w:t>
      </w:r>
      <w:r w:rsidRPr="00FF2363">
        <w:rPr>
          <w:lang w:bidi="en-US"/>
        </w:rPr>
        <w:t xml:space="preserve">The High Council of Justice Act </w:t>
      </w:r>
      <w:r w:rsidRPr="00FF2363">
        <w:t>of 15 January 1998 (in force at the relevant time)</w:t>
      </w:r>
    </w:p>
    <w:p w:rsidR="005374AD" w:rsidRPr="00FF2363" w:rsidRDefault="005374AD" w:rsidP="00FF2363">
      <w:pPr>
        <w:pStyle w:val="JuParaSub"/>
        <w:ind w:left="0"/>
        <w:rPr>
          <w:lang w:bidi="en-US"/>
        </w:rPr>
      </w:pPr>
      <w:r w:rsidRPr="00FF2363">
        <w:rPr>
          <w:lang w:bidi="en-US"/>
        </w:rPr>
        <w:fldChar w:fldCharType="begin"/>
      </w:r>
      <w:r w:rsidRPr="00FF2363">
        <w:rPr>
          <w:lang w:bidi="en-US"/>
        </w:rPr>
        <w:instrText xml:space="preserve"> SEQ level0 \*arabic </w:instrText>
      </w:r>
      <w:r w:rsidRPr="00FF2363">
        <w:rPr>
          <w:lang w:bidi="en-US"/>
        </w:rPr>
        <w:fldChar w:fldCharType="separate"/>
      </w:r>
      <w:r w:rsidR="00FF2363" w:rsidRPr="00FF2363">
        <w:rPr>
          <w:noProof/>
          <w:lang w:bidi="en-US"/>
        </w:rPr>
        <w:t>29</w:t>
      </w:r>
      <w:r w:rsidRPr="00FF2363">
        <w:rPr>
          <w:lang w:bidi="en-US"/>
        </w:rPr>
        <w:fldChar w:fldCharType="end"/>
      </w:r>
      <w:r w:rsidRPr="00FF2363">
        <w:rPr>
          <w:lang w:bidi="en-US"/>
        </w:rPr>
        <w:t>.  The relevant provisions of this law read as follows at the material time:</w:t>
      </w:r>
    </w:p>
    <w:p w:rsidR="005374AD" w:rsidRPr="00FF2363" w:rsidRDefault="005374AD" w:rsidP="00FF2363">
      <w:pPr>
        <w:pStyle w:val="ECHRTitleCentre3"/>
      </w:pPr>
      <w:r w:rsidRPr="00FF2363">
        <w:t>Section 3 – Powers of the High Council of Justice</w:t>
      </w:r>
    </w:p>
    <w:p w:rsidR="005374AD" w:rsidRPr="00FF2363" w:rsidRDefault="005374AD" w:rsidP="00FF2363">
      <w:pPr>
        <w:pStyle w:val="ECHRParaQuote"/>
        <w:rPr>
          <w:lang w:bidi="en-US"/>
        </w:rPr>
      </w:pPr>
      <w:r w:rsidRPr="00FF2363">
        <w:rPr>
          <w:lang w:bidi="en-US"/>
        </w:rPr>
        <w:t>“ The High Council of Justice shall:</w:t>
      </w:r>
    </w:p>
    <w:p w:rsidR="00F93E81" w:rsidRPr="00FF2363" w:rsidRDefault="005374AD" w:rsidP="00FF2363">
      <w:pPr>
        <w:pStyle w:val="ECHRParaQuote"/>
        <w:rPr>
          <w:lang w:bidi="en-US"/>
        </w:rPr>
      </w:pPr>
      <w:r w:rsidRPr="00FF2363">
        <w:rPr>
          <w:lang w:bidi="en-US"/>
        </w:rPr>
        <w:t>...</w:t>
      </w:r>
    </w:p>
    <w:p w:rsidR="00F93E81" w:rsidRPr="00FF2363" w:rsidRDefault="005374AD" w:rsidP="00FF2363">
      <w:pPr>
        <w:pStyle w:val="ECHRParaQuote"/>
        <w:rPr>
          <w:lang w:bidi="en-US"/>
        </w:rPr>
      </w:pPr>
      <w:r w:rsidRPr="00FF2363">
        <w:rPr>
          <w:lang w:bidi="en-US"/>
        </w:rPr>
        <w:t xml:space="preserve">(1-1) following the submission of a proposal by the relevant council of judges, </w:t>
      </w:r>
      <w:r w:rsidR="00835569" w:rsidRPr="00FF2363">
        <w:rPr>
          <w:lang w:bidi="en-US"/>
        </w:rPr>
        <w:t>...</w:t>
      </w:r>
      <w:r w:rsidRPr="00FF2363">
        <w:rPr>
          <w:lang w:bidi="en-US"/>
        </w:rPr>
        <w:t xml:space="preserve"> dismiss judges from the positions of president and deputy president of courts </w:t>
      </w:r>
      <w:r w:rsidR="00835569" w:rsidRPr="00FF2363">
        <w:rPr>
          <w:lang w:bidi="en-US"/>
        </w:rPr>
        <w:t>...</w:t>
      </w:r>
      <w:r w:rsidRPr="00FF2363">
        <w:rPr>
          <w:lang w:bidi="en-US"/>
        </w:rPr>
        <w:t>;</w:t>
      </w:r>
    </w:p>
    <w:p w:rsidR="005374AD" w:rsidRPr="00FF2363" w:rsidRDefault="005374AD" w:rsidP="00FF2363">
      <w:pPr>
        <w:pStyle w:val="ECHRParaQuote"/>
        <w:rPr>
          <w:lang w:bidi="en-US"/>
        </w:rPr>
      </w:pPr>
      <w:r w:rsidRPr="00FF2363">
        <w:rPr>
          <w:lang w:bidi="en-US"/>
        </w:rPr>
        <w:t>...”</w:t>
      </w:r>
    </w:p>
    <w:p w:rsidR="005374AD" w:rsidRPr="00FF2363" w:rsidRDefault="005374AD" w:rsidP="00FF2363">
      <w:pPr>
        <w:pStyle w:val="ECHRTitleCentre3"/>
      </w:pPr>
      <w:r w:rsidRPr="00FF2363">
        <w:t>Section 32-1 – Dismissal of judges from the positions of president and deputy president of a court</w:t>
      </w:r>
    </w:p>
    <w:p w:rsidR="005374AD" w:rsidRPr="00FF2363" w:rsidRDefault="005374AD" w:rsidP="00FF2363">
      <w:pPr>
        <w:pStyle w:val="ECHRParaQuote"/>
      </w:pPr>
      <w:r w:rsidRPr="00FF2363">
        <w:rPr>
          <w:lang w:bidi="en-US"/>
        </w:rPr>
        <w:t>“...</w:t>
      </w:r>
      <w:r w:rsidR="001A4ACF" w:rsidRPr="00FF2363">
        <w:rPr>
          <w:lang w:bidi="en-US"/>
        </w:rPr>
        <w:t xml:space="preserve"> </w:t>
      </w:r>
      <w:r w:rsidRPr="00FF2363">
        <w:t>The question of dismissing the president or deputy president of a court shall be examined at a hearing of the High Council of Justice, following the submission of a proposal by the relevant specialised council of judges. The president or deputy president of the court concerned shall be invited to attend the hearing. If the president or deputy president of the court cannot participate in the hearing for a valid reason, he or she shall be entitled to make written submissions, which shall be included in the case file. The written submissions by the judge shall be read out at the hearing before the High Council of Justice. A second failure on the part of the president or deputy president of the court to attend a hearing shall be grounds for considering the case in his or her absence.</w:t>
      </w:r>
    </w:p>
    <w:p w:rsidR="005374AD" w:rsidRPr="00FF2363" w:rsidRDefault="005374AD" w:rsidP="00FF2363">
      <w:pPr>
        <w:pStyle w:val="ECHRParaQuote"/>
        <w:rPr>
          <w:lang w:bidi="en-US"/>
        </w:rPr>
      </w:pPr>
      <w:r w:rsidRPr="00FF2363">
        <w:t>A decision of the High Council of Justice to dismiss the president or deputy president of a court shall be taken by a majority of the constitutional composition of the High Council of Justice.”</w:t>
      </w:r>
    </w:p>
    <w:p w:rsidR="005374AD" w:rsidRPr="00FF2363" w:rsidRDefault="005374AD" w:rsidP="00FF2363">
      <w:pPr>
        <w:pStyle w:val="JuParaSub"/>
        <w:ind w:left="0"/>
        <w:rPr>
          <w:lang w:bidi="en-US"/>
        </w:rPr>
      </w:pPr>
      <w:r w:rsidRPr="00FF2363">
        <w:rPr>
          <w:lang w:bidi="en-US"/>
        </w:rPr>
        <w:fldChar w:fldCharType="begin"/>
      </w:r>
      <w:r w:rsidRPr="00FF2363">
        <w:rPr>
          <w:lang w:bidi="en-US"/>
        </w:rPr>
        <w:instrText xml:space="preserve"> SEQ level0 \*arabic </w:instrText>
      </w:r>
      <w:r w:rsidRPr="00FF2363">
        <w:rPr>
          <w:lang w:bidi="en-US"/>
        </w:rPr>
        <w:fldChar w:fldCharType="separate"/>
      </w:r>
      <w:r w:rsidR="00FF2363" w:rsidRPr="00FF2363">
        <w:rPr>
          <w:noProof/>
          <w:lang w:bidi="en-US"/>
        </w:rPr>
        <w:t>30</w:t>
      </w:r>
      <w:r w:rsidRPr="00FF2363">
        <w:rPr>
          <w:lang w:bidi="en-US"/>
        </w:rPr>
        <w:fldChar w:fldCharType="end"/>
      </w:r>
      <w:r w:rsidRPr="00FF2363">
        <w:rPr>
          <w:lang w:bidi="en-US"/>
        </w:rPr>
        <w:t xml:space="preserve">.  Other relevant provisions of this Act can be found in the judgment in the case of </w:t>
      </w:r>
      <w:r w:rsidRPr="00FF2363">
        <w:rPr>
          <w:i/>
          <w:lang w:bidi="en-US"/>
        </w:rPr>
        <w:t>Oleksandr Volkov v. Ukraine</w:t>
      </w:r>
      <w:r w:rsidRPr="00FF2363">
        <w:rPr>
          <w:lang w:bidi="en-US"/>
        </w:rPr>
        <w:t xml:space="preserve"> (</w:t>
      </w:r>
      <w:r w:rsidRPr="00FF2363">
        <w:rPr>
          <w:rFonts w:ascii="Times New Roman" w:hAnsi="Times New Roman" w:cs="Times New Roman"/>
          <w:szCs w:val="24"/>
        </w:rPr>
        <w:t>no. 21722/11, §§ 65-71, ECHR 2013</w:t>
      </w:r>
      <w:r w:rsidRPr="00FF2363">
        <w:rPr>
          <w:lang w:bidi="en-US"/>
        </w:rPr>
        <w:t>).</w:t>
      </w:r>
    </w:p>
    <w:p w:rsidR="005374AD" w:rsidRPr="00FF2363" w:rsidRDefault="005374AD" w:rsidP="00FF2363">
      <w:pPr>
        <w:pStyle w:val="ECHRHeading2"/>
        <w:rPr>
          <w:lang w:bidi="en-US"/>
        </w:rPr>
      </w:pPr>
      <w:r w:rsidRPr="00FF2363">
        <w:rPr>
          <w:lang w:bidi="en-US"/>
        </w:rPr>
        <w:t>E.</w:t>
      </w:r>
      <w:r w:rsidR="001B1405" w:rsidRPr="00FF2363">
        <w:rPr>
          <w:lang w:bidi="en-US"/>
        </w:rPr>
        <w:t> </w:t>
      </w:r>
      <w:r w:rsidRPr="00FF2363">
        <w:rPr>
          <w:lang w:bidi="en-US"/>
        </w:rPr>
        <w:t>Rules of the HCJ of 4 October 2010 (in force at the relevant time)</w:t>
      </w:r>
    </w:p>
    <w:p w:rsidR="005374AD" w:rsidRPr="00FF2363" w:rsidRDefault="005374AD" w:rsidP="00FF2363">
      <w:pPr>
        <w:pStyle w:val="JuParaSub"/>
        <w:ind w:left="0"/>
      </w:pPr>
      <w:r w:rsidRPr="00FF2363">
        <w:rPr>
          <w:lang w:bidi="en-US"/>
        </w:rPr>
        <w:fldChar w:fldCharType="begin"/>
      </w:r>
      <w:r w:rsidRPr="00FF2363">
        <w:rPr>
          <w:lang w:bidi="en-US"/>
        </w:rPr>
        <w:instrText xml:space="preserve"> SEQ level0 \*arabic </w:instrText>
      </w:r>
      <w:r w:rsidRPr="00FF2363">
        <w:rPr>
          <w:lang w:bidi="en-US"/>
        </w:rPr>
        <w:fldChar w:fldCharType="separate"/>
      </w:r>
      <w:r w:rsidR="00FF2363" w:rsidRPr="00FF2363">
        <w:rPr>
          <w:noProof/>
          <w:lang w:bidi="en-US"/>
        </w:rPr>
        <w:t>31</w:t>
      </w:r>
      <w:r w:rsidRPr="00FF2363">
        <w:rPr>
          <w:lang w:bidi="en-US"/>
        </w:rPr>
        <w:fldChar w:fldCharType="end"/>
      </w:r>
      <w:r w:rsidRPr="00FF2363">
        <w:rPr>
          <w:lang w:bidi="en-US"/>
        </w:rPr>
        <w:t xml:space="preserve">.  Paragraph 3.2 (1) of the Rules provided that a judge could be dismissed from the position of president or </w:t>
      </w:r>
      <w:r w:rsidRPr="00FF2363">
        <w:t>deputy president of a court by the HCJ following the submission of a proposal by the relevant council of judges.</w:t>
      </w:r>
    </w:p>
    <w:p w:rsidR="005374AD" w:rsidRPr="00FF2363" w:rsidRDefault="005374AD" w:rsidP="00FF2363">
      <w:pPr>
        <w:pStyle w:val="JuParaSub"/>
        <w:ind w:left="0"/>
        <w:rPr>
          <w:lang w:val="en-US"/>
        </w:rPr>
      </w:pPr>
      <w:r w:rsidRPr="00FF2363">
        <w:lastRenderedPageBreak/>
        <w:fldChar w:fldCharType="begin"/>
      </w:r>
      <w:r w:rsidRPr="00FF2363">
        <w:instrText xml:space="preserve"> SEQ level0 \*arabic </w:instrText>
      </w:r>
      <w:r w:rsidRPr="00FF2363">
        <w:fldChar w:fldCharType="separate"/>
      </w:r>
      <w:r w:rsidR="00FF2363" w:rsidRPr="00FF2363">
        <w:rPr>
          <w:noProof/>
        </w:rPr>
        <w:t>32</w:t>
      </w:r>
      <w:r w:rsidRPr="00FF2363">
        <w:fldChar w:fldCharType="end"/>
      </w:r>
      <w:r w:rsidRPr="00FF2363">
        <w:t>.  Paragraph 3.2 (2) of the Rules provided the following grounds for the dismissal of a judge from an administrative position: (i)</w:t>
      </w:r>
      <w:r w:rsidR="001B1405" w:rsidRPr="00FF2363">
        <w:t> </w:t>
      </w:r>
      <w:r w:rsidRPr="00FF2363">
        <w:t>dismissal from the judiciary; (ii) submission of a statement of resignation from the administrative position; (iii) expiry of the period of appointment to the administrative position; (iv) transfer of the judge to another court; (v) breach of official duties.</w:t>
      </w:r>
    </w:p>
    <w:p w:rsidR="00F31AD6" w:rsidRPr="00FF2363" w:rsidRDefault="00F31AD6" w:rsidP="00FF2363">
      <w:pPr>
        <w:pStyle w:val="ECHRHeading1"/>
      </w:pPr>
      <w:r w:rsidRPr="00FF2363">
        <w:t>III.</w:t>
      </w:r>
      <w:r w:rsidR="00BC6A7C" w:rsidRPr="00FF2363">
        <w:t>  </w:t>
      </w:r>
      <w:r w:rsidR="00641574" w:rsidRPr="00FF2363">
        <w:t>RELEVANT INTERNATIONAL MATERIAL</w:t>
      </w:r>
      <w:r w:rsidR="00384622" w:rsidRPr="00FF2363">
        <w:t>S</w:t>
      </w:r>
    </w:p>
    <w:p w:rsidR="00C43962" w:rsidRPr="00FF2363" w:rsidRDefault="00C43962"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33</w:t>
      </w:r>
      <w:r w:rsidRPr="00FF2363">
        <w:fldChar w:fldCharType="end"/>
      </w:r>
      <w:r w:rsidRPr="00FF2363">
        <w:t>.  The relevant extract</w:t>
      </w:r>
      <w:r w:rsidR="003E0BF1" w:rsidRPr="00FF2363">
        <w:t>s</w:t>
      </w:r>
      <w:r w:rsidRPr="00FF2363">
        <w:t xml:space="preserve"> from the European Charter on the statute for judges (Department of Legal Affairs of the Council of Europe, 8-10</w:t>
      </w:r>
      <w:r w:rsidR="001B1405" w:rsidRPr="00FF2363">
        <w:t> </w:t>
      </w:r>
      <w:r w:rsidRPr="00FF2363">
        <w:t>July 1998</w:t>
      </w:r>
      <w:r w:rsidR="002309D7" w:rsidRPr="00FF2363">
        <w:t>,</w:t>
      </w:r>
      <w:r w:rsidRPr="00FF2363">
        <w:t xml:space="preserve"> DAJ/DOC (98)23) read:</w:t>
      </w:r>
    </w:p>
    <w:p w:rsidR="00227120" w:rsidRPr="00FF2363" w:rsidRDefault="00C43962" w:rsidP="00FF2363">
      <w:pPr>
        <w:pStyle w:val="ECHRParaQuote"/>
      </w:pPr>
      <w:r w:rsidRPr="00FF2363">
        <w:t>“</w:t>
      </w:r>
      <w:r w:rsidR="00227120" w:rsidRPr="00FF2363">
        <w:rPr>
          <w:i/>
        </w:rPr>
        <w:t>1.</w:t>
      </w:r>
      <w:r w:rsidR="0068093E" w:rsidRPr="00FF2363">
        <w:rPr>
          <w:i/>
        </w:rPr>
        <w:t xml:space="preserve"> </w:t>
      </w:r>
      <w:r w:rsidR="00227120" w:rsidRPr="00FF2363">
        <w:rPr>
          <w:i/>
        </w:rPr>
        <w:t>General Principles</w:t>
      </w:r>
    </w:p>
    <w:p w:rsidR="00227120" w:rsidRPr="00FF2363" w:rsidRDefault="00F93E81" w:rsidP="00FF2363">
      <w:pPr>
        <w:pStyle w:val="ECHRParaQuote"/>
      </w:pPr>
      <w:r w:rsidRPr="00FF2363">
        <w:t>...</w:t>
      </w:r>
    </w:p>
    <w:p w:rsidR="00227120" w:rsidRPr="00FF2363" w:rsidRDefault="00227120" w:rsidP="00FF2363">
      <w:pPr>
        <w:pStyle w:val="ECHRParaQuote"/>
      </w:pPr>
      <w:r w:rsidRPr="00FF2363">
        <w:t>1.3. In respect of every decision affecting the selection, recruitment, appointment, career progress or termination of office of a judge, the statute envisages the intervention of an authority independent of the executive and legislative powers within which at least one half of those who sit are judges elected by their peers following methods guaranteeing the widest representation of the judiciary.</w:t>
      </w:r>
    </w:p>
    <w:p w:rsidR="00227120" w:rsidRPr="00FF2363" w:rsidRDefault="00F93E81" w:rsidP="00FF2363">
      <w:pPr>
        <w:pStyle w:val="ECHRParaQuote"/>
      </w:pPr>
      <w:r w:rsidRPr="00FF2363">
        <w:t>...</w:t>
      </w:r>
    </w:p>
    <w:p w:rsidR="00227120" w:rsidRPr="00FF2363" w:rsidRDefault="00227120" w:rsidP="00FF2363">
      <w:pPr>
        <w:pStyle w:val="ECHRParaQuote"/>
        <w:rPr>
          <w:i/>
        </w:rPr>
      </w:pPr>
      <w:r w:rsidRPr="00FF2363">
        <w:rPr>
          <w:i/>
        </w:rPr>
        <w:t>5. Liability</w:t>
      </w:r>
    </w:p>
    <w:p w:rsidR="00C43962" w:rsidRPr="00FF2363" w:rsidRDefault="00C43962" w:rsidP="00FF2363">
      <w:pPr>
        <w:pStyle w:val="ECHRParaQuote"/>
      </w:pPr>
      <w:r w:rsidRPr="00FF2363">
        <w:t>5.1. The dereliction by a judge of one of the duties expressly defined by the statute, may only give rise to a sanction upon the decision, following the proposal, the recommendation, or with the agreement of a tribunal or authority composed at least as to one half of elected judges, within the framework of proceedings of a character involving the full hearing of the parties, in which the judge proceeded against must be entitled to representation. The scale of sanctions which may be imposed is set out in the statute, and their imposition is subject to the principle of proportionality. The decision of an executive authority, of a tribunal, or of an authority pronouncing a sanction, as envisaged herein, is open to an appeal to a higher judicial authority.”</w:t>
      </w:r>
    </w:p>
    <w:p w:rsidR="00B40E8B" w:rsidRPr="00FF2363" w:rsidRDefault="00443D28"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34</w:t>
      </w:r>
      <w:r w:rsidRPr="00FF2363">
        <w:fldChar w:fldCharType="end"/>
      </w:r>
      <w:r w:rsidRPr="00FF2363">
        <w:t>.  </w:t>
      </w:r>
      <w:r w:rsidR="00B40E8B" w:rsidRPr="00FF2363">
        <w:t xml:space="preserve">In the conclusions to its </w:t>
      </w:r>
      <w:r w:rsidR="002309D7" w:rsidRPr="00FF2363">
        <w:t>“R</w:t>
      </w:r>
      <w:r w:rsidR="00B40E8B" w:rsidRPr="00FF2363">
        <w:t>eport on the Independence of the Judicial System</w:t>
      </w:r>
      <w:r w:rsidR="002309D7" w:rsidRPr="00FF2363">
        <w:t>,</w:t>
      </w:r>
      <w:r w:rsidR="00B40E8B" w:rsidRPr="00FF2363">
        <w:t xml:space="preserve"> Part I: The Independence of Judges</w:t>
      </w:r>
      <w:r w:rsidR="002309D7" w:rsidRPr="00FF2363">
        <w:t>”</w:t>
      </w:r>
      <w:r w:rsidR="00B40E8B" w:rsidRPr="00FF2363">
        <w:t>, adopted at its 82nd plenary session on 12 and 13 March 2010 (CDL-AD(2010)004), the Venice Commission found as follows:</w:t>
      </w:r>
    </w:p>
    <w:p w:rsidR="006F6C5D" w:rsidRPr="00FF2363" w:rsidRDefault="00B40E8B" w:rsidP="00FF2363">
      <w:pPr>
        <w:pStyle w:val="ECHRParaQuote"/>
        <w:rPr>
          <w:lang w:val="uk-UA"/>
        </w:rPr>
      </w:pPr>
      <w:r w:rsidRPr="00FF2363">
        <w:t>“</w:t>
      </w:r>
      <w:r w:rsidR="00227120" w:rsidRPr="00FF2363">
        <w:t>82</w:t>
      </w:r>
      <w:r w:rsidR="00667F9B" w:rsidRPr="00FF2363">
        <w:t xml:space="preserve">. The </w:t>
      </w:r>
      <w:r w:rsidR="006F6C5D" w:rsidRPr="00FF2363">
        <w:t>following standards should be respected by states in order to ensure internal and external judicial independence:</w:t>
      </w:r>
    </w:p>
    <w:p w:rsidR="00667F9B" w:rsidRPr="00FF2363" w:rsidRDefault="00F93E81" w:rsidP="00FF2363">
      <w:pPr>
        <w:pStyle w:val="ECHRParaQuote"/>
        <w:rPr>
          <w:lang w:val="uk-UA"/>
        </w:rPr>
      </w:pPr>
      <w:r w:rsidRPr="00FF2363">
        <w:rPr>
          <w:lang w:val="uk-UA"/>
        </w:rPr>
        <w:t>...</w:t>
      </w:r>
    </w:p>
    <w:p w:rsidR="00B40E8B" w:rsidRPr="00FF2363" w:rsidRDefault="00B40E8B" w:rsidP="00FF2363">
      <w:pPr>
        <w:pStyle w:val="ECHRParaQuote"/>
      </w:pPr>
      <w:r w:rsidRPr="00FF2363">
        <w:t xml:space="preserve">4. It is an appropriate method for guaranteeing the independence of the judiciary that an independent judicial council have decisive influence on decisions on the appointment and career of judges. While respecting the variety of legal systems existing, the Venice Commission recommends that states not yet having done so consider the establishment of an independent judicial council. In all cases the council should have a pluralistic composition, with a substantial part if not the majority of the </w:t>
      </w:r>
      <w:r w:rsidRPr="00FF2363">
        <w:lastRenderedPageBreak/>
        <w:t>members being judges. With the exception of ex-officio members these judges should be elected or appointed by their peers.</w:t>
      </w:r>
    </w:p>
    <w:p w:rsidR="00F93E81" w:rsidRPr="00FF2363" w:rsidRDefault="00F93E81" w:rsidP="00FF2363">
      <w:pPr>
        <w:pStyle w:val="ECHRParaQuote"/>
      </w:pPr>
      <w:r w:rsidRPr="00FF2363">
        <w:t>...</w:t>
      </w:r>
    </w:p>
    <w:p w:rsidR="0080081C" w:rsidRPr="00FF2363" w:rsidRDefault="00B40E8B" w:rsidP="00FF2363">
      <w:pPr>
        <w:pStyle w:val="ECHRParaQuote"/>
      </w:pPr>
      <w:r w:rsidRPr="00FF2363">
        <w:t xml:space="preserve">6. Judicial councils, or disciplinary courts, should have a decisive influence in disciplinary proceedings. The possibility of an appeal to a court against decisions of disciplinary bodies should be provided for. </w:t>
      </w:r>
      <w:r w:rsidR="00F93E81" w:rsidRPr="00FF2363">
        <w:t>...</w:t>
      </w:r>
      <w:r w:rsidRPr="00FF2363">
        <w:t>”</w:t>
      </w:r>
    </w:p>
    <w:p w:rsidR="00581F8E" w:rsidRPr="00FF2363" w:rsidRDefault="005140D0"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35</w:t>
      </w:r>
      <w:r w:rsidRPr="00FF2363">
        <w:fldChar w:fldCharType="end"/>
      </w:r>
      <w:r w:rsidRPr="00FF2363">
        <w:t>.  </w:t>
      </w:r>
      <w:r w:rsidR="00581F8E" w:rsidRPr="00FF2363">
        <w:t>The relevant parts of Recommendation CM/Rec(2010)12 of the Committee of Ministers to member States on judges: independence, efficiency and responsibilities (adopted by the Committee of Ministers on 17 November 2010 at the 1098th meeting of the Ministers</w:t>
      </w:r>
      <w:r w:rsidR="00FF2363" w:rsidRPr="00FF2363">
        <w:t>’</w:t>
      </w:r>
      <w:r w:rsidR="00581F8E" w:rsidRPr="00FF2363">
        <w:t xml:space="preserve"> Deputies) read as follows:</w:t>
      </w:r>
    </w:p>
    <w:p w:rsidR="00581F8E" w:rsidRPr="00FF2363" w:rsidRDefault="00581F8E" w:rsidP="00FF2363">
      <w:pPr>
        <w:pStyle w:val="ECHRParaQuote"/>
      </w:pPr>
      <w:r w:rsidRPr="00FF2363">
        <w:t>“</w:t>
      </w:r>
      <w:r w:rsidRPr="00FF2363">
        <w:rPr>
          <w:i/>
        </w:rPr>
        <w:t>Chapter IV – Councils for the judiciary</w:t>
      </w:r>
    </w:p>
    <w:p w:rsidR="00581F8E" w:rsidRPr="00FF2363" w:rsidRDefault="00581F8E" w:rsidP="00FF2363">
      <w:pPr>
        <w:pStyle w:val="ECHRParaQuote"/>
      </w:pPr>
      <w:r w:rsidRPr="00FF2363">
        <w:t>26. Councils for the judiciary are independent bodies, established by law or under the constitution, that seek to safeguard the independence of the judiciary and of individual judges and thereby to promote the efficient functioning of the judicial system.</w:t>
      </w:r>
    </w:p>
    <w:p w:rsidR="00581F8E" w:rsidRPr="00FF2363" w:rsidRDefault="00581F8E" w:rsidP="00FF2363">
      <w:pPr>
        <w:pStyle w:val="ECHRParaQuote"/>
      </w:pPr>
      <w:r w:rsidRPr="00FF2363">
        <w:t>27. Not less than half the members of such councils should be judges chosen by their peers from all levels of the judiciary and with respect for pluralism inside the judiciary.</w:t>
      </w:r>
    </w:p>
    <w:p w:rsidR="00F93E81" w:rsidRPr="00FF2363" w:rsidRDefault="00581F8E" w:rsidP="00FF2363">
      <w:pPr>
        <w:pStyle w:val="ECHRParaQuote"/>
      </w:pPr>
      <w:r w:rsidRPr="00FF2363">
        <w:t>28. Councils for the judiciary should demonstrate the highest degree of transparency towards judges and society by developing pre-established procedures and reasoned decisions</w:t>
      </w:r>
      <w:r w:rsidR="007312E0" w:rsidRPr="00FF2363">
        <w:t>.</w:t>
      </w:r>
    </w:p>
    <w:p w:rsidR="00581F8E" w:rsidRPr="00FF2363" w:rsidRDefault="00581F8E" w:rsidP="00FF2363">
      <w:pPr>
        <w:pStyle w:val="ECHRParaQuote"/>
      </w:pPr>
      <w:r w:rsidRPr="00FF2363">
        <w:t>...</w:t>
      </w:r>
    </w:p>
    <w:p w:rsidR="00581F8E" w:rsidRPr="00FF2363" w:rsidRDefault="00581F8E" w:rsidP="00FF2363">
      <w:pPr>
        <w:pStyle w:val="ECHRParaQuote"/>
        <w:rPr>
          <w:i/>
        </w:rPr>
      </w:pPr>
      <w:r w:rsidRPr="00FF2363">
        <w:rPr>
          <w:i/>
        </w:rPr>
        <w:t>Chapter VI – Status of the judge</w:t>
      </w:r>
    </w:p>
    <w:p w:rsidR="00581F8E" w:rsidRPr="00FF2363" w:rsidRDefault="00581F8E" w:rsidP="00FF2363">
      <w:pPr>
        <w:pStyle w:val="ECHRParaQuote"/>
        <w:rPr>
          <w:i/>
        </w:rPr>
      </w:pPr>
      <w:r w:rsidRPr="00FF2363">
        <w:rPr>
          <w:i/>
        </w:rPr>
        <w:t>Selection and career</w:t>
      </w:r>
    </w:p>
    <w:p w:rsidR="007312E0" w:rsidRPr="00FF2363" w:rsidRDefault="00F93E81" w:rsidP="00FF2363">
      <w:pPr>
        <w:pStyle w:val="ECHRParaQuote"/>
      </w:pPr>
      <w:r w:rsidRPr="00FF2363">
        <w:t>...</w:t>
      </w:r>
    </w:p>
    <w:p w:rsidR="00581F8E" w:rsidRPr="00FF2363" w:rsidRDefault="00581F8E" w:rsidP="00FF2363">
      <w:pPr>
        <w:pStyle w:val="ECHRParaQuote"/>
      </w:pPr>
      <w:r w:rsidRPr="00FF2363">
        <w:t>46. The authority taking decisions on the selection and career of judges should be independent of the executive and legislative powers. With a view to guaranteeing its independence, at least half of the members of the authority should be judges chosen by their peers.</w:t>
      </w:r>
    </w:p>
    <w:p w:rsidR="00FA6B67" w:rsidRPr="00FF2363" w:rsidRDefault="00FA6B67" w:rsidP="00FF2363">
      <w:pPr>
        <w:pStyle w:val="ECHRParaQuote"/>
      </w:pPr>
      <w:r w:rsidRPr="00FF2363">
        <w:t>47. However, where the constitutional or other legal provisions prescribe that</w:t>
      </w:r>
      <w:r w:rsidR="00F93E81" w:rsidRPr="00FF2363">
        <w:t xml:space="preserve"> </w:t>
      </w:r>
      <w:r w:rsidRPr="00FF2363">
        <w:t>the head of state, the government or the legislative power take decisions concerning the selection and career of judges, an independent and competent authority drawn in substantial part from the judiciary (without prejudice to the rules applicable to</w:t>
      </w:r>
      <w:r w:rsidR="00F93E81" w:rsidRPr="00FF2363">
        <w:t xml:space="preserve"> </w:t>
      </w:r>
      <w:r w:rsidRPr="00FF2363">
        <w:t>councils for the judiciary contained in Chapter IV) should be authorised to make recommendations or express opinions which the relevant appointing authority follows in practice.</w:t>
      </w:r>
    </w:p>
    <w:p w:rsidR="00F93E81" w:rsidRPr="00FF2363" w:rsidRDefault="00FA6B67" w:rsidP="00FF2363">
      <w:pPr>
        <w:pStyle w:val="ECHRParaQuote"/>
      </w:pPr>
      <w:r w:rsidRPr="00FF2363">
        <w:t xml:space="preserve">48. The membership of the independent authorities </w:t>
      </w:r>
      <w:r w:rsidR="00933B0C" w:rsidRPr="00FF2363">
        <w:t xml:space="preserve">referred to in paragraphs 46 and 47 </w:t>
      </w:r>
      <w:r w:rsidRPr="00FF2363">
        <w:t xml:space="preserve">should ensure the widest possible representation. Their procedures should be transparent with reasons for decisions being made available to applicants on </w:t>
      </w:r>
      <w:r w:rsidR="00933B0C" w:rsidRPr="00FF2363">
        <w:t>r</w:t>
      </w:r>
      <w:r w:rsidRPr="00FF2363">
        <w:t>equest.</w:t>
      </w:r>
      <w:r w:rsidR="00933B0C" w:rsidRPr="00FF2363">
        <w:t xml:space="preserve"> </w:t>
      </w:r>
      <w:r w:rsidR="00F93E81" w:rsidRPr="00FF2363">
        <w:t>...</w:t>
      </w:r>
    </w:p>
    <w:p w:rsidR="00581F8E" w:rsidRPr="00FF2363" w:rsidRDefault="00581F8E" w:rsidP="00FF2363">
      <w:pPr>
        <w:pStyle w:val="ECHRParaQuote"/>
        <w:rPr>
          <w:i/>
        </w:rPr>
      </w:pPr>
      <w:r w:rsidRPr="00FF2363">
        <w:rPr>
          <w:i/>
        </w:rPr>
        <w:t>Chapter VII – Duties and responsibilities</w:t>
      </w:r>
    </w:p>
    <w:p w:rsidR="00581F8E" w:rsidRPr="00FF2363" w:rsidRDefault="00581F8E" w:rsidP="00FF2363">
      <w:pPr>
        <w:pStyle w:val="ECHRParaQuote"/>
      </w:pPr>
      <w:r w:rsidRPr="00FF2363">
        <w:t>...</w:t>
      </w:r>
    </w:p>
    <w:p w:rsidR="00581F8E" w:rsidRPr="00FF2363" w:rsidRDefault="00581F8E" w:rsidP="00FF2363">
      <w:pPr>
        <w:pStyle w:val="ECHRParaQuote"/>
        <w:rPr>
          <w:i/>
        </w:rPr>
      </w:pPr>
      <w:r w:rsidRPr="00FF2363">
        <w:rPr>
          <w:i/>
        </w:rPr>
        <w:lastRenderedPageBreak/>
        <w:t>Liability and disciplinary proceedings</w:t>
      </w:r>
    </w:p>
    <w:p w:rsidR="00581F8E" w:rsidRPr="00FF2363" w:rsidRDefault="00581F8E" w:rsidP="00FF2363">
      <w:pPr>
        <w:pStyle w:val="ECHRParaQuote"/>
      </w:pPr>
      <w:r w:rsidRPr="00FF2363">
        <w:t>...</w:t>
      </w:r>
    </w:p>
    <w:p w:rsidR="00581F8E" w:rsidRPr="00FF2363" w:rsidRDefault="00581F8E" w:rsidP="00FF2363">
      <w:pPr>
        <w:pStyle w:val="ECHRParaQuote"/>
      </w:pPr>
      <w:r w:rsidRPr="00FF2363">
        <w:t>69. Disciplinary proceedings may follow where judges fail to carry out their duties in an efficient and proper manner. Such proceedings should be conducted by an independent authority or a court with all the guarantees of a fair trial and provide the judge with the right to challenge the decision and sanction. Disciplinary sanct</w:t>
      </w:r>
      <w:r w:rsidR="00933B0C" w:rsidRPr="00FF2363">
        <w:t>ions should be proportionate</w:t>
      </w:r>
      <w:r w:rsidRPr="00FF2363">
        <w:t>.”</w:t>
      </w:r>
    </w:p>
    <w:p w:rsidR="00A06DCE" w:rsidRPr="00FF2363" w:rsidRDefault="00A06DCE"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36</w:t>
      </w:r>
      <w:r w:rsidRPr="00FF2363">
        <w:fldChar w:fldCharType="end"/>
      </w:r>
      <w:r w:rsidRPr="00FF2363">
        <w:t>.  The Consultative Council of European Judges, at its 11th plenary meeting (17-19 November 2010), adopted a Magna Carta of Judges (Fundamental Principles) summarising and codifying the main conclusions of the Opinions it had already adopted. Th</w:t>
      </w:r>
      <w:r w:rsidR="00933B0C" w:rsidRPr="00FF2363">
        <w:t xml:space="preserve">e </w:t>
      </w:r>
      <w:r w:rsidR="00AB3AF8" w:rsidRPr="00FF2363">
        <w:t>s</w:t>
      </w:r>
      <w:r w:rsidR="00933B0C" w:rsidRPr="00FF2363">
        <w:t xml:space="preserve">ection entitled “Body in charge of guaranteeing independence” </w:t>
      </w:r>
      <w:r w:rsidRPr="00FF2363">
        <w:t>reads as follows:</w:t>
      </w:r>
    </w:p>
    <w:p w:rsidR="00933B0C" w:rsidRPr="00FF2363" w:rsidRDefault="00A06DCE" w:rsidP="00FF2363">
      <w:pPr>
        <w:pStyle w:val="ECHRParaQuote"/>
      </w:pPr>
      <w:r w:rsidRPr="00FF2363">
        <w:t>“13. To ensure independence of judges, each State shall create a Council for the Judiciary or another specific body, itself independent from legislative and executive powers, endowed with broad competences for all questions concerning their status as well as the organisation, the functioning and the image of judicial institutions. The Council shall be composed either of judges exclusively or of a substantial majority of judges elected by their peers. The Council for the Judiciary shall be accountable for its activities and decisions.”</w:t>
      </w:r>
    </w:p>
    <w:p w:rsidR="00384622" w:rsidRPr="00FF2363" w:rsidRDefault="003E0BF1" w:rsidP="00FF2363">
      <w:pPr>
        <w:pStyle w:val="ECHRPara"/>
        <w:rPr>
          <w:lang w:val="sv-SE"/>
        </w:rPr>
      </w:pPr>
      <w:r w:rsidRPr="00FF2363">
        <w:fldChar w:fldCharType="begin"/>
      </w:r>
      <w:r w:rsidRPr="00FF2363">
        <w:instrText xml:space="preserve"> SEQ level0 \*arabic </w:instrText>
      </w:r>
      <w:r w:rsidRPr="00FF2363">
        <w:fldChar w:fldCharType="separate"/>
      </w:r>
      <w:r w:rsidR="00FF2363" w:rsidRPr="00FF2363">
        <w:rPr>
          <w:noProof/>
        </w:rPr>
        <w:t>37</w:t>
      </w:r>
      <w:r w:rsidRPr="00FF2363">
        <w:fldChar w:fldCharType="end"/>
      </w:r>
      <w:r w:rsidRPr="00FF2363">
        <w:t>.  </w:t>
      </w:r>
      <w:r w:rsidR="00384622" w:rsidRPr="00FF2363">
        <w:t xml:space="preserve">Further relevant international texts can be found in </w:t>
      </w:r>
      <w:r w:rsidR="0057663D" w:rsidRPr="00FF2363">
        <w:rPr>
          <w:i/>
          <w:lang w:val="sv-SE"/>
        </w:rPr>
        <w:t>Baka v. </w:t>
      </w:r>
      <w:r w:rsidR="00384622" w:rsidRPr="00FF2363">
        <w:rPr>
          <w:i/>
          <w:lang w:val="sv-SE"/>
        </w:rPr>
        <w:t xml:space="preserve">Hungary </w:t>
      </w:r>
      <w:r w:rsidR="00384622" w:rsidRPr="00FF2363">
        <w:rPr>
          <w:lang w:val="sv-SE"/>
        </w:rPr>
        <w:t xml:space="preserve">[GC] </w:t>
      </w:r>
      <w:r w:rsidRPr="00FF2363">
        <w:rPr>
          <w:lang w:val="sv-SE"/>
        </w:rPr>
        <w:t>(</w:t>
      </w:r>
      <w:r w:rsidR="00384622" w:rsidRPr="00FF2363">
        <w:rPr>
          <w:lang w:val="sv-SE"/>
        </w:rPr>
        <w:t>no. 20261/12</w:t>
      </w:r>
      <w:r w:rsidR="00384622" w:rsidRPr="00FF2363">
        <w:rPr>
          <w:snapToGrid w:val="0"/>
          <w:lang w:val="sv-SE"/>
        </w:rPr>
        <w:t>, §§ 72-7</w:t>
      </w:r>
      <w:r w:rsidR="002A2EA5" w:rsidRPr="00FF2363">
        <w:rPr>
          <w:snapToGrid w:val="0"/>
          <w:lang w:val="sv-SE"/>
        </w:rPr>
        <w:t>3 and 82-86</w:t>
      </w:r>
      <w:r w:rsidR="00384622" w:rsidRPr="00FF2363">
        <w:rPr>
          <w:snapToGrid w:val="0"/>
          <w:lang w:val="sv-SE"/>
        </w:rPr>
        <w:t>, ECHR 2016</w:t>
      </w:r>
      <w:r w:rsidRPr="00FF2363">
        <w:rPr>
          <w:snapToGrid w:val="0"/>
          <w:lang w:val="sv-SE"/>
        </w:rPr>
        <w:t>)</w:t>
      </w:r>
      <w:r w:rsidR="00384622" w:rsidRPr="00FF2363">
        <w:t>.</w:t>
      </w:r>
    </w:p>
    <w:p w:rsidR="00014566" w:rsidRPr="00FF2363" w:rsidRDefault="00014566" w:rsidP="00FF2363">
      <w:pPr>
        <w:pStyle w:val="ECHRTitle1"/>
      </w:pPr>
      <w:r w:rsidRPr="00FF2363">
        <w:t>THE LAW</w:t>
      </w:r>
    </w:p>
    <w:p w:rsidR="00014566" w:rsidRPr="00FF2363" w:rsidRDefault="00014566" w:rsidP="00FF2363">
      <w:pPr>
        <w:pStyle w:val="ECHRHeading1"/>
      </w:pPr>
      <w:r w:rsidRPr="00FF2363">
        <w:t xml:space="preserve">I.  ALLEGED VIOLATION OF ARTICLE </w:t>
      </w:r>
      <w:r w:rsidR="005374AD" w:rsidRPr="00FF2363">
        <w:t>6 § 1</w:t>
      </w:r>
      <w:r w:rsidRPr="00FF2363">
        <w:t xml:space="preserve"> OF THE CONVENTION</w:t>
      </w:r>
      <w:r w:rsidR="00537276" w:rsidRPr="00FF2363">
        <w:t xml:space="preserve"> AS REGARDS THE PRINCIPLES OF </w:t>
      </w:r>
      <w:r w:rsidR="00AB3AF8" w:rsidRPr="00FF2363">
        <w:t xml:space="preserve">AN </w:t>
      </w:r>
      <w:r w:rsidR="00537276" w:rsidRPr="00FF2363">
        <w:t>INDEPENDENT AND IMPARTIAL TRIBUNAL</w:t>
      </w:r>
    </w:p>
    <w:p w:rsidR="005374AD" w:rsidRPr="00FF2363" w:rsidRDefault="0047150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38</w:t>
      </w:r>
      <w:r w:rsidRPr="00FF2363">
        <w:fldChar w:fldCharType="end"/>
      </w:r>
      <w:r w:rsidRPr="00FF2363">
        <w:t>.  </w:t>
      </w:r>
      <w:r w:rsidR="005374AD" w:rsidRPr="00FF2363">
        <w:t xml:space="preserve">The applicant complained under Article 6 § 1 of the Convention that the proceedings before the HCJ and the HAC concerning his removal from the position of president of the Kyiv Administrative Court of Appeal had not been compatible with the requirements of independence and impartiality. He complained, in addition, that the HAC had not provided a sufficient review of his case, thereby impairing his right </w:t>
      </w:r>
      <w:r w:rsidR="008A1FF4" w:rsidRPr="00FF2363">
        <w:t xml:space="preserve">of access to </w:t>
      </w:r>
      <w:r w:rsidR="005374AD" w:rsidRPr="00FF2363">
        <w:t>a court.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39</w:t>
      </w:r>
      <w:r w:rsidRPr="00FF2363">
        <w:fldChar w:fldCharType="end"/>
      </w:r>
      <w:r w:rsidRPr="00FF2363">
        <w:t>.  The relevant part of Article 6 § 1 reads as follows:</w:t>
      </w:r>
    </w:p>
    <w:p w:rsidR="005374AD" w:rsidRPr="00FF2363" w:rsidRDefault="005374AD" w:rsidP="00FF2363">
      <w:pPr>
        <w:pStyle w:val="JuQuotSub"/>
      </w:pPr>
      <w:r w:rsidRPr="00FF2363" w:rsidDel="00B25ABA">
        <w:rPr>
          <w:b/>
        </w:rPr>
        <w:t xml:space="preserve"> </w:t>
      </w:r>
      <w:r w:rsidRPr="00FF2363">
        <w:t>“In the determination of his civil rights and obligations or of any criminal charge against him, everyone is entitled to a fair ... hearing ... by an independent and impartial tribunal established by law.”</w:t>
      </w:r>
    </w:p>
    <w:p w:rsidR="00014566" w:rsidRPr="00FF2363" w:rsidRDefault="00014566" w:rsidP="00FF2363">
      <w:pPr>
        <w:pStyle w:val="ECHRHeading2"/>
      </w:pPr>
      <w:r w:rsidRPr="00FF2363">
        <w:lastRenderedPageBreak/>
        <w:t>A.  Admissibility</w:t>
      </w:r>
    </w:p>
    <w:p w:rsidR="005374AD" w:rsidRPr="00FF2363" w:rsidRDefault="005374AD" w:rsidP="00FF2363">
      <w:pPr>
        <w:pStyle w:val="ECHRHeading3"/>
      </w:pPr>
      <w:r w:rsidRPr="00FF2363">
        <w:t>1.</w:t>
      </w:r>
      <w:r w:rsidR="001B1405" w:rsidRPr="00FF2363">
        <w:t> </w:t>
      </w:r>
      <w:r w:rsidRPr="00FF2363">
        <w:t>The parties</w:t>
      </w:r>
      <w:r w:rsidR="00FF2363" w:rsidRPr="00FF2363">
        <w:t>’</w:t>
      </w:r>
      <w:r w:rsidRPr="00FF2363">
        <w:t xml:space="preserve"> submissions</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40</w:t>
      </w:r>
      <w:r w:rsidRPr="00FF2363">
        <w:fldChar w:fldCharType="end"/>
      </w:r>
      <w:r w:rsidRPr="00FF2363">
        <w:t xml:space="preserve">.  Relying on the principles developed in </w:t>
      </w:r>
      <w:r w:rsidRPr="00FF2363">
        <w:rPr>
          <w:i/>
        </w:rPr>
        <w:t>Vilho Eskelinen and Others v. Finland</w:t>
      </w:r>
      <w:r w:rsidRPr="00FF2363">
        <w:t xml:space="preserve"> ([GC], no. 63235/00, § 62, ECHR 2007</w:t>
      </w:r>
      <w:r w:rsidRPr="00FF2363">
        <w:noBreakHyphen/>
        <w:t xml:space="preserve">II), the applicant submitted that Article 6 § 1 of the Convention applied to his case under the civil limb. The national law did not expressly exclude access to court: his case had been examined by the HCJ performing a judicial function, and had subsequently been reviewed by the HAC, an ordinary court within the domestic judicial system. Therefore, the domestic law did not exclude access to a court for cases of this kind and the first limb of the test set out in </w:t>
      </w:r>
      <w:r w:rsidRPr="00FF2363">
        <w:rPr>
          <w:i/>
        </w:rPr>
        <w:t xml:space="preserve">Vilho Eskelinen and Others </w:t>
      </w:r>
      <w:r w:rsidRPr="00FF2363">
        <w:t>was not satisfied. Furthermore, the applicant</w:t>
      </w:r>
      <w:r w:rsidR="00FF2363" w:rsidRPr="00FF2363">
        <w:t>’</w:t>
      </w:r>
      <w:r w:rsidRPr="00FF2363">
        <w:t>s dismissal from his administrative position had caused him pecuniary loss, by way of a reduction in his salary, as well as non-pecuniary loss in view of his demotion in status. In his original application form the applicant submitted that Article 6 was also applicable under the “criminal” limb. However, in his submissions before the Grand Chamber he stated that the applicability of Article 6 was limited to its civil aspect.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41</w:t>
      </w:r>
      <w:r w:rsidRPr="00FF2363">
        <w:fldChar w:fldCharType="end"/>
      </w:r>
      <w:r w:rsidRPr="00FF2363">
        <w:t xml:space="preserve">.  The Government submitted that the civil limb of Article 6 was not applicable since there was no “civil” right at issue. The dispute had been entirely within the sphere of public law and the claim submitted by the applicant in respect of pecuniary damage concerned a small amount (see paragraph </w:t>
      </w:r>
      <w:r w:rsidRPr="00FF2363">
        <w:fldChar w:fldCharType="begin"/>
      </w:r>
      <w:r w:rsidRPr="00FF2363">
        <w:instrText xml:space="preserve"> REF A1_Pecuniary_claim \h  \* MERGEFORMAT </w:instrText>
      </w:r>
      <w:r w:rsidRPr="00FF2363">
        <w:fldChar w:fldCharType="separate"/>
      </w:r>
      <w:r w:rsidR="00FF2363" w:rsidRPr="00FF2363">
        <w:t>22</w:t>
      </w:r>
      <w:r w:rsidRPr="00FF2363">
        <w:fldChar w:fldCharType="end"/>
      </w:r>
      <w:r w:rsidRPr="00FF2363">
        <w:t xml:space="preserve"> above), which had not constituted a significant disadvantage for him. On those grounds the Government submitted that the complaint was incompatible </w:t>
      </w:r>
      <w:r w:rsidRPr="00FF2363">
        <w:rPr>
          <w:i/>
        </w:rPr>
        <w:t>ratione materiae</w:t>
      </w:r>
      <w:r w:rsidRPr="00FF2363">
        <w:t xml:space="preserve"> with the Convention.</w:t>
      </w:r>
    </w:p>
    <w:p w:rsidR="00083B65" w:rsidRPr="00FF2363" w:rsidRDefault="0057663D" w:rsidP="00FF2363">
      <w:pPr>
        <w:pStyle w:val="ECHRHeading3"/>
      </w:pPr>
      <w:r w:rsidRPr="00FF2363">
        <w:t>2. </w:t>
      </w:r>
      <w:r w:rsidR="00083B65" w:rsidRPr="00FF2363">
        <w:t xml:space="preserve">Third-party </w:t>
      </w:r>
      <w:r w:rsidR="009A1658" w:rsidRPr="00FF2363">
        <w:t>intervener</w:t>
      </w:r>
    </w:p>
    <w:p w:rsidR="00835569"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42</w:t>
      </w:r>
      <w:r w:rsidRPr="00FF2363">
        <w:fldChar w:fldCharType="end"/>
      </w:r>
      <w:r w:rsidRPr="00FF2363">
        <w:t xml:space="preserve">.  The third party, the International Commission of Jurists, submitted that the principle of independence of the judiciary necessarily implied security of tenure in the office of court president. In order to ensure such security of tenure and to maintain both the independence of individual court presidents and their capacity to uphold the independence of judges in their courts, proceedings for removal from the position of court president had to provide the same guarantees of independence and fairness as those for removal from the office of judge. The third party contended that the applicability of Article 6 in the present case had to be determined on the basis of the </w:t>
      </w:r>
      <w:r w:rsidRPr="00FF2363">
        <w:rPr>
          <w:i/>
        </w:rPr>
        <w:t>Vilho Eskelinen</w:t>
      </w:r>
      <w:r w:rsidRPr="00FF2363">
        <w:t xml:space="preserve"> test, which had been applied by the Court in cases concerning judges including </w:t>
      </w:r>
      <w:r w:rsidRPr="00FF2363">
        <w:rPr>
          <w:i/>
        </w:rPr>
        <w:t xml:space="preserve">Baka </w:t>
      </w:r>
      <w:r w:rsidR="00CB180C" w:rsidRPr="00FF2363">
        <w:t>(cited above)</w:t>
      </w:r>
      <w:r w:rsidRPr="00FF2363">
        <w:t>.</w:t>
      </w:r>
    </w:p>
    <w:p w:rsidR="005374AD" w:rsidRPr="00FF2363" w:rsidRDefault="00083B65" w:rsidP="00FF2363">
      <w:pPr>
        <w:pStyle w:val="ECHRHeading3"/>
      </w:pPr>
      <w:r w:rsidRPr="00FF2363">
        <w:t>3</w:t>
      </w:r>
      <w:r w:rsidR="005374AD" w:rsidRPr="00FF2363">
        <w:t>.</w:t>
      </w:r>
      <w:r w:rsidR="001B1405" w:rsidRPr="00FF2363">
        <w:t> </w:t>
      </w:r>
      <w:r w:rsidR="005374AD" w:rsidRPr="00FF2363">
        <w:t>The Court</w:t>
      </w:r>
      <w:r w:rsidR="00FF2363" w:rsidRPr="00FF2363">
        <w:t>’</w:t>
      </w:r>
      <w:r w:rsidR="005374AD" w:rsidRPr="00FF2363">
        <w:t>s assessment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43</w:t>
      </w:r>
      <w:r w:rsidRPr="00FF2363">
        <w:fldChar w:fldCharType="end"/>
      </w:r>
      <w:r w:rsidRPr="00FF2363">
        <w:t xml:space="preserve">.  It is common ground between the parties that Article 6 § 1 is not applicable under its criminal limb. Indeed, the proceedings at issue did not relate to the determination of a criminal charge, and for this reason the </w:t>
      </w:r>
      <w:r w:rsidRPr="00FF2363">
        <w:lastRenderedPageBreak/>
        <w:t xml:space="preserve">criminal limb does not apply (see, </w:t>
      </w:r>
      <w:r w:rsidRPr="00FF2363">
        <w:rPr>
          <w:i/>
        </w:rPr>
        <w:t>mutatis mutandis</w:t>
      </w:r>
      <w:r w:rsidRPr="00FF2363">
        <w:t xml:space="preserve">, </w:t>
      </w:r>
      <w:r w:rsidRPr="00FF2363">
        <w:rPr>
          <w:i/>
        </w:rPr>
        <w:t>Oleksandr Volkov</w:t>
      </w:r>
      <w:r w:rsidRPr="00FF2363">
        <w:t>, cited above, §§ 93-95).</w:t>
      </w:r>
    </w:p>
    <w:p w:rsidR="005374AD" w:rsidRPr="00FF2363" w:rsidRDefault="005374AD" w:rsidP="00FF2363">
      <w:pPr>
        <w:pStyle w:val="ECHRHeading4"/>
      </w:pPr>
      <w:r w:rsidRPr="00FF2363">
        <w:t>(</w:t>
      </w:r>
      <w:r w:rsidRPr="00FF2363">
        <w:rPr>
          <w:rFonts w:cstheme="majorHAnsi"/>
        </w:rPr>
        <w:t>a</w:t>
      </w:r>
      <w:r w:rsidRPr="00FF2363">
        <w:t>)</w:t>
      </w:r>
      <w:r w:rsidR="001B1405" w:rsidRPr="00FF2363">
        <w:t>  </w:t>
      </w:r>
      <w:r w:rsidR="005B0968" w:rsidRPr="00FF2363">
        <w:t>T</w:t>
      </w:r>
      <w:r w:rsidRPr="00FF2363">
        <w:t>he general requirements for the applicability of the civil limb of Article 6 § 1</w:t>
      </w:r>
    </w:p>
    <w:p w:rsidR="005B0968" w:rsidRPr="00FF2363" w:rsidRDefault="005B0968" w:rsidP="00FF2363">
      <w:pPr>
        <w:pStyle w:val="ECHRHeading5"/>
      </w:pPr>
      <w:r w:rsidRPr="00FF2363">
        <w:t>(i)</w:t>
      </w:r>
      <w:r w:rsidR="001B1405" w:rsidRPr="00FF2363">
        <w:t>  </w:t>
      </w:r>
      <w:r w:rsidRPr="00FF2363">
        <w:t>The relevant principles</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44</w:t>
      </w:r>
      <w:r w:rsidRPr="00FF2363">
        <w:fldChar w:fldCharType="end"/>
      </w:r>
      <w:r w:rsidRPr="00FF2363">
        <w:t xml:space="preserve">.  For Article 6 § 1 in its “civil” limb to be applicable, there must be a “dispute” regarding a “right” which can be said, at least on arguable grounds, to be recognised under domestic law, irrespective of whether it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r w:rsidRPr="00FF2363">
        <w:rPr>
          <w:i/>
        </w:rPr>
        <w:t>Boulois v. Luxembourg</w:t>
      </w:r>
      <w:r w:rsidRPr="00FF2363">
        <w:t xml:space="preserve"> [GC], no. 37575/04, § 90, ECHR 2012; </w:t>
      </w:r>
      <w:r w:rsidRPr="00FF2363">
        <w:rPr>
          <w:i/>
        </w:rPr>
        <w:t>Bochan v. Ukraine (no. 2)</w:t>
      </w:r>
      <w:r w:rsidRPr="00FF2363">
        <w:t xml:space="preserve"> [GC], no. 22251/08, § 42, ECHR 2015;</w:t>
      </w:r>
      <w:r w:rsidRPr="00FF2363">
        <w:rPr>
          <w:i/>
          <w:iCs/>
          <w:szCs w:val="24"/>
        </w:rPr>
        <w:t xml:space="preserve"> </w:t>
      </w:r>
      <w:r w:rsidRPr="00FF2363">
        <w:rPr>
          <w:rStyle w:val="ECHRParaChar"/>
          <w:i/>
          <w:iCs/>
          <w:szCs w:val="24"/>
        </w:rPr>
        <w:t>Lupeni Greek Catholic Parish and Others v.</w:t>
      </w:r>
      <w:r w:rsidR="001B1405" w:rsidRPr="00FF2363">
        <w:rPr>
          <w:rStyle w:val="ECHRParaChar"/>
          <w:i/>
          <w:iCs/>
          <w:szCs w:val="24"/>
        </w:rPr>
        <w:t> </w:t>
      </w:r>
      <w:r w:rsidRPr="00FF2363">
        <w:rPr>
          <w:rStyle w:val="ECHRParaChar"/>
          <w:i/>
          <w:iCs/>
          <w:szCs w:val="24"/>
        </w:rPr>
        <w:t>Romania</w:t>
      </w:r>
      <w:r w:rsidRPr="00FF2363">
        <w:rPr>
          <w:i/>
          <w:iCs/>
          <w:snapToGrid w:val="0"/>
        </w:rPr>
        <w:t xml:space="preserve"> </w:t>
      </w:r>
      <w:r w:rsidRPr="00FF2363">
        <w:rPr>
          <w:rStyle w:val="ECHRParaChar"/>
          <w:szCs w:val="24"/>
        </w:rPr>
        <w:t xml:space="preserve">[GC], no. 76943/11, § 71, ECHR 2016; and </w:t>
      </w:r>
      <w:r w:rsidRPr="00FF2363">
        <w:rPr>
          <w:rStyle w:val="ECHRParaChar"/>
          <w:i/>
          <w:szCs w:val="24"/>
        </w:rPr>
        <w:t>Regner v. the Czech Republic</w:t>
      </w:r>
      <w:r w:rsidRPr="00FF2363">
        <w:rPr>
          <w:rStyle w:val="ECHRParaChar"/>
          <w:szCs w:val="24"/>
        </w:rPr>
        <w:t xml:space="preserve"> </w:t>
      </w:r>
      <w:r w:rsidRPr="00FF2363">
        <w:rPr>
          <w:rStyle w:val="ECHRParaChar"/>
          <w:szCs w:val="24"/>
        </w:rPr>
        <w:sym w:font="Symbol" w:char="F05B"/>
      </w:r>
      <w:r w:rsidRPr="00FF2363">
        <w:rPr>
          <w:rStyle w:val="ECHRParaChar"/>
          <w:szCs w:val="24"/>
        </w:rPr>
        <w:t>GC</w:t>
      </w:r>
      <w:r w:rsidRPr="00FF2363">
        <w:rPr>
          <w:rStyle w:val="ECHRParaChar"/>
          <w:szCs w:val="24"/>
        </w:rPr>
        <w:sym w:font="Symbol" w:char="F05D"/>
      </w:r>
      <w:r w:rsidRPr="00FF2363">
        <w:rPr>
          <w:rStyle w:val="ECHRParaChar"/>
          <w:szCs w:val="24"/>
        </w:rPr>
        <w:t xml:space="preserve">, no. 35289/11, § 99, </w:t>
      </w:r>
      <w:r w:rsidR="00AB3AF8" w:rsidRPr="00FF2363">
        <w:rPr>
          <w:rStyle w:val="ECHRParaChar"/>
          <w:szCs w:val="24"/>
        </w:rPr>
        <w:t>ECHR</w:t>
      </w:r>
      <w:r w:rsidRPr="00FF2363">
        <w:rPr>
          <w:rStyle w:val="ECHRParaChar"/>
          <w:szCs w:val="24"/>
        </w:rPr>
        <w:t xml:space="preserve"> 2017</w:t>
      </w:r>
      <w:r w:rsidRPr="00FF2363">
        <w: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45</w:t>
      </w:r>
      <w:r w:rsidRPr="00FF2363">
        <w:fldChar w:fldCharType="end"/>
      </w:r>
      <w:r w:rsidRPr="00FF2363">
        <w:t xml:space="preserve">.  Article 6 § 1 does not guarantee any particular content for (civil) “rights and obligations” in the substantive law of the Contracting States: the Court may not create by way of interpretation of Article 6 § 1 a substantive right which has no legal basis in the State concerned (see, for example, </w:t>
      </w:r>
      <w:r w:rsidRPr="00FF2363">
        <w:rPr>
          <w:i/>
          <w:szCs w:val="24"/>
        </w:rPr>
        <w:t>Roche v. the United Kingdom</w:t>
      </w:r>
      <w:r w:rsidRPr="00FF2363">
        <w:rPr>
          <w:szCs w:val="24"/>
        </w:rPr>
        <w:t xml:space="preserve"> [GC], no. 32555/96, § 11</w:t>
      </w:r>
      <w:r w:rsidR="004D204D" w:rsidRPr="00FF2363">
        <w:rPr>
          <w:szCs w:val="24"/>
        </w:rPr>
        <w:t>7</w:t>
      </w:r>
      <w:r w:rsidRPr="00FF2363">
        <w:rPr>
          <w:szCs w:val="24"/>
        </w:rPr>
        <w:t>,</w:t>
      </w:r>
      <w:r w:rsidRPr="00FF2363">
        <w:t xml:space="preserve"> ECHR 2005</w:t>
      </w:r>
      <w:r w:rsidRPr="00FF2363">
        <w:noBreakHyphen/>
        <w:t>X). The starting-point must be the provisions of the relevant domestic law and their interpretation by the domestic courts (</w:t>
      </w:r>
      <w:r w:rsidR="00AB3AF8" w:rsidRPr="00FF2363">
        <w:t>ibid.</w:t>
      </w:r>
      <w:r w:rsidRPr="00FF2363">
        <w:t>, § 120;</w:t>
      </w:r>
      <w:r w:rsidR="00AB3AF8" w:rsidRPr="00FF2363">
        <w:t xml:space="preserve"> see also</w:t>
      </w:r>
      <w:r w:rsidRPr="00FF2363">
        <w:t xml:space="preserve"> </w:t>
      </w:r>
      <w:r w:rsidRPr="00FF2363">
        <w:rPr>
          <w:i/>
        </w:rPr>
        <w:t>Károly Nagy</w:t>
      </w:r>
      <w:r w:rsidRPr="00FF2363">
        <w:t xml:space="preserve"> </w:t>
      </w:r>
      <w:r w:rsidRPr="00FF2363">
        <w:rPr>
          <w:i/>
        </w:rPr>
        <w:t xml:space="preserve">v. Hungary </w:t>
      </w:r>
      <w:r w:rsidRPr="00FF2363">
        <w:t>[GC], no. 56665/09</w:t>
      </w:r>
      <w:r w:rsidRPr="00FF2363">
        <w:rPr>
          <w:snapToGrid w:val="0"/>
        </w:rPr>
        <w:t xml:space="preserve">, § 62, </w:t>
      </w:r>
      <w:r w:rsidR="00AB3AF8" w:rsidRPr="00FF2363">
        <w:rPr>
          <w:snapToGrid w:val="0"/>
        </w:rPr>
        <w:t>ECHR</w:t>
      </w:r>
      <w:r w:rsidRPr="00FF2363">
        <w:rPr>
          <w:snapToGrid w:val="0"/>
        </w:rPr>
        <w:t xml:space="preserve"> 2017</w:t>
      </w:r>
      <w:r w:rsidR="00AB3AF8" w:rsidRPr="00FF2363">
        <w:rPr>
          <w:snapToGrid w:val="0"/>
        </w:rPr>
        <w:t>,</w:t>
      </w:r>
      <w:r w:rsidRPr="00FF2363">
        <w:rPr>
          <w:snapToGrid w:val="0"/>
        </w:rPr>
        <w:t xml:space="preserve"> and </w:t>
      </w:r>
      <w:r w:rsidRPr="00FF2363">
        <w:rPr>
          <w:i/>
          <w:snapToGrid w:val="0"/>
        </w:rPr>
        <w:t>Regner</w:t>
      </w:r>
      <w:r w:rsidRPr="00FF2363">
        <w:rPr>
          <w:snapToGrid w:val="0"/>
        </w:rPr>
        <w:t>, cited above, § 100</w:t>
      </w:r>
      <w:r w:rsidRPr="00FF2363">
        <w:t xml:space="preserve">). The Court would need strong reasons to differ from the conclusions reached by the superior national courts by finding, contrary to their view, that there was arguably a right recognised by domestic law (see </w:t>
      </w:r>
      <w:r w:rsidRPr="00FF2363">
        <w:rPr>
          <w:i/>
        </w:rPr>
        <w:t>Károly Nagy</w:t>
      </w:r>
      <w:r w:rsidRPr="00FF2363">
        <w:t>, cited above,</w:t>
      </w:r>
      <w:r w:rsidRPr="00FF2363">
        <w:rPr>
          <w:i/>
        </w:rPr>
        <w:t xml:space="preserve"> </w:t>
      </w:r>
      <w:r w:rsidRPr="00FF2363">
        <w:rPr>
          <w:snapToGrid w:val="0"/>
        </w:rPr>
        <w:t>§ 62</w:t>
      </w:r>
      <w:r w:rsidRPr="00FF2363">
        <w: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46</w:t>
      </w:r>
      <w:r w:rsidRPr="00FF2363">
        <w:fldChar w:fldCharType="end"/>
      </w:r>
      <w:r w:rsidRPr="00FF2363">
        <w:t xml:space="preserve">.  Although there is in principle no right under the Convention to hold a public post entailing the administration of justice (see </w:t>
      </w:r>
      <w:r w:rsidR="006B668D" w:rsidRPr="00FF2363">
        <w:rPr>
          <w:i/>
        </w:rPr>
        <w:t>Dzhidzheva</w:t>
      </w:r>
      <w:r w:rsidR="006B668D" w:rsidRPr="00FF2363">
        <w:rPr>
          <w:i/>
        </w:rPr>
        <w:noBreakHyphen/>
      </w:r>
      <w:r w:rsidRPr="00FF2363">
        <w:rPr>
          <w:i/>
        </w:rPr>
        <w:t>Trendafilo</w:t>
      </w:r>
      <w:r w:rsidR="00083B65" w:rsidRPr="00FF2363">
        <w:rPr>
          <w:i/>
        </w:rPr>
        <w:t>v</w:t>
      </w:r>
      <w:r w:rsidRPr="00FF2363">
        <w:rPr>
          <w:i/>
        </w:rPr>
        <w:t>a v. Bulgaria</w:t>
      </w:r>
      <w:r w:rsidR="006B668D" w:rsidRPr="00FF2363">
        <w:t xml:space="preserve"> (dec.), no. 12628/09, § 38, 9 </w:t>
      </w:r>
      <w:r w:rsidRPr="00FF2363">
        <w:t xml:space="preserve">October 2012, and </w:t>
      </w:r>
      <w:r w:rsidRPr="00FF2363">
        <w:rPr>
          <w:i/>
        </w:rPr>
        <w:t>Harabin v. Slovakia</w:t>
      </w:r>
      <w:r w:rsidRPr="00FF2363">
        <w:t xml:space="preserve"> (dec.), no. 62584/00, 29 June 2004), such a right may exist at the domestic level. In </w:t>
      </w:r>
      <w:r w:rsidRPr="00FF2363">
        <w:rPr>
          <w:i/>
          <w:iCs/>
        </w:rPr>
        <w:t xml:space="preserve">Regner </w:t>
      </w:r>
      <w:r w:rsidRPr="00FF2363">
        <w:t>(</w:t>
      </w:r>
      <w:r w:rsidRPr="00FF2363">
        <w:rPr>
          <w:lang w:eastAsia="en-GB"/>
        </w:rPr>
        <w:t>cited above</w:t>
      </w:r>
      <w:r w:rsidRPr="00FF2363">
        <w:t>) the Court reiterated that</w:t>
      </w:r>
      <w:r w:rsidR="00083B65" w:rsidRPr="00FF2363">
        <w:t xml:space="preserve"> </w:t>
      </w:r>
      <w:r w:rsidR="008C6A0A" w:rsidRPr="00FF2363">
        <w:t>t</w:t>
      </w:r>
      <w:r w:rsidR="00083B65" w:rsidRPr="00FF2363">
        <w:t>here can be no doubt about the fact that there is a right within the meaning of Article 6 § 1 where a substantive right recognised in domestic law is accompanied by a procedural right to have that right enforced through the courts.</w:t>
      </w:r>
      <w:r w:rsidRPr="00FF2363">
        <w:t xml:space="preserve"> </w:t>
      </w:r>
      <w:r w:rsidR="008C6A0A" w:rsidRPr="00FF2363">
        <w:t>T</w:t>
      </w:r>
      <w:r w:rsidRPr="00FF2363">
        <w:t>he mere fact that the wording of a legal provision affords an element of discretion does not in itself rule out the existence of a right. Indeed, Article 6 applies where the judicial proceedings concern a discretionary decision resulting in interference in an applicant</w:t>
      </w:r>
      <w:r w:rsidR="00FF2363" w:rsidRPr="00FF2363">
        <w:t>’</w:t>
      </w:r>
      <w:r w:rsidRPr="00FF2363">
        <w:t xml:space="preserve">s </w:t>
      </w:r>
      <w:r w:rsidRPr="00FF2363">
        <w:lastRenderedPageBreak/>
        <w:t>rights (ibid., § 102). In some cases, national law</w:t>
      </w:r>
      <w:r w:rsidR="00553CDD" w:rsidRPr="00FF2363">
        <w:t>, while not necessarily recognizing that an individual has a subjective right,</w:t>
      </w:r>
      <w:r w:rsidRPr="00FF2363">
        <w:t xml:space="preserve"> confers the right to a lawful procedure for examination of </w:t>
      </w:r>
      <w:r w:rsidR="00553CDD" w:rsidRPr="00FF2363">
        <w:rPr>
          <w:lang w:val="en-US"/>
        </w:rPr>
        <w:t>his or her</w:t>
      </w:r>
      <w:r w:rsidRPr="00FF2363">
        <w:t xml:space="preserve"> claim, involving matters such as ruling whether a decision was arbitrary or </w:t>
      </w:r>
      <w:r w:rsidRPr="00FF2363">
        <w:rPr>
          <w:i/>
        </w:rPr>
        <w:t>ultra vires</w:t>
      </w:r>
      <w:r w:rsidRPr="00FF2363">
        <w:t xml:space="preserve"> or whether there were procedural irregularities. This is the case regarding certain decisions where the authorities have a purely discretionary power to grant or refuse an advantage or privilege, with the law conferring on the person concerned the right to apply to the courts, which, where they find that the decision was unlawful, may set it aside. In such a case Article 6 § 1 of the Convention is applicable, on condition that the advantage or privilege, once granted, gives rise to a civil right (ibid.</w:t>
      </w:r>
      <w:r w:rsidR="00AB3AF8" w:rsidRPr="00FF2363">
        <w:t>,</w:t>
      </w:r>
      <w:r w:rsidRPr="00FF2363">
        <w:t xml:space="preserve"> § 105). While access to employment and to the functions performed may constitute in principle a privilege that cannot be legally enforced, this is not the case regarding the continuation of an employment relationship or the conditions in </w:t>
      </w:r>
      <w:r w:rsidR="0057663D" w:rsidRPr="00FF2363">
        <w:t>which it is exercised (ibid., § </w:t>
      </w:r>
      <w:r w:rsidRPr="00FF2363">
        <w:t xml:space="preserve">117). In </w:t>
      </w:r>
      <w:r w:rsidRPr="00FF2363">
        <w:rPr>
          <w:i/>
        </w:rPr>
        <w:t>Baka</w:t>
      </w:r>
      <w:r w:rsidRPr="00FF2363">
        <w:t xml:space="preserve">, for instance, the Court recognised the right of the President of the Supreme Court to serve his full term of six years under Hungarian law (see </w:t>
      </w:r>
      <w:r w:rsidRPr="00FF2363">
        <w:rPr>
          <w:i/>
        </w:rPr>
        <w:t>Baka</w:t>
      </w:r>
      <w:r w:rsidRPr="00FF2363">
        <w:t>, cited above, §§</w:t>
      </w:r>
      <w:r w:rsidR="001B1405" w:rsidRPr="00FF2363">
        <w:t> </w:t>
      </w:r>
      <w:r w:rsidRPr="00FF2363">
        <w:t>107-11).</w:t>
      </w:r>
    </w:p>
    <w:p w:rsidR="005B0968" w:rsidRPr="00FF2363" w:rsidRDefault="005B0968" w:rsidP="00FF2363">
      <w:pPr>
        <w:pStyle w:val="ECHRHeading5"/>
      </w:pPr>
      <w:r w:rsidRPr="00FF2363">
        <w:t>(ii)</w:t>
      </w:r>
      <w:r w:rsidR="001B1405" w:rsidRPr="00FF2363">
        <w:t>  </w:t>
      </w:r>
      <w:r w:rsidR="00471812" w:rsidRPr="00FF2363">
        <w:t>A</w:t>
      </w:r>
      <w:r w:rsidRPr="00FF2363">
        <w:t xml:space="preserve">pplication of these principles to the </w:t>
      </w:r>
      <w:r w:rsidR="00471812" w:rsidRPr="00FF2363">
        <w:t>present</w:t>
      </w:r>
      <w:r w:rsidRPr="00FF2363">
        <w:t xml:space="preserve"> case</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47</w:t>
      </w:r>
      <w:r w:rsidRPr="00FF2363">
        <w:fldChar w:fldCharType="end"/>
      </w:r>
      <w:r w:rsidRPr="00FF2363">
        <w:t xml:space="preserve">.  Applying these principles to the present case, </w:t>
      </w:r>
      <w:r w:rsidR="00AB3AF8" w:rsidRPr="00FF2363">
        <w:t>the Court observes</w:t>
      </w:r>
      <w:r w:rsidRPr="00FF2363">
        <w:t>, first of all, that there was a “dispute” concerning the exercise of the right to hold the position of president of a court. As regards the issue of whether such a “right” could be said, at least on arguable grounds, to be recognised in domestic law, it has to be noted that the applicant was appointed to the position of president of the Kyiv Administra</w:t>
      </w:r>
      <w:r w:rsidR="006B668D" w:rsidRPr="00FF2363">
        <w:t>tive Court of Appeal for a five</w:t>
      </w:r>
      <w:r w:rsidR="006B668D" w:rsidRPr="00FF2363">
        <w:noBreakHyphen/>
      </w:r>
      <w:r w:rsidRPr="00FF2363">
        <w:t xml:space="preserve">year term (see paragraph </w:t>
      </w:r>
      <w:r w:rsidRPr="00FF2363">
        <w:fldChar w:fldCharType="begin"/>
      </w:r>
      <w:r w:rsidRPr="00FF2363">
        <w:instrText xml:space="preserve"> REF A1_five_year_appointment \h </w:instrText>
      </w:r>
      <w:r w:rsidRPr="00FF2363">
        <w:fldChar w:fldCharType="separate"/>
      </w:r>
      <w:r w:rsidR="00FF2363" w:rsidRPr="00FF2363">
        <w:rPr>
          <w:noProof/>
        </w:rPr>
        <w:t>13</w:t>
      </w:r>
      <w:r w:rsidRPr="00FF2363">
        <w:fldChar w:fldCharType="end"/>
      </w:r>
      <w:r w:rsidRPr="00FF2363">
        <w:t xml:space="preserve"> above) and his appointment for such tenure was not disputed at the domestic level. The applicant was provided with specific remuneration for his service as president of the court and his dismissal from this position was subject to certain substantive and procedural conditions. In the light of the above, and given that there was no dispute between the parties as to the existence of the right in question, there is no ground for considering that the applicant</w:t>
      </w:r>
      <w:r w:rsidR="00FF2363" w:rsidRPr="00FF2363">
        <w:t>’</w:t>
      </w:r>
      <w:r w:rsidRPr="00FF2363">
        <w:t xml:space="preserve">s right to serve in that administrative position was not recognised under domestic law. </w:t>
      </w:r>
      <w:r w:rsidR="008C6A0A" w:rsidRPr="00FF2363">
        <w:t>D</w:t>
      </w:r>
      <w:r w:rsidRPr="00FF2363">
        <w:t>espite his appointment for a five-year period, the applicant</w:t>
      </w:r>
      <w:r w:rsidR="00FF2363" w:rsidRPr="00FF2363">
        <w:t>’</w:t>
      </w:r>
      <w:r w:rsidRPr="00FF2363">
        <w:t xml:space="preserve">s right to hold the position of president of the court was limited in time by the fact that he was due to reach the retirement age in 2013, before the expiry of that period (see Article 126 of the Constitution cited in paragraph </w:t>
      </w:r>
      <w:r w:rsidRPr="00FF2363">
        <w:fldChar w:fldCharType="begin"/>
      </w:r>
      <w:r w:rsidRPr="00FF2363">
        <w:instrText xml:space="preserve"> REF B1_Constitution \h  \* MERGEFORMAT </w:instrText>
      </w:r>
      <w:r w:rsidRPr="00FF2363">
        <w:fldChar w:fldCharType="separate"/>
      </w:r>
      <w:r w:rsidR="00FF2363" w:rsidRPr="00FF2363">
        <w:t>26</w:t>
      </w:r>
      <w:r w:rsidRPr="00FF2363">
        <w:fldChar w:fldCharType="end"/>
      </w:r>
      <w:r w:rsidRPr="00FF2363">
        <w:t xml:space="preserve"> above).</w:t>
      </w:r>
    </w:p>
    <w:bookmarkStart w:id="10" w:name="C1_Reasons_for_serious_dispute"/>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48</w:t>
      </w:r>
      <w:r w:rsidRPr="00FF2363">
        <w:fldChar w:fldCharType="end"/>
      </w:r>
      <w:bookmarkEnd w:id="10"/>
      <w:r w:rsidRPr="00FF2363">
        <w:t>.  </w:t>
      </w:r>
      <w:r w:rsidR="00AB3AF8" w:rsidRPr="00FF2363">
        <w:t>The Court</w:t>
      </w:r>
      <w:r w:rsidRPr="00FF2363">
        <w:t xml:space="preserve"> further observe</w:t>
      </w:r>
      <w:r w:rsidR="00AB3AF8" w:rsidRPr="00FF2363">
        <w:t>s</w:t>
      </w:r>
      <w:r w:rsidRPr="00FF2363">
        <w:t xml:space="preserve"> that the dispute was “genuine” as the parties differed as to whether the applicant could continue to hold his administrative position. Moreover, the dispute was “serious”, having regard to the role of the president of a court (see section 29 of the Judiciary and Status of Judges Act, cited in paragraph </w:t>
      </w:r>
      <w:r w:rsidRPr="00FF2363">
        <w:fldChar w:fldCharType="begin"/>
      </w:r>
      <w:r w:rsidRPr="00FF2363">
        <w:instrText xml:space="preserve"> REF B1_Domest_Law_on_Judiciary \h  \* MERGEFORMAT </w:instrText>
      </w:r>
      <w:r w:rsidRPr="00FF2363">
        <w:fldChar w:fldCharType="separate"/>
      </w:r>
      <w:r w:rsidR="00FF2363" w:rsidRPr="00FF2363">
        <w:t>28</w:t>
      </w:r>
      <w:r w:rsidRPr="00FF2363">
        <w:fldChar w:fldCharType="end"/>
      </w:r>
      <w:r w:rsidRPr="00FF2363">
        <w:t xml:space="preserve"> above) and to the direct pecuniary consequences for the applicant resulting from his removal from that administrative position. In that regard the Government</w:t>
      </w:r>
      <w:r w:rsidR="00FF2363" w:rsidRPr="00FF2363">
        <w:t>’</w:t>
      </w:r>
      <w:r w:rsidRPr="00FF2363">
        <w:t xml:space="preserve">s argument that </w:t>
      </w:r>
      <w:r w:rsidRPr="00FF2363">
        <w:lastRenderedPageBreak/>
        <w:t>the reduction in salary was insignificant for the applicant is not convincing. The applicant</w:t>
      </w:r>
      <w:r w:rsidR="00FF2363" w:rsidRPr="00FF2363">
        <w:t>’</w:t>
      </w:r>
      <w:r w:rsidRPr="00FF2363">
        <w:t xml:space="preserve">s calculation of pecuniary damage in his domestic claim was limited only to the short period (see paragraph </w:t>
      </w:r>
      <w:r w:rsidRPr="00FF2363">
        <w:fldChar w:fldCharType="begin"/>
      </w:r>
      <w:r w:rsidRPr="00FF2363">
        <w:instrText xml:space="preserve"> REF A1_Pecuniary_claim \h  \* MERGEFORMAT </w:instrText>
      </w:r>
      <w:r w:rsidRPr="00FF2363">
        <w:fldChar w:fldCharType="separate"/>
      </w:r>
      <w:r w:rsidR="00FF2363" w:rsidRPr="00FF2363">
        <w:t>22</w:t>
      </w:r>
      <w:r w:rsidRPr="00FF2363">
        <w:fldChar w:fldCharType="end"/>
      </w:r>
      <w:r w:rsidRPr="00FF2363">
        <w:t xml:space="preserve"> above) which had elapsed at that stage, because the principal purpose of the claim was to secure his reinstatement in the position of president of the court. However, the pecuniary consequences were </w:t>
      </w:r>
      <w:r w:rsidR="00B5717D" w:rsidRPr="00FF2363">
        <w:t>not insignificant</w:t>
      </w:r>
      <w:r w:rsidR="000029EB" w:rsidRPr="00FF2363">
        <w:t xml:space="preserve"> </w:t>
      </w:r>
      <w:r w:rsidRPr="00FF2363">
        <w:t>from the perspective of the whole period which remained for the applicant to serve as president.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49</w:t>
      </w:r>
      <w:r w:rsidRPr="00FF2363">
        <w:fldChar w:fldCharType="end"/>
      </w:r>
      <w:r w:rsidRPr="00FF2363">
        <w:t>.  Lastly, the dispute was “directly decisive” for the right at issue because it resulted in the premature termination of the applicant</w:t>
      </w:r>
      <w:r w:rsidR="00FF2363" w:rsidRPr="00FF2363">
        <w:t>’</w:t>
      </w:r>
      <w:r w:rsidRPr="00FF2363">
        <w:t>s exercise of that right.</w:t>
      </w:r>
    </w:p>
    <w:p w:rsidR="005374AD" w:rsidRPr="00FF2363" w:rsidRDefault="005374AD" w:rsidP="00FF2363">
      <w:pPr>
        <w:pStyle w:val="ECHRHeading4"/>
      </w:pPr>
      <w:r w:rsidRPr="00FF2363">
        <w:t>(</w:t>
      </w:r>
      <w:r w:rsidRPr="00FF2363">
        <w:rPr>
          <w:rFonts w:cstheme="minorHAnsi"/>
        </w:rPr>
        <w:t>b</w:t>
      </w:r>
      <w:r w:rsidRPr="00FF2363">
        <w:t>)</w:t>
      </w:r>
      <w:r w:rsidR="001B1405" w:rsidRPr="00FF2363">
        <w:t>  </w:t>
      </w:r>
      <w:r w:rsidRPr="00FF2363">
        <w:t>As to the “civil” nature of the right in dispute</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50</w:t>
      </w:r>
      <w:r w:rsidRPr="00FF2363">
        <w:fldChar w:fldCharType="end"/>
      </w:r>
      <w:r w:rsidRPr="00FF2363">
        <w:t>.  The Government contested the applicability of Article 6, arguing that the dispute was in the area of public law and that, consequently, there was no “civil” right at issue.</w:t>
      </w:r>
    </w:p>
    <w:p w:rsidR="00471812" w:rsidRPr="00FF2363" w:rsidRDefault="00471812" w:rsidP="00FF2363">
      <w:pPr>
        <w:pStyle w:val="ECHRHeading5"/>
      </w:pPr>
      <w:r w:rsidRPr="00FF2363">
        <w:t>(i)</w:t>
      </w:r>
      <w:r w:rsidR="001B1405" w:rsidRPr="00FF2363">
        <w:t>  </w:t>
      </w:r>
      <w:r w:rsidRPr="00FF2363">
        <w:t>The relevant principles</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51</w:t>
      </w:r>
      <w:r w:rsidRPr="00FF2363">
        <w:fldChar w:fldCharType="end"/>
      </w:r>
      <w:r w:rsidRPr="00FF2363">
        <w:t xml:space="preserve">.  In this connection it has to be noted that the scope of the “civil” concept in Article 6 is not limited by the immediate subject matter of the dispute. Instead, the Court has developed a wider approach, according to which the “civil” limb has covered cases which might not initially appear to concern a civil right but which may have direct and significant repercussions on a private pecuniary or non-pecuniary right belonging to an individual. Through this approach, the civil limb of Article 6 has been applied to a variety of disputes which may have been classified in domestic law as public-law disputes. These examples include disciplinary proceedings concerning the right to practise a profession (see </w:t>
      </w:r>
      <w:r w:rsidRPr="00FF2363">
        <w:rPr>
          <w:i/>
        </w:rPr>
        <w:t>Le Compte, Van Leuven and De Meyere v. Belgium</w:t>
      </w:r>
      <w:r w:rsidRPr="00FF2363">
        <w:t>, 23 June 1981, §§ 47 an</w:t>
      </w:r>
      <w:r w:rsidR="00A25479" w:rsidRPr="00FF2363">
        <w:t>d 48, Series </w:t>
      </w:r>
      <w:r w:rsidRPr="00FF2363">
        <w:t xml:space="preserve">A no. 43, and </w:t>
      </w:r>
      <w:r w:rsidRPr="00FF2363">
        <w:rPr>
          <w:i/>
        </w:rPr>
        <w:t>Philis v. Greece (no. 2)</w:t>
      </w:r>
      <w:r w:rsidRPr="00FF2363">
        <w:t xml:space="preserve">, 27 June 1997, § 45, </w:t>
      </w:r>
      <w:r w:rsidRPr="00FF2363">
        <w:rPr>
          <w:i/>
        </w:rPr>
        <w:t>Reports of Judgments and Decisions</w:t>
      </w:r>
      <w:r w:rsidRPr="00FF2363">
        <w:t xml:space="preserve"> 1997</w:t>
      </w:r>
      <w:r w:rsidRPr="00FF2363">
        <w:noBreakHyphen/>
        <w:t xml:space="preserve">IV), disputes involving the right to a healthy environment (see </w:t>
      </w:r>
      <w:r w:rsidRPr="00FF2363">
        <w:rPr>
          <w:i/>
        </w:rPr>
        <w:t>Taşkın and Others v. Turkey</w:t>
      </w:r>
      <w:r w:rsidRPr="00FF2363">
        <w:t>, no. 46117/99, § 133, ECHR 2004</w:t>
      </w:r>
      <w:r w:rsidRPr="00FF2363">
        <w:noBreakHyphen/>
        <w:t>X), prisoners</w:t>
      </w:r>
      <w:r w:rsidR="00FF2363" w:rsidRPr="00FF2363">
        <w:t>’</w:t>
      </w:r>
      <w:r w:rsidRPr="00FF2363">
        <w:t xml:space="preserve"> detention arrangements (see </w:t>
      </w:r>
      <w:r w:rsidRPr="00FF2363">
        <w:rPr>
          <w:i/>
        </w:rPr>
        <w:t>Ganci v.</w:t>
      </w:r>
      <w:r w:rsidR="001B1405" w:rsidRPr="00FF2363">
        <w:rPr>
          <w:i/>
        </w:rPr>
        <w:t> </w:t>
      </w:r>
      <w:r w:rsidRPr="00FF2363">
        <w:rPr>
          <w:i/>
        </w:rPr>
        <w:t>Italy</w:t>
      </w:r>
      <w:r w:rsidRPr="00FF2363">
        <w:t>, no. 41576/98, § 25, ECHR 2003</w:t>
      </w:r>
      <w:r w:rsidRPr="00FF2363">
        <w:noBreakHyphen/>
        <w:t xml:space="preserve">XI, and </w:t>
      </w:r>
      <w:r w:rsidRPr="00FF2363">
        <w:rPr>
          <w:i/>
        </w:rPr>
        <w:t>Enea v. Italy</w:t>
      </w:r>
      <w:r w:rsidRPr="00FF2363">
        <w:t xml:space="preserve"> [GC], no. 74912/01, § 103, ECHR 2009), the right of access to investigation documents (see </w:t>
      </w:r>
      <w:r w:rsidRPr="00FF2363">
        <w:rPr>
          <w:i/>
        </w:rPr>
        <w:t>Savitskyy v.</w:t>
      </w:r>
      <w:r w:rsidR="001B1405" w:rsidRPr="00FF2363">
        <w:rPr>
          <w:i/>
        </w:rPr>
        <w:t> </w:t>
      </w:r>
      <w:r w:rsidRPr="00FF2363">
        <w:rPr>
          <w:i/>
        </w:rPr>
        <w:t>Ukraine</w:t>
      </w:r>
      <w:r w:rsidRPr="00FF2363">
        <w:t>, no. 38773/05</w:t>
      </w:r>
      <w:r w:rsidRPr="00FF2363">
        <w:rPr>
          <w:snapToGrid w:val="0"/>
        </w:rPr>
        <w:t>, §§ 143-45, 2</w:t>
      </w:r>
      <w:r w:rsidRPr="00FF2363">
        <w:t>6</w:t>
      </w:r>
      <w:r w:rsidRPr="00FF2363">
        <w:rPr>
          <w:snapToGrid w:val="0"/>
        </w:rPr>
        <w:t xml:space="preserve"> July 2012), disputes regarding the non-inclusion of a </w:t>
      </w:r>
      <w:r w:rsidRPr="00FF2363">
        <w:t xml:space="preserve">conviction in a criminal record (see </w:t>
      </w:r>
      <w:r w:rsidRPr="00FF2363">
        <w:rPr>
          <w:i/>
        </w:rPr>
        <w:t>Alexandre v. Portugal</w:t>
      </w:r>
      <w:r w:rsidRPr="00FF2363">
        <w:t>, no. 33197/09</w:t>
      </w:r>
      <w:r w:rsidRPr="00FF2363">
        <w:rPr>
          <w:snapToGrid w:val="0"/>
        </w:rPr>
        <w:t xml:space="preserve">, §§ 54 and 55, 20 November 2012), </w:t>
      </w:r>
      <w:r w:rsidRPr="00FF2363">
        <w:t xml:space="preserve">proceedings for the application of a non-custodial preventive measure (see </w:t>
      </w:r>
      <w:r w:rsidRPr="00FF2363">
        <w:rPr>
          <w:i/>
        </w:rPr>
        <w:t xml:space="preserve">De Tommaso v. Italy </w:t>
      </w:r>
      <w:r w:rsidRPr="00FF2363">
        <w:t>[GC], no. 43395/09, § 154, ECHR 2017 (extracts)), and the revocation of a civil servant</w:t>
      </w:r>
      <w:r w:rsidR="00FF2363" w:rsidRPr="00FF2363">
        <w:t>’</w:t>
      </w:r>
      <w:r w:rsidRPr="00FF2363">
        <w:t xml:space="preserve">s security clearance within the Ministry of Defence (see </w:t>
      </w:r>
      <w:r w:rsidRPr="00FF2363">
        <w:rPr>
          <w:i/>
        </w:rPr>
        <w:t>Regner</w:t>
      </w:r>
      <w:r w:rsidRPr="00FF2363">
        <w:t>, cited above, §§ 113-27).</w:t>
      </w:r>
    </w:p>
    <w:p w:rsidR="005374AD" w:rsidRPr="00FF2363" w:rsidRDefault="005374AD" w:rsidP="00FF2363">
      <w:pPr>
        <w:pStyle w:val="ECHRPara"/>
        <w:rPr>
          <w:i/>
        </w:rPr>
      </w:pPr>
      <w:r w:rsidRPr="00FF2363">
        <w:fldChar w:fldCharType="begin"/>
      </w:r>
      <w:r w:rsidRPr="00FF2363">
        <w:instrText xml:space="preserve"> SEQ level0 \*arabic </w:instrText>
      </w:r>
      <w:r w:rsidRPr="00FF2363">
        <w:fldChar w:fldCharType="separate"/>
      </w:r>
      <w:r w:rsidR="00FF2363" w:rsidRPr="00FF2363">
        <w:rPr>
          <w:noProof/>
        </w:rPr>
        <w:t>52</w:t>
      </w:r>
      <w:r w:rsidRPr="00FF2363">
        <w:fldChar w:fldCharType="end"/>
      </w:r>
      <w:r w:rsidRPr="00FF2363">
        <w:t>.  </w:t>
      </w:r>
      <w:r w:rsidR="004D7C68" w:rsidRPr="00FF2363">
        <w:t>Besides</w:t>
      </w:r>
      <w:r w:rsidRPr="00FF2363">
        <w:t xml:space="preserve"> the above</w:t>
      </w:r>
      <w:r w:rsidR="004D7C68" w:rsidRPr="00FF2363">
        <w:t>-mentioned</w:t>
      </w:r>
      <w:r w:rsidRPr="00FF2363">
        <w:t xml:space="preserve"> development of the case-law, the scope of the “civil” limb has been substantially extended in relation to public</w:t>
      </w:r>
      <w:r w:rsidR="004D7C68" w:rsidRPr="00FF2363">
        <w:t>-</w:t>
      </w:r>
      <w:r w:rsidRPr="00FF2363">
        <w:t xml:space="preserve">employment disputes, a field which is directly relevant to the present </w:t>
      </w:r>
      <w:r w:rsidRPr="00FF2363">
        <w:lastRenderedPageBreak/>
        <w:t xml:space="preserve">case. In </w:t>
      </w:r>
      <w:r w:rsidRPr="00FF2363">
        <w:rPr>
          <w:i/>
        </w:rPr>
        <w:t>Vilho Eskelinen and Others</w:t>
      </w:r>
      <w:r w:rsidRPr="00FF2363">
        <w:t xml:space="preserve"> (cited above) the Court, having regard to the existing state of affairs in the Contracting States and in view of non-discrimination considerations in relation to civil servants as compared to private employees, established a presumption that Article 6 applied to “ordinary labour disputes” between a civil servant and the State and that it would be for the respondent Government to show that a civil servant did not have a right of access to a court under national law and that this exclusion of the rights under Article</w:t>
      </w:r>
      <w:r w:rsidR="001B1405" w:rsidRPr="00FF2363">
        <w:t> </w:t>
      </w:r>
      <w:r w:rsidRPr="00FF2363">
        <w:t xml:space="preserve">6 was justified (ibid., § 62). On the basis of the principles set out in </w:t>
      </w:r>
      <w:r w:rsidRPr="00FF2363">
        <w:rPr>
          <w:i/>
        </w:rPr>
        <w:t>Vilho Eskelinen and Others</w:t>
      </w:r>
      <w:r w:rsidRPr="00FF2363">
        <w:t xml:space="preserve">, Article 6 has been applied to employment disputes involving judges who were dismissed from judicial office (see, for example, </w:t>
      </w:r>
      <w:r w:rsidRPr="00FF2363">
        <w:rPr>
          <w:i/>
        </w:rPr>
        <w:t>Oleksandr Volkov</w:t>
      </w:r>
      <w:r w:rsidRPr="00FF2363">
        <w:t xml:space="preserve">, cited above, </w:t>
      </w:r>
      <w:r w:rsidR="00C66B5D" w:rsidRPr="00FF2363">
        <w:t>§</w:t>
      </w:r>
      <w:r w:rsidRPr="00FF2363">
        <w:t>§ 91</w:t>
      </w:r>
      <w:r w:rsidR="0057663D" w:rsidRPr="00FF2363">
        <w:t xml:space="preserve"> and </w:t>
      </w:r>
      <w:r w:rsidR="00C66B5D" w:rsidRPr="00FF2363">
        <w:t>96</w:t>
      </w:r>
      <w:r w:rsidR="004D7C68" w:rsidRPr="00FF2363">
        <w:t>;</w:t>
      </w:r>
      <w:r w:rsidR="00C66B5D" w:rsidRPr="00FF2363">
        <w:t xml:space="preserve"> </w:t>
      </w:r>
      <w:r w:rsidR="00C66B5D" w:rsidRPr="00FF2363">
        <w:rPr>
          <w:i/>
        </w:rPr>
        <w:t>Kulykov and Others v.</w:t>
      </w:r>
      <w:r w:rsidR="001B1405" w:rsidRPr="00FF2363">
        <w:rPr>
          <w:i/>
        </w:rPr>
        <w:t> </w:t>
      </w:r>
      <w:r w:rsidR="00C66B5D" w:rsidRPr="00FF2363">
        <w:rPr>
          <w:i/>
        </w:rPr>
        <w:t>Ukraine</w:t>
      </w:r>
      <w:r w:rsidR="00C66B5D" w:rsidRPr="00FF2363">
        <w:t>, nos. 5114/09 and</w:t>
      </w:r>
      <w:r w:rsidR="00C66B5D" w:rsidRPr="00FF2363">
        <w:rPr>
          <w:i/>
        </w:rPr>
        <w:t xml:space="preserve"> </w:t>
      </w:r>
      <w:r w:rsidR="00C66B5D" w:rsidRPr="00FF2363">
        <w:t>17 others, §§ 118 and 132, 19 January 2017</w:t>
      </w:r>
      <w:r w:rsidR="004D7C68" w:rsidRPr="00FF2363">
        <w:t>;</w:t>
      </w:r>
      <w:r w:rsidR="00A81B65" w:rsidRPr="00FF2363">
        <w:t xml:space="preserve"> </w:t>
      </w:r>
      <w:r w:rsidR="00A81B65" w:rsidRPr="00FF2363">
        <w:rPr>
          <w:i/>
        </w:rPr>
        <w:t>Sturua v. Georgia</w:t>
      </w:r>
      <w:r w:rsidR="00A81B65" w:rsidRPr="00FF2363">
        <w:t>, no. 45729/05, § 27, 28 March 2017</w:t>
      </w:r>
      <w:r w:rsidR="004D7C68" w:rsidRPr="00FF2363">
        <w:t>; and</w:t>
      </w:r>
      <w:r w:rsidR="00902F9D" w:rsidRPr="00FF2363">
        <w:t xml:space="preserve"> </w:t>
      </w:r>
      <w:r w:rsidR="00902F9D" w:rsidRPr="00FF2363">
        <w:rPr>
          <w:rStyle w:val="ECHRParaChar"/>
          <w:i/>
          <w:iCs/>
          <w:lang w:val="es-ES_tradnl"/>
        </w:rPr>
        <w:t>Kamenos v.</w:t>
      </w:r>
      <w:r w:rsidR="001B1405" w:rsidRPr="00FF2363">
        <w:rPr>
          <w:rStyle w:val="ECHRParaChar"/>
          <w:i/>
          <w:iCs/>
          <w:lang w:val="es-ES_tradnl"/>
        </w:rPr>
        <w:t> </w:t>
      </w:r>
      <w:r w:rsidR="00902F9D" w:rsidRPr="00FF2363">
        <w:rPr>
          <w:rStyle w:val="ECHRParaChar"/>
          <w:i/>
          <w:iCs/>
          <w:lang w:val="es-ES_tradnl"/>
        </w:rPr>
        <w:t>Cyprus</w:t>
      </w:r>
      <w:r w:rsidR="00902F9D" w:rsidRPr="00FF2363">
        <w:rPr>
          <w:lang w:val="es-ES_tradnl" w:eastAsia="en-GB"/>
        </w:rPr>
        <w:t xml:space="preserve">, no. </w:t>
      </w:r>
      <w:r w:rsidR="00902F9D" w:rsidRPr="00FF2363">
        <w:rPr>
          <w:lang w:val="es-ES_tradnl"/>
        </w:rPr>
        <w:t>147/07</w:t>
      </w:r>
      <w:r w:rsidR="00902F9D" w:rsidRPr="00FF2363">
        <w:rPr>
          <w:lang w:val="es-ES_tradnl" w:eastAsia="en-GB"/>
        </w:rPr>
        <w:t xml:space="preserve">, </w:t>
      </w:r>
      <w:r w:rsidR="00902F9D" w:rsidRPr="00FF2363">
        <w:rPr>
          <w:lang w:val="es-ES_tradnl"/>
        </w:rPr>
        <w:t>§ 88, 31 October 2017</w:t>
      </w:r>
      <w:r w:rsidRPr="00FF2363">
        <w:t>)</w:t>
      </w:r>
      <w:r w:rsidR="000A5319" w:rsidRPr="00FF2363">
        <w:t>,</w:t>
      </w:r>
      <w:r w:rsidRPr="00FF2363">
        <w:t xml:space="preserve"> removed from an administrative position without the termination of their duties as a judge (see </w:t>
      </w:r>
      <w:r w:rsidRPr="00FF2363">
        <w:rPr>
          <w:i/>
        </w:rPr>
        <w:t>Baka</w:t>
      </w:r>
      <w:r w:rsidRPr="00FF2363">
        <w:t>,</w:t>
      </w:r>
      <w:r w:rsidRPr="00FF2363">
        <w:rPr>
          <w:i/>
        </w:rPr>
        <w:t xml:space="preserve"> </w:t>
      </w:r>
      <w:r w:rsidRPr="00FF2363">
        <w:t>cited above,</w:t>
      </w:r>
      <w:r w:rsidRPr="00FF2363">
        <w:rPr>
          <w:i/>
        </w:rPr>
        <w:t xml:space="preserve"> </w:t>
      </w:r>
      <w:r w:rsidRPr="00FF2363">
        <w:rPr>
          <w:snapToGrid w:val="0"/>
        </w:rPr>
        <w:t>§§ 34 and 107-11</w:t>
      </w:r>
      <w:r w:rsidRPr="00FF2363">
        <w:t>)</w:t>
      </w:r>
      <w:r w:rsidR="00A81B65" w:rsidRPr="00FF2363">
        <w:t xml:space="preserve"> or suspended </w:t>
      </w:r>
      <w:r w:rsidR="00D50AE0" w:rsidRPr="00FF2363">
        <w:t xml:space="preserve">from judicial office (see </w:t>
      </w:r>
      <w:r w:rsidR="00D50AE0" w:rsidRPr="00FF2363">
        <w:rPr>
          <w:i/>
          <w:iCs/>
        </w:rPr>
        <w:t>Paluda v. Slovakia</w:t>
      </w:r>
      <w:r w:rsidR="00D50AE0" w:rsidRPr="00FF2363">
        <w:t>, no. 33392/12, § 34, 23 May 2017)</w:t>
      </w:r>
      <w:r w:rsidRPr="00FF2363">
        <w:t xml:space="preserve">. It has also been applied to employment disputes involving civil servants who had lost a remote-area allowance which had been added to their salaries as a bonus (see </w:t>
      </w:r>
      <w:r w:rsidRPr="00FF2363">
        <w:rPr>
          <w:i/>
        </w:rPr>
        <w:t>Vilho</w:t>
      </w:r>
      <w:r w:rsidRPr="00FF2363">
        <w:t xml:space="preserve"> </w:t>
      </w:r>
      <w:r w:rsidRPr="00FF2363">
        <w:rPr>
          <w:i/>
        </w:rPr>
        <w:t>Eskelinen</w:t>
      </w:r>
      <w:r w:rsidRPr="00FF2363">
        <w:t xml:space="preserve">, cited above, §§ 40 and 41) or who had been transferred to another office or post against their will, resulting in a decrease in salary (see </w:t>
      </w:r>
      <w:r w:rsidRPr="00FF2363">
        <w:rPr>
          <w:i/>
        </w:rPr>
        <w:t>Zalli v. Albania</w:t>
      </w:r>
      <w:r w:rsidRPr="00FF2363">
        <w:t xml:space="preserve">, no. 52531/07, 8 February 2011, and </w:t>
      </w:r>
      <w:r w:rsidRPr="00FF2363">
        <w:rPr>
          <w:i/>
        </w:rPr>
        <w:t>Ohneberg v.</w:t>
      </w:r>
      <w:r w:rsidR="001B1405" w:rsidRPr="00FF2363">
        <w:rPr>
          <w:i/>
        </w:rPr>
        <w:t> </w:t>
      </w:r>
      <w:r w:rsidRPr="00FF2363">
        <w:rPr>
          <w:i/>
        </w:rPr>
        <w:t>Austria</w:t>
      </w:r>
      <w:r w:rsidRPr="00FF2363">
        <w:t xml:space="preserve">, no. 10781/08, 18 September 2012). Furthermore, in </w:t>
      </w:r>
      <w:r w:rsidRPr="00FF2363">
        <w:rPr>
          <w:i/>
        </w:rPr>
        <w:t>Bayer v. Germany</w:t>
      </w:r>
      <w:r w:rsidRPr="00FF2363">
        <w:t xml:space="preserve"> (no. 8453/04</w:t>
      </w:r>
      <w:r w:rsidRPr="00FF2363">
        <w:rPr>
          <w:snapToGrid w:val="0"/>
        </w:rPr>
        <w:t xml:space="preserve">, 16 July 2009), which concerned the removal from office of a State-employed bailiff following disciplinary proceedings, </w:t>
      </w:r>
      <w:r w:rsidRPr="00FF2363">
        <w:t xml:space="preserve">the Court held </w:t>
      </w:r>
      <w:r w:rsidRPr="00FF2363">
        <w:rPr>
          <w:snapToGrid w:val="0"/>
        </w:rPr>
        <w:t xml:space="preserve">that disputes </w:t>
      </w:r>
      <w:r w:rsidRPr="00FF2363">
        <w:t>about “salaries, allowances or similar entitlements” were only non-exhaustive</w:t>
      </w:r>
      <w:r w:rsidRPr="00FF2363">
        <w:rPr>
          <w:snapToGrid w:val="0"/>
        </w:rPr>
        <w:t xml:space="preserve"> examples of “ordinary labour disputes” to which Article 6 should in principle apply under the </w:t>
      </w:r>
      <w:r w:rsidRPr="00FF2363">
        <w:rPr>
          <w:i/>
          <w:snapToGrid w:val="0"/>
        </w:rPr>
        <w:t>Vilho Eskelinen</w:t>
      </w:r>
      <w:r w:rsidRPr="00FF2363">
        <w:rPr>
          <w:snapToGrid w:val="0"/>
        </w:rPr>
        <w:t xml:space="preserve"> test (ibid., § 38; see also </w:t>
      </w:r>
      <w:r w:rsidRPr="00FF2363">
        <w:rPr>
          <w:i/>
          <w:snapToGrid w:val="0"/>
        </w:rPr>
        <w:t>Regner</w:t>
      </w:r>
      <w:r w:rsidRPr="00FF2363">
        <w:rPr>
          <w:snapToGrid w:val="0"/>
        </w:rPr>
        <w:t>, cited above, § 108).</w:t>
      </w:r>
    </w:p>
    <w:p w:rsidR="00471812" w:rsidRPr="00FF2363" w:rsidRDefault="00471812" w:rsidP="00FF2363">
      <w:pPr>
        <w:pStyle w:val="ECHRHeading5"/>
      </w:pPr>
      <w:r w:rsidRPr="00FF2363">
        <w:t>(ii)</w:t>
      </w:r>
      <w:r w:rsidR="0045551C" w:rsidRPr="00FF2363">
        <w:t>  </w:t>
      </w:r>
      <w:r w:rsidRPr="00FF2363">
        <w:t>Application of these principles to the present case</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53</w:t>
      </w:r>
      <w:r w:rsidRPr="00FF2363">
        <w:fldChar w:fldCharType="end"/>
      </w:r>
      <w:r w:rsidRPr="00FF2363">
        <w:t>.  In the light of the above principles, the Government</w:t>
      </w:r>
      <w:r w:rsidR="00FF2363" w:rsidRPr="00FF2363">
        <w:t>’</w:t>
      </w:r>
      <w:r w:rsidRPr="00FF2363">
        <w:t>s argument that the civil limb of Article 6 § 1 is not applicable for the sole reason that the applicant</w:t>
      </w:r>
      <w:r w:rsidR="00FF2363" w:rsidRPr="00FF2363">
        <w:t>’</w:t>
      </w:r>
      <w:r w:rsidRPr="00FF2363">
        <w:t>s dispute falls within the field of public law and there is no “civil” right at stake is not convincing. As shown above, a public-law dispute may bring the civil limb into play if the private-law aspects predominate over the public-law ones in view of the direct consequences for a civil pecuniary or non-pecuniary right. Furthermore, the</w:t>
      </w:r>
      <w:r w:rsidR="00D101AA" w:rsidRPr="00FF2363">
        <w:t xml:space="preserve"> Court</w:t>
      </w:r>
      <w:r w:rsidRPr="00FF2363">
        <w:t xml:space="preserve"> follow</w:t>
      </w:r>
      <w:r w:rsidR="00D101AA" w:rsidRPr="00FF2363">
        <w:t>s</w:t>
      </w:r>
      <w:r w:rsidRPr="00FF2363">
        <w:t xml:space="preserve"> the criteria set out in </w:t>
      </w:r>
      <w:r w:rsidRPr="00FF2363">
        <w:rPr>
          <w:i/>
        </w:rPr>
        <w:t>Vilho Eskelinen and Others</w:t>
      </w:r>
      <w:r w:rsidRPr="00FF2363">
        <w:t xml:space="preserve"> and appl</w:t>
      </w:r>
      <w:r w:rsidR="0065189E" w:rsidRPr="00FF2363">
        <w:t>ies</w:t>
      </w:r>
      <w:r w:rsidRPr="00FF2363">
        <w:t xml:space="preserve"> a general presumption that such direct consequences for civil rights exist in “ordinary labour disputes” involving </w:t>
      </w:r>
      <w:r w:rsidR="00852213" w:rsidRPr="00FF2363">
        <w:t xml:space="preserve">members of the public service, including judges </w:t>
      </w:r>
      <w:r w:rsidRPr="00FF2363">
        <w:t>(ibid., § 62</w:t>
      </w:r>
      <w:r w:rsidR="00852213" w:rsidRPr="00FF2363">
        <w:t xml:space="preserve"> and </w:t>
      </w:r>
      <w:r w:rsidR="00852213" w:rsidRPr="00FF2363">
        <w:rPr>
          <w:i/>
        </w:rPr>
        <w:t>Baka</w:t>
      </w:r>
      <w:r w:rsidR="00852213" w:rsidRPr="00FF2363">
        <w:t>, cited above, § 104</w:t>
      </w:r>
      <w:r w:rsidRPr="00FF2363">
        <w:t>)</w:t>
      </w:r>
      <w:r w:rsidRPr="00FF2363">
        <w:rPr>
          <w:i/>
        </w:rPr>
        <w:t>.</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54</w:t>
      </w:r>
      <w:r w:rsidRPr="00FF2363">
        <w:fldChar w:fldCharType="end"/>
      </w:r>
      <w:r w:rsidRPr="00FF2363">
        <w:t xml:space="preserve">.  Indeed, the present case concerned an “ordinary labour dispute” given that it essentially affected (i) the scope of the work which the </w:t>
      </w:r>
      <w:r w:rsidRPr="00FF2363">
        <w:lastRenderedPageBreak/>
        <w:t xml:space="preserve">applicant was required to perform as an employee and (ii) his remuneration as part of his employment relationship (compare </w:t>
      </w:r>
      <w:r w:rsidRPr="00FF2363">
        <w:rPr>
          <w:i/>
        </w:rPr>
        <w:t>Ohneberg</w:t>
      </w:r>
      <w:r w:rsidRPr="00FF2363">
        <w:t>, cited above</w:t>
      </w:r>
      <w:r w:rsidRPr="00FF2363">
        <w:rPr>
          <w:snapToGrid w:val="0"/>
        </w:rPr>
        <w:t>, § 25</w:t>
      </w:r>
      <w:r w:rsidRPr="00FF2363">
        <w:t xml:space="preserve">). </w:t>
      </w:r>
      <w:r w:rsidR="00C66B5D" w:rsidRPr="00FF2363">
        <w:t>Having regard to these two aspects</w:t>
      </w:r>
      <w:r w:rsidRPr="00FF2363">
        <w:t>, there is no reason to conclude that there was no “civil” element in the applicant</w:t>
      </w:r>
      <w:r w:rsidR="00FF2363" w:rsidRPr="00FF2363">
        <w:t>’</w:t>
      </w:r>
      <w:r w:rsidRPr="00FF2363">
        <w:t>s dispute or that such an element was insufficiently significant to bring the “civil” limb of Article</w:t>
      </w:r>
      <w:r w:rsidR="001B1405" w:rsidRPr="00FF2363">
        <w:t> </w:t>
      </w:r>
      <w:r w:rsidRPr="00FF2363">
        <w:t>6 into play.</w:t>
      </w:r>
    </w:p>
    <w:p w:rsidR="005374AD" w:rsidRPr="00FF2363" w:rsidRDefault="00CB180C"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55</w:t>
      </w:r>
      <w:r w:rsidRPr="00FF2363">
        <w:fldChar w:fldCharType="end"/>
      </w:r>
      <w:r w:rsidRPr="00FF2363">
        <w:t>.  </w:t>
      </w:r>
      <w:r w:rsidR="005374AD" w:rsidRPr="00FF2363">
        <w:t xml:space="preserve">Applying the </w:t>
      </w:r>
      <w:r w:rsidR="005374AD" w:rsidRPr="00FF2363">
        <w:rPr>
          <w:i/>
        </w:rPr>
        <w:t>Vilho Eskelinen</w:t>
      </w:r>
      <w:r w:rsidR="005374AD" w:rsidRPr="00FF2363">
        <w:t xml:space="preserve"> test further, it is not disputed that domestic law provides for access to a court in the case of claims concerning dismissal from administrative positions in the judiciary. Accordingly, Article 6 applies under its civil head.</w:t>
      </w:r>
    </w:p>
    <w:p w:rsidR="005374AD" w:rsidRPr="00FF2363" w:rsidRDefault="005374A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56</w:t>
      </w:r>
      <w:r w:rsidRPr="00FF2363">
        <w:fldChar w:fldCharType="end"/>
      </w:r>
      <w:r w:rsidRPr="00FF2363">
        <w:t>.  It follows that the Government</w:t>
      </w:r>
      <w:r w:rsidR="00FF2363" w:rsidRPr="00FF2363">
        <w:t>’</w:t>
      </w:r>
      <w:r w:rsidRPr="00FF2363">
        <w:t>s preliminary objection as to the applicability of Article 6 § 1 of the Convention must be dismissed.</w:t>
      </w:r>
    </w:p>
    <w:p w:rsidR="00014566" w:rsidRPr="00FF2363" w:rsidRDefault="00E67321" w:rsidP="00FF2363">
      <w:pPr>
        <w:pStyle w:val="ECHRPara"/>
        <w:keepNext/>
      </w:pPr>
      <w:r w:rsidRPr="00FF2363">
        <w:fldChar w:fldCharType="begin"/>
      </w:r>
      <w:r w:rsidRPr="00FF2363">
        <w:instrText xml:space="preserve"> SEQ level0 \*arabic </w:instrText>
      </w:r>
      <w:r w:rsidRPr="00FF2363">
        <w:fldChar w:fldCharType="separate"/>
      </w:r>
      <w:r w:rsidR="00FF2363" w:rsidRPr="00FF2363">
        <w:rPr>
          <w:noProof/>
        </w:rPr>
        <w:t>57</w:t>
      </w:r>
      <w:r w:rsidRPr="00FF2363">
        <w:fldChar w:fldCharType="end"/>
      </w:r>
      <w:r w:rsidRPr="00FF2363">
        <w:t>.  </w:t>
      </w:r>
      <w:r w:rsidR="00014566" w:rsidRPr="00FF2363">
        <w:t xml:space="preserve">The Court </w:t>
      </w:r>
      <w:r w:rsidR="00FF2A36" w:rsidRPr="00FF2363">
        <w:t xml:space="preserve">further </w:t>
      </w:r>
      <w:r w:rsidR="00014566" w:rsidRPr="00FF2363">
        <w:t>notes that this complaint is not manifestly ill</w:t>
      </w:r>
      <w:r w:rsidR="006B668D" w:rsidRPr="00FF2363">
        <w:noBreakHyphen/>
      </w:r>
      <w:r w:rsidR="00014566" w:rsidRPr="00FF2363">
        <w:t>founded within the meaning of Article 35 § 3 (a) of the Convention. It is not inadmissible on any other grounds. It must therefore be declared admissible.</w:t>
      </w:r>
    </w:p>
    <w:p w:rsidR="00014566" w:rsidRPr="00FF2363" w:rsidRDefault="00014566" w:rsidP="00FF2363">
      <w:pPr>
        <w:pStyle w:val="ECHRHeading2"/>
      </w:pPr>
      <w:r w:rsidRPr="00FF2363">
        <w:t>B.  Merits</w:t>
      </w:r>
    </w:p>
    <w:p w:rsidR="00FF2A36" w:rsidRPr="00FF2363" w:rsidRDefault="00FF2A36" w:rsidP="00FF2363">
      <w:pPr>
        <w:pStyle w:val="ECHRHeading3"/>
      </w:pPr>
      <w:r w:rsidRPr="00FF2363">
        <w:t>1.</w:t>
      </w:r>
      <w:r w:rsidR="00DF113A" w:rsidRPr="00FF2363">
        <w:t> </w:t>
      </w:r>
      <w:r w:rsidRPr="00FF2363">
        <w:t>The parties</w:t>
      </w:r>
      <w:r w:rsidR="00FF2363" w:rsidRPr="00FF2363">
        <w:t>’</w:t>
      </w:r>
      <w:r w:rsidRPr="00FF2363">
        <w:t xml:space="preserve"> submissions</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58</w:t>
      </w:r>
      <w:r w:rsidRPr="00FF2363">
        <w:fldChar w:fldCharType="end"/>
      </w:r>
      <w:r w:rsidRPr="00FF2363">
        <w:t>.  The applicant submitted that the HCJ did not constitute an “independent and impartial tribunal” owing to the manner of its composition, the subordination of its members to other State bodies and the lack of objective impartiality and the existence of personal bias on the part of some of its members. Furthermore, the obligation to provide an “independent and impartial tribunal” had not been satisfied by the HAC either.</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59</w:t>
      </w:r>
      <w:r w:rsidRPr="00FF2363">
        <w:fldChar w:fldCharType="end"/>
      </w:r>
      <w:r w:rsidRPr="00FF2363">
        <w:t>.  The Government submitted that the requirements of Article 6 § 1 had been met and that there was no indication of bias on the part of the national authorities. They emphasised that the HAC</w:t>
      </w:r>
      <w:r w:rsidR="00FF2363" w:rsidRPr="00FF2363">
        <w:t>’</w:t>
      </w:r>
      <w:r w:rsidRPr="00FF2363">
        <w:t>s judgment had been based on the parties</w:t>
      </w:r>
      <w:r w:rsidR="00FF2363" w:rsidRPr="00FF2363">
        <w:t>’</w:t>
      </w:r>
      <w:r w:rsidRPr="00FF2363">
        <w:t xml:space="preserve"> submissions and had included sufficient reasons.</w:t>
      </w:r>
    </w:p>
    <w:p w:rsidR="00FF2A36" w:rsidRPr="00FF2363" w:rsidRDefault="00FF2A36" w:rsidP="00FF2363">
      <w:pPr>
        <w:pStyle w:val="ECHRHeading3"/>
      </w:pPr>
      <w:r w:rsidRPr="00FF2363">
        <w:t>2.</w:t>
      </w:r>
      <w:r w:rsidR="001B1405" w:rsidRPr="00FF2363">
        <w:t> </w:t>
      </w:r>
      <w:r w:rsidRPr="00FF2363">
        <w:t>The Court</w:t>
      </w:r>
      <w:r w:rsidR="00FF2363" w:rsidRPr="00FF2363">
        <w:t>’</w:t>
      </w:r>
      <w:r w:rsidRPr="00FF2363">
        <w:t>s assessment</w:t>
      </w:r>
    </w:p>
    <w:p w:rsidR="00FF2A36" w:rsidRPr="00FF2363" w:rsidRDefault="00FF2A36" w:rsidP="00FF2363">
      <w:pPr>
        <w:pStyle w:val="ECHRHeading4"/>
      </w:pPr>
      <w:r w:rsidRPr="00FF2363">
        <w:t>(</w:t>
      </w:r>
      <w:r w:rsidRPr="00FF2363">
        <w:rPr>
          <w:rFonts w:cstheme="minorHAnsi"/>
        </w:rPr>
        <w:t>a</w:t>
      </w:r>
      <w:r w:rsidRPr="00FF2363">
        <w:t>)</w:t>
      </w:r>
      <w:r w:rsidR="001B1405" w:rsidRPr="00FF2363">
        <w:t>  </w:t>
      </w:r>
      <w:r w:rsidRPr="00FF2363">
        <w:t>General principles relating to the requirements of an “independent and impartial tribunal” at the stages of the determination and the review of the case</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60</w:t>
      </w:r>
      <w:r w:rsidRPr="00FF2363">
        <w:fldChar w:fldCharType="end"/>
      </w:r>
      <w:r w:rsidRPr="00FF2363">
        <w:t>.  </w:t>
      </w:r>
      <w:r w:rsidR="007B5595" w:rsidRPr="00FF2363">
        <w:t>In determining whether a body coul</w:t>
      </w:r>
      <w:r w:rsidR="006B668D" w:rsidRPr="00FF2363">
        <w:t>d be considered “independent”</w:t>
      </w:r>
      <w:r w:rsidR="006B668D" w:rsidRPr="00FF2363">
        <w:noBreakHyphen/>
      </w:r>
      <w:r w:rsidR="004D7C68" w:rsidRPr="00FF2363">
        <w:t>in particular, from</w:t>
      </w:r>
      <w:r w:rsidR="007B5595" w:rsidRPr="00FF2363">
        <w:t xml:space="preserve"> the executiv</w:t>
      </w:r>
      <w:r w:rsidR="006B668D" w:rsidRPr="00FF2363">
        <w:t>e and the parties to the case</w:t>
      </w:r>
      <w:r w:rsidR="006B668D" w:rsidRPr="00FF2363">
        <w:noBreakHyphen/>
      </w:r>
      <w:r w:rsidR="007B5595" w:rsidRPr="00FF2363">
        <w:t xml:space="preserve">the Court </w:t>
      </w:r>
      <w:r w:rsidR="004D7C68" w:rsidRPr="00FF2363">
        <w:t xml:space="preserve">has </w:t>
      </w:r>
      <w:r w:rsidR="00C66D79" w:rsidRPr="00FF2363">
        <w:t>in previous cases</w:t>
      </w:r>
      <w:r w:rsidR="007B5595" w:rsidRPr="00FF2363">
        <w:t xml:space="preserve"> had regard to such factors as the manner of appointment of </w:t>
      </w:r>
      <w:r w:rsidR="004D7C68" w:rsidRPr="00FF2363">
        <w:t>the body</w:t>
      </w:r>
      <w:r w:rsidR="00FF2363" w:rsidRPr="00FF2363">
        <w:t>’</w:t>
      </w:r>
      <w:r w:rsidR="004D7C68" w:rsidRPr="00FF2363">
        <w:t xml:space="preserve">s </w:t>
      </w:r>
      <w:r w:rsidR="007B5595" w:rsidRPr="00FF2363">
        <w:t xml:space="preserve">members, the duration of their term of office, the existence of guarantees against outside pressures and the question whether the body presents an appearance of independence (see </w:t>
      </w:r>
      <w:r w:rsidR="007B5595" w:rsidRPr="00FF2363">
        <w:rPr>
          <w:i/>
        </w:rPr>
        <w:t>Maktouf and Damjanović</w:t>
      </w:r>
      <w:r w:rsidR="007B5595" w:rsidRPr="00FF2363">
        <w:rPr>
          <w:snapToGrid w:val="0"/>
        </w:rPr>
        <w:t xml:space="preserve"> </w:t>
      </w:r>
      <w:r w:rsidR="0057663D" w:rsidRPr="00FF2363">
        <w:rPr>
          <w:i/>
        </w:rPr>
        <w:lastRenderedPageBreak/>
        <w:t>v. </w:t>
      </w:r>
      <w:r w:rsidR="007B5595" w:rsidRPr="00FF2363">
        <w:rPr>
          <w:i/>
        </w:rPr>
        <w:t xml:space="preserve">Bosnia and Herzegovina </w:t>
      </w:r>
      <w:r w:rsidR="007B5595" w:rsidRPr="00FF2363">
        <w:rPr>
          <w:snapToGrid w:val="0"/>
        </w:rPr>
        <w:t xml:space="preserve">[GC], nos. 2312/08 and 34179/08, § 49, </w:t>
      </w:r>
      <w:r w:rsidR="007B5595" w:rsidRPr="00FF2363">
        <w:t>ECHR 2013 (extracts)</w:t>
      </w:r>
      <w:r w:rsidR="00BF4D30" w:rsidRPr="00FF2363">
        <w:t>,</w:t>
      </w:r>
      <w:r w:rsidR="007B5595" w:rsidRPr="00FF2363">
        <w:t xml:space="preserve"> with further references therein)</w:t>
      </w:r>
      <w:bookmarkStart w:id="11" w:name="HIT18"/>
      <w:bookmarkEnd w:id="11"/>
      <w:r w:rsidRPr="00FF2363">
        <w:t>.</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61</w:t>
      </w:r>
      <w:r w:rsidRPr="00FF2363">
        <w:fldChar w:fldCharType="end"/>
      </w:r>
      <w:r w:rsidRPr="00FF2363">
        <w:t>.  As a rule, impartiality denotes the absence of prejudice or bias. According to the Court</w:t>
      </w:r>
      <w:r w:rsidR="00FF2363" w:rsidRPr="00FF2363">
        <w:t>’</w:t>
      </w:r>
      <w:r w:rsidRPr="00FF2363">
        <w:t>s settled case-law, the existence of impartiality for the purposes of Article 6 § 1 must be determined according to (i) a subjective test, where regard must be had to the personal conviction and behaviour of a particular judge – that is, whether the judge held any personal prejudice or bias in a given case; and (ii) an objective test, that is to say</w:t>
      </w:r>
      <w:r w:rsidR="00BF4D30" w:rsidRPr="00FF2363">
        <w:t>,</w:t>
      </w:r>
      <w:r w:rsidRPr="00FF2363">
        <w:t xml:space="preserve"> by ascertaining whether</w:t>
      </w:r>
      <w:r w:rsidR="00BF4D30" w:rsidRPr="00FF2363">
        <w:t>,</w:t>
      </w:r>
      <w:r w:rsidRPr="00FF2363">
        <w:t xml:space="preserve"> quite apart from the personal conduct of any of its members, the tribunal itself and, among other aspects, its composition, offered sufficient guarantees to exclude any legitimate doubt in respect of its impartiality (see, among other authorities, </w:t>
      </w:r>
      <w:r w:rsidRPr="00FF2363">
        <w:rPr>
          <w:i/>
        </w:rPr>
        <w:t>Micallef v. Malta</w:t>
      </w:r>
      <w:r w:rsidRPr="00FF2363">
        <w:t xml:space="preserve"> [GC], no. 17056/06, § 93, ECHR 2009, with further references).</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62</w:t>
      </w:r>
      <w:r w:rsidRPr="00FF2363">
        <w:fldChar w:fldCharType="end"/>
      </w:r>
      <w:r w:rsidRPr="00FF2363">
        <w:t>.  However, there is no watertight division between subjective and objective impartiality, as the conduct of a judge may not only prompt objectively held misgivings as to the tribunal</w:t>
      </w:r>
      <w:r w:rsidR="00FF2363" w:rsidRPr="00FF2363">
        <w:t>’</w:t>
      </w:r>
      <w:r w:rsidRPr="00FF2363">
        <w:t>s impartiality from the point of view of the external observer (the objective test) but may also go to the issue of the judges</w:t>
      </w:r>
      <w:r w:rsidR="00FF2363" w:rsidRPr="00FF2363">
        <w:t>’</w:t>
      </w:r>
      <w:r w:rsidRPr="00FF2363">
        <w:t xml:space="preserve"> personal conviction (the subjective test) (see </w:t>
      </w:r>
      <w:r w:rsidRPr="00FF2363">
        <w:rPr>
          <w:i/>
        </w:rPr>
        <w:t xml:space="preserve">Kyprianou v. Cyprus </w:t>
      </w:r>
      <w:r w:rsidRPr="00FF2363">
        <w:t>[GC], no. 73797/01, § 119, ECHR 2005</w:t>
      </w:r>
      <w:r w:rsidRPr="00FF2363">
        <w:noBreakHyphen/>
        <w:t>XIII). Thus, in some cases where it may be difficult to procure evidence with which to rebut the presumption of the judge</w:t>
      </w:r>
      <w:r w:rsidR="00FF2363" w:rsidRPr="00FF2363">
        <w:t>’</w:t>
      </w:r>
      <w:r w:rsidRPr="00FF2363">
        <w:t xml:space="preserve">s subjective impartiality, the requirement of objective impartiality provides a further important guarantee (see </w:t>
      </w:r>
      <w:r w:rsidRPr="00FF2363">
        <w:rPr>
          <w:i/>
        </w:rPr>
        <w:t>Pullar v. the United Kingdom</w:t>
      </w:r>
      <w:r w:rsidRPr="00FF2363">
        <w:t xml:space="preserve">, 10 June 1996, § 32, </w:t>
      </w:r>
      <w:r w:rsidRPr="00FF2363">
        <w:rPr>
          <w:i/>
        </w:rPr>
        <w:t xml:space="preserve">Reports </w:t>
      </w:r>
      <w:r w:rsidRPr="00FF2363">
        <w:t>1996</w:t>
      </w:r>
      <w:r w:rsidRPr="00FF2363">
        <w:noBreakHyphen/>
        <w:t>III).</w:t>
      </w:r>
    </w:p>
    <w:p w:rsidR="00FF2A36" w:rsidRPr="00FF2363" w:rsidRDefault="00FF2A36" w:rsidP="00FF2363">
      <w:pPr>
        <w:pStyle w:val="ECHRPara"/>
        <w:rPr>
          <w:lang w:val="it-IT"/>
        </w:rPr>
      </w:pPr>
      <w:r w:rsidRPr="00FF2363">
        <w:fldChar w:fldCharType="begin"/>
      </w:r>
      <w:r w:rsidRPr="00FF2363">
        <w:instrText xml:space="preserve"> SEQ level0 \*arabic </w:instrText>
      </w:r>
      <w:r w:rsidRPr="00FF2363">
        <w:fldChar w:fldCharType="separate"/>
      </w:r>
      <w:r w:rsidR="00FF2363" w:rsidRPr="00FF2363">
        <w:rPr>
          <w:noProof/>
        </w:rPr>
        <w:t>63</w:t>
      </w:r>
      <w:r w:rsidRPr="00FF2363">
        <w:fldChar w:fldCharType="end"/>
      </w:r>
      <w:r w:rsidRPr="00FF2363">
        <w:t xml:space="preserve">.  In this respect, even appearances may be of a certain importance, or in other words, “justice must not only be done, it must also be seen to be done”. What is at stake is the confidence which the courts in a democratic society must inspire in the public (see </w:t>
      </w:r>
      <w:r w:rsidR="00191A52" w:rsidRPr="00FF2363">
        <w:rPr>
          <w:i/>
          <w:lang w:val="it-IT"/>
        </w:rPr>
        <w:t xml:space="preserve">Morice v. France </w:t>
      </w:r>
      <w:r w:rsidR="00191A52" w:rsidRPr="00FF2363">
        <w:rPr>
          <w:lang w:val="it-IT"/>
        </w:rPr>
        <w:t>[GC], no.</w:t>
      </w:r>
      <w:r w:rsidR="00DF113A" w:rsidRPr="00FF2363">
        <w:rPr>
          <w:lang w:val="it-IT"/>
        </w:rPr>
        <w:t> </w:t>
      </w:r>
      <w:r w:rsidR="00191A52" w:rsidRPr="00FF2363">
        <w:rPr>
          <w:lang w:val="it-IT"/>
        </w:rPr>
        <w:t>29369/10, § 78, ECHR 2015</w:t>
      </w:r>
      <w:r w:rsidRPr="00FF2363">
        <w:t>).</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64</w:t>
      </w:r>
      <w:r w:rsidRPr="00FF2363">
        <w:fldChar w:fldCharType="end"/>
      </w:r>
      <w:r w:rsidRPr="00FF2363">
        <w:t>.  Finally, the concepts of independence and objective impartiality are closely linked and, depending on the circumstances, may require joint examination (see</w:t>
      </w:r>
      <w:r w:rsidR="00191A52" w:rsidRPr="00FF2363">
        <w:t xml:space="preserve">, for example, </w:t>
      </w:r>
      <w:r w:rsidR="00191A52" w:rsidRPr="00FF2363">
        <w:rPr>
          <w:i/>
        </w:rPr>
        <w:t>Cooper v. the United Kingdom</w:t>
      </w:r>
      <w:r w:rsidR="00191A52" w:rsidRPr="00FF2363">
        <w:t xml:space="preserve"> [GC], no.</w:t>
      </w:r>
      <w:r w:rsidR="00DF113A" w:rsidRPr="00FF2363">
        <w:t> </w:t>
      </w:r>
      <w:r w:rsidR="00191A52" w:rsidRPr="00FF2363">
        <w:t>48843/99, § 104, ECHR 2003</w:t>
      </w:r>
      <w:r w:rsidR="00191A52" w:rsidRPr="00FF2363">
        <w:noBreakHyphen/>
        <w:t>XII</w:t>
      </w:r>
      <w:r w:rsidRPr="00FF2363">
        <w:rPr>
          <w:szCs w:val="24"/>
        </w:rPr>
        <w:t>).</w:t>
      </w:r>
    </w:p>
    <w:p w:rsidR="00835569" w:rsidRPr="00FF2363" w:rsidRDefault="00FF2A36" w:rsidP="00FF2363">
      <w:pPr>
        <w:pStyle w:val="ECHRPara"/>
      </w:pPr>
      <w:r w:rsidRPr="00FF2363">
        <w:rPr>
          <w:szCs w:val="24"/>
        </w:rPr>
        <w:fldChar w:fldCharType="begin"/>
      </w:r>
      <w:r w:rsidRPr="00FF2363">
        <w:rPr>
          <w:szCs w:val="24"/>
        </w:rPr>
        <w:instrText xml:space="preserve"> SEQ level0 \*arabic </w:instrText>
      </w:r>
      <w:r w:rsidRPr="00FF2363">
        <w:rPr>
          <w:szCs w:val="24"/>
        </w:rPr>
        <w:fldChar w:fldCharType="separate"/>
      </w:r>
      <w:r w:rsidR="00FF2363" w:rsidRPr="00FF2363">
        <w:rPr>
          <w:noProof/>
          <w:szCs w:val="24"/>
        </w:rPr>
        <w:t>65</w:t>
      </w:r>
      <w:r w:rsidRPr="00FF2363">
        <w:rPr>
          <w:szCs w:val="24"/>
        </w:rPr>
        <w:fldChar w:fldCharType="end"/>
      </w:r>
      <w:r w:rsidRPr="00FF2363">
        <w:rPr>
          <w:szCs w:val="24"/>
        </w:rPr>
        <w:t>.  </w:t>
      </w:r>
      <w:r w:rsidRPr="00FF2363">
        <w:t>According to the Court</w:t>
      </w:r>
      <w:r w:rsidR="00FF2363" w:rsidRPr="00FF2363">
        <w:t>’</w:t>
      </w:r>
      <w:r w:rsidRPr="00FF2363">
        <w:t xml:space="preserve">s case-law, even where an adjudicatory body determining disputes over “civil rights and obligations” does not comply with Article 6 § 1 in some respect, no violation of the Convention can be found if the proceedings before that body are “subject to subsequent control by a judicial body that has full jurisdiction and does provide the guarantees of Article 6 § 1” (see </w:t>
      </w:r>
      <w:r w:rsidRPr="00FF2363">
        <w:rPr>
          <w:i/>
          <w:iCs/>
        </w:rPr>
        <w:t>Albert and Le Compte v. Belgium</w:t>
      </w:r>
      <w:r w:rsidRPr="00FF2363">
        <w:t>, 10 February 1983, §</w:t>
      </w:r>
      <w:r w:rsidR="00DF113A" w:rsidRPr="00FF2363">
        <w:t> </w:t>
      </w:r>
      <w:r w:rsidRPr="00FF2363">
        <w:t xml:space="preserve">29, Series A no. 58, and </w:t>
      </w:r>
      <w:r w:rsidRPr="00FF2363">
        <w:rPr>
          <w:i/>
          <w:szCs w:val="24"/>
        </w:rPr>
        <w:t>Tsfayo v. the United Kingdom</w:t>
      </w:r>
      <w:r w:rsidRPr="00FF2363">
        <w:rPr>
          <w:szCs w:val="24"/>
        </w:rPr>
        <w:t>, no. 60860/00, § 42, 14 November 2006</w:t>
      </w:r>
      <w:r w:rsidRPr="00FF2363">
        <w:t>).</w:t>
      </w:r>
    </w:p>
    <w:p w:rsidR="00FF2A36" w:rsidRPr="00FF2363" w:rsidRDefault="00FF2A36" w:rsidP="00FF2363">
      <w:pPr>
        <w:pStyle w:val="ECHRHeading4"/>
      </w:pPr>
      <w:r w:rsidRPr="00FF2363">
        <w:lastRenderedPageBreak/>
        <w:t>(</w:t>
      </w:r>
      <w:r w:rsidRPr="00FF2363">
        <w:rPr>
          <w:rFonts w:cstheme="minorHAnsi"/>
        </w:rPr>
        <w:t>b</w:t>
      </w:r>
      <w:r w:rsidRPr="00FF2363">
        <w:t>)</w:t>
      </w:r>
      <w:r w:rsidR="00DF113A" w:rsidRPr="00FF2363">
        <w:t>  </w:t>
      </w:r>
      <w:r w:rsidRPr="00FF2363">
        <w:t>Application of those principles to the present case</w:t>
      </w:r>
    </w:p>
    <w:p w:rsidR="00FF2A36" w:rsidRPr="00FF2363" w:rsidRDefault="00FF2A36" w:rsidP="00FF2363">
      <w:pPr>
        <w:pStyle w:val="ECHRHeading5"/>
      </w:pPr>
      <w:r w:rsidRPr="00FF2363">
        <w:t>(i)</w:t>
      </w:r>
      <w:r w:rsidR="00DF113A" w:rsidRPr="00FF2363">
        <w:t>  </w:t>
      </w:r>
      <w:r w:rsidRPr="00FF2363">
        <w:t>Approach to examining the complaint</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66</w:t>
      </w:r>
      <w:r w:rsidRPr="00FF2363">
        <w:fldChar w:fldCharType="end"/>
      </w:r>
      <w:r w:rsidRPr="00FF2363">
        <w:t>.  The issue of the applicant</w:t>
      </w:r>
      <w:r w:rsidR="00FF2363" w:rsidRPr="00FF2363">
        <w:t>’</w:t>
      </w:r>
      <w:r w:rsidRPr="00FF2363">
        <w:t>s performance in the position of president of the Kyiv Administrative Court of Appeal was initially raised by the Council of Administrative Court Judges, which, having conducted its inquiry, decided to submit a proposal to the HCJ for the applicant</w:t>
      </w:r>
      <w:r w:rsidR="00FF2363" w:rsidRPr="00FF2363">
        <w:t>’</w:t>
      </w:r>
      <w:r w:rsidRPr="00FF2363">
        <w:t xml:space="preserve">s dismissal from his administrative position. The issue was then examined by the HCJ, which was not bound by the initial proposal from the Council of Administrative Court Judges. On the contrary, the HCJ was empowered to carry out its own assessment of the facts, provide its own legal characterisation of the matter and adopt a binding decision after holding a hearing and assessing the evidence. In the present case the examination of the issue by the HCJ ended with a decision to dismiss the applicant and that decision was executed shortly after its adoption (see paragraph </w:t>
      </w:r>
      <w:r w:rsidRPr="00FF2363">
        <w:fldChar w:fldCharType="begin"/>
      </w:r>
      <w:r w:rsidRPr="00FF2363">
        <w:instrText xml:space="preserve"> REF A1_moment_of_actual_removal \h  \* MERGEFORMAT </w:instrText>
      </w:r>
      <w:r w:rsidRPr="00FF2363">
        <w:fldChar w:fldCharType="separate"/>
      </w:r>
      <w:r w:rsidR="00FF2363" w:rsidRPr="00FF2363">
        <w:t>20</w:t>
      </w:r>
      <w:r w:rsidRPr="00FF2363">
        <w:fldChar w:fldCharType="end"/>
      </w:r>
      <w:r w:rsidRPr="00FF2363">
        <w:t xml:space="preserve"> above). Subsequently, following its execution, the decision of the HCJ was reviewed by the HAC.</w:t>
      </w:r>
    </w:p>
    <w:p w:rsidR="00835569"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67</w:t>
      </w:r>
      <w:r w:rsidRPr="00FF2363">
        <w:fldChar w:fldCharType="end"/>
      </w:r>
      <w:r w:rsidRPr="00FF2363">
        <w:t xml:space="preserve">.  The above-mentioned features of the domestic proceedings suggest that the Council of Administrative Court Judges played a preliminary investigative role in the case. This part of the case is not being challenged by the applicant, who focuses his complaint on the alleged unfairness of the proceedings before the HCJ and the HAC and the lack of a “sufficient review” by the latter. </w:t>
      </w:r>
      <w:r w:rsidR="008A1FF4" w:rsidRPr="00FF2363">
        <w:t>In these circumstances the Court must examine whether the HCJ and the HAC satisfied the requirements of Article 6 § 1 of the Convention.</w:t>
      </w:r>
      <w:r w:rsidRPr="00FF2363">
        <w:t xml:space="preserve"> However, if the HCJ did not meet those requirements, an issue under Article 6 would arise only if the HAC failed to provide a “sufficient review” in compliance with Article 6 (compare </w:t>
      </w:r>
      <w:r w:rsidR="00A25479" w:rsidRPr="00FF2363">
        <w:rPr>
          <w:i/>
        </w:rPr>
        <w:t>Le Compte, Van </w:t>
      </w:r>
      <w:r w:rsidRPr="00FF2363">
        <w:rPr>
          <w:i/>
        </w:rPr>
        <w:t>Leuven and De Meyere</w:t>
      </w:r>
      <w:r w:rsidRPr="00FF2363">
        <w:t xml:space="preserve">, cited above, §§ 51 and 54, and </w:t>
      </w:r>
      <w:r w:rsidR="00A25479" w:rsidRPr="00FF2363">
        <w:rPr>
          <w:i/>
        </w:rPr>
        <w:t>Oleksandr </w:t>
      </w:r>
      <w:r w:rsidRPr="00FF2363">
        <w:rPr>
          <w:i/>
        </w:rPr>
        <w:t>Volkov</w:t>
      </w:r>
      <w:r w:rsidRPr="00FF2363">
        <w:t>, cited above, §§ 108, 123 and 130). Accordingly, in the present case the Court is called upon to examine firstly whether the requirements of an “independent and impartial tribunal” were complied with by the HCJ. Secondly, if those requirements were not satisfied at that stage, it is necessary to determine whether the review of the case by the HAC was “sufficient” to remedy the shortcomings identified. Thirdly, it has to be established whether the HAC itself complied with the requirements of independence and impartiality.</w:t>
      </w:r>
    </w:p>
    <w:p w:rsidR="00FF2A36" w:rsidRPr="00FF2363" w:rsidRDefault="00FF2A36" w:rsidP="00FF2363">
      <w:pPr>
        <w:pStyle w:val="ECHRHeading5"/>
      </w:pPr>
      <w:r w:rsidRPr="00FF2363">
        <w:t>(ii)</w:t>
      </w:r>
      <w:r w:rsidR="00DF113A" w:rsidRPr="00FF2363">
        <w:t>  </w:t>
      </w:r>
      <w:r w:rsidRPr="00FF2363">
        <w:t>Proceedings before the HCJ</w:t>
      </w:r>
    </w:p>
    <w:p w:rsidR="00F93E81" w:rsidRPr="00FF2363" w:rsidRDefault="00E4665C"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68</w:t>
      </w:r>
      <w:r w:rsidRPr="00FF2363">
        <w:fldChar w:fldCharType="end"/>
      </w:r>
      <w:r w:rsidRPr="00FF2363">
        <w:t>.  </w:t>
      </w:r>
      <w:r w:rsidR="003C0738" w:rsidRPr="00FF2363">
        <w:t xml:space="preserve">In its </w:t>
      </w:r>
      <w:r w:rsidR="003C0738" w:rsidRPr="00FF2363">
        <w:rPr>
          <w:i/>
        </w:rPr>
        <w:t>Oleksandr Volkov</w:t>
      </w:r>
      <w:r w:rsidR="003C0738" w:rsidRPr="00FF2363">
        <w:t xml:space="preserve"> </w:t>
      </w:r>
      <w:r w:rsidR="00BF4D30" w:rsidRPr="00FF2363">
        <w:t xml:space="preserve">judgment </w:t>
      </w:r>
      <w:r w:rsidR="003C0738" w:rsidRPr="00FF2363">
        <w:t xml:space="preserve">(cited above) the Court </w:t>
      </w:r>
      <w:r w:rsidR="00BF4D30" w:rsidRPr="00FF2363">
        <w:t>set out</w:t>
      </w:r>
      <w:r w:rsidR="003C0738" w:rsidRPr="00FF2363">
        <w:t xml:space="preserve"> a number of criteria </w:t>
      </w:r>
      <w:r w:rsidR="00BF4D30" w:rsidRPr="00FF2363">
        <w:t xml:space="preserve">for </w:t>
      </w:r>
      <w:r w:rsidR="003C0738" w:rsidRPr="00FF2363">
        <w:t>examin</w:t>
      </w:r>
      <w:r w:rsidR="00BF4D30" w:rsidRPr="00FF2363">
        <w:t>ing</w:t>
      </w:r>
      <w:r w:rsidR="003C0738" w:rsidRPr="00FF2363">
        <w:t xml:space="preserve"> whether the HCJ as a disciplinary body of judges </w:t>
      </w:r>
      <w:r w:rsidR="00C83CCF" w:rsidRPr="00FF2363">
        <w:t xml:space="preserve">complied </w:t>
      </w:r>
      <w:r w:rsidR="003C0738" w:rsidRPr="00FF2363">
        <w:t>with the requirements of</w:t>
      </w:r>
      <w:r w:rsidR="0007586E" w:rsidRPr="00FF2363">
        <w:t xml:space="preserve"> </w:t>
      </w:r>
      <w:r w:rsidR="003C0738" w:rsidRPr="00FF2363">
        <w:t xml:space="preserve">independence and impartiality. </w:t>
      </w:r>
      <w:r w:rsidR="00C83CCF" w:rsidRPr="00FF2363">
        <w:t>In doing so, the Court</w:t>
      </w:r>
      <w:r w:rsidR="003C0738" w:rsidRPr="00FF2363">
        <w:t xml:space="preserve"> relied</w:t>
      </w:r>
      <w:r w:rsidR="00453D46" w:rsidRPr="00FF2363">
        <w:t xml:space="preserve"> on its previous case-law and t</w:t>
      </w:r>
      <w:r w:rsidR="003C0738" w:rsidRPr="00FF2363">
        <w:t>ook</w:t>
      </w:r>
      <w:r w:rsidR="00453D46" w:rsidRPr="00FF2363">
        <w:t xml:space="preserve"> into account </w:t>
      </w:r>
      <w:r w:rsidR="00C83CCF" w:rsidRPr="00FF2363">
        <w:t xml:space="preserve">relevant international texts, notably </w:t>
      </w:r>
      <w:r w:rsidR="00453D46" w:rsidRPr="00FF2363">
        <w:t>the opinions and recommendations of other bodies of the Council of Europe</w:t>
      </w:r>
      <w:r w:rsidR="00425CE8" w:rsidRPr="00FF2363">
        <w:t xml:space="preserve">. </w:t>
      </w:r>
      <w:r w:rsidRPr="00FF2363">
        <w:t xml:space="preserve">First, it </w:t>
      </w:r>
      <w:r w:rsidR="007F29D6" w:rsidRPr="00FF2363">
        <w:t xml:space="preserve">emphasised </w:t>
      </w:r>
      <w:r w:rsidR="00D50AE0" w:rsidRPr="00FF2363">
        <w:t xml:space="preserve">the need for </w:t>
      </w:r>
      <w:r w:rsidR="00D50AE0" w:rsidRPr="00FF2363">
        <w:lastRenderedPageBreak/>
        <w:t>substantial representation of judges</w:t>
      </w:r>
      <w:r w:rsidR="00696D6B" w:rsidRPr="00FF2363">
        <w:t xml:space="preserve"> </w:t>
      </w:r>
      <w:r w:rsidR="00BF4D30" w:rsidRPr="00FF2363">
        <w:t>with</w:t>
      </w:r>
      <w:r w:rsidR="00696D6B" w:rsidRPr="00FF2363">
        <w:t xml:space="preserve">in such a body, specifying that </w:t>
      </w:r>
      <w:r w:rsidR="00D50AE0" w:rsidRPr="00FF2363">
        <w:t xml:space="preserve">where at least half of the membership of a tribunal </w:t>
      </w:r>
      <w:r w:rsidR="00BF4D30" w:rsidRPr="00FF2363">
        <w:t xml:space="preserve">was </w:t>
      </w:r>
      <w:r w:rsidR="00D50AE0" w:rsidRPr="00FF2363">
        <w:t>composed of judges, including the chairman with a casting vote, this would be a strong indicator of impartiality (ibid.</w:t>
      </w:r>
      <w:r w:rsidR="00BF4D30" w:rsidRPr="00FF2363">
        <w:t>,</w:t>
      </w:r>
      <w:r w:rsidR="00D50AE0" w:rsidRPr="00FF2363">
        <w:t xml:space="preserve"> § 109)</w:t>
      </w:r>
      <w:r w:rsidR="00696D6B" w:rsidRPr="00FF2363">
        <w:t xml:space="preserve">. Second, </w:t>
      </w:r>
      <w:r w:rsidR="001025DB" w:rsidRPr="00FF2363">
        <w:t xml:space="preserve">in view of the importance of reducing the influence of political organs on the composition of </w:t>
      </w:r>
      <w:r w:rsidR="00E6709A" w:rsidRPr="00FF2363">
        <w:t xml:space="preserve">the </w:t>
      </w:r>
      <w:r w:rsidR="001025DB" w:rsidRPr="00FF2363">
        <w:t xml:space="preserve">disciplinary body, </w:t>
      </w:r>
      <w:r w:rsidR="00696D6B" w:rsidRPr="00FF2363">
        <w:t xml:space="preserve">it was relevant to assess the </w:t>
      </w:r>
      <w:r w:rsidR="00D50AE0" w:rsidRPr="00FF2363">
        <w:t xml:space="preserve">manner in which judges </w:t>
      </w:r>
      <w:r w:rsidR="00696D6B" w:rsidRPr="00FF2363">
        <w:t>were</w:t>
      </w:r>
      <w:r w:rsidR="00D50AE0" w:rsidRPr="00FF2363">
        <w:t xml:space="preserve"> appointed to th</w:t>
      </w:r>
      <w:r w:rsidR="00E6709A" w:rsidRPr="00FF2363">
        <w:t>at</w:t>
      </w:r>
      <w:r w:rsidR="00D50AE0" w:rsidRPr="00FF2363">
        <w:t xml:space="preserve"> body, </w:t>
      </w:r>
      <w:r w:rsidR="000B5240" w:rsidRPr="00FF2363">
        <w:t xml:space="preserve">having regard to </w:t>
      </w:r>
      <w:r w:rsidR="00D50AE0" w:rsidRPr="00FF2363">
        <w:t xml:space="preserve">the authorities </w:t>
      </w:r>
      <w:r w:rsidR="001025DB" w:rsidRPr="00FF2363">
        <w:t>wh</w:t>
      </w:r>
      <w:r w:rsidR="00BF4D30" w:rsidRPr="00FF2363">
        <w:t>ich</w:t>
      </w:r>
      <w:r w:rsidR="001025DB" w:rsidRPr="00FF2363">
        <w:t xml:space="preserve"> delegated them</w:t>
      </w:r>
      <w:r w:rsidR="00453D46" w:rsidRPr="00FF2363">
        <w:t xml:space="preserve"> and the role of the judicial community in that process</w:t>
      </w:r>
      <w:r w:rsidR="00696D6B" w:rsidRPr="00FF2363">
        <w:t xml:space="preserve"> </w:t>
      </w:r>
      <w:r w:rsidR="00D50AE0" w:rsidRPr="00FF2363">
        <w:t>(ibid.</w:t>
      </w:r>
      <w:r w:rsidR="00BF4D30" w:rsidRPr="00FF2363">
        <w:t>,</w:t>
      </w:r>
      <w:r w:rsidR="00D50AE0" w:rsidRPr="00FF2363">
        <w:t xml:space="preserve"> §</w:t>
      </w:r>
      <w:r w:rsidR="000B5240" w:rsidRPr="00FF2363">
        <w:t> </w:t>
      </w:r>
      <w:r w:rsidR="00D50AE0" w:rsidRPr="00FF2363">
        <w:t>112)</w:t>
      </w:r>
      <w:r w:rsidR="00696D6B" w:rsidRPr="00FF2363">
        <w:t xml:space="preserve">. Third, </w:t>
      </w:r>
      <w:r w:rsidR="007F29D6" w:rsidRPr="00FF2363">
        <w:t xml:space="preserve">it was relevant to </w:t>
      </w:r>
      <w:r w:rsidR="000B5240" w:rsidRPr="00FF2363">
        <w:t>establish</w:t>
      </w:r>
      <w:r w:rsidR="007F29D6" w:rsidRPr="00FF2363">
        <w:t xml:space="preserve"> </w:t>
      </w:r>
      <w:r w:rsidR="00D50AE0" w:rsidRPr="00FF2363">
        <w:t xml:space="preserve">whether the members of the </w:t>
      </w:r>
      <w:r w:rsidR="007F29D6" w:rsidRPr="00FF2363">
        <w:t xml:space="preserve">disciplinary </w:t>
      </w:r>
      <w:r w:rsidR="00D50AE0" w:rsidRPr="00FF2363">
        <w:t>body work</w:t>
      </w:r>
      <w:r w:rsidR="001025DB" w:rsidRPr="00FF2363">
        <w:t>ed</w:t>
      </w:r>
      <w:r w:rsidR="00D50AE0" w:rsidRPr="00FF2363">
        <w:t xml:space="preserve"> on a full-time basis or continue</w:t>
      </w:r>
      <w:r w:rsidR="001025DB" w:rsidRPr="00FF2363">
        <w:t>d</w:t>
      </w:r>
      <w:r w:rsidR="00D50AE0" w:rsidRPr="00FF2363">
        <w:t xml:space="preserve"> to work and receive a salary outside</w:t>
      </w:r>
      <w:r w:rsidR="003C0738" w:rsidRPr="00FF2363">
        <w:t>;</w:t>
      </w:r>
      <w:r w:rsidR="00D50AE0" w:rsidRPr="00FF2363">
        <w:t xml:space="preserve"> </w:t>
      </w:r>
      <w:r w:rsidR="007F29D6" w:rsidRPr="00FF2363">
        <w:t xml:space="preserve">given that the latter case </w:t>
      </w:r>
      <w:r w:rsidR="00BF4D30" w:rsidRPr="00FF2363">
        <w:t xml:space="preserve">would inevitably involve </w:t>
      </w:r>
      <w:r w:rsidR="00D50AE0" w:rsidRPr="00FF2363">
        <w:t>their material, hierarchical and administrative dependence on their primary employers</w:t>
      </w:r>
      <w:r w:rsidR="00C83CCF" w:rsidRPr="00FF2363">
        <w:t>,</w:t>
      </w:r>
      <w:r w:rsidR="00D50AE0" w:rsidRPr="00FF2363">
        <w:t xml:space="preserve"> </w:t>
      </w:r>
      <w:r w:rsidR="00E6709A" w:rsidRPr="00FF2363">
        <w:t xml:space="preserve">this would </w:t>
      </w:r>
      <w:r w:rsidR="00D50AE0" w:rsidRPr="00FF2363">
        <w:t>endanger their independence and impartiality (ibid.</w:t>
      </w:r>
      <w:r w:rsidR="00BF4D30" w:rsidRPr="00FF2363">
        <w:t>,</w:t>
      </w:r>
      <w:r w:rsidR="00D50AE0" w:rsidRPr="00FF2363">
        <w:t xml:space="preserve"> § 113)</w:t>
      </w:r>
      <w:r w:rsidR="007F29D6" w:rsidRPr="00FF2363">
        <w:t>.</w:t>
      </w:r>
      <w:r w:rsidR="00D50AE0" w:rsidRPr="00FF2363">
        <w:t xml:space="preserve"> </w:t>
      </w:r>
      <w:r w:rsidR="007F29D6" w:rsidRPr="00FF2363">
        <w:t xml:space="preserve">Fourth, </w:t>
      </w:r>
      <w:r w:rsidR="00844D90" w:rsidRPr="00FF2363">
        <w:t>attention had to be paid to the participation of representatives of the prosecut</w:t>
      </w:r>
      <w:r w:rsidR="00BF4D30" w:rsidRPr="00FF2363">
        <w:t>ion</w:t>
      </w:r>
      <w:r w:rsidR="00844D90" w:rsidRPr="00FF2363">
        <w:t xml:space="preserve"> authorities in the composition of the disciplinary body for judges</w:t>
      </w:r>
      <w:r w:rsidR="00D772E2" w:rsidRPr="00FF2363">
        <w:t>; t</w:t>
      </w:r>
      <w:r w:rsidR="00844D90" w:rsidRPr="00FF2363">
        <w:t xml:space="preserve">he inclusion of the </w:t>
      </w:r>
      <w:r w:rsidR="00D50AE0" w:rsidRPr="00FF2363">
        <w:t>Prosecutor General</w:t>
      </w:r>
      <w:r w:rsidR="00844D90" w:rsidRPr="00FF2363">
        <w:t xml:space="preserve"> </w:t>
      </w:r>
      <w:r w:rsidR="00D772E2" w:rsidRPr="00FF2363">
        <w:rPr>
          <w:i/>
        </w:rPr>
        <w:t>ex officio</w:t>
      </w:r>
      <w:r w:rsidR="00D772E2" w:rsidRPr="00FF2363">
        <w:t xml:space="preserve"> </w:t>
      </w:r>
      <w:r w:rsidR="00844D90" w:rsidRPr="00FF2363">
        <w:t xml:space="preserve">and </w:t>
      </w:r>
      <w:r w:rsidR="00453D46" w:rsidRPr="00FF2363">
        <w:t xml:space="preserve">the </w:t>
      </w:r>
      <w:r w:rsidR="00844D90" w:rsidRPr="00FF2363">
        <w:t>other members delegated by the prosecut</w:t>
      </w:r>
      <w:r w:rsidR="00BF4D30" w:rsidRPr="00FF2363">
        <w:t>ion</w:t>
      </w:r>
      <w:r w:rsidR="00844D90" w:rsidRPr="00FF2363">
        <w:t xml:space="preserve"> </w:t>
      </w:r>
      <w:r w:rsidR="00BF4D30" w:rsidRPr="00FF2363">
        <w:t xml:space="preserve">authorities </w:t>
      </w:r>
      <w:r w:rsidR="00844D90" w:rsidRPr="00FF2363">
        <w:t>raise</w:t>
      </w:r>
      <w:r w:rsidR="00D772E2" w:rsidRPr="00FF2363">
        <w:t>d</w:t>
      </w:r>
      <w:r w:rsidR="00844D90" w:rsidRPr="00FF2363">
        <w:t xml:space="preserve"> concerns as to the impartiality of the disciplinary body </w:t>
      </w:r>
      <w:r w:rsidR="00425CE8" w:rsidRPr="00FF2363">
        <w:t xml:space="preserve">of judges </w:t>
      </w:r>
      <w:r w:rsidR="00844D90" w:rsidRPr="00FF2363">
        <w:t xml:space="preserve">in view of the functional role of prosecutors </w:t>
      </w:r>
      <w:r w:rsidR="00425CE8" w:rsidRPr="00FF2363">
        <w:t xml:space="preserve">in domestic </w:t>
      </w:r>
      <w:r w:rsidR="000B5240" w:rsidRPr="00FF2363">
        <w:t xml:space="preserve">judicial </w:t>
      </w:r>
      <w:r w:rsidR="00425CE8" w:rsidRPr="00FF2363">
        <w:t xml:space="preserve">proceedings </w:t>
      </w:r>
      <w:r w:rsidR="00D50AE0" w:rsidRPr="00FF2363">
        <w:t>(ibid.</w:t>
      </w:r>
      <w:r w:rsidR="00BF4D30" w:rsidRPr="00FF2363">
        <w:t>,</w:t>
      </w:r>
      <w:r w:rsidR="00D50AE0" w:rsidRPr="00FF2363">
        <w:t xml:space="preserve"> §</w:t>
      </w:r>
      <w:r w:rsidR="00844D90" w:rsidRPr="00FF2363">
        <w:t> </w:t>
      </w:r>
      <w:r w:rsidR="00D50AE0" w:rsidRPr="00FF2363">
        <w:t>114)</w:t>
      </w:r>
      <w:r w:rsidR="00844D90" w:rsidRPr="00FF2363">
        <w:t>.</w:t>
      </w:r>
      <w:r w:rsidR="00D50AE0" w:rsidRPr="00FF2363">
        <w:t xml:space="preserve"> </w:t>
      </w:r>
      <w:r w:rsidR="00844D90" w:rsidRPr="00FF2363">
        <w:t xml:space="preserve">Fifth, </w:t>
      </w:r>
      <w:r w:rsidR="00E6709A" w:rsidRPr="00FF2363">
        <w:t xml:space="preserve">where the </w:t>
      </w:r>
      <w:r w:rsidR="00794013" w:rsidRPr="00FF2363">
        <w:t xml:space="preserve">members of </w:t>
      </w:r>
      <w:r w:rsidR="00D50AE0" w:rsidRPr="00FF2363">
        <w:t xml:space="preserve">the disciplinary body </w:t>
      </w:r>
      <w:r w:rsidR="00E6709A" w:rsidRPr="00FF2363">
        <w:t>play</w:t>
      </w:r>
      <w:r w:rsidR="0093550C" w:rsidRPr="00FF2363">
        <w:t>ed</w:t>
      </w:r>
      <w:r w:rsidR="00E6709A" w:rsidRPr="00FF2363">
        <w:t xml:space="preserve"> a role </w:t>
      </w:r>
      <w:r w:rsidR="00D50AE0" w:rsidRPr="00FF2363">
        <w:t>in the preliminary inquiry</w:t>
      </w:r>
      <w:r w:rsidR="00844D90" w:rsidRPr="00FF2363">
        <w:t xml:space="preserve"> </w:t>
      </w:r>
      <w:r w:rsidR="00BF4D30" w:rsidRPr="00FF2363">
        <w:t xml:space="preserve">in </w:t>
      </w:r>
      <w:r w:rsidR="00D772E2" w:rsidRPr="00FF2363">
        <w:t xml:space="preserve">a </w:t>
      </w:r>
      <w:r w:rsidR="00844D90" w:rsidRPr="00FF2363">
        <w:t xml:space="preserve">disciplinary </w:t>
      </w:r>
      <w:r w:rsidR="00794013" w:rsidRPr="00FF2363">
        <w:t>case</w:t>
      </w:r>
      <w:r w:rsidR="00844D90" w:rsidRPr="00FF2363">
        <w:t xml:space="preserve"> </w:t>
      </w:r>
      <w:r w:rsidR="00794013" w:rsidRPr="00FF2363">
        <w:t xml:space="preserve">and </w:t>
      </w:r>
      <w:r w:rsidR="00E6709A" w:rsidRPr="00FF2363">
        <w:t>subsequently participate</w:t>
      </w:r>
      <w:r w:rsidR="0093550C" w:rsidRPr="00FF2363">
        <w:t>d</w:t>
      </w:r>
      <w:r w:rsidR="00E6709A" w:rsidRPr="00FF2363">
        <w:t xml:space="preserve"> in the </w:t>
      </w:r>
      <w:r w:rsidR="00794013" w:rsidRPr="00FF2363">
        <w:t xml:space="preserve">determination </w:t>
      </w:r>
      <w:r w:rsidR="00E6709A" w:rsidRPr="00FF2363">
        <w:t xml:space="preserve">of the </w:t>
      </w:r>
      <w:r w:rsidR="00425CE8" w:rsidRPr="00FF2363">
        <w:t xml:space="preserve">same </w:t>
      </w:r>
      <w:r w:rsidR="00E6709A" w:rsidRPr="00FF2363">
        <w:t>case by the disciplinary body</w:t>
      </w:r>
      <w:r w:rsidR="00562901" w:rsidRPr="00FF2363">
        <w:t>,</w:t>
      </w:r>
      <w:r w:rsidR="00E6709A" w:rsidRPr="00FF2363">
        <w:t xml:space="preserve"> such a </w:t>
      </w:r>
      <w:r w:rsidR="00794013" w:rsidRPr="00FF2363">
        <w:t xml:space="preserve">duplication of </w:t>
      </w:r>
      <w:r w:rsidR="00425CE8" w:rsidRPr="00FF2363">
        <w:t xml:space="preserve">functions </w:t>
      </w:r>
      <w:r w:rsidR="0093550C" w:rsidRPr="00FF2363">
        <w:t xml:space="preserve">could </w:t>
      </w:r>
      <w:r w:rsidR="00794013" w:rsidRPr="00FF2363">
        <w:t xml:space="preserve">cast objective doubt on the impartiality </w:t>
      </w:r>
      <w:r w:rsidR="00425CE8" w:rsidRPr="00FF2363">
        <w:t xml:space="preserve">of those members </w:t>
      </w:r>
      <w:r w:rsidR="00D50AE0" w:rsidRPr="00FF2363">
        <w:t>(ibid.</w:t>
      </w:r>
      <w:r w:rsidR="00BF4D30" w:rsidRPr="00FF2363">
        <w:t>,</w:t>
      </w:r>
      <w:r w:rsidR="00D50AE0" w:rsidRPr="00FF2363">
        <w:t xml:space="preserve"> § 115).</w:t>
      </w:r>
    </w:p>
    <w:p w:rsidR="00D50AE0" w:rsidRPr="00FF2363" w:rsidRDefault="00E4665C"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69</w:t>
      </w:r>
      <w:r w:rsidRPr="00FF2363">
        <w:fldChar w:fldCharType="end"/>
      </w:r>
      <w:r w:rsidRPr="00FF2363">
        <w:t>.  </w:t>
      </w:r>
      <w:r w:rsidR="00A57D71" w:rsidRPr="00FF2363">
        <w:t xml:space="preserve">The Court found in </w:t>
      </w:r>
      <w:r w:rsidR="00A57D71" w:rsidRPr="00FF2363">
        <w:rPr>
          <w:i/>
        </w:rPr>
        <w:t>Oleksandr Volkov</w:t>
      </w:r>
      <w:r w:rsidR="00A57D71" w:rsidRPr="00FF2363">
        <w:t xml:space="preserve"> that the composition of the HCJ</w:t>
      </w:r>
      <w:r w:rsidR="00C83CCF" w:rsidRPr="00FF2363">
        <w:t xml:space="preserve">, </w:t>
      </w:r>
      <w:r w:rsidR="00D91261" w:rsidRPr="00FF2363">
        <w:t>as provided</w:t>
      </w:r>
      <w:r w:rsidR="00C47893" w:rsidRPr="00FF2363">
        <w:t xml:space="preserve"> for</w:t>
      </w:r>
      <w:r w:rsidR="00D91261" w:rsidRPr="00FF2363">
        <w:t xml:space="preserve"> by</w:t>
      </w:r>
      <w:r w:rsidR="00C83CCF" w:rsidRPr="00FF2363">
        <w:t xml:space="preserve"> the Constitution,</w:t>
      </w:r>
      <w:r w:rsidR="00A57D71" w:rsidRPr="00FF2363">
        <w:t xml:space="preserve"> had disclosed a number of structural shortcomings which had compromised the requirements of independence and impartiality. </w:t>
      </w:r>
      <w:r w:rsidR="00BF4D30" w:rsidRPr="00FF2363">
        <w:t>U</w:t>
      </w:r>
      <w:r w:rsidR="00FC6062" w:rsidRPr="00FF2363">
        <w:t>nder these</w:t>
      </w:r>
      <w:r w:rsidR="00A57D71" w:rsidRPr="00FF2363">
        <w:t xml:space="preserve"> </w:t>
      </w:r>
      <w:r w:rsidR="00E85177" w:rsidRPr="00FF2363">
        <w:t xml:space="preserve">constitutional </w:t>
      </w:r>
      <w:r w:rsidR="00CB0E68" w:rsidRPr="00FF2363">
        <w:t>rules</w:t>
      </w:r>
      <w:r w:rsidR="00FC6062" w:rsidRPr="00FF2363">
        <w:t>,</w:t>
      </w:r>
      <w:r w:rsidR="00A57D71" w:rsidRPr="00FF2363">
        <w:t xml:space="preserve"> the </w:t>
      </w:r>
      <w:r w:rsidR="00FC6062" w:rsidRPr="00FF2363">
        <w:t xml:space="preserve">majority of the HCJ had </w:t>
      </w:r>
      <w:r w:rsidR="00A57D71" w:rsidRPr="00FF2363">
        <w:t>consist</w:t>
      </w:r>
      <w:r w:rsidR="00FC6062" w:rsidRPr="00FF2363">
        <w:t>ed</w:t>
      </w:r>
      <w:r w:rsidR="00A57D71" w:rsidRPr="00FF2363">
        <w:t xml:space="preserve"> of non-judicial staff appointed directly by the executive and the legislative authorities</w:t>
      </w:r>
      <w:r w:rsidR="007D4B9D" w:rsidRPr="00FF2363">
        <w:t>,</w:t>
      </w:r>
      <w:r w:rsidR="00A57D71" w:rsidRPr="00FF2363">
        <w:t xml:space="preserve"> with the Minister of Justice and the Prosecutor General being </w:t>
      </w:r>
      <w:r w:rsidR="00A57D71" w:rsidRPr="00FF2363">
        <w:rPr>
          <w:i/>
        </w:rPr>
        <w:t>ex officio</w:t>
      </w:r>
      <w:r w:rsidR="00A57D71" w:rsidRPr="00FF2363">
        <w:t xml:space="preserve"> members. </w:t>
      </w:r>
      <w:r w:rsidR="006A08AE" w:rsidRPr="00FF2363">
        <w:t>T</w:t>
      </w:r>
      <w:r w:rsidR="00A57D71" w:rsidRPr="00FF2363">
        <w:t xml:space="preserve">he decision to dismiss the applicant </w:t>
      </w:r>
      <w:r w:rsidR="00BF4D30" w:rsidRPr="00FF2363">
        <w:t xml:space="preserve">in </w:t>
      </w:r>
      <w:r w:rsidR="00BF4D30" w:rsidRPr="00FF2363">
        <w:rPr>
          <w:i/>
        </w:rPr>
        <w:t>Oleksandr Volkov</w:t>
      </w:r>
      <w:r w:rsidR="00BF4D30" w:rsidRPr="00FF2363">
        <w:t xml:space="preserve"> </w:t>
      </w:r>
      <w:r w:rsidR="00A57D71" w:rsidRPr="00FF2363">
        <w:t xml:space="preserve">had been taken by sixteen members of the HCJ, only three of whom were judges. </w:t>
      </w:r>
      <w:r w:rsidR="004112C9" w:rsidRPr="00FF2363">
        <w:t>Furthermore, o</w:t>
      </w:r>
      <w:r w:rsidR="00A57D71" w:rsidRPr="00FF2363">
        <w:t xml:space="preserve">nly four out of the twenty members of the HCJ worked there on a full-time basis, while the other members continued to work and receive a salary outside the HCJ. The </w:t>
      </w:r>
      <w:r w:rsidR="007D4B9D" w:rsidRPr="00FF2363">
        <w:t>membership</w:t>
      </w:r>
      <w:r w:rsidR="00A57D71" w:rsidRPr="00FF2363">
        <w:t xml:space="preserve"> </w:t>
      </w:r>
      <w:r w:rsidR="00F6076C" w:rsidRPr="00FF2363">
        <w:t xml:space="preserve">and presence </w:t>
      </w:r>
      <w:r w:rsidR="00A57D71" w:rsidRPr="00FF2363">
        <w:t>of the Prosecutor General and other representatives of the prosecut</w:t>
      </w:r>
      <w:r w:rsidR="00BF4D30" w:rsidRPr="00FF2363">
        <w:t>ion</w:t>
      </w:r>
      <w:r w:rsidR="00A57D71" w:rsidRPr="00FF2363">
        <w:t xml:space="preserve"> system </w:t>
      </w:r>
      <w:r w:rsidR="001D4FEC" w:rsidRPr="00FF2363">
        <w:t>with</w:t>
      </w:r>
      <w:r w:rsidR="007D4B9D" w:rsidRPr="00FF2363">
        <w:t xml:space="preserve">in the HCJ </w:t>
      </w:r>
      <w:r w:rsidR="00A57D71" w:rsidRPr="00FF2363">
        <w:t>raised further concerns in terms of impartiality</w:t>
      </w:r>
      <w:r w:rsidR="007D4B9D" w:rsidRPr="00FF2363">
        <w:t>, given the functional role of the prosecutor</w:t>
      </w:r>
      <w:r w:rsidR="00FF2363" w:rsidRPr="00FF2363">
        <w:t>’</w:t>
      </w:r>
      <w:r w:rsidR="007D4B9D" w:rsidRPr="00FF2363">
        <w:t>s office</w:t>
      </w:r>
      <w:r w:rsidR="0009735B" w:rsidRPr="00FF2363">
        <w:t xml:space="preserve"> </w:t>
      </w:r>
      <w:r w:rsidR="007D4B9D" w:rsidRPr="00FF2363">
        <w:t xml:space="preserve">in domestic </w:t>
      </w:r>
      <w:r w:rsidR="0009735B" w:rsidRPr="00FF2363">
        <w:t xml:space="preserve">court </w:t>
      </w:r>
      <w:r w:rsidR="007D4B9D" w:rsidRPr="00FF2363">
        <w:t>proceedings</w:t>
      </w:r>
      <w:r w:rsidR="00F61EAA" w:rsidRPr="00FF2363">
        <w:t xml:space="preserve">. </w:t>
      </w:r>
      <w:r w:rsidR="00BF4D30" w:rsidRPr="00FF2363">
        <w:t>Moreover</w:t>
      </w:r>
      <w:r w:rsidR="004112C9" w:rsidRPr="00FF2363">
        <w:t>, t</w:t>
      </w:r>
      <w:r w:rsidR="00A57D71" w:rsidRPr="00FF2363">
        <w:t xml:space="preserve">here were two members of the HCJ who </w:t>
      </w:r>
      <w:r w:rsidR="00ED48AA" w:rsidRPr="00FF2363">
        <w:t xml:space="preserve">had </w:t>
      </w:r>
      <w:r w:rsidR="00A57D71" w:rsidRPr="00FF2363">
        <w:t xml:space="preserve">brought disciplinary charges against the applicant, based on the results of their own preliminary inquiries, and subsequently decided on the merits of </w:t>
      </w:r>
      <w:r w:rsidR="00BF4D30" w:rsidRPr="00FF2363">
        <w:t>his</w:t>
      </w:r>
      <w:r w:rsidR="00A57D71" w:rsidRPr="00FF2363">
        <w:t xml:space="preserve"> case (ibid., §§ 110-15).</w:t>
      </w:r>
    </w:p>
    <w:p w:rsidR="00F93E81" w:rsidRPr="00FF2363" w:rsidRDefault="00562901" w:rsidP="00FF2363">
      <w:pPr>
        <w:pStyle w:val="ECHRPara"/>
      </w:pPr>
      <w:r w:rsidRPr="00FF2363">
        <w:rPr>
          <w:lang w:val="fr-FR"/>
        </w:rPr>
        <w:fldChar w:fldCharType="begin"/>
      </w:r>
      <w:r w:rsidRPr="00FF2363">
        <w:instrText xml:space="preserve"> SEQ level0 \*arabic </w:instrText>
      </w:r>
      <w:r w:rsidRPr="00FF2363">
        <w:rPr>
          <w:lang w:val="fr-FR"/>
        </w:rPr>
        <w:fldChar w:fldCharType="separate"/>
      </w:r>
      <w:r w:rsidR="00FF2363" w:rsidRPr="00FF2363">
        <w:rPr>
          <w:noProof/>
        </w:rPr>
        <w:t>70</w:t>
      </w:r>
      <w:r w:rsidRPr="00FF2363">
        <w:rPr>
          <w:lang w:val="fr-FR"/>
        </w:rPr>
        <w:fldChar w:fldCharType="end"/>
      </w:r>
      <w:r w:rsidRPr="00FF2363">
        <w:t>.  </w:t>
      </w:r>
      <w:r w:rsidR="00FF2A36" w:rsidRPr="00FF2363">
        <w:t xml:space="preserve">Those findings are </w:t>
      </w:r>
      <w:r w:rsidR="008A1FF4" w:rsidRPr="00FF2363">
        <w:t>entirely pertinent</w:t>
      </w:r>
      <w:r w:rsidR="00FF2A36" w:rsidRPr="00FF2363">
        <w:t xml:space="preserve"> to the present application. The HCJ was formed and functioned under the same constitutional rules as in </w:t>
      </w:r>
      <w:r w:rsidR="00FF2A36" w:rsidRPr="00FF2363">
        <w:rPr>
          <w:i/>
        </w:rPr>
        <w:t>Oleksandr Volkov.</w:t>
      </w:r>
      <w:r w:rsidR="00FF2A36" w:rsidRPr="00FF2363">
        <w:t xml:space="preserve"> Therefore, </w:t>
      </w:r>
      <w:r w:rsidR="008A1FF4" w:rsidRPr="00FF2363">
        <w:t xml:space="preserve">the same </w:t>
      </w:r>
      <w:r w:rsidR="00FF2A36" w:rsidRPr="00FF2363">
        <w:t xml:space="preserve">concerns arise as regards the </w:t>
      </w:r>
      <w:r w:rsidR="00FF2A36" w:rsidRPr="00FF2363">
        <w:lastRenderedPageBreak/>
        <w:t xml:space="preserve">compliance of the proceedings before the HCJ with the standards of independence and impartiality. </w:t>
      </w:r>
      <w:r w:rsidR="00416E7E" w:rsidRPr="00FF2363">
        <w:t>T</w:t>
      </w:r>
      <w:r w:rsidR="00FF2A36" w:rsidRPr="00FF2363">
        <w:t>he applicant</w:t>
      </w:r>
      <w:r w:rsidR="00FF2363" w:rsidRPr="00FF2363">
        <w:t>’</w:t>
      </w:r>
      <w:r w:rsidR="00FF2A36" w:rsidRPr="00FF2363">
        <w:t xml:space="preserve">s case was heard and determined by eighteen members of the HCJ, </w:t>
      </w:r>
      <w:r w:rsidR="00BF4D30" w:rsidRPr="00FF2363">
        <w:t>of whom</w:t>
      </w:r>
      <w:r w:rsidR="00C66B5D" w:rsidRPr="00FF2363">
        <w:t xml:space="preserve"> only eight were judges</w:t>
      </w:r>
      <w:r w:rsidR="00096CF7" w:rsidRPr="00FF2363">
        <w:t>.</w:t>
      </w:r>
      <w:r w:rsidR="00C66B5D" w:rsidRPr="00FF2363">
        <w:t xml:space="preserve"> T</w:t>
      </w:r>
      <w:r w:rsidR="00FF2A36" w:rsidRPr="00FF2363">
        <w:t xml:space="preserve">he non-judicial members </w:t>
      </w:r>
      <w:r w:rsidR="00BF4D30" w:rsidRPr="00FF2363">
        <w:t xml:space="preserve">therefore </w:t>
      </w:r>
      <w:r w:rsidR="00FF2A36" w:rsidRPr="00FF2363">
        <w:t>constitut</w:t>
      </w:r>
      <w:r w:rsidR="00C66B5D" w:rsidRPr="00FF2363">
        <w:t xml:space="preserve">ed </w:t>
      </w:r>
      <w:r w:rsidR="00FF2A36" w:rsidRPr="00FF2363">
        <w:t>a majority</w:t>
      </w:r>
      <w:r w:rsidR="00C66B5D" w:rsidRPr="00FF2363">
        <w:t xml:space="preserve"> capable of determining the outcome of the proceedings</w:t>
      </w:r>
      <w:r w:rsidR="00FF2A36" w:rsidRPr="00FF2363">
        <w:t>.</w:t>
      </w:r>
      <w:r w:rsidR="00E85177" w:rsidRPr="00FF2363">
        <w:t xml:space="preserve"> </w:t>
      </w:r>
      <w:r w:rsidR="00BF4D30" w:rsidRPr="00FF2363">
        <w:t>Moreover</w:t>
      </w:r>
      <w:r w:rsidR="00284AB3" w:rsidRPr="00FF2363">
        <w:t>, t</w:t>
      </w:r>
      <w:r w:rsidR="00E85177" w:rsidRPr="00FF2363">
        <w:t xml:space="preserve">here </w:t>
      </w:r>
      <w:r w:rsidR="004112C9" w:rsidRPr="00FF2363">
        <w:t>remained issues</w:t>
      </w:r>
      <w:r w:rsidR="00E85177" w:rsidRPr="00FF2363">
        <w:t xml:space="preserve"> </w:t>
      </w:r>
      <w:r w:rsidR="00BF4D30" w:rsidRPr="00FF2363">
        <w:t xml:space="preserve">both </w:t>
      </w:r>
      <w:r w:rsidR="00CB54DE" w:rsidRPr="00FF2363">
        <w:t xml:space="preserve">with </w:t>
      </w:r>
      <w:r w:rsidR="00E85177" w:rsidRPr="00FF2363">
        <w:t>the manner in which the judicial members were delegated to the HCJ</w:t>
      </w:r>
      <w:r w:rsidR="00C163C6" w:rsidRPr="00FF2363">
        <w:t xml:space="preserve"> by the executive and legislative authorities</w:t>
      </w:r>
      <w:r w:rsidR="00E85177" w:rsidRPr="00FF2363">
        <w:t>,</w:t>
      </w:r>
      <w:r w:rsidR="004F5023" w:rsidRPr="00FF2363">
        <w:t xml:space="preserve"> limiting the number of judges in the HCJ elected by their peers,</w:t>
      </w:r>
      <w:r w:rsidR="007928CF" w:rsidRPr="00FF2363">
        <w:t xml:space="preserve"> </w:t>
      </w:r>
      <w:r w:rsidR="00BF4D30" w:rsidRPr="00FF2363">
        <w:t>and also</w:t>
      </w:r>
      <w:r w:rsidR="00284AB3" w:rsidRPr="00FF2363">
        <w:t xml:space="preserve"> </w:t>
      </w:r>
      <w:r w:rsidR="004112C9" w:rsidRPr="00FF2363">
        <w:t xml:space="preserve">with </w:t>
      </w:r>
      <w:r w:rsidR="00E85177" w:rsidRPr="00FF2363">
        <w:t xml:space="preserve">the </w:t>
      </w:r>
      <w:r w:rsidR="001D4FEC" w:rsidRPr="00FF2363">
        <w:t>fact that</w:t>
      </w:r>
      <w:r w:rsidR="00CB54DE" w:rsidRPr="00FF2363">
        <w:t xml:space="preserve"> the </w:t>
      </w:r>
      <w:r w:rsidR="00284AB3" w:rsidRPr="00FF2363">
        <w:t xml:space="preserve">majority of the </w:t>
      </w:r>
      <w:r w:rsidR="00CB54DE" w:rsidRPr="00FF2363">
        <w:t>HCJ</w:t>
      </w:r>
      <w:r w:rsidR="00FF2363" w:rsidRPr="00FF2363">
        <w:t>’</w:t>
      </w:r>
      <w:r w:rsidR="00284AB3" w:rsidRPr="00FF2363">
        <w:t>s members</w:t>
      </w:r>
      <w:r w:rsidR="004112C9" w:rsidRPr="00FF2363">
        <w:t xml:space="preserve"> </w:t>
      </w:r>
      <w:r w:rsidR="001D4FEC" w:rsidRPr="00FF2363">
        <w:t xml:space="preserve">were not employed there full time </w:t>
      </w:r>
      <w:r w:rsidR="004112C9" w:rsidRPr="00FF2363">
        <w:t xml:space="preserve">and </w:t>
      </w:r>
      <w:r w:rsidR="001D4FEC" w:rsidRPr="00FF2363">
        <w:t xml:space="preserve">that </w:t>
      </w:r>
      <w:r w:rsidR="004112C9" w:rsidRPr="00FF2363">
        <w:t xml:space="preserve">the Prosecutor General </w:t>
      </w:r>
      <w:r w:rsidR="001D4FEC" w:rsidRPr="00FF2363">
        <w:t>was a member</w:t>
      </w:r>
      <w:r w:rsidR="004112C9" w:rsidRPr="00FF2363">
        <w:t>.</w:t>
      </w:r>
    </w:p>
    <w:p w:rsidR="00F93E81" w:rsidRPr="00FF2363" w:rsidRDefault="00C66B5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71</w:t>
      </w:r>
      <w:r w:rsidRPr="00FF2363">
        <w:fldChar w:fldCharType="end"/>
      </w:r>
      <w:r w:rsidRPr="00FF2363">
        <w:t>.  </w:t>
      </w:r>
      <w:r w:rsidR="004112C9" w:rsidRPr="00FF2363">
        <w:t>Furthermore, a</w:t>
      </w:r>
      <w:r w:rsidR="00FF2A36" w:rsidRPr="00FF2363">
        <w:t>s regards the applicant</w:t>
      </w:r>
      <w:r w:rsidR="00FF2363" w:rsidRPr="00FF2363">
        <w:t>’</w:t>
      </w:r>
      <w:r w:rsidR="00FF2A36" w:rsidRPr="00FF2363">
        <w:t>s allegations</w:t>
      </w:r>
      <w:r w:rsidR="00E17607" w:rsidRPr="00FF2363">
        <w:t xml:space="preserve">, </w:t>
      </w:r>
      <w:r w:rsidR="00BF4D30" w:rsidRPr="00FF2363">
        <w:t xml:space="preserve">set out </w:t>
      </w:r>
      <w:r w:rsidR="00E17607" w:rsidRPr="00FF2363">
        <w:t xml:space="preserve">in detail before the Court, that </w:t>
      </w:r>
      <w:r w:rsidR="00FF2A36" w:rsidRPr="00FF2363">
        <w:t>certain members of the HCJ</w:t>
      </w:r>
      <w:r w:rsidR="00E17607" w:rsidRPr="00FF2363">
        <w:t xml:space="preserve"> had shown personal bias in his case</w:t>
      </w:r>
      <w:r w:rsidR="00FF2A36" w:rsidRPr="00FF2363">
        <w:t>,</w:t>
      </w:r>
      <w:r w:rsidR="000B0B2E" w:rsidRPr="00FF2363">
        <w:t xml:space="preserve"> </w:t>
      </w:r>
      <w:r w:rsidR="00FF2A36" w:rsidRPr="00FF2363">
        <w:t>it cannot be overlooked that Judge K., who was a member of the HCJ, had initially, in his capacity as chairman of the Council of Administrative Court Judges, played a role in the preliminary inquiry of the applicant</w:t>
      </w:r>
      <w:r w:rsidR="00FF2363" w:rsidRPr="00FF2363">
        <w:t>’</w:t>
      </w:r>
      <w:r w:rsidR="00FF2A36" w:rsidRPr="00FF2363">
        <w:t xml:space="preserve">s case and in making the proposal to the HCJ for his dismissal (see paragraphs </w:t>
      </w:r>
      <w:r w:rsidR="00FF2A36" w:rsidRPr="00FF2363">
        <w:fldChar w:fldCharType="begin"/>
      </w:r>
      <w:r w:rsidR="00FF2A36" w:rsidRPr="00FF2363">
        <w:instrText xml:space="preserve"> REF A1_personal_bias_2a \h  \* MERGEFORMAT </w:instrText>
      </w:r>
      <w:r w:rsidR="00FF2A36" w:rsidRPr="00FF2363">
        <w:fldChar w:fldCharType="separate"/>
      </w:r>
      <w:r w:rsidR="00FF2363" w:rsidRPr="00FF2363">
        <w:t>15</w:t>
      </w:r>
      <w:r w:rsidR="00FF2A36" w:rsidRPr="00FF2363">
        <w:fldChar w:fldCharType="end"/>
      </w:r>
      <w:r w:rsidR="00FF2A36" w:rsidRPr="00FF2363">
        <w:t xml:space="preserve"> and </w:t>
      </w:r>
      <w:r w:rsidR="00FF2A36" w:rsidRPr="00FF2363">
        <w:fldChar w:fldCharType="begin"/>
      </w:r>
      <w:r w:rsidR="00FF2A36" w:rsidRPr="00FF2363">
        <w:instrText xml:space="preserve"> REF A1_personal_bias_2b \h  \* MERGEFORMAT </w:instrText>
      </w:r>
      <w:r w:rsidR="00FF2A36" w:rsidRPr="00FF2363">
        <w:fldChar w:fldCharType="separate"/>
      </w:r>
      <w:r w:rsidR="00FF2363" w:rsidRPr="00FF2363">
        <w:t>18</w:t>
      </w:r>
      <w:r w:rsidR="00FF2A36" w:rsidRPr="00FF2363">
        <w:fldChar w:fldCharType="end"/>
      </w:r>
      <w:r w:rsidR="00FF2A36" w:rsidRPr="00FF2363">
        <w:t xml:space="preserve"> above). This preliminary involvement cast objective doubt on Judge K.</w:t>
      </w:r>
      <w:r w:rsidR="00FF2363" w:rsidRPr="00FF2363">
        <w:t>’</w:t>
      </w:r>
      <w:r w:rsidR="00FF2A36" w:rsidRPr="00FF2363">
        <w:t>s impartiality when he subsequently took part in the decision of the HCJ on the merits of the applicant</w:t>
      </w:r>
      <w:r w:rsidR="00FF2363" w:rsidRPr="00FF2363">
        <w:t>’</w:t>
      </w:r>
      <w:r w:rsidR="00FF2A36" w:rsidRPr="00FF2363">
        <w:t xml:space="preserve">s case (compare </w:t>
      </w:r>
      <w:r w:rsidR="00FF2A36" w:rsidRPr="00FF2363">
        <w:rPr>
          <w:i/>
        </w:rPr>
        <w:t>Oleksandr Volkov</w:t>
      </w:r>
      <w:r w:rsidR="00FF2A36" w:rsidRPr="00FF2363">
        <w:t xml:space="preserve">, cited above, § 115; </w:t>
      </w:r>
      <w:r w:rsidR="00FF2A36" w:rsidRPr="00FF2363">
        <w:rPr>
          <w:i/>
        </w:rPr>
        <w:t>Poposki and Duma</w:t>
      </w:r>
      <w:r w:rsidR="00FF2A36" w:rsidRPr="00FF2363">
        <w:t xml:space="preserve"> </w:t>
      </w:r>
      <w:r w:rsidR="00FF2A36" w:rsidRPr="00FF2363">
        <w:rPr>
          <w:i/>
        </w:rPr>
        <w:t>v.</w:t>
      </w:r>
      <w:r w:rsidR="00DF113A" w:rsidRPr="00FF2363">
        <w:rPr>
          <w:i/>
        </w:rPr>
        <w:t> </w:t>
      </w:r>
      <w:r w:rsidR="00FF2A36" w:rsidRPr="00FF2363">
        <w:rPr>
          <w:i/>
        </w:rPr>
        <w:t>the former Yugoslav Republic of Macedonia</w:t>
      </w:r>
      <w:r w:rsidR="00FF2A36" w:rsidRPr="00FF2363">
        <w:t>, nos. 69916/10 and 36531/11</w:t>
      </w:r>
      <w:r w:rsidR="00FF2A36" w:rsidRPr="00FF2363">
        <w:rPr>
          <w:snapToGrid w:val="0"/>
        </w:rPr>
        <w:t xml:space="preserve">, § 48, </w:t>
      </w:r>
      <w:r w:rsidR="00FF2A36" w:rsidRPr="00FF2363">
        <w:t>7</w:t>
      </w:r>
      <w:r w:rsidR="00DF113A" w:rsidRPr="00FF2363">
        <w:rPr>
          <w:snapToGrid w:val="0"/>
        </w:rPr>
        <w:t> </w:t>
      </w:r>
      <w:r w:rsidR="00FF2A36" w:rsidRPr="00FF2363">
        <w:t xml:space="preserve">January 2016; and </w:t>
      </w:r>
      <w:r w:rsidR="00FF2A36" w:rsidRPr="00FF2363">
        <w:rPr>
          <w:i/>
        </w:rPr>
        <w:t>Sturua</w:t>
      </w:r>
      <w:r w:rsidR="00A81B65" w:rsidRPr="00FF2363">
        <w:t>, cited above,</w:t>
      </w:r>
      <w:r w:rsidR="00FF2A36" w:rsidRPr="00FF2363">
        <w:rPr>
          <w:i/>
        </w:rPr>
        <w:t xml:space="preserve"> </w:t>
      </w:r>
      <w:r w:rsidR="00FF2A36" w:rsidRPr="00FF2363">
        <w:t>§</w:t>
      </w:r>
      <w:r w:rsidR="004112C9" w:rsidRPr="00FF2363">
        <w:t> </w:t>
      </w:r>
      <w:r w:rsidR="00FF2A36" w:rsidRPr="00FF2363">
        <w:t>35).</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72</w:t>
      </w:r>
      <w:r w:rsidRPr="00FF2363">
        <w:fldChar w:fldCharType="end"/>
      </w:r>
      <w:r w:rsidRPr="00FF2363">
        <w:t>.  </w:t>
      </w:r>
      <w:r w:rsidR="00284AB3" w:rsidRPr="00FF2363">
        <w:t xml:space="preserve">The above considerations are sufficient for the Court to conclude that the proceedings before the HCJ lacked the guarantees of independence and impartiality in view of the structural deficiencies and </w:t>
      </w:r>
      <w:r w:rsidRPr="00FF2363">
        <w:t>the appearance of personal bias.</w:t>
      </w:r>
    </w:p>
    <w:p w:rsidR="00F93E81" w:rsidRPr="00FF2363" w:rsidRDefault="00FF2A36" w:rsidP="00FF2363">
      <w:pPr>
        <w:pStyle w:val="ECHRHeading5"/>
      </w:pPr>
      <w:r w:rsidRPr="00FF2363">
        <w:t>(iii)</w:t>
      </w:r>
      <w:r w:rsidR="00DF113A" w:rsidRPr="00FF2363">
        <w:t>  </w:t>
      </w:r>
      <w:r w:rsidRPr="00FF2363">
        <w:t>Whether the examination by the HAC provided a sufficient review</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73</w:t>
      </w:r>
      <w:r w:rsidRPr="00FF2363">
        <w:fldChar w:fldCharType="end"/>
      </w:r>
      <w:r w:rsidRPr="00FF2363">
        <w:t xml:space="preserve">.  In order to determine firstly whether a second-level tribunal had “full jurisdiction”, or provided “sufficiency of review” to remedy a lack of independence and impartiality at first instance, the Court has considered that it is necessary to have regard to such factors as the subject matter of the decision appealed against, the manner in which that decision was arrived at and the content of the dispute, including the desired and actual grounds of appeal (see </w:t>
      </w:r>
      <w:r w:rsidRPr="00FF2363">
        <w:rPr>
          <w:i/>
        </w:rPr>
        <w:t>Bryan v. the United Kingdom</w:t>
      </w:r>
      <w:r w:rsidRPr="00FF2363">
        <w:t>, 22 November 1995, §§</w:t>
      </w:r>
      <w:r w:rsidR="00DF113A" w:rsidRPr="00FF2363">
        <w:t> </w:t>
      </w:r>
      <w:r w:rsidRPr="00FF2363">
        <w:t>44-47, Series A no. 335</w:t>
      </w:r>
      <w:r w:rsidRPr="00FF2363">
        <w:noBreakHyphen/>
        <w:t xml:space="preserve">A, and </w:t>
      </w:r>
      <w:r w:rsidRPr="00FF2363">
        <w:rPr>
          <w:i/>
        </w:rPr>
        <w:t>Tsfayo</w:t>
      </w:r>
      <w:r w:rsidRPr="00FF2363">
        <w:t>, cited above, § 43).</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74</w:t>
      </w:r>
      <w:r w:rsidRPr="00FF2363">
        <w:fldChar w:fldCharType="end"/>
      </w:r>
      <w:r w:rsidRPr="00FF2363">
        <w:t xml:space="preserve">.  In </w:t>
      </w:r>
      <w:r w:rsidRPr="00FF2363">
        <w:rPr>
          <w:i/>
        </w:rPr>
        <w:t>Oleksandr Volkov</w:t>
      </w:r>
      <w:r w:rsidRPr="00FF2363">
        <w:t xml:space="preserve"> the Court specifically found that the HAC had not provided a sufficient review of a case concerning a judge</w:t>
      </w:r>
      <w:r w:rsidR="00FF2363" w:rsidRPr="00FF2363">
        <w:t>’</w:t>
      </w:r>
      <w:r w:rsidRPr="00FF2363">
        <w:t>s dismissal from office. Firstly, the Court observed that the HAC had powers to declare the impugned decisions unlawful, but that it was unable to quash them and take any further appropriate steps if deemed necessary. Even though no legal consequences arose from a decision being declared unlawful, the HAC</w:t>
      </w:r>
      <w:r w:rsidR="00FF2363" w:rsidRPr="00FF2363">
        <w:t>’</w:t>
      </w:r>
      <w:r w:rsidRPr="00FF2363">
        <w:t xml:space="preserve">s inability to quash the impugned decision, together with the absence of rules as to the further progress of the disciplinary proceedings (in </w:t>
      </w:r>
      <w:r w:rsidRPr="00FF2363">
        <w:lastRenderedPageBreak/>
        <w:t>particular, the steps that had to be taken by the authorities involved after the impugned decisions had been declared unlawful and the time-limits for those steps to be taken), produced serious uncertainty about the real legal consequences of such judicial declarations. Judicial practice suggested, moreover, that there was no automatic reinstatement in the event of a positive declaration by the HAC, because the judges concerned had to institute new proceedings for reinstatement (ibid., §§ 125 and 126). The Court also examined the manner and the actual scope of the HAC</w:t>
      </w:r>
      <w:r w:rsidR="00FF2363" w:rsidRPr="00FF2363">
        <w:t>’</w:t>
      </w:r>
      <w:r w:rsidRPr="00FF2363">
        <w:t>s review and concluded that these were likewise inappropriate to provide a “sufficient review” (ibid., §§ 127 and 128).</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75</w:t>
      </w:r>
      <w:r w:rsidRPr="00FF2363">
        <w:fldChar w:fldCharType="end"/>
      </w:r>
      <w:r w:rsidRPr="00FF2363">
        <w:t>.  The above considerations are equally pertinent to the present case. In reviewing the HCJ</w:t>
      </w:r>
      <w:r w:rsidR="00FF2363" w:rsidRPr="00FF2363">
        <w:t>’</w:t>
      </w:r>
      <w:r w:rsidRPr="00FF2363">
        <w:t>s decision, which had immediate effect, the HAC was acting within the same legal framework with the same limited powers and uncertainties as to the eventual legal consequences.</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76</w:t>
      </w:r>
      <w:r w:rsidRPr="00FF2363">
        <w:fldChar w:fldCharType="end"/>
      </w:r>
      <w:r w:rsidRPr="00FF2363">
        <w:t xml:space="preserve">.  Moreover, looking into the content of the dispute at stake in the present case, there are serious mismatches between the </w:t>
      </w:r>
      <w:r w:rsidR="00F53840" w:rsidRPr="00FF2363">
        <w:t xml:space="preserve">advanced </w:t>
      </w:r>
      <w:r w:rsidRPr="00FF2363">
        <w:t xml:space="preserve">and actual grounds of review. Firstly, in its decision the HAC considered that the applicant </w:t>
      </w:r>
      <w:r w:rsidR="00BF4D30" w:rsidRPr="00FF2363">
        <w:t xml:space="preserve">had </w:t>
      </w:r>
      <w:r w:rsidRPr="00FF2363">
        <w:t>not contest</w:t>
      </w:r>
      <w:r w:rsidR="00BF4D30" w:rsidRPr="00FF2363">
        <w:t>ed</w:t>
      </w:r>
      <w:r w:rsidRPr="00FF2363">
        <w:t xml:space="preserve"> the facts forming the grounds for his dismissal and therefore those facts were taken as established. This conclusion is not consistent with the grounds of the applicant</w:t>
      </w:r>
      <w:r w:rsidR="00FF2363" w:rsidRPr="00FF2363">
        <w:t>’</w:t>
      </w:r>
      <w:r w:rsidRPr="00FF2363">
        <w:t>s claim before the HAC, in which he clearly contested those facts. The applicant argued in particular that the findings of the HCJ were too general and that in order to substantiate its conclusions the HCJ should have referred to the specific circumstances and the</w:t>
      </w:r>
      <w:r w:rsidR="00BF4D30" w:rsidRPr="00FF2363">
        <w:t>ir</w:t>
      </w:r>
      <w:r w:rsidRPr="00FF2363">
        <w:t xml:space="preserve"> time frame.</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77</w:t>
      </w:r>
      <w:r w:rsidRPr="00FF2363">
        <w:fldChar w:fldCharType="end"/>
      </w:r>
      <w:r w:rsidRPr="00FF2363">
        <w:t>.  Secondly, the HAC made no genuine attempt to examine another important argument by the applicant alleging a lack of independence and impartiality in the proceedings before the HCJ</w:t>
      </w:r>
      <w:r w:rsidR="000057B1" w:rsidRPr="00FF2363">
        <w:t xml:space="preserve"> (see paragraph </w:t>
      </w:r>
      <w:r w:rsidR="00453D46" w:rsidRPr="00FF2363">
        <w:t xml:space="preserve">21 </w:t>
      </w:r>
      <w:r w:rsidR="000057B1" w:rsidRPr="00FF2363">
        <w:t>above)</w:t>
      </w:r>
      <w:r w:rsidRPr="00FF2363">
        <w:t>.</w:t>
      </w:r>
      <w:r w:rsidR="00A92648" w:rsidRPr="00FF2363">
        <w:t xml:space="preserve"> Having mentioned its competence to </w:t>
      </w:r>
      <w:r w:rsidR="003A106D" w:rsidRPr="00FF2363">
        <w:t>review</w:t>
      </w:r>
      <w:r w:rsidR="00A92648" w:rsidRPr="00FF2363">
        <w:t xml:space="preserve"> whether the impugned decision </w:t>
      </w:r>
      <w:r w:rsidR="00B95105" w:rsidRPr="00FF2363">
        <w:t xml:space="preserve">had been </w:t>
      </w:r>
      <w:r w:rsidR="003B5237" w:rsidRPr="00FF2363">
        <w:t xml:space="preserve">taken in a manner </w:t>
      </w:r>
      <w:r w:rsidR="00A92648" w:rsidRPr="00FF2363">
        <w:t xml:space="preserve">compatible with a number of criteria, notably the requirement of impartiality, the HAC </w:t>
      </w:r>
      <w:r w:rsidR="00B95105" w:rsidRPr="00FF2363">
        <w:t xml:space="preserve">reached </w:t>
      </w:r>
      <w:r w:rsidR="003A106D" w:rsidRPr="00FF2363">
        <w:t>a general conclusion</w:t>
      </w:r>
      <w:r w:rsidR="00A92648" w:rsidRPr="00FF2363">
        <w:t xml:space="preserve"> that the HCJ </w:t>
      </w:r>
      <w:r w:rsidR="00B95105" w:rsidRPr="00FF2363">
        <w:t xml:space="preserve">had </w:t>
      </w:r>
      <w:r w:rsidR="00A92648" w:rsidRPr="00FF2363">
        <w:t>not violate</w:t>
      </w:r>
      <w:r w:rsidR="00B95105" w:rsidRPr="00FF2363">
        <w:t>d</w:t>
      </w:r>
      <w:r w:rsidR="00A92648" w:rsidRPr="00FF2363">
        <w:t xml:space="preserve"> the Constitution or the laws of Ukraine. However, </w:t>
      </w:r>
      <w:r w:rsidR="00B95105" w:rsidRPr="00FF2363">
        <w:t xml:space="preserve">the HAC </w:t>
      </w:r>
      <w:r w:rsidR="00A92648" w:rsidRPr="00FF2363">
        <w:t>failed to assess</w:t>
      </w:r>
      <w:r w:rsidR="00362746" w:rsidRPr="00FF2363">
        <w:t xml:space="preserve"> </w:t>
      </w:r>
      <w:r w:rsidR="003A106D" w:rsidRPr="00FF2363">
        <w:t xml:space="preserve">whether the proceedings before the HCJ </w:t>
      </w:r>
      <w:r w:rsidR="00B95105" w:rsidRPr="00FF2363">
        <w:t xml:space="preserve">had </w:t>
      </w:r>
      <w:r w:rsidR="00342F9D" w:rsidRPr="00FF2363">
        <w:t>complied</w:t>
      </w:r>
      <w:r w:rsidR="003A106D" w:rsidRPr="00FF2363">
        <w:t xml:space="preserve"> with the principles of independence and impartiality</w:t>
      </w:r>
      <w:r w:rsidR="005B0968" w:rsidRPr="00FF2363">
        <w:t xml:space="preserve">. </w:t>
      </w:r>
      <w:r w:rsidR="0005386E" w:rsidRPr="00FF2363">
        <w:t>It</w:t>
      </w:r>
      <w:r w:rsidR="005B0968" w:rsidRPr="00FF2363">
        <w:t xml:space="preserve"> </w:t>
      </w:r>
      <w:r w:rsidR="00A92648" w:rsidRPr="00FF2363">
        <w:t xml:space="preserve">provided no reasons </w:t>
      </w:r>
      <w:r w:rsidR="003A106D" w:rsidRPr="00FF2363">
        <w:t>in that regard</w:t>
      </w:r>
      <w:r w:rsidR="00A92648" w:rsidRPr="00FF2363">
        <w:t>.</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78</w:t>
      </w:r>
      <w:r w:rsidRPr="00FF2363">
        <w:fldChar w:fldCharType="end"/>
      </w:r>
      <w:r w:rsidRPr="00FF2363">
        <w:t>.  Therefore, the review of the applicant</w:t>
      </w:r>
      <w:r w:rsidR="00FF2363" w:rsidRPr="00FF2363">
        <w:t>’</w:t>
      </w:r>
      <w:r w:rsidRPr="00FF2363">
        <w:t>s case by the HAC was not sufficient. Accordingly, it was unable to remedy the defects regarding procedural fairness resulting from the proceedings before the HCJ.</w:t>
      </w:r>
    </w:p>
    <w:p w:rsidR="001B358F" w:rsidRPr="00FF2363" w:rsidRDefault="001B358F" w:rsidP="00FF2363">
      <w:pPr>
        <w:pStyle w:val="ECHRHeading5"/>
      </w:pPr>
      <w:r w:rsidRPr="00FF2363">
        <w:t>(iv)</w:t>
      </w:r>
      <w:r w:rsidR="00DF113A" w:rsidRPr="00FF2363">
        <w:t>  </w:t>
      </w:r>
      <w:r w:rsidRPr="00FF2363">
        <w:t>Whether the HAC complied with standards of independence and impartiality</w:t>
      </w:r>
    </w:p>
    <w:p w:rsidR="00FF2A36" w:rsidRPr="00FF2363" w:rsidRDefault="004A0D7E"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79</w:t>
      </w:r>
      <w:r w:rsidRPr="00FF2363">
        <w:fldChar w:fldCharType="end"/>
      </w:r>
      <w:r w:rsidRPr="00FF2363">
        <w:t>.  </w:t>
      </w:r>
      <w:r w:rsidR="00FF2A36" w:rsidRPr="00FF2363">
        <w:t xml:space="preserve">As to the guarantees of independence and impartiality under Article 6 § 1 to be provided by the reviewing judicial body, such a review was performed </w:t>
      </w:r>
      <w:r w:rsidR="00BF4D30" w:rsidRPr="00FF2363">
        <w:t xml:space="preserve">in the present case </w:t>
      </w:r>
      <w:r w:rsidR="00FF2A36" w:rsidRPr="00FF2363">
        <w:t xml:space="preserve">by the judges of the HAC, who were also under the disciplinary jurisdiction of the HCJ. This means that those judges could also be the subject of disciplinary proceedings before the HCJ. The </w:t>
      </w:r>
      <w:r w:rsidR="00FF2A36" w:rsidRPr="00FF2363">
        <w:lastRenderedPageBreak/>
        <w:t xml:space="preserve">fact that judges of the HAC were subject to disciplinary law and were bound by rules of judicial discipline and ethics is not </w:t>
      </w:r>
      <w:r w:rsidR="00BF4D30" w:rsidRPr="00FF2363">
        <w:t xml:space="preserve">in itself </w:t>
      </w:r>
      <w:r w:rsidR="00C66B5D" w:rsidRPr="00FF2363">
        <w:t xml:space="preserve">a reason </w:t>
      </w:r>
      <w:r w:rsidR="00FF2A36" w:rsidRPr="00FF2363">
        <w:t xml:space="preserve">to put in doubt their independence and impartiality in relation to the authority empowered to implement disciplinary rules. The question of compliance with the fundamental guarantees of independence and impartiality </w:t>
      </w:r>
      <w:r w:rsidR="00F53840" w:rsidRPr="00FF2363">
        <w:t xml:space="preserve">may </w:t>
      </w:r>
      <w:r w:rsidR="00FF2A36" w:rsidRPr="00FF2363">
        <w:t>arise, however, if the structure and functioning of the disciplinary body raises serious issues in this regard. The present case does indeed disclose serious issues of this kind on the part of the HCJ</w:t>
      </w:r>
      <w:r w:rsidR="00CC70EA" w:rsidRPr="00FF2363">
        <w:t>, in particular structural deficiencies and the appearance of personal bias</w:t>
      </w:r>
      <w:r w:rsidR="00C6780B" w:rsidRPr="00FF2363">
        <w:t xml:space="preserve"> (see paragraphs</w:t>
      </w:r>
      <w:r w:rsidR="00DF113A" w:rsidRPr="00FF2363">
        <w:t> </w:t>
      </w:r>
      <w:r w:rsidR="00CB180C" w:rsidRPr="00FF2363">
        <w:t>70-72</w:t>
      </w:r>
      <w:r w:rsidR="00453D46" w:rsidRPr="00FF2363">
        <w:t xml:space="preserve"> </w:t>
      </w:r>
      <w:r w:rsidR="007264EC" w:rsidRPr="00FF2363">
        <w:t>above)</w:t>
      </w:r>
      <w:r w:rsidR="00FF2A36" w:rsidRPr="00FF2363">
        <w:t xml:space="preserve">. Secondly, the HCJ was not merely a disciplinary authority; it was in reality an authority with extensive powers with respect to the careers of judges (appointment, disciplining and dismissal). On the basis of those factors and having regard to the </w:t>
      </w:r>
      <w:r w:rsidR="00191A87" w:rsidRPr="00FF2363">
        <w:t>specific context of the Ukrainian system at the time</w:t>
      </w:r>
      <w:r w:rsidR="00FF2A36" w:rsidRPr="00FF2363">
        <w:t>, the Court</w:t>
      </w:r>
      <w:r w:rsidRPr="00FF2363">
        <w:t xml:space="preserve">, in the light of </w:t>
      </w:r>
      <w:r w:rsidRPr="00FF2363">
        <w:rPr>
          <w:i/>
        </w:rPr>
        <w:t>Oleksandr Volkov</w:t>
      </w:r>
      <w:r w:rsidRPr="00FF2363">
        <w:t xml:space="preserve"> (cited above, § 130), finds</w:t>
      </w:r>
      <w:r w:rsidR="00FF2A36" w:rsidRPr="00FF2363">
        <w:t xml:space="preserve"> that the judges of the HAC considering the applicant</w:t>
      </w:r>
      <w:r w:rsidR="00FF2363" w:rsidRPr="00FF2363">
        <w:t>’</w:t>
      </w:r>
      <w:r w:rsidR="00FF2A36" w:rsidRPr="00FF2363">
        <w:t xml:space="preserve">s case, </w:t>
      </w:r>
      <w:r w:rsidR="00CC70EA" w:rsidRPr="00FF2363">
        <w:t xml:space="preserve">in </w:t>
      </w:r>
      <w:r w:rsidR="00FF2A36" w:rsidRPr="00FF2363">
        <w:t xml:space="preserve">which the HCJ </w:t>
      </w:r>
      <w:r w:rsidR="00CC70EA" w:rsidRPr="00FF2363">
        <w:t>participated</w:t>
      </w:r>
      <w:r w:rsidR="00FF2A36" w:rsidRPr="00FF2363">
        <w:t xml:space="preserve">, </w:t>
      </w:r>
      <w:r w:rsidR="00BF4D30" w:rsidRPr="00FF2363">
        <w:t xml:space="preserve">were </w:t>
      </w:r>
      <w:r w:rsidR="00FF2A36" w:rsidRPr="00FF2363">
        <w:t>not able to demonstrate the “independence and impartiality” required by Article 6 of the Convention.</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80</w:t>
      </w:r>
      <w:r w:rsidRPr="00FF2363">
        <w:fldChar w:fldCharType="end"/>
      </w:r>
      <w:r w:rsidRPr="00FF2363">
        <w:t>.  It follows that the judicial review by the HAC in the present case did not comply with the requirement of independence and impartiality.</w:t>
      </w:r>
    </w:p>
    <w:p w:rsidR="00FF2A36" w:rsidRPr="00FF2363" w:rsidRDefault="00FF2A36" w:rsidP="00FF2363">
      <w:pPr>
        <w:pStyle w:val="ECHRHeading5"/>
      </w:pPr>
      <w:r w:rsidRPr="00FF2363">
        <w:t>(v)  Conclusion</w:t>
      </w:r>
    </w:p>
    <w:p w:rsidR="00F93E81"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81</w:t>
      </w:r>
      <w:r w:rsidRPr="00FF2363">
        <w:fldChar w:fldCharType="end"/>
      </w:r>
      <w:r w:rsidRPr="00FF2363">
        <w:t>.  Accordingly, the HCJ failed to ensure an independent and impartial examination of the applicant</w:t>
      </w:r>
      <w:r w:rsidR="00FF2363" w:rsidRPr="00FF2363">
        <w:t>’</w:t>
      </w:r>
      <w:r w:rsidRPr="00FF2363">
        <w:t>s case, and the subsequent review of his case by the HAC did not put those defects right.</w:t>
      </w:r>
    </w:p>
    <w:p w:rsidR="00FF2A36" w:rsidRPr="00FF2363" w:rsidRDefault="004A0D7E"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82</w:t>
      </w:r>
      <w:r w:rsidRPr="00FF2363">
        <w:fldChar w:fldCharType="end"/>
      </w:r>
      <w:r w:rsidRPr="00FF2363">
        <w:t>.  </w:t>
      </w:r>
      <w:r w:rsidR="00FF2A36" w:rsidRPr="00FF2363">
        <w:t>There has therefore been a violation of Article 6 § 1 of the Convention.</w:t>
      </w:r>
    </w:p>
    <w:p w:rsidR="00014566" w:rsidRPr="00FF2363" w:rsidRDefault="00FF2A36" w:rsidP="00FF2363">
      <w:pPr>
        <w:pStyle w:val="ECHRHeading1"/>
      </w:pPr>
      <w:r w:rsidRPr="00FF2363">
        <w:t>II</w:t>
      </w:r>
      <w:r w:rsidR="00014566" w:rsidRPr="00FF2363">
        <w:t xml:space="preserve">.  ALLEGED VIOLATION OF ARTICLE </w:t>
      </w:r>
      <w:r w:rsidRPr="00FF2363">
        <w:t>8</w:t>
      </w:r>
      <w:r w:rsidR="00014566" w:rsidRPr="00FF2363">
        <w:t xml:space="preserve"> OF THE CONVENTION</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83</w:t>
      </w:r>
      <w:r w:rsidRPr="00FF2363">
        <w:fldChar w:fldCharType="end"/>
      </w:r>
      <w:r w:rsidRPr="00FF2363">
        <w:t>.  The applicant complained under Article 8 of the Convention that his right to respect for his private life had been violated by his dismissal from the position of president of the Kyiv Administrative Court of Appeal.</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84</w:t>
      </w:r>
      <w:r w:rsidRPr="00FF2363">
        <w:fldChar w:fldCharType="end"/>
      </w:r>
      <w:r w:rsidRPr="00FF2363">
        <w:t>.  The relevant parts of Article 8 of the Convention provide as follows:</w:t>
      </w:r>
    </w:p>
    <w:p w:rsidR="00FF2A36" w:rsidRPr="00FF2363" w:rsidRDefault="00FF2A36" w:rsidP="00FF2363">
      <w:pPr>
        <w:pStyle w:val="ECHRParaQuote"/>
      </w:pPr>
      <w:r w:rsidRPr="00FF2363">
        <w:t>“1.  Everyone has the right to respect for his private ... life ...</w:t>
      </w:r>
    </w:p>
    <w:p w:rsidR="00FF2A36" w:rsidRPr="00FF2363" w:rsidRDefault="00FF2A36" w:rsidP="00FF2363">
      <w:pPr>
        <w:pStyle w:val="JuQuotSub"/>
      </w:pPr>
      <w:r w:rsidRPr="00FF236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FF2A36" w:rsidRPr="00FF2363" w:rsidRDefault="002E253A" w:rsidP="00FF2363">
      <w:pPr>
        <w:pStyle w:val="ECHRHeading2"/>
      </w:pPr>
      <w:r w:rsidRPr="00FF2363">
        <w:lastRenderedPageBreak/>
        <w:t>A</w:t>
      </w:r>
      <w:r w:rsidR="00FF2A36" w:rsidRPr="00FF2363">
        <w:t>.</w:t>
      </w:r>
      <w:r w:rsidR="00DF113A" w:rsidRPr="00FF2363">
        <w:t> </w:t>
      </w:r>
      <w:r w:rsidR="00FF2A36" w:rsidRPr="00FF2363">
        <w:t>The parties</w:t>
      </w:r>
      <w:r w:rsidR="00FF2363" w:rsidRPr="00FF2363">
        <w:t>’</w:t>
      </w:r>
      <w:r w:rsidR="00FF2A36" w:rsidRPr="00FF2363">
        <w:t xml:space="preserve"> submissions</w:t>
      </w:r>
    </w:p>
    <w:p w:rsidR="00FF2A36" w:rsidRPr="00FF2363" w:rsidRDefault="002E253A" w:rsidP="00FF2363">
      <w:pPr>
        <w:pStyle w:val="ECHRHeading3"/>
      </w:pPr>
      <w:r w:rsidRPr="00FF2363">
        <w:t>1.</w:t>
      </w:r>
      <w:r w:rsidR="00DF113A" w:rsidRPr="00FF2363">
        <w:t> </w:t>
      </w:r>
      <w:r w:rsidR="00FF2A36" w:rsidRPr="00FF2363">
        <w:t>The applicant</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85</w:t>
      </w:r>
      <w:r w:rsidRPr="00FF2363">
        <w:fldChar w:fldCharType="end"/>
      </w:r>
      <w:r w:rsidRPr="00FF2363">
        <w:t xml:space="preserve">.  The applicant submitted that his right to respect for his private life was engaged because his career, reputation and social and professional relationships had been irreparably damaged. Furthermore, his material well-being had been affected given the reduction in his salary and in the prospective pension benefits. In support of his contention, the applicant relied on </w:t>
      </w:r>
      <w:r w:rsidRPr="00FF2363">
        <w:rPr>
          <w:rFonts w:ascii="Times New Roman" w:hAnsi="Times New Roman" w:cs="Times New Roman"/>
          <w:i/>
          <w:szCs w:val="24"/>
        </w:rPr>
        <w:t xml:space="preserve">Erményi v. Hungary </w:t>
      </w:r>
      <w:r w:rsidRPr="00FF2363">
        <w:rPr>
          <w:rFonts w:ascii="Times New Roman" w:hAnsi="Times New Roman" w:cs="Times New Roman"/>
          <w:szCs w:val="24"/>
        </w:rPr>
        <w:t>(</w:t>
      </w:r>
      <w:r w:rsidR="00A36D73" w:rsidRPr="00FF2363">
        <w:t>no. 22254/14, §§ 30 and 31, 22</w:t>
      </w:r>
      <w:r w:rsidR="00DF113A" w:rsidRPr="00FF2363">
        <w:t> </w:t>
      </w:r>
      <w:r w:rsidR="00A36D73" w:rsidRPr="00FF2363">
        <w:t>November 2016</w:t>
      </w:r>
      <w:r w:rsidRPr="00FF2363">
        <w:rPr>
          <w:rFonts w:ascii="Times New Roman" w:hAnsi="Times New Roman" w:cs="Times New Roman"/>
          <w:szCs w:val="24"/>
        </w:rPr>
        <w:t>), in which the termination of the applicant</w:t>
      </w:r>
      <w:r w:rsidR="00FF2363" w:rsidRPr="00FF2363">
        <w:rPr>
          <w:rFonts w:ascii="Times New Roman" w:hAnsi="Times New Roman" w:cs="Times New Roman"/>
          <w:szCs w:val="24"/>
        </w:rPr>
        <w:t>’</w:t>
      </w:r>
      <w:r w:rsidR="006B668D" w:rsidRPr="00FF2363">
        <w:rPr>
          <w:rFonts w:ascii="Times New Roman" w:hAnsi="Times New Roman" w:cs="Times New Roman"/>
          <w:szCs w:val="24"/>
        </w:rPr>
        <w:t>s mandate as Vice</w:t>
      </w:r>
      <w:r w:rsidR="006B668D" w:rsidRPr="00FF2363">
        <w:rPr>
          <w:rFonts w:ascii="Times New Roman" w:hAnsi="Times New Roman" w:cs="Times New Roman"/>
          <w:szCs w:val="24"/>
        </w:rPr>
        <w:noBreakHyphen/>
      </w:r>
      <w:r w:rsidRPr="00FF2363">
        <w:rPr>
          <w:rFonts w:ascii="Times New Roman" w:hAnsi="Times New Roman" w:cs="Times New Roman"/>
          <w:szCs w:val="24"/>
        </w:rPr>
        <w:t>President of the Supreme Court was found to have interfered with his right to respect for his private life.</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86</w:t>
      </w:r>
      <w:r w:rsidRPr="00FF2363">
        <w:fldChar w:fldCharType="end"/>
      </w:r>
      <w:r w:rsidRPr="00FF2363">
        <w:t xml:space="preserve">.  As regards reputation, the applicant </w:t>
      </w:r>
      <w:r w:rsidR="00CC70EA" w:rsidRPr="00FF2363">
        <w:t xml:space="preserve">argued </w:t>
      </w:r>
      <w:r w:rsidRPr="00FF2363">
        <w:t>that the position of president of a court of appeal was prestigious and powerful. As he had occupied positions as president of several courts over a period of twenty-five years, the position from which he had been dismissed represented the apex of his legal career and the culmination of decades of personal dedication and professional commitment. His dismissal from that position had damaged his peers</w:t>
      </w:r>
      <w:r w:rsidR="00FF2363" w:rsidRPr="00FF2363">
        <w:t>’</w:t>
      </w:r>
      <w:r w:rsidRPr="00FF2363">
        <w:t xml:space="preserve"> perceptions of his personal authority and competence. Furthermore, the reason for his dismissal, namely breaches of laws relating to the organisation of the justice process, had affected his professional standing generally and his future career and promotion prospects. This was particularly relevant in view of the fact that the information about his dismissal had been widely disseminated. In the context of his allegation of serious damage to his reputation, the applicant contended that the interests of his children as trained lawyers had been affected by his wrongful dismissal.</w:t>
      </w:r>
    </w:p>
    <w:p w:rsidR="00835569"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87</w:t>
      </w:r>
      <w:r w:rsidRPr="00FF2363">
        <w:fldChar w:fldCharType="end"/>
      </w:r>
      <w:r w:rsidRPr="00FF2363">
        <w:t>.  The applicant further submitted</w:t>
      </w:r>
      <w:r w:rsidR="00B34F58" w:rsidRPr="00FF2363">
        <w:t>, as to</w:t>
      </w:r>
      <w:r w:rsidRPr="00FF2363">
        <w:t xml:space="preserve"> the merits of his complaint</w:t>
      </w:r>
      <w:r w:rsidR="00B34F58" w:rsidRPr="00FF2363">
        <w:t>,</w:t>
      </w:r>
      <w:r w:rsidRPr="00FF2363">
        <w:t xml:space="preserve"> that the interference with his right to respect for his private life had not been “in accordance with the law” as the applicable law was too vague and did not provide for procedural safeguards to prevent its arbitrary application. He then submitted that his dismissal had been disproportionate in the circumstances as the manner in which he had been dismissed had not given him any opportunity to remedy his alleged managerial failings.</w:t>
      </w:r>
    </w:p>
    <w:p w:rsidR="00FF2A36" w:rsidRPr="00FF2363" w:rsidRDefault="002E253A" w:rsidP="00FF2363">
      <w:pPr>
        <w:pStyle w:val="ECHRHeading3"/>
      </w:pPr>
      <w:r w:rsidRPr="00FF2363">
        <w:t>2.</w:t>
      </w:r>
      <w:r w:rsidR="00DF113A" w:rsidRPr="00FF2363">
        <w:t> </w:t>
      </w:r>
      <w:r w:rsidR="00FF2A36" w:rsidRPr="00FF2363">
        <w:t>The Government</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88</w:t>
      </w:r>
      <w:r w:rsidRPr="00FF2363">
        <w:fldChar w:fldCharType="end"/>
      </w:r>
      <w:r w:rsidRPr="00FF2363">
        <w:t xml:space="preserve">.  The Government submitted that the right to exercise administrative functions in a court did not fall within the ambit of Article 8 of the Convention. In contrast to the cases of </w:t>
      </w:r>
      <w:r w:rsidRPr="00FF2363">
        <w:rPr>
          <w:i/>
        </w:rPr>
        <w:t>Oleksandr Volkov</w:t>
      </w:r>
      <w:r w:rsidRPr="00FF2363">
        <w:t xml:space="preserve"> (cited above) and </w:t>
      </w:r>
      <w:r w:rsidRPr="00FF2363">
        <w:rPr>
          <w:i/>
        </w:rPr>
        <w:t>Özpınar v.</w:t>
      </w:r>
      <w:r w:rsidR="00DF113A" w:rsidRPr="00FF2363">
        <w:rPr>
          <w:i/>
        </w:rPr>
        <w:t> </w:t>
      </w:r>
      <w:r w:rsidRPr="00FF2363">
        <w:rPr>
          <w:i/>
        </w:rPr>
        <w:t>Turkey</w:t>
      </w:r>
      <w:r w:rsidRPr="00FF2363">
        <w:t xml:space="preserve"> (no. 20999/04, 19 October 2010), the applicant in the present case had not been removed from judicial office. Given this important distinction, the complaint was incompatible </w:t>
      </w:r>
      <w:r w:rsidRPr="00FF2363">
        <w:rPr>
          <w:i/>
        </w:rPr>
        <w:t>ratione materiae</w:t>
      </w:r>
      <w:r w:rsidRPr="00FF2363">
        <w:t xml:space="preserve"> with the Convention.</w:t>
      </w:r>
    </w:p>
    <w:p w:rsidR="00FF2A36" w:rsidRPr="00FF2363" w:rsidRDefault="00FF2A36" w:rsidP="00FF2363">
      <w:pPr>
        <w:pStyle w:val="ECHRPara"/>
      </w:pPr>
      <w:r w:rsidRPr="00FF2363">
        <w:lastRenderedPageBreak/>
        <w:fldChar w:fldCharType="begin"/>
      </w:r>
      <w:r w:rsidRPr="00FF2363">
        <w:instrText xml:space="preserve"> SEQ level0 \*arabic </w:instrText>
      </w:r>
      <w:r w:rsidRPr="00FF2363">
        <w:fldChar w:fldCharType="separate"/>
      </w:r>
      <w:r w:rsidR="00FF2363" w:rsidRPr="00FF2363">
        <w:rPr>
          <w:noProof/>
        </w:rPr>
        <w:t>89</w:t>
      </w:r>
      <w:r w:rsidRPr="00FF2363">
        <w:fldChar w:fldCharType="end"/>
      </w:r>
      <w:r w:rsidRPr="00FF2363">
        <w:t>.  The Government further contended that even assuming that Article</w:t>
      </w:r>
      <w:r w:rsidR="00DF113A" w:rsidRPr="00FF2363">
        <w:t> </w:t>
      </w:r>
      <w:r w:rsidRPr="00FF2363">
        <w:t>8 was applicable, the applicant</w:t>
      </w:r>
      <w:r w:rsidR="00FF2363" w:rsidRPr="00FF2363">
        <w:t>’</w:t>
      </w:r>
      <w:r w:rsidRPr="00FF2363">
        <w:t>s removal from his administrative position had had very little impact on his private life. The applicant had probably changed office in the same court building and had received a slightly lower salary. Therefore, he had not suffered a “significant disadvantage” and the complaint had to be declared inadmissible under Article 35 §§ 3 (b) and 4 of the Convention.</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90</w:t>
      </w:r>
      <w:r w:rsidRPr="00FF2363">
        <w:fldChar w:fldCharType="end"/>
      </w:r>
      <w:r w:rsidRPr="00FF2363">
        <w:t xml:space="preserve">.  As to the merits, the Government submitted that, unlike </w:t>
      </w:r>
      <w:r w:rsidR="00B34F58" w:rsidRPr="00FF2363">
        <w:t xml:space="preserve">in </w:t>
      </w:r>
      <w:r w:rsidRPr="00FF2363">
        <w:t xml:space="preserve">the case of </w:t>
      </w:r>
      <w:r w:rsidRPr="00FF2363">
        <w:rPr>
          <w:i/>
        </w:rPr>
        <w:t>Oleksandr Volkov</w:t>
      </w:r>
      <w:r w:rsidRPr="00FF2363">
        <w:t>, the applicable domestic law had been sufficiently clear and foreseeable as to its application; the interference had pursued the legitimate aims of public safety, the economic well-being of the country, the prevention of disorder or crime and the protection of the rights of others. They submitted that the applicant</w:t>
      </w:r>
      <w:r w:rsidR="00FF2363" w:rsidRPr="00FF2363">
        <w:t>’</w:t>
      </w:r>
      <w:r w:rsidRPr="00FF2363">
        <w:t>s operational failings had threatened the proper administration of justice in the Kyiv Administrative Court of Appeal, which covered several regions of the country. The interference had been necessary in the circumstances in order to achieve the above-mentioned legitimate aims.</w:t>
      </w:r>
    </w:p>
    <w:p w:rsidR="00FF2A36" w:rsidRPr="00FF2363" w:rsidRDefault="00CC70EA" w:rsidP="00FF2363">
      <w:pPr>
        <w:pStyle w:val="ECHRHeading2"/>
      </w:pPr>
      <w:r w:rsidRPr="00FF2363">
        <w:t>B</w:t>
      </w:r>
      <w:r w:rsidR="0057663D" w:rsidRPr="00FF2363">
        <w:t>. </w:t>
      </w:r>
      <w:r w:rsidR="00FF2A36" w:rsidRPr="00FF2363">
        <w:t>The third</w:t>
      </w:r>
      <w:r w:rsidRPr="00FF2363">
        <w:t>-</w:t>
      </w:r>
      <w:r w:rsidR="00FF2A36" w:rsidRPr="00FF2363">
        <w:t>party</w:t>
      </w:r>
      <w:r w:rsidRPr="00FF2363">
        <w:t xml:space="preserve"> intervener</w:t>
      </w:r>
    </w:p>
    <w:p w:rsidR="00835569"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91</w:t>
      </w:r>
      <w:r w:rsidRPr="00FF2363">
        <w:fldChar w:fldCharType="end"/>
      </w:r>
      <w:r w:rsidRPr="00FF2363">
        <w:t>.  The third party submitted that the issue of the applicability of Article 8 of the Convention had to be determined with regard to the fact that the position of court president always implied a leadership role in the judiciary and that removal from that position engaged the individual</w:t>
      </w:r>
      <w:r w:rsidR="00FF2363" w:rsidRPr="00FF2363">
        <w:t>’</w:t>
      </w:r>
      <w:r w:rsidRPr="00FF2363">
        <w:t>s private life. In particular, such removal affected the professional relationships of the individual concerned, as well as his reputation and standing.</w:t>
      </w:r>
    </w:p>
    <w:p w:rsidR="00FF2A36" w:rsidRPr="00FF2363" w:rsidRDefault="009F7474" w:rsidP="00FF2363">
      <w:pPr>
        <w:pStyle w:val="ECHRHeading2"/>
      </w:pPr>
      <w:r w:rsidRPr="00FF2363">
        <w:t>C</w:t>
      </w:r>
      <w:r w:rsidR="0057663D" w:rsidRPr="00FF2363">
        <w:t>. </w:t>
      </w:r>
      <w:r w:rsidR="00FF2A36" w:rsidRPr="00FF2363">
        <w:t>The Court</w:t>
      </w:r>
      <w:r w:rsidR="00FF2363" w:rsidRPr="00FF2363">
        <w:t>’</w:t>
      </w:r>
      <w:r w:rsidR="00FF2A36" w:rsidRPr="00FF2363">
        <w:t>s assessment</w:t>
      </w:r>
    </w:p>
    <w:p w:rsidR="00FF2A36" w:rsidRPr="00FF2363" w:rsidRDefault="00FF2A36" w:rsidP="00FF2363">
      <w:pPr>
        <w:pStyle w:val="ECHRHeading3"/>
      </w:pPr>
      <w:r w:rsidRPr="00FF2363">
        <w:t>Admissibility</w:t>
      </w:r>
    </w:p>
    <w:p w:rsidR="00382AFF" w:rsidRPr="00FF2363" w:rsidRDefault="00382AFF" w:rsidP="00FF2363">
      <w:pPr>
        <w:pStyle w:val="ECHRHeading4"/>
      </w:pPr>
      <w:r w:rsidRPr="00FF2363">
        <w:t>(a)</w:t>
      </w:r>
      <w:r w:rsidR="0045551C" w:rsidRPr="00FF2363">
        <w:t>  </w:t>
      </w:r>
      <w:r w:rsidRPr="00FF2363">
        <w:t>Preliminary remarks</w:t>
      </w:r>
    </w:p>
    <w:p w:rsidR="00835569" w:rsidRPr="00FF2363" w:rsidRDefault="00076493"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92</w:t>
      </w:r>
      <w:r w:rsidRPr="00FF2363">
        <w:fldChar w:fldCharType="end"/>
      </w:r>
      <w:r w:rsidR="002E253A" w:rsidRPr="00FF2363">
        <w:t xml:space="preserve">.  The </w:t>
      </w:r>
      <w:r w:rsidR="00B0175F" w:rsidRPr="00FF2363">
        <w:t xml:space="preserve">Court notes that </w:t>
      </w:r>
      <w:r w:rsidR="00112B0D" w:rsidRPr="00FF2363">
        <w:t xml:space="preserve">the </w:t>
      </w:r>
      <w:r w:rsidR="00B0175F" w:rsidRPr="00FF2363">
        <w:t xml:space="preserve">present case concerns an employment-related dispute between an individual and </w:t>
      </w:r>
      <w:r w:rsidR="00353B27" w:rsidRPr="00FF2363">
        <w:t>a</w:t>
      </w:r>
      <w:r w:rsidR="00B0175F" w:rsidRPr="00FF2363">
        <w:t xml:space="preserve"> </w:t>
      </w:r>
      <w:r w:rsidR="00A732AE" w:rsidRPr="00FF2363">
        <w:t>S</w:t>
      </w:r>
      <w:r w:rsidR="00B0175F" w:rsidRPr="00FF2363">
        <w:t xml:space="preserve">tate. The </w:t>
      </w:r>
      <w:r w:rsidR="00A732AE" w:rsidRPr="00FF2363">
        <w:t xml:space="preserve">decision to </w:t>
      </w:r>
      <w:r w:rsidR="00B0175F" w:rsidRPr="00FF2363">
        <w:t>dismiss</w:t>
      </w:r>
      <w:r w:rsidR="00A732AE" w:rsidRPr="00FF2363">
        <w:t xml:space="preserve"> the applicant was</w:t>
      </w:r>
      <w:r w:rsidR="00B0175F" w:rsidRPr="00FF2363">
        <w:t xml:space="preserve"> taken by a </w:t>
      </w:r>
      <w:r w:rsidR="00A732AE" w:rsidRPr="00FF2363">
        <w:t>S</w:t>
      </w:r>
      <w:r w:rsidR="00B0175F" w:rsidRPr="00FF2363">
        <w:t xml:space="preserve">tate authority. </w:t>
      </w:r>
      <w:r w:rsidR="00A732AE" w:rsidRPr="00FF2363">
        <w:t>In the assessment of</w:t>
      </w:r>
      <w:r w:rsidR="00382AFF" w:rsidRPr="00FF2363">
        <w:t xml:space="preserve"> whether or not a private-life issue under Article 8 of the Convention </w:t>
      </w:r>
      <w:r w:rsidR="00A732AE" w:rsidRPr="00FF2363">
        <w:t>is raised in such a case</w:t>
      </w:r>
      <w:r w:rsidR="00382AFF" w:rsidRPr="00FF2363">
        <w:t>,</w:t>
      </w:r>
      <w:r w:rsidR="002E253A" w:rsidRPr="00FF2363">
        <w:t xml:space="preserve"> there is a strong tie between the </w:t>
      </w:r>
      <w:r w:rsidR="00A732AE" w:rsidRPr="00FF2363">
        <w:t xml:space="preserve">questions </w:t>
      </w:r>
      <w:r w:rsidR="002E253A" w:rsidRPr="00FF2363">
        <w:t xml:space="preserve">of applicability and </w:t>
      </w:r>
      <w:r w:rsidR="008B16D1" w:rsidRPr="00FF2363">
        <w:t xml:space="preserve">the </w:t>
      </w:r>
      <w:r w:rsidR="002E253A" w:rsidRPr="00FF2363">
        <w:t xml:space="preserve">merits. </w:t>
      </w:r>
      <w:r w:rsidR="00B0175F" w:rsidRPr="00FF2363">
        <w:t>O</w:t>
      </w:r>
      <w:r w:rsidR="002E253A" w:rsidRPr="00FF2363">
        <w:t xml:space="preserve">nce </w:t>
      </w:r>
      <w:r w:rsidR="00B12AD0" w:rsidRPr="00FF2363">
        <w:t>a</w:t>
      </w:r>
      <w:r w:rsidR="002E253A" w:rsidRPr="00FF2363">
        <w:t xml:space="preserve"> measure is found to have seriously affected the applicant</w:t>
      </w:r>
      <w:r w:rsidR="00FF2363" w:rsidRPr="00FF2363">
        <w:t>’</w:t>
      </w:r>
      <w:r w:rsidR="002E253A" w:rsidRPr="00FF2363">
        <w:t>s private life, th</w:t>
      </w:r>
      <w:r w:rsidR="00A732AE" w:rsidRPr="00FF2363">
        <w:t>at</w:t>
      </w:r>
      <w:r w:rsidR="002E253A" w:rsidRPr="00FF2363">
        <w:t xml:space="preserve"> conclusion means that the complaint is compatible </w:t>
      </w:r>
      <w:r w:rsidR="002E253A" w:rsidRPr="00FF2363">
        <w:rPr>
          <w:i/>
        </w:rPr>
        <w:t>ratione materiae</w:t>
      </w:r>
      <w:r w:rsidR="002E253A" w:rsidRPr="00FF2363">
        <w:t xml:space="preserve"> with the Convention and, at the same time, that the measure constituted an “interference” with the “right to respect for private life” for the purpose of the three-limb merits test under Article 8</w:t>
      </w:r>
      <w:r w:rsidR="009F7474" w:rsidRPr="00FF2363">
        <w:t xml:space="preserve"> (</w:t>
      </w:r>
      <w:r w:rsidR="009D0EE3" w:rsidRPr="00FF2363">
        <w:t xml:space="preserve">assessment of </w:t>
      </w:r>
      <w:r w:rsidR="009F7474" w:rsidRPr="00FF2363">
        <w:t xml:space="preserve">the lawfulness, the legitimate aim and the necessity of </w:t>
      </w:r>
      <w:r w:rsidR="001B012C" w:rsidRPr="00FF2363">
        <w:t>such</w:t>
      </w:r>
      <w:r w:rsidR="009F7474" w:rsidRPr="00FF2363">
        <w:t xml:space="preserve"> </w:t>
      </w:r>
      <w:r w:rsidR="00321A19" w:rsidRPr="00FF2363">
        <w:t>“</w:t>
      </w:r>
      <w:r w:rsidR="009F7474" w:rsidRPr="00FF2363">
        <w:t>interference</w:t>
      </w:r>
      <w:r w:rsidR="00321A19" w:rsidRPr="00FF2363">
        <w:t>”</w:t>
      </w:r>
      <w:r w:rsidR="009F7474" w:rsidRPr="00FF2363">
        <w:t>)</w:t>
      </w:r>
      <w:r w:rsidR="002E253A" w:rsidRPr="00FF2363">
        <w:t xml:space="preserve">. </w:t>
      </w:r>
      <w:r w:rsidR="002E253A" w:rsidRPr="00FF2363">
        <w:lastRenderedPageBreak/>
        <w:t>Therefore</w:t>
      </w:r>
      <w:r w:rsidR="00541FB6" w:rsidRPr="00FF2363">
        <w:t>,</w:t>
      </w:r>
      <w:r w:rsidR="002E253A" w:rsidRPr="00FF2363">
        <w:t xml:space="preserve"> the questions of applicability and the existence of “interference” are inextricably linked in these categories of complaints.</w:t>
      </w:r>
    </w:p>
    <w:p w:rsidR="002E253A" w:rsidRPr="00FF2363" w:rsidRDefault="000B2987"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93</w:t>
      </w:r>
      <w:r w:rsidRPr="00FF2363">
        <w:fldChar w:fldCharType="end"/>
      </w:r>
      <w:r w:rsidRPr="00FF2363">
        <w:t>.  </w:t>
      </w:r>
      <w:r w:rsidR="002E253A" w:rsidRPr="00FF2363">
        <w:t xml:space="preserve">In previous cases the Court has taken up this </w:t>
      </w:r>
      <w:r w:rsidR="00963864" w:rsidRPr="00FF2363">
        <w:t xml:space="preserve">matter </w:t>
      </w:r>
      <w:r w:rsidR="002E253A" w:rsidRPr="00FF2363">
        <w:t xml:space="preserve">either at the stage of admissibility (see, for example, </w:t>
      </w:r>
      <w:r w:rsidR="002E253A" w:rsidRPr="00FF2363">
        <w:rPr>
          <w:i/>
        </w:rPr>
        <w:t>Bigaeva</w:t>
      </w:r>
      <w:r w:rsidR="002E253A" w:rsidRPr="00FF2363">
        <w:t xml:space="preserve"> </w:t>
      </w:r>
      <w:r w:rsidR="00096CF7" w:rsidRPr="00FF2363">
        <w:rPr>
          <w:i/>
        </w:rPr>
        <w:t>v. Greece</w:t>
      </w:r>
      <w:r w:rsidR="00096CF7" w:rsidRPr="00FF2363">
        <w:t xml:space="preserve">, no. 26713/05, §§ 22-25, </w:t>
      </w:r>
      <w:r w:rsidR="00096CF7" w:rsidRPr="00FF2363">
        <w:rPr>
          <w:snapToGrid w:val="0"/>
        </w:rPr>
        <w:t>28 May 2009</w:t>
      </w:r>
      <w:r w:rsidR="002E253A" w:rsidRPr="00FF2363">
        <w:t xml:space="preserve">; </w:t>
      </w:r>
      <w:r w:rsidR="002E253A" w:rsidRPr="00FF2363">
        <w:rPr>
          <w:i/>
        </w:rPr>
        <w:t>Gillberg</w:t>
      </w:r>
      <w:r w:rsidR="002E253A" w:rsidRPr="00FF2363">
        <w:t xml:space="preserve"> </w:t>
      </w:r>
      <w:r w:rsidR="00096CF7" w:rsidRPr="00FF2363">
        <w:rPr>
          <w:rFonts w:ascii="Times New Roman" w:hAnsi="Times New Roman" w:cs="Times New Roman"/>
          <w:i/>
          <w:szCs w:val="24"/>
        </w:rPr>
        <w:t xml:space="preserve">v. Sweden </w:t>
      </w:r>
      <w:r w:rsidR="00096CF7" w:rsidRPr="00FF2363">
        <w:rPr>
          <w:rFonts w:ascii="Times New Roman" w:hAnsi="Times New Roman" w:cs="Times New Roman"/>
          <w:szCs w:val="24"/>
        </w:rPr>
        <w:t>[GC]</w:t>
      </w:r>
      <w:r w:rsidR="00096CF7" w:rsidRPr="00FF2363">
        <w:rPr>
          <w:rFonts w:ascii="Times New Roman" w:hAnsi="Times New Roman" w:cs="Times New Roman"/>
          <w:snapToGrid w:val="0"/>
          <w:szCs w:val="24"/>
        </w:rPr>
        <w:t>, no.</w:t>
      </w:r>
      <w:r w:rsidR="00DF113A" w:rsidRPr="00FF2363">
        <w:rPr>
          <w:rFonts w:ascii="Times New Roman" w:hAnsi="Times New Roman" w:cs="Times New Roman"/>
          <w:szCs w:val="24"/>
        </w:rPr>
        <w:t> </w:t>
      </w:r>
      <w:r w:rsidR="00096CF7" w:rsidRPr="00FF2363">
        <w:rPr>
          <w:rFonts w:ascii="Times New Roman" w:hAnsi="Times New Roman" w:cs="Times New Roman"/>
          <w:szCs w:val="24"/>
        </w:rPr>
        <w:t xml:space="preserve">41723/06, </w:t>
      </w:r>
      <w:r w:rsidR="003612D1" w:rsidRPr="00FF2363">
        <w:rPr>
          <w:rFonts w:ascii="Times New Roman" w:hAnsi="Times New Roman" w:cs="Times New Roman"/>
          <w:snapToGrid w:val="0"/>
          <w:szCs w:val="24"/>
        </w:rPr>
        <w:t xml:space="preserve">§§ 64-74, </w:t>
      </w:r>
      <w:r w:rsidR="00096CF7" w:rsidRPr="00FF2363">
        <w:rPr>
          <w:rFonts w:ascii="Times New Roman" w:hAnsi="Times New Roman" w:cs="Times New Roman"/>
          <w:szCs w:val="24"/>
        </w:rPr>
        <w:t>3</w:t>
      </w:r>
      <w:r w:rsidR="00DF113A" w:rsidRPr="00FF2363">
        <w:rPr>
          <w:rFonts w:ascii="Times New Roman" w:hAnsi="Times New Roman" w:cs="Times New Roman"/>
          <w:szCs w:val="24"/>
        </w:rPr>
        <w:t> </w:t>
      </w:r>
      <w:r w:rsidR="00096CF7" w:rsidRPr="00FF2363">
        <w:rPr>
          <w:rFonts w:ascii="Times New Roman" w:hAnsi="Times New Roman" w:cs="Times New Roman"/>
          <w:szCs w:val="24"/>
        </w:rPr>
        <w:t>April 2012</w:t>
      </w:r>
      <w:r w:rsidR="00A732AE" w:rsidRPr="00FF2363">
        <w:rPr>
          <w:rFonts w:ascii="Times New Roman" w:hAnsi="Times New Roman" w:cs="Times New Roman"/>
          <w:szCs w:val="24"/>
        </w:rPr>
        <w:t>;</w:t>
      </w:r>
      <w:r w:rsidR="002E253A" w:rsidRPr="00FF2363">
        <w:t xml:space="preserve"> and </w:t>
      </w:r>
      <w:r w:rsidR="00096CF7" w:rsidRPr="00FF2363">
        <w:rPr>
          <w:i/>
          <w:lang w:val="pt-PT"/>
        </w:rPr>
        <w:t>Fernández Martínez</w:t>
      </w:r>
      <w:r w:rsidR="00096CF7" w:rsidRPr="00FF2363">
        <w:rPr>
          <w:lang w:val="pt-PT"/>
        </w:rPr>
        <w:t xml:space="preserve"> </w:t>
      </w:r>
      <w:r w:rsidR="00096CF7" w:rsidRPr="00FF2363">
        <w:rPr>
          <w:i/>
          <w:lang w:val="pt-PT"/>
        </w:rPr>
        <w:t xml:space="preserve">v. Spain </w:t>
      </w:r>
      <w:r w:rsidR="00096CF7" w:rsidRPr="00FF2363">
        <w:rPr>
          <w:lang w:val="pt-PT"/>
        </w:rPr>
        <w:t>[GC], no. 56030/07, §§</w:t>
      </w:r>
      <w:r w:rsidR="00DF113A" w:rsidRPr="00FF2363">
        <w:rPr>
          <w:lang w:val="pt-PT"/>
        </w:rPr>
        <w:t> </w:t>
      </w:r>
      <w:r w:rsidR="006B668D" w:rsidRPr="00FF2363">
        <w:rPr>
          <w:lang w:val="pt-PT"/>
        </w:rPr>
        <w:t>109</w:t>
      </w:r>
      <w:r w:rsidR="006B668D" w:rsidRPr="00FF2363">
        <w:rPr>
          <w:lang w:val="pt-PT"/>
        </w:rPr>
        <w:noBreakHyphen/>
      </w:r>
      <w:r w:rsidR="00096CF7" w:rsidRPr="00FF2363">
        <w:rPr>
          <w:lang w:val="pt-PT"/>
        </w:rPr>
        <w:t>13, ECHR 2014 (extracts)</w:t>
      </w:r>
      <w:r w:rsidR="002E253A" w:rsidRPr="00FF2363">
        <w:t xml:space="preserve">) or at the stage of the merits (see </w:t>
      </w:r>
      <w:r w:rsidR="00096CF7" w:rsidRPr="00FF2363">
        <w:rPr>
          <w:i/>
        </w:rPr>
        <w:t>Sidabras and Džiautas v. Lithuania</w:t>
      </w:r>
      <w:r w:rsidR="00096CF7" w:rsidRPr="00FF2363">
        <w:t>, nos. 55480/00 an</w:t>
      </w:r>
      <w:r w:rsidR="006B668D" w:rsidRPr="00FF2363">
        <w:t>d 59330/00, §§ 42-50, ECHR 2004</w:t>
      </w:r>
      <w:r w:rsidR="006B668D" w:rsidRPr="00FF2363">
        <w:noBreakHyphen/>
      </w:r>
      <w:r w:rsidR="00096CF7" w:rsidRPr="00FF2363">
        <w:t>VIII</w:t>
      </w:r>
      <w:r w:rsidR="002E253A" w:rsidRPr="00FF2363">
        <w:t xml:space="preserve">; </w:t>
      </w:r>
      <w:r w:rsidR="00096CF7" w:rsidRPr="00FF2363">
        <w:rPr>
          <w:i/>
        </w:rPr>
        <w:t>Campagnano v. Italy</w:t>
      </w:r>
      <w:r w:rsidR="00096CF7" w:rsidRPr="00FF2363">
        <w:t>, no. 77955/01, §§ 53 and 54, ECHR 2006</w:t>
      </w:r>
      <w:r w:rsidR="00096CF7" w:rsidRPr="00FF2363">
        <w:noBreakHyphen/>
        <w:t>IV</w:t>
      </w:r>
      <w:r w:rsidR="002E253A" w:rsidRPr="00FF2363">
        <w:t xml:space="preserve">; </w:t>
      </w:r>
      <w:r w:rsidR="002E253A" w:rsidRPr="00FF2363">
        <w:rPr>
          <w:rFonts w:ascii="Times New Roman" w:hAnsi="Times New Roman" w:cs="Times New Roman"/>
          <w:i/>
          <w:szCs w:val="24"/>
        </w:rPr>
        <w:t>Özpınar</w:t>
      </w:r>
      <w:r w:rsidR="002E253A" w:rsidRPr="00FF2363">
        <w:rPr>
          <w:rFonts w:ascii="Times New Roman" w:hAnsi="Times New Roman" w:cs="Times New Roman"/>
          <w:szCs w:val="24"/>
        </w:rPr>
        <w:t xml:space="preserve">, cited above, §§ 43-48; </w:t>
      </w:r>
      <w:r w:rsidR="00096CF7" w:rsidRPr="00FF2363">
        <w:rPr>
          <w:i/>
        </w:rPr>
        <w:t>Sodan v. Turkey</w:t>
      </w:r>
      <w:r w:rsidR="00096CF7" w:rsidRPr="00FF2363">
        <w:t>, no. 18650/05</w:t>
      </w:r>
      <w:r w:rsidR="006B668D" w:rsidRPr="00FF2363">
        <w:rPr>
          <w:snapToGrid w:val="0"/>
        </w:rPr>
        <w:t>, §§ </w:t>
      </w:r>
      <w:r w:rsidR="00096CF7" w:rsidRPr="00FF2363">
        <w:rPr>
          <w:snapToGrid w:val="0"/>
        </w:rPr>
        <w:t>43-50, 2</w:t>
      </w:r>
      <w:r w:rsidR="00DF113A" w:rsidRPr="00FF2363">
        <w:rPr>
          <w:snapToGrid w:val="0"/>
        </w:rPr>
        <w:t> </w:t>
      </w:r>
      <w:r w:rsidR="00096CF7" w:rsidRPr="00FF2363">
        <w:rPr>
          <w:snapToGrid w:val="0"/>
        </w:rPr>
        <w:t>February 2016</w:t>
      </w:r>
      <w:r w:rsidR="002E253A" w:rsidRPr="00FF2363">
        <w:t xml:space="preserve">; and </w:t>
      </w:r>
      <w:r w:rsidR="00A92155" w:rsidRPr="00FF2363">
        <w:rPr>
          <w:i/>
        </w:rPr>
        <w:t>Şahin Kuş</w:t>
      </w:r>
      <w:r w:rsidR="00A92155" w:rsidRPr="00FF2363">
        <w:t xml:space="preserve"> </w:t>
      </w:r>
      <w:r w:rsidR="00A92155" w:rsidRPr="00FF2363">
        <w:rPr>
          <w:i/>
        </w:rPr>
        <w:t>v. Turkey</w:t>
      </w:r>
      <w:r w:rsidR="00A92155" w:rsidRPr="00FF2363">
        <w:t>, no. 33160/04</w:t>
      </w:r>
      <w:r w:rsidR="00A92155" w:rsidRPr="00FF2363">
        <w:rPr>
          <w:snapToGrid w:val="0"/>
        </w:rPr>
        <w:t xml:space="preserve">, </w:t>
      </w:r>
      <w:r w:rsidR="006B668D" w:rsidRPr="00FF2363">
        <w:t>§§ 34</w:t>
      </w:r>
      <w:r w:rsidR="006B668D" w:rsidRPr="00FF2363">
        <w:noBreakHyphen/>
      </w:r>
      <w:r w:rsidR="00A92155" w:rsidRPr="00FF2363">
        <w:t>37</w:t>
      </w:r>
      <w:r w:rsidR="00A92155" w:rsidRPr="00FF2363">
        <w:rPr>
          <w:snapToGrid w:val="0"/>
        </w:rPr>
        <w:t xml:space="preserve">, </w:t>
      </w:r>
      <w:r w:rsidR="00A92155" w:rsidRPr="00FF2363">
        <w:t>7</w:t>
      </w:r>
      <w:r w:rsidR="00DF113A" w:rsidRPr="00FF2363">
        <w:rPr>
          <w:snapToGrid w:val="0"/>
        </w:rPr>
        <w:t> </w:t>
      </w:r>
      <w:r w:rsidR="00A92155" w:rsidRPr="00FF2363">
        <w:rPr>
          <w:snapToGrid w:val="0"/>
        </w:rPr>
        <w:t>June 2016</w:t>
      </w:r>
      <w:r w:rsidR="002E253A" w:rsidRPr="00FF2363">
        <w:t xml:space="preserve">). </w:t>
      </w:r>
      <w:r w:rsidR="00A92155" w:rsidRPr="00FF2363">
        <w:t>T</w:t>
      </w:r>
      <w:r w:rsidR="002E253A" w:rsidRPr="00FF2363">
        <w:t xml:space="preserve">his divergent practice cannot be justified in terms of consistency. As </w:t>
      </w:r>
      <w:r w:rsidR="001B012C" w:rsidRPr="00FF2363">
        <w:t xml:space="preserve">the question of applicability </w:t>
      </w:r>
      <w:r w:rsidR="002E253A" w:rsidRPr="00FF2363">
        <w:t xml:space="preserve">is an issue of </w:t>
      </w:r>
      <w:r w:rsidR="00BB6408" w:rsidRPr="00FF2363">
        <w:t>the Court</w:t>
      </w:r>
      <w:r w:rsidR="00FF2363" w:rsidRPr="00FF2363">
        <w:t>’</w:t>
      </w:r>
      <w:r w:rsidR="00BB6408" w:rsidRPr="00FF2363">
        <w:t xml:space="preserve">s </w:t>
      </w:r>
      <w:r w:rsidR="002E253A" w:rsidRPr="00FF2363">
        <w:t>jurisdiction</w:t>
      </w:r>
      <w:r w:rsidR="00BB6408" w:rsidRPr="00FF2363">
        <w:t xml:space="preserve"> </w:t>
      </w:r>
      <w:r w:rsidR="00BB6408" w:rsidRPr="00FF2363">
        <w:rPr>
          <w:i/>
        </w:rPr>
        <w:t>ratione materiae</w:t>
      </w:r>
      <w:r w:rsidR="002E253A" w:rsidRPr="00FF2363">
        <w:t xml:space="preserve">, the general rule of dealing with applications </w:t>
      </w:r>
      <w:r w:rsidR="00BB6408" w:rsidRPr="00FF2363">
        <w:t xml:space="preserve">should be respected </w:t>
      </w:r>
      <w:r w:rsidR="002E253A" w:rsidRPr="00FF2363">
        <w:t xml:space="preserve">and the relevant analysis </w:t>
      </w:r>
      <w:r w:rsidR="00BB6408" w:rsidRPr="00FF2363">
        <w:t xml:space="preserve">should be carried out </w:t>
      </w:r>
      <w:r w:rsidR="002E253A" w:rsidRPr="00FF2363">
        <w:t>at the admissibility</w:t>
      </w:r>
      <w:r w:rsidR="00BB6408" w:rsidRPr="00FF2363">
        <w:t xml:space="preserve"> </w:t>
      </w:r>
      <w:r w:rsidR="00A732AE" w:rsidRPr="00FF2363">
        <w:t xml:space="preserve">stage </w:t>
      </w:r>
      <w:r w:rsidR="00BB6408" w:rsidRPr="00FF2363">
        <w:t>unless there is a particular reason to join th</w:t>
      </w:r>
      <w:r w:rsidR="00F41DC7" w:rsidRPr="00FF2363">
        <w:t>is</w:t>
      </w:r>
      <w:r w:rsidR="00BB6408" w:rsidRPr="00FF2363">
        <w:t xml:space="preserve"> question to the merits</w:t>
      </w:r>
      <w:r w:rsidR="002E253A" w:rsidRPr="00FF2363">
        <w:t xml:space="preserve">. </w:t>
      </w:r>
      <w:r w:rsidR="00BB6408" w:rsidRPr="00FF2363">
        <w:t xml:space="preserve">No such particular reason exists in the present case and the </w:t>
      </w:r>
      <w:r w:rsidR="00B12AD0" w:rsidRPr="00FF2363">
        <w:t>issue</w:t>
      </w:r>
      <w:r w:rsidR="00BB6408" w:rsidRPr="00FF2363">
        <w:t xml:space="preserve"> of </w:t>
      </w:r>
      <w:r w:rsidR="00F41DC7" w:rsidRPr="00FF2363">
        <w:t xml:space="preserve">the </w:t>
      </w:r>
      <w:r w:rsidR="00BB6408" w:rsidRPr="00FF2363">
        <w:t>applicability of Article 8 falls to be examined at the admissibility</w:t>
      </w:r>
      <w:r w:rsidR="00F41DC7" w:rsidRPr="00FF2363">
        <w:t xml:space="preserve"> stage</w:t>
      </w:r>
      <w:r w:rsidR="00BB6408" w:rsidRPr="00FF2363">
        <w:t>.</w:t>
      </w:r>
    </w:p>
    <w:p w:rsidR="00B0175F" w:rsidRPr="00FF2363" w:rsidRDefault="004A0D7E"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94</w:t>
      </w:r>
      <w:r w:rsidRPr="00FF2363">
        <w:fldChar w:fldCharType="end"/>
      </w:r>
      <w:r w:rsidRPr="00FF2363">
        <w:t>.  </w:t>
      </w:r>
      <w:r w:rsidR="00B0175F" w:rsidRPr="00FF2363">
        <w:t xml:space="preserve">The Court </w:t>
      </w:r>
      <w:r w:rsidR="00F41DC7" w:rsidRPr="00FF2363">
        <w:t xml:space="preserve">therefore </w:t>
      </w:r>
      <w:r w:rsidR="00B0175F" w:rsidRPr="00FF2363">
        <w:t xml:space="preserve">has to examine whether Article 8 </w:t>
      </w:r>
      <w:r w:rsidR="008B16D1" w:rsidRPr="00FF2363">
        <w:t xml:space="preserve">of the Convention </w:t>
      </w:r>
      <w:r w:rsidR="00B0175F" w:rsidRPr="00FF2363">
        <w:t>is applicable</w:t>
      </w:r>
      <w:r w:rsidR="0097592E" w:rsidRPr="00FF2363">
        <w:t xml:space="preserve"> </w:t>
      </w:r>
      <w:r w:rsidR="00B0175F" w:rsidRPr="00FF2363">
        <w:t>to the present case</w:t>
      </w:r>
      <w:r w:rsidR="00F41DC7" w:rsidRPr="00FF2363">
        <w:t>,</w:t>
      </w:r>
      <w:r w:rsidR="0097592E" w:rsidRPr="00FF2363">
        <w:t xml:space="preserve"> and </w:t>
      </w:r>
      <w:r w:rsidR="00F41DC7" w:rsidRPr="00FF2363">
        <w:t>accordingly whether it</w:t>
      </w:r>
      <w:r w:rsidR="0097592E" w:rsidRPr="00FF2363">
        <w:t xml:space="preserve"> has jurisdiction </w:t>
      </w:r>
      <w:r w:rsidR="0097592E" w:rsidRPr="00FF2363">
        <w:rPr>
          <w:i/>
        </w:rPr>
        <w:t>ratione materiae</w:t>
      </w:r>
      <w:r w:rsidR="0097592E" w:rsidRPr="00FF2363">
        <w:t xml:space="preserve"> to examine the relevant complaint on the merits</w:t>
      </w:r>
      <w:r w:rsidR="00B0175F" w:rsidRPr="00FF2363">
        <w:t>.</w:t>
      </w:r>
    </w:p>
    <w:p w:rsidR="002E253A" w:rsidRPr="00FF2363" w:rsidRDefault="00FF2A36" w:rsidP="00FF2363">
      <w:pPr>
        <w:pStyle w:val="ECHRHeading4"/>
      </w:pPr>
      <w:r w:rsidRPr="00FF2363">
        <w:t>(</w:t>
      </w:r>
      <w:r w:rsidR="00382AFF" w:rsidRPr="00FF2363">
        <w:t>b</w:t>
      </w:r>
      <w:r w:rsidRPr="00FF2363">
        <w:t>)</w:t>
      </w:r>
      <w:r w:rsidR="000C1EE5" w:rsidRPr="00FF2363">
        <w:t>  </w:t>
      </w:r>
      <w:r w:rsidR="00541FB6" w:rsidRPr="00FF2363">
        <w:t>G</w:t>
      </w:r>
      <w:r w:rsidR="00B0175F" w:rsidRPr="00FF2363">
        <w:t xml:space="preserve">eneral </w:t>
      </w:r>
      <w:r w:rsidR="002E253A" w:rsidRPr="00FF2363">
        <w:t>principles</w:t>
      </w:r>
    </w:p>
    <w:p w:rsidR="00FF2A36" w:rsidRPr="00FF2363" w:rsidRDefault="002E253A" w:rsidP="00FF2363">
      <w:pPr>
        <w:pStyle w:val="ECHRHeading5"/>
      </w:pPr>
      <w:r w:rsidRPr="00FF2363">
        <w:t>(i)</w:t>
      </w:r>
      <w:r w:rsidR="000C1EE5" w:rsidRPr="00FF2363">
        <w:t>  “</w:t>
      </w:r>
      <w:r w:rsidR="00FF2A36" w:rsidRPr="00FF2363">
        <w:t>Private life” as a broad term</w:t>
      </w:r>
    </w:p>
    <w:p w:rsidR="00835569"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95</w:t>
      </w:r>
      <w:r w:rsidRPr="00FF2363">
        <w:fldChar w:fldCharType="end"/>
      </w:r>
      <w:r w:rsidRPr="00FF2363">
        <w:t>.   The concept of “private life” is a broad term not susceptible to exhaustive definition. It covers the physical and psychological integrity of a person. It can therefore embrace multiple aspects of the person</w:t>
      </w:r>
      <w:r w:rsidR="00FF2363" w:rsidRPr="00FF2363">
        <w:t>’</w:t>
      </w:r>
      <w:r w:rsidRPr="00FF2363">
        <w:t xml:space="preserve">s physical and social identity. Article 8 protects in addition a right to personal development, and the right to establish and develop relationships with other human beings and the outside world (see </w:t>
      </w:r>
      <w:r w:rsidRPr="00FF2363">
        <w:rPr>
          <w:i/>
        </w:rPr>
        <w:t>S. and Marper v. the United Kingdom</w:t>
      </w:r>
      <w:r w:rsidRPr="00FF2363">
        <w:t xml:space="preserve"> [GC], nos. 30562/04 and 30566/04, § 66, ECHR 2008; </w:t>
      </w:r>
      <w:r w:rsidRPr="00FF2363">
        <w:rPr>
          <w:rFonts w:ascii="Times New Roman" w:hAnsi="Times New Roman" w:cs="Times New Roman"/>
          <w:i/>
          <w:szCs w:val="24"/>
        </w:rPr>
        <w:t>Gillberg</w:t>
      </w:r>
      <w:r w:rsidRPr="00FF2363">
        <w:rPr>
          <w:rFonts w:ascii="Times New Roman" w:hAnsi="Times New Roman" w:cs="Times New Roman"/>
          <w:snapToGrid w:val="0"/>
          <w:szCs w:val="24"/>
        </w:rPr>
        <w:t xml:space="preserve">, </w:t>
      </w:r>
      <w:r w:rsidR="00096CF7" w:rsidRPr="00FF2363">
        <w:rPr>
          <w:rFonts w:ascii="Times New Roman" w:hAnsi="Times New Roman" w:cs="Times New Roman"/>
          <w:snapToGrid w:val="0"/>
          <w:szCs w:val="24"/>
        </w:rPr>
        <w:t xml:space="preserve">cited above, </w:t>
      </w:r>
      <w:r w:rsidRPr="00FF2363">
        <w:rPr>
          <w:rFonts w:ascii="Times New Roman" w:hAnsi="Times New Roman" w:cs="Times New Roman"/>
          <w:snapToGrid w:val="0"/>
          <w:szCs w:val="24"/>
        </w:rPr>
        <w:t>§ 66</w:t>
      </w:r>
      <w:r w:rsidRPr="00FF2363">
        <w:rPr>
          <w:rFonts w:ascii="Times New Roman" w:hAnsi="Times New Roman" w:cs="Times New Roman"/>
          <w:szCs w:val="24"/>
        </w:rPr>
        <w:t xml:space="preserve">; and </w:t>
      </w:r>
      <w:r w:rsidRPr="00FF2363">
        <w:rPr>
          <w:i/>
        </w:rPr>
        <w:t>Bărbulescu v. Romania</w:t>
      </w:r>
      <w:r w:rsidRPr="00FF2363">
        <w:t xml:space="preserve"> [GC]</w:t>
      </w:r>
      <w:r w:rsidRPr="00FF2363">
        <w:rPr>
          <w:iCs/>
        </w:rPr>
        <w:t>,</w:t>
      </w:r>
      <w:r w:rsidRPr="00FF2363">
        <w:rPr>
          <w:i/>
          <w:iCs/>
        </w:rPr>
        <w:t xml:space="preserve"> </w:t>
      </w:r>
      <w:r w:rsidRPr="00FF2363">
        <w:t>no. 61496/08, §</w:t>
      </w:r>
      <w:r w:rsidR="00DF113A" w:rsidRPr="00FF2363">
        <w:t> </w:t>
      </w:r>
      <w:r w:rsidRPr="00FF2363">
        <w:t xml:space="preserve">70, </w:t>
      </w:r>
      <w:r w:rsidR="00B95105" w:rsidRPr="00FF2363">
        <w:t>ECHR</w:t>
      </w:r>
      <w:r w:rsidRPr="00FF2363">
        <w:t xml:space="preserve"> 2017</w:t>
      </w:r>
      <w:r w:rsidR="00A219A2" w:rsidRPr="00FF2363">
        <w:t xml:space="preserve"> (extracts)</w:t>
      </w:r>
      <w:r w:rsidR="0097592E" w:rsidRPr="00FF2363">
        <w:t>, with further references therein</w:t>
      </w:r>
      <w:r w:rsidRPr="00FF2363">
        <w:t>).</w:t>
      </w:r>
    </w:p>
    <w:p w:rsidR="00FF2A36" w:rsidRPr="00FF2363" w:rsidRDefault="00FF2A36" w:rsidP="00FF2363">
      <w:pPr>
        <w:pStyle w:val="ECHRPara"/>
        <w:rPr>
          <w:iCs/>
        </w:rPr>
      </w:pPr>
      <w:r w:rsidRPr="00FF2363">
        <w:rPr>
          <w:iCs/>
        </w:rPr>
        <w:fldChar w:fldCharType="begin"/>
      </w:r>
      <w:r w:rsidRPr="00FF2363">
        <w:rPr>
          <w:iCs/>
        </w:rPr>
        <w:instrText xml:space="preserve"> SEQ level0 \*arabic </w:instrText>
      </w:r>
      <w:r w:rsidRPr="00FF2363">
        <w:rPr>
          <w:iCs/>
        </w:rPr>
        <w:fldChar w:fldCharType="separate"/>
      </w:r>
      <w:r w:rsidR="00FF2363" w:rsidRPr="00FF2363">
        <w:rPr>
          <w:iCs/>
          <w:noProof/>
        </w:rPr>
        <w:t>96</w:t>
      </w:r>
      <w:r w:rsidRPr="00FF2363">
        <w:rPr>
          <w:iCs/>
        </w:rPr>
        <w:fldChar w:fldCharType="end"/>
      </w:r>
      <w:r w:rsidRPr="00FF2363">
        <w:rPr>
          <w:iCs/>
        </w:rPr>
        <w:t xml:space="preserve">.  Therefore, it would be too restrictive to limit the notion of “private life” to an “inner circle” in which the individual may live his own personal life as he chooses and to exclude therefrom entirely the outside world not encompassed within that circle (see </w:t>
      </w:r>
      <w:r w:rsidRPr="00FF2363">
        <w:rPr>
          <w:i/>
          <w:iCs/>
        </w:rPr>
        <w:t>Fernández Martínez</w:t>
      </w:r>
      <w:r w:rsidR="00096CF7" w:rsidRPr="00FF2363">
        <w:rPr>
          <w:iCs/>
        </w:rPr>
        <w:t xml:space="preserve">, cited above, </w:t>
      </w:r>
      <w:r w:rsidRPr="00FF2363">
        <w:rPr>
          <w:iCs/>
        </w:rPr>
        <w:t>§</w:t>
      </w:r>
      <w:r w:rsidR="00DF113A" w:rsidRPr="00FF2363">
        <w:rPr>
          <w:iCs/>
        </w:rPr>
        <w:t> </w:t>
      </w:r>
      <w:r w:rsidRPr="00FF2363">
        <w:rPr>
          <w:iCs/>
        </w:rPr>
        <w:t>109).</w:t>
      </w:r>
    </w:p>
    <w:p w:rsidR="00FF2A36" w:rsidRPr="00FF2363" w:rsidRDefault="000B2987" w:rsidP="00FF2363">
      <w:pPr>
        <w:pStyle w:val="ECHRHeading5"/>
      </w:pPr>
      <w:r w:rsidRPr="00FF2363">
        <w:lastRenderedPageBreak/>
        <w:t>(ii)</w:t>
      </w:r>
      <w:r w:rsidR="0045551C" w:rsidRPr="00FF2363">
        <w:t>  </w:t>
      </w:r>
      <w:r w:rsidR="00FF2A36" w:rsidRPr="00FF2363">
        <w:t>Right to respect for reputation</w:t>
      </w:r>
    </w:p>
    <w:p w:rsidR="00FF2A36" w:rsidRPr="00FF2363" w:rsidRDefault="001B012C" w:rsidP="00FF2363">
      <w:pPr>
        <w:pStyle w:val="ECHRPara"/>
      </w:pPr>
      <w:r w:rsidRPr="00FF2363">
        <w:rPr>
          <w:rFonts w:ascii="Times New Roman" w:eastAsiaTheme="minorHAnsi" w:hAnsi="Times New Roman" w:cs="Times New Roman"/>
        </w:rPr>
        <w:fldChar w:fldCharType="begin"/>
      </w:r>
      <w:r w:rsidRPr="00FF2363">
        <w:rPr>
          <w:rFonts w:ascii="Times New Roman" w:eastAsiaTheme="minorHAnsi" w:hAnsi="Times New Roman" w:cs="Times New Roman"/>
        </w:rPr>
        <w:instrText xml:space="preserve"> SEQ level0 \*arabic </w:instrText>
      </w:r>
      <w:r w:rsidRPr="00FF2363">
        <w:rPr>
          <w:rFonts w:ascii="Times New Roman" w:eastAsiaTheme="minorHAnsi" w:hAnsi="Times New Roman" w:cs="Times New Roman"/>
        </w:rPr>
        <w:fldChar w:fldCharType="separate"/>
      </w:r>
      <w:r w:rsidR="00FF2363" w:rsidRPr="00FF2363">
        <w:rPr>
          <w:rFonts w:ascii="Times New Roman" w:eastAsiaTheme="minorHAnsi" w:hAnsi="Times New Roman" w:cs="Times New Roman"/>
          <w:noProof/>
        </w:rPr>
        <w:t>97</w:t>
      </w:r>
      <w:r w:rsidRPr="00FF2363">
        <w:rPr>
          <w:rFonts w:ascii="Times New Roman" w:eastAsiaTheme="minorHAnsi" w:hAnsi="Times New Roman" w:cs="Times New Roman"/>
        </w:rPr>
        <w:fldChar w:fldCharType="end"/>
      </w:r>
      <w:r w:rsidRPr="00FF2363">
        <w:rPr>
          <w:rFonts w:ascii="Times New Roman" w:eastAsiaTheme="minorHAnsi" w:hAnsi="Times New Roman" w:cs="Times New Roman"/>
        </w:rPr>
        <w:t>.  </w:t>
      </w:r>
      <w:r w:rsidR="00FF2A36" w:rsidRPr="00FF2363">
        <w:rPr>
          <w:rFonts w:ascii="Times New Roman" w:eastAsiaTheme="minorHAnsi" w:hAnsi="Times New Roman" w:cs="Times New Roman"/>
        </w:rPr>
        <w:t xml:space="preserve">Alongside this development in the case-law, the Court has been called upon to determine whether </w:t>
      </w:r>
      <w:r w:rsidR="00945F34" w:rsidRPr="00FF2363">
        <w:rPr>
          <w:rFonts w:ascii="Times New Roman" w:eastAsiaTheme="minorHAnsi" w:hAnsi="Times New Roman" w:cs="Times New Roman"/>
        </w:rPr>
        <w:t>the notion of “private life” should cover a</w:t>
      </w:r>
      <w:r w:rsidR="00FF2A36" w:rsidRPr="00FF2363">
        <w:rPr>
          <w:rFonts w:ascii="Times New Roman" w:eastAsiaTheme="minorHAnsi" w:hAnsi="Times New Roman" w:cs="Times New Roman"/>
        </w:rPr>
        <w:t xml:space="preserve"> right to respect for reputation, which is not expressly mentioned in Article</w:t>
      </w:r>
      <w:r w:rsidR="00DF113A" w:rsidRPr="00FF2363">
        <w:rPr>
          <w:rFonts w:ascii="Times New Roman" w:eastAsiaTheme="minorHAnsi" w:hAnsi="Times New Roman" w:cs="Times New Roman"/>
        </w:rPr>
        <w:t> </w:t>
      </w:r>
      <w:r w:rsidR="00FF2A36" w:rsidRPr="00FF2363">
        <w:rPr>
          <w:rFonts w:ascii="Times New Roman" w:eastAsiaTheme="minorHAnsi" w:hAnsi="Times New Roman" w:cs="Times New Roman"/>
        </w:rPr>
        <w:t xml:space="preserve">8. In </w:t>
      </w:r>
      <w:r w:rsidR="00FF2A36" w:rsidRPr="00FF2363">
        <w:rPr>
          <w:i/>
        </w:rPr>
        <w:t>Pfeifer v. Austria</w:t>
      </w:r>
      <w:r w:rsidR="00FF2A36" w:rsidRPr="00FF2363">
        <w:t xml:space="preserve"> (no. 12556/03, § 35, 15 November 2007</w:t>
      </w:r>
      <w:r w:rsidR="00FF2A36" w:rsidRPr="00FF2363">
        <w:rPr>
          <w:rFonts w:ascii="Times New Roman" w:eastAsiaTheme="minorHAnsi" w:hAnsi="Times New Roman" w:cs="Times New Roman"/>
        </w:rPr>
        <w:t xml:space="preserve">) the Court, having regard to its case-law, found that </w:t>
      </w:r>
      <w:r w:rsidR="00FF2A36" w:rsidRPr="00FF2363">
        <w:t>a person</w:t>
      </w:r>
      <w:r w:rsidR="00FF2363" w:rsidRPr="00FF2363">
        <w:t>’</w:t>
      </w:r>
      <w:r w:rsidR="00FF2A36" w:rsidRPr="00FF2363">
        <w:t>s reputation, even if that person was criticised in the context of a public debate, formed part of his or her personal identity and psychological integrity and therefore also fell within the scope of his or her “private life”.</w:t>
      </w:r>
    </w:p>
    <w:bookmarkStart w:id="12" w:name="C1_Gillberg_principle"/>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98</w:t>
      </w:r>
      <w:r w:rsidRPr="00FF2363">
        <w:fldChar w:fldCharType="end"/>
      </w:r>
      <w:bookmarkEnd w:id="12"/>
      <w:r w:rsidRPr="00FF2363">
        <w:t>.  </w:t>
      </w:r>
      <w:r w:rsidR="009D0EE3" w:rsidRPr="00FF2363">
        <w:t>However, i</w:t>
      </w:r>
      <w:r w:rsidRPr="00FF2363">
        <w:t>t is important to stress that Article 8 cannot be relied on in order to complain of a loss of reputation which is the foreseeable consequence of one</w:t>
      </w:r>
      <w:r w:rsidR="00FF2363" w:rsidRPr="00FF2363">
        <w:t>’</w:t>
      </w:r>
      <w:r w:rsidRPr="00FF2363">
        <w:t xml:space="preserve">s own actions, such as, for example, the commission of a criminal offence (see </w:t>
      </w:r>
      <w:r w:rsidRPr="00FF2363">
        <w:rPr>
          <w:i/>
        </w:rPr>
        <w:t>Sidabras and Džiautas</w:t>
      </w:r>
      <w:r w:rsidRPr="00FF2363">
        <w:t xml:space="preserve">, </w:t>
      </w:r>
      <w:r w:rsidR="00096CF7" w:rsidRPr="00FF2363">
        <w:t>cited above</w:t>
      </w:r>
      <w:r w:rsidRPr="00FF2363">
        <w:t>, §</w:t>
      </w:r>
      <w:r w:rsidR="00DF113A" w:rsidRPr="00FF2363">
        <w:t> </w:t>
      </w:r>
      <w:r w:rsidRPr="00FF2363">
        <w:t>49</w:t>
      </w:r>
      <w:r w:rsidR="00F41DC7" w:rsidRPr="00FF2363">
        <w:t>,</w:t>
      </w:r>
      <w:r w:rsidRPr="00FF2363">
        <w:t xml:space="preserve"> and </w:t>
      </w:r>
      <w:r w:rsidR="006B668D" w:rsidRPr="00FF2363">
        <w:rPr>
          <w:i/>
        </w:rPr>
        <w:t>Axel </w:t>
      </w:r>
      <w:r w:rsidR="00096CF7" w:rsidRPr="00FF2363">
        <w:rPr>
          <w:i/>
        </w:rPr>
        <w:t>Springer AG v. Germany</w:t>
      </w:r>
      <w:r w:rsidR="00096CF7" w:rsidRPr="00FF2363">
        <w:t xml:space="preserve"> [GC], no. 39954/08, § 83, 7</w:t>
      </w:r>
      <w:r w:rsidR="00DF113A" w:rsidRPr="00FF2363">
        <w:t> </w:t>
      </w:r>
      <w:r w:rsidR="00096CF7" w:rsidRPr="00FF2363">
        <w:t>February 2012</w:t>
      </w:r>
      <w:r w:rsidRPr="00FF2363">
        <w:t xml:space="preserve">). In </w:t>
      </w:r>
      <w:r w:rsidRPr="00FF2363">
        <w:rPr>
          <w:i/>
        </w:rPr>
        <w:t xml:space="preserve">Gillberg </w:t>
      </w:r>
      <w:r w:rsidRPr="00FF2363">
        <w:t xml:space="preserve">(cited above) the Grand Chamber did not limit this rule to reputational damage and expanded it to a wider principle that any personal, social, psychological and economic suffering could be foreseeable consequences of the commission of a criminal offence and could not therefore be relied on in order to complain that a criminal conviction in itself amounted to an interference with the right to respect for “private life” (ibid., § 68). </w:t>
      </w:r>
      <w:r w:rsidR="00B32100" w:rsidRPr="00FF2363">
        <w:t>T</w:t>
      </w:r>
      <w:r w:rsidRPr="00FF2363">
        <w:t xml:space="preserve">his extended principle should cover not only criminal offences but also other </w:t>
      </w:r>
      <w:r w:rsidR="00B32100" w:rsidRPr="00FF2363">
        <w:t xml:space="preserve">misconduct </w:t>
      </w:r>
      <w:r w:rsidRPr="00FF2363">
        <w:t>entailing a measure of legal responsibility with foreseeable negative effects on “private life”.</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99</w:t>
      </w:r>
      <w:r w:rsidRPr="00FF2363">
        <w:fldChar w:fldCharType="end"/>
      </w:r>
      <w:r w:rsidRPr="00FF2363">
        <w:t>.  On the basis of this case-law, the Court has applied Article 8 to the exercise of professional functions in a number of cases.</w:t>
      </w:r>
    </w:p>
    <w:p w:rsidR="00FF2A36" w:rsidRPr="00FF2363" w:rsidRDefault="000B2987" w:rsidP="00FF2363">
      <w:pPr>
        <w:pStyle w:val="ECHRHeading5"/>
      </w:pPr>
      <w:r w:rsidRPr="00FF2363">
        <w:rPr>
          <w:rFonts w:cstheme="majorHAnsi"/>
        </w:rPr>
        <w:t>(iii)</w:t>
      </w:r>
      <w:r w:rsidR="00DF113A" w:rsidRPr="00FF2363">
        <w:rPr>
          <w:rFonts w:cstheme="majorHAnsi"/>
        </w:rPr>
        <w:t>  </w:t>
      </w:r>
      <w:r w:rsidR="00FF2A36" w:rsidRPr="00FF2363">
        <w:t>“Private life” in employment-related scenarios</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100</w:t>
      </w:r>
      <w:r w:rsidRPr="00FF2363">
        <w:fldChar w:fldCharType="end"/>
      </w:r>
      <w:r w:rsidRPr="00FF2363">
        <w:t xml:space="preserve">.  Whereas no general right to employment, nor a right of access to the civil service or a right to choose a particular profession, can be derived from Article 8, the notion of “private life”, as a broad term, does not exclude in principle activities of a professional or business nature. It is, after all, in the course of their working lives that the majority of people have a significant opportunity to develop relationships with the outside world (see </w:t>
      </w:r>
      <w:r w:rsidRPr="00FF2363">
        <w:rPr>
          <w:i/>
        </w:rPr>
        <w:t>Niemietz v. Germany</w:t>
      </w:r>
      <w:r w:rsidRPr="00FF2363">
        <w:t>, 16 December 1992, § 29, Series A no. 251</w:t>
      </w:r>
      <w:r w:rsidRPr="00FF2363">
        <w:noBreakHyphen/>
        <w:t xml:space="preserve">B; </w:t>
      </w:r>
      <w:r w:rsidRPr="00FF2363">
        <w:rPr>
          <w:i/>
        </w:rPr>
        <w:t>Oleksandr Volkov</w:t>
      </w:r>
      <w:r w:rsidRPr="00FF2363">
        <w:t xml:space="preserve">, cited above, § 165; and </w:t>
      </w:r>
      <w:r w:rsidRPr="00FF2363">
        <w:rPr>
          <w:i/>
        </w:rPr>
        <w:t>Bărbulescu</w:t>
      </w:r>
      <w:r w:rsidRPr="00FF2363">
        <w:t xml:space="preserve">, cited above, § 71). Professional life is therefore part of the zone of interaction between a person and others which, even in a public context, may, under certain circumstances, fall within the scope of “private life” (see </w:t>
      </w:r>
      <w:r w:rsidR="006B668D" w:rsidRPr="00FF2363">
        <w:rPr>
          <w:i/>
        </w:rPr>
        <w:t>Fernández </w:t>
      </w:r>
      <w:r w:rsidRPr="00FF2363">
        <w:rPr>
          <w:i/>
        </w:rPr>
        <w:t>Martínez</w:t>
      </w:r>
      <w:r w:rsidRPr="00FF2363">
        <w:t>,</w:t>
      </w:r>
      <w:r w:rsidRPr="00FF2363">
        <w:rPr>
          <w:i/>
        </w:rPr>
        <w:t xml:space="preserve"> </w:t>
      </w:r>
      <w:r w:rsidRPr="00FF2363">
        <w:t>cited above, § 110).</w:t>
      </w:r>
    </w:p>
    <w:p w:rsidR="00835569" w:rsidRPr="00FF2363" w:rsidRDefault="00FF2A36" w:rsidP="00FF2363">
      <w:pPr>
        <w:pStyle w:val="ECHRPara"/>
        <w:rPr>
          <w:snapToGrid w:val="0"/>
        </w:rPr>
      </w:pPr>
      <w:r w:rsidRPr="00FF2363">
        <w:fldChar w:fldCharType="begin"/>
      </w:r>
      <w:r w:rsidRPr="00FF2363">
        <w:instrText xml:space="preserve"> SEQ level0 \*arabic </w:instrText>
      </w:r>
      <w:r w:rsidRPr="00FF2363">
        <w:fldChar w:fldCharType="separate"/>
      </w:r>
      <w:r w:rsidR="00FF2363" w:rsidRPr="00FF2363">
        <w:rPr>
          <w:noProof/>
        </w:rPr>
        <w:t>101</w:t>
      </w:r>
      <w:r w:rsidRPr="00FF2363">
        <w:fldChar w:fldCharType="end"/>
      </w:r>
      <w:r w:rsidRPr="00FF2363">
        <w:t xml:space="preserve">.  Within the employment-related scenarios involving Article 8, the Court has dealt with </w:t>
      </w:r>
      <w:r w:rsidRPr="00FF2363">
        <w:rPr>
          <w:iCs/>
        </w:rPr>
        <w:t xml:space="preserve">different types of cases. In particular, it has dealt with discharge from military service (see </w:t>
      </w:r>
      <w:r w:rsidRPr="00FF2363">
        <w:rPr>
          <w:rFonts w:ascii="Times New Roman" w:hAnsi="Times New Roman" w:cs="Times New Roman"/>
          <w:i/>
          <w:szCs w:val="24"/>
        </w:rPr>
        <w:t>Smith and Grady v. the United Kingdom</w:t>
      </w:r>
      <w:r w:rsidRPr="00FF2363">
        <w:rPr>
          <w:rFonts w:ascii="Times New Roman" w:hAnsi="Times New Roman" w:cs="Times New Roman"/>
          <w:szCs w:val="24"/>
        </w:rPr>
        <w:t>, nos. 33985/96 and 33986/96, ECHR 1999</w:t>
      </w:r>
      <w:r w:rsidRPr="00FF2363">
        <w:rPr>
          <w:rFonts w:ascii="Times New Roman" w:hAnsi="Times New Roman" w:cs="Times New Roman"/>
          <w:szCs w:val="24"/>
        </w:rPr>
        <w:noBreakHyphen/>
        <w:t xml:space="preserve">VI), </w:t>
      </w:r>
      <w:r w:rsidRPr="00FF2363">
        <w:rPr>
          <w:iCs/>
        </w:rPr>
        <w:t xml:space="preserve">dismissal from judicial office (see </w:t>
      </w:r>
      <w:r w:rsidRPr="00FF2363">
        <w:rPr>
          <w:rFonts w:ascii="Times New Roman" w:hAnsi="Times New Roman" w:cs="Times New Roman"/>
          <w:i/>
          <w:szCs w:val="24"/>
        </w:rPr>
        <w:t>Özpınar</w:t>
      </w:r>
      <w:r w:rsidRPr="00FF2363">
        <w:rPr>
          <w:rFonts w:ascii="Times New Roman" w:hAnsi="Times New Roman" w:cs="Times New Roman"/>
          <w:szCs w:val="24"/>
        </w:rPr>
        <w:t xml:space="preserve">, cited above; </w:t>
      </w:r>
      <w:r w:rsidRPr="00FF2363">
        <w:rPr>
          <w:rFonts w:ascii="Times New Roman" w:hAnsi="Times New Roman" w:cs="Times New Roman"/>
          <w:i/>
          <w:szCs w:val="24"/>
        </w:rPr>
        <w:t>Oleksandr Volkov</w:t>
      </w:r>
      <w:r w:rsidRPr="00FF2363">
        <w:rPr>
          <w:rFonts w:ascii="Times New Roman" w:hAnsi="Times New Roman" w:cs="Times New Roman"/>
          <w:szCs w:val="24"/>
        </w:rPr>
        <w:t xml:space="preserve">, cited above; </w:t>
      </w:r>
      <w:r w:rsidRPr="00FF2363">
        <w:rPr>
          <w:rFonts w:ascii="Times New Roman" w:hAnsi="Times New Roman" w:cs="Times New Roman"/>
          <w:szCs w:val="24"/>
        </w:rPr>
        <w:lastRenderedPageBreak/>
        <w:t xml:space="preserve">and </w:t>
      </w:r>
      <w:r w:rsidRPr="00FF2363">
        <w:rPr>
          <w:i/>
        </w:rPr>
        <w:t>Kulykov and Others</w:t>
      </w:r>
      <w:r w:rsidR="00EE119A" w:rsidRPr="00FF2363">
        <w:t>, cited above</w:t>
      </w:r>
      <w:r w:rsidRPr="00FF2363">
        <w:t xml:space="preserve">), </w:t>
      </w:r>
      <w:r w:rsidRPr="00FF2363">
        <w:rPr>
          <w:iCs/>
        </w:rPr>
        <w:t xml:space="preserve">removal from administrative functions in the judiciary (see </w:t>
      </w:r>
      <w:r w:rsidRPr="00FF2363">
        <w:rPr>
          <w:rFonts w:ascii="Times New Roman" w:hAnsi="Times New Roman" w:cs="Times New Roman"/>
          <w:i/>
          <w:szCs w:val="24"/>
        </w:rPr>
        <w:t>Erményi</w:t>
      </w:r>
      <w:r w:rsidRPr="00FF2363">
        <w:rPr>
          <w:rFonts w:ascii="Times New Roman" w:hAnsi="Times New Roman" w:cs="Times New Roman"/>
          <w:szCs w:val="24"/>
        </w:rPr>
        <w:t xml:space="preserve">, cited above), and </w:t>
      </w:r>
      <w:r w:rsidRPr="00FF2363">
        <w:t xml:space="preserve">transfers between posts in the public service (see </w:t>
      </w:r>
      <w:r w:rsidRPr="00FF2363">
        <w:rPr>
          <w:rFonts w:ascii="Times New Roman" w:hAnsi="Times New Roman" w:cs="Times New Roman"/>
          <w:i/>
          <w:szCs w:val="24"/>
        </w:rPr>
        <w:t>Sodan</w:t>
      </w:r>
      <w:r w:rsidRPr="00FF2363">
        <w:rPr>
          <w:rFonts w:ascii="Times New Roman" w:hAnsi="Times New Roman" w:cs="Times New Roman"/>
          <w:szCs w:val="24"/>
        </w:rPr>
        <w:t xml:space="preserve">, </w:t>
      </w:r>
      <w:r w:rsidR="00096CF7" w:rsidRPr="00FF2363">
        <w:rPr>
          <w:rFonts w:ascii="Times New Roman" w:hAnsi="Times New Roman" w:cs="Times New Roman"/>
          <w:szCs w:val="24"/>
        </w:rPr>
        <w:t>cited above</w:t>
      </w:r>
      <w:r w:rsidRPr="00FF2363">
        <w:rPr>
          <w:rFonts w:ascii="Times New Roman" w:hAnsi="Times New Roman" w:cs="Times New Roman"/>
          <w:szCs w:val="24"/>
        </w:rPr>
        <w:t xml:space="preserve">). </w:t>
      </w:r>
      <w:r w:rsidRPr="00FF2363">
        <w:rPr>
          <w:iCs/>
        </w:rPr>
        <w:t xml:space="preserve">Other types of cases have concerned restrictions on access to employment in the public service (see </w:t>
      </w:r>
      <w:r w:rsidRPr="00FF2363">
        <w:rPr>
          <w:i/>
        </w:rPr>
        <w:t>Naidin v. Romania</w:t>
      </w:r>
      <w:r w:rsidRPr="00FF2363">
        <w:t>, no. 38162/07</w:t>
      </w:r>
      <w:r w:rsidRPr="00FF2363">
        <w:rPr>
          <w:snapToGrid w:val="0"/>
        </w:rPr>
        <w:t xml:space="preserve">, 21 October 2014), </w:t>
      </w:r>
      <w:r w:rsidRPr="00FF2363">
        <w:t xml:space="preserve">loss of employment outside the public service (see </w:t>
      </w:r>
      <w:r w:rsidRPr="00FF2363">
        <w:rPr>
          <w:i/>
        </w:rPr>
        <w:t>Obst v. Germany</w:t>
      </w:r>
      <w:r w:rsidRPr="00FF2363">
        <w:t xml:space="preserve">, no. 425/03, 23 September 2010; </w:t>
      </w:r>
      <w:r w:rsidRPr="00FF2363">
        <w:rPr>
          <w:i/>
        </w:rPr>
        <w:t>Schüth v. Germany</w:t>
      </w:r>
      <w:r w:rsidRPr="00FF2363">
        <w:t xml:space="preserve">, no. 1620/03, ECHR 2010; </w:t>
      </w:r>
      <w:r w:rsidRPr="00FF2363">
        <w:rPr>
          <w:i/>
        </w:rPr>
        <w:t>Fernández Martínez</w:t>
      </w:r>
      <w:r w:rsidRPr="00FF2363">
        <w:t xml:space="preserve">, cited above; </w:t>
      </w:r>
      <w:r w:rsidRPr="00FF2363">
        <w:rPr>
          <w:i/>
        </w:rPr>
        <w:t>Şahin Kuş</w:t>
      </w:r>
      <w:r w:rsidRPr="00FF2363">
        <w:t xml:space="preserve">, </w:t>
      </w:r>
      <w:r w:rsidR="00A92155" w:rsidRPr="00FF2363">
        <w:t>cited above</w:t>
      </w:r>
      <w:r w:rsidRPr="00FF2363">
        <w:rPr>
          <w:snapToGrid w:val="0"/>
        </w:rPr>
        <w:t xml:space="preserve">; and </w:t>
      </w:r>
      <w:r w:rsidRPr="00FF2363">
        <w:rPr>
          <w:i/>
        </w:rPr>
        <w:t>Bărbulescu</w:t>
      </w:r>
      <w:r w:rsidRPr="00FF2363">
        <w:t>,</w:t>
      </w:r>
      <w:r w:rsidRPr="00FF2363">
        <w:rPr>
          <w:i/>
        </w:rPr>
        <w:t xml:space="preserve"> </w:t>
      </w:r>
      <w:r w:rsidRPr="00FF2363">
        <w:t>cited above</w:t>
      </w:r>
      <w:r w:rsidRPr="00FF2363">
        <w:rPr>
          <w:snapToGrid w:val="0"/>
        </w:rPr>
        <w:t xml:space="preserve">), and restrictions on access to a profession in the private sector (see </w:t>
      </w:r>
      <w:r w:rsidRPr="00FF2363">
        <w:rPr>
          <w:i/>
        </w:rPr>
        <w:t>Sidabras and Džiautas</w:t>
      </w:r>
      <w:r w:rsidRPr="00FF2363">
        <w:t>, cited above</w:t>
      </w:r>
      <w:r w:rsidR="001133F3" w:rsidRPr="00FF2363">
        <w:t>;</w:t>
      </w:r>
      <w:r w:rsidRPr="00FF2363">
        <w:t xml:space="preserve"> </w:t>
      </w:r>
      <w:r w:rsidRPr="00FF2363">
        <w:rPr>
          <w:i/>
        </w:rPr>
        <w:t>Campagnano</w:t>
      </w:r>
      <w:r w:rsidRPr="00FF2363">
        <w:t xml:space="preserve">, </w:t>
      </w:r>
      <w:r w:rsidR="00096CF7" w:rsidRPr="00FF2363">
        <w:t>cited above</w:t>
      </w:r>
      <w:r w:rsidR="001133F3" w:rsidRPr="00FF2363">
        <w:t>;</w:t>
      </w:r>
      <w:r w:rsidR="00096CF7" w:rsidRPr="00FF2363">
        <w:t xml:space="preserve"> </w:t>
      </w:r>
      <w:r w:rsidRPr="00FF2363">
        <w:t xml:space="preserve">and </w:t>
      </w:r>
      <w:r w:rsidRPr="00FF2363">
        <w:rPr>
          <w:i/>
        </w:rPr>
        <w:t>Bigaeva</w:t>
      </w:r>
      <w:r w:rsidRPr="00FF2363">
        <w:t xml:space="preserve">, </w:t>
      </w:r>
      <w:r w:rsidR="00096CF7" w:rsidRPr="00FF2363">
        <w:t>cited above</w:t>
      </w:r>
      <w:r w:rsidRPr="00FF2363">
        <w:t>)</w:t>
      </w:r>
      <w:r w:rsidRPr="00FF2363">
        <w:rPr>
          <w:snapToGrid w:val="0"/>
        </w:rPr>
        <w:t>.</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102</w:t>
      </w:r>
      <w:r w:rsidRPr="00FF2363">
        <w:fldChar w:fldCharType="end"/>
      </w:r>
      <w:r w:rsidRPr="00FF2363">
        <w:t xml:space="preserve">.  In the cases </w:t>
      </w:r>
      <w:r w:rsidR="00B04FC2" w:rsidRPr="00FF2363">
        <w:t>falling into the above-mentioned</w:t>
      </w:r>
      <w:r w:rsidR="00C66B5D" w:rsidRPr="00FF2363">
        <w:t xml:space="preserve"> category</w:t>
      </w:r>
      <w:r w:rsidRPr="00FF2363">
        <w:t>, the Court applies the concept of “private life” on the basis of two different approaches: (</w:t>
      </w:r>
      <w:r w:rsidR="000B2987" w:rsidRPr="00FF2363">
        <w:t>α</w:t>
      </w:r>
      <w:r w:rsidRPr="00FF2363">
        <w:t>)</w:t>
      </w:r>
      <w:r w:rsidR="00EE119A" w:rsidRPr="00FF2363">
        <w:t> </w:t>
      </w:r>
      <w:r w:rsidRPr="00FF2363">
        <w:t>identification of the “private life” issue as the reason for the dispute (reason-based approach) and (</w:t>
      </w:r>
      <w:r w:rsidR="000B2987" w:rsidRPr="00FF2363">
        <w:t>β</w:t>
      </w:r>
      <w:r w:rsidRPr="00FF2363">
        <w:t>)</w:t>
      </w:r>
      <w:r w:rsidR="00EE119A" w:rsidRPr="00FF2363">
        <w:t> </w:t>
      </w:r>
      <w:r w:rsidRPr="00FF2363">
        <w:t>deriving the “private life” issue from the consequences of the impugned measure (consequence-based approach).</w:t>
      </w:r>
    </w:p>
    <w:p w:rsidR="00FF2A36" w:rsidRPr="00FF2363" w:rsidRDefault="000B2987" w:rsidP="00FF2363">
      <w:pPr>
        <w:pStyle w:val="ECHRHeading6"/>
      </w:pPr>
      <w:r w:rsidRPr="00FF2363">
        <w:rPr>
          <w:rFonts w:cstheme="majorHAnsi"/>
        </w:rPr>
        <w:t>(</w:t>
      </w:r>
      <w:r w:rsidRPr="00FF2363">
        <w:t>α</w:t>
      </w:r>
      <w:r w:rsidRPr="00FF2363">
        <w:rPr>
          <w:rFonts w:cstheme="majorHAnsi"/>
        </w:rPr>
        <w:t>)</w:t>
      </w:r>
      <w:r w:rsidR="00DF113A" w:rsidRPr="00FF2363">
        <w:t>  </w:t>
      </w:r>
      <w:r w:rsidR="00FF2A36" w:rsidRPr="00FF2363">
        <w:t>Reason-based approach</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103</w:t>
      </w:r>
      <w:r w:rsidRPr="00FF2363">
        <w:fldChar w:fldCharType="end"/>
      </w:r>
      <w:r w:rsidRPr="00FF2363">
        <w:t>.  Complaints concerning the exercise of professional functions have been found to fall within the ambit of “private life” when factors relating to private life were regarded as qualifying criteria for the function in question and when the impugned measure was based on reasons encroaching upon the individual</w:t>
      </w:r>
      <w:r w:rsidR="00FF2363" w:rsidRPr="00FF2363">
        <w:t>’</w:t>
      </w:r>
      <w:r w:rsidRPr="00FF2363">
        <w:t>s freedom of choice in the sphere of private life.</w:t>
      </w:r>
    </w:p>
    <w:p w:rsidR="00FF2A36" w:rsidRPr="00FF2363" w:rsidRDefault="00FF2A36" w:rsidP="00FF2363">
      <w:pPr>
        <w:pStyle w:val="ECHRPara"/>
        <w:rPr>
          <w:rFonts w:ascii="Times New Roman" w:hAnsi="Times New Roman" w:cs="Times New Roman"/>
          <w:szCs w:val="24"/>
        </w:rPr>
      </w:pPr>
      <w:r w:rsidRPr="00FF2363">
        <w:fldChar w:fldCharType="begin"/>
      </w:r>
      <w:r w:rsidRPr="00FF2363">
        <w:instrText xml:space="preserve"> SEQ level0 \*arabic </w:instrText>
      </w:r>
      <w:r w:rsidRPr="00FF2363">
        <w:fldChar w:fldCharType="separate"/>
      </w:r>
      <w:r w:rsidR="00FF2363" w:rsidRPr="00FF2363">
        <w:rPr>
          <w:noProof/>
        </w:rPr>
        <w:t>104</w:t>
      </w:r>
      <w:r w:rsidRPr="00FF2363">
        <w:fldChar w:fldCharType="end"/>
      </w:r>
      <w:r w:rsidRPr="00FF2363">
        <w:t>.  Thus, in the area of public service, where measures taken by State authorities were contested, the Court has found, for example, that investigations by the military police into the applicants</w:t>
      </w:r>
      <w:r w:rsidR="00FF2363" w:rsidRPr="00FF2363">
        <w:t>’</w:t>
      </w:r>
      <w:r w:rsidRPr="00FF2363">
        <w:t xml:space="preserve"> homosexuality and their consequent administrative discharge on the sole ground of their sexual orientation directly interfered with their right to respect for private life (see</w:t>
      </w:r>
      <w:r w:rsidR="00DF113A" w:rsidRPr="00FF2363">
        <w:t> </w:t>
      </w:r>
      <w:r w:rsidRPr="00FF2363">
        <w:rPr>
          <w:rFonts w:ascii="Times New Roman" w:hAnsi="Times New Roman" w:cs="Times New Roman"/>
          <w:i/>
          <w:szCs w:val="24"/>
        </w:rPr>
        <w:t>Smith and Grady</w:t>
      </w:r>
      <w:r w:rsidRPr="00FF2363">
        <w:rPr>
          <w:rFonts w:ascii="Times New Roman" w:hAnsi="Times New Roman" w:cs="Times New Roman"/>
          <w:szCs w:val="24"/>
        </w:rPr>
        <w:t xml:space="preserve">, cited above, </w:t>
      </w:r>
      <w:r w:rsidRPr="00FF2363">
        <w:t>§ 71</w:t>
      </w:r>
      <w:r w:rsidRPr="00FF2363">
        <w:rPr>
          <w:rFonts w:ascii="Times New Roman" w:hAnsi="Times New Roman" w:cs="Times New Roman"/>
          <w:szCs w:val="24"/>
        </w:rPr>
        <w:t>)</w:t>
      </w:r>
      <w:r w:rsidRPr="00FF2363">
        <w:t xml:space="preserve">. In </w:t>
      </w:r>
      <w:r w:rsidRPr="00FF2363">
        <w:rPr>
          <w:rFonts w:ascii="Times New Roman" w:hAnsi="Times New Roman" w:cs="Times New Roman"/>
          <w:i/>
          <w:szCs w:val="24"/>
        </w:rPr>
        <w:t xml:space="preserve">Özpınar </w:t>
      </w:r>
      <w:r w:rsidRPr="00FF2363">
        <w:rPr>
          <w:rFonts w:ascii="Times New Roman" w:hAnsi="Times New Roman" w:cs="Times New Roman"/>
          <w:szCs w:val="24"/>
        </w:rPr>
        <w:t>(cited above), proceedings for the applicant</w:t>
      </w:r>
      <w:r w:rsidR="00FF2363" w:rsidRPr="00FF2363">
        <w:rPr>
          <w:rFonts w:ascii="Times New Roman" w:hAnsi="Times New Roman" w:cs="Times New Roman"/>
          <w:szCs w:val="24"/>
        </w:rPr>
        <w:t>’</w:t>
      </w:r>
      <w:r w:rsidRPr="00FF2363">
        <w:rPr>
          <w:rFonts w:ascii="Times New Roman" w:hAnsi="Times New Roman" w:cs="Times New Roman"/>
          <w:szCs w:val="24"/>
        </w:rPr>
        <w:t xml:space="preserve">s </w:t>
      </w:r>
      <w:r w:rsidRPr="00FF2363">
        <w:t>dismissal as a judge fell under Article 8 of the Convention because they concerned not only</w:t>
      </w:r>
      <w:r w:rsidRPr="00FF2363">
        <w:rPr>
          <w:rFonts w:ascii="Times New Roman" w:eastAsia="Times New Roman" w:hAnsi="Times New Roman" w:cs="Times New Roman"/>
          <w:szCs w:val="24"/>
          <w:lang w:eastAsia="en-GB"/>
        </w:rPr>
        <w:t xml:space="preserve"> her professional performance but also targeted aspects of her private life, in particular her close private relationships, the clothes and make-up she wore and the fact that she lived separately from her mother (ibid., §§ 43 and 47). In another case </w:t>
      </w:r>
      <w:r w:rsidRPr="00FF2363">
        <w:rPr>
          <w:rFonts w:ascii="Times New Roman" w:hAnsi="Times New Roman" w:cs="Times New Roman"/>
          <w:szCs w:val="24"/>
        </w:rPr>
        <w:t>the applicant</w:t>
      </w:r>
      <w:r w:rsidR="00FF2363" w:rsidRPr="00FF2363">
        <w:rPr>
          <w:rFonts w:ascii="Times New Roman" w:hAnsi="Times New Roman" w:cs="Times New Roman"/>
          <w:szCs w:val="24"/>
        </w:rPr>
        <w:t>’</w:t>
      </w:r>
      <w:r w:rsidRPr="00FF2363">
        <w:rPr>
          <w:rFonts w:ascii="Times New Roman" w:hAnsi="Times New Roman" w:cs="Times New Roman"/>
          <w:szCs w:val="24"/>
        </w:rPr>
        <w:t xml:space="preserve">s transfer to a less important post within the public service raised an issue under “private life” given that such a measure amounted to a disguised penalty and </w:t>
      </w:r>
      <w:r w:rsidR="00B04FC2" w:rsidRPr="00FF2363">
        <w:rPr>
          <w:rFonts w:ascii="Times New Roman" w:hAnsi="Times New Roman" w:cs="Times New Roman"/>
          <w:szCs w:val="24"/>
        </w:rPr>
        <w:t xml:space="preserve">had been </w:t>
      </w:r>
      <w:r w:rsidRPr="00FF2363">
        <w:rPr>
          <w:rFonts w:ascii="Times New Roman" w:hAnsi="Times New Roman" w:cs="Times New Roman"/>
          <w:szCs w:val="24"/>
        </w:rPr>
        <w:t>prompted by reasons relating to the applicant</w:t>
      </w:r>
      <w:r w:rsidR="00FF2363" w:rsidRPr="00FF2363">
        <w:rPr>
          <w:rFonts w:ascii="Times New Roman" w:hAnsi="Times New Roman" w:cs="Times New Roman"/>
          <w:szCs w:val="24"/>
        </w:rPr>
        <w:t>’</w:t>
      </w:r>
      <w:r w:rsidRPr="00FF2363">
        <w:rPr>
          <w:rFonts w:ascii="Times New Roman" w:hAnsi="Times New Roman" w:cs="Times New Roman"/>
          <w:szCs w:val="24"/>
        </w:rPr>
        <w:t xml:space="preserve">s </w:t>
      </w:r>
      <w:r w:rsidRPr="00FF2363">
        <w:t>beliefs and his wife</w:t>
      </w:r>
      <w:r w:rsidR="00FF2363" w:rsidRPr="00FF2363">
        <w:t>’</w:t>
      </w:r>
      <w:r w:rsidRPr="00FF2363">
        <w:t xml:space="preserve">s clothing (see </w:t>
      </w:r>
      <w:r w:rsidRPr="00FF2363">
        <w:rPr>
          <w:rFonts w:ascii="Times New Roman" w:hAnsi="Times New Roman" w:cs="Times New Roman"/>
          <w:i/>
          <w:szCs w:val="24"/>
        </w:rPr>
        <w:t>S</w:t>
      </w:r>
      <w:bookmarkStart w:id="13" w:name="File15656"/>
      <w:r w:rsidRPr="00FF2363">
        <w:rPr>
          <w:rFonts w:ascii="Times New Roman" w:hAnsi="Times New Roman" w:cs="Times New Roman"/>
          <w:i/>
          <w:szCs w:val="24"/>
        </w:rPr>
        <w:t>o</w:t>
      </w:r>
      <w:bookmarkEnd w:id="13"/>
      <w:r w:rsidRPr="00FF2363">
        <w:rPr>
          <w:rFonts w:ascii="Times New Roman" w:hAnsi="Times New Roman" w:cs="Times New Roman"/>
          <w:i/>
          <w:szCs w:val="24"/>
        </w:rPr>
        <w:t>dan</w:t>
      </w:r>
      <w:r w:rsidRPr="00FF2363">
        <w:rPr>
          <w:rFonts w:ascii="Times New Roman" w:hAnsi="Times New Roman" w:cs="Times New Roman"/>
          <w:szCs w:val="24"/>
        </w:rPr>
        <w:t xml:space="preserve">, cited above, </w:t>
      </w:r>
      <w:r w:rsidRPr="00FF2363">
        <w:t>§§ 47-49</w:t>
      </w:r>
      <w:r w:rsidRPr="00FF2363">
        <w:rPr>
          <w:rFonts w:ascii="Times New Roman" w:hAnsi="Times New Roman" w:cs="Times New Roman"/>
          <w:szCs w:val="24"/>
        </w:rPr>
        <w:t>).</w:t>
      </w:r>
    </w:p>
    <w:p w:rsidR="00835569" w:rsidRPr="00FF2363" w:rsidRDefault="00FF2A36" w:rsidP="00FF2363">
      <w:pPr>
        <w:pStyle w:val="ECHRPara"/>
      </w:pPr>
      <w:r w:rsidRPr="00FF2363">
        <w:rPr>
          <w:rFonts w:ascii="Times New Roman" w:eastAsia="Times New Roman" w:hAnsi="Times New Roman" w:cs="Times New Roman"/>
          <w:color w:val="222222"/>
          <w:szCs w:val="24"/>
          <w:lang w:eastAsia="en-GB"/>
        </w:rPr>
        <w:fldChar w:fldCharType="begin"/>
      </w:r>
      <w:r w:rsidRPr="00FF2363">
        <w:rPr>
          <w:rFonts w:ascii="Times New Roman" w:eastAsia="Times New Roman" w:hAnsi="Times New Roman" w:cs="Times New Roman"/>
          <w:color w:val="222222"/>
          <w:szCs w:val="24"/>
          <w:lang w:eastAsia="en-GB"/>
        </w:rPr>
        <w:instrText xml:space="preserve"> SEQ level0 \*arabic </w:instrText>
      </w:r>
      <w:r w:rsidRPr="00FF2363">
        <w:rPr>
          <w:rFonts w:ascii="Times New Roman" w:eastAsia="Times New Roman" w:hAnsi="Times New Roman" w:cs="Times New Roman"/>
          <w:color w:val="222222"/>
          <w:szCs w:val="24"/>
          <w:lang w:eastAsia="en-GB"/>
        </w:rPr>
        <w:fldChar w:fldCharType="separate"/>
      </w:r>
      <w:r w:rsidR="00FF2363" w:rsidRPr="00FF2363">
        <w:rPr>
          <w:rFonts w:ascii="Times New Roman" w:eastAsia="Times New Roman" w:hAnsi="Times New Roman" w:cs="Times New Roman"/>
          <w:noProof/>
          <w:color w:val="222222"/>
          <w:szCs w:val="24"/>
          <w:lang w:eastAsia="en-GB"/>
        </w:rPr>
        <w:t>105</w:t>
      </w:r>
      <w:r w:rsidRPr="00FF2363">
        <w:rPr>
          <w:rFonts w:ascii="Times New Roman" w:eastAsia="Times New Roman" w:hAnsi="Times New Roman" w:cs="Times New Roman"/>
          <w:color w:val="222222"/>
          <w:szCs w:val="24"/>
          <w:lang w:eastAsia="en-GB"/>
        </w:rPr>
        <w:fldChar w:fldCharType="end"/>
      </w:r>
      <w:r w:rsidRPr="00FF2363">
        <w:rPr>
          <w:rFonts w:ascii="Times New Roman" w:eastAsia="Times New Roman" w:hAnsi="Times New Roman" w:cs="Times New Roman"/>
          <w:color w:val="222222"/>
          <w:szCs w:val="24"/>
          <w:lang w:eastAsia="en-GB"/>
        </w:rPr>
        <w:t>.  </w:t>
      </w:r>
      <w:r w:rsidRPr="00FF2363">
        <w:rPr>
          <w:rFonts w:ascii="Times New Roman" w:eastAsia="Times New Roman" w:hAnsi="Times New Roman" w:cs="Times New Roman"/>
          <w:szCs w:val="24"/>
          <w:lang w:eastAsia="en-GB"/>
        </w:rPr>
        <w:t>The Court has applied similar logic from the standpoint of the positive obligations to carry out a careful balancing exercise between the private interests of employees and those of a non-governmental employer when the reasons for the dismissal related directly to the applicants</w:t>
      </w:r>
      <w:r w:rsidR="00FF2363" w:rsidRPr="00FF2363">
        <w:rPr>
          <w:rFonts w:ascii="Times New Roman" w:eastAsia="Times New Roman" w:hAnsi="Times New Roman" w:cs="Times New Roman"/>
          <w:szCs w:val="24"/>
          <w:lang w:eastAsia="en-GB"/>
        </w:rPr>
        <w:t>’</w:t>
      </w:r>
      <w:r w:rsidRPr="00FF2363">
        <w:rPr>
          <w:rFonts w:ascii="Times New Roman" w:eastAsia="Times New Roman" w:hAnsi="Times New Roman" w:cs="Times New Roman"/>
          <w:szCs w:val="24"/>
          <w:lang w:eastAsia="en-GB"/>
        </w:rPr>
        <w:t xml:space="preserve"> conduct </w:t>
      </w:r>
      <w:r w:rsidRPr="00FF2363">
        <w:rPr>
          <w:rFonts w:ascii="Times New Roman" w:eastAsia="Times New Roman" w:hAnsi="Times New Roman" w:cs="Times New Roman"/>
          <w:szCs w:val="24"/>
          <w:lang w:eastAsia="en-GB"/>
        </w:rPr>
        <w:lastRenderedPageBreak/>
        <w:t xml:space="preserve">in their private life, such as an extramarital relationship (see </w:t>
      </w:r>
      <w:r w:rsidRPr="00FF2363">
        <w:rPr>
          <w:i/>
        </w:rPr>
        <w:t>Obst</w:t>
      </w:r>
      <w:r w:rsidRPr="00FF2363">
        <w:t xml:space="preserve">, cited above, §§ 43 et seq.) or living with a new partner after separation (see </w:t>
      </w:r>
      <w:r w:rsidRPr="00FF2363">
        <w:rPr>
          <w:i/>
        </w:rPr>
        <w:t>Schüth</w:t>
      </w:r>
      <w:r w:rsidRPr="00FF2363">
        <w:t>, cited above, §§ 57 et seq.)</w:t>
      </w:r>
      <w:r w:rsidRPr="00FF2363">
        <w:rPr>
          <w:rFonts w:ascii="Times New Roman" w:eastAsia="Times New Roman" w:hAnsi="Times New Roman" w:cs="Times New Roman"/>
          <w:szCs w:val="24"/>
          <w:lang w:eastAsia="en-GB"/>
        </w:rPr>
        <w:t xml:space="preserve">. </w:t>
      </w:r>
      <w:r w:rsidR="00865764" w:rsidRPr="00FF2363">
        <w:rPr>
          <w:rFonts w:ascii="Times New Roman" w:eastAsia="Times New Roman" w:hAnsi="Times New Roman" w:cs="Times New Roman"/>
          <w:szCs w:val="24"/>
          <w:lang w:eastAsia="en-GB"/>
        </w:rPr>
        <w:t>W</w:t>
      </w:r>
      <w:r w:rsidRPr="00FF2363">
        <w:rPr>
          <w:rFonts w:ascii="Times New Roman" w:eastAsia="Times New Roman" w:hAnsi="Times New Roman" w:cs="Times New Roman"/>
          <w:szCs w:val="24"/>
          <w:lang w:eastAsia="en-GB"/>
        </w:rPr>
        <w:t xml:space="preserve">here a private company dismissed an employee on the basis of monitoring of his correspondence by his employer </w:t>
      </w:r>
      <w:r w:rsidRPr="00FF2363">
        <w:t xml:space="preserve">in the workplace, such a measure fell within the ambit of Article 8 in so far as it </w:t>
      </w:r>
      <w:r w:rsidR="00865764" w:rsidRPr="00FF2363">
        <w:t>concerned the “correspondence” and because it encroached upon</w:t>
      </w:r>
      <w:r w:rsidRPr="00FF2363">
        <w:t xml:space="preserve"> the </w:t>
      </w:r>
      <w:r w:rsidR="00865764" w:rsidRPr="00FF2363">
        <w:t>reasonable possibilit</w:t>
      </w:r>
      <w:r w:rsidR="00F41DC7" w:rsidRPr="00FF2363">
        <w:t>y</w:t>
      </w:r>
      <w:r w:rsidR="00865764" w:rsidRPr="00FF2363">
        <w:t xml:space="preserve"> of</w:t>
      </w:r>
      <w:r w:rsidR="00F41DC7" w:rsidRPr="00FF2363">
        <w:t xml:space="preserve"> enjoying any</w:t>
      </w:r>
      <w:r w:rsidR="00865764" w:rsidRPr="00FF2363">
        <w:t xml:space="preserve"> “private life” </w:t>
      </w:r>
      <w:r w:rsidR="00F41DC7" w:rsidRPr="00FF2363">
        <w:t xml:space="preserve">in the </w:t>
      </w:r>
      <w:r w:rsidR="00865764" w:rsidRPr="00FF2363">
        <w:t xml:space="preserve">workplace </w:t>
      </w:r>
      <w:r w:rsidRPr="00FF2363">
        <w:t xml:space="preserve">(see </w:t>
      </w:r>
      <w:r w:rsidRPr="00FF2363">
        <w:rPr>
          <w:i/>
        </w:rPr>
        <w:t>Bărbulescu</w:t>
      </w:r>
      <w:r w:rsidRPr="00FF2363">
        <w:t>, cited above, §§ 81 and 127).</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106</w:t>
      </w:r>
      <w:r w:rsidRPr="00FF2363">
        <w:fldChar w:fldCharType="end"/>
      </w:r>
      <w:r w:rsidRPr="00FF2363">
        <w:t xml:space="preserve">.  As can be seen from these examples, the underlying reasons for the impugned measure affecting professional life may </w:t>
      </w:r>
      <w:r w:rsidR="001B012C" w:rsidRPr="00FF2363">
        <w:t xml:space="preserve">be </w:t>
      </w:r>
      <w:r w:rsidR="007F449A" w:rsidRPr="00FF2363">
        <w:t>linked to</w:t>
      </w:r>
      <w:r w:rsidRPr="00FF2363">
        <w:t xml:space="preserve"> the individual</w:t>
      </w:r>
      <w:r w:rsidR="00FF2363" w:rsidRPr="00FF2363">
        <w:t>’</w:t>
      </w:r>
      <w:r w:rsidRPr="00FF2363">
        <w:t>s private life and these reasons themselves may render Article</w:t>
      </w:r>
      <w:r w:rsidR="00DF113A" w:rsidRPr="00FF2363">
        <w:t> </w:t>
      </w:r>
      <w:r w:rsidRPr="00FF2363">
        <w:t>8 applicable.</w:t>
      </w:r>
    </w:p>
    <w:p w:rsidR="00FF2A36" w:rsidRPr="00FF2363" w:rsidRDefault="000B2987" w:rsidP="00FF2363">
      <w:pPr>
        <w:pStyle w:val="ECHRHeading6"/>
      </w:pPr>
      <w:r w:rsidRPr="00FF2363">
        <w:rPr>
          <w:rFonts w:cstheme="majorHAnsi"/>
        </w:rPr>
        <w:t>(</w:t>
      </w:r>
      <w:r w:rsidRPr="00FF2363">
        <w:t>β</w:t>
      </w:r>
      <w:r w:rsidRPr="00FF2363">
        <w:rPr>
          <w:rFonts w:cstheme="majorHAnsi"/>
        </w:rPr>
        <w:t>)</w:t>
      </w:r>
      <w:r w:rsidR="00DF113A" w:rsidRPr="00FF2363">
        <w:t>  </w:t>
      </w:r>
      <w:r w:rsidR="00FF2A36" w:rsidRPr="00FF2363">
        <w:t>Consequence-based approach</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107</w:t>
      </w:r>
      <w:r w:rsidRPr="00FF2363">
        <w:fldChar w:fldCharType="end"/>
      </w:r>
      <w:r w:rsidRPr="00FF2363">
        <w:t>.  When the reasons for imposing a measure affecting an individual</w:t>
      </w:r>
      <w:r w:rsidR="00FF2363" w:rsidRPr="00FF2363">
        <w:t>’</w:t>
      </w:r>
      <w:r w:rsidRPr="00FF2363">
        <w:t xml:space="preserve">s professional life </w:t>
      </w:r>
      <w:r w:rsidR="001B012C" w:rsidRPr="00FF2363">
        <w:t>are not linked to</w:t>
      </w:r>
      <w:r w:rsidRPr="00FF2363">
        <w:t xml:space="preserve"> the individual</w:t>
      </w:r>
      <w:r w:rsidR="00FF2363" w:rsidRPr="00FF2363">
        <w:t>’</w:t>
      </w:r>
      <w:r w:rsidRPr="00FF2363">
        <w:t>s private life, an issue under Article 8 may still arise in so far as the impugned measure has or may have serious negative effects on the individual</w:t>
      </w:r>
      <w:r w:rsidR="00FF2363" w:rsidRPr="00FF2363">
        <w:t>’</w:t>
      </w:r>
      <w:r w:rsidRPr="00FF2363">
        <w:t xml:space="preserve">s private life. In this connection the Court has taken into account </w:t>
      </w:r>
      <w:r w:rsidR="007F449A" w:rsidRPr="00FF2363">
        <w:t xml:space="preserve">negative </w:t>
      </w:r>
      <w:r w:rsidRPr="00FF2363">
        <w:t>consequences as regards (i) </w:t>
      </w:r>
      <w:r w:rsidR="007F449A" w:rsidRPr="00FF2363">
        <w:t xml:space="preserve">impact on </w:t>
      </w:r>
      <w:r w:rsidRPr="00FF2363">
        <w:t>the individual</w:t>
      </w:r>
      <w:r w:rsidR="00FF2363" w:rsidRPr="00FF2363">
        <w:t>’</w:t>
      </w:r>
      <w:r w:rsidRPr="00FF2363">
        <w:t xml:space="preserve">s “inner circle”, in particular where there are serious material consequences, </w:t>
      </w:r>
      <w:r w:rsidR="007F449A" w:rsidRPr="00FF2363">
        <w:t>(ii) the individual</w:t>
      </w:r>
      <w:r w:rsidR="00FF2363" w:rsidRPr="00FF2363">
        <w:t>’</w:t>
      </w:r>
      <w:r w:rsidR="007F449A" w:rsidRPr="00FF2363">
        <w:t xml:space="preserve">s opportunities “to establish and develop relationships with others”, </w:t>
      </w:r>
      <w:r w:rsidRPr="00FF2363">
        <w:t>and (iii) the impact on the individual</w:t>
      </w:r>
      <w:r w:rsidR="00FF2363" w:rsidRPr="00FF2363">
        <w:t>’</w:t>
      </w:r>
      <w:r w:rsidRPr="00FF2363">
        <w:t>s reputation.</w:t>
      </w:r>
    </w:p>
    <w:p w:rsidR="00835569"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108</w:t>
      </w:r>
      <w:r w:rsidRPr="00FF2363">
        <w:fldChar w:fldCharType="end"/>
      </w:r>
      <w:r w:rsidRPr="00FF2363">
        <w:t xml:space="preserve">.  On the basis of that approach, </w:t>
      </w:r>
      <w:r w:rsidRPr="00FF2363">
        <w:rPr>
          <w:snapToGrid w:val="0"/>
        </w:rPr>
        <w:t xml:space="preserve">the </w:t>
      </w:r>
      <w:r w:rsidR="00186B45" w:rsidRPr="00FF2363">
        <w:rPr>
          <w:snapToGrid w:val="0"/>
        </w:rPr>
        <w:t xml:space="preserve">Court has found that the </w:t>
      </w:r>
      <w:r w:rsidRPr="00FF2363">
        <w:rPr>
          <w:snapToGrid w:val="0"/>
        </w:rPr>
        <w:t>dismissal of a judge on the grounds of a violation of his professional duties amounting to a breach of the judicial oath affected a wide range of his professional and other relationships. The dismissal also had a negative impact on the applicant</w:t>
      </w:r>
      <w:r w:rsidR="00FF2363" w:rsidRPr="00FF2363">
        <w:rPr>
          <w:snapToGrid w:val="0"/>
        </w:rPr>
        <w:t>’</w:t>
      </w:r>
      <w:r w:rsidRPr="00FF2363">
        <w:rPr>
          <w:snapToGrid w:val="0"/>
        </w:rPr>
        <w:t xml:space="preserve">s “inner circle” in view of his loss of earnings, and it also affected his reputation (see </w:t>
      </w:r>
      <w:r w:rsidRPr="00FF2363">
        <w:rPr>
          <w:i/>
          <w:snapToGrid w:val="0"/>
        </w:rPr>
        <w:t>Oleksandr Volkov</w:t>
      </w:r>
      <w:r w:rsidRPr="00FF2363">
        <w:rPr>
          <w:snapToGrid w:val="0"/>
        </w:rPr>
        <w:t xml:space="preserve">, cited above, § 166). </w:t>
      </w:r>
      <w:r w:rsidRPr="00FF2363">
        <w:t xml:space="preserve">The refusal to allow an applicant who was a foreigner to sit for the Bar examinations in Greece fell within the scope of Article 8 because it affected her personal choice as to the way she wished to pursue her professional and private life (see </w:t>
      </w:r>
      <w:r w:rsidRPr="00FF2363">
        <w:rPr>
          <w:i/>
        </w:rPr>
        <w:t>Bigaeva</w:t>
      </w:r>
      <w:r w:rsidRPr="00FF2363">
        <w:t xml:space="preserve">, cited above, </w:t>
      </w:r>
      <w:r w:rsidRPr="00FF2363">
        <w:rPr>
          <w:snapToGrid w:val="0"/>
        </w:rPr>
        <w:t xml:space="preserve">§§ 24 and 25). </w:t>
      </w:r>
      <w:r w:rsidRPr="00FF2363">
        <w:t>The entry of an applicant</w:t>
      </w:r>
      <w:r w:rsidR="00FF2363" w:rsidRPr="00FF2363">
        <w:t>’</w:t>
      </w:r>
      <w:r w:rsidRPr="00FF2363">
        <w:t>s name in the bankruptcy register entailed a series of legal restrictions on the exercise of her professional activities and civil rights. It therefore affected the applicant</w:t>
      </w:r>
      <w:r w:rsidR="00FF2363" w:rsidRPr="00FF2363">
        <w:t>’</w:t>
      </w:r>
      <w:r w:rsidRPr="00FF2363">
        <w:t xml:space="preserve">s opportunities to develop relationships with the outside world and fell within the sphere of her private life (see </w:t>
      </w:r>
      <w:r w:rsidRPr="00FF2363">
        <w:rPr>
          <w:i/>
        </w:rPr>
        <w:t>Campagnano</w:t>
      </w:r>
      <w:r w:rsidRPr="00FF2363">
        <w:t xml:space="preserve">, cited above, § 54). A far-reaching ban on taking up private-sector employment has also been found to affect “private life” (see </w:t>
      </w:r>
      <w:r w:rsidRPr="00FF2363">
        <w:rPr>
          <w:i/>
        </w:rPr>
        <w:t>Sidabras and Džiautas</w:t>
      </w:r>
      <w:r w:rsidRPr="00FF2363">
        <w:t>, cited above, § 47).</w:t>
      </w:r>
    </w:p>
    <w:p w:rsidR="00FF2A36" w:rsidRPr="00FF2363" w:rsidRDefault="00FF2A36" w:rsidP="00FF2363">
      <w:pPr>
        <w:pStyle w:val="ECHRPara"/>
        <w:rPr>
          <w:rFonts w:ascii="Times New Roman" w:hAnsi="Times New Roman" w:cs="Times New Roman"/>
          <w:szCs w:val="24"/>
        </w:rPr>
      </w:pPr>
      <w:r w:rsidRPr="00FF2363">
        <w:fldChar w:fldCharType="begin"/>
      </w:r>
      <w:r w:rsidRPr="00FF2363">
        <w:instrText xml:space="preserve"> SEQ level0 \*arabic </w:instrText>
      </w:r>
      <w:r w:rsidRPr="00FF2363">
        <w:fldChar w:fldCharType="separate"/>
      </w:r>
      <w:r w:rsidR="00FF2363" w:rsidRPr="00FF2363">
        <w:rPr>
          <w:noProof/>
        </w:rPr>
        <w:t>109</w:t>
      </w:r>
      <w:r w:rsidRPr="00FF2363">
        <w:fldChar w:fldCharType="end"/>
      </w:r>
      <w:r w:rsidRPr="00FF2363">
        <w:t xml:space="preserve">.  Where no reason-based approach justifies the applicability of Article 8, an analysis of the effects of the impugned measure on the above-mentioned aspects of private life is necessary to conclude that the complaint falls within the scope of “private life”. Nevertheless, this division does not </w:t>
      </w:r>
      <w:r w:rsidRPr="00FF2363">
        <w:lastRenderedPageBreak/>
        <w:t xml:space="preserve">preclude cases in which the Court may find it appropriate to employ both approaches in combination, examining whether there is a private-life issue in the underpinning reasons for the impugned measure and, in addition, analysing the consequences of the measure (see </w:t>
      </w:r>
      <w:r w:rsidRPr="00FF2363">
        <w:rPr>
          <w:i/>
        </w:rPr>
        <w:t>Fernández Martínez</w:t>
      </w:r>
      <w:r w:rsidRPr="00FF2363">
        <w:t>, cited above, §§ 110-12</w:t>
      </w:r>
      <w:r w:rsidRPr="00FF2363">
        <w:rPr>
          <w:rFonts w:ascii="Times New Roman" w:hAnsi="Times New Roman" w:cs="Times New Roman"/>
          <w:szCs w:val="24"/>
        </w:rPr>
        <w:t>).</w:t>
      </w:r>
    </w:p>
    <w:p w:rsidR="00835569" w:rsidRPr="00FF2363" w:rsidRDefault="00865764" w:rsidP="00FF2363">
      <w:pPr>
        <w:pStyle w:val="ECHRHeading5"/>
      </w:pPr>
      <w:r w:rsidRPr="00FF2363">
        <w:rPr>
          <w:rFonts w:cstheme="majorHAnsi"/>
        </w:rPr>
        <w:t>(iv)</w:t>
      </w:r>
      <w:r w:rsidR="00FF2A36" w:rsidRPr="00FF2363">
        <w:rPr>
          <w:rFonts w:cstheme="majorHAnsi"/>
        </w:rPr>
        <w:t> </w:t>
      </w:r>
      <w:r w:rsidR="00FF2A36" w:rsidRPr="00FF2363">
        <w:t>Minimum level of severity of the alleged violation</w:t>
      </w:r>
    </w:p>
    <w:p w:rsidR="00D52EA3" w:rsidRPr="00FF2363" w:rsidRDefault="008B16D1" w:rsidP="00FF2363">
      <w:pPr>
        <w:pStyle w:val="ECHRPara"/>
      </w:pPr>
      <w:r w:rsidRPr="00FF2363">
        <w:rPr>
          <w:rFonts w:ascii="Times New Roman" w:hAnsi="Times New Roman" w:cs="Times New Roman"/>
          <w:szCs w:val="24"/>
        </w:rPr>
        <w:fldChar w:fldCharType="begin"/>
      </w:r>
      <w:r w:rsidRPr="00FF2363">
        <w:rPr>
          <w:rFonts w:ascii="Times New Roman" w:hAnsi="Times New Roman" w:cs="Times New Roman"/>
          <w:szCs w:val="24"/>
        </w:rPr>
        <w:instrText xml:space="preserve"> SEQ level0 \*arabic </w:instrText>
      </w:r>
      <w:r w:rsidRPr="00FF2363">
        <w:rPr>
          <w:rFonts w:ascii="Times New Roman" w:hAnsi="Times New Roman" w:cs="Times New Roman"/>
          <w:szCs w:val="24"/>
        </w:rPr>
        <w:fldChar w:fldCharType="separate"/>
      </w:r>
      <w:r w:rsidR="00FF2363" w:rsidRPr="00FF2363">
        <w:rPr>
          <w:rFonts w:ascii="Times New Roman" w:hAnsi="Times New Roman" w:cs="Times New Roman"/>
          <w:noProof/>
          <w:szCs w:val="24"/>
        </w:rPr>
        <w:t>110</w:t>
      </w:r>
      <w:r w:rsidRPr="00FF2363">
        <w:rPr>
          <w:rFonts w:ascii="Times New Roman" w:hAnsi="Times New Roman" w:cs="Times New Roman"/>
          <w:szCs w:val="24"/>
        </w:rPr>
        <w:fldChar w:fldCharType="end"/>
      </w:r>
      <w:r w:rsidRPr="00FF2363">
        <w:rPr>
          <w:rFonts w:ascii="Times New Roman" w:hAnsi="Times New Roman" w:cs="Times New Roman"/>
          <w:szCs w:val="24"/>
        </w:rPr>
        <w:t>.  In cases where the Court employs the consequence-based approach, the analysis of the seriousness of the impugned measure</w:t>
      </w:r>
      <w:r w:rsidR="00FF2363" w:rsidRPr="00FF2363">
        <w:rPr>
          <w:rFonts w:ascii="Times New Roman" w:hAnsi="Times New Roman" w:cs="Times New Roman"/>
          <w:szCs w:val="24"/>
        </w:rPr>
        <w:t>’</w:t>
      </w:r>
      <w:r w:rsidRPr="00FF2363">
        <w:rPr>
          <w:rFonts w:ascii="Times New Roman" w:hAnsi="Times New Roman" w:cs="Times New Roman"/>
          <w:szCs w:val="24"/>
        </w:rPr>
        <w:t xml:space="preserve">s effects </w:t>
      </w:r>
      <w:r w:rsidR="00186B45" w:rsidRPr="00FF2363">
        <w:rPr>
          <w:rFonts w:ascii="Times New Roman" w:hAnsi="Times New Roman" w:cs="Times New Roman"/>
          <w:szCs w:val="24"/>
        </w:rPr>
        <w:t>occupies a</w:t>
      </w:r>
      <w:r w:rsidR="009627A4" w:rsidRPr="00FF2363">
        <w:rPr>
          <w:rFonts w:ascii="Times New Roman" w:hAnsi="Times New Roman" w:cs="Times New Roman"/>
          <w:szCs w:val="24"/>
        </w:rPr>
        <w:t>n</w:t>
      </w:r>
      <w:r w:rsidR="00186B45" w:rsidRPr="00FF2363">
        <w:rPr>
          <w:rFonts w:ascii="Times New Roman" w:hAnsi="Times New Roman" w:cs="Times New Roman"/>
          <w:szCs w:val="24"/>
        </w:rPr>
        <w:t xml:space="preserve"> </w:t>
      </w:r>
      <w:r w:rsidR="009627A4" w:rsidRPr="00FF2363">
        <w:rPr>
          <w:rFonts w:ascii="Times New Roman" w:hAnsi="Times New Roman" w:cs="Times New Roman"/>
          <w:szCs w:val="24"/>
        </w:rPr>
        <w:t xml:space="preserve">important </w:t>
      </w:r>
      <w:r w:rsidRPr="00FF2363">
        <w:rPr>
          <w:rFonts w:ascii="Times New Roman" w:hAnsi="Times New Roman" w:cs="Times New Roman"/>
          <w:szCs w:val="24"/>
        </w:rPr>
        <w:t xml:space="preserve">place. </w:t>
      </w:r>
      <w:r w:rsidR="00186B45" w:rsidRPr="00FF2363">
        <w:rPr>
          <w:rFonts w:ascii="Times New Roman" w:hAnsi="Times New Roman" w:cs="Times New Roman"/>
          <w:szCs w:val="24"/>
        </w:rPr>
        <w:t>T</w:t>
      </w:r>
      <w:r w:rsidRPr="00FF2363">
        <w:rPr>
          <w:rFonts w:ascii="Times New Roman" w:hAnsi="Times New Roman" w:cs="Times New Roman"/>
          <w:szCs w:val="24"/>
        </w:rPr>
        <w:t>he Court has addressed the issue of the seriousness or severity of the alleged violation in several contexts</w:t>
      </w:r>
      <w:r w:rsidR="00F8169C" w:rsidRPr="00FF2363">
        <w:rPr>
          <w:rFonts w:ascii="Times New Roman" w:hAnsi="Times New Roman" w:cs="Times New Roman"/>
          <w:szCs w:val="24"/>
        </w:rPr>
        <w:t>.</w:t>
      </w:r>
      <w:r w:rsidR="008B0F07" w:rsidRPr="00FF2363">
        <w:rPr>
          <w:rFonts w:ascii="Times New Roman" w:hAnsi="Times New Roman" w:cs="Times New Roman"/>
          <w:szCs w:val="24"/>
        </w:rPr>
        <w:t xml:space="preserve"> </w:t>
      </w:r>
      <w:r w:rsidR="00105D8F" w:rsidRPr="00FF2363">
        <w:rPr>
          <w:rFonts w:ascii="Times New Roman" w:hAnsi="Times New Roman" w:cs="Times New Roman"/>
          <w:szCs w:val="24"/>
        </w:rPr>
        <w:t xml:space="preserve">Notably, it </w:t>
      </w:r>
      <w:r w:rsidR="00F8169C" w:rsidRPr="00FF2363">
        <w:rPr>
          <w:rFonts w:ascii="Times New Roman" w:hAnsi="Times New Roman" w:cs="Times New Roman"/>
          <w:szCs w:val="24"/>
        </w:rPr>
        <w:t xml:space="preserve">has done so </w:t>
      </w:r>
      <w:r w:rsidR="00980578" w:rsidRPr="00FF2363">
        <w:rPr>
          <w:rFonts w:ascii="Times New Roman" w:hAnsi="Times New Roman" w:cs="Times New Roman"/>
          <w:szCs w:val="24"/>
        </w:rPr>
        <w:t>when</w:t>
      </w:r>
      <w:r w:rsidR="008B0F07" w:rsidRPr="00FF2363">
        <w:t xml:space="preserve"> assess</w:t>
      </w:r>
      <w:r w:rsidR="00980578" w:rsidRPr="00FF2363">
        <w:t>ing</w:t>
      </w:r>
      <w:r w:rsidR="008B0F07" w:rsidRPr="00FF2363">
        <w:t xml:space="preserve"> the “significant disadvantage” under Article 35 § 3 (b) </w:t>
      </w:r>
      <w:r w:rsidR="00980578" w:rsidRPr="00FF2363">
        <w:t>of the Convention</w:t>
      </w:r>
      <w:r w:rsidR="00F8169C" w:rsidRPr="00FF2363">
        <w:t xml:space="preserve"> </w:t>
      </w:r>
      <w:r w:rsidR="00AF6D45" w:rsidRPr="00FF2363">
        <w:t xml:space="preserve">as an explicit admissibility requirement for the whole system of </w:t>
      </w:r>
      <w:r w:rsidR="004517CA" w:rsidRPr="00FF2363">
        <w:t xml:space="preserve">the </w:t>
      </w:r>
      <w:r w:rsidR="00AF6D45" w:rsidRPr="00FF2363">
        <w:t xml:space="preserve">Convention rights </w:t>
      </w:r>
      <w:r w:rsidR="00F10034" w:rsidRPr="00FF2363">
        <w:t xml:space="preserve">(see, for example, </w:t>
      </w:r>
      <w:r w:rsidR="0057663D" w:rsidRPr="00FF2363">
        <w:rPr>
          <w:i/>
        </w:rPr>
        <w:t>Giusti v. </w:t>
      </w:r>
      <w:r w:rsidR="00F10034" w:rsidRPr="00FF2363">
        <w:rPr>
          <w:i/>
        </w:rPr>
        <w:t>Italy</w:t>
      </w:r>
      <w:r w:rsidR="0057663D" w:rsidRPr="00FF2363">
        <w:t>, no. </w:t>
      </w:r>
      <w:r w:rsidR="00F10034" w:rsidRPr="00FF2363">
        <w:t xml:space="preserve">13175/03, § 34, 18 October 2011; </w:t>
      </w:r>
      <w:r w:rsidR="00F10034" w:rsidRPr="00FF2363">
        <w:rPr>
          <w:i/>
        </w:rPr>
        <w:t>Gagliano Giorgi v. Italy</w:t>
      </w:r>
      <w:r w:rsidR="0057663D" w:rsidRPr="00FF2363">
        <w:t>, no. </w:t>
      </w:r>
      <w:r w:rsidR="00F10034" w:rsidRPr="00FF2363">
        <w:t xml:space="preserve">23563/07, § 56, ECHR 2012 (extracts); and </w:t>
      </w:r>
      <w:r w:rsidR="00F10034" w:rsidRPr="00FF2363">
        <w:rPr>
          <w:i/>
        </w:rPr>
        <w:t>El Kaada v. Germany</w:t>
      </w:r>
      <w:r w:rsidR="00F10034" w:rsidRPr="00FF2363">
        <w:rPr>
          <w:snapToGrid w:val="0"/>
        </w:rPr>
        <w:t xml:space="preserve">, </w:t>
      </w:r>
      <w:r w:rsidR="0057663D" w:rsidRPr="00FF2363">
        <w:t>no. </w:t>
      </w:r>
      <w:r w:rsidR="00F10034" w:rsidRPr="00FF2363">
        <w:t>2130/10</w:t>
      </w:r>
      <w:r w:rsidR="00F10034" w:rsidRPr="00FF2363">
        <w:rPr>
          <w:snapToGrid w:val="0"/>
        </w:rPr>
        <w:t>, § 41, 12 November 2015</w:t>
      </w:r>
      <w:r w:rsidR="00F10034" w:rsidRPr="00FF2363">
        <w:t>)</w:t>
      </w:r>
      <w:r w:rsidR="00AF6D45" w:rsidRPr="00FF2363">
        <w:t xml:space="preserve">. The Court has </w:t>
      </w:r>
      <w:r w:rsidR="00B97728" w:rsidRPr="00FF2363">
        <w:t>also</w:t>
      </w:r>
      <w:r w:rsidR="00AF6D45" w:rsidRPr="00FF2363">
        <w:t xml:space="preserve"> consistently </w:t>
      </w:r>
      <w:r w:rsidR="00F96AD2" w:rsidRPr="00FF2363">
        <w:t>applied</w:t>
      </w:r>
      <w:r w:rsidR="00AF6D45" w:rsidRPr="00FF2363">
        <w:t xml:space="preserve"> a</w:t>
      </w:r>
      <w:r w:rsidR="008B0F07" w:rsidRPr="00FF2363">
        <w:t xml:space="preserve"> threshold of severity in cases concerning Article 3 of the Convention</w:t>
      </w:r>
      <w:r w:rsidR="00980578" w:rsidRPr="00FF2363">
        <w:t xml:space="preserve"> (see, for example, </w:t>
      </w:r>
      <w:r w:rsidR="00980578" w:rsidRPr="00FF2363">
        <w:rPr>
          <w:i/>
        </w:rPr>
        <w:t>Jalloh v. Germany</w:t>
      </w:r>
      <w:r w:rsidR="00980578" w:rsidRPr="00FF2363">
        <w:t xml:space="preserve"> [GC], no. 54810/00, § 67, ECHR 2006</w:t>
      </w:r>
      <w:r w:rsidR="00980578" w:rsidRPr="00FF2363">
        <w:noBreakHyphen/>
        <w:t>IX;</w:t>
      </w:r>
      <w:r w:rsidR="00980578" w:rsidRPr="00FF2363">
        <w:rPr>
          <w:i/>
        </w:rPr>
        <w:t xml:space="preserve"> Gäfgen v. Germany</w:t>
      </w:r>
      <w:r w:rsidR="00980578" w:rsidRPr="00FF2363">
        <w:t xml:space="preserve"> [GC], no. 22978/05, § 88, ECHR 2010; and </w:t>
      </w:r>
      <w:r w:rsidR="00980578" w:rsidRPr="00FF2363">
        <w:rPr>
          <w:i/>
        </w:rPr>
        <w:t>Bouyid v. Belgium</w:t>
      </w:r>
      <w:r w:rsidR="00980578" w:rsidRPr="00FF2363">
        <w:t xml:space="preserve"> [GC], no. 23380/09, § 86, ECHR 2015)</w:t>
      </w:r>
      <w:r w:rsidR="008B0F07" w:rsidRPr="00FF2363">
        <w:t>.</w:t>
      </w:r>
    </w:p>
    <w:p w:rsidR="00FF2A36" w:rsidRPr="00FF2363" w:rsidRDefault="00980578"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111</w:t>
      </w:r>
      <w:r w:rsidRPr="00FF2363">
        <w:fldChar w:fldCharType="end"/>
      </w:r>
      <w:r w:rsidRPr="00FF2363">
        <w:t>.  T</w:t>
      </w:r>
      <w:r w:rsidR="00FF2A36" w:rsidRPr="00FF2363">
        <w:t xml:space="preserve">he concept of </w:t>
      </w:r>
      <w:r w:rsidR="00783758" w:rsidRPr="00FF2363">
        <w:t>threshold</w:t>
      </w:r>
      <w:r w:rsidR="00FF2A36" w:rsidRPr="00FF2363">
        <w:t xml:space="preserve"> of severity has been specifically </w:t>
      </w:r>
      <w:r w:rsidR="00DB424F" w:rsidRPr="00FF2363">
        <w:t>examined</w:t>
      </w:r>
      <w:r w:rsidR="00FF2A36" w:rsidRPr="00FF2363">
        <w:t xml:space="preserve"> </w:t>
      </w:r>
      <w:r w:rsidR="00F33DEE" w:rsidRPr="00FF2363">
        <w:t>under</w:t>
      </w:r>
      <w:r w:rsidR="00FF2A36" w:rsidRPr="00FF2363">
        <w:t xml:space="preserve"> Article</w:t>
      </w:r>
      <w:r w:rsidR="00DF113A" w:rsidRPr="00FF2363">
        <w:t> </w:t>
      </w:r>
      <w:r w:rsidR="00FF2A36" w:rsidRPr="00FF2363">
        <w:t>8. In environmental cases, in particular, an arguable claim under Article</w:t>
      </w:r>
      <w:r w:rsidR="00DF113A" w:rsidRPr="00FF2363">
        <w:t> </w:t>
      </w:r>
      <w:r w:rsidR="00FF2A36" w:rsidRPr="00FF2363">
        <w:t>8 may arise where an environmental hazard attains a level of severity resulting in significant impairment of the applicant</w:t>
      </w:r>
      <w:r w:rsidR="00FF2363" w:rsidRPr="00FF2363">
        <w:t>’</w:t>
      </w:r>
      <w:r w:rsidR="00FF2A36" w:rsidRPr="00FF2363">
        <w:t xml:space="preserve">s ability to enjoy his or her home or private or family life. The Court has ruled that </w:t>
      </w:r>
      <w:r w:rsidR="00821E1C" w:rsidRPr="00FF2363">
        <w:t xml:space="preserve">the </w:t>
      </w:r>
      <w:r w:rsidR="00FF2A36" w:rsidRPr="00FF2363">
        <w:t>assessment of this minimum level in such cases is relative and depends on all the circumstances of the case, such as the intensity and duration of the nuisance and its physical or mental effects on the individual</w:t>
      </w:r>
      <w:r w:rsidR="00FF2363" w:rsidRPr="00FF2363">
        <w:t>’</w:t>
      </w:r>
      <w:r w:rsidR="00FF2A36" w:rsidRPr="00FF2363">
        <w:t>s health or quality of life (see</w:t>
      </w:r>
      <w:r w:rsidR="00FF2A36" w:rsidRPr="00FF2363">
        <w:rPr>
          <w:i/>
        </w:rPr>
        <w:t xml:space="preserve"> Fadeyeva v. Russia</w:t>
      </w:r>
      <w:r w:rsidR="00FF2A36" w:rsidRPr="00FF2363">
        <w:t>, no. 55723/00, §§ 68 and 69, ECHR 2005</w:t>
      </w:r>
      <w:r w:rsidR="00FF2A36" w:rsidRPr="00FF2363">
        <w:noBreakHyphen/>
        <w:t xml:space="preserve">IV; </w:t>
      </w:r>
      <w:r w:rsidR="00FF2A36" w:rsidRPr="00FF2363">
        <w:rPr>
          <w:i/>
        </w:rPr>
        <w:t>Dubetska and Others v. Ukraine</w:t>
      </w:r>
      <w:r w:rsidR="00FF2A36" w:rsidRPr="00FF2363">
        <w:t>, no. 30499/03</w:t>
      </w:r>
      <w:r w:rsidR="0057663D" w:rsidRPr="00FF2363">
        <w:rPr>
          <w:snapToGrid w:val="0"/>
        </w:rPr>
        <w:t>, § 105, 10 </w:t>
      </w:r>
      <w:r w:rsidR="00FF2A36" w:rsidRPr="00FF2363">
        <w:rPr>
          <w:snapToGrid w:val="0"/>
        </w:rPr>
        <w:t xml:space="preserve">February 2011; and </w:t>
      </w:r>
      <w:r w:rsidR="00FF2A36" w:rsidRPr="00FF2363">
        <w:rPr>
          <w:i/>
        </w:rPr>
        <w:t>Grimkovskaya v. Ukraine</w:t>
      </w:r>
      <w:r w:rsidR="0057663D" w:rsidRPr="00FF2363">
        <w:t>, no. 38182/03, § 58, 21 </w:t>
      </w:r>
      <w:r w:rsidR="00FF2A36" w:rsidRPr="00FF2363">
        <w:t>July 2011</w:t>
      </w:r>
      <w:r w:rsidR="00FF2A36" w:rsidRPr="00FF2363">
        <w:rPr>
          <w:snapToGrid w:val="0"/>
        </w:rPr>
        <w:t xml:space="preserve">). This approach has also been applied in nuisance cases under Article 8 </w:t>
      </w:r>
      <w:r w:rsidR="008A77EB" w:rsidRPr="00FF2363">
        <w:rPr>
          <w:snapToGrid w:val="0"/>
        </w:rPr>
        <w:t xml:space="preserve">with </w:t>
      </w:r>
      <w:r w:rsidR="00FF2A36" w:rsidRPr="00FF2363">
        <w:rPr>
          <w:snapToGrid w:val="0"/>
        </w:rPr>
        <w:t xml:space="preserve">close similarities </w:t>
      </w:r>
      <w:r w:rsidR="008A77EB" w:rsidRPr="00FF2363">
        <w:rPr>
          <w:snapToGrid w:val="0"/>
        </w:rPr>
        <w:t xml:space="preserve">to </w:t>
      </w:r>
      <w:r w:rsidR="00FF2A36" w:rsidRPr="00FF2363">
        <w:rPr>
          <w:snapToGrid w:val="0"/>
        </w:rPr>
        <w:t xml:space="preserve">the environmental cases mentioned above (see </w:t>
      </w:r>
      <w:r w:rsidR="00FF2A36" w:rsidRPr="00FF2363">
        <w:rPr>
          <w:i/>
        </w:rPr>
        <w:t>Borysiewicz v. Poland</w:t>
      </w:r>
      <w:r w:rsidR="00FF2A36" w:rsidRPr="00FF2363">
        <w:t xml:space="preserve">, no. 71146/01, § 51, 1 July 2008, and </w:t>
      </w:r>
      <w:r w:rsidR="00FF2A36" w:rsidRPr="00FF2363">
        <w:rPr>
          <w:i/>
        </w:rPr>
        <w:t>Udovičić v.</w:t>
      </w:r>
      <w:r w:rsidR="00DF113A" w:rsidRPr="00FF2363">
        <w:rPr>
          <w:i/>
        </w:rPr>
        <w:t> </w:t>
      </w:r>
      <w:r w:rsidR="00FF2A36" w:rsidRPr="00FF2363">
        <w:rPr>
          <w:i/>
        </w:rPr>
        <w:t>Croatia</w:t>
      </w:r>
      <w:r w:rsidR="00FF2A36" w:rsidRPr="00FF2363">
        <w:rPr>
          <w:snapToGrid w:val="0"/>
        </w:rPr>
        <w:t xml:space="preserve">, </w:t>
      </w:r>
      <w:r w:rsidR="00FF2A36" w:rsidRPr="00FF2363">
        <w:t>no. 27310/09, § 137, 24 April 2014).</w:t>
      </w:r>
    </w:p>
    <w:p w:rsidR="00FF2A36" w:rsidRPr="00FF2363" w:rsidRDefault="00FF2A36" w:rsidP="00FF2363">
      <w:pPr>
        <w:pStyle w:val="ECHRPara"/>
        <w:rPr>
          <w:snapToGrid w:val="0"/>
        </w:rPr>
      </w:pPr>
      <w:r w:rsidRPr="00FF2363">
        <w:fldChar w:fldCharType="begin"/>
      </w:r>
      <w:r w:rsidRPr="00FF2363">
        <w:instrText xml:space="preserve"> SEQ level0 \*arabic </w:instrText>
      </w:r>
      <w:r w:rsidRPr="00FF2363">
        <w:fldChar w:fldCharType="separate"/>
      </w:r>
      <w:r w:rsidR="00FF2363" w:rsidRPr="00FF2363">
        <w:rPr>
          <w:noProof/>
        </w:rPr>
        <w:t>112</w:t>
      </w:r>
      <w:r w:rsidRPr="00FF2363">
        <w:fldChar w:fldCharType="end"/>
      </w:r>
      <w:r w:rsidRPr="00FF2363">
        <w:t>.  </w:t>
      </w:r>
      <w:r w:rsidR="00C65756" w:rsidRPr="00FF2363">
        <w:t>In addition</w:t>
      </w:r>
      <w:r w:rsidR="00DB424F" w:rsidRPr="00FF2363">
        <w:t>, t</w:t>
      </w:r>
      <w:r w:rsidRPr="00FF2363">
        <w:t>he Court has ruled that an attack on a person</w:t>
      </w:r>
      <w:r w:rsidR="00FF2363" w:rsidRPr="00FF2363">
        <w:t>’</w:t>
      </w:r>
      <w:r w:rsidRPr="00FF2363">
        <w:t>s reputation must attain a certain level of seriousness and be made in a manner causing prejudice to personal enjoyment of the right to respect for private life</w:t>
      </w:r>
      <w:r w:rsidR="007872A2" w:rsidRPr="00FF2363">
        <w:t xml:space="preserve"> (see </w:t>
      </w:r>
      <w:r w:rsidR="007872A2" w:rsidRPr="00FF2363">
        <w:rPr>
          <w:i/>
        </w:rPr>
        <w:t>A. v. Norway</w:t>
      </w:r>
      <w:r w:rsidR="007872A2" w:rsidRPr="00FF2363">
        <w:t xml:space="preserve">, no. 28070/06, </w:t>
      </w:r>
      <w:r w:rsidR="007872A2" w:rsidRPr="00FF2363">
        <w:rPr>
          <w:snapToGrid w:val="0"/>
        </w:rPr>
        <w:t xml:space="preserve">§§ 63-64, 9 April 2009; </w:t>
      </w:r>
      <w:r w:rsidR="007872A2" w:rsidRPr="00FF2363">
        <w:rPr>
          <w:i/>
        </w:rPr>
        <w:t>Polanco Torres and Movilla Polanco v. Spain</w:t>
      </w:r>
      <w:r w:rsidR="007872A2" w:rsidRPr="00FF2363">
        <w:t>, no. 34147/06, §§ 40 and 44, 21</w:t>
      </w:r>
      <w:r w:rsidR="00DF113A" w:rsidRPr="00FF2363">
        <w:t> </w:t>
      </w:r>
      <w:r w:rsidR="007872A2" w:rsidRPr="00FF2363">
        <w:t xml:space="preserve">September 2010; </w:t>
      </w:r>
      <w:r w:rsidR="007872A2" w:rsidRPr="00FF2363">
        <w:rPr>
          <w:i/>
        </w:rPr>
        <w:t>Axel Springer AG</w:t>
      </w:r>
      <w:r w:rsidR="007872A2" w:rsidRPr="00FF2363">
        <w:t>,</w:t>
      </w:r>
      <w:r w:rsidR="007872A2" w:rsidRPr="00FF2363">
        <w:rPr>
          <w:i/>
        </w:rPr>
        <w:t xml:space="preserve"> </w:t>
      </w:r>
      <w:r w:rsidR="007872A2" w:rsidRPr="00FF2363">
        <w:t xml:space="preserve">cited above, § 83; </w:t>
      </w:r>
      <w:r w:rsidR="007872A2" w:rsidRPr="00FF2363">
        <w:rPr>
          <w:i/>
        </w:rPr>
        <w:t>Delfi AS</w:t>
      </w:r>
      <w:r w:rsidR="007872A2" w:rsidRPr="00FF2363">
        <w:t xml:space="preserve"> </w:t>
      </w:r>
      <w:r w:rsidR="007872A2" w:rsidRPr="00FF2363">
        <w:rPr>
          <w:i/>
        </w:rPr>
        <w:t>v.</w:t>
      </w:r>
      <w:r w:rsidR="00DF113A" w:rsidRPr="00FF2363">
        <w:rPr>
          <w:i/>
        </w:rPr>
        <w:t> </w:t>
      </w:r>
      <w:r w:rsidR="007872A2" w:rsidRPr="00FF2363">
        <w:rPr>
          <w:i/>
        </w:rPr>
        <w:t xml:space="preserve">Estonia </w:t>
      </w:r>
      <w:r w:rsidR="007872A2" w:rsidRPr="00FF2363">
        <w:t xml:space="preserve">[GC], no. 64569/09, § 137, ECHR 2015; </w:t>
      </w:r>
      <w:r w:rsidR="00C65756" w:rsidRPr="00FF2363">
        <w:t xml:space="preserve">and </w:t>
      </w:r>
      <w:r w:rsidR="007872A2" w:rsidRPr="00FF2363">
        <w:rPr>
          <w:i/>
        </w:rPr>
        <w:t xml:space="preserve">Bédat v. Switzerland </w:t>
      </w:r>
      <w:r w:rsidR="007872A2" w:rsidRPr="00FF2363">
        <w:t>[GC], no. 56925/08, § 72, ECHR 2016)</w:t>
      </w:r>
      <w:r w:rsidR="0076023B" w:rsidRPr="00FF2363">
        <w:t xml:space="preserve">. This requirement </w:t>
      </w:r>
      <w:r w:rsidR="0076023B" w:rsidRPr="00FF2363">
        <w:lastRenderedPageBreak/>
        <w:t>covers social reputation</w:t>
      </w:r>
      <w:r w:rsidR="007872A2" w:rsidRPr="00FF2363">
        <w:t xml:space="preserve"> </w:t>
      </w:r>
      <w:r w:rsidR="0076023B" w:rsidRPr="00FF2363">
        <w:t xml:space="preserve">in general as well as </w:t>
      </w:r>
      <w:r w:rsidR="00365756" w:rsidRPr="00FF2363">
        <w:t>professional reputation</w:t>
      </w:r>
      <w:r w:rsidR="007872A2" w:rsidRPr="00FF2363">
        <w:t xml:space="preserve"> </w:t>
      </w:r>
      <w:r w:rsidR="00365756" w:rsidRPr="00FF2363">
        <w:t>in particular (</w:t>
      </w:r>
      <w:r w:rsidR="00114E9B" w:rsidRPr="00FF2363">
        <w:t>for the latter</w:t>
      </w:r>
      <w:r w:rsidR="00653620" w:rsidRPr="00FF2363">
        <w:t>,</w:t>
      </w:r>
      <w:r w:rsidR="00114E9B" w:rsidRPr="00FF2363">
        <w:t xml:space="preserve"> see </w:t>
      </w:r>
      <w:r w:rsidR="007872A2" w:rsidRPr="00FF2363">
        <w:rPr>
          <w:i/>
          <w:iCs/>
        </w:rPr>
        <w:t>Medžlis Islamske Zajednice Brčko and Others v.</w:t>
      </w:r>
      <w:r w:rsidR="00DF113A" w:rsidRPr="00FF2363">
        <w:rPr>
          <w:i/>
          <w:iCs/>
        </w:rPr>
        <w:t> </w:t>
      </w:r>
      <w:r w:rsidR="007872A2" w:rsidRPr="00FF2363">
        <w:rPr>
          <w:i/>
          <w:iCs/>
        </w:rPr>
        <w:t>Bosnia and Herzegovina</w:t>
      </w:r>
      <w:r w:rsidR="007872A2" w:rsidRPr="00FF2363">
        <w:t xml:space="preserve"> [GC]</w:t>
      </w:r>
      <w:r w:rsidR="007872A2" w:rsidRPr="00FF2363">
        <w:rPr>
          <w:iCs/>
        </w:rPr>
        <w:t>,</w:t>
      </w:r>
      <w:r w:rsidR="007872A2" w:rsidRPr="00FF2363">
        <w:rPr>
          <w:i/>
          <w:iCs/>
        </w:rPr>
        <w:t xml:space="preserve"> </w:t>
      </w:r>
      <w:r w:rsidR="007872A2" w:rsidRPr="00FF2363">
        <w:t>nos. 17224/11, §</w:t>
      </w:r>
      <w:r w:rsidR="00114E9B" w:rsidRPr="00FF2363">
        <w:t>§</w:t>
      </w:r>
      <w:r w:rsidR="007872A2" w:rsidRPr="00FF2363">
        <w:t xml:space="preserve"> 76</w:t>
      </w:r>
      <w:r w:rsidR="00114E9B" w:rsidRPr="00FF2363">
        <w:t xml:space="preserve"> and 105-06</w:t>
      </w:r>
      <w:r w:rsidR="007872A2" w:rsidRPr="00FF2363">
        <w:t xml:space="preserve">, </w:t>
      </w:r>
      <w:r w:rsidR="00821E1C" w:rsidRPr="00FF2363">
        <w:t>ECHR</w:t>
      </w:r>
      <w:r w:rsidR="007872A2" w:rsidRPr="00FF2363">
        <w:t xml:space="preserve"> 2017)</w:t>
      </w:r>
      <w:r w:rsidRPr="00FF2363">
        <w:t>.</w:t>
      </w:r>
    </w:p>
    <w:p w:rsidR="00F93E81" w:rsidRPr="00FF2363" w:rsidRDefault="003E6EFE" w:rsidP="00FF2363">
      <w:pPr>
        <w:pStyle w:val="ECHRPara"/>
        <w:rPr>
          <w:rFonts w:eastAsia="Times New Roman" w:cstheme="minorHAnsi"/>
          <w:szCs w:val="24"/>
        </w:rPr>
      </w:pPr>
      <w:r w:rsidRPr="00FF2363">
        <w:rPr>
          <w:rFonts w:eastAsia="Times New Roman" w:cstheme="minorHAnsi"/>
          <w:szCs w:val="24"/>
        </w:rPr>
        <w:fldChar w:fldCharType="begin"/>
      </w:r>
      <w:r w:rsidRPr="00FF2363">
        <w:rPr>
          <w:rFonts w:eastAsia="Times New Roman" w:cstheme="minorHAnsi"/>
          <w:szCs w:val="24"/>
        </w:rPr>
        <w:instrText xml:space="preserve"> SEQ level0 \*arabic </w:instrText>
      </w:r>
      <w:r w:rsidRPr="00FF2363">
        <w:rPr>
          <w:rFonts w:eastAsia="Times New Roman" w:cstheme="minorHAnsi"/>
          <w:szCs w:val="24"/>
        </w:rPr>
        <w:fldChar w:fldCharType="separate"/>
      </w:r>
      <w:r w:rsidR="00FF2363" w:rsidRPr="00FF2363">
        <w:rPr>
          <w:rFonts w:eastAsia="Times New Roman" w:cstheme="minorHAnsi"/>
          <w:noProof/>
          <w:szCs w:val="24"/>
        </w:rPr>
        <w:t>113</w:t>
      </w:r>
      <w:r w:rsidRPr="00FF2363">
        <w:rPr>
          <w:rFonts w:eastAsia="Times New Roman" w:cstheme="minorHAnsi"/>
          <w:szCs w:val="24"/>
        </w:rPr>
        <w:fldChar w:fldCharType="end"/>
      </w:r>
      <w:r w:rsidRPr="00FF2363">
        <w:rPr>
          <w:rFonts w:eastAsia="Times New Roman" w:cstheme="minorHAnsi"/>
          <w:szCs w:val="24"/>
        </w:rPr>
        <w:t>.  </w:t>
      </w:r>
      <w:r w:rsidR="007D0E31" w:rsidRPr="00FF2363">
        <w:rPr>
          <w:rFonts w:eastAsia="Times New Roman" w:cstheme="minorHAnsi"/>
          <w:szCs w:val="24"/>
        </w:rPr>
        <w:t>In the</w:t>
      </w:r>
      <w:r w:rsidR="000C24D3" w:rsidRPr="00FF2363">
        <w:rPr>
          <w:rFonts w:eastAsia="Times New Roman" w:cstheme="minorHAnsi"/>
          <w:szCs w:val="24"/>
        </w:rPr>
        <w:t xml:space="preserve"> </w:t>
      </w:r>
      <w:r w:rsidR="007D0E31" w:rsidRPr="00FF2363">
        <w:rPr>
          <w:rFonts w:eastAsia="Times New Roman" w:cstheme="minorHAnsi"/>
          <w:szCs w:val="24"/>
        </w:rPr>
        <w:t xml:space="preserve">recent case of </w:t>
      </w:r>
      <w:r w:rsidR="00C478DF" w:rsidRPr="00FF2363">
        <w:rPr>
          <w:i/>
        </w:rPr>
        <w:t xml:space="preserve">Erményi </w:t>
      </w:r>
      <w:r w:rsidR="00674A2B" w:rsidRPr="00FF2363">
        <w:t xml:space="preserve">the Court </w:t>
      </w:r>
      <w:r w:rsidR="0017583E" w:rsidRPr="00FF2363">
        <w:rPr>
          <w:rFonts w:eastAsia="Times New Roman" w:cstheme="minorHAnsi"/>
          <w:szCs w:val="24"/>
        </w:rPr>
        <w:t xml:space="preserve">found </w:t>
      </w:r>
      <w:r w:rsidR="001F14C0" w:rsidRPr="00FF2363">
        <w:rPr>
          <w:rFonts w:eastAsia="Times New Roman" w:cstheme="minorHAnsi"/>
          <w:szCs w:val="24"/>
        </w:rPr>
        <w:t xml:space="preserve">that </w:t>
      </w:r>
      <w:r w:rsidR="000E1ED4" w:rsidRPr="00FF2363">
        <w:rPr>
          <w:rFonts w:eastAsia="Times New Roman" w:cstheme="minorHAnsi"/>
          <w:szCs w:val="24"/>
        </w:rPr>
        <w:t xml:space="preserve">the </w:t>
      </w:r>
      <w:r w:rsidR="0017583E" w:rsidRPr="00FF2363">
        <w:rPr>
          <w:rFonts w:eastAsia="Times New Roman" w:cstheme="minorHAnsi"/>
          <w:szCs w:val="24"/>
        </w:rPr>
        <w:t>applicant</w:t>
      </w:r>
      <w:r w:rsidR="00FF2363" w:rsidRPr="00FF2363">
        <w:rPr>
          <w:rFonts w:eastAsia="Times New Roman" w:cstheme="minorHAnsi"/>
          <w:szCs w:val="24"/>
        </w:rPr>
        <w:t>’</w:t>
      </w:r>
      <w:r w:rsidR="0017583E" w:rsidRPr="00FF2363">
        <w:rPr>
          <w:rFonts w:eastAsia="Times New Roman" w:cstheme="minorHAnsi"/>
          <w:szCs w:val="24"/>
        </w:rPr>
        <w:t xml:space="preserve">s dismissal from the administrative position of Vice-President of the Supreme Court </w:t>
      </w:r>
      <w:r w:rsidR="00C478DF" w:rsidRPr="00FF2363">
        <w:rPr>
          <w:rFonts w:eastAsia="Times New Roman" w:cstheme="minorHAnsi"/>
          <w:szCs w:val="24"/>
        </w:rPr>
        <w:t>constituted an interference with his right to respect for private life</w:t>
      </w:r>
      <w:r w:rsidR="007D0E31" w:rsidRPr="00FF2363">
        <w:rPr>
          <w:rFonts w:eastAsia="Times New Roman" w:cstheme="minorHAnsi"/>
          <w:szCs w:val="24"/>
        </w:rPr>
        <w:t xml:space="preserve"> </w:t>
      </w:r>
      <w:r w:rsidR="007D0E31" w:rsidRPr="00FF2363">
        <w:t xml:space="preserve">(see </w:t>
      </w:r>
      <w:r w:rsidR="007D0E31" w:rsidRPr="00FF2363">
        <w:rPr>
          <w:i/>
        </w:rPr>
        <w:t>Erményi</w:t>
      </w:r>
      <w:r w:rsidR="007D0E31" w:rsidRPr="00FF2363">
        <w:t>, cited above, § 31)</w:t>
      </w:r>
      <w:r w:rsidR="00C478DF" w:rsidRPr="00FF2363">
        <w:rPr>
          <w:rFonts w:eastAsia="Times New Roman" w:cstheme="minorHAnsi"/>
          <w:szCs w:val="24"/>
        </w:rPr>
        <w:t>.</w:t>
      </w:r>
      <w:r w:rsidR="007D0E31" w:rsidRPr="00FF2363">
        <w:rPr>
          <w:rFonts w:eastAsia="Times New Roman" w:cstheme="minorHAnsi"/>
          <w:szCs w:val="24"/>
        </w:rPr>
        <w:t xml:space="preserve"> </w:t>
      </w:r>
      <w:r w:rsidR="00DB424F" w:rsidRPr="00FF2363">
        <w:rPr>
          <w:rFonts w:eastAsia="Times New Roman" w:cstheme="minorHAnsi"/>
          <w:szCs w:val="24"/>
        </w:rPr>
        <w:t xml:space="preserve">Even though the Court did not elaborate on this point, </w:t>
      </w:r>
      <w:r w:rsidR="008A1FF4" w:rsidRPr="00FF2363">
        <w:rPr>
          <w:rFonts w:eastAsia="Times New Roman" w:cstheme="minorHAnsi"/>
          <w:szCs w:val="24"/>
        </w:rPr>
        <w:t>in the absence of the parties</w:t>
      </w:r>
      <w:r w:rsidR="00FF2363" w:rsidRPr="00FF2363">
        <w:rPr>
          <w:rFonts w:eastAsia="Times New Roman" w:cstheme="minorHAnsi"/>
          <w:szCs w:val="24"/>
        </w:rPr>
        <w:t>’</w:t>
      </w:r>
      <w:r w:rsidR="008A1FF4" w:rsidRPr="00FF2363">
        <w:rPr>
          <w:rFonts w:eastAsia="Times New Roman" w:cstheme="minorHAnsi"/>
          <w:szCs w:val="24"/>
        </w:rPr>
        <w:t xml:space="preserve"> submissions in that regard, it</w:t>
      </w:r>
      <w:r w:rsidR="00F36885" w:rsidRPr="00FF2363">
        <w:rPr>
          <w:rFonts w:eastAsia="Times New Roman" w:cstheme="minorHAnsi"/>
          <w:szCs w:val="24"/>
        </w:rPr>
        <w:t xml:space="preserve"> </w:t>
      </w:r>
      <w:r w:rsidR="00DB424F" w:rsidRPr="00FF2363">
        <w:rPr>
          <w:rFonts w:eastAsia="Times New Roman" w:cstheme="minorHAnsi"/>
          <w:szCs w:val="24"/>
        </w:rPr>
        <w:t>impl</w:t>
      </w:r>
      <w:r w:rsidR="000111E3" w:rsidRPr="00FF2363">
        <w:rPr>
          <w:rFonts w:eastAsia="Times New Roman" w:cstheme="minorHAnsi"/>
          <w:szCs w:val="24"/>
        </w:rPr>
        <w:t>i</w:t>
      </w:r>
      <w:r w:rsidR="008A1FF4" w:rsidRPr="00FF2363">
        <w:rPr>
          <w:rFonts w:eastAsia="Times New Roman" w:cstheme="minorHAnsi"/>
          <w:szCs w:val="24"/>
        </w:rPr>
        <w:t xml:space="preserve">ed </w:t>
      </w:r>
      <w:r w:rsidR="00DB424F" w:rsidRPr="00FF2363">
        <w:rPr>
          <w:rFonts w:eastAsia="Times New Roman" w:cstheme="minorHAnsi"/>
          <w:szCs w:val="24"/>
        </w:rPr>
        <w:t>that the impugned measure had seriously affected the applicant</w:t>
      </w:r>
      <w:r w:rsidR="00FF2363" w:rsidRPr="00FF2363">
        <w:rPr>
          <w:rFonts w:eastAsia="Times New Roman" w:cstheme="minorHAnsi"/>
          <w:szCs w:val="24"/>
        </w:rPr>
        <w:t>’</w:t>
      </w:r>
      <w:r w:rsidR="00DB424F" w:rsidRPr="00FF2363">
        <w:rPr>
          <w:rFonts w:eastAsia="Times New Roman" w:cstheme="minorHAnsi"/>
          <w:szCs w:val="24"/>
        </w:rPr>
        <w:t xml:space="preserve">s private life. </w:t>
      </w:r>
      <w:r w:rsidR="000E208B" w:rsidRPr="00FF2363">
        <w:rPr>
          <w:rFonts w:eastAsia="Times New Roman" w:cstheme="minorHAnsi"/>
          <w:szCs w:val="24"/>
        </w:rPr>
        <w:t>That finding</w:t>
      </w:r>
      <w:r w:rsidR="00DB424F" w:rsidRPr="00FF2363">
        <w:rPr>
          <w:rFonts w:eastAsia="Times New Roman" w:cstheme="minorHAnsi"/>
          <w:szCs w:val="24"/>
        </w:rPr>
        <w:t xml:space="preserve"> cannot be read as presuming that the applicant</w:t>
      </w:r>
      <w:r w:rsidR="00FF2363" w:rsidRPr="00FF2363">
        <w:rPr>
          <w:rFonts w:eastAsia="Times New Roman" w:cstheme="minorHAnsi"/>
          <w:szCs w:val="24"/>
        </w:rPr>
        <w:t>’</w:t>
      </w:r>
      <w:r w:rsidR="00DB424F" w:rsidRPr="00FF2363">
        <w:rPr>
          <w:rFonts w:eastAsia="Times New Roman" w:cstheme="minorHAnsi"/>
          <w:szCs w:val="24"/>
        </w:rPr>
        <w:t xml:space="preserve">s dismissal </w:t>
      </w:r>
      <w:r w:rsidR="000E208B" w:rsidRPr="00FF2363">
        <w:rPr>
          <w:rFonts w:eastAsia="Times New Roman" w:cstheme="minorHAnsi"/>
          <w:szCs w:val="24"/>
        </w:rPr>
        <w:t xml:space="preserve">had “automatically” </w:t>
      </w:r>
      <w:r w:rsidR="00285F09" w:rsidRPr="00FF2363">
        <w:rPr>
          <w:rFonts w:eastAsia="Times New Roman" w:cstheme="minorHAnsi"/>
          <w:szCs w:val="24"/>
        </w:rPr>
        <w:t xml:space="preserve">generated </w:t>
      </w:r>
      <w:r w:rsidR="00DB424F" w:rsidRPr="00FF2363">
        <w:rPr>
          <w:rFonts w:eastAsia="Times New Roman" w:cstheme="minorHAnsi"/>
          <w:szCs w:val="24"/>
        </w:rPr>
        <w:t xml:space="preserve">an issue in the </w:t>
      </w:r>
      <w:r w:rsidR="00285F09" w:rsidRPr="00FF2363">
        <w:rPr>
          <w:rFonts w:eastAsia="Times New Roman" w:cstheme="minorHAnsi"/>
          <w:szCs w:val="24"/>
        </w:rPr>
        <w:t xml:space="preserve">sphere </w:t>
      </w:r>
      <w:r w:rsidR="00DB424F" w:rsidRPr="00FF2363">
        <w:rPr>
          <w:rFonts w:eastAsia="Times New Roman" w:cstheme="minorHAnsi"/>
          <w:szCs w:val="24"/>
        </w:rPr>
        <w:t xml:space="preserve">of private life. </w:t>
      </w:r>
      <w:r w:rsidR="00A212FF" w:rsidRPr="00FF2363">
        <w:rPr>
          <w:rFonts w:eastAsia="Times New Roman" w:cstheme="minorHAnsi"/>
          <w:szCs w:val="24"/>
        </w:rPr>
        <w:t xml:space="preserve">In that regard the Court </w:t>
      </w:r>
      <w:r w:rsidR="007D0E31" w:rsidRPr="00FF2363">
        <w:rPr>
          <w:rFonts w:eastAsia="Times New Roman" w:cstheme="minorHAnsi"/>
          <w:szCs w:val="24"/>
        </w:rPr>
        <w:t>reiterates</w:t>
      </w:r>
      <w:r w:rsidR="00A212FF" w:rsidRPr="00FF2363">
        <w:rPr>
          <w:rFonts w:eastAsia="Times New Roman" w:cstheme="minorHAnsi"/>
          <w:szCs w:val="24"/>
        </w:rPr>
        <w:t xml:space="preserve"> that</w:t>
      </w:r>
      <w:r w:rsidR="007D0E31" w:rsidRPr="00FF2363">
        <w:rPr>
          <w:rFonts w:eastAsia="Times New Roman" w:cstheme="minorHAnsi"/>
          <w:szCs w:val="24"/>
        </w:rPr>
        <w:t xml:space="preserve"> </w:t>
      </w:r>
      <w:r w:rsidR="00FE773D" w:rsidRPr="00FF2363">
        <w:rPr>
          <w:rFonts w:eastAsia="Times New Roman" w:cstheme="minorHAnsi"/>
          <w:szCs w:val="24"/>
        </w:rPr>
        <w:t xml:space="preserve">the threshold of severity </w:t>
      </w:r>
      <w:r w:rsidR="00285F09" w:rsidRPr="00FF2363">
        <w:rPr>
          <w:rFonts w:eastAsia="Times New Roman" w:cstheme="minorHAnsi"/>
          <w:szCs w:val="24"/>
        </w:rPr>
        <w:t xml:space="preserve">occupies </w:t>
      </w:r>
      <w:r w:rsidR="00E90239" w:rsidRPr="00FF2363">
        <w:rPr>
          <w:rFonts w:eastAsia="Times New Roman" w:cstheme="minorHAnsi"/>
          <w:szCs w:val="24"/>
        </w:rPr>
        <w:t>an</w:t>
      </w:r>
      <w:r w:rsidR="007D0E31" w:rsidRPr="00FF2363">
        <w:rPr>
          <w:rFonts w:eastAsia="Times New Roman" w:cstheme="minorHAnsi"/>
          <w:szCs w:val="24"/>
        </w:rPr>
        <w:t xml:space="preserve"> importan</w:t>
      </w:r>
      <w:r w:rsidR="00E90239" w:rsidRPr="00FF2363">
        <w:rPr>
          <w:rFonts w:eastAsia="Times New Roman" w:cstheme="minorHAnsi"/>
          <w:szCs w:val="24"/>
        </w:rPr>
        <w:t>t pla</w:t>
      </w:r>
      <w:r w:rsidR="007D0E31" w:rsidRPr="00FF2363">
        <w:rPr>
          <w:rFonts w:eastAsia="Times New Roman" w:cstheme="minorHAnsi"/>
          <w:szCs w:val="24"/>
        </w:rPr>
        <w:t xml:space="preserve">ce </w:t>
      </w:r>
      <w:r w:rsidR="00FE773D" w:rsidRPr="00FF2363">
        <w:rPr>
          <w:rFonts w:eastAsia="Times New Roman" w:cstheme="minorHAnsi"/>
          <w:szCs w:val="24"/>
        </w:rPr>
        <w:t xml:space="preserve">in cases where the </w:t>
      </w:r>
      <w:r w:rsidR="007D0E31" w:rsidRPr="00FF2363">
        <w:rPr>
          <w:rFonts w:eastAsia="Times New Roman" w:cstheme="minorHAnsi"/>
          <w:szCs w:val="24"/>
        </w:rPr>
        <w:t>existence</w:t>
      </w:r>
      <w:r w:rsidR="00FE773D" w:rsidRPr="00FF2363">
        <w:rPr>
          <w:rFonts w:eastAsia="Times New Roman" w:cstheme="minorHAnsi"/>
          <w:szCs w:val="24"/>
        </w:rPr>
        <w:t xml:space="preserve"> of </w:t>
      </w:r>
      <w:r w:rsidR="00285F09" w:rsidRPr="00FF2363">
        <w:rPr>
          <w:rFonts w:eastAsia="Times New Roman" w:cstheme="minorHAnsi"/>
          <w:szCs w:val="24"/>
        </w:rPr>
        <w:t xml:space="preserve">a </w:t>
      </w:r>
      <w:r w:rsidR="00FE773D" w:rsidRPr="00FF2363">
        <w:rPr>
          <w:rFonts w:eastAsia="Times New Roman" w:cstheme="minorHAnsi"/>
          <w:szCs w:val="24"/>
        </w:rPr>
        <w:t>private</w:t>
      </w:r>
      <w:r w:rsidR="007D0E31" w:rsidRPr="00FF2363">
        <w:rPr>
          <w:rFonts w:eastAsia="Times New Roman" w:cstheme="minorHAnsi"/>
          <w:szCs w:val="24"/>
        </w:rPr>
        <w:t>-</w:t>
      </w:r>
      <w:r w:rsidR="00FE773D" w:rsidRPr="00FF2363">
        <w:rPr>
          <w:rFonts w:eastAsia="Times New Roman" w:cstheme="minorHAnsi"/>
          <w:szCs w:val="24"/>
        </w:rPr>
        <w:t xml:space="preserve">life </w:t>
      </w:r>
      <w:r w:rsidR="007D0E31" w:rsidRPr="00FF2363">
        <w:rPr>
          <w:rFonts w:eastAsia="Times New Roman" w:cstheme="minorHAnsi"/>
          <w:szCs w:val="24"/>
        </w:rPr>
        <w:t xml:space="preserve">issue is examined </w:t>
      </w:r>
      <w:r w:rsidR="00FE773D" w:rsidRPr="00FF2363">
        <w:rPr>
          <w:rFonts w:eastAsia="Times New Roman" w:cstheme="minorHAnsi"/>
          <w:szCs w:val="24"/>
        </w:rPr>
        <w:t>according to the consequence-based approach.</w:t>
      </w:r>
    </w:p>
    <w:p w:rsidR="00D52EA3" w:rsidRPr="00FF2363" w:rsidRDefault="00BF532A" w:rsidP="00FF2363">
      <w:pPr>
        <w:pStyle w:val="ECHRPara"/>
        <w:rPr>
          <w:rFonts w:eastAsia="Times New Roman" w:cstheme="minorHAnsi"/>
          <w:szCs w:val="24"/>
        </w:rPr>
      </w:pPr>
      <w:r w:rsidRPr="00FF2363">
        <w:rPr>
          <w:rFonts w:eastAsia="Times New Roman" w:cstheme="minorHAnsi"/>
          <w:szCs w:val="24"/>
        </w:rPr>
        <w:fldChar w:fldCharType="begin"/>
      </w:r>
      <w:r w:rsidRPr="00FF2363">
        <w:rPr>
          <w:rFonts w:eastAsia="Times New Roman" w:cstheme="minorHAnsi"/>
          <w:szCs w:val="24"/>
        </w:rPr>
        <w:instrText xml:space="preserve"> SEQ level0 \*arabic </w:instrText>
      </w:r>
      <w:r w:rsidRPr="00FF2363">
        <w:rPr>
          <w:rFonts w:eastAsia="Times New Roman" w:cstheme="minorHAnsi"/>
          <w:szCs w:val="24"/>
        </w:rPr>
        <w:fldChar w:fldCharType="separate"/>
      </w:r>
      <w:r w:rsidR="00FF2363" w:rsidRPr="00FF2363">
        <w:rPr>
          <w:rFonts w:eastAsia="Times New Roman" w:cstheme="minorHAnsi"/>
          <w:noProof/>
          <w:szCs w:val="24"/>
        </w:rPr>
        <w:t>114</w:t>
      </w:r>
      <w:r w:rsidRPr="00FF2363">
        <w:rPr>
          <w:rFonts w:eastAsia="Times New Roman" w:cstheme="minorHAnsi"/>
          <w:szCs w:val="24"/>
        </w:rPr>
        <w:fldChar w:fldCharType="end"/>
      </w:r>
      <w:r w:rsidRPr="00FF2363">
        <w:rPr>
          <w:rFonts w:eastAsia="Times New Roman" w:cstheme="minorHAnsi"/>
          <w:szCs w:val="24"/>
        </w:rPr>
        <w:t>.  </w:t>
      </w:r>
      <w:r w:rsidR="00E3081C" w:rsidRPr="00FF2363">
        <w:rPr>
          <w:rFonts w:eastAsia="Times New Roman" w:cstheme="minorHAnsi"/>
          <w:szCs w:val="24"/>
        </w:rPr>
        <w:t>It is thus an intrinsic feature of the consequence</w:t>
      </w:r>
      <w:r w:rsidR="00F96AD2" w:rsidRPr="00FF2363">
        <w:rPr>
          <w:rFonts w:eastAsia="Times New Roman" w:cstheme="minorHAnsi"/>
          <w:szCs w:val="24"/>
        </w:rPr>
        <w:t>-</w:t>
      </w:r>
      <w:r w:rsidR="00E3081C" w:rsidRPr="00FF2363">
        <w:rPr>
          <w:rFonts w:eastAsia="Times New Roman" w:cstheme="minorHAnsi"/>
          <w:szCs w:val="24"/>
        </w:rPr>
        <w:t xml:space="preserve">based approach within Article 8 </w:t>
      </w:r>
      <w:r w:rsidR="0044037F" w:rsidRPr="00FF2363">
        <w:rPr>
          <w:rFonts w:eastAsia="Times New Roman" w:cstheme="minorHAnsi"/>
          <w:szCs w:val="24"/>
        </w:rPr>
        <w:t xml:space="preserve">that </w:t>
      </w:r>
      <w:r w:rsidR="00B7242D" w:rsidRPr="00FF2363">
        <w:rPr>
          <w:rFonts w:eastAsia="Times New Roman" w:cstheme="minorHAnsi"/>
          <w:szCs w:val="24"/>
        </w:rPr>
        <w:t xml:space="preserve">convincing </w:t>
      </w:r>
      <w:r w:rsidR="000F5FFA" w:rsidRPr="00FF2363">
        <w:rPr>
          <w:rFonts w:eastAsia="Times New Roman" w:cstheme="minorHAnsi"/>
          <w:szCs w:val="24"/>
        </w:rPr>
        <w:t>evidence</w:t>
      </w:r>
      <w:r w:rsidR="00AB693D" w:rsidRPr="00FF2363">
        <w:rPr>
          <w:rFonts w:eastAsia="Times New Roman" w:cstheme="minorHAnsi"/>
          <w:szCs w:val="24"/>
        </w:rPr>
        <w:t xml:space="preserve"> </w:t>
      </w:r>
      <w:r w:rsidRPr="00FF2363">
        <w:rPr>
          <w:rFonts w:eastAsia="Times New Roman" w:cstheme="minorHAnsi"/>
          <w:szCs w:val="24"/>
        </w:rPr>
        <w:t>showing that</w:t>
      </w:r>
      <w:r w:rsidR="00AB693D" w:rsidRPr="00FF2363">
        <w:rPr>
          <w:rFonts w:eastAsia="Times New Roman" w:cstheme="minorHAnsi"/>
          <w:szCs w:val="24"/>
        </w:rPr>
        <w:t xml:space="preserve"> the threshold of severity </w:t>
      </w:r>
      <w:r w:rsidRPr="00FF2363">
        <w:rPr>
          <w:rFonts w:eastAsia="Times New Roman" w:cstheme="minorHAnsi"/>
          <w:szCs w:val="24"/>
        </w:rPr>
        <w:t xml:space="preserve">was attained </w:t>
      </w:r>
      <w:r w:rsidR="00AB693D" w:rsidRPr="00FF2363">
        <w:rPr>
          <w:rFonts w:eastAsia="Times New Roman" w:cstheme="minorHAnsi"/>
          <w:szCs w:val="24"/>
        </w:rPr>
        <w:t>ha</w:t>
      </w:r>
      <w:r w:rsidR="000F5FFA" w:rsidRPr="00FF2363">
        <w:rPr>
          <w:rFonts w:eastAsia="Times New Roman" w:cstheme="minorHAnsi"/>
          <w:szCs w:val="24"/>
        </w:rPr>
        <w:t>s</w:t>
      </w:r>
      <w:r w:rsidR="00AB693D" w:rsidRPr="00FF2363">
        <w:rPr>
          <w:rFonts w:eastAsia="Times New Roman" w:cstheme="minorHAnsi"/>
          <w:szCs w:val="24"/>
        </w:rPr>
        <w:t xml:space="preserve"> to be submitted by the applicant. </w:t>
      </w:r>
      <w:r w:rsidR="00A212FF" w:rsidRPr="00FF2363">
        <w:rPr>
          <w:rFonts w:eastAsia="Times New Roman" w:cstheme="minorHAnsi"/>
          <w:szCs w:val="24"/>
        </w:rPr>
        <w:t>As t</w:t>
      </w:r>
      <w:r w:rsidR="00673BD4" w:rsidRPr="00FF2363">
        <w:rPr>
          <w:rFonts w:eastAsia="Times New Roman" w:cstheme="minorHAnsi"/>
          <w:szCs w:val="24"/>
        </w:rPr>
        <w:t xml:space="preserve">he Grand Chamber has </w:t>
      </w:r>
      <w:r w:rsidR="00285F09" w:rsidRPr="00FF2363">
        <w:rPr>
          <w:rFonts w:eastAsia="Times New Roman" w:cstheme="minorHAnsi"/>
          <w:szCs w:val="24"/>
        </w:rPr>
        <w:t>held</w:t>
      </w:r>
      <w:r w:rsidR="00A212FF" w:rsidRPr="00FF2363">
        <w:rPr>
          <w:rFonts w:eastAsia="Times New Roman" w:cstheme="minorHAnsi"/>
          <w:szCs w:val="24"/>
        </w:rPr>
        <w:t xml:space="preserve">, </w:t>
      </w:r>
      <w:r w:rsidR="00FF2A36" w:rsidRPr="00FF2363">
        <w:rPr>
          <w:rFonts w:eastAsia="Times New Roman" w:cstheme="minorHAnsi"/>
          <w:szCs w:val="24"/>
        </w:rPr>
        <w:t>applicant</w:t>
      </w:r>
      <w:r w:rsidR="00285F09" w:rsidRPr="00FF2363">
        <w:rPr>
          <w:rFonts w:eastAsia="Times New Roman" w:cstheme="minorHAnsi"/>
          <w:szCs w:val="24"/>
        </w:rPr>
        <w:t>s</w:t>
      </w:r>
      <w:r w:rsidR="000E1ED4" w:rsidRPr="00FF2363">
        <w:rPr>
          <w:rFonts w:eastAsia="Times New Roman" w:cstheme="minorHAnsi"/>
          <w:szCs w:val="24"/>
        </w:rPr>
        <w:t xml:space="preserve"> </w:t>
      </w:r>
      <w:r w:rsidR="00285F09" w:rsidRPr="00FF2363">
        <w:rPr>
          <w:rFonts w:eastAsia="Times New Roman" w:cstheme="minorHAnsi"/>
          <w:szCs w:val="24"/>
        </w:rPr>
        <w:t xml:space="preserve">are </w:t>
      </w:r>
      <w:r w:rsidR="000E1ED4" w:rsidRPr="00FF2363">
        <w:rPr>
          <w:rFonts w:eastAsia="Times New Roman" w:cstheme="minorHAnsi"/>
          <w:szCs w:val="24"/>
        </w:rPr>
        <w:t xml:space="preserve">obliged </w:t>
      </w:r>
      <w:r w:rsidR="00FF2A36" w:rsidRPr="00FF2363">
        <w:rPr>
          <w:rFonts w:eastAsia="Times New Roman" w:cstheme="minorHAnsi"/>
          <w:szCs w:val="24"/>
        </w:rPr>
        <w:t xml:space="preserve">to identify and explain the concrete repercussions on </w:t>
      </w:r>
      <w:r w:rsidR="00285F09" w:rsidRPr="00FF2363">
        <w:rPr>
          <w:rFonts w:eastAsia="Times New Roman" w:cstheme="minorHAnsi"/>
          <w:szCs w:val="24"/>
        </w:rPr>
        <w:t xml:space="preserve">their </w:t>
      </w:r>
      <w:r w:rsidR="00FF2A36" w:rsidRPr="00FF2363">
        <w:rPr>
          <w:rFonts w:eastAsia="Times New Roman" w:cstheme="minorHAnsi"/>
          <w:szCs w:val="24"/>
        </w:rPr>
        <w:t xml:space="preserve">private life and the nature and extent of </w:t>
      </w:r>
      <w:r w:rsidR="00285F09" w:rsidRPr="00FF2363">
        <w:rPr>
          <w:rFonts w:eastAsia="Times New Roman" w:cstheme="minorHAnsi"/>
          <w:szCs w:val="24"/>
        </w:rPr>
        <w:t xml:space="preserve">their </w:t>
      </w:r>
      <w:r w:rsidR="00FF2A36" w:rsidRPr="00FF2363">
        <w:rPr>
          <w:rFonts w:eastAsia="Times New Roman" w:cstheme="minorHAnsi"/>
          <w:szCs w:val="24"/>
        </w:rPr>
        <w:t xml:space="preserve">suffering, and to </w:t>
      </w:r>
      <w:r w:rsidR="00FF2A36" w:rsidRPr="00FF2363">
        <w:rPr>
          <w:rFonts w:eastAsia="Times New Roman" w:cstheme="minorHAnsi"/>
          <w:iCs/>
          <w:szCs w:val="24"/>
        </w:rPr>
        <w:t>substantiate</w:t>
      </w:r>
      <w:r w:rsidR="00FF2A36" w:rsidRPr="00FF2363">
        <w:rPr>
          <w:rFonts w:eastAsia="Times New Roman" w:cstheme="minorHAnsi"/>
          <w:szCs w:val="24"/>
        </w:rPr>
        <w:t xml:space="preserve"> such allegations in a proper way (see </w:t>
      </w:r>
      <w:r w:rsidR="00FF2A36" w:rsidRPr="00FF2363">
        <w:rPr>
          <w:rFonts w:eastAsia="Times New Roman" w:cstheme="minorHAnsi"/>
          <w:i/>
          <w:iCs/>
          <w:szCs w:val="24"/>
        </w:rPr>
        <w:t>Gillberg</w:t>
      </w:r>
      <w:r w:rsidR="00FF2A36" w:rsidRPr="00FF2363">
        <w:rPr>
          <w:rFonts w:eastAsia="Times New Roman" w:cstheme="minorHAnsi"/>
          <w:szCs w:val="24"/>
        </w:rPr>
        <w:t xml:space="preserve">, cited above, §§ 70-73). </w:t>
      </w:r>
      <w:r w:rsidR="00574BEA" w:rsidRPr="00FF2363">
        <w:rPr>
          <w:rFonts w:eastAsia="Times New Roman" w:cstheme="minorHAnsi"/>
          <w:szCs w:val="24"/>
        </w:rPr>
        <w:t>A</w:t>
      </w:r>
      <w:r w:rsidR="00AD0004" w:rsidRPr="00FF2363">
        <w:rPr>
          <w:rFonts w:eastAsia="Times New Roman" w:cstheme="minorHAnsi"/>
          <w:szCs w:val="24"/>
        </w:rPr>
        <w:t>ccord</w:t>
      </w:r>
      <w:r w:rsidR="00574BEA" w:rsidRPr="00FF2363">
        <w:rPr>
          <w:rFonts w:eastAsia="Times New Roman" w:cstheme="minorHAnsi"/>
          <w:szCs w:val="24"/>
        </w:rPr>
        <w:t>ing to</w:t>
      </w:r>
      <w:r w:rsidR="00E3081C" w:rsidRPr="00FF2363">
        <w:rPr>
          <w:rFonts w:eastAsia="Times New Roman" w:cstheme="minorHAnsi"/>
          <w:szCs w:val="24"/>
        </w:rPr>
        <w:t xml:space="preserve"> </w:t>
      </w:r>
      <w:r w:rsidR="00AD0004" w:rsidRPr="00FF2363">
        <w:rPr>
          <w:rFonts w:eastAsia="Times New Roman" w:cstheme="minorHAnsi"/>
          <w:szCs w:val="24"/>
        </w:rPr>
        <w:t>the</w:t>
      </w:r>
      <w:r w:rsidR="00E3081C" w:rsidRPr="00FF2363">
        <w:rPr>
          <w:rFonts w:eastAsia="Times New Roman" w:cstheme="minorHAnsi"/>
          <w:szCs w:val="24"/>
        </w:rPr>
        <w:t xml:space="preserve"> </w:t>
      </w:r>
      <w:r w:rsidR="00AD0004" w:rsidRPr="00FF2363">
        <w:rPr>
          <w:rFonts w:eastAsia="Times New Roman" w:cstheme="minorHAnsi"/>
          <w:szCs w:val="24"/>
        </w:rPr>
        <w:t xml:space="preserve">requirement of </w:t>
      </w:r>
      <w:r w:rsidR="00E3081C" w:rsidRPr="00FF2363">
        <w:rPr>
          <w:rFonts w:eastAsia="Times New Roman" w:cstheme="minorHAnsi"/>
          <w:szCs w:val="24"/>
        </w:rPr>
        <w:t>exhaustion of domestic remedies</w:t>
      </w:r>
      <w:r w:rsidR="00AD0004" w:rsidRPr="00FF2363">
        <w:rPr>
          <w:rFonts w:eastAsia="Times New Roman" w:cstheme="minorHAnsi"/>
          <w:szCs w:val="24"/>
        </w:rPr>
        <w:t xml:space="preserve">, </w:t>
      </w:r>
      <w:r w:rsidR="009923A7" w:rsidRPr="00FF2363">
        <w:rPr>
          <w:rFonts w:eastAsia="Times New Roman" w:cstheme="minorHAnsi"/>
          <w:szCs w:val="24"/>
        </w:rPr>
        <w:t xml:space="preserve">such allegations </w:t>
      </w:r>
      <w:r w:rsidR="00AD0004" w:rsidRPr="00FF2363">
        <w:rPr>
          <w:rFonts w:eastAsia="Times New Roman" w:cstheme="minorHAnsi"/>
          <w:szCs w:val="24"/>
        </w:rPr>
        <w:t xml:space="preserve">have to be sufficiently raised </w:t>
      </w:r>
      <w:r w:rsidR="009923A7" w:rsidRPr="00FF2363">
        <w:rPr>
          <w:rFonts w:eastAsia="Times New Roman" w:cstheme="minorHAnsi"/>
          <w:szCs w:val="24"/>
        </w:rPr>
        <w:t xml:space="preserve">at </w:t>
      </w:r>
      <w:r w:rsidR="00AD0004" w:rsidRPr="00FF2363">
        <w:rPr>
          <w:rFonts w:eastAsia="Times New Roman" w:cstheme="minorHAnsi"/>
          <w:szCs w:val="24"/>
        </w:rPr>
        <w:t xml:space="preserve">the domestic </w:t>
      </w:r>
      <w:r w:rsidR="009923A7" w:rsidRPr="00FF2363">
        <w:rPr>
          <w:rFonts w:eastAsia="Times New Roman" w:cstheme="minorHAnsi"/>
          <w:szCs w:val="24"/>
        </w:rPr>
        <w:t>level</w:t>
      </w:r>
      <w:r w:rsidR="00E3081C" w:rsidRPr="00FF2363">
        <w:rPr>
          <w:rFonts w:eastAsia="Times New Roman" w:cstheme="minorHAnsi"/>
          <w:szCs w:val="24"/>
        </w:rPr>
        <w:t>.</w:t>
      </w:r>
    </w:p>
    <w:p w:rsidR="00BE3C3B" w:rsidRPr="00FF2363" w:rsidRDefault="00BE3C3B" w:rsidP="00FF2363">
      <w:pPr>
        <w:pStyle w:val="ECHRHeading5"/>
        <w:rPr>
          <w:rFonts w:eastAsia="Times New Roman"/>
        </w:rPr>
      </w:pPr>
      <w:r w:rsidRPr="00FF2363">
        <w:rPr>
          <w:rFonts w:eastAsia="Times New Roman"/>
        </w:rPr>
        <w:t>(v)</w:t>
      </w:r>
      <w:r w:rsidR="00DF113A" w:rsidRPr="00FF2363">
        <w:rPr>
          <w:rFonts w:eastAsia="Times New Roman"/>
        </w:rPr>
        <w:t>  </w:t>
      </w:r>
      <w:r w:rsidR="00E3081C" w:rsidRPr="00FF2363">
        <w:rPr>
          <w:rFonts w:eastAsia="Times New Roman"/>
        </w:rPr>
        <w:t>Conclusions</w:t>
      </w:r>
      <w:r w:rsidR="00C01B8E" w:rsidRPr="00FF2363">
        <w:rPr>
          <w:rFonts w:eastAsia="Times New Roman"/>
        </w:rPr>
        <w:t>:</w:t>
      </w:r>
      <w:r w:rsidR="00985EAA" w:rsidRPr="00FF2363">
        <w:rPr>
          <w:rFonts w:eastAsia="Times New Roman"/>
        </w:rPr>
        <w:t xml:space="preserve"> </w:t>
      </w:r>
      <w:r w:rsidR="00C01B8E" w:rsidRPr="00FF2363">
        <w:rPr>
          <w:rFonts w:eastAsia="Times New Roman"/>
        </w:rPr>
        <w:t>t</w:t>
      </w:r>
      <w:r w:rsidR="00A62249" w:rsidRPr="00FF2363">
        <w:rPr>
          <w:rFonts w:eastAsia="Times New Roman"/>
        </w:rPr>
        <w:t xml:space="preserve">he </w:t>
      </w:r>
      <w:r w:rsidR="00AD0004" w:rsidRPr="00FF2363">
        <w:rPr>
          <w:rFonts w:eastAsia="Times New Roman"/>
        </w:rPr>
        <w:t>scope</w:t>
      </w:r>
      <w:r w:rsidR="00A62249" w:rsidRPr="00FF2363">
        <w:rPr>
          <w:rFonts w:eastAsia="Times New Roman"/>
        </w:rPr>
        <w:t xml:space="preserve"> of Article 8 in employment-related </w:t>
      </w:r>
      <w:r w:rsidR="00AD0004" w:rsidRPr="00FF2363">
        <w:rPr>
          <w:rFonts w:eastAsia="Times New Roman"/>
        </w:rPr>
        <w:t>dispute</w:t>
      </w:r>
      <w:r w:rsidR="00A62249" w:rsidRPr="00FF2363">
        <w:rPr>
          <w:rFonts w:eastAsia="Times New Roman"/>
        </w:rPr>
        <w:t>s</w:t>
      </w:r>
    </w:p>
    <w:p w:rsidR="00F93E81" w:rsidRPr="00FF2363" w:rsidRDefault="00BE3C3B"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115</w:t>
      </w:r>
      <w:r w:rsidRPr="00FF2363">
        <w:fldChar w:fldCharType="end"/>
      </w:r>
      <w:r w:rsidRPr="00FF2363">
        <w:t>.  </w:t>
      </w:r>
      <w:r w:rsidR="001450D2" w:rsidRPr="00FF2363">
        <w:t>T</w:t>
      </w:r>
      <w:r w:rsidR="00C66B5D" w:rsidRPr="00FF2363">
        <w:t xml:space="preserve">he </w:t>
      </w:r>
      <w:r w:rsidR="00300734" w:rsidRPr="00FF2363">
        <w:t xml:space="preserve">Court concludes from the </w:t>
      </w:r>
      <w:r w:rsidR="00C66B5D" w:rsidRPr="00FF2363">
        <w:t>above case-law</w:t>
      </w:r>
      <w:r w:rsidR="00556B57" w:rsidRPr="00FF2363">
        <w:t xml:space="preserve"> </w:t>
      </w:r>
      <w:r w:rsidR="00C66B5D" w:rsidRPr="00FF2363">
        <w:t xml:space="preserve">that </w:t>
      </w:r>
      <w:r w:rsidR="000F5FFA" w:rsidRPr="00FF2363">
        <w:t>employment</w:t>
      </w:r>
      <w:r w:rsidR="006C6552" w:rsidRPr="00FF2363">
        <w:t>-</w:t>
      </w:r>
      <w:r w:rsidR="000F5FFA" w:rsidRPr="00FF2363">
        <w:t xml:space="preserve">related disputes are not </w:t>
      </w:r>
      <w:r w:rsidR="000F5FFA" w:rsidRPr="00FF2363">
        <w:rPr>
          <w:i/>
        </w:rPr>
        <w:t>per se</w:t>
      </w:r>
      <w:r w:rsidR="000F5FFA" w:rsidRPr="00FF2363">
        <w:t xml:space="preserve"> excluded from the scope of “private life” </w:t>
      </w:r>
      <w:r w:rsidR="006C6552" w:rsidRPr="00FF2363">
        <w:t>with</w:t>
      </w:r>
      <w:r w:rsidR="000F5FFA" w:rsidRPr="00FF2363">
        <w:t>in the meaning of Article 8 of the Convention. T</w:t>
      </w:r>
      <w:r w:rsidR="00300734" w:rsidRPr="00FF2363">
        <w:t xml:space="preserve">here are some </w:t>
      </w:r>
      <w:r w:rsidRPr="00FF2363">
        <w:t>typical aspects of private life which may be affected</w:t>
      </w:r>
      <w:r w:rsidR="00300734" w:rsidRPr="00FF2363">
        <w:t xml:space="preserve"> </w:t>
      </w:r>
      <w:r w:rsidR="003004FB" w:rsidRPr="00FF2363">
        <w:t xml:space="preserve">in such </w:t>
      </w:r>
      <w:r w:rsidR="00300734" w:rsidRPr="00FF2363">
        <w:t>dispute</w:t>
      </w:r>
      <w:r w:rsidR="006C6552" w:rsidRPr="00FF2363">
        <w:t>s</w:t>
      </w:r>
      <w:r w:rsidRPr="00FF2363">
        <w:t xml:space="preserve"> by dismissal, demotion</w:t>
      </w:r>
      <w:r w:rsidR="00C66B5D" w:rsidRPr="00FF2363">
        <w:t>,</w:t>
      </w:r>
      <w:r w:rsidRPr="00FF2363">
        <w:t xml:space="preserve"> </w:t>
      </w:r>
      <w:r w:rsidR="00C66B5D" w:rsidRPr="00FF2363">
        <w:t xml:space="preserve">non-admission to </w:t>
      </w:r>
      <w:r w:rsidR="006C6552" w:rsidRPr="00FF2363">
        <w:t xml:space="preserve">a </w:t>
      </w:r>
      <w:r w:rsidR="00C66B5D" w:rsidRPr="00FF2363">
        <w:t xml:space="preserve">profession or </w:t>
      </w:r>
      <w:r w:rsidRPr="00FF2363">
        <w:t>other similar</w:t>
      </w:r>
      <w:r w:rsidR="006C6552" w:rsidRPr="00FF2363">
        <w:t>ly</w:t>
      </w:r>
      <w:r w:rsidRPr="00FF2363">
        <w:t xml:space="preserve"> unfavourable measure</w:t>
      </w:r>
      <w:r w:rsidR="006C6552" w:rsidRPr="00FF2363">
        <w:t>s</w:t>
      </w:r>
      <w:r w:rsidR="00300734" w:rsidRPr="00FF2363">
        <w:t>. The</w:t>
      </w:r>
      <w:r w:rsidR="000F5FFA" w:rsidRPr="00FF2363">
        <w:t>se aspects</w:t>
      </w:r>
      <w:r w:rsidRPr="00FF2363">
        <w:t xml:space="preserve"> include </w:t>
      </w:r>
      <w:r w:rsidR="001450D2" w:rsidRPr="00FF2363">
        <w:t xml:space="preserve">(i) </w:t>
      </w:r>
      <w:r w:rsidRPr="00FF2363">
        <w:t xml:space="preserve">the </w:t>
      </w:r>
      <w:r w:rsidR="00300734" w:rsidRPr="00FF2363">
        <w:t>applicant</w:t>
      </w:r>
      <w:r w:rsidR="00FF2363" w:rsidRPr="00FF2363">
        <w:t>’</w:t>
      </w:r>
      <w:r w:rsidR="00300734" w:rsidRPr="00FF2363">
        <w:t xml:space="preserve">s </w:t>
      </w:r>
      <w:r w:rsidRPr="00FF2363">
        <w:t xml:space="preserve">“inner circle”, </w:t>
      </w:r>
      <w:r w:rsidR="001450D2" w:rsidRPr="00FF2363">
        <w:t xml:space="preserve">(ii) </w:t>
      </w:r>
      <w:r w:rsidR="006C6552" w:rsidRPr="00FF2363">
        <w:t>the applicant</w:t>
      </w:r>
      <w:r w:rsidR="00FF2363" w:rsidRPr="00FF2363">
        <w:t>’</w:t>
      </w:r>
      <w:r w:rsidR="006C6552" w:rsidRPr="00FF2363">
        <w:t xml:space="preserve">s </w:t>
      </w:r>
      <w:r w:rsidRPr="00FF2363">
        <w:t xml:space="preserve">opportunity to establish and develop relationships with others, and </w:t>
      </w:r>
      <w:r w:rsidR="001450D2" w:rsidRPr="00FF2363">
        <w:t xml:space="preserve">(iii) </w:t>
      </w:r>
      <w:r w:rsidR="006C6552" w:rsidRPr="00FF2363">
        <w:t>the applicant</w:t>
      </w:r>
      <w:r w:rsidR="00FF2363" w:rsidRPr="00FF2363">
        <w:t>’</w:t>
      </w:r>
      <w:r w:rsidR="006C6552" w:rsidRPr="00FF2363">
        <w:t xml:space="preserve">s </w:t>
      </w:r>
      <w:r w:rsidR="00705110" w:rsidRPr="00FF2363">
        <w:t>social and professional</w:t>
      </w:r>
      <w:r w:rsidRPr="00FF2363">
        <w:t xml:space="preserve"> reputation. There are two ways in which a private-life issue </w:t>
      </w:r>
      <w:r w:rsidR="001450D2" w:rsidRPr="00FF2363">
        <w:t>would usually</w:t>
      </w:r>
      <w:r w:rsidRPr="00FF2363">
        <w:t xml:space="preserve"> arise in such a dispute: either because of the underlying reasons for the impugned measure (</w:t>
      </w:r>
      <w:r w:rsidR="009B7A0B" w:rsidRPr="00FF2363">
        <w:t xml:space="preserve">in that event the Court employs </w:t>
      </w:r>
      <w:r w:rsidRPr="00FF2363">
        <w:t xml:space="preserve">the reason-based approach) or </w:t>
      </w:r>
      <w:r w:rsidR="000F5FFA" w:rsidRPr="00FF2363">
        <w:t>– in certain cases –</w:t>
      </w:r>
      <w:r w:rsidR="003004FB" w:rsidRPr="00FF2363">
        <w:t xml:space="preserve"> </w:t>
      </w:r>
      <w:r w:rsidRPr="00FF2363">
        <w:t>because of the consequences for private life (</w:t>
      </w:r>
      <w:r w:rsidR="009B7A0B" w:rsidRPr="00FF2363">
        <w:t xml:space="preserve">in that event </w:t>
      </w:r>
      <w:r w:rsidRPr="00FF2363">
        <w:t>the</w:t>
      </w:r>
      <w:r w:rsidR="00C66B5D" w:rsidRPr="00FF2363">
        <w:t xml:space="preserve"> Court</w:t>
      </w:r>
      <w:r w:rsidRPr="00FF2363">
        <w:t xml:space="preserve"> </w:t>
      </w:r>
      <w:r w:rsidR="009B7A0B" w:rsidRPr="00FF2363">
        <w:t xml:space="preserve">employs the </w:t>
      </w:r>
      <w:r w:rsidRPr="00FF2363">
        <w:t>consequence-based approach).</w:t>
      </w:r>
    </w:p>
    <w:p w:rsidR="00D52EA3" w:rsidRPr="00FF2363" w:rsidRDefault="001450D2"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116</w:t>
      </w:r>
      <w:r w:rsidRPr="00FF2363">
        <w:fldChar w:fldCharType="end"/>
      </w:r>
      <w:r w:rsidRPr="00FF2363">
        <w:t>.  </w:t>
      </w:r>
      <w:r w:rsidR="00705110" w:rsidRPr="00FF2363">
        <w:t xml:space="preserve">If the consequence-based approach is at stake, the threshold of severity with respect to all </w:t>
      </w:r>
      <w:r w:rsidR="006C6552" w:rsidRPr="00FF2363">
        <w:t xml:space="preserve">the </w:t>
      </w:r>
      <w:r w:rsidR="00705110" w:rsidRPr="00FF2363">
        <w:t>above</w:t>
      </w:r>
      <w:r w:rsidR="006C6552" w:rsidRPr="00FF2363">
        <w:t>-</w:t>
      </w:r>
      <w:r w:rsidR="00705110" w:rsidRPr="00FF2363">
        <w:t xml:space="preserve">mentioned aspects </w:t>
      </w:r>
      <w:r w:rsidR="006C6552" w:rsidRPr="00FF2363">
        <w:t xml:space="preserve">assumes </w:t>
      </w:r>
      <w:r w:rsidR="00705110" w:rsidRPr="00FF2363">
        <w:t xml:space="preserve">crucial importance. It is for the applicant to show convincingly </w:t>
      </w:r>
      <w:r w:rsidR="00E90239" w:rsidRPr="00FF2363">
        <w:t xml:space="preserve">that </w:t>
      </w:r>
      <w:r w:rsidR="00705110" w:rsidRPr="00FF2363">
        <w:t xml:space="preserve">the threshold </w:t>
      </w:r>
      <w:r w:rsidR="00BF532A" w:rsidRPr="00FF2363">
        <w:t xml:space="preserve">was attained </w:t>
      </w:r>
      <w:r w:rsidR="008A1FF4" w:rsidRPr="00FF2363">
        <w:t xml:space="preserve">in </w:t>
      </w:r>
      <w:r w:rsidR="00705110" w:rsidRPr="00FF2363">
        <w:t xml:space="preserve">his </w:t>
      </w:r>
      <w:r w:rsidR="00B32100" w:rsidRPr="00FF2363">
        <w:t xml:space="preserve">or her </w:t>
      </w:r>
      <w:r w:rsidR="00705110" w:rsidRPr="00FF2363">
        <w:t>case</w:t>
      </w:r>
      <w:r w:rsidR="002175D3" w:rsidRPr="00FF2363">
        <w:t xml:space="preserve">. </w:t>
      </w:r>
      <w:r w:rsidR="00676FD3" w:rsidRPr="00FF2363">
        <w:t>The applicant</w:t>
      </w:r>
      <w:r w:rsidR="002175D3" w:rsidRPr="00FF2363">
        <w:t xml:space="preserve"> has to present evidence</w:t>
      </w:r>
      <w:r w:rsidR="00D24CE1" w:rsidRPr="00FF2363">
        <w:t xml:space="preserve"> substantiat</w:t>
      </w:r>
      <w:r w:rsidR="00A62249" w:rsidRPr="00FF2363">
        <w:t>ing</w:t>
      </w:r>
      <w:r w:rsidR="00D24CE1" w:rsidRPr="00FF2363">
        <w:t xml:space="preserve"> consequences of the impugned measure</w:t>
      </w:r>
      <w:r w:rsidR="002175D3" w:rsidRPr="00FF2363">
        <w:t xml:space="preserve">. The Court will only </w:t>
      </w:r>
      <w:r w:rsidR="002175D3" w:rsidRPr="00FF2363">
        <w:lastRenderedPageBreak/>
        <w:t>accept that Article 8 is applicable where these consequences</w:t>
      </w:r>
      <w:r w:rsidR="00D24CE1" w:rsidRPr="00FF2363">
        <w:t xml:space="preserve"> are very serious and affect his or her private life to a very significant degree.</w:t>
      </w:r>
    </w:p>
    <w:p w:rsidR="00835569" w:rsidRPr="00FF2363" w:rsidRDefault="00BF532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117</w:t>
      </w:r>
      <w:r w:rsidRPr="00FF2363">
        <w:fldChar w:fldCharType="end"/>
      </w:r>
      <w:r w:rsidRPr="00FF2363">
        <w:t>.  </w:t>
      </w:r>
      <w:r w:rsidR="003004FB" w:rsidRPr="00FF2363">
        <w:t xml:space="preserve">The Court has </w:t>
      </w:r>
      <w:r w:rsidR="00915BAC" w:rsidRPr="00FF2363">
        <w:t xml:space="preserve">established </w:t>
      </w:r>
      <w:r w:rsidR="003004FB" w:rsidRPr="00FF2363">
        <w:t xml:space="preserve">criteria for assessing the severity or seriousness of alleged violations in different </w:t>
      </w:r>
      <w:r w:rsidR="003E095E" w:rsidRPr="00FF2363">
        <w:t xml:space="preserve">regulatory </w:t>
      </w:r>
      <w:r w:rsidR="003004FB" w:rsidRPr="00FF2363">
        <w:t xml:space="preserve">contexts. </w:t>
      </w:r>
      <w:r w:rsidR="00943262" w:rsidRPr="00FF2363">
        <w:t xml:space="preserve">An </w:t>
      </w:r>
      <w:r w:rsidR="003E095E" w:rsidRPr="00FF2363">
        <w:t>applicant</w:t>
      </w:r>
      <w:r w:rsidR="00FF2363" w:rsidRPr="00FF2363">
        <w:t>’</w:t>
      </w:r>
      <w:r w:rsidR="003E095E" w:rsidRPr="00FF2363">
        <w:t xml:space="preserve">s suffering </w:t>
      </w:r>
      <w:r w:rsidR="00E31216" w:rsidRPr="00FF2363">
        <w:t>is to</w:t>
      </w:r>
      <w:r w:rsidR="00F509DB" w:rsidRPr="00FF2363">
        <w:t xml:space="preserve"> </w:t>
      </w:r>
      <w:r w:rsidR="003E095E" w:rsidRPr="00FF2363">
        <w:t>be assessed by compari</w:t>
      </w:r>
      <w:r w:rsidR="00943262" w:rsidRPr="00FF2363">
        <w:t>ng</w:t>
      </w:r>
      <w:r w:rsidR="003E095E" w:rsidRPr="00FF2363">
        <w:t xml:space="preserve"> his </w:t>
      </w:r>
      <w:r w:rsidR="00943262" w:rsidRPr="00FF2363">
        <w:t xml:space="preserve">or her </w:t>
      </w:r>
      <w:r w:rsidR="00F509DB" w:rsidRPr="00FF2363">
        <w:t xml:space="preserve">life before and after </w:t>
      </w:r>
      <w:r w:rsidR="00943262" w:rsidRPr="00FF2363">
        <w:t>the measure in question</w:t>
      </w:r>
      <w:r w:rsidR="00F509DB" w:rsidRPr="00FF2363">
        <w:t>.</w:t>
      </w:r>
      <w:r w:rsidR="002175D3" w:rsidRPr="00FF2363">
        <w:t xml:space="preserve"> The Court further considers that in determining the seriousness of the consequences in employment-related cases it is appropriate to assess the subjective perceptions claimed by the applicant against the background of the objective circumstances existing in the particular case. This analysis would have to cover both the material and the non-material impact of the alleged measure.</w:t>
      </w:r>
      <w:r w:rsidR="00D73EC9" w:rsidRPr="00FF2363">
        <w:t xml:space="preserve"> </w:t>
      </w:r>
      <w:r w:rsidR="00F509DB" w:rsidRPr="00FF2363">
        <w:t>However, i</w:t>
      </w:r>
      <w:r w:rsidR="00646F28" w:rsidRPr="00FF2363">
        <w:t>t</w:t>
      </w:r>
      <w:r w:rsidR="00BE3C3B" w:rsidRPr="00FF2363">
        <w:t xml:space="preserve"> remains for </w:t>
      </w:r>
      <w:r w:rsidR="00943262" w:rsidRPr="00FF2363">
        <w:t xml:space="preserve">the </w:t>
      </w:r>
      <w:r w:rsidR="00BE3C3B" w:rsidRPr="00FF2363">
        <w:t xml:space="preserve">applicant to define and substantiate the nature and extent of his </w:t>
      </w:r>
      <w:r w:rsidR="00943262" w:rsidRPr="00FF2363">
        <w:t xml:space="preserve">or her </w:t>
      </w:r>
      <w:r w:rsidR="00BE3C3B" w:rsidRPr="00FF2363">
        <w:t>suffering</w:t>
      </w:r>
      <w:r w:rsidR="00057ED6" w:rsidRPr="00FF2363">
        <w:t>,</w:t>
      </w:r>
      <w:r w:rsidR="00646F28" w:rsidRPr="00FF2363">
        <w:t xml:space="preserve"> </w:t>
      </w:r>
      <w:r w:rsidR="008A1FF4" w:rsidRPr="00FF2363">
        <w:t xml:space="preserve">which should </w:t>
      </w:r>
      <w:r w:rsidR="00696650" w:rsidRPr="00FF2363">
        <w:t>have a</w:t>
      </w:r>
      <w:r w:rsidR="008A1FF4" w:rsidRPr="00FF2363">
        <w:t xml:space="preserve"> causal connection with the impugned measure</w:t>
      </w:r>
      <w:r w:rsidR="00BE3C3B" w:rsidRPr="00FF2363">
        <w:t>.</w:t>
      </w:r>
      <w:r w:rsidR="002175D3" w:rsidRPr="00FF2363">
        <w:t xml:space="preserve"> Having regard to the rule of exhaustion of domestic remedies, the essential elements of such allegations must be sufficiently raised before the domestic authorities dealing with the matter.</w:t>
      </w:r>
    </w:p>
    <w:p w:rsidR="00BE3C3B" w:rsidRPr="00FF2363" w:rsidRDefault="00BE3C3B" w:rsidP="00FF2363">
      <w:pPr>
        <w:pStyle w:val="ECHRHeading4"/>
        <w:rPr>
          <w:rFonts w:eastAsia="Times New Roman"/>
        </w:rPr>
      </w:pPr>
      <w:r w:rsidRPr="00FF2363">
        <w:rPr>
          <w:rFonts w:eastAsia="Times New Roman"/>
        </w:rPr>
        <w:t>(</w:t>
      </w:r>
      <w:r w:rsidR="00382AFF" w:rsidRPr="00FF2363">
        <w:rPr>
          <w:rFonts w:eastAsia="Times New Roman"/>
        </w:rPr>
        <w:t>c</w:t>
      </w:r>
      <w:r w:rsidRPr="00FF2363">
        <w:rPr>
          <w:rFonts w:eastAsia="Times New Roman"/>
        </w:rPr>
        <w:t>)</w:t>
      </w:r>
      <w:r w:rsidR="00DF113A" w:rsidRPr="00FF2363">
        <w:rPr>
          <w:rFonts w:eastAsia="Times New Roman"/>
        </w:rPr>
        <w:t>  </w:t>
      </w:r>
      <w:r w:rsidRPr="00FF2363">
        <w:rPr>
          <w:rFonts w:eastAsia="Times New Roman"/>
        </w:rPr>
        <w:t>Application of the general principles to the present case</w:t>
      </w:r>
    </w:p>
    <w:p w:rsidR="00835569" w:rsidRPr="00FF2363" w:rsidRDefault="00BE3C3B"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118</w:t>
      </w:r>
      <w:r w:rsidRPr="00FF2363">
        <w:fldChar w:fldCharType="end"/>
      </w:r>
      <w:r w:rsidRPr="00FF2363">
        <w:t xml:space="preserve">.  In the present case the </w:t>
      </w:r>
      <w:r w:rsidR="00FF2A36" w:rsidRPr="00FF2363">
        <w:t>Court is required to answer the question whether the applicant</w:t>
      </w:r>
      <w:r w:rsidR="00FF2363" w:rsidRPr="00FF2363">
        <w:t>’</w:t>
      </w:r>
      <w:r w:rsidR="00FF2A36" w:rsidRPr="00FF2363">
        <w:t xml:space="preserve">s dismissal from </w:t>
      </w:r>
      <w:r w:rsidRPr="00FF2363">
        <w:t>the position of president of a court of appeal, without his removal from the post of judge,</w:t>
      </w:r>
      <w:r w:rsidR="00FF2A36" w:rsidRPr="00FF2363">
        <w:t xml:space="preserve"> </w:t>
      </w:r>
      <w:r w:rsidRPr="00FF2363">
        <w:t>affected his private life</w:t>
      </w:r>
      <w:r w:rsidR="00653906" w:rsidRPr="00FF2363">
        <w:t>, thus</w:t>
      </w:r>
      <w:r w:rsidR="00F003AA" w:rsidRPr="00FF2363">
        <w:t xml:space="preserve"> rendering Article 8 applicable</w:t>
      </w:r>
      <w:r w:rsidRPr="00FF2363">
        <w:t>.</w:t>
      </w:r>
    </w:p>
    <w:p w:rsidR="00835569" w:rsidRPr="00FF2363" w:rsidRDefault="00BF532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119</w:t>
      </w:r>
      <w:r w:rsidRPr="00FF2363">
        <w:fldChar w:fldCharType="end"/>
      </w:r>
      <w:r w:rsidRPr="00FF2363">
        <w:t>.  </w:t>
      </w:r>
      <w:r w:rsidR="00BE3C3B" w:rsidRPr="00FF2363">
        <w:t xml:space="preserve">The Court </w:t>
      </w:r>
      <w:r w:rsidR="009B7A0B" w:rsidRPr="00FF2363">
        <w:t xml:space="preserve">will </w:t>
      </w:r>
      <w:r w:rsidR="00A41D4A" w:rsidRPr="00FF2363">
        <w:t>first</w:t>
      </w:r>
      <w:r w:rsidR="00C66B5D" w:rsidRPr="00FF2363">
        <w:t xml:space="preserve"> </w:t>
      </w:r>
      <w:r w:rsidR="009B7A0B" w:rsidRPr="00FF2363">
        <w:t>examine</w:t>
      </w:r>
      <w:r w:rsidR="00BE3C3B" w:rsidRPr="00FF2363">
        <w:t xml:space="preserve"> </w:t>
      </w:r>
      <w:r w:rsidR="00653906" w:rsidRPr="00FF2363">
        <w:t xml:space="preserve">the way </w:t>
      </w:r>
      <w:r w:rsidR="00BE3C3B" w:rsidRPr="00FF2363">
        <w:t>in which a private</w:t>
      </w:r>
      <w:r w:rsidR="009B7A0B" w:rsidRPr="00FF2363">
        <w:t>-</w:t>
      </w:r>
      <w:r w:rsidR="00BE3C3B" w:rsidRPr="00FF2363">
        <w:t>life issue could arise in the present employment dispute</w:t>
      </w:r>
      <w:r w:rsidR="007A4E8C" w:rsidRPr="00FF2363">
        <w:t>:</w:t>
      </w:r>
      <w:r w:rsidR="00C66B5D" w:rsidRPr="00FF2363">
        <w:t xml:space="preserve"> </w:t>
      </w:r>
      <w:r w:rsidR="00653906" w:rsidRPr="00FF2363">
        <w:t>whether</w:t>
      </w:r>
      <w:r w:rsidR="00BE3C3B" w:rsidRPr="00FF2363">
        <w:t xml:space="preserve"> because of the underlying reasons for </w:t>
      </w:r>
      <w:r w:rsidR="00653906" w:rsidRPr="00FF2363">
        <w:t>the applicant</w:t>
      </w:r>
      <w:r w:rsidR="00FF2363" w:rsidRPr="00FF2363">
        <w:t>’</w:t>
      </w:r>
      <w:r w:rsidR="00653906" w:rsidRPr="00FF2363">
        <w:t xml:space="preserve">s </w:t>
      </w:r>
      <w:r w:rsidR="00BE3C3B" w:rsidRPr="00FF2363">
        <w:t>dismissal or because of the consequences for his private life.</w:t>
      </w:r>
    </w:p>
    <w:p w:rsidR="00BE3C3B"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120</w:t>
      </w:r>
      <w:r w:rsidRPr="00FF2363">
        <w:fldChar w:fldCharType="end"/>
      </w:r>
      <w:r w:rsidRPr="00FF2363">
        <w:t>.  The explicit reasons for the applicant</w:t>
      </w:r>
      <w:r w:rsidR="00FF2363" w:rsidRPr="00FF2363">
        <w:t>’</w:t>
      </w:r>
      <w:r w:rsidRPr="00FF2363">
        <w:t>s dismissal from the position of president of the Kyiv Administrative Court of Appeal were strictly limited to his performance in the public arena, namely his alleged managerial failings</w:t>
      </w:r>
      <w:r w:rsidR="00653906" w:rsidRPr="00FF2363">
        <w:t>,</w:t>
      </w:r>
      <w:r w:rsidRPr="00FF2363">
        <w:t xml:space="preserve"> which </w:t>
      </w:r>
      <w:r w:rsidR="00653906" w:rsidRPr="00FF2363">
        <w:t xml:space="preserve">were said to </w:t>
      </w:r>
      <w:r w:rsidRPr="00FF2363">
        <w:t>undermine the proper functioning of the court. Those reasons related only to the applicant</w:t>
      </w:r>
      <w:r w:rsidR="00FF2363" w:rsidRPr="00FF2363">
        <w:t>’</w:t>
      </w:r>
      <w:r w:rsidRPr="00FF2363">
        <w:t xml:space="preserve">s administrative tasks </w:t>
      </w:r>
      <w:r w:rsidR="00653906" w:rsidRPr="00FF2363">
        <w:t xml:space="preserve">in </w:t>
      </w:r>
      <w:r w:rsidR="00630263" w:rsidRPr="00FF2363">
        <w:t xml:space="preserve">the workplace </w:t>
      </w:r>
      <w:r w:rsidRPr="00FF2363">
        <w:t xml:space="preserve">and </w:t>
      </w:r>
      <w:r w:rsidR="00630263" w:rsidRPr="00FF2363">
        <w:t xml:space="preserve">had no connection </w:t>
      </w:r>
      <w:r w:rsidRPr="00FF2363">
        <w:t xml:space="preserve">to his private life. In the absence of any such issues in the reasons given for his dismissal, it has to be determined whether, according to the evidence and the substantiated allegations put forward by the applicant, the measure had serious negative consequences for the aspects constituting his “private life”, </w:t>
      </w:r>
      <w:r w:rsidR="008D213D" w:rsidRPr="00FF2363">
        <w:t>namely</w:t>
      </w:r>
      <w:r w:rsidRPr="00FF2363">
        <w:t xml:space="preserve"> (</w:t>
      </w:r>
      <w:r w:rsidR="00F003AA" w:rsidRPr="00FF2363">
        <w:t>i</w:t>
      </w:r>
      <w:r w:rsidRPr="00FF2363">
        <w:t>) his “inner circle”, (</w:t>
      </w:r>
      <w:r w:rsidR="00F003AA" w:rsidRPr="00FF2363">
        <w:t>ii</w:t>
      </w:r>
      <w:r w:rsidRPr="00FF2363">
        <w:t xml:space="preserve">) his opportunities to establish and develop relationships with others, </w:t>
      </w:r>
      <w:r w:rsidR="008D213D" w:rsidRPr="00FF2363">
        <w:t xml:space="preserve">or </w:t>
      </w:r>
      <w:r w:rsidRPr="00FF2363">
        <w:t>(</w:t>
      </w:r>
      <w:r w:rsidR="00F003AA" w:rsidRPr="00FF2363">
        <w:t>iii</w:t>
      </w:r>
      <w:r w:rsidRPr="00FF2363">
        <w:t>) his reputation.</w:t>
      </w:r>
    </w:p>
    <w:p w:rsidR="00BF532A" w:rsidRPr="00FF2363" w:rsidRDefault="00C66B5D"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121</w:t>
      </w:r>
      <w:r w:rsidRPr="00FF2363">
        <w:fldChar w:fldCharType="end"/>
      </w:r>
      <w:r w:rsidRPr="00FF2363">
        <w:t>. </w:t>
      </w:r>
      <w:r w:rsidR="0081710C" w:rsidRPr="00FF2363">
        <w:t>When it comes to the consequences of the applicant</w:t>
      </w:r>
      <w:r w:rsidR="00FF2363" w:rsidRPr="00FF2363">
        <w:t>’</w:t>
      </w:r>
      <w:r w:rsidR="0081710C" w:rsidRPr="00FF2363">
        <w:t xml:space="preserve">s dismissal, the first question which arises is whether there can be any </w:t>
      </w:r>
      <w:r w:rsidR="007A4E8C" w:rsidRPr="00FF2363">
        <w:t xml:space="preserve">scope </w:t>
      </w:r>
      <w:r w:rsidR="00BF532A" w:rsidRPr="00FF2363">
        <w:t xml:space="preserve">for an issue under Article 8 in the light of the </w:t>
      </w:r>
      <w:r w:rsidR="00BF532A" w:rsidRPr="00FF2363">
        <w:rPr>
          <w:i/>
        </w:rPr>
        <w:t>Gillberg</w:t>
      </w:r>
      <w:r w:rsidR="00BF532A" w:rsidRPr="00FF2363">
        <w:t xml:space="preserve"> exclusionary principle (see paragraph </w:t>
      </w:r>
      <w:r w:rsidR="00BF532A" w:rsidRPr="00FF2363">
        <w:fldChar w:fldCharType="begin"/>
      </w:r>
      <w:r w:rsidR="00BF532A" w:rsidRPr="00FF2363">
        <w:instrText xml:space="preserve"> REF C1_Gillberg_principle \h </w:instrText>
      </w:r>
      <w:r w:rsidR="00BF532A" w:rsidRPr="00FF2363">
        <w:fldChar w:fldCharType="separate"/>
      </w:r>
      <w:r w:rsidR="00FF2363" w:rsidRPr="00FF2363">
        <w:rPr>
          <w:noProof/>
        </w:rPr>
        <w:t>98</w:t>
      </w:r>
      <w:r w:rsidR="00BF532A" w:rsidRPr="00FF2363">
        <w:fldChar w:fldCharType="end"/>
      </w:r>
      <w:r w:rsidR="00BF532A" w:rsidRPr="00FF2363">
        <w:t xml:space="preserve"> above). According to that principle, where the negative effects complained of are limited to the consequences of the unlawful conduct</w:t>
      </w:r>
      <w:r w:rsidR="00470DA8" w:rsidRPr="00FF2363">
        <w:t xml:space="preserve"> which </w:t>
      </w:r>
      <w:r w:rsidR="00653906" w:rsidRPr="00FF2363">
        <w:t>were</w:t>
      </w:r>
      <w:r w:rsidR="00470DA8" w:rsidRPr="00FF2363">
        <w:t xml:space="preserve"> foreseeable by the applicant</w:t>
      </w:r>
      <w:r w:rsidR="00BF532A" w:rsidRPr="00FF2363">
        <w:t xml:space="preserve">, Article 8 cannot be relied upon to </w:t>
      </w:r>
      <w:r w:rsidR="00BF532A" w:rsidRPr="00FF2363">
        <w:lastRenderedPageBreak/>
        <w:t xml:space="preserve">allege that such negative effects encroach upon private life. It has to be noted that in </w:t>
      </w:r>
      <w:r w:rsidR="00BF532A" w:rsidRPr="00FF2363">
        <w:rPr>
          <w:i/>
        </w:rPr>
        <w:t>Gillberg</w:t>
      </w:r>
      <w:r w:rsidR="00BF532A" w:rsidRPr="00FF2363">
        <w:t xml:space="preserve"> the fact of </w:t>
      </w:r>
      <w:r w:rsidR="00653906" w:rsidRPr="00FF2363">
        <w:t>the applicant</w:t>
      </w:r>
      <w:r w:rsidR="00FF2363" w:rsidRPr="00FF2363">
        <w:t>’</w:t>
      </w:r>
      <w:r w:rsidR="00653906" w:rsidRPr="00FF2363">
        <w:t xml:space="preserve">s </w:t>
      </w:r>
      <w:r w:rsidR="00BF532A" w:rsidRPr="00FF2363">
        <w:t xml:space="preserve">unlawful conduct was largely undisputed (see </w:t>
      </w:r>
      <w:r w:rsidR="00BF532A" w:rsidRPr="00FF2363">
        <w:rPr>
          <w:i/>
        </w:rPr>
        <w:t>Gillberg</w:t>
      </w:r>
      <w:r w:rsidR="00BF532A" w:rsidRPr="00FF2363">
        <w:t>, cited above, § 71)</w:t>
      </w:r>
      <w:r w:rsidR="00653906" w:rsidRPr="00FF2363">
        <w:t>, whereas</w:t>
      </w:r>
      <w:r w:rsidR="00BF532A" w:rsidRPr="00FF2363">
        <w:t xml:space="preserve"> in the present case the applicant contest</w:t>
      </w:r>
      <w:r w:rsidR="00653906" w:rsidRPr="00FF2363">
        <w:t>ed</w:t>
      </w:r>
      <w:r w:rsidR="00BF532A" w:rsidRPr="00FF2363">
        <w:t xml:space="preserve"> the very existence of any </w:t>
      </w:r>
      <w:r w:rsidR="006A5256" w:rsidRPr="00FF2363">
        <w:t>misconduct</w:t>
      </w:r>
      <w:r w:rsidR="00653906" w:rsidRPr="00FF2363">
        <w:t>, thus</w:t>
      </w:r>
      <w:r w:rsidR="00BF532A" w:rsidRPr="00FF2363">
        <w:t xml:space="preserve"> implying that the measure </w:t>
      </w:r>
      <w:r w:rsidR="00653906" w:rsidRPr="00FF2363">
        <w:t xml:space="preserve">involving his </w:t>
      </w:r>
      <w:r w:rsidR="00BF532A" w:rsidRPr="00FF2363">
        <w:t xml:space="preserve">legal liability – his dismissal – could not </w:t>
      </w:r>
      <w:r w:rsidR="00653906" w:rsidRPr="00FF2363">
        <w:t xml:space="preserve">have been </w:t>
      </w:r>
      <w:r w:rsidR="00BF532A" w:rsidRPr="00FF2363">
        <w:t xml:space="preserve">a foreseeable consequence of his conduct </w:t>
      </w:r>
      <w:r w:rsidR="00653906" w:rsidRPr="00FF2363">
        <w:t xml:space="preserve">in </w:t>
      </w:r>
      <w:r w:rsidR="00BF532A" w:rsidRPr="00FF2363">
        <w:t xml:space="preserve">the position of president of </w:t>
      </w:r>
      <w:r w:rsidR="00653906" w:rsidRPr="00FF2363">
        <w:t xml:space="preserve">a </w:t>
      </w:r>
      <w:r w:rsidR="00BF532A" w:rsidRPr="00FF2363">
        <w:t xml:space="preserve">court of appeal. In these circumstances the present case is distinguishable </w:t>
      </w:r>
      <w:r w:rsidR="00653906" w:rsidRPr="00FF2363">
        <w:t xml:space="preserve">from </w:t>
      </w:r>
      <w:r w:rsidR="00BF532A" w:rsidRPr="00FF2363">
        <w:rPr>
          <w:i/>
        </w:rPr>
        <w:t>Gillberg</w:t>
      </w:r>
      <w:r w:rsidR="00B32100" w:rsidRPr="00FF2363">
        <w:t xml:space="preserve"> and the Court cannot follow this approach</w:t>
      </w:r>
      <w:r w:rsidR="00BF532A" w:rsidRPr="00FF2363">
        <w:t>.</w:t>
      </w:r>
    </w:p>
    <w:p w:rsidR="00FF2A36" w:rsidRPr="00FF2363" w:rsidRDefault="00BF532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122</w:t>
      </w:r>
      <w:r w:rsidRPr="00FF2363">
        <w:fldChar w:fldCharType="end"/>
      </w:r>
      <w:r w:rsidRPr="00FF2363">
        <w:t>.  </w:t>
      </w:r>
      <w:r w:rsidR="0081710C" w:rsidRPr="00FF2363">
        <w:t>As to the consequences of the applicant</w:t>
      </w:r>
      <w:r w:rsidR="00FF2363" w:rsidRPr="00FF2363">
        <w:t>’</w:t>
      </w:r>
      <w:r w:rsidR="0081710C" w:rsidRPr="00FF2363">
        <w:t>s dismissal</w:t>
      </w:r>
      <w:r w:rsidR="00786E90" w:rsidRPr="00FF2363">
        <w:t xml:space="preserve"> </w:t>
      </w:r>
      <w:r w:rsidR="00FF2A36" w:rsidRPr="00FF2363">
        <w:t>for his “inner circle”, he contend</w:t>
      </w:r>
      <w:r w:rsidR="009B7A0B" w:rsidRPr="00FF2363">
        <w:t>ed</w:t>
      </w:r>
      <w:r w:rsidR="00FF2A36" w:rsidRPr="00FF2363">
        <w:t xml:space="preserve"> that his removal </w:t>
      </w:r>
      <w:r w:rsidR="009B7A0B" w:rsidRPr="00FF2363">
        <w:t xml:space="preserve">had </w:t>
      </w:r>
      <w:r w:rsidR="00FF2A36" w:rsidRPr="00FF2363">
        <w:t>resulted in a reduction in his salary and in his prospective pension benefits. This argument has to be viewed as relating to the worsening of the material well-being of the applicant and his family. Even though the pecuniary element of the dispute has been considered s</w:t>
      </w:r>
      <w:r w:rsidR="00A41D4A" w:rsidRPr="00FF2363">
        <w:t>ignificant</w:t>
      </w:r>
      <w:r w:rsidR="00FF2A36" w:rsidRPr="00FF2363">
        <w:t xml:space="preserve"> for the purpose of the applicability of Article 6 under its civil head, this conclusion does not automatically bring the issue within the scope of Article 8 of the Convention. In the present case the applicant has not provided any evidence to suggest that the ensuing reduction in his monthly remuneration (see paragraph </w:t>
      </w:r>
      <w:r w:rsidR="00FF2A36" w:rsidRPr="00FF2363">
        <w:fldChar w:fldCharType="begin"/>
      </w:r>
      <w:r w:rsidR="00FF2A36" w:rsidRPr="00FF2363">
        <w:instrText xml:space="preserve"> REF A1_Pecuniary_claim \h  \* MERGEFORMAT </w:instrText>
      </w:r>
      <w:r w:rsidR="00FF2A36" w:rsidRPr="00FF2363">
        <w:fldChar w:fldCharType="separate"/>
      </w:r>
      <w:r w:rsidR="00FF2363" w:rsidRPr="00FF2363">
        <w:t>22</w:t>
      </w:r>
      <w:r w:rsidR="00FF2A36" w:rsidRPr="00FF2363">
        <w:fldChar w:fldCharType="end"/>
      </w:r>
      <w:r w:rsidR="00FF2A36" w:rsidRPr="00FF2363">
        <w:t xml:space="preserve"> above) seriously affected the “inner circle” of his private life. In the absence of such evidence, it would be speculative to assume the contrary. There are no other indications that the “inner circle” of the applicant</w:t>
      </w:r>
      <w:r w:rsidR="00FF2363" w:rsidRPr="00FF2363">
        <w:t>’</w:t>
      </w:r>
      <w:r w:rsidR="00FF2A36" w:rsidRPr="00FF2363">
        <w:t>s private life was affected by the impugned measure.</w:t>
      </w:r>
    </w:p>
    <w:p w:rsidR="00FF2A36"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123</w:t>
      </w:r>
      <w:r w:rsidRPr="00FF2363">
        <w:fldChar w:fldCharType="end"/>
      </w:r>
      <w:r w:rsidRPr="00FF2363">
        <w:t>.  As to establishing and maintaining relationships with others, the applicant</w:t>
      </w:r>
      <w:r w:rsidR="00FF2363" w:rsidRPr="00FF2363">
        <w:t>’</w:t>
      </w:r>
      <w:r w:rsidRPr="00FF2363">
        <w:t xml:space="preserve">s dismissal from the position of president of the Kyiv Administrative Court of Appeal did not result in his removal from his profession. He continued to work as an ordinary judge and he remained at the same court </w:t>
      </w:r>
      <w:r w:rsidR="00653906" w:rsidRPr="00FF2363">
        <w:t xml:space="preserve">alongside </w:t>
      </w:r>
      <w:r w:rsidRPr="00FF2363">
        <w:t xml:space="preserve">his colleagues. The applicant did not put forward any other allegations in this respect. It follows that, even if his opportunities to establish and maintain relationships, including those of a professional nature, might have been affected, there are no factual grounds for concluding that such effects were substantial. </w:t>
      </w:r>
      <w:r w:rsidR="00630263" w:rsidRPr="00FF2363">
        <w:t xml:space="preserve">After all, </w:t>
      </w:r>
      <w:r w:rsidR="008C4036" w:rsidRPr="00FF2363">
        <w:t xml:space="preserve">it </w:t>
      </w:r>
      <w:r w:rsidR="007D0E31" w:rsidRPr="00FF2363">
        <w:t>appears</w:t>
      </w:r>
      <w:r w:rsidR="008C4036" w:rsidRPr="00FF2363">
        <w:t xml:space="preserve"> inappropriate to measure the </w:t>
      </w:r>
      <w:r w:rsidRPr="00FF2363">
        <w:t xml:space="preserve">extent and quality of relationships in private life </w:t>
      </w:r>
      <w:r w:rsidR="008C4036" w:rsidRPr="00FF2363">
        <w:t xml:space="preserve">in </w:t>
      </w:r>
      <w:r w:rsidR="00653906" w:rsidRPr="00FF2363">
        <w:t>terms</w:t>
      </w:r>
      <w:r w:rsidR="008C4036" w:rsidRPr="00FF2363">
        <w:t xml:space="preserve"> of</w:t>
      </w:r>
      <w:r w:rsidRPr="00FF2363">
        <w:t xml:space="preserve"> administrative position</w:t>
      </w:r>
      <w:r w:rsidR="007D0E31" w:rsidRPr="00FF2363">
        <w:t>s</w:t>
      </w:r>
      <w:r w:rsidR="008C4036" w:rsidRPr="00FF2363">
        <w:t xml:space="preserve"> and role</w:t>
      </w:r>
      <w:r w:rsidR="007D0E31" w:rsidRPr="00FF2363">
        <w:t>s</w:t>
      </w:r>
      <w:r w:rsidRPr="00FF2363">
        <w:t>.</w:t>
      </w:r>
    </w:p>
    <w:p w:rsidR="00835569" w:rsidRPr="00FF2363" w:rsidRDefault="00FF2A36"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124</w:t>
      </w:r>
      <w:r w:rsidRPr="00FF2363">
        <w:fldChar w:fldCharType="end"/>
      </w:r>
      <w:r w:rsidRPr="00FF2363">
        <w:t>.  The question remains whether or not the impugned measure encroached upon the applicant</w:t>
      </w:r>
      <w:r w:rsidR="00FF2363" w:rsidRPr="00FF2363">
        <w:t>’</w:t>
      </w:r>
      <w:r w:rsidRPr="00FF2363">
        <w:t xml:space="preserve">s reputation in such a way that it seriously affected his esteem among others, with the result that it </w:t>
      </w:r>
      <w:r w:rsidR="00B32100" w:rsidRPr="00FF2363">
        <w:t>has</w:t>
      </w:r>
      <w:r w:rsidRPr="00FF2363">
        <w:t xml:space="preserve"> a serious impact on </w:t>
      </w:r>
      <w:r w:rsidR="00653906" w:rsidRPr="00FF2363">
        <w:t>his</w:t>
      </w:r>
      <w:r w:rsidRPr="00FF2363">
        <w:t xml:space="preserve"> interaction with society. </w:t>
      </w:r>
      <w:r w:rsidR="00F003AA" w:rsidRPr="00FF2363">
        <w:t>The Court will look at this issue in terms of professional and social reputation.</w:t>
      </w:r>
    </w:p>
    <w:p w:rsidR="00F93E81" w:rsidRPr="00FF2363" w:rsidRDefault="002E253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125</w:t>
      </w:r>
      <w:r w:rsidRPr="00FF2363">
        <w:fldChar w:fldCharType="end"/>
      </w:r>
      <w:r w:rsidRPr="00FF2363">
        <w:t>. </w:t>
      </w:r>
      <w:r w:rsidR="008609D2" w:rsidRPr="00FF2363">
        <w:t> </w:t>
      </w:r>
      <w:r w:rsidR="00F42397" w:rsidRPr="00FF2363">
        <w:t xml:space="preserve">As regards the </w:t>
      </w:r>
      <w:r w:rsidRPr="00FF2363">
        <w:t>applicant</w:t>
      </w:r>
      <w:r w:rsidR="00FF2363" w:rsidRPr="00FF2363">
        <w:t>’</w:t>
      </w:r>
      <w:r w:rsidRPr="00FF2363">
        <w:t xml:space="preserve">s </w:t>
      </w:r>
      <w:r w:rsidR="00F42397" w:rsidRPr="00FF2363">
        <w:t xml:space="preserve">professional reputation, the Court notes that his </w:t>
      </w:r>
      <w:r w:rsidRPr="00FF2363">
        <w:t xml:space="preserve">principal professional function was that of a judge. The profession of judge required him to possess specific </w:t>
      </w:r>
      <w:r w:rsidR="008C4036" w:rsidRPr="00FF2363">
        <w:t xml:space="preserve">knowledge, </w:t>
      </w:r>
      <w:r w:rsidRPr="00FF2363">
        <w:t xml:space="preserve">educational qualifications, skills and experience. In recompense for his service in this capacity, the applicant was paid the </w:t>
      </w:r>
      <w:r w:rsidR="008C4036" w:rsidRPr="00FF2363">
        <w:t>predominant</w:t>
      </w:r>
      <w:r w:rsidRPr="00FF2363">
        <w:t xml:space="preserve"> part of his salary. </w:t>
      </w:r>
      <w:r w:rsidR="00F003AA" w:rsidRPr="00FF2363">
        <w:t xml:space="preserve">At the </w:t>
      </w:r>
      <w:r w:rsidR="00F003AA" w:rsidRPr="00FF2363">
        <w:lastRenderedPageBreak/>
        <w:t xml:space="preserve">same time, the successful performance of a presidential or administrative function in a court is not, strictly speaking, a characteristic of the judicial profession. </w:t>
      </w:r>
      <w:r w:rsidR="008C4036" w:rsidRPr="00FF2363">
        <w:t>Therefore</w:t>
      </w:r>
      <w:r w:rsidR="0009157D" w:rsidRPr="00FF2363">
        <w:t>,</w:t>
      </w:r>
      <w:r w:rsidR="008C4036" w:rsidRPr="00FF2363">
        <w:t xml:space="preserve"> in </w:t>
      </w:r>
      <w:r w:rsidRPr="00FF2363">
        <w:t>objective</w:t>
      </w:r>
      <w:r w:rsidR="008C4036" w:rsidRPr="00FF2363">
        <w:t xml:space="preserve"> terms</w:t>
      </w:r>
      <w:r w:rsidRPr="00FF2363">
        <w:t xml:space="preserve">, the judicial function constituted </w:t>
      </w:r>
      <w:r w:rsidR="00F003AA" w:rsidRPr="00FF2363">
        <w:t>the applicant</w:t>
      </w:r>
      <w:r w:rsidR="00FF2363" w:rsidRPr="00FF2363">
        <w:t>’</w:t>
      </w:r>
      <w:r w:rsidR="00F003AA" w:rsidRPr="00FF2363">
        <w:t xml:space="preserve">s </w:t>
      </w:r>
      <w:r w:rsidRPr="00FF2363">
        <w:t xml:space="preserve">fundamental </w:t>
      </w:r>
      <w:r w:rsidR="006F4A81" w:rsidRPr="00FF2363">
        <w:t xml:space="preserve">professional </w:t>
      </w:r>
      <w:r w:rsidRPr="00FF2363">
        <w:t xml:space="preserve">role. His position as president of a court, however important and prestigious it might be in the judicial sphere and however it might have been subjectively </w:t>
      </w:r>
      <w:r w:rsidR="00F003AA" w:rsidRPr="00FF2363">
        <w:t>perceived</w:t>
      </w:r>
      <w:r w:rsidRPr="00FF2363">
        <w:t xml:space="preserve"> </w:t>
      </w:r>
      <w:r w:rsidR="00F003AA" w:rsidRPr="00FF2363">
        <w:t xml:space="preserve">and valued </w:t>
      </w:r>
      <w:r w:rsidRPr="00FF2363">
        <w:t xml:space="preserve">by </w:t>
      </w:r>
      <w:r w:rsidR="00E82410" w:rsidRPr="00FF2363">
        <w:t>the applicant</w:t>
      </w:r>
      <w:r w:rsidRPr="00FF2363">
        <w:t>, did not relate to the</w:t>
      </w:r>
      <w:r w:rsidR="008C4036" w:rsidRPr="00FF2363">
        <w:t xml:space="preserve"> </w:t>
      </w:r>
      <w:r w:rsidR="00E82410" w:rsidRPr="00FF2363">
        <w:t xml:space="preserve">principal </w:t>
      </w:r>
      <w:r w:rsidR="0009157D" w:rsidRPr="00FF2363">
        <w:t xml:space="preserve">sphere </w:t>
      </w:r>
      <w:r w:rsidRPr="00FF2363">
        <w:t xml:space="preserve">of </w:t>
      </w:r>
      <w:r w:rsidR="00E82410" w:rsidRPr="00FF2363">
        <w:t>his</w:t>
      </w:r>
      <w:r w:rsidRPr="00FF2363">
        <w:t xml:space="preserve"> professional </w:t>
      </w:r>
      <w:r w:rsidR="0009157D" w:rsidRPr="00FF2363">
        <w:t>activity</w:t>
      </w:r>
      <w:r w:rsidRPr="00FF2363">
        <w:t>.</w:t>
      </w:r>
    </w:p>
    <w:p w:rsidR="002A00BC" w:rsidRPr="00FF2363" w:rsidRDefault="002E253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126</w:t>
      </w:r>
      <w:r w:rsidRPr="00FF2363">
        <w:fldChar w:fldCharType="end"/>
      </w:r>
      <w:r w:rsidRPr="00FF2363">
        <w:t>.  </w:t>
      </w:r>
      <w:r w:rsidR="008C4036" w:rsidRPr="00FF2363">
        <w:t>In</w:t>
      </w:r>
      <w:r w:rsidR="00E82410" w:rsidRPr="00FF2363">
        <w:t xml:space="preserve"> the proceedings at issue,</w:t>
      </w:r>
      <w:r w:rsidRPr="00FF2363">
        <w:t xml:space="preserve"> at no point did the domestic authorities examine </w:t>
      </w:r>
      <w:r w:rsidR="00F003AA" w:rsidRPr="00FF2363">
        <w:t>the applicant</w:t>
      </w:r>
      <w:r w:rsidR="00FF2363" w:rsidRPr="00FF2363">
        <w:t>’</w:t>
      </w:r>
      <w:r w:rsidR="00F003AA" w:rsidRPr="00FF2363">
        <w:t>s</w:t>
      </w:r>
      <w:r w:rsidRPr="00FF2363">
        <w:t xml:space="preserve"> performance as a judge or express any opinion as to his judicial competence and professionalism. The decisions in the applicant</w:t>
      </w:r>
      <w:r w:rsidR="00FF2363" w:rsidRPr="00FF2363">
        <w:t>’</w:t>
      </w:r>
      <w:r w:rsidRPr="00FF2363">
        <w:t xml:space="preserve">s case concerned only his managerial skills, while his professional role as a judge was not touched upon. This limited area of scrutiny and criticism cannot be regarded as relating to the </w:t>
      </w:r>
      <w:r w:rsidR="00E82410" w:rsidRPr="00FF2363">
        <w:t>core</w:t>
      </w:r>
      <w:r w:rsidRPr="00FF2363">
        <w:t xml:space="preserve"> of the applicant</w:t>
      </w:r>
      <w:r w:rsidR="00FF2363" w:rsidRPr="00FF2363">
        <w:t>’</w:t>
      </w:r>
      <w:r w:rsidRPr="00FF2363">
        <w:t>s profession</w:t>
      </w:r>
      <w:r w:rsidR="00F003AA" w:rsidRPr="00FF2363">
        <w:t xml:space="preserve">al reputation. </w:t>
      </w:r>
      <w:r w:rsidR="00E82410" w:rsidRPr="00FF2363">
        <w:t xml:space="preserve">In that regard the present case differs in substance from </w:t>
      </w:r>
      <w:r w:rsidR="00E82410" w:rsidRPr="00FF2363">
        <w:rPr>
          <w:i/>
        </w:rPr>
        <w:t>Oleksandr Volkov</w:t>
      </w:r>
      <w:r w:rsidR="00E82410" w:rsidRPr="00FF2363">
        <w:t xml:space="preserve"> (cited above), in which the applicant was criticised and received </w:t>
      </w:r>
      <w:r w:rsidR="0009157D" w:rsidRPr="00FF2363">
        <w:t xml:space="preserve">a </w:t>
      </w:r>
      <w:r w:rsidR="00E82410" w:rsidRPr="00FF2363">
        <w:t>disciplinary sanction for his performance as a judge.</w:t>
      </w:r>
    </w:p>
    <w:p w:rsidR="00D52EA3" w:rsidRPr="00FF2363" w:rsidRDefault="002A00BC"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127</w:t>
      </w:r>
      <w:r w:rsidRPr="00FF2363">
        <w:fldChar w:fldCharType="end"/>
      </w:r>
      <w:r w:rsidRPr="00FF2363">
        <w:t>.  </w:t>
      </w:r>
      <w:r w:rsidR="0009157D" w:rsidRPr="00FF2363">
        <w:t>Next,</w:t>
      </w:r>
      <w:r w:rsidR="002E253A" w:rsidRPr="00FF2363">
        <w:t xml:space="preserve"> </w:t>
      </w:r>
      <w:r w:rsidR="0009157D" w:rsidRPr="00FF2363">
        <w:t>t</w:t>
      </w:r>
      <w:r w:rsidR="002E253A" w:rsidRPr="00FF2363">
        <w:t>he Court takes note of the applicant</w:t>
      </w:r>
      <w:r w:rsidR="00FF2363" w:rsidRPr="00FF2363">
        <w:t>’</w:t>
      </w:r>
      <w:r w:rsidR="002E253A" w:rsidRPr="00FF2363">
        <w:t>s argument that, after he had occupied positions as president of a cou</w:t>
      </w:r>
      <w:r w:rsidR="006B668D" w:rsidRPr="00FF2363">
        <w:t>rt over a period of twenty</w:t>
      </w:r>
      <w:r w:rsidR="006B668D" w:rsidRPr="00FF2363">
        <w:noBreakHyphen/>
        <w:t>five </w:t>
      </w:r>
      <w:r w:rsidR="002E253A" w:rsidRPr="00FF2363">
        <w:t>years, the position of president of the Kyiv Administrative Court of Appeal had represented the apex of his legal career and his dismissal had undermined his peers</w:t>
      </w:r>
      <w:r w:rsidR="00FF2363" w:rsidRPr="00FF2363">
        <w:t>’</w:t>
      </w:r>
      <w:r w:rsidR="002E253A" w:rsidRPr="00FF2363">
        <w:t xml:space="preserve"> opinion of his competence. However, the applicant did not specify how this </w:t>
      </w:r>
      <w:r w:rsidR="00D24CE1" w:rsidRPr="00FF2363">
        <w:t xml:space="preserve">alleged </w:t>
      </w:r>
      <w:r w:rsidR="002E253A" w:rsidRPr="00FF2363">
        <w:t xml:space="preserve">loss of esteem, even </w:t>
      </w:r>
      <w:r w:rsidR="008C4036" w:rsidRPr="00FF2363">
        <w:t>assum</w:t>
      </w:r>
      <w:r w:rsidR="00F953B9" w:rsidRPr="00FF2363">
        <w:t>ing</w:t>
      </w:r>
      <w:r w:rsidR="008C4036" w:rsidRPr="00FF2363">
        <w:t xml:space="preserve"> that it</w:t>
      </w:r>
      <w:r w:rsidR="002E253A" w:rsidRPr="00FF2363">
        <w:t xml:space="preserve"> affected </w:t>
      </w:r>
      <w:r w:rsidR="007D0E31" w:rsidRPr="00FF2363">
        <w:t xml:space="preserve">the core of </w:t>
      </w:r>
      <w:r w:rsidR="002E253A" w:rsidRPr="00FF2363">
        <w:t xml:space="preserve">his professional reputation, had caused him </w:t>
      </w:r>
      <w:r w:rsidR="00F953B9" w:rsidRPr="00FF2363">
        <w:t xml:space="preserve">serious </w:t>
      </w:r>
      <w:r w:rsidR="002E253A" w:rsidRPr="00FF2363">
        <w:t xml:space="preserve">prejudice in his </w:t>
      </w:r>
      <w:r w:rsidR="001450D2" w:rsidRPr="00FF2363">
        <w:t>professional</w:t>
      </w:r>
      <w:r w:rsidR="002E253A" w:rsidRPr="00FF2363">
        <w:t xml:space="preserve"> environment.</w:t>
      </w:r>
      <w:r w:rsidR="00584651" w:rsidRPr="00FF2363">
        <w:t xml:space="preserve"> In any event, the Court does not have sufficient material to conclude that the alleged loss of esteem reached the high degree of seriousness required by Article 8 of the Convention, as discussed in paragraphs 116 </w:t>
      </w:r>
      <w:r w:rsidR="0032682C" w:rsidRPr="00FF2363">
        <w:t xml:space="preserve">and 117 </w:t>
      </w:r>
      <w:r w:rsidR="00584651" w:rsidRPr="00FF2363">
        <w:t>above.</w:t>
      </w:r>
    </w:p>
    <w:p w:rsidR="002A00BC" w:rsidRPr="00FF2363" w:rsidRDefault="002A00BC"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128</w:t>
      </w:r>
      <w:r w:rsidRPr="00FF2363">
        <w:fldChar w:fldCharType="end"/>
      </w:r>
      <w:r w:rsidRPr="00FF2363">
        <w:t>.  In particular, the applicant did not substantiate how his dismissal from his position had affected his further career</w:t>
      </w:r>
      <w:r w:rsidR="007D0E31" w:rsidRPr="00FF2363">
        <w:t xml:space="preserve"> </w:t>
      </w:r>
      <w:r w:rsidR="0009157D" w:rsidRPr="00FF2363">
        <w:t xml:space="preserve">as a </w:t>
      </w:r>
      <w:r w:rsidR="007D0E31" w:rsidRPr="00FF2363">
        <w:t>judge</w:t>
      </w:r>
      <w:r w:rsidRPr="00FF2363">
        <w:t>. The Court notes that the applicant</w:t>
      </w:r>
      <w:r w:rsidR="00FF2363" w:rsidRPr="00FF2363">
        <w:t>’</w:t>
      </w:r>
      <w:r w:rsidRPr="00FF2363">
        <w:t xml:space="preserve">s dismissal did not preclude his reappointment, even though this latter consideration may have been purely theoretical, because of his advanced age. In any event, the measure did not have a significant effect </w:t>
      </w:r>
      <w:r w:rsidR="0009157D" w:rsidRPr="00FF2363">
        <w:t xml:space="preserve">as to </w:t>
      </w:r>
      <w:r w:rsidRPr="00FF2363">
        <w:t>its duration because it was limited by the applicant</w:t>
      </w:r>
      <w:r w:rsidR="00FF2363" w:rsidRPr="00FF2363">
        <w:t>’</w:t>
      </w:r>
      <w:r w:rsidRPr="00FF2363">
        <w:t xml:space="preserve">s remaining period of service in the judiciary before he was due to reach the retirement age, about two years later (see Article 125 of the Constitution cited in paragraph </w:t>
      </w:r>
      <w:r w:rsidRPr="00FF2363">
        <w:fldChar w:fldCharType="begin"/>
      </w:r>
      <w:r w:rsidRPr="00FF2363">
        <w:instrText xml:space="preserve"> REF B1_Constitution \h  \* MERGEFORMAT </w:instrText>
      </w:r>
      <w:r w:rsidRPr="00FF2363">
        <w:fldChar w:fldCharType="separate"/>
      </w:r>
      <w:r w:rsidR="00FF2363" w:rsidRPr="00FF2363">
        <w:t>26</w:t>
      </w:r>
      <w:r w:rsidRPr="00FF2363">
        <w:fldChar w:fldCharType="end"/>
      </w:r>
      <w:r w:rsidRPr="00FF2363">
        <w:t xml:space="preserve"> above).</w:t>
      </w:r>
    </w:p>
    <w:p w:rsidR="00835569" w:rsidRPr="00FF2363" w:rsidRDefault="002E253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129</w:t>
      </w:r>
      <w:r w:rsidRPr="00FF2363">
        <w:fldChar w:fldCharType="end"/>
      </w:r>
      <w:r w:rsidRPr="00FF2363">
        <w:t>.  </w:t>
      </w:r>
      <w:r w:rsidR="00256B8A" w:rsidRPr="00FF2363">
        <w:t xml:space="preserve">As regards social reputation in general, </w:t>
      </w:r>
      <w:r w:rsidRPr="00FF2363">
        <w:t>the criticism by the authorities did not affect a wider ethical aspect of the applicant</w:t>
      </w:r>
      <w:r w:rsidR="00FF2363" w:rsidRPr="00FF2363">
        <w:t>’</w:t>
      </w:r>
      <w:r w:rsidRPr="00FF2363">
        <w:t>s personality</w:t>
      </w:r>
      <w:r w:rsidR="00256B8A" w:rsidRPr="00FF2363">
        <w:t xml:space="preserve"> and </w:t>
      </w:r>
      <w:r w:rsidR="000540F3" w:rsidRPr="00FF2363">
        <w:t>character</w:t>
      </w:r>
      <w:r w:rsidRPr="00FF2363">
        <w:t>. Even though the applicant</w:t>
      </w:r>
      <w:r w:rsidR="00FF2363" w:rsidRPr="00FF2363">
        <w:t>’</w:t>
      </w:r>
      <w:r w:rsidRPr="00FF2363">
        <w:t xml:space="preserve">s dismissal was based on </w:t>
      </w:r>
      <w:r w:rsidR="00F953B9" w:rsidRPr="00FF2363">
        <w:t xml:space="preserve">the findings of </w:t>
      </w:r>
      <w:r w:rsidRPr="00FF2363">
        <w:t xml:space="preserve">breaches of official duties in the administration of justice, it did not contain any accusation of intentional </w:t>
      </w:r>
      <w:r w:rsidR="0009157D" w:rsidRPr="00FF2363">
        <w:t>mis</w:t>
      </w:r>
      <w:r w:rsidRPr="00FF2363">
        <w:t>conduct or criminal behaviour. The applicant</w:t>
      </w:r>
      <w:r w:rsidR="00FF2363" w:rsidRPr="00FF2363">
        <w:t>’</w:t>
      </w:r>
      <w:r w:rsidRPr="00FF2363">
        <w:t xml:space="preserve">s moral values were not called into question and no reproaches of this nature can be identified in the impugned decisions </w:t>
      </w:r>
      <w:r w:rsidRPr="00FF2363">
        <w:lastRenderedPageBreak/>
        <w:t xml:space="preserve">(contrast </w:t>
      </w:r>
      <w:r w:rsidR="00A92155" w:rsidRPr="00FF2363">
        <w:rPr>
          <w:rFonts w:ascii="Times New Roman" w:hAnsi="Times New Roman" w:cs="Times New Roman"/>
          <w:i/>
          <w:iCs/>
          <w:szCs w:val="24"/>
        </w:rPr>
        <w:t>Lekavičienė v. Lithuania</w:t>
      </w:r>
      <w:r w:rsidR="00A92155" w:rsidRPr="00FF2363">
        <w:rPr>
          <w:rFonts w:ascii="Times New Roman" w:hAnsi="Times New Roman" w:cs="Times New Roman"/>
          <w:szCs w:val="24"/>
        </w:rPr>
        <w:t xml:space="preserve">, no. 48427/09, 27 June 2017, and </w:t>
      </w:r>
      <w:r w:rsidR="00A92155" w:rsidRPr="00FF2363">
        <w:rPr>
          <w:rFonts w:ascii="Times New Roman" w:hAnsi="Times New Roman" w:cs="Times New Roman"/>
          <w:i/>
          <w:iCs/>
          <w:szCs w:val="24"/>
        </w:rPr>
        <w:t>Jankauskas v. Lithuania (no. 2)</w:t>
      </w:r>
      <w:r w:rsidR="00A92155" w:rsidRPr="00FF2363">
        <w:rPr>
          <w:rFonts w:ascii="Times New Roman" w:hAnsi="Times New Roman" w:cs="Times New Roman"/>
          <w:szCs w:val="24"/>
        </w:rPr>
        <w:t>, no. 50446/09, 27 June 2017</w:t>
      </w:r>
      <w:r w:rsidRPr="00FF2363">
        <w:t>).</w:t>
      </w:r>
    </w:p>
    <w:p w:rsidR="002E253A" w:rsidRPr="00FF2363" w:rsidRDefault="002E253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130</w:t>
      </w:r>
      <w:r w:rsidRPr="00FF2363">
        <w:fldChar w:fldCharType="end"/>
      </w:r>
      <w:r w:rsidRPr="00FF2363">
        <w:t>.  </w:t>
      </w:r>
      <w:r w:rsidR="00256B8A" w:rsidRPr="00FF2363">
        <w:t>T</w:t>
      </w:r>
      <w:r w:rsidRPr="00FF2363">
        <w:t>he applicant</w:t>
      </w:r>
      <w:r w:rsidR="00FF2363" w:rsidRPr="00FF2363">
        <w:t>’</w:t>
      </w:r>
      <w:r w:rsidRPr="00FF2363">
        <w:t xml:space="preserve">s </w:t>
      </w:r>
      <w:r w:rsidR="00F953B9" w:rsidRPr="00FF2363">
        <w:t>contention</w:t>
      </w:r>
      <w:r w:rsidRPr="00FF2363">
        <w:t xml:space="preserve"> that the decision on his dismissal had been disseminated in the mass media and had become known to an unidentified number of persons</w:t>
      </w:r>
      <w:r w:rsidR="0007745F" w:rsidRPr="00FF2363">
        <w:t xml:space="preserve"> </w:t>
      </w:r>
      <w:r w:rsidRPr="00FF2363">
        <w:t xml:space="preserve">cannot, as such, demonstrate substantial damage to his professional and social reputation. </w:t>
      </w:r>
      <w:r w:rsidR="00256B8A" w:rsidRPr="00FF2363">
        <w:t>Moreover, t</w:t>
      </w:r>
      <w:r w:rsidR="0007745F" w:rsidRPr="00FF2363">
        <w:t xml:space="preserve">he applicant failed to substantiate this allegation </w:t>
      </w:r>
      <w:r w:rsidRPr="00FF2363">
        <w:t xml:space="preserve">by </w:t>
      </w:r>
      <w:r w:rsidR="0007745F" w:rsidRPr="00FF2363">
        <w:t xml:space="preserve">providing </w:t>
      </w:r>
      <w:r w:rsidRPr="00FF2363">
        <w:t xml:space="preserve">specific </w:t>
      </w:r>
      <w:r w:rsidR="0007745F" w:rsidRPr="00FF2363">
        <w:t>details</w:t>
      </w:r>
      <w:r w:rsidRPr="00FF2363">
        <w:t xml:space="preserve"> concerning the persons responsible for publishing such information, the coverage it received and its impact.</w:t>
      </w:r>
    </w:p>
    <w:p w:rsidR="002E253A" w:rsidRPr="00FF2363" w:rsidRDefault="002E253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131</w:t>
      </w:r>
      <w:r w:rsidRPr="00FF2363">
        <w:fldChar w:fldCharType="end"/>
      </w:r>
      <w:r w:rsidRPr="00FF2363">
        <w:t>.  Finally, there is no support in the file for the applicant</w:t>
      </w:r>
      <w:r w:rsidR="00FF2363" w:rsidRPr="00FF2363">
        <w:t>’</w:t>
      </w:r>
      <w:r w:rsidRPr="00FF2363">
        <w:t xml:space="preserve">s allegation that the damage to his reputation was serious in view of the </w:t>
      </w:r>
      <w:r w:rsidR="00342CF4" w:rsidRPr="00FF2363">
        <w:t xml:space="preserve">harm </w:t>
      </w:r>
      <w:r w:rsidRPr="00FF2363">
        <w:t>caused to the interests of his children</w:t>
      </w:r>
      <w:r w:rsidR="006F4A81" w:rsidRPr="00FF2363">
        <w:t xml:space="preserve"> and that this harm negatively affected his private life</w:t>
      </w:r>
      <w:r w:rsidRPr="00FF2363">
        <w:t xml:space="preserve">. This allegation has not been </w:t>
      </w:r>
      <w:r w:rsidR="00342CF4" w:rsidRPr="00FF2363">
        <w:t xml:space="preserve">raised </w:t>
      </w:r>
      <w:r w:rsidR="00F003AA" w:rsidRPr="00FF2363">
        <w:t xml:space="preserve">at domestic level and it has not been </w:t>
      </w:r>
      <w:r w:rsidRPr="00FF2363">
        <w:t>substantiated in the proceedings before the Court.</w:t>
      </w:r>
    </w:p>
    <w:p w:rsidR="002E253A" w:rsidRPr="00FF2363" w:rsidRDefault="002E253A"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132</w:t>
      </w:r>
      <w:r w:rsidRPr="00FF2363">
        <w:fldChar w:fldCharType="end"/>
      </w:r>
      <w:r w:rsidRPr="00FF2363">
        <w:t>.  The applicant did not put forward</w:t>
      </w:r>
      <w:r w:rsidR="00F42397" w:rsidRPr="00FF2363">
        <w:t>, either before the Court or in the domestic proceedings,</w:t>
      </w:r>
      <w:r w:rsidRPr="00FF2363">
        <w:t xml:space="preserve"> any other specific personal circumstances indicating that the measure had had a serious impact on his private life.</w:t>
      </w:r>
    </w:p>
    <w:p w:rsidR="002E253A" w:rsidRPr="00FF2363" w:rsidRDefault="002E253A" w:rsidP="00FF2363">
      <w:pPr>
        <w:pStyle w:val="ECHRPara"/>
        <w:rPr>
          <w:iCs/>
        </w:rPr>
      </w:pPr>
      <w:r w:rsidRPr="00FF2363">
        <w:fldChar w:fldCharType="begin"/>
      </w:r>
      <w:r w:rsidRPr="00FF2363">
        <w:instrText xml:space="preserve"> SEQ level0 \*arabic </w:instrText>
      </w:r>
      <w:r w:rsidRPr="00FF2363">
        <w:fldChar w:fldCharType="separate"/>
      </w:r>
      <w:r w:rsidR="00FF2363" w:rsidRPr="00FF2363">
        <w:rPr>
          <w:noProof/>
        </w:rPr>
        <w:t>133</w:t>
      </w:r>
      <w:r w:rsidRPr="00FF2363">
        <w:fldChar w:fldCharType="end"/>
      </w:r>
      <w:r w:rsidRPr="00FF2363">
        <w:t>.  </w:t>
      </w:r>
      <w:r w:rsidRPr="00FF2363">
        <w:rPr>
          <w:iCs/>
        </w:rPr>
        <w:t xml:space="preserve">Accordingly, </w:t>
      </w:r>
      <w:r w:rsidR="00F003AA" w:rsidRPr="00FF2363">
        <w:rPr>
          <w:iCs/>
        </w:rPr>
        <w:t>measuring</w:t>
      </w:r>
      <w:r w:rsidRPr="00FF2363">
        <w:rPr>
          <w:iCs/>
        </w:rPr>
        <w:t xml:space="preserve"> </w:t>
      </w:r>
      <w:r w:rsidR="00F003AA" w:rsidRPr="00FF2363">
        <w:rPr>
          <w:iCs/>
        </w:rPr>
        <w:t>the applicant</w:t>
      </w:r>
      <w:r w:rsidR="00FF2363" w:rsidRPr="00FF2363">
        <w:rPr>
          <w:iCs/>
        </w:rPr>
        <w:t>’</w:t>
      </w:r>
      <w:r w:rsidR="00F003AA" w:rsidRPr="00FF2363">
        <w:rPr>
          <w:iCs/>
        </w:rPr>
        <w:t>s subjective perceptions against the objective background</w:t>
      </w:r>
      <w:r w:rsidR="00342CF4" w:rsidRPr="00FF2363">
        <w:rPr>
          <w:iCs/>
        </w:rPr>
        <w:t xml:space="preserve"> and</w:t>
      </w:r>
      <w:r w:rsidR="006B668D" w:rsidRPr="00FF2363">
        <w:rPr>
          <w:iCs/>
        </w:rPr>
        <w:t xml:space="preserve"> assessing the material and non</w:t>
      </w:r>
      <w:r w:rsidR="006B668D" w:rsidRPr="00FF2363">
        <w:rPr>
          <w:iCs/>
        </w:rPr>
        <w:noBreakHyphen/>
      </w:r>
      <w:r w:rsidR="00F003AA" w:rsidRPr="00FF2363">
        <w:rPr>
          <w:iCs/>
        </w:rPr>
        <w:t xml:space="preserve">material impact of </w:t>
      </w:r>
      <w:r w:rsidR="00342CF4" w:rsidRPr="00FF2363">
        <w:rPr>
          <w:iCs/>
        </w:rPr>
        <w:t>his</w:t>
      </w:r>
      <w:r w:rsidR="00F003AA" w:rsidRPr="00FF2363">
        <w:rPr>
          <w:iCs/>
        </w:rPr>
        <w:t xml:space="preserve"> dismissal on the basis of the evidence presented before the Court, it has to be concluded that the dismissal had limited </w:t>
      </w:r>
      <w:r w:rsidR="00C66B5D" w:rsidRPr="00FF2363">
        <w:rPr>
          <w:iCs/>
        </w:rPr>
        <w:t xml:space="preserve">negative effects </w:t>
      </w:r>
      <w:r w:rsidR="00342CF4" w:rsidRPr="00FF2363">
        <w:rPr>
          <w:iCs/>
        </w:rPr>
        <w:t xml:space="preserve">on </w:t>
      </w:r>
      <w:r w:rsidRPr="00FF2363">
        <w:rPr>
          <w:iCs/>
        </w:rPr>
        <w:t>the applicant</w:t>
      </w:r>
      <w:r w:rsidR="00FF2363" w:rsidRPr="00FF2363">
        <w:rPr>
          <w:iCs/>
        </w:rPr>
        <w:t>’</w:t>
      </w:r>
      <w:r w:rsidRPr="00FF2363">
        <w:rPr>
          <w:iCs/>
        </w:rPr>
        <w:t>s private life</w:t>
      </w:r>
      <w:r w:rsidR="00F003AA" w:rsidRPr="00FF2363">
        <w:rPr>
          <w:iCs/>
        </w:rPr>
        <w:t xml:space="preserve"> and</w:t>
      </w:r>
      <w:r w:rsidRPr="00FF2363">
        <w:rPr>
          <w:iCs/>
        </w:rPr>
        <w:t xml:space="preserve"> did not cross the threshold of seriousness </w:t>
      </w:r>
      <w:r w:rsidR="00342CF4" w:rsidRPr="00FF2363">
        <w:rPr>
          <w:iCs/>
        </w:rPr>
        <w:t>for</w:t>
      </w:r>
      <w:r w:rsidRPr="00FF2363">
        <w:rPr>
          <w:iCs/>
        </w:rPr>
        <w:t xml:space="preserve"> an issue </w:t>
      </w:r>
      <w:r w:rsidR="00342CF4" w:rsidRPr="00FF2363">
        <w:rPr>
          <w:iCs/>
        </w:rPr>
        <w:t xml:space="preserve">to be raised </w:t>
      </w:r>
      <w:r w:rsidR="00F003AA" w:rsidRPr="00FF2363">
        <w:rPr>
          <w:iCs/>
        </w:rPr>
        <w:t>under Article 8 of the Convention</w:t>
      </w:r>
      <w:r w:rsidRPr="00FF2363">
        <w:rPr>
          <w:iCs/>
        </w:rPr>
        <w:t>.</w:t>
      </w:r>
    </w:p>
    <w:p w:rsidR="002E253A" w:rsidRPr="00FF2363" w:rsidRDefault="002E253A" w:rsidP="00FF2363">
      <w:pPr>
        <w:pStyle w:val="ECHRPara"/>
      </w:pPr>
      <w:r w:rsidRPr="00FF2363">
        <w:rPr>
          <w:iCs/>
        </w:rPr>
        <w:fldChar w:fldCharType="begin"/>
      </w:r>
      <w:r w:rsidRPr="00FF2363">
        <w:rPr>
          <w:iCs/>
        </w:rPr>
        <w:instrText xml:space="preserve"> SEQ level0 \*arabic </w:instrText>
      </w:r>
      <w:r w:rsidRPr="00FF2363">
        <w:rPr>
          <w:iCs/>
        </w:rPr>
        <w:fldChar w:fldCharType="separate"/>
      </w:r>
      <w:r w:rsidR="00FF2363" w:rsidRPr="00FF2363">
        <w:rPr>
          <w:iCs/>
          <w:noProof/>
        </w:rPr>
        <w:t>134</w:t>
      </w:r>
      <w:r w:rsidRPr="00FF2363">
        <w:rPr>
          <w:iCs/>
        </w:rPr>
        <w:fldChar w:fldCharType="end"/>
      </w:r>
      <w:r w:rsidRPr="00FF2363">
        <w:rPr>
          <w:iCs/>
        </w:rPr>
        <w:t>.  </w:t>
      </w:r>
      <w:r w:rsidR="00F003AA" w:rsidRPr="00FF2363">
        <w:rPr>
          <w:iCs/>
        </w:rPr>
        <w:t>Given that neither the reasons for the applicant</w:t>
      </w:r>
      <w:r w:rsidR="00FF2363" w:rsidRPr="00FF2363">
        <w:rPr>
          <w:iCs/>
        </w:rPr>
        <w:t>’</w:t>
      </w:r>
      <w:r w:rsidR="00F003AA" w:rsidRPr="00FF2363">
        <w:rPr>
          <w:iCs/>
        </w:rPr>
        <w:t xml:space="preserve">s dismissal </w:t>
      </w:r>
      <w:r w:rsidR="006F4A81" w:rsidRPr="00FF2363">
        <w:rPr>
          <w:iCs/>
        </w:rPr>
        <w:t xml:space="preserve">were linked to </w:t>
      </w:r>
      <w:r w:rsidR="00F003AA" w:rsidRPr="00FF2363">
        <w:rPr>
          <w:iCs/>
        </w:rPr>
        <w:t xml:space="preserve">nor </w:t>
      </w:r>
      <w:r w:rsidR="006F4A81" w:rsidRPr="00FF2363">
        <w:rPr>
          <w:iCs/>
        </w:rPr>
        <w:t xml:space="preserve">that </w:t>
      </w:r>
      <w:r w:rsidR="00F003AA" w:rsidRPr="00FF2363">
        <w:rPr>
          <w:iCs/>
        </w:rPr>
        <w:t>the consequence</w:t>
      </w:r>
      <w:r w:rsidR="00E77D3F" w:rsidRPr="00FF2363">
        <w:rPr>
          <w:iCs/>
        </w:rPr>
        <w:t>s</w:t>
      </w:r>
      <w:r w:rsidR="00F003AA" w:rsidRPr="00FF2363">
        <w:rPr>
          <w:iCs/>
        </w:rPr>
        <w:t xml:space="preserve"> of that measure </w:t>
      </w:r>
      <w:r w:rsidR="00F42397" w:rsidRPr="00FF2363">
        <w:rPr>
          <w:iCs/>
        </w:rPr>
        <w:t xml:space="preserve">affected his “private life” </w:t>
      </w:r>
      <w:r w:rsidR="00342CF4" w:rsidRPr="00FF2363">
        <w:rPr>
          <w:iCs/>
        </w:rPr>
        <w:t>with</w:t>
      </w:r>
      <w:r w:rsidR="00F42397" w:rsidRPr="00FF2363">
        <w:rPr>
          <w:iCs/>
        </w:rPr>
        <w:t xml:space="preserve">in the meaning of Article 8, </w:t>
      </w:r>
      <w:r w:rsidR="00F003AA" w:rsidRPr="00FF2363">
        <w:rPr>
          <w:iCs/>
        </w:rPr>
        <w:t xml:space="preserve">the Court </w:t>
      </w:r>
      <w:r w:rsidR="00342CF4" w:rsidRPr="00FF2363">
        <w:rPr>
          <w:iCs/>
        </w:rPr>
        <w:t xml:space="preserve">finds </w:t>
      </w:r>
      <w:r w:rsidR="00F003AA" w:rsidRPr="00FF2363">
        <w:rPr>
          <w:iCs/>
        </w:rPr>
        <w:t xml:space="preserve">that </w:t>
      </w:r>
      <w:r w:rsidR="00F42397" w:rsidRPr="00FF2363">
        <w:rPr>
          <w:iCs/>
        </w:rPr>
        <w:t xml:space="preserve">this </w:t>
      </w:r>
      <w:r w:rsidRPr="00FF2363">
        <w:rPr>
          <w:iCs/>
        </w:rPr>
        <w:t>Article</w:t>
      </w:r>
      <w:r w:rsidR="00342CF4" w:rsidRPr="00FF2363">
        <w:rPr>
          <w:iCs/>
        </w:rPr>
        <w:t xml:space="preserve"> </w:t>
      </w:r>
      <w:r w:rsidRPr="00FF2363">
        <w:rPr>
          <w:iCs/>
        </w:rPr>
        <w:t>is not applicable</w:t>
      </w:r>
      <w:r w:rsidR="00F42397" w:rsidRPr="00FF2363">
        <w:rPr>
          <w:iCs/>
        </w:rPr>
        <w:t>. T</w:t>
      </w:r>
      <w:r w:rsidRPr="00FF2363">
        <w:rPr>
          <w:iCs/>
        </w:rPr>
        <w:t>he Government</w:t>
      </w:r>
      <w:r w:rsidR="00FF2363" w:rsidRPr="00FF2363">
        <w:rPr>
          <w:iCs/>
        </w:rPr>
        <w:t>’</w:t>
      </w:r>
      <w:r w:rsidRPr="00FF2363">
        <w:rPr>
          <w:iCs/>
        </w:rPr>
        <w:t xml:space="preserve">s objection </w:t>
      </w:r>
      <w:r w:rsidR="00342CF4" w:rsidRPr="00FF2363">
        <w:rPr>
          <w:iCs/>
        </w:rPr>
        <w:t xml:space="preserve">in this respect </w:t>
      </w:r>
      <w:r w:rsidRPr="00FF2363">
        <w:rPr>
          <w:iCs/>
        </w:rPr>
        <w:t xml:space="preserve">should </w:t>
      </w:r>
      <w:r w:rsidR="00F42397" w:rsidRPr="00FF2363">
        <w:rPr>
          <w:iCs/>
        </w:rPr>
        <w:t xml:space="preserve">therefore </w:t>
      </w:r>
      <w:r w:rsidRPr="00FF2363">
        <w:rPr>
          <w:iCs/>
        </w:rPr>
        <w:t xml:space="preserve">be upheld and the complaint must be dismissed as incompatible </w:t>
      </w:r>
      <w:r w:rsidRPr="00FF2363">
        <w:rPr>
          <w:i/>
          <w:iCs/>
        </w:rPr>
        <w:t xml:space="preserve">ratione materiae </w:t>
      </w:r>
      <w:r w:rsidRPr="00FF2363">
        <w:rPr>
          <w:iCs/>
        </w:rPr>
        <w:t xml:space="preserve">with the Convention pursuant to </w:t>
      </w:r>
      <w:r w:rsidRPr="00FF2363">
        <w:t xml:space="preserve">Article 35 §§ 3 (a) and 4. </w:t>
      </w:r>
      <w:r w:rsidR="00342CF4" w:rsidRPr="00FF2363">
        <w:t>In the light of</w:t>
      </w:r>
      <w:r w:rsidRPr="00FF2363">
        <w:t xml:space="preserve"> this conclusion, it is not necessary to rule on the Government</w:t>
      </w:r>
      <w:r w:rsidR="00FF2363" w:rsidRPr="00FF2363">
        <w:t>’</w:t>
      </w:r>
      <w:r w:rsidRPr="00FF2363">
        <w:t>s second objection, based on Article 35 § 3 (b) of the Convention.</w:t>
      </w:r>
    </w:p>
    <w:p w:rsidR="00F93E81" w:rsidRPr="00FF2363" w:rsidRDefault="003A6ED2" w:rsidP="00FF2363">
      <w:pPr>
        <w:pStyle w:val="ECHRHeading1"/>
      </w:pPr>
      <w:r w:rsidRPr="00FF2363">
        <w:t xml:space="preserve">III.  ALLEGED VIOLATIONS OF ARTICLE </w:t>
      </w:r>
      <w:r w:rsidR="001450D2" w:rsidRPr="00FF2363">
        <w:t>1</w:t>
      </w:r>
      <w:r w:rsidRPr="00FF2363">
        <w:t>8 OF THE CONVENTION AND ARTICLE 1 OF PROTOCOL N</w:t>
      </w:r>
      <w:r w:rsidR="00342CF4" w:rsidRPr="00FF2363">
        <w:t>o</w:t>
      </w:r>
      <w:r w:rsidRPr="00FF2363">
        <w:t>. 1</w:t>
      </w:r>
    </w:p>
    <w:p w:rsidR="003A6ED2" w:rsidRPr="00FF2363" w:rsidRDefault="003A6ED2"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135</w:t>
      </w:r>
      <w:r w:rsidRPr="00FF2363">
        <w:fldChar w:fldCharType="end"/>
      </w:r>
      <w:r w:rsidRPr="00FF2363">
        <w:t xml:space="preserve">.  The applicant asserted </w:t>
      </w:r>
      <w:r w:rsidR="00F42397" w:rsidRPr="00FF2363">
        <w:t xml:space="preserve">before the Grand Chamber </w:t>
      </w:r>
      <w:r w:rsidRPr="00FF2363">
        <w:t>that his dismissal from the position of president of the Kyiv Administrative Court of Appeal had pursued ulterior political purposes, in breach of Article 18 of the Convention. He further complained of a violation of his pecuniary rights under Article 1 of Protocol No. 1 because he had been precluded from receiving a higher salary and higher retirement benefits. Those Articles provide:</w:t>
      </w:r>
    </w:p>
    <w:p w:rsidR="003A6ED2" w:rsidRPr="00FF2363" w:rsidRDefault="003A6ED2" w:rsidP="00FF2363">
      <w:pPr>
        <w:pStyle w:val="ECHRTitleCentre3"/>
      </w:pPr>
      <w:r w:rsidRPr="00FF2363">
        <w:lastRenderedPageBreak/>
        <w:t>Article 18</w:t>
      </w:r>
    </w:p>
    <w:p w:rsidR="003A6ED2" w:rsidRPr="00FF2363" w:rsidRDefault="003A6ED2" w:rsidP="00FF2363">
      <w:pPr>
        <w:pStyle w:val="ECHRParaQuote"/>
      </w:pPr>
      <w:r w:rsidRPr="00FF2363">
        <w:t>“The restrictions permitted under this Convention to the said rights and freedoms shall not be applied for any purpose other than those for which they have been prescribed.”</w:t>
      </w:r>
    </w:p>
    <w:p w:rsidR="003A6ED2" w:rsidRPr="00FF2363" w:rsidRDefault="003A6ED2" w:rsidP="00FF2363">
      <w:pPr>
        <w:pStyle w:val="ECHRTitleCentre3"/>
      </w:pPr>
      <w:r w:rsidRPr="00FF2363">
        <w:t>Article 1 of Protocol No. 1</w:t>
      </w:r>
    </w:p>
    <w:p w:rsidR="003A6ED2" w:rsidRPr="00FF2363" w:rsidRDefault="003A6ED2" w:rsidP="00FF2363">
      <w:pPr>
        <w:pStyle w:val="ECHRParaQuote"/>
      </w:pPr>
      <w:r w:rsidRPr="00FF2363">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3A6ED2" w:rsidRPr="00FF2363" w:rsidRDefault="003A6ED2" w:rsidP="00FF2363">
      <w:pPr>
        <w:pStyle w:val="ECHRParaQuote"/>
      </w:pPr>
      <w:r w:rsidRPr="00FF2363">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D52EA3" w:rsidRPr="00FF2363" w:rsidRDefault="003A6ED2"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136</w:t>
      </w:r>
      <w:r w:rsidRPr="00FF2363">
        <w:fldChar w:fldCharType="end"/>
      </w:r>
      <w:r w:rsidRPr="00FF2363">
        <w:t>.  The Court notes that the applicant</w:t>
      </w:r>
      <w:r w:rsidR="00FF2363" w:rsidRPr="00FF2363">
        <w:t>’</w:t>
      </w:r>
      <w:r w:rsidRPr="00FF2363">
        <w:t>s complaint under Article 18 of the Convention was raised for the first time in 2017, in the applicant</w:t>
      </w:r>
      <w:r w:rsidR="00FF2363" w:rsidRPr="00FF2363">
        <w:t>’</w:t>
      </w:r>
      <w:r w:rsidRPr="00FF2363">
        <w:t xml:space="preserve">s submissions to the Grand Chamber. The complaint was </w:t>
      </w:r>
      <w:r w:rsidR="00084923" w:rsidRPr="00FF2363">
        <w:t xml:space="preserve">therefore lodged </w:t>
      </w:r>
      <w:r w:rsidRPr="00FF2363">
        <w:t>outside the six-month time-limit and must be declared inadmissible in accordance with Article 35 §§ 1 and 4 of the Convention</w:t>
      </w:r>
      <w:r w:rsidR="00C622CF" w:rsidRPr="00FF2363">
        <w:t>.</w:t>
      </w:r>
    </w:p>
    <w:p w:rsidR="003A6ED2" w:rsidRPr="00FF2363" w:rsidRDefault="003A6ED2"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137</w:t>
      </w:r>
      <w:r w:rsidRPr="00FF2363">
        <w:fldChar w:fldCharType="end"/>
      </w:r>
      <w:r w:rsidRPr="00FF2363">
        <w:t>.  As to the applicant</w:t>
      </w:r>
      <w:r w:rsidR="00FF2363" w:rsidRPr="00FF2363">
        <w:t>’</w:t>
      </w:r>
      <w:r w:rsidRPr="00FF2363">
        <w:t>s complaint under Article 1 of Protocol No.</w:t>
      </w:r>
      <w:r w:rsidR="00DF113A" w:rsidRPr="00FF2363">
        <w:t> </w:t>
      </w:r>
      <w:r w:rsidRPr="00FF2363">
        <w:t xml:space="preserve">1, </w:t>
      </w:r>
      <w:r w:rsidRPr="00FF2363">
        <w:rPr>
          <w:iCs/>
        </w:rPr>
        <w:t xml:space="preserve">this </w:t>
      </w:r>
      <w:r w:rsidR="00084923" w:rsidRPr="00FF2363">
        <w:rPr>
          <w:iCs/>
        </w:rPr>
        <w:t>Article</w:t>
      </w:r>
      <w:r w:rsidR="00084923" w:rsidRPr="00FF2363">
        <w:t xml:space="preserve"> </w:t>
      </w:r>
      <w:r w:rsidRPr="00FF2363">
        <w:t>applies only to a person</w:t>
      </w:r>
      <w:r w:rsidR="00FF2363" w:rsidRPr="00FF2363">
        <w:t>’</w:t>
      </w:r>
      <w:r w:rsidRPr="00FF2363">
        <w:t xml:space="preserve">s existing possessions and does not create a right to acquire property (see </w:t>
      </w:r>
      <w:r w:rsidRPr="00FF2363">
        <w:rPr>
          <w:i/>
          <w:iCs/>
        </w:rPr>
        <w:t>Stummer v. Austria</w:t>
      </w:r>
      <w:r w:rsidR="00A25479" w:rsidRPr="00FF2363">
        <w:t xml:space="preserve"> [GC], no. </w:t>
      </w:r>
      <w:r w:rsidRPr="00FF2363">
        <w:t xml:space="preserve">37452/02, § 82, ECHR 2011). </w:t>
      </w:r>
      <w:r w:rsidR="00084923" w:rsidRPr="00FF2363">
        <w:t>F</w:t>
      </w:r>
      <w:r w:rsidRPr="00FF2363">
        <w:t xml:space="preserve">uture income cannot be considered to constitute “possessions” unless it has already been earned or is definitely payable (see </w:t>
      </w:r>
      <w:r w:rsidRPr="00FF2363">
        <w:rPr>
          <w:i/>
          <w:iCs/>
        </w:rPr>
        <w:t xml:space="preserve">Erkan v. Turkey </w:t>
      </w:r>
      <w:r w:rsidRPr="00FF2363">
        <w:t>(dec.), no. 29840/03, 24 March 2005</w:t>
      </w:r>
      <w:r w:rsidR="00084923" w:rsidRPr="00FF2363">
        <w:t>,</w:t>
      </w:r>
      <w:r w:rsidRPr="00FF2363">
        <w:t xml:space="preserve"> and </w:t>
      </w:r>
      <w:r w:rsidRPr="00FF2363">
        <w:rPr>
          <w:i/>
          <w:iCs/>
        </w:rPr>
        <w:t>Anheuser-Busch Inc. v. Portugal</w:t>
      </w:r>
      <w:r w:rsidRPr="00FF2363">
        <w:t xml:space="preserve"> [GC], no. 73049/01, § 64, ECHR 2007</w:t>
      </w:r>
      <w:r w:rsidRPr="00FF2363">
        <w:noBreakHyphen/>
        <w:t xml:space="preserve">I). The </w:t>
      </w:r>
      <w:r w:rsidR="00084923" w:rsidRPr="00FF2363">
        <w:t>applicant</w:t>
      </w:r>
      <w:r w:rsidR="00FF2363" w:rsidRPr="00FF2363">
        <w:t>’</w:t>
      </w:r>
      <w:r w:rsidR="00084923" w:rsidRPr="00FF2363">
        <w:t xml:space="preserve">s </w:t>
      </w:r>
      <w:r w:rsidRPr="00FF2363">
        <w:t xml:space="preserve">dismissal from the post of court president precluded him from receiving a higher salary </w:t>
      </w:r>
      <w:r w:rsidR="00084923" w:rsidRPr="00FF2363">
        <w:t xml:space="preserve">in </w:t>
      </w:r>
      <w:r w:rsidRPr="00FF2363">
        <w:t xml:space="preserve">that </w:t>
      </w:r>
      <w:r w:rsidR="00793B64" w:rsidRPr="00FF2363">
        <w:t>position</w:t>
      </w:r>
      <w:r w:rsidRPr="00FF2363">
        <w:t xml:space="preserve"> and applying for higher retirement benefits</w:t>
      </w:r>
      <w:r w:rsidR="00084923" w:rsidRPr="00FF2363">
        <w:t xml:space="preserve"> at a later stage</w:t>
      </w:r>
      <w:r w:rsidRPr="00FF2363">
        <w:t xml:space="preserve">. However, this </w:t>
      </w:r>
      <w:r w:rsidR="00084923" w:rsidRPr="00FF2363">
        <w:t xml:space="preserve">additional </w:t>
      </w:r>
      <w:r w:rsidRPr="00FF2363">
        <w:t xml:space="preserve">income has not actually </w:t>
      </w:r>
      <w:r w:rsidR="00084923" w:rsidRPr="00FF2363">
        <w:t xml:space="preserve">been </w:t>
      </w:r>
      <w:r w:rsidRPr="00FF2363">
        <w:t>earned. Neither can it be argued that it was definitely payable. In these circumstances, th</w:t>
      </w:r>
      <w:r w:rsidR="00084923" w:rsidRPr="00FF2363">
        <w:t>is</w:t>
      </w:r>
      <w:r w:rsidRPr="00FF2363">
        <w:t xml:space="preserve"> complaint is incompatible </w:t>
      </w:r>
      <w:r w:rsidRPr="00FF2363">
        <w:rPr>
          <w:i/>
        </w:rPr>
        <w:t>ratione materiae</w:t>
      </w:r>
      <w:r w:rsidRPr="00FF2363">
        <w:t xml:space="preserve"> with the provisions of the Convention</w:t>
      </w:r>
      <w:r w:rsidR="00084923" w:rsidRPr="00FF2363">
        <w:t xml:space="preserve"> and the Protocols thereto</w:t>
      </w:r>
      <w:r w:rsidRPr="00FF2363">
        <w:t xml:space="preserve"> and must be rejected in accordance with Article 35 §§ 3 (a) and 4.</w:t>
      </w:r>
    </w:p>
    <w:p w:rsidR="003A6ED2" w:rsidRPr="00FF2363" w:rsidRDefault="003A6ED2" w:rsidP="00FF2363">
      <w:pPr>
        <w:pStyle w:val="ECHRHeading1"/>
      </w:pPr>
      <w:r w:rsidRPr="00FF2363">
        <w:t>IV.  OTHER ALLEGED VIOLATIONS OF THE CONVENTION</w:t>
      </w:r>
    </w:p>
    <w:p w:rsidR="00F93E81" w:rsidRPr="00FF2363" w:rsidRDefault="003A6ED2"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138</w:t>
      </w:r>
      <w:r w:rsidRPr="00FF2363">
        <w:fldChar w:fldCharType="end"/>
      </w:r>
      <w:r w:rsidRPr="00FF2363">
        <w:t>.  The applicant complained under Article 6 § 1 of the Convention that the principles of equality of arms, legal certainty and</w:t>
      </w:r>
      <w:r w:rsidR="00B141BD" w:rsidRPr="00FF2363">
        <w:t xml:space="preserve"> </w:t>
      </w:r>
      <w:r w:rsidRPr="00FF2363">
        <w:t>a “tribunal established by law” had been breached and that the requirement for decisions to contain proper reasons had not been complied with. Relying on Article 13 of the Convention, the applicant alleged that there had been no effective remedy in his case.</w:t>
      </w:r>
    </w:p>
    <w:p w:rsidR="004C7B8E" w:rsidRPr="00FF2363" w:rsidRDefault="003A6ED2"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139</w:t>
      </w:r>
      <w:r w:rsidRPr="00FF2363">
        <w:fldChar w:fldCharType="end"/>
      </w:r>
      <w:r w:rsidRPr="00FF2363">
        <w:t>.  Having regard to the facts of the case and the above findings under Article 6</w:t>
      </w:r>
      <w:r w:rsidR="00C601D7" w:rsidRPr="00FF2363">
        <w:t> § 1</w:t>
      </w:r>
      <w:r w:rsidRPr="00FF2363">
        <w:t xml:space="preserve"> of the Convention as regards the principles of</w:t>
      </w:r>
      <w:r w:rsidR="00084923" w:rsidRPr="00FF2363">
        <w:t xml:space="preserve"> an</w:t>
      </w:r>
      <w:r w:rsidRPr="00FF2363">
        <w:t xml:space="preserve"> independent </w:t>
      </w:r>
      <w:r w:rsidRPr="00FF2363">
        <w:lastRenderedPageBreak/>
        <w:t xml:space="preserve">and impartial tribunal, the Court considers that the main legal questions under the Convention have been determined. It follows that there is no need to give a separate ruling on the admissibility and merits of the remaining complaints (see, among other authorities, </w:t>
      </w:r>
      <w:r w:rsidRPr="00FF2363">
        <w:rPr>
          <w:i/>
        </w:rPr>
        <w:t>Varnava and Others v.</w:t>
      </w:r>
      <w:r w:rsidR="00DF113A" w:rsidRPr="00FF2363">
        <w:rPr>
          <w:i/>
        </w:rPr>
        <w:t> </w:t>
      </w:r>
      <w:r w:rsidRPr="00FF2363">
        <w:rPr>
          <w:i/>
        </w:rPr>
        <w:t>Turkey</w:t>
      </w:r>
      <w:r w:rsidRPr="00FF2363">
        <w:t xml:space="preserve"> [GC], nos. 16064/90 and 8 others, §§ 210-11, ECHR 2009, and </w:t>
      </w:r>
      <w:r w:rsidRPr="00FF2363">
        <w:rPr>
          <w:i/>
        </w:rPr>
        <w:t>Centre for Legal Resources on behalf of Valentin Câmpeanu v. Romania</w:t>
      </w:r>
      <w:r w:rsidRPr="00FF2363">
        <w:t xml:space="preserve"> [GC], no.</w:t>
      </w:r>
      <w:r w:rsidR="00DF113A" w:rsidRPr="00FF2363">
        <w:t> </w:t>
      </w:r>
      <w:r w:rsidRPr="00FF2363">
        <w:t>47848/08, § 156, ECHR 2014, with further references).</w:t>
      </w:r>
    </w:p>
    <w:p w:rsidR="00014566" w:rsidRPr="00FF2363" w:rsidRDefault="004C7B8E" w:rsidP="00FF2363">
      <w:pPr>
        <w:pStyle w:val="ECHRHeading1"/>
      </w:pPr>
      <w:r w:rsidRPr="00FF2363">
        <w:t>V</w:t>
      </w:r>
      <w:r w:rsidR="00014566" w:rsidRPr="00FF2363">
        <w:t>.  APPLICATION OF ARTICLE 41 OF THE CONVENTION</w:t>
      </w:r>
    </w:p>
    <w:p w:rsidR="00014566"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140</w:t>
      </w:r>
      <w:r w:rsidRPr="00FF2363">
        <w:fldChar w:fldCharType="end"/>
      </w:r>
      <w:r w:rsidR="00014566" w:rsidRPr="00FF2363">
        <w:t>.  Article 41 of the Convention provides:</w:t>
      </w:r>
    </w:p>
    <w:p w:rsidR="00014566" w:rsidRPr="00FF2363" w:rsidRDefault="00014566" w:rsidP="00FF2363">
      <w:pPr>
        <w:pStyle w:val="ECHRParaQuote"/>
        <w:keepNext/>
        <w:keepLines/>
      </w:pPr>
      <w:r w:rsidRPr="00FF236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FF2363" w:rsidRDefault="00014566" w:rsidP="00FF2363">
      <w:pPr>
        <w:pStyle w:val="ECHRHeading2"/>
      </w:pPr>
      <w:r w:rsidRPr="00FF2363">
        <w:t>A.  Damage</w:t>
      </w:r>
    </w:p>
    <w:p w:rsidR="00835569"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141</w:t>
      </w:r>
      <w:r w:rsidRPr="00FF2363">
        <w:fldChar w:fldCharType="end"/>
      </w:r>
      <w:r w:rsidR="00014566" w:rsidRPr="00FF2363">
        <w:t>.  </w:t>
      </w:r>
      <w:r w:rsidR="004C7B8E" w:rsidRPr="00FF2363">
        <w:t xml:space="preserve">The applicant </w:t>
      </w:r>
      <w:r w:rsidR="007A4E16" w:rsidRPr="00FF2363">
        <w:t xml:space="preserve">initially submitted a </w:t>
      </w:r>
      <w:r w:rsidR="004C7B8E" w:rsidRPr="00FF2363">
        <w:t>claim</w:t>
      </w:r>
      <w:r w:rsidR="007A4E16" w:rsidRPr="00FF2363">
        <w:t xml:space="preserve"> </w:t>
      </w:r>
      <w:r w:rsidR="00084923" w:rsidRPr="00FF2363">
        <w:t xml:space="preserve">in respect of </w:t>
      </w:r>
      <w:r w:rsidR="007A4E16" w:rsidRPr="00FF2363">
        <w:t>pecuniary damage</w:t>
      </w:r>
      <w:r w:rsidR="00084923" w:rsidRPr="00FF2363">
        <w:t>,</w:t>
      </w:r>
      <w:r w:rsidR="007A4E16" w:rsidRPr="00FF2363">
        <w:t xml:space="preserve"> which he subsequently withdrew</w:t>
      </w:r>
      <w:r w:rsidR="009E1231" w:rsidRPr="00FF2363">
        <w:t xml:space="preserve"> </w:t>
      </w:r>
      <w:r w:rsidR="00084923" w:rsidRPr="00FF2363">
        <w:t>in a</w:t>
      </w:r>
      <w:r w:rsidR="009E1231" w:rsidRPr="00FF2363">
        <w:t xml:space="preserve"> letter of 24 November 2017</w:t>
      </w:r>
      <w:r w:rsidR="007A4E16" w:rsidRPr="00FF2363">
        <w:t xml:space="preserve">. </w:t>
      </w:r>
      <w:r w:rsidR="004C7B8E" w:rsidRPr="00FF2363">
        <w:t xml:space="preserve">The applicant </w:t>
      </w:r>
      <w:r w:rsidR="007A4E16" w:rsidRPr="00FF2363">
        <w:t xml:space="preserve">also </w:t>
      </w:r>
      <w:r w:rsidR="004C7B8E" w:rsidRPr="00FF2363">
        <w:t xml:space="preserve">claimed 10,000 </w:t>
      </w:r>
      <w:r w:rsidR="00C73A78" w:rsidRPr="00FF2363">
        <w:t xml:space="preserve">euros (EUR) </w:t>
      </w:r>
      <w:r w:rsidR="004C7B8E" w:rsidRPr="00FF2363">
        <w:t>in respect of non-pecuniary damage.</w:t>
      </w:r>
    </w:p>
    <w:p w:rsidR="00014566" w:rsidRPr="00FF2363" w:rsidRDefault="004C7B8E"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142</w:t>
      </w:r>
      <w:r w:rsidRPr="00FF2363">
        <w:fldChar w:fldCharType="end"/>
      </w:r>
      <w:r w:rsidRPr="00FF2363">
        <w:t>.  The Government submitted that the claim</w:t>
      </w:r>
      <w:r w:rsidR="007A4E16" w:rsidRPr="00FF2363">
        <w:t xml:space="preserve"> for non-pecuniary damage</w:t>
      </w:r>
      <w:r w:rsidRPr="00FF2363">
        <w:t xml:space="preserve"> w</w:t>
      </w:r>
      <w:r w:rsidR="007A4E16" w:rsidRPr="00FF2363">
        <w:t>as</w:t>
      </w:r>
      <w:r w:rsidRPr="00FF2363">
        <w:t xml:space="preserve"> unfounded.</w:t>
      </w:r>
    </w:p>
    <w:p w:rsidR="00014566"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143</w:t>
      </w:r>
      <w:r w:rsidRPr="00FF2363">
        <w:fldChar w:fldCharType="end"/>
      </w:r>
      <w:r w:rsidR="00014566" w:rsidRPr="00FF2363">
        <w:t xml:space="preserve">.  The Court </w:t>
      </w:r>
      <w:r w:rsidR="007A4E16" w:rsidRPr="00FF2363">
        <w:t xml:space="preserve">considers that the applicant must have sustained non-pecuniary damage which the finding of </w:t>
      </w:r>
      <w:r w:rsidR="00084923" w:rsidRPr="00FF2363">
        <w:t xml:space="preserve">a </w:t>
      </w:r>
      <w:r w:rsidR="007A4E16" w:rsidRPr="00FF2363">
        <w:t xml:space="preserve">violation of the Convention in this judgment does not suffice to remedy. </w:t>
      </w:r>
      <w:r w:rsidR="00084923" w:rsidRPr="00FF2363">
        <w:t>R</w:t>
      </w:r>
      <w:r w:rsidR="007A4E16" w:rsidRPr="00FF2363">
        <w:t>uling on an equitable basis,</w:t>
      </w:r>
      <w:r w:rsidR="00014566" w:rsidRPr="00FF2363">
        <w:t xml:space="preserve"> it awards the applicant EUR </w:t>
      </w:r>
      <w:r w:rsidR="009E1231" w:rsidRPr="00FF2363">
        <w:t>3</w:t>
      </w:r>
      <w:r w:rsidR="004C7B8E" w:rsidRPr="00FF2363">
        <w:t>,000</w:t>
      </w:r>
      <w:r w:rsidR="00014566" w:rsidRPr="00FF2363">
        <w:t xml:space="preserve"> in respect of non-pecuniary damage.</w:t>
      </w:r>
    </w:p>
    <w:p w:rsidR="00014566" w:rsidRPr="00FF2363" w:rsidRDefault="00014566" w:rsidP="00FF2363">
      <w:pPr>
        <w:pStyle w:val="ECHRHeading2"/>
      </w:pPr>
      <w:r w:rsidRPr="00FF2363">
        <w:t>B.  Costs and expenses</w:t>
      </w:r>
    </w:p>
    <w:p w:rsidR="00F93E81"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144</w:t>
      </w:r>
      <w:r w:rsidRPr="00FF2363">
        <w:fldChar w:fldCharType="end"/>
      </w:r>
      <w:r w:rsidR="00014566" w:rsidRPr="00FF2363">
        <w:t>.  </w:t>
      </w:r>
      <w:r w:rsidR="003A6ED2" w:rsidRPr="00FF2363">
        <w:t xml:space="preserve">In the </w:t>
      </w:r>
      <w:r w:rsidR="00752F31" w:rsidRPr="00FF2363">
        <w:t xml:space="preserve">Chamber </w:t>
      </w:r>
      <w:r w:rsidR="003A6ED2" w:rsidRPr="00FF2363">
        <w:t>proceedings</w:t>
      </w:r>
      <w:r w:rsidR="00752F31" w:rsidRPr="00FF2363">
        <w:t>,</w:t>
      </w:r>
      <w:r w:rsidR="003A6ED2" w:rsidRPr="00FF2363">
        <w:t xml:space="preserve"> Mr Denisov </w:t>
      </w:r>
      <w:r w:rsidR="00752F31" w:rsidRPr="00FF2363">
        <w:t xml:space="preserve">and </w:t>
      </w:r>
      <w:r w:rsidR="003A6ED2" w:rsidRPr="00FF2363">
        <w:t xml:space="preserve">eleven </w:t>
      </w:r>
      <w:r w:rsidR="00752F31" w:rsidRPr="00FF2363">
        <w:t xml:space="preserve">other </w:t>
      </w:r>
      <w:r w:rsidR="003A6ED2" w:rsidRPr="00FF2363">
        <w:t>applicants claimed jointly 15,691.97 pounds</w:t>
      </w:r>
      <w:r w:rsidR="00A2132E" w:rsidRPr="00FF2363">
        <w:t xml:space="preserve"> sterling</w:t>
      </w:r>
      <w:r w:rsidR="003A6ED2" w:rsidRPr="00FF2363">
        <w:t xml:space="preserve"> (GBP) in respect of costs and expenses. </w:t>
      </w:r>
      <w:r w:rsidR="009E1231" w:rsidRPr="00FF2363">
        <w:t xml:space="preserve">Subsequently, the application </w:t>
      </w:r>
      <w:r w:rsidR="00A2132E" w:rsidRPr="00FF2363">
        <w:t xml:space="preserve">by </w:t>
      </w:r>
      <w:r w:rsidR="009E1231" w:rsidRPr="00FF2363">
        <w:t xml:space="preserve">Mr Denisov was </w:t>
      </w:r>
      <w:r w:rsidR="00A2132E" w:rsidRPr="00FF2363">
        <w:t xml:space="preserve">dealt with </w:t>
      </w:r>
      <w:r w:rsidR="009E1231" w:rsidRPr="00FF2363">
        <w:t xml:space="preserve">separately, </w:t>
      </w:r>
      <w:r w:rsidR="00A2132E" w:rsidRPr="00FF2363">
        <w:t>following</w:t>
      </w:r>
      <w:r w:rsidR="009E1231" w:rsidRPr="00FF2363">
        <w:t xml:space="preserve"> relinquishment of jurisdiction in favour of the Grand Chamber. </w:t>
      </w:r>
      <w:r w:rsidR="003A6ED2" w:rsidRPr="00FF2363">
        <w:t>Before the Grand Chamber</w:t>
      </w:r>
      <w:r w:rsidR="00752F31" w:rsidRPr="00FF2363">
        <w:t>,</w:t>
      </w:r>
      <w:r w:rsidR="003A6ED2" w:rsidRPr="00FF2363">
        <w:t xml:space="preserve"> Mr Denisov</w:t>
      </w:r>
      <w:r w:rsidR="000F5506" w:rsidRPr="00FF2363">
        <w:t xml:space="preserve">, who </w:t>
      </w:r>
      <w:r w:rsidR="00B761A6" w:rsidRPr="00FF2363">
        <w:t xml:space="preserve">was </w:t>
      </w:r>
      <w:r w:rsidR="000F5506" w:rsidRPr="00FF2363">
        <w:t xml:space="preserve">represented by two </w:t>
      </w:r>
      <w:r w:rsidR="009B1F8B" w:rsidRPr="00FF2363">
        <w:t>lawyers</w:t>
      </w:r>
      <w:r w:rsidR="000F5506" w:rsidRPr="00FF2363">
        <w:t>,</w:t>
      </w:r>
      <w:r w:rsidR="003A6ED2" w:rsidRPr="00FF2363">
        <w:t xml:space="preserve"> claimed GBP 33,600 in respect of legal fees, GBP</w:t>
      </w:r>
      <w:r w:rsidR="00C73A78" w:rsidRPr="00FF2363">
        <w:t> </w:t>
      </w:r>
      <w:r w:rsidR="003A6ED2" w:rsidRPr="00FF2363">
        <w:t xml:space="preserve">1,418.98 and </w:t>
      </w:r>
      <w:r w:rsidR="00C73A78" w:rsidRPr="00FF2363">
        <w:t>EUR </w:t>
      </w:r>
      <w:r w:rsidR="003A6ED2" w:rsidRPr="00FF2363">
        <w:t xml:space="preserve">2,499.79 in respect of administrative and translation costs and other disbursements, </w:t>
      </w:r>
      <w:r w:rsidR="00A2132E" w:rsidRPr="00FF2363">
        <w:t>and</w:t>
      </w:r>
      <w:r w:rsidR="003A6ED2" w:rsidRPr="00FF2363">
        <w:t xml:space="preserve"> GBP 712, EUR 630</w:t>
      </w:r>
      <w:r w:rsidR="00A2132E" w:rsidRPr="00FF2363">
        <w:t>.</w:t>
      </w:r>
      <w:r w:rsidR="003A6ED2" w:rsidRPr="00FF2363">
        <w:t>2</w:t>
      </w:r>
      <w:r w:rsidR="00A2132E" w:rsidRPr="00FF2363">
        <w:t>0</w:t>
      </w:r>
      <w:r w:rsidR="003A6ED2" w:rsidRPr="00FF2363">
        <w:t xml:space="preserve"> and UAH 8,867 in respect of travel expenses</w:t>
      </w:r>
      <w:r w:rsidR="00C23B77" w:rsidRPr="00FF2363">
        <w:t>, including the applicant</w:t>
      </w:r>
      <w:r w:rsidR="00FF2363" w:rsidRPr="00FF2363">
        <w:t>’</w:t>
      </w:r>
      <w:r w:rsidR="00C23B77" w:rsidRPr="00FF2363">
        <w:t xml:space="preserve">s personal </w:t>
      </w:r>
      <w:r w:rsidR="00342F9D" w:rsidRPr="00FF2363">
        <w:t>appearance</w:t>
      </w:r>
      <w:r w:rsidR="00C23B77" w:rsidRPr="00FF2363">
        <w:t xml:space="preserve"> at the hearing before the Court</w:t>
      </w:r>
      <w:r w:rsidR="003A6ED2" w:rsidRPr="00FF2363">
        <w:t xml:space="preserve">. The applicant asked </w:t>
      </w:r>
      <w:r w:rsidR="00A2132E" w:rsidRPr="00FF2363">
        <w:t xml:space="preserve">for </w:t>
      </w:r>
      <w:r w:rsidR="003A6ED2" w:rsidRPr="00FF2363">
        <w:t xml:space="preserve">the award for costs and expenses to be paid </w:t>
      </w:r>
      <w:r w:rsidR="0010758C" w:rsidRPr="00FF2363">
        <w:t xml:space="preserve">into </w:t>
      </w:r>
      <w:r w:rsidR="003A6ED2" w:rsidRPr="00FF2363">
        <w:t xml:space="preserve">the UK bank account designated by </w:t>
      </w:r>
      <w:r w:rsidR="007A4E8C" w:rsidRPr="00FF2363">
        <w:t>his</w:t>
      </w:r>
      <w:r w:rsidR="003A6ED2" w:rsidRPr="00FF2363">
        <w:t xml:space="preserve"> representatives.</w:t>
      </w:r>
    </w:p>
    <w:p w:rsidR="00835569" w:rsidRPr="00FF2363" w:rsidRDefault="005F4885" w:rsidP="00FF2363">
      <w:pPr>
        <w:pStyle w:val="ECHRPara"/>
      </w:pPr>
      <w:r w:rsidRPr="00FF2363">
        <w:lastRenderedPageBreak/>
        <w:fldChar w:fldCharType="begin"/>
      </w:r>
      <w:r w:rsidRPr="00FF2363">
        <w:instrText xml:space="preserve"> SEQ level0 \*arabic </w:instrText>
      </w:r>
      <w:r w:rsidRPr="00FF2363">
        <w:fldChar w:fldCharType="separate"/>
      </w:r>
      <w:r w:rsidR="00FF2363" w:rsidRPr="00FF2363">
        <w:rPr>
          <w:noProof/>
        </w:rPr>
        <w:t>145</w:t>
      </w:r>
      <w:r w:rsidRPr="00FF2363">
        <w:fldChar w:fldCharType="end"/>
      </w:r>
      <w:r w:rsidR="00014566" w:rsidRPr="00FF2363">
        <w:t xml:space="preserve">.  The Government </w:t>
      </w:r>
      <w:r w:rsidR="00BC29C9" w:rsidRPr="00FF2363">
        <w:t xml:space="preserve">submitted that the claims </w:t>
      </w:r>
      <w:r w:rsidR="00A2132E" w:rsidRPr="00FF2363">
        <w:t>were</w:t>
      </w:r>
      <w:r w:rsidR="004034B1" w:rsidRPr="00FF2363">
        <w:t xml:space="preserve"> </w:t>
      </w:r>
      <w:r w:rsidR="002D1590" w:rsidRPr="00FF2363">
        <w:t>excessive</w:t>
      </w:r>
      <w:r w:rsidR="002A4E58" w:rsidRPr="00FF2363">
        <w:t xml:space="preserve"> </w:t>
      </w:r>
      <w:r w:rsidR="002D1590" w:rsidRPr="00FF2363">
        <w:t xml:space="preserve">and </w:t>
      </w:r>
      <w:r w:rsidR="002A4E58" w:rsidRPr="00FF2363">
        <w:t xml:space="preserve">not sufficiently </w:t>
      </w:r>
      <w:r w:rsidR="002D1590" w:rsidRPr="00FF2363">
        <w:t>substantiated.</w:t>
      </w:r>
      <w:r w:rsidR="002A4E58" w:rsidRPr="00FF2363">
        <w:t xml:space="preserve"> They argued </w:t>
      </w:r>
      <w:r w:rsidR="004034B1" w:rsidRPr="00FF2363">
        <w:t xml:space="preserve">in particular </w:t>
      </w:r>
      <w:r w:rsidR="002A4E58" w:rsidRPr="00FF2363">
        <w:t>that the</w:t>
      </w:r>
      <w:r w:rsidR="004034B1" w:rsidRPr="00FF2363">
        <w:t xml:space="preserve"> claims for legal fees had been exaggerated and the translation costs had not been necessarily incurred. Accordingly, the award under this head had to</w:t>
      </w:r>
      <w:r w:rsidR="002A4E58" w:rsidRPr="00FF2363">
        <w:t xml:space="preserve"> be </w:t>
      </w:r>
      <w:r w:rsidR="004034B1" w:rsidRPr="00FF2363">
        <w:t>decreased substantially if a violation of the Convention were found.</w:t>
      </w:r>
    </w:p>
    <w:p w:rsidR="00F93E81"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146</w:t>
      </w:r>
      <w:r w:rsidRPr="00FF2363">
        <w:fldChar w:fldCharType="end"/>
      </w:r>
      <w:r w:rsidR="00014566" w:rsidRPr="00FF2363">
        <w:t>.  </w:t>
      </w:r>
      <w:r w:rsidRPr="00FF2363">
        <w:t>According to the Court</w:t>
      </w:r>
      <w:r w:rsidR="00FF2363" w:rsidRPr="00FF2363">
        <w:t>’</w:t>
      </w:r>
      <w:r w:rsidRPr="00FF2363">
        <w:t xml:space="preserve">s case-law, an applicant is entitled to the reimbursement of costs and expenses only in so far as it has been shown that these have been actually and necessarily incurred and are reasonable as to quantum. </w:t>
      </w:r>
      <w:r w:rsidR="00C23B77" w:rsidRPr="00FF2363">
        <w:t xml:space="preserve">Furthermore, </w:t>
      </w:r>
      <w:r w:rsidR="001A44B3" w:rsidRPr="00FF2363">
        <w:t xml:space="preserve">costs and expenses </w:t>
      </w:r>
      <w:r w:rsidR="00C23B77" w:rsidRPr="00FF2363">
        <w:t>are only recoverable to the extent that they relate to the violation found (</w:t>
      </w:r>
      <w:r w:rsidR="001A44B3" w:rsidRPr="00FF2363">
        <w:t xml:space="preserve">see </w:t>
      </w:r>
      <w:r w:rsidR="00C23B77" w:rsidRPr="00FF2363">
        <w:rPr>
          <w:i/>
        </w:rPr>
        <w:t xml:space="preserve">Murray v. the Netherlands </w:t>
      </w:r>
      <w:r w:rsidR="00C23B77" w:rsidRPr="00FF2363">
        <w:t>[GC]</w:t>
      </w:r>
      <w:r w:rsidR="00C23B77" w:rsidRPr="00FF2363">
        <w:rPr>
          <w:snapToGrid w:val="0"/>
        </w:rPr>
        <w:t xml:space="preserve">, </w:t>
      </w:r>
      <w:r w:rsidR="00C23B77" w:rsidRPr="00FF2363">
        <w:t>no. 10511/10</w:t>
      </w:r>
      <w:r w:rsidR="00C23B77" w:rsidRPr="00FF2363">
        <w:rPr>
          <w:snapToGrid w:val="0"/>
        </w:rPr>
        <w:t>, § 134, ECHR 2016</w:t>
      </w:r>
      <w:r w:rsidR="00C23B77" w:rsidRPr="00FF2363">
        <w:t>). In this regard the Court notes that the applicant</w:t>
      </w:r>
      <w:r w:rsidR="00FF2363" w:rsidRPr="00FF2363">
        <w:t>’</w:t>
      </w:r>
      <w:r w:rsidR="00C23B77" w:rsidRPr="00FF2363">
        <w:t xml:space="preserve">s complaints were only partially successful and </w:t>
      </w:r>
      <w:r w:rsidR="00A07D84" w:rsidRPr="00FF2363">
        <w:t xml:space="preserve">that </w:t>
      </w:r>
      <w:r w:rsidR="008232E8" w:rsidRPr="00FF2363">
        <w:t xml:space="preserve">a substantial </w:t>
      </w:r>
      <w:r w:rsidR="00A07D84" w:rsidRPr="00FF2363">
        <w:t xml:space="preserve">portion </w:t>
      </w:r>
      <w:r w:rsidR="008232E8" w:rsidRPr="00FF2363">
        <w:t xml:space="preserve">of </w:t>
      </w:r>
      <w:r w:rsidR="00C23B77" w:rsidRPr="00FF2363">
        <w:t xml:space="preserve">his pleadings concerned an inadmissible part of the application. In such circumstances the Court may find it appropriate to reduce the </w:t>
      </w:r>
      <w:r w:rsidR="00A07D84" w:rsidRPr="00FF2363">
        <w:t xml:space="preserve">award in respect </w:t>
      </w:r>
      <w:r w:rsidR="00C23B77" w:rsidRPr="00FF2363">
        <w:t xml:space="preserve">of costs and expenses (see, for example, </w:t>
      </w:r>
      <w:r w:rsidR="00C23B77" w:rsidRPr="00FF2363">
        <w:rPr>
          <w:i/>
        </w:rPr>
        <w:t>Bykov v.</w:t>
      </w:r>
      <w:r w:rsidR="00DF113A" w:rsidRPr="00FF2363">
        <w:rPr>
          <w:i/>
        </w:rPr>
        <w:t> </w:t>
      </w:r>
      <w:r w:rsidR="00C23B77" w:rsidRPr="00FF2363">
        <w:rPr>
          <w:i/>
        </w:rPr>
        <w:t>Russia</w:t>
      </w:r>
      <w:r w:rsidR="00C23B77" w:rsidRPr="00FF2363">
        <w:t xml:space="preserve"> [GC], no. 4378/02, § 114, 10 March 2009</w:t>
      </w:r>
      <w:r w:rsidR="008A4E94" w:rsidRPr="00FF2363">
        <w:t>,</w:t>
      </w:r>
      <w:r w:rsidR="00C23B77" w:rsidRPr="00FF2363">
        <w:t xml:space="preserve"> and </w:t>
      </w:r>
      <w:r w:rsidR="00C23B77" w:rsidRPr="00FF2363">
        <w:rPr>
          <w:i/>
          <w:lang w:val="es-ES_tradnl"/>
        </w:rPr>
        <w:t>Bayatyan v.</w:t>
      </w:r>
      <w:r w:rsidR="00DF113A" w:rsidRPr="00FF2363">
        <w:rPr>
          <w:i/>
          <w:lang w:val="es-ES_tradnl"/>
        </w:rPr>
        <w:t> </w:t>
      </w:r>
      <w:r w:rsidR="00C23B77" w:rsidRPr="00FF2363">
        <w:rPr>
          <w:i/>
          <w:lang w:val="es-ES_tradnl"/>
        </w:rPr>
        <w:t>Armenia</w:t>
      </w:r>
      <w:r w:rsidR="00C23B77" w:rsidRPr="00FF2363">
        <w:rPr>
          <w:lang w:val="es-ES_tradnl"/>
        </w:rPr>
        <w:t xml:space="preserve"> [GC], no. 23459/03, § 135, ECHR 2011</w:t>
      </w:r>
      <w:r w:rsidR="00C23B77" w:rsidRPr="00FF2363">
        <w:t>).</w:t>
      </w:r>
    </w:p>
    <w:p w:rsidR="00F93E81" w:rsidRPr="00FF2363" w:rsidRDefault="00C23B77"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147</w:t>
      </w:r>
      <w:r w:rsidRPr="00FF2363">
        <w:fldChar w:fldCharType="end"/>
      </w:r>
      <w:r w:rsidRPr="00FF2363">
        <w:t xml:space="preserve">.  The Court further notes that the personal appearance of the applicant before the Grand Chamber was not required </w:t>
      </w:r>
      <w:r w:rsidR="003F32BC" w:rsidRPr="00FF2363">
        <w:t xml:space="preserve">and it could be doubted if the costs and expenses in this regard were incurred necessarily </w:t>
      </w:r>
      <w:r w:rsidRPr="00FF2363">
        <w:t xml:space="preserve">(compare </w:t>
      </w:r>
      <w:r w:rsidRPr="00FF2363">
        <w:rPr>
          <w:i/>
        </w:rPr>
        <w:t>Martinie v. France</w:t>
      </w:r>
      <w:r w:rsidRPr="00FF2363">
        <w:t xml:space="preserve"> [GC], no. 58675/00, § 62, ECHR 2006</w:t>
      </w:r>
      <w:r w:rsidR="003333AA" w:rsidRPr="00FF2363">
        <w:t>-VI)</w:t>
      </w:r>
      <w:r w:rsidRPr="00FF2363">
        <w:t xml:space="preserve">. Nevertheless, </w:t>
      </w:r>
      <w:r w:rsidR="003F32BC" w:rsidRPr="00FF2363">
        <w:t>taking into account</w:t>
      </w:r>
      <w:r w:rsidRPr="00FF2363">
        <w:t xml:space="preserve"> the previous case-law (see, in particular, </w:t>
      </w:r>
      <w:r w:rsidRPr="00FF2363">
        <w:rPr>
          <w:i/>
        </w:rPr>
        <w:t xml:space="preserve">Folgerø and Others v. Norway </w:t>
      </w:r>
      <w:r w:rsidRPr="00FF2363">
        <w:t>[GC], no. 15472/02, § 112, ECHR 2007</w:t>
      </w:r>
      <w:r w:rsidRPr="00FF2363">
        <w:noBreakHyphen/>
        <w:t xml:space="preserve">III, </w:t>
      </w:r>
      <w:r w:rsidRPr="00FF2363">
        <w:rPr>
          <w:i/>
        </w:rPr>
        <w:t>Söderman v. Sweden</w:t>
      </w:r>
      <w:r w:rsidRPr="00FF2363">
        <w:t xml:space="preserve"> [GC], no. 5786/08</w:t>
      </w:r>
      <w:r w:rsidRPr="00FF2363">
        <w:rPr>
          <w:snapToGrid w:val="0"/>
        </w:rPr>
        <w:t xml:space="preserve">, § 126, </w:t>
      </w:r>
      <w:r w:rsidRPr="00FF2363">
        <w:t>ECHR 2013</w:t>
      </w:r>
      <w:r w:rsidR="008A4E94" w:rsidRPr="00FF2363">
        <w:t>,</w:t>
      </w:r>
      <w:r w:rsidRPr="00FF2363">
        <w:t xml:space="preserve"> and </w:t>
      </w:r>
      <w:r w:rsidRPr="00FF2363">
        <w:rPr>
          <w:i/>
        </w:rPr>
        <w:t>Jeunesse</w:t>
      </w:r>
      <w:r w:rsidRPr="00FF2363">
        <w:t xml:space="preserve"> </w:t>
      </w:r>
      <w:r w:rsidRPr="00FF2363">
        <w:rPr>
          <w:i/>
        </w:rPr>
        <w:t>v.</w:t>
      </w:r>
      <w:r w:rsidR="00F81955" w:rsidRPr="00FF2363">
        <w:rPr>
          <w:i/>
        </w:rPr>
        <w:t> </w:t>
      </w:r>
      <w:r w:rsidRPr="00FF2363">
        <w:rPr>
          <w:i/>
        </w:rPr>
        <w:t xml:space="preserve">the Netherlands </w:t>
      </w:r>
      <w:r w:rsidRPr="00FF2363">
        <w:t>[GC], no. 12738/10,</w:t>
      </w:r>
      <w:r w:rsidRPr="00FF2363">
        <w:rPr>
          <w:snapToGrid w:val="0"/>
        </w:rPr>
        <w:t xml:space="preserve"> § 135, </w:t>
      </w:r>
      <w:r w:rsidRPr="00FF2363">
        <w:t>3</w:t>
      </w:r>
      <w:r w:rsidRPr="00FF2363">
        <w:rPr>
          <w:snapToGrid w:val="0"/>
        </w:rPr>
        <w:t xml:space="preserve"> October 2014</w:t>
      </w:r>
      <w:r w:rsidRPr="00FF2363">
        <w:t>), the Court accepts that the costs and expenses connected with the applicant</w:t>
      </w:r>
      <w:r w:rsidR="00FF2363" w:rsidRPr="00FF2363">
        <w:t>’</w:t>
      </w:r>
      <w:r w:rsidRPr="00FF2363">
        <w:t xml:space="preserve">s </w:t>
      </w:r>
      <w:r w:rsidR="00342F9D" w:rsidRPr="00FF2363">
        <w:t xml:space="preserve">participation in the hearing </w:t>
      </w:r>
      <w:r w:rsidRPr="00FF2363">
        <w:t>before the Grand Chamber may be granted inasmuch as they are reasonable and properly substantiated.</w:t>
      </w:r>
    </w:p>
    <w:p w:rsidR="00014566" w:rsidRPr="00FF2363" w:rsidRDefault="00C23B77"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148</w:t>
      </w:r>
      <w:r w:rsidRPr="00FF2363">
        <w:fldChar w:fldCharType="end"/>
      </w:r>
      <w:r w:rsidRPr="00FF2363">
        <w:t>.  </w:t>
      </w:r>
      <w:r w:rsidR="005F4885" w:rsidRPr="00FF2363">
        <w:t xml:space="preserve">In </w:t>
      </w:r>
      <w:r w:rsidRPr="00FF2363">
        <w:t>the light of the above considerations</w:t>
      </w:r>
      <w:r w:rsidR="005F4885" w:rsidRPr="00FF2363">
        <w:t>, regard</w:t>
      </w:r>
      <w:r w:rsidR="00014566" w:rsidRPr="00FF2363">
        <w:t xml:space="preserve"> being had to the documents in its possession and </w:t>
      </w:r>
      <w:r w:rsidR="005F4885" w:rsidRPr="00FF2363">
        <w:t>the above criteria</w:t>
      </w:r>
      <w:r w:rsidR="00014566" w:rsidRPr="00FF2363">
        <w:t xml:space="preserve">, the Court considers it reasonable to award the sum of EUR </w:t>
      </w:r>
      <w:r w:rsidR="00342F9D" w:rsidRPr="00FF2363">
        <w:t>3</w:t>
      </w:r>
      <w:r w:rsidR="00030D01" w:rsidRPr="00FF2363">
        <w:t>,000</w:t>
      </w:r>
      <w:r w:rsidR="00014566" w:rsidRPr="00FF2363">
        <w:t xml:space="preserve"> covering costs under all heads.</w:t>
      </w:r>
      <w:r w:rsidR="00CB7F70" w:rsidRPr="00FF2363">
        <w:t xml:space="preserve"> </w:t>
      </w:r>
      <w:r w:rsidRPr="00FF2363">
        <w:t>As requested</w:t>
      </w:r>
      <w:r w:rsidR="00342F9D" w:rsidRPr="00FF2363">
        <w:t>,</w:t>
      </w:r>
      <w:r w:rsidRPr="00FF2363">
        <w:t xml:space="preserve"> </w:t>
      </w:r>
      <w:r w:rsidR="00342F9D" w:rsidRPr="00FF2363">
        <w:t xml:space="preserve">the </w:t>
      </w:r>
      <w:r w:rsidR="00CB7F70" w:rsidRPr="00FF2363">
        <w:t xml:space="preserve">amount awarded </w:t>
      </w:r>
      <w:r w:rsidR="00F30214" w:rsidRPr="00FF2363">
        <w:t>is</w:t>
      </w:r>
      <w:r w:rsidR="00CB7F70" w:rsidRPr="00FF2363">
        <w:t xml:space="preserve"> to be paid directly into the bank account </w:t>
      </w:r>
      <w:r w:rsidR="00F30214" w:rsidRPr="00FF2363">
        <w:t xml:space="preserve">designated by the </w:t>
      </w:r>
      <w:r w:rsidR="00CB7F70" w:rsidRPr="00FF2363">
        <w:t>applicant</w:t>
      </w:r>
      <w:r w:rsidR="00FF2363" w:rsidRPr="00FF2363">
        <w:t>’</w:t>
      </w:r>
      <w:r w:rsidR="00CB7F70" w:rsidRPr="00FF2363">
        <w:t>s representatives (</w:t>
      </w:r>
      <w:r w:rsidR="00F30214" w:rsidRPr="00FF2363">
        <w:t xml:space="preserve">see, for example, </w:t>
      </w:r>
      <w:r w:rsidR="00F30214" w:rsidRPr="00FF2363">
        <w:rPr>
          <w:i/>
        </w:rPr>
        <w:t>Hristovi v. Bulgaria</w:t>
      </w:r>
      <w:r w:rsidR="00F30214" w:rsidRPr="00FF2363">
        <w:t xml:space="preserve">, no. 42697/05, § 109, 11 October 2011, and </w:t>
      </w:r>
      <w:r w:rsidR="00F30214" w:rsidRPr="00FF2363">
        <w:rPr>
          <w:i/>
        </w:rPr>
        <w:t>Singartiyski and Others v. Bulgaria</w:t>
      </w:r>
      <w:r w:rsidR="00F30214" w:rsidRPr="00FF2363">
        <w:t>, no. 48284/07, § 54, 18 October 2011</w:t>
      </w:r>
      <w:r w:rsidR="00CB7F70" w:rsidRPr="00FF2363">
        <w:t>).</w:t>
      </w:r>
    </w:p>
    <w:p w:rsidR="00014566" w:rsidRPr="00FF2363" w:rsidRDefault="00014566" w:rsidP="00FF2363">
      <w:pPr>
        <w:pStyle w:val="ECHRHeading2"/>
      </w:pPr>
      <w:r w:rsidRPr="00FF2363">
        <w:t>C.  Default interest</w:t>
      </w:r>
    </w:p>
    <w:p w:rsidR="00014566" w:rsidRPr="00FF2363" w:rsidRDefault="005F4885" w:rsidP="00FF2363">
      <w:pPr>
        <w:pStyle w:val="ECHRPara"/>
      </w:pPr>
      <w:r w:rsidRPr="00FF2363">
        <w:fldChar w:fldCharType="begin"/>
      </w:r>
      <w:r w:rsidRPr="00FF2363">
        <w:instrText xml:space="preserve"> SEQ level0 \*arabic </w:instrText>
      </w:r>
      <w:r w:rsidRPr="00FF2363">
        <w:fldChar w:fldCharType="separate"/>
      </w:r>
      <w:r w:rsidR="00FF2363" w:rsidRPr="00FF2363">
        <w:rPr>
          <w:noProof/>
        </w:rPr>
        <w:t>149</w:t>
      </w:r>
      <w:r w:rsidRPr="00FF2363">
        <w:fldChar w:fldCharType="end"/>
      </w:r>
      <w:r w:rsidR="00014566" w:rsidRPr="00FF2363">
        <w:t>.  The Court considers it appropriate that the default interest rate should be based on the marginal lending rate of the European Central Bank, to which should be added three percentage points.</w:t>
      </w:r>
    </w:p>
    <w:p w:rsidR="00FA22EE" w:rsidRPr="00FF2363" w:rsidRDefault="00BB5883" w:rsidP="00FF2363">
      <w:pPr>
        <w:pStyle w:val="ECHRTitle1"/>
      </w:pPr>
      <w:r w:rsidRPr="00FF2363">
        <w:lastRenderedPageBreak/>
        <w:t>FOR THESE REASONS, THE COURT</w:t>
      </w:r>
      <w:r w:rsidR="005F4885" w:rsidRPr="00FF2363">
        <w:t>,</w:t>
      </w:r>
    </w:p>
    <w:p w:rsidR="00EB6701" w:rsidRPr="00FF2363" w:rsidRDefault="00EB6701" w:rsidP="00FF2363">
      <w:pPr>
        <w:pStyle w:val="JuList"/>
      </w:pPr>
      <w:r w:rsidRPr="00FF2363">
        <w:t>1.  </w:t>
      </w:r>
      <w:r w:rsidRPr="00FF2363">
        <w:rPr>
          <w:i/>
        </w:rPr>
        <w:t>Declares</w:t>
      </w:r>
      <w:r w:rsidRPr="00FF2363">
        <w:t xml:space="preserve"> </w:t>
      </w:r>
      <w:r w:rsidR="002A69F8" w:rsidRPr="00FF2363">
        <w:t>admissible</w:t>
      </w:r>
      <w:r w:rsidRPr="00FF2363">
        <w:t>,</w:t>
      </w:r>
      <w:r w:rsidR="002A69F8" w:rsidRPr="00FF2363">
        <w:t xml:space="preserve"> unanimously,</w:t>
      </w:r>
      <w:r w:rsidRPr="00FF2363">
        <w:t xml:space="preserve"> the complaint under Article 6 § 1 of the Convention as regards the principles of </w:t>
      </w:r>
      <w:r w:rsidR="00A2132E" w:rsidRPr="00FF2363">
        <w:t xml:space="preserve">an </w:t>
      </w:r>
      <w:r w:rsidRPr="00FF2363">
        <w:t>independent and impartial tribunal;</w:t>
      </w:r>
    </w:p>
    <w:p w:rsidR="00EB6701" w:rsidRPr="00FF2363" w:rsidRDefault="00EB6701" w:rsidP="00FF2363">
      <w:pPr>
        <w:pStyle w:val="JuList"/>
        <w:ind w:left="0" w:firstLine="0"/>
      </w:pPr>
    </w:p>
    <w:p w:rsidR="00EB7EEA" w:rsidRPr="00FF2363" w:rsidRDefault="00EB6701" w:rsidP="00FF2363">
      <w:pPr>
        <w:pStyle w:val="JuList"/>
      </w:pPr>
      <w:r w:rsidRPr="00FF2363">
        <w:t>2.  </w:t>
      </w:r>
      <w:r w:rsidRPr="00FF2363">
        <w:rPr>
          <w:i/>
        </w:rPr>
        <w:t>Declares</w:t>
      </w:r>
      <w:r w:rsidRPr="00FF2363">
        <w:t xml:space="preserve"> </w:t>
      </w:r>
      <w:r w:rsidR="00EB7EEA" w:rsidRPr="00FF2363">
        <w:t>inadmissible, by a majority, the complaint under Article 8 of the Convention;</w:t>
      </w:r>
    </w:p>
    <w:p w:rsidR="00EB7EEA" w:rsidRPr="00FF2363" w:rsidRDefault="00EB7EEA" w:rsidP="00FF2363">
      <w:pPr>
        <w:pStyle w:val="JuList"/>
      </w:pPr>
    </w:p>
    <w:p w:rsidR="00EB7EEA" w:rsidRPr="00FF2363" w:rsidRDefault="00EB6701" w:rsidP="00FF2363">
      <w:pPr>
        <w:pStyle w:val="JuList"/>
      </w:pPr>
      <w:r w:rsidRPr="00FF2363">
        <w:t>3.  </w:t>
      </w:r>
      <w:r w:rsidRPr="00FF2363">
        <w:rPr>
          <w:i/>
        </w:rPr>
        <w:t>Declares</w:t>
      </w:r>
      <w:r w:rsidRPr="00FF2363">
        <w:t xml:space="preserve"> </w:t>
      </w:r>
      <w:r w:rsidR="00EB7EEA" w:rsidRPr="00FF2363">
        <w:t>inadmissible, unanimously, the complaints under Article 18 of the Convention and Article 1 of Protocol No. 1</w:t>
      </w:r>
      <w:r w:rsidR="007A6D59" w:rsidRPr="00FF2363">
        <w:t xml:space="preserve"> to the Convention</w:t>
      </w:r>
      <w:r w:rsidR="00EB7EEA" w:rsidRPr="00FF2363">
        <w:t>;</w:t>
      </w:r>
    </w:p>
    <w:p w:rsidR="00EB6701" w:rsidRPr="00FF2363" w:rsidRDefault="00EB6701" w:rsidP="00FF2363">
      <w:pPr>
        <w:pStyle w:val="JuList"/>
      </w:pPr>
    </w:p>
    <w:p w:rsidR="00EB7EEA" w:rsidRPr="00FF2363" w:rsidRDefault="00EB6701" w:rsidP="00FF2363">
      <w:pPr>
        <w:pStyle w:val="JuList"/>
      </w:pPr>
      <w:r w:rsidRPr="00FF2363">
        <w:t>4.  </w:t>
      </w:r>
      <w:r w:rsidRPr="00FF2363">
        <w:rPr>
          <w:i/>
        </w:rPr>
        <w:t>Holds</w:t>
      </w:r>
      <w:r w:rsidRPr="00FF2363">
        <w:t>,</w:t>
      </w:r>
      <w:r w:rsidR="006A4562" w:rsidRPr="00FF2363">
        <w:t xml:space="preserve"> </w:t>
      </w:r>
      <w:r w:rsidR="00EB7EEA" w:rsidRPr="00FF2363">
        <w:t>unanimously,</w:t>
      </w:r>
      <w:r w:rsidR="00EB7EEA" w:rsidRPr="00FF2363">
        <w:rPr>
          <w:color w:val="000000"/>
        </w:rPr>
        <w:t xml:space="preserve"> </w:t>
      </w:r>
      <w:r w:rsidR="00EB7EEA" w:rsidRPr="00FF2363">
        <w:t>that there has been a violation of Article 6 § 1 of the Convention as regards the principles of an independent and impartial tribunal;</w:t>
      </w:r>
    </w:p>
    <w:p w:rsidR="004C7B8E" w:rsidRPr="00FF2363" w:rsidRDefault="004C7B8E" w:rsidP="00FF2363">
      <w:pPr>
        <w:pStyle w:val="JuList"/>
      </w:pPr>
    </w:p>
    <w:p w:rsidR="00014566" w:rsidRPr="00FF2363" w:rsidRDefault="004C7B8E" w:rsidP="00FF2363">
      <w:pPr>
        <w:pStyle w:val="JuList"/>
      </w:pPr>
      <w:r w:rsidRPr="00FF2363">
        <w:t>5.  </w:t>
      </w:r>
      <w:r w:rsidR="00014566" w:rsidRPr="00FF2363">
        <w:rPr>
          <w:i/>
        </w:rPr>
        <w:t>Holds</w:t>
      </w:r>
      <w:r w:rsidR="00EB7EEA" w:rsidRPr="00FF2363">
        <w:t xml:space="preserve">, </w:t>
      </w:r>
      <w:r w:rsidR="005F4885" w:rsidRPr="00FF2363">
        <w:t>unanimo</w:t>
      </w:r>
      <w:r w:rsidR="00EB7EEA" w:rsidRPr="00FF2363">
        <w:t>usly,</w:t>
      </w:r>
      <w:r w:rsidR="00014566" w:rsidRPr="00FF2363">
        <w:rPr>
          <w:color w:val="000000"/>
        </w:rPr>
        <w:t xml:space="preserve"> </w:t>
      </w:r>
      <w:r w:rsidR="00014566" w:rsidRPr="00FF2363">
        <w:t xml:space="preserve">that </w:t>
      </w:r>
      <w:r w:rsidRPr="00FF2363">
        <w:t>it is not necessary to examine the admissibility and merits of the remaining complaints;</w:t>
      </w:r>
    </w:p>
    <w:p w:rsidR="00014566" w:rsidRPr="00FF2363" w:rsidRDefault="00014566" w:rsidP="00FF2363">
      <w:pPr>
        <w:pStyle w:val="JuList"/>
      </w:pPr>
    </w:p>
    <w:p w:rsidR="00014566" w:rsidRPr="00FF2363" w:rsidRDefault="004C7B8E" w:rsidP="00FF2363">
      <w:pPr>
        <w:pStyle w:val="JuList"/>
      </w:pPr>
      <w:r w:rsidRPr="00FF2363">
        <w:t>6</w:t>
      </w:r>
      <w:r w:rsidR="00014566" w:rsidRPr="00FF2363">
        <w:t>.  </w:t>
      </w:r>
      <w:r w:rsidR="00014566" w:rsidRPr="00FF2363">
        <w:rPr>
          <w:i/>
        </w:rPr>
        <w:t>Holds</w:t>
      </w:r>
      <w:r w:rsidR="005F4885" w:rsidRPr="00FF2363">
        <w:t>,</w:t>
      </w:r>
      <w:r w:rsidR="00A71FD0" w:rsidRPr="00FF2363">
        <w:t xml:space="preserve"> </w:t>
      </w:r>
      <w:r w:rsidR="006A4562" w:rsidRPr="00FF2363">
        <w:t>unanimously,</w:t>
      </w:r>
    </w:p>
    <w:p w:rsidR="00014566" w:rsidRPr="00FF2363" w:rsidRDefault="00014566" w:rsidP="00FF2363">
      <w:pPr>
        <w:pStyle w:val="JuLista"/>
      </w:pPr>
      <w:r w:rsidRPr="00FF2363">
        <w:t>(a)  that the respondent State is to pay the applicant, within three months</w:t>
      </w:r>
      <w:r w:rsidR="005F4885" w:rsidRPr="00FF2363">
        <w:t>,</w:t>
      </w:r>
      <w:r w:rsidRPr="00FF2363">
        <w:t xml:space="preserve"> the following amounts, to be converted into </w:t>
      </w:r>
      <w:r w:rsidRPr="00FF2363">
        <w:rPr>
          <w:color w:val="000000"/>
        </w:rPr>
        <w:t>the currency of the respondent State</w:t>
      </w:r>
      <w:r w:rsidRPr="00FF2363">
        <w:t xml:space="preserve"> at the rate applicable at the date of settlement:</w:t>
      </w:r>
    </w:p>
    <w:p w:rsidR="00014566" w:rsidRPr="00FF2363" w:rsidRDefault="00014566" w:rsidP="00FF2363">
      <w:pPr>
        <w:pStyle w:val="JuListi"/>
      </w:pPr>
      <w:r w:rsidRPr="00FF2363">
        <w:t xml:space="preserve">(i)  EUR </w:t>
      </w:r>
      <w:r w:rsidR="009E1231" w:rsidRPr="00FF2363">
        <w:t>3</w:t>
      </w:r>
      <w:r w:rsidR="00BF2A50" w:rsidRPr="00FF2363">
        <w:t>,000 (</w:t>
      </w:r>
      <w:r w:rsidR="009E1231" w:rsidRPr="00FF2363">
        <w:t xml:space="preserve">three </w:t>
      </w:r>
      <w:r w:rsidR="00BF2A50" w:rsidRPr="00FF2363">
        <w:t>thousand euros)</w:t>
      </w:r>
      <w:r w:rsidRPr="00FF2363">
        <w:t>, plus any tax that may be chargeable, in respect of non-pecuniary damage;</w:t>
      </w:r>
    </w:p>
    <w:p w:rsidR="00014566" w:rsidRPr="00FF2363" w:rsidRDefault="00014566" w:rsidP="00FF2363">
      <w:pPr>
        <w:pStyle w:val="JuListi"/>
      </w:pPr>
      <w:r w:rsidRPr="00FF2363">
        <w:t xml:space="preserve">(ii)  EUR </w:t>
      </w:r>
      <w:r w:rsidR="00342F9D" w:rsidRPr="00FF2363">
        <w:t>3</w:t>
      </w:r>
      <w:r w:rsidR="00E7719F" w:rsidRPr="00FF2363">
        <w:t>,000</w:t>
      </w:r>
      <w:r w:rsidRPr="00FF2363">
        <w:t xml:space="preserve"> (</w:t>
      </w:r>
      <w:r w:rsidR="00342F9D" w:rsidRPr="00FF2363">
        <w:t xml:space="preserve">three </w:t>
      </w:r>
      <w:r w:rsidR="00E7719F" w:rsidRPr="00FF2363">
        <w:t>thousand</w:t>
      </w:r>
      <w:r w:rsidRPr="00FF2363">
        <w:t xml:space="preserve"> euros), plus any tax that may be chargeable to the applicant, in respect of costs and expenses</w:t>
      </w:r>
      <w:r w:rsidR="00BC425C" w:rsidRPr="00FF2363">
        <w:t>, this amount to be paid into the bank account designated by the applicant</w:t>
      </w:r>
      <w:r w:rsidR="00FF2363" w:rsidRPr="00FF2363">
        <w:t>’</w:t>
      </w:r>
      <w:r w:rsidR="00BC425C" w:rsidRPr="00FF2363">
        <w:t>s representatives</w:t>
      </w:r>
      <w:r w:rsidR="00641D25" w:rsidRPr="00FF2363">
        <w:t>, this amount to be paid into the bank</w:t>
      </w:r>
      <w:r w:rsidR="00641D25" w:rsidRPr="00FF2363">
        <w:rPr>
          <w:b/>
          <w:bCs/>
          <w:u w:val="single"/>
        </w:rPr>
        <w:t xml:space="preserve"> </w:t>
      </w:r>
      <w:r w:rsidR="00641D25" w:rsidRPr="00FF2363">
        <w:t>account designated by the applicant</w:t>
      </w:r>
      <w:r w:rsidR="00FF2363" w:rsidRPr="00FF2363">
        <w:t>’</w:t>
      </w:r>
      <w:r w:rsidR="00641D25" w:rsidRPr="00FF2363">
        <w:t>s representatives;</w:t>
      </w:r>
    </w:p>
    <w:p w:rsidR="00014566" w:rsidRPr="00FF2363" w:rsidRDefault="00014566" w:rsidP="00FF2363">
      <w:pPr>
        <w:pStyle w:val="JuLista"/>
      </w:pPr>
      <w:r w:rsidRPr="00FF2363">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FF2363" w:rsidRDefault="00014566" w:rsidP="00FF2363">
      <w:pPr>
        <w:pStyle w:val="JuList"/>
      </w:pPr>
    </w:p>
    <w:p w:rsidR="00014566" w:rsidRPr="00FF2363" w:rsidRDefault="004C7B8E" w:rsidP="00FF2363">
      <w:pPr>
        <w:pStyle w:val="JuList"/>
      </w:pPr>
      <w:r w:rsidRPr="00FF2363">
        <w:t>7</w:t>
      </w:r>
      <w:r w:rsidR="00014566" w:rsidRPr="00FF2363">
        <w:t>.  </w:t>
      </w:r>
      <w:r w:rsidR="00014566" w:rsidRPr="00FF2363">
        <w:rPr>
          <w:i/>
        </w:rPr>
        <w:t>Dismisses</w:t>
      </w:r>
      <w:r w:rsidR="005F4885" w:rsidRPr="00FF2363">
        <w:t>,</w:t>
      </w:r>
      <w:r w:rsidR="00C346BB" w:rsidRPr="00FF2363">
        <w:t xml:space="preserve"> </w:t>
      </w:r>
      <w:r w:rsidR="00DE02C3" w:rsidRPr="00FF2363">
        <w:t>by sixteen votes to one</w:t>
      </w:r>
      <w:r w:rsidR="00C346BB" w:rsidRPr="00FF2363">
        <w:t>,</w:t>
      </w:r>
      <w:r w:rsidR="006A4562" w:rsidRPr="00FF2363">
        <w:t xml:space="preserve"> </w:t>
      </w:r>
      <w:r w:rsidR="00014566" w:rsidRPr="00FF2363">
        <w:t>the remainder of the applicant</w:t>
      </w:r>
      <w:r w:rsidR="00FF2363" w:rsidRPr="00FF2363">
        <w:t>’</w:t>
      </w:r>
      <w:r w:rsidR="005F4885" w:rsidRPr="00FF2363">
        <w:t>s</w:t>
      </w:r>
      <w:r w:rsidR="00014566" w:rsidRPr="00FF2363">
        <w:t xml:space="preserve"> claim for just satisfaction.</w:t>
      </w:r>
    </w:p>
    <w:p w:rsidR="00014566" w:rsidRPr="00FF2363" w:rsidRDefault="00014566" w:rsidP="00FF2363">
      <w:pPr>
        <w:pStyle w:val="JuParaLast"/>
      </w:pPr>
      <w:r w:rsidRPr="00FF2363">
        <w:t>Done in English</w:t>
      </w:r>
      <w:r w:rsidR="00A2132E" w:rsidRPr="00FF2363">
        <w:t xml:space="preserve"> and in French</w:t>
      </w:r>
      <w:r w:rsidRPr="00FF2363">
        <w:t>, and</w:t>
      </w:r>
      <w:r w:rsidR="00963864" w:rsidRPr="00FF2363">
        <w:t xml:space="preserve"> delivered at a public hearing in the Human Rights Building, Strasbourg, on </w:t>
      </w:r>
      <w:r w:rsidR="002A69F8" w:rsidRPr="00FF2363">
        <w:t>25 September 2018</w:t>
      </w:r>
      <w:r w:rsidRPr="00FF2363">
        <w:t>.</w:t>
      </w:r>
    </w:p>
    <w:p w:rsidR="004D15F3" w:rsidRPr="00FF2363" w:rsidRDefault="00014566" w:rsidP="00FF2363">
      <w:pPr>
        <w:pStyle w:val="JuSigned"/>
        <w:tabs>
          <w:tab w:val="clear" w:pos="851"/>
          <w:tab w:val="center" w:pos="1134"/>
        </w:tabs>
      </w:pPr>
      <w:r w:rsidRPr="00FF2363">
        <w:tab/>
      </w:r>
      <w:r w:rsidR="00894153" w:rsidRPr="00FF2363">
        <w:t>Françoise Elens-Passos</w:t>
      </w:r>
      <w:r w:rsidRPr="00FF2363">
        <w:tab/>
      </w:r>
      <w:r w:rsidR="005F4885" w:rsidRPr="00FF2363">
        <w:rPr>
          <w:szCs w:val="24"/>
        </w:rPr>
        <w:t>Guido Raimondi</w:t>
      </w:r>
      <w:r w:rsidR="00E1557C" w:rsidRPr="00FF2363">
        <w:rPr>
          <w:szCs w:val="24"/>
        </w:rPr>
        <w:br/>
      </w:r>
      <w:r w:rsidRPr="00FF2363">
        <w:tab/>
      </w:r>
      <w:r w:rsidR="00894153" w:rsidRPr="00FF2363">
        <w:rPr>
          <w:iCs/>
        </w:rPr>
        <w:t>Deputy Registrar</w:t>
      </w:r>
      <w:r w:rsidRPr="00FF2363">
        <w:tab/>
        <w:t>President</w:t>
      </w:r>
    </w:p>
    <w:sectPr w:rsidR="004D15F3" w:rsidRPr="00FF2363" w:rsidSect="0054441A">
      <w:headerReference w:type="even" r:id="rId18"/>
      <w:headerReference w:type="default" r:id="rId19"/>
      <w:footerReference w:type="even" r:id="rId20"/>
      <w:footerReference w:type="default" r:id="rId21"/>
      <w:headerReference w:type="first" r:id="rId22"/>
      <w:footerReference w:type="first" r:id="rId2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C6E" w:rsidRPr="003152BA" w:rsidRDefault="005E3C6E" w:rsidP="00014566">
      <w:r w:rsidRPr="003152BA">
        <w:separator/>
      </w:r>
    </w:p>
  </w:endnote>
  <w:endnote w:type="continuationSeparator" w:id="0">
    <w:p w:rsidR="005E3C6E" w:rsidRPr="003152BA" w:rsidRDefault="005E3C6E"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Default="00FA22E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Pr="00150BFA" w:rsidRDefault="00FA22EE" w:rsidP="00D315BF">
    <w:pPr>
      <w:jc w:val="center"/>
    </w:pPr>
    <w:r>
      <w:rPr>
        <w:noProof/>
        <w:lang w:val="pl-PL" w:eastAsia="pl-PL"/>
      </w:rPr>
      <w:drawing>
        <wp:inline distT="0" distB="0" distL="0" distR="0" wp14:anchorId="0EE3BBD6" wp14:editId="51A9BF75">
          <wp:extent cx="771525" cy="619125"/>
          <wp:effectExtent l="0" t="0" r="9525" b="9525"/>
          <wp:docPr id="52" name="Picture 5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A22EE" w:rsidRPr="00A737D1" w:rsidRDefault="00FA22EE" w:rsidP="00D315BF">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Default="00FA22EE">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Default="00FA22EE">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Pr="00A737D1" w:rsidRDefault="00FA22EE" w:rsidP="00D315BF">
    <w:pPr>
      <w:pStyle w:val="Stopka"/>
      <w:jc w:val="center"/>
      <w:rPr>
        <w:sz w:val="4"/>
        <w:szCs w:val="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Default="00FA22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C6E" w:rsidRPr="003152BA" w:rsidRDefault="005E3C6E" w:rsidP="00014566">
      <w:r w:rsidRPr="003152BA">
        <w:separator/>
      </w:r>
    </w:p>
  </w:footnote>
  <w:footnote w:type="continuationSeparator" w:id="0">
    <w:p w:rsidR="005E3C6E" w:rsidRPr="003152BA" w:rsidRDefault="005E3C6E" w:rsidP="00014566">
      <w:r w:rsidRPr="003152BA">
        <w:continuationSeparator/>
      </w:r>
    </w:p>
  </w:footnote>
  <w:footnote w:id="1">
    <w:p w:rsidR="00FA22EE" w:rsidRPr="00435D0B" w:rsidRDefault="00FA22EE" w:rsidP="00A90489">
      <w:pPr>
        <w:pStyle w:val="Tekstprzypisudolnego"/>
      </w:pPr>
      <w:r>
        <w:t>1.  About 345 euros at the relevant time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Default="00FA22EE" w:rsidP="00D315B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Pr="00A45145" w:rsidRDefault="00FA22EE" w:rsidP="00D315BF">
    <w:pPr>
      <w:jc w:val="center"/>
    </w:pPr>
    <w:r>
      <w:rPr>
        <w:noProof/>
        <w:lang w:val="pl-PL" w:eastAsia="pl-PL"/>
      </w:rPr>
      <w:drawing>
        <wp:inline distT="0" distB="0" distL="0" distR="0" wp14:anchorId="3DF497AB" wp14:editId="6B6B4FDD">
          <wp:extent cx="2962275" cy="1219200"/>
          <wp:effectExtent l="0" t="0" r="9525" b="0"/>
          <wp:docPr id="51" name="Picture 5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A22EE" w:rsidRDefault="00FA22EE" w:rsidP="00D315B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Pr="00A45145" w:rsidRDefault="00FA22EE" w:rsidP="00D315BF">
    <w:pPr>
      <w:jc w:val="center"/>
    </w:pPr>
    <w:r>
      <w:rPr>
        <w:noProof/>
        <w:lang w:val="pl-PL" w:eastAsia="pl-PL"/>
      </w:rPr>
      <w:drawing>
        <wp:inline distT="0" distB="0" distL="0" distR="0" wp14:anchorId="7822C69D" wp14:editId="692A7071">
          <wp:extent cx="2962275" cy="1219200"/>
          <wp:effectExtent l="0" t="0" r="9525" b="0"/>
          <wp:docPr id="53" name="Picture 5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A22EE" w:rsidRPr="009E0462" w:rsidRDefault="00FA22EE">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Pr="003152BA" w:rsidRDefault="00FA22EE"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6B2CC7">
      <w:rPr>
        <w:rStyle w:val="Numerstrony"/>
        <w:noProof/>
        <w:szCs w:val="18"/>
      </w:rPr>
      <w:t>40</w:t>
    </w:r>
    <w:r>
      <w:rPr>
        <w:rStyle w:val="Numerstrony"/>
        <w:szCs w:val="18"/>
      </w:rPr>
      <w:fldChar w:fldCharType="end"/>
    </w:r>
    <w:r w:rsidRPr="003152BA">
      <w:tab/>
    </w:r>
    <w:r>
      <w:t>DENISOV v. UKRAINE</w:t>
    </w:r>
    <w:r w:rsidRPr="003152B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Pr="003152BA" w:rsidRDefault="00FA22EE" w:rsidP="00D60D87">
    <w:pPr>
      <w:pStyle w:val="ECHRHeader"/>
    </w:pPr>
    <w:r>
      <w:rPr>
        <w:rStyle w:val="Numerstrony"/>
        <w:szCs w:val="18"/>
      </w:rPr>
      <w:tab/>
    </w:r>
    <w:r>
      <w:t>DENISOV v. UKRAINE</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6B2CC7">
      <w:rPr>
        <w:rStyle w:val="Numerstrony"/>
        <w:noProof/>
        <w:szCs w:val="18"/>
      </w:rPr>
      <w:t>39</w:t>
    </w:r>
    <w:r>
      <w:rPr>
        <w:rStyle w:val="Numerstrony"/>
        <w:szCs w:val="18"/>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2EE" w:rsidRPr="00A45145" w:rsidRDefault="00FA22EE" w:rsidP="00D315BF">
    <w:pPr>
      <w:jc w:val="center"/>
    </w:pPr>
    <w:r>
      <w:rPr>
        <w:noProof/>
        <w:lang w:val="pl-PL" w:eastAsia="pl-PL"/>
      </w:rPr>
      <w:drawing>
        <wp:inline distT="0" distB="0" distL="0" distR="0" wp14:anchorId="51EA4215" wp14:editId="22F6029C">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A22EE" w:rsidRPr="009E0462" w:rsidRDefault="00FA22E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1CD6E2E"/>
    <w:multiLevelType w:val="singleLevel"/>
    <w:tmpl w:val="0409000F"/>
    <w:lvl w:ilvl="0">
      <w:start w:val="1"/>
      <w:numFmt w:val="decimal"/>
      <w:lvlText w:val="%1."/>
      <w:lvlJc w:val="left"/>
      <w:pPr>
        <w:tabs>
          <w:tab w:val="num" w:pos="360"/>
        </w:tabs>
        <w:ind w:left="360" w:hanging="36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10"/>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2"/>
  </w:num>
  <w:num w:numId="18">
    <w:abstractNumId w:val="9"/>
  </w:num>
  <w:num w:numId="19">
    <w:abstractNumId w:val="16"/>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F4885"/>
    <w:rsid w:val="00000067"/>
    <w:rsid w:val="00000BD7"/>
    <w:rsid w:val="000010ED"/>
    <w:rsid w:val="000029EB"/>
    <w:rsid w:val="0000318F"/>
    <w:rsid w:val="000041F8"/>
    <w:rsid w:val="000042A8"/>
    <w:rsid w:val="00004308"/>
    <w:rsid w:val="00004370"/>
    <w:rsid w:val="000057B1"/>
    <w:rsid w:val="00005BF0"/>
    <w:rsid w:val="00007154"/>
    <w:rsid w:val="000103AE"/>
    <w:rsid w:val="000111E3"/>
    <w:rsid w:val="00011D69"/>
    <w:rsid w:val="00012AD3"/>
    <w:rsid w:val="00014566"/>
    <w:rsid w:val="00015C2D"/>
    <w:rsid w:val="00015F00"/>
    <w:rsid w:val="00017218"/>
    <w:rsid w:val="00017DC9"/>
    <w:rsid w:val="00022C1D"/>
    <w:rsid w:val="00023330"/>
    <w:rsid w:val="00030D01"/>
    <w:rsid w:val="00034987"/>
    <w:rsid w:val="000350E3"/>
    <w:rsid w:val="00042C6E"/>
    <w:rsid w:val="00050DD3"/>
    <w:rsid w:val="0005386E"/>
    <w:rsid w:val="000540F3"/>
    <w:rsid w:val="00054636"/>
    <w:rsid w:val="00054FEE"/>
    <w:rsid w:val="00057ED6"/>
    <w:rsid w:val="000602DF"/>
    <w:rsid w:val="00061B05"/>
    <w:rsid w:val="00062973"/>
    <w:rsid w:val="00062D5D"/>
    <w:rsid w:val="000632D5"/>
    <w:rsid w:val="000644EE"/>
    <w:rsid w:val="000656C9"/>
    <w:rsid w:val="00066F84"/>
    <w:rsid w:val="00071ABC"/>
    <w:rsid w:val="00073321"/>
    <w:rsid w:val="0007586E"/>
    <w:rsid w:val="00076493"/>
    <w:rsid w:val="0007745F"/>
    <w:rsid w:val="0008254F"/>
    <w:rsid w:val="00083B65"/>
    <w:rsid w:val="00084923"/>
    <w:rsid w:val="000856D7"/>
    <w:rsid w:val="000902AD"/>
    <w:rsid w:val="0009157D"/>
    <w:rsid w:val="000925AD"/>
    <w:rsid w:val="000925CC"/>
    <w:rsid w:val="00095663"/>
    <w:rsid w:val="00096CF7"/>
    <w:rsid w:val="0009735B"/>
    <w:rsid w:val="00097EF4"/>
    <w:rsid w:val="000A07C5"/>
    <w:rsid w:val="000A2485"/>
    <w:rsid w:val="000A24EB"/>
    <w:rsid w:val="000A5319"/>
    <w:rsid w:val="000B0B2E"/>
    <w:rsid w:val="000B2987"/>
    <w:rsid w:val="000B5240"/>
    <w:rsid w:val="000B6880"/>
    <w:rsid w:val="000B6923"/>
    <w:rsid w:val="000C033C"/>
    <w:rsid w:val="000C1EE5"/>
    <w:rsid w:val="000C24D3"/>
    <w:rsid w:val="000C5F3C"/>
    <w:rsid w:val="000C6DCC"/>
    <w:rsid w:val="000C788D"/>
    <w:rsid w:val="000D47AA"/>
    <w:rsid w:val="000D721F"/>
    <w:rsid w:val="000E069B"/>
    <w:rsid w:val="000E0E82"/>
    <w:rsid w:val="000E1DC5"/>
    <w:rsid w:val="000E1ED4"/>
    <w:rsid w:val="000E208B"/>
    <w:rsid w:val="000E223F"/>
    <w:rsid w:val="000E35AC"/>
    <w:rsid w:val="000E7D45"/>
    <w:rsid w:val="000F338C"/>
    <w:rsid w:val="000F5506"/>
    <w:rsid w:val="000F5FFA"/>
    <w:rsid w:val="000F7851"/>
    <w:rsid w:val="001025DB"/>
    <w:rsid w:val="001036DB"/>
    <w:rsid w:val="00104E23"/>
    <w:rsid w:val="00105D8F"/>
    <w:rsid w:val="0010758C"/>
    <w:rsid w:val="00111B0C"/>
    <w:rsid w:val="00112B0D"/>
    <w:rsid w:val="001133F3"/>
    <w:rsid w:val="00114E9B"/>
    <w:rsid w:val="001159A6"/>
    <w:rsid w:val="00120D6C"/>
    <w:rsid w:val="00123B64"/>
    <w:rsid w:val="001257EC"/>
    <w:rsid w:val="00126A7F"/>
    <w:rsid w:val="00132C6A"/>
    <w:rsid w:val="00133D33"/>
    <w:rsid w:val="00134D64"/>
    <w:rsid w:val="00135A30"/>
    <w:rsid w:val="0013612C"/>
    <w:rsid w:val="00137FF6"/>
    <w:rsid w:val="00141650"/>
    <w:rsid w:val="001436D7"/>
    <w:rsid w:val="001450D2"/>
    <w:rsid w:val="001457D8"/>
    <w:rsid w:val="001462A8"/>
    <w:rsid w:val="00146F4B"/>
    <w:rsid w:val="00155994"/>
    <w:rsid w:val="00162995"/>
    <w:rsid w:val="00162A12"/>
    <w:rsid w:val="00166530"/>
    <w:rsid w:val="00167033"/>
    <w:rsid w:val="00167229"/>
    <w:rsid w:val="0017473E"/>
    <w:rsid w:val="00174DA0"/>
    <w:rsid w:val="0017583E"/>
    <w:rsid w:val="001832BD"/>
    <w:rsid w:val="00186B45"/>
    <w:rsid w:val="00191A52"/>
    <w:rsid w:val="00191A87"/>
    <w:rsid w:val="001943B5"/>
    <w:rsid w:val="00195134"/>
    <w:rsid w:val="001A1014"/>
    <w:rsid w:val="001A145B"/>
    <w:rsid w:val="001A44B3"/>
    <w:rsid w:val="001A4ACF"/>
    <w:rsid w:val="001A674C"/>
    <w:rsid w:val="001B012C"/>
    <w:rsid w:val="001B1405"/>
    <w:rsid w:val="001B358F"/>
    <w:rsid w:val="001B3B24"/>
    <w:rsid w:val="001B4833"/>
    <w:rsid w:val="001C0F98"/>
    <w:rsid w:val="001C2A42"/>
    <w:rsid w:val="001C535C"/>
    <w:rsid w:val="001D0E0E"/>
    <w:rsid w:val="001D4FEC"/>
    <w:rsid w:val="001D63ED"/>
    <w:rsid w:val="001D7348"/>
    <w:rsid w:val="001E035B"/>
    <w:rsid w:val="001E0961"/>
    <w:rsid w:val="001E3EAE"/>
    <w:rsid w:val="001E5348"/>
    <w:rsid w:val="001E6F32"/>
    <w:rsid w:val="001F14C0"/>
    <w:rsid w:val="001F2145"/>
    <w:rsid w:val="001F6262"/>
    <w:rsid w:val="001F67B0"/>
    <w:rsid w:val="001F7B3D"/>
    <w:rsid w:val="00204F05"/>
    <w:rsid w:val="00205F9F"/>
    <w:rsid w:val="00210338"/>
    <w:rsid w:val="00210D78"/>
    <w:rsid w:val="002115FC"/>
    <w:rsid w:val="002133F8"/>
    <w:rsid w:val="0021423C"/>
    <w:rsid w:val="00216A49"/>
    <w:rsid w:val="002175D3"/>
    <w:rsid w:val="002206EE"/>
    <w:rsid w:val="002252A7"/>
    <w:rsid w:val="00227120"/>
    <w:rsid w:val="002309D7"/>
    <w:rsid w:val="00230D00"/>
    <w:rsid w:val="00231DF7"/>
    <w:rsid w:val="00231FD1"/>
    <w:rsid w:val="002339E0"/>
    <w:rsid w:val="00233CF8"/>
    <w:rsid w:val="0023575D"/>
    <w:rsid w:val="00237148"/>
    <w:rsid w:val="00241E4D"/>
    <w:rsid w:val="0024222D"/>
    <w:rsid w:val="0024488D"/>
    <w:rsid w:val="00244B0E"/>
    <w:rsid w:val="00244F6C"/>
    <w:rsid w:val="00246600"/>
    <w:rsid w:val="00246CE4"/>
    <w:rsid w:val="00247622"/>
    <w:rsid w:val="002532C5"/>
    <w:rsid w:val="00256B8A"/>
    <w:rsid w:val="00260C03"/>
    <w:rsid w:val="0026540E"/>
    <w:rsid w:val="00266F7B"/>
    <w:rsid w:val="0027225C"/>
    <w:rsid w:val="00275123"/>
    <w:rsid w:val="00276A4B"/>
    <w:rsid w:val="00282240"/>
    <w:rsid w:val="00284AB3"/>
    <w:rsid w:val="0028572A"/>
    <w:rsid w:val="00285F09"/>
    <w:rsid w:val="0029165A"/>
    <w:rsid w:val="002948AD"/>
    <w:rsid w:val="00294C05"/>
    <w:rsid w:val="00294C92"/>
    <w:rsid w:val="002962B0"/>
    <w:rsid w:val="002A00BC"/>
    <w:rsid w:val="002A01CC"/>
    <w:rsid w:val="002A2EA5"/>
    <w:rsid w:val="002A4E58"/>
    <w:rsid w:val="002A61B1"/>
    <w:rsid w:val="002A663C"/>
    <w:rsid w:val="002A69F8"/>
    <w:rsid w:val="002A73A2"/>
    <w:rsid w:val="002B1E6C"/>
    <w:rsid w:val="002B444B"/>
    <w:rsid w:val="002B5887"/>
    <w:rsid w:val="002C0692"/>
    <w:rsid w:val="002C0E27"/>
    <w:rsid w:val="002C3040"/>
    <w:rsid w:val="002D022D"/>
    <w:rsid w:val="002D0434"/>
    <w:rsid w:val="002D1590"/>
    <w:rsid w:val="002D24BB"/>
    <w:rsid w:val="002E253A"/>
    <w:rsid w:val="002F171B"/>
    <w:rsid w:val="002F1DA1"/>
    <w:rsid w:val="002F244B"/>
    <w:rsid w:val="002F2AF7"/>
    <w:rsid w:val="002F3080"/>
    <w:rsid w:val="002F344D"/>
    <w:rsid w:val="002F35D3"/>
    <w:rsid w:val="002F714D"/>
    <w:rsid w:val="002F7E1C"/>
    <w:rsid w:val="003004FB"/>
    <w:rsid w:val="00300734"/>
    <w:rsid w:val="00301A75"/>
    <w:rsid w:val="00302F70"/>
    <w:rsid w:val="0030336F"/>
    <w:rsid w:val="0030375E"/>
    <w:rsid w:val="00305075"/>
    <w:rsid w:val="0031102C"/>
    <w:rsid w:val="00312A30"/>
    <w:rsid w:val="003152BA"/>
    <w:rsid w:val="0031748E"/>
    <w:rsid w:val="00320F72"/>
    <w:rsid w:val="00321A19"/>
    <w:rsid w:val="0032463E"/>
    <w:rsid w:val="00326224"/>
    <w:rsid w:val="0032676F"/>
    <w:rsid w:val="0032682C"/>
    <w:rsid w:val="00331EAC"/>
    <w:rsid w:val="003333AA"/>
    <w:rsid w:val="00334B64"/>
    <w:rsid w:val="00337EE4"/>
    <w:rsid w:val="00340FFD"/>
    <w:rsid w:val="00342CF4"/>
    <w:rsid w:val="00342F9D"/>
    <w:rsid w:val="003506B1"/>
    <w:rsid w:val="00353B27"/>
    <w:rsid w:val="00356AC7"/>
    <w:rsid w:val="003609FA"/>
    <w:rsid w:val="003612D1"/>
    <w:rsid w:val="00362746"/>
    <w:rsid w:val="00362C04"/>
    <w:rsid w:val="00365756"/>
    <w:rsid w:val="003710C8"/>
    <w:rsid w:val="003750BE"/>
    <w:rsid w:val="003757B7"/>
    <w:rsid w:val="00382AFF"/>
    <w:rsid w:val="00384622"/>
    <w:rsid w:val="00387B9D"/>
    <w:rsid w:val="00392770"/>
    <w:rsid w:val="0039364F"/>
    <w:rsid w:val="00396686"/>
    <w:rsid w:val="0039778E"/>
    <w:rsid w:val="003A106D"/>
    <w:rsid w:val="003A441D"/>
    <w:rsid w:val="003A6ED2"/>
    <w:rsid w:val="003B4941"/>
    <w:rsid w:val="003B5237"/>
    <w:rsid w:val="003C0738"/>
    <w:rsid w:val="003C5714"/>
    <w:rsid w:val="003C6B9F"/>
    <w:rsid w:val="003C6E2A"/>
    <w:rsid w:val="003D0299"/>
    <w:rsid w:val="003D0AE9"/>
    <w:rsid w:val="003E095E"/>
    <w:rsid w:val="003E0BF1"/>
    <w:rsid w:val="003E1350"/>
    <w:rsid w:val="003E18B8"/>
    <w:rsid w:val="003E6D80"/>
    <w:rsid w:val="003E6EFE"/>
    <w:rsid w:val="003F05FA"/>
    <w:rsid w:val="003F244A"/>
    <w:rsid w:val="003F30B8"/>
    <w:rsid w:val="003F32BC"/>
    <w:rsid w:val="003F4AA0"/>
    <w:rsid w:val="003F4C45"/>
    <w:rsid w:val="003F5949"/>
    <w:rsid w:val="003F5F7B"/>
    <w:rsid w:val="003F7D64"/>
    <w:rsid w:val="0040199E"/>
    <w:rsid w:val="004034B1"/>
    <w:rsid w:val="00407DFB"/>
    <w:rsid w:val="004112C9"/>
    <w:rsid w:val="004120E5"/>
    <w:rsid w:val="00414300"/>
    <w:rsid w:val="00416E7E"/>
    <w:rsid w:val="00421F39"/>
    <w:rsid w:val="00422284"/>
    <w:rsid w:val="00425B5D"/>
    <w:rsid w:val="00425C67"/>
    <w:rsid w:val="00425CE8"/>
    <w:rsid w:val="00426941"/>
    <w:rsid w:val="00427E7A"/>
    <w:rsid w:val="00436307"/>
    <w:rsid w:val="00436C49"/>
    <w:rsid w:val="0044037F"/>
    <w:rsid w:val="00443D28"/>
    <w:rsid w:val="00445366"/>
    <w:rsid w:val="0044614D"/>
    <w:rsid w:val="00447F5B"/>
    <w:rsid w:val="004517CA"/>
    <w:rsid w:val="00453D46"/>
    <w:rsid w:val="0045551C"/>
    <w:rsid w:val="00461DB0"/>
    <w:rsid w:val="00463926"/>
    <w:rsid w:val="00464097"/>
    <w:rsid w:val="004646E0"/>
    <w:rsid w:val="00464C9A"/>
    <w:rsid w:val="00470DA8"/>
    <w:rsid w:val="00471506"/>
    <w:rsid w:val="00471812"/>
    <w:rsid w:val="004724C0"/>
    <w:rsid w:val="00474F3D"/>
    <w:rsid w:val="00477E3A"/>
    <w:rsid w:val="00483E5F"/>
    <w:rsid w:val="00485FF9"/>
    <w:rsid w:val="004866B6"/>
    <w:rsid w:val="004907F0"/>
    <w:rsid w:val="0049140B"/>
    <w:rsid w:val="004923A5"/>
    <w:rsid w:val="004936C5"/>
    <w:rsid w:val="00496BFB"/>
    <w:rsid w:val="004A0D7E"/>
    <w:rsid w:val="004A15C7"/>
    <w:rsid w:val="004A4ACD"/>
    <w:rsid w:val="004A7D8A"/>
    <w:rsid w:val="004B013B"/>
    <w:rsid w:val="004B112B"/>
    <w:rsid w:val="004C01E4"/>
    <w:rsid w:val="004C086C"/>
    <w:rsid w:val="004C1F56"/>
    <w:rsid w:val="004C27BC"/>
    <w:rsid w:val="004C39DE"/>
    <w:rsid w:val="004C7B8E"/>
    <w:rsid w:val="004D15F3"/>
    <w:rsid w:val="004D204D"/>
    <w:rsid w:val="004D347F"/>
    <w:rsid w:val="004D5311"/>
    <w:rsid w:val="004D5DCC"/>
    <w:rsid w:val="004D7C68"/>
    <w:rsid w:val="004F10AF"/>
    <w:rsid w:val="004F11A4"/>
    <w:rsid w:val="004F2389"/>
    <w:rsid w:val="004F2E81"/>
    <w:rsid w:val="004F304D"/>
    <w:rsid w:val="004F5023"/>
    <w:rsid w:val="004F5512"/>
    <w:rsid w:val="004F61BE"/>
    <w:rsid w:val="004F66B1"/>
    <w:rsid w:val="00502A0D"/>
    <w:rsid w:val="0050665E"/>
    <w:rsid w:val="00511C07"/>
    <w:rsid w:val="00512D5D"/>
    <w:rsid w:val="005140D0"/>
    <w:rsid w:val="0051434F"/>
    <w:rsid w:val="005173A6"/>
    <w:rsid w:val="00520BAA"/>
    <w:rsid w:val="00525208"/>
    <w:rsid w:val="005257A5"/>
    <w:rsid w:val="005264C0"/>
    <w:rsid w:val="00526909"/>
    <w:rsid w:val="00526A8A"/>
    <w:rsid w:val="005303A5"/>
    <w:rsid w:val="00530586"/>
    <w:rsid w:val="00531B36"/>
    <w:rsid w:val="00531DF2"/>
    <w:rsid w:val="00532FF0"/>
    <w:rsid w:val="00533CF7"/>
    <w:rsid w:val="00535BB8"/>
    <w:rsid w:val="00537276"/>
    <w:rsid w:val="005374AD"/>
    <w:rsid w:val="00541FB6"/>
    <w:rsid w:val="005442EE"/>
    <w:rsid w:val="0054441A"/>
    <w:rsid w:val="00544F85"/>
    <w:rsid w:val="0054612C"/>
    <w:rsid w:val="00547353"/>
    <w:rsid w:val="005474E7"/>
    <w:rsid w:val="005512A3"/>
    <w:rsid w:val="00553CDD"/>
    <w:rsid w:val="00556B57"/>
    <w:rsid w:val="00556C2C"/>
    <w:rsid w:val="005578CE"/>
    <w:rsid w:val="00562781"/>
    <w:rsid w:val="00562901"/>
    <w:rsid w:val="00563E83"/>
    <w:rsid w:val="00566629"/>
    <w:rsid w:val="00566977"/>
    <w:rsid w:val="0057271C"/>
    <w:rsid w:val="00572845"/>
    <w:rsid w:val="00574BEA"/>
    <w:rsid w:val="0057663D"/>
    <w:rsid w:val="00581F8E"/>
    <w:rsid w:val="005841EB"/>
    <w:rsid w:val="00584651"/>
    <w:rsid w:val="005921BE"/>
    <w:rsid w:val="00592772"/>
    <w:rsid w:val="0059574A"/>
    <w:rsid w:val="005A1B9B"/>
    <w:rsid w:val="005A2C30"/>
    <w:rsid w:val="005A2FC9"/>
    <w:rsid w:val="005A6751"/>
    <w:rsid w:val="005B092E"/>
    <w:rsid w:val="005B0968"/>
    <w:rsid w:val="005B152C"/>
    <w:rsid w:val="005B1EE0"/>
    <w:rsid w:val="005B2B24"/>
    <w:rsid w:val="005B4425"/>
    <w:rsid w:val="005B4B94"/>
    <w:rsid w:val="005C3EE8"/>
    <w:rsid w:val="005D34F9"/>
    <w:rsid w:val="005D4190"/>
    <w:rsid w:val="005D41C3"/>
    <w:rsid w:val="005D67A3"/>
    <w:rsid w:val="005E2988"/>
    <w:rsid w:val="005E2A43"/>
    <w:rsid w:val="005E3085"/>
    <w:rsid w:val="005E3C6E"/>
    <w:rsid w:val="005E438A"/>
    <w:rsid w:val="005F4885"/>
    <w:rsid w:val="005F51E1"/>
    <w:rsid w:val="00611C80"/>
    <w:rsid w:val="00620692"/>
    <w:rsid w:val="006242CA"/>
    <w:rsid w:val="00627507"/>
    <w:rsid w:val="00630263"/>
    <w:rsid w:val="00633717"/>
    <w:rsid w:val="00633E63"/>
    <w:rsid w:val="006344E1"/>
    <w:rsid w:val="0064144F"/>
    <w:rsid w:val="00641574"/>
    <w:rsid w:val="00641D25"/>
    <w:rsid w:val="00646F28"/>
    <w:rsid w:val="00647E8E"/>
    <w:rsid w:val="0065189E"/>
    <w:rsid w:val="00651C6D"/>
    <w:rsid w:val="00653620"/>
    <w:rsid w:val="00653906"/>
    <w:rsid w:val="00653E15"/>
    <w:rsid w:val="006545C4"/>
    <w:rsid w:val="00661971"/>
    <w:rsid w:val="00661CE8"/>
    <w:rsid w:val="006623D9"/>
    <w:rsid w:val="0066550C"/>
    <w:rsid w:val="00667F9B"/>
    <w:rsid w:val="006704E3"/>
    <w:rsid w:val="006716F2"/>
    <w:rsid w:val="00673BD4"/>
    <w:rsid w:val="00674A2B"/>
    <w:rsid w:val="00676FD3"/>
    <w:rsid w:val="0068093E"/>
    <w:rsid w:val="00682BF2"/>
    <w:rsid w:val="006859CE"/>
    <w:rsid w:val="00691270"/>
    <w:rsid w:val="00694BA8"/>
    <w:rsid w:val="00696650"/>
    <w:rsid w:val="00696D6B"/>
    <w:rsid w:val="00697029"/>
    <w:rsid w:val="006A037C"/>
    <w:rsid w:val="006A08AE"/>
    <w:rsid w:val="006A36F4"/>
    <w:rsid w:val="006A406F"/>
    <w:rsid w:val="006A4562"/>
    <w:rsid w:val="006A5256"/>
    <w:rsid w:val="006A5D3A"/>
    <w:rsid w:val="006B1D12"/>
    <w:rsid w:val="006B2118"/>
    <w:rsid w:val="006B2CC7"/>
    <w:rsid w:val="006B2F9C"/>
    <w:rsid w:val="006B4C7D"/>
    <w:rsid w:val="006B668D"/>
    <w:rsid w:val="006C23D4"/>
    <w:rsid w:val="006C4E84"/>
    <w:rsid w:val="006C6552"/>
    <w:rsid w:val="006C7BB0"/>
    <w:rsid w:val="006C7C1E"/>
    <w:rsid w:val="006D3237"/>
    <w:rsid w:val="006D5B7D"/>
    <w:rsid w:val="006E2E37"/>
    <w:rsid w:val="006E3CF1"/>
    <w:rsid w:val="006E6253"/>
    <w:rsid w:val="006E75A0"/>
    <w:rsid w:val="006E7E80"/>
    <w:rsid w:val="006F1DF9"/>
    <w:rsid w:val="006F24DB"/>
    <w:rsid w:val="006F48CA"/>
    <w:rsid w:val="006F4A81"/>
    <w:rsid w:val="006F4FBA"/>
    <w:rsid w:val="006F64DD"/>
    <w:rsid w:val="006F6C5D"/>
    <w:rsid w:val="006F6D72"/>
    <w:rsid w:val="006F7802"/>
    <w:rsid w:val="007000A7"/>
    <w:rsid w:val="00705110"/>
    <w:rsid w:val="00715127"/>
    <w:rsid w:val="0071533B"/>
    <w:rsid w:val="00715E8E"/>
    <w:rsid w:val="00723580"/>
    <w:rsid w:val="00723755"/>
    <w:rsid w:val="007264EC"/>
    <w:rsid w:val="007312E0"/>
    <w:rsid w:val="0073136C"/>
    <w:rsid w:val="00731F0F"/>
    <w:rsid w:val="00733250"/>
    <w:rsid w:val="00741404"/>
    <w:rsid w:val="00741D7E"/>
    <w:rsid w:val="007449E5"/>
    <w:rsid w:val="007466BF"/>
    <w:rsid w:val="00746C5A"/>
    <w:rsid w:val="00747FF0"/>
    <w:rsid w:val="007509D5"/>
    <w:rsid w:val="00752F31"/>
    <w:rsid w:val="007539D8"/>
    <w:rsid w:val="00756768"/>
    <w:rsid w:val="0076023B"/>
    <w:rsid w:val="0076444C"/>
    <w:rsid w:val="00764D4E"/>
    <w:rsid w:val="00765A1F"/>
    <w:rsid w:val="00774A6E"/>
    <w:rsid w:val="00775B6D"/>
    <w:rsid w:val="00776D68"/>
    <w:rsid w:val="00783758"/>
    <w:rsid w:val="0078389D"/>
    <w:rsid w:val="007850EE"/>
    <w:rsid w:val="00785B95"/>
    <w:rsid w:val="00786404"/>
    <w:rsid w:val="00786E90"/>
    <w:rsid w:val="007872A2"/>
    <w:rsid w:val="00790E96"/>
    <w:rsid w:val="007928CF"/>
    <w:rsid w:val="007929AE"/>
    <w:rsid w:val="00793366"/>
    <w:rsid w:val="00793B64"/>
    <w:rsid w:val="00794013"/>
    <w:rsid w:val="007A4E16"/>
    <w:rsid w:val="007A4E8C"/>
    <w:rsid w:val="007A6D59"/>
    <w:rsid w:val="007A716F"/>
    <w:rsid w:val="007A7655"/>
    <w:rsid w:val="007B270A"/>
    <w:rsid w:val="007B5595"/>
    <w:rsid w:val="007C0695"/>
    <w:rsid w:val="007C0779"/>
    <w:rsid w:val="007C419A"/>
    <w:rsid w:val="007C4CC8"/>
    <w:rsid w:val="007C5426"/>
    <w:rsid w:val="007C5798"/>
    <w:rsid w:val="007D0E31"/>
    <w:rsid w:val="007D1ECA"/>
    <w:rsid w:val="007D4832"/>
    <w:rsid w:val="007D4B9D"/>
    <w:rsid w:val="007E0F42"/>
    <w:rsid w:val="007E214B"/>
    <w:rsid w:val="007E21B2"/>
    <w:rsid w:val="007E2C4E"/>
    <w:rsid w:val="007F1905"/>
    <w:rsid w:val="007F29D6"/>
    <w:rsid w:val="007F449A"/>
    <w:rsid w:val="0080048F"/>
    <w:rsid w:val="0080081C"/>
    <w:rsid w:val="00801300"/>
    <w:rsid w:val="00802C64"/>
    <w:rsid w:val="00805E52"/>
    <w:rsid w:val="008061D0"/>
    <w:rsid w:val="00810B38"/>
    <w:rsid w:val="0081710C"/>
    <w:rsid w:val="008204C7"/>
    <w:rsid w:val="008206EC"/>
    <w:rsid w:val="00820992"/>
    <w:rsid w:val="00821E1C"/>
    <w:rsid w:val="008232E8"/>
    <w:rsid w:val="00823602"/>
    <w:rsid w:val="008255F5"/>
    <w:rsid w:val="008270D1"/>
    <w:rsid w:val="0083014E"/>
    <w:rsid w:val="0083214A"/>
    <w:rsid w:val="00834220"/>
    <w:rsid w:val="00835569"/>
    <w:rsid w:val="00841B22"/>
    <w:rsid w:val="0084241C"/>
    <w:rsid w:val="00844D90"/>
    <w:rsid w:val="00845723"/>
    <w:rsid w:val="00851EF9"/>
    <w:rsid w:val="00852213"/>
    <w:rsid w:val="008577FD"/>
    <w:rsid w:val="008609D2"/>
    <w:rsid w:val="00860B03"/>
    <w:rsid w:val="00862058"/>
    <w:rsid w:val="008623BD"/>
    <w:rsid w:val="0086497A"/>
    <w:rsid w:val="00865764"/>
    <w:rsid w:val="00866B7F"/>
    <w:rsid w:val="008713A1"/>
    <w:rsid w:val="008723A2"/>
    <w:rsid w:val="008754AB"/>
    <w:rsid w:val="0088060C"/>
    <w:rsid w:val="00880B07"/>
    <w:rsid w:val="00893576"/>
    <w:rsid w:val="00893E73"/>
    <w:rsid w:val="00894153"/>
    <w:rsid w:val="008A1FF4"/>
    <w:rsid w:val="008A43C4"/>
    <w:rsid w:val="008A4E94"/>
    <w:rsid w:val="008A77EB"/>
    <w:rsid w:val="008B02DC"/>
    <w:rsid w:val="008B0F07"/>
    <w:rsid w:val="008B16D1"/>
    <w:rsid w:val="008B57CE"/>
    <w:rsid w:val="008B659F"/>
    <w:rsid w:val="008C26DE"/>
    <w:rsid w:val="008C4036"/>
    <w:rsid w:val="008C6A0A"/>
    <w:rsid w:val="008C7330"/>
    <w:rsid w:val="008C73EC"/>
    <w:rsid w:val="008D213D"/>
    <w:rsid w:val="008D2225"/>
    <w:rsid w:val="008D4752"/>
    <w:rsid w:val="008D552A"/>
    <w:rsid w:val="008D5ED2"/>
    <w:rsid w:val="008E271C"/>
    <w:rsid w:val="008E418E"/>
    <w:rsid w:val="008E4D44"/>
    <w:rsid w:val="008E5BC6"/>
    <w:rsid w:val="008E6A25"/>
    <w:rsid w:val="008F5193"/>
    <w:rsid w:val="009013A7"/>
    <w:rsid w:val="009017FB"/>
    <w:rsid w:val="009017FC"/>
    <w:rsid w:val="00902F9D"/>
    <w:rsid w:val="00903B43"/>
    <w:rsid w:val="0090506B"/>
    <w:rsid w:val="009050C9"/>
    <w:rsid w:val="009066FC"/>
    <w:rsid w:val="00910A6B"/>
    <w:rsid w:val="00912660"/>
    <w:rsid w:val="009138D0"/>
    <w:rsid w:val="009140A3"/>
    <w:rsid w:val="009144A2"/>
    <w:rsid w:val="0091510C"/>
    <w:rsid w:val="00915BAC"/>
    <w:rsid w:val="009259AC"/>
    <w:rsid w:val="00926F38"/>
    <w:rsid w:val="00933B0C"/>
    <w:rsid w:val="00934301"/>
    <w:rsid w:val="0093550C"/>
    <w:rsid w:val="00936CD1"/>
    <w:rsid w:val="00941747"/>
    <w:rsid w:val="00941EFB"/>
    <w:rsid w:val="00943262"/>
    <w:rsid w:val="00945F34"/>
    <w:rsid w:val="00947AFB"/>
    <w:rsid w:val="00951D7D"/>
    <w:rsid w:val="00952C12"/>
    <w:rsid w:val="009627A4"/>
    <w:rsid w:val="009630C7"/>
    <w:rsid w:val="00963864"/>
    <w:rsid w:val="00966DFA"/>
    <w:rsid w:val="00972B11"/>
    <w:rsid w:val="00972B55"/>
    <w:rsid w:val="009743B7"/>
    <w:rsid w:val="0097592E"/>
    <w:rsid w:val="00980578"/>
    <w:rsid w:val="0098228B"/>
    <w:rsid w:val="009828DA"/>
    <w:rsid w:val="00982D07"/>
    <w:rsid w:val="00985BAB"/>
    <w:rsid w:val="00985EAA"/>
    <w:rsid w:val="009923A7"/>
    <w:rsid w:val="009943F3"/>
    <w:rsid w:val="00997F03"/>
    <w:rsid w:val="009A019D"/>
    <w:rsid w:val="009A1658"/>
    <w:rsid w:val="009A2BE8"/>
    <w:rsid w:val="009A46DF"/>
    <w:rsid w:val="009A6A96"/>
    <w:rsid w:val="009B1B5F"/>
    <w:rsid w:val="009B1F8B"/>
    <w:rsid w:val="009B2EC2"/>
    <w:rsid w:val="009B6673"/>
    <w:rsid w:val="009B7A0B"/>
    <w:rsid w:val="009C191B"/>
    <w:rsid w:val="009C2BD6"/>
    <w:rsid w:val="009C35B7"/>
    <w:rsid w:val="009C6D58"/>
    <w:rsid w:val="009D0EE3"/>
    <w:rsid w:val="009D374A"/>
    <w:rsid w:val="009E1231"/>
    <w:rsid w:val="009E1F32"/>
    <w:rsid w:val="009E4BBB"/>
    <w:rsid w:val="009E5829"/>
    <w:rsid w:val="009E776C"/>
    <w:rsid w:val="009F0CE2"/>
    <w:rsid w:val="009F1296"/>
    <w:rsid w:val="009F6BD9"/>
    <w:rsid w:val="009F7474"/>
    <w:rsid w:val="00A00AB9"/>
    <w:rsid w:val="00A048FF"/>
    <w:rsid w:val="00A06DCE"/>
    <w:rsid w:val="00A07D84"/>
    <w:rsid w:val="00A130B4"/>
    <w:rsid w:val="00A134C6"/>
    <w:rsid w:val="00A1726E"/>
    <w:rsid w:val="00A204CF"/>
    <w:rsid w:val="00A212FF"/>
    <w:rsid w:val="00A2132E"/>
    <w:rsid w:val="00A219A2"/>
    <w:rsid w:val="00A23D49"/>
    <w:rsid w:val="00A25479"/>
    <w:rsid w:val="00A27004"/>
    <w:rsid w:val="00A27BB0"/>
    <w:rsid w:val="00A27C54"/>
    <w:rsid w:val="00A30C29"/>
    <w:rsid w:val="00A31F2D"/>
    <w:rsid w:val="00A34DD6"/>
    <w:rsid w:val="00A36819"/>
    <w:rsid w:val="00A36989"/>
    <w:rsid w:val="00A36D73"/>
    <w:rsid w:val="00A3770B"/>
    <w:rsid w:val="00A41D4A"/>
    <w:rsid w:val="00A43628"/>
    <w:rsid w:val="00A500C8"/>
    <w:rsid w:val="00A50298"/>
    <w:rsid w:val="00A515B7"/>
    <w:rsid w:val="00A54067"/>
    <w:rsid w:val="00A54192"/>
    <w:rsid w:val="00A57D71"/>
    <w:rsid w:val="00A6035E"/>
    <w:rsid w:val="00A6144C"/>
    <w:rsid w:val="00A61801"/>
    <w:rsid w:val="00A62249"/>
    <w:rsid w:val="00A66617"/>
    <w:rsid w:val="00A671F8"/>
    <w:rsid w:val="00A673A4"/>
    <w:rsid w:val="00A70145"/>
    <w:rsid w:val="00A71FD0"/>
    <w:rsid w:val="00A724AE"/>
    <w:rsid w:val="00A732AE"/>
    <w:rsid w:val="00A73329"/>
    <w:rsid w:val="00A81B65"/>
    <w:rsid w:val="00A82359"/>
    <w:rsid w:val="00A865D2"/>
    <w:rsid w:val="00A90489"/>
    <w:rsid w:val="00A92155"/>
    <w:rsid w:val="00A92648"/>
    <w:rsid w:val="00A94C20"/>
    <w:rsid w:val="00A96ED6"/>
    <w:rsid w:val="00AA227F"/>
    <w:rsid w:val="00AA3BC7"/>
    <w:rsid w:val="00AA51CF"/>
    <w:rsid w:val="00AA754A"/>
    <w:rsid w:val="00AA7E0A"/>
    <w:rsid w:val="00AB099E"/>
    <w:rsid w:val="00AB2456"/>
    <w:rsid w:val="00AB3AF8"/>
    <w:rsid w:val="00AB4328"/>
    <w:rsid w:val="00AB57ED"/>
    <w:rsid w:val="00AB5FA0"/>
    <w:rsid w:val="00AB693D"/>
    <w:rsid w:val="00AB7B0C"/>
    <w:rsid w:val="00AD0004"/>
    <w:rsid w:val="00AD2706"/>
    <w:rsid w:val="00AE0A2E"/>
    <w:rsid w:val="00AE354C"/>
    <w:rsid w:val="00AF13D5"/>
    <w:rsid w:val="00AF4B07"/>
    <w:rsid w:val="00AF5550"/>
    <w:rsid w:val="00AF6186"/>
    <w:rsid w:val="00AF6D45"/>
    <w:rsid w:val="00AF6F30"/>
    <w:rsid w:val="00AF76AE"/>
    <w:rsid w:val="00AF7A3A"/>
    <w:rsid w:val="00B0175F"/>
    <w:rsid w:val="00B0287D"/>
    <w:rsid w:val="00B04FC2"/>
    <w:rsid w:val="00B06E17"/>
    <w:rsid w:val="00B12AD0"/>
    <w:rsid w:val="00B141BD"/>
    <w:rsid w:val="00B144D5"/>
    <w:rsid w:val="00B160DB"/>
    <w:rsid w:val="00B20836"/>
    <w:rsid w:val="00B235BB"/>
    <w:rsid w:val="00B25054"/>
    <w:rsid w:val="00B27A44"/>
    <w:rsid w:val="00B30BBF"/>
    <w:rsid w:val="00B32100"/>
    <w:rsid w:val="00B33C03"/>
    <w:rsid w:val="00B34F58"/>
    <w:rsid w:val="00B3514F"/>
    <w:rsid w:val="00B40E8B"/>
    <w:rsid w:val="00B42D7C"/>
    <w:rsid w:val="00B44E56"/>
    <w:rsid w:val="00B46543"/>
    <w:rsid w:val="00B47D33"/>
    <w:rsid w:val="00B52BE0"/>
    <w:rsid w:val="00B534D1"/>
    <w:rsid w:val="00B54133"/>
    <w:rsid w:val="00B5717D"/>
    <w:rsid w:val="00B60FAB"/>
    <w:rsid w:val="00B637B9"/>
    <w:rsid w:val="00B701ED"/>
    <w:rsid w:val="00B7242D"/>
    <w:rsid w:val="00B761A6"/>
    <w:rsid w:val="00B8086C"/>
    <w:rsid w:val="00B84B14"/>
    <w:rsid w:val="00B859C2"/>
    <w:rsid w:val="00B861B4"/>
    <w:rsid w:val="00B86DFE"/>
    <w:rsid w:val="00B90990"/>
    <w:rsid w:val="00B91952"/>
    <w:rsid w:val="00B922FF"/>
    <w:rsid w:val="00B92491"/>
    <w:rsid w:val="00B9281E"/>
    <w:rsid w:val="00B93925"/>
    <w:rsid w:val="00B95105"/>
    <w:rsid w:val="00B95187"/>
    <w:rsid w:val="00B97728"/>
    <w:rsid w:val="00BA2D55"/>
    <w:rsid w:val="00BA71B1"/>
    <w:rsid w:val="00BB0637"/>
    <w:rsid w:val="00BB345F"/>
    <w:rsid w:val="00BB55A4"/>
    <w:rsid w:val="00BB5883"/>
    <w:rsid w:val="00BB6408"/>
    <w:rsid w:val="00BB68EA"/>
    <w:rsid w:val="00BC1C27"/>
    <w:rsid w:val="00BC29C9"/>
    <w:rsid w:val="00BC425C"/>
    <w:rsid w:val="00BC6A7C"/>
    <w:rsid w:val="00BC6BBF"/>
    <w:rsid w:val="00BD076F"/>
    <w:rsid w:val="00BD1572"/>
    <w:rsid w:val="00BD3066"/>
    <w:rsid w:val="00BE14E3"/>
    <w:rsid w:val="00BE3774"/>
    <w:rsid w:val="00BE3C3B"/>
    <w:rsid w:val="00BE41E5"/>
    <w:rsid w:val="00BF0BBB"/>
    <w:rsid w:val="00BF2A50"/>
    <w:rsid w:val="00BF4109"/>
    <w:rsid w:val="00BF4CC3"/>
    <w:rsid w:val="00BF4D30"/>
    <w:rsid w:val="00BF532A"/>
    <w:rsid w:val="00C01B8E"/>
    <w:rsid w:val="00C054C7"/>
    <w:rsid w:val="00C057B5"/>
    <w:rsid w:val="00C14840"/>
    <w:rsid w:val="00C14F77"/>
    <w:rsid w:val="00C1598C"/>
    <w:rsid w:val="00C163C6"/>
    <w:rsid w:val="00C22687"/>
    <w:rsid w:val="00C23B77"/>
    <w:rsid w:val="00C30664"/>
    <w:rsid w:val="00C32E4D"/>
    <w:rsid w:val="00C333A0"/>
    <w:rsid w:val="00C346BB"/>
    <w:rsid w:val="00C36A81"/>
    <w:rsid w:val="00C36D7D"/>
    <w:rsid w:val="00C3781F"/>
    <w:rsid w:val="00C40030"/>
    <w:rsid w:val="00C41974"/>
    <w:rsid w:val="00C43962"/>
    <w:rsid w:val="00C43C42"/>
    <w:rsid w:val="00C447AD"/>
    <w:rsid w:val="00C47893"/>
    <w:rsid w:val="00C478DF"/>
    <w:rsid w:val="00C53F4A"/>
    <w:rsid w:val="00C54125"/>
    <w:rsid w:val="00C55B54"/>
    <w:rsid w:val="00C573F7"/>
    <w:rsid w:val="00C601D7"/>
    <w:rsid w:val="00C6098E"/>
    <w:rsid w:val="00C6152C"/>
    <w:rsid w:val="00C621C2"/>
    <w:rsid w:val="00C622CF"/>
    <w:rsid w:val="00C65756"/>
    <w:rsid w:val="00C66B5D"/>
    <w:rsid w:val="00C66D79"/>
    <w:rsid w:val="00C6780B"/>
    <w:rsid w:val="00C73A78"/>
    <w:rsid w:val="00C74810"/>
    <w:rsid w:val="00C76E28"/>
    <w:rsid w:val="00C82D9D"/>
    <w:rsid w:val="00C83CCF"/>
    <w:rsid w:val="00C90BDA"/>
    <w:rsid w:val="00C90D68"/>
    <w:rsid w:val="00C915FB"/>
    <w:rsid w:val="00C939FE"/>
    <w:rsid w:val="00CA4BDA"/>
    <w:rsid w:val="00CA69C3"/>
    <w:rsid w:val="00CB0E68"/>
    <w:rsid w:val="00CB180C"/>
    <w:rsid w:val="00CB1F66"/>
    <w:rsid w:val="00CB2951"/>
    <w:rsid w:val="00CB4F01"/>
    <w:rsid w:val="00CB54DE"/>
    <w:rsid w:val="00CB79A0"/>
    <w:rsid w:val="00CB7F70"/>
    <w:rsid w:val="00CC3F24"/>
    <w:rsid w:val="00CC70EA"/>
    <w:rsid w:val="00CD282B"/>
    <w:rsid w:val="00CD4C35"/>
    <w:rsid w:val="00CD6618"/>
    <w:rsid w:val="00CD7369"/>
    <w:rsid w:val="00CE0B0E"/>
    <w:rsid w:val="00CE2F1E"/>
    <w:rsid w:val="00CE3831"/>
    <w:rsid w:val="00CE7BA8"/>
    <w:rsid w:val="00D00ABB"/>
    <w:rsid w:val="00D02EEC"/>
    <w:rsid w:val="00D03551"/>
    <w:rsid w:val="00D06A63"/>
    <w:rsid w:val="00D07E0E"/>
    <w:rsid w:val="00D101AA"/>
    <w:rsid w:val="00D11478"/>
    <w:rsid w:val="00D15ED0"/>
    <w:rsid w:val="00D21B3E"/>
    <w:rsid w:val="00D21FED"/>
    <w:rsid w:val="00D24251"/>
    <w:rsid w:val="00D24CE1"/>
    <w:rsid w:val="00D315BF"/>
    <w:rsid w:val="00D343E2"/>
    <w:rsid w:val="00D361A2"/>
    <w:rsid w:val="00D440CE"/>
    <w:rsid w:val="00D44C2E"/>
    <w:rsid w:val="00D45414"/>
    <w:rsid w:val="00D45D24"/>
    <w:rsid w:val="00D50AE0"/>
    <w:rsid w:val="00D52EA3"/>
    <w:rsid w:val="00D53C0F"/>
    <w:rsid w:val="00D566BD"/>
    <w:rsid w:val="00D57A4D"/>
    <w:rsid w:val="00D60AA7"/>
    <w:rsid w:val="00D60D87"/>
    <w:rsid w:val="00D61A10"/>
    <w:rsid w:val="00D6435F"/>
    <w:rsid w:val="00D73EC9"/>
    <w:rsid w:val="00D75E28"/>
    <w:rsid w:val="00D772C2"/>
    <w:rsid w:val="00D772E2"/>
    <w:rsid w:val="00D8008E"/>
    <w:rsid w:val="00D82C45"/>
    <w:rsid w:val="00D835EA"/>
    <w:rsid w:val="00D908A8"/>
    <w:rsid w:val="00D91261"/>
    <w:rsid w:val="00D977B6"/>
    <w:rsid w:val="00DA30B1"/>
    <w:rsid w:val="00DA408B"/>
    <w:rsid w:val="00DA4A31"/>
    <w:rsid w:val="00DA61F2"/>
    <w:rsid w:val="00DA7B04"/>
    <w:rsid w:val="00DB36C2"/>
    <w:rsid w:val="00DB424F"/>
    <w:rsid w:val="00DB702A"/>
    <w:rsid w:val="00DB713E"/>
    <w:rsid w:val="00DB7196"/>
    <w:rsid w:val="00DC169B"/>
    <w:rsid w:val="00DC2AB9"/>
    <w:rsid w:val="00DC63F0"/>
    <w:rsid w:val="00DD6EE5"/>
    <w:rsid w:val="00DE02C3"/>
    <w:rsid w:val="00DE1B8E"/>
    <w:rsid w:val="00DE386C"/>
    <w:rsid w:val="00DE4D35"/>
    <w:rsid w:val="00DE50FB"/>
    <w:rsid w:val="00DE74A8"/>
    <w:rsid w:val="00DF0549"/>
    <w:rsid w:val="00DF098B"/>
    <w:rsid w:val="00DF113A"/>
    <w:rsid w:val="00DF11C4"/>
    <w:rsid w:val="00DF210C"/>
    <w:rsid w:val="00DF4B6A"/>
    <w:rsid w:val="00E02C04"/>
    <w:rsid w:val="00E02C09"/>
    <w:rsid w:val="00E04D59"/>
    <w:rsid w:val="00E07DA1"/>
    <w:rsid w:val="00E123CB"/>
    <w:rsid w:val="00E1557C"/>
    <w:rsid w:val="00E17607"/>
    <w:rsid w:val="00E20E13"/>
    <w:rsid w:val="00E21DBC"/>
    <w:rsid w:val="00E22E65"/>
    <w:rsid w:val="00E2499F"/>
    <w:rsid w:val="00E275D7"/>
    <w:rsid w:val="00E27DBE"/>
    <w:rsid w:val="00E3081C"/>
    <w:rsid w:val="00E31216"/>
    <w:rsid w:val="00E31E7B"/>
    <w:rsid w:val="00E32AB1"/>
    <w:rsid w:val="00E36C71"/>
    <w:rsid w:val="00E40404"/>
    <w:rsid w:val="00E4133A"/>
    <w:rsid w:val="00E459C6"/>
    <w:rsid w:val="00E4665C"/>
    <w:rsid w:val="00E46CE7"/>
    <w:rsid w:val="00E47589"/>
    <w:rsid w:val="00E564A4"/>
    <w:rsid w:val="00E64915"/>
    <w:rsid w:val="00E661D4"/>
    <w:rsid w:val="00E6709A"/>
    <w:rsid w:val="00E67321"/>
    <w:rsid w:val="00E70091"/>
    <w:rsid w:val="00E720F5"/>
    <w:rsid w:val="00E73ACA"/>
    <w:rsid w:val="00E76D47"/>
    <w:rsid w:val="00E7719F"/>
    <w:rsid w:val="00E77D3F"/>
    <w:rsid w:val="00E82410"/>
    <w:rsid w:val="00E849F7"/>
    <w:rsid w:val="00E85177"/>
    <w:rsid w:val="00E90239"/>
    <w:rsid w:val="00E90302"/>
    <w:rsid w:val="00E94AE6"/>
    <w:rsid w:val="00E9597F"/>
    <w:rsid w:val="00E97396"/>
    <w:rsid w:val="00EA185E"/>
    <w:rsid w:val="00EA1913"/>
    <w:rsid w:val="00EA592A"/>
    <w:rsid w:val="00EA737F"/>
    <w:rsid w:val="00EB14E4"/>
    <w:rsid w:val="00EB32A5"/>
    <w:rsid w:val="00EB34ED"/>
    <w:rsid w:val="00EB6701"/>
    <w:rsid w:val="00EB689F"/>
    <w:rsid w:val="00EB7BE0"/>
    <w:rsid w:val="00EB7EEA"/>
    <w:rsid w:val="00EC0F1E"/>
    <w:rsid w:val="00EC315E"/>
    <w:rsid w:val="00ED077C"/>
    <w:rsid w:val="00ED1190"/>
    <w:rsid w:val="00ED48AA"/>
    <w:rsid w:val="00ED6544"/>
    <w:rsid w:val="00ED6CE2"/>
    <w:rsid w:val="00EE0277"/>
    <w:rsid w:val="00EE119A"/>
    <w:rsid w:val="00EE1DA9"/>
    <w:rsid w:val="00EE3E00"/>
    <w:rsid w:val="00EE5DD2"/>
    <w:rsid w:val="00EF0073"/>
    <w:rsid w:val="00EF2AB1"/>
    <w:rsid w:val="00EF41F1"/>
    <w:rsid w:val="00EF4F08"/>
    <w:rsid w:val="00EF573B"/>
    <w:rsid w:val="00EF5EE1"/>
    <w:rsid w:val="00F003AA"/>
    <w:rsid w:val="00F00A79"/>
    <w:rsid w:val="00F00E86"/>
    <w:rsid w:val="00F00F8B"/>
    <w:rsid w:val="00F0429B"/>
    <w:rsid w:val="00F0594E"/>
    <w:rsid w:val="00F07C1E"/>
    <w:rsid w:val="00F10034"/>
    <w:rsid w:val="00F105DB"/>
    <w:rsid w:val="00F10BF7"/>
    <w:rsid w:val="00F129B9"/>
    <w:rsid w:val="00F132BC"/>
    <w:rsid w:val="00F13D80"/>
    <w:rsid w:val="00F16AAA"/>
    <w:rsid w:val="00F20019"/>
    <w:rsid w:val="00F21161"/>
    <w:rsid w:val="00F218EF"/>
    <w:rsid w:val="00F21BC7"/>
    <w:rsid w:val="00F25474"/>
    <w:rsid w:val="00F266A2"/>
    <w:rsid w:val="00F30214"/>
    <w:rsid w:val="00F31AD6"/>
    <w:rsid w:val="00F32269"/>
    <w:rsid w:val="00F32DBC"/>
    <w:rsid w:val="00F33DEE"/>
    <w:rsid w:val="00F36885"/>
    <w:rsid w:val="00F41DC7"/>
    <w:rsid w:val="00F42397"/>
    <w:rsid w:val="00F4457E"/>
    <w:rsid w:val="00F46C4E"/>
    <w:rsid w:val="00F509DB"/>
    <w:rsid w:val="00F52BE7"/>
    <w:rsid w:val="00F53840"/>
    <w:rsid w:val="00F56A6F"/>
    <w:rsid w:val="00F5709C"/>
    <w:rsid w:val="00F6076C"/>
    <w:rsid w:val="00F61EAA"/>
    <w:rsid w:val="00F64579"/>
    <w:rsid w:val="00F64EF1"/>
    <w:rsid w:val="00F668E2"/>
    <w:rsid w:val="00F679A2"/>
    <w:rsid w:val="00F71856"/>
    <w:rsid w:val="00F74574"/>
    <w:rsid w:val="00F8169C"/>
    <w:rsid w:val="00F81955"/>
    <w:rsid w:val="00F855CE"/>
    <w:rsid w:val="00F85BED"/>
    <w:rsid w:val="00F8765F"/>
    <w:rsid w:val="00F90767"/>
    <w:rsid w:val="00F93E81"/>
    <w:rsid w:val="00F94746"/>
    <w:rsid w:val="00F953B9"/>
    <w:rsid w:val="00F96AD2"/>
    <w:rsid w:val="00FA22EE"/>
    <w:rsid w:val="00FA685B"/>
    <w:rsid w:val="00FA6B67"/>
    <w:rsid w:val="00FA79CC"/>
    <w:rsid w:val="00FB0C01"/>
    <w:rsid w:val="00FC18F2"/>
    <w:rsid w:val="00FC18F8"/>
    <w:rsid w:val="00FC39E5"/>
    <w:rsid w:val="00FC3A78"/>
    <w:rsid w:val="00FC5FFE"/>
    <w:rsid w:val="00FC6062"/>
    <w:rsid w:val="00FC6542"/>
    <w:rsid w:val="00FD1005"/>
    <w:rsid w:val="00FD3180"/>
    <w:rsid w:val="00FD6C75"/>
    <w:rsid w:val="00FE0FD0"/>
    <w:rsid w:val="00FE22F4"/>
    <w:rsid w:val="00FE71B3"/>
    <w:rsid w:val="00FE773D"/>
    <w:rsid w:val="00FF2363"/>
    <w:rsid w:val="00FF29EA"/>
    <w:rsid w:val="00FF2A36"/>
    <w:rsid w:val="00FF2AC9"/>
    <w:rsid w:val="00FF42C5"/>
    <w:rsid w:val="00FF4DB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86E90"/>
    <w:pPr>
      <w:jc w:val="both"/>
    </w:pPr>
    <w:rPr>
      <w:rFonts w:eastAsiaTheme="minorEastAsia"/>
      <w:sz w:val="24"/>
      <w:lang w:val="en-GB"/>
    </w:rPr>
  </w:style>
  <w:style w:type="paragraph" w:styleId="Nagwek1">
    <w:name w:val="heading 1"/>
    <w:basedOn w:val="Normalny"/>
    <w:next w:val="Normalny"/>
    <w:link w:val="Nagwek1Znak"/>
    <w:uiPriority w:val="99"/>
    <w:semiHidden/>
    <w:rsid w:val="00786E9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86E9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86E9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86E9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86E9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786E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86E9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786E9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786E9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86E90"/>
    <w:rPr>
      <w:rFonts w:ascii="Tahoma" w:hAnsi="Tahoma" w:cs="Tahoma"/>
      <w:sz w:val="16"/>
      <w:szCs w:val="16"/>
    </w:rPr>
  </w:style>
  <w:style w:type="character" w:customStyle="1" w:styleId="TekstdymkaZnak">
    <w:name w:val="Tekst dymka Znak"/>
    <w:basedOn w:val="Domylnaczcionkaakapitu"/>
    <w:link w:val="Tekstdymka"/>
    <w:uiPriority w:val="99"/>
    <w:semiHidden/>
    <w:rsid w:val="00786E90"/>
    <w:rPr>
      <w:rFonts w:ascii="Tahoma" w:eastAsiaTheme="minorEastAsia" w:hAnsi="Tahoma" w:cs="Tahoma"/>
      <w:sz w:val="16"/>
      <w:szCs w:val="16"/>
      <w:lang w:val="en-GB"/>
    </w:rPr>
  </w:style>
  <w:style w:type="character" w:styleId="Tytuksiki">
    <w:name w:val="Book Title"/>
    <w:uiPriority w:val="99"/>
    <w:semiHidden/>
    <w:qFormat/>
    <w:rsid w:val="00786E90"/>
    <w:rPr>
      <w:i/>
      <w:iCs/>
      <w:smallCaps/>
      <w:spacing w:val="5"/>
    </w:rPr>
  </w:style>
  <w:style w:type="paragraph" w:customStyle="1" w:styleId="ECHRHeader">
    <w:name w:val="ECHR_Header"/>
    <w:aliases w:val="Ju_Header"/>
    <w:basedOn w:val="Nagwek"/>
    <w:uiPriority w:val="4"/>
    <w:qFormat/>
    <w:rsid w:val="00786E9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86E90"/>
    <w:pPr>
      <w:jc w:val="left"/>
    </w:pPr>
    <w:rPr>
      <w:sz w:val="8"/>
    </w:rPr>
  </w:style>
  <w:style w:type="character" w:styleId="Pogrubienie">
    <w:name w:val="Strong"/>
    <w:uiPriority w:val="99"/>
    <w:semiHidden/>
    <w:qFormat/>
    <w:rsid w:val="00786E90"/>
    <w:rPr>
      <w:b/>
      <w:bCs/>
    </w:rPr>
  </w:style>
  <w:style w:type="paragraph" w:styleId="Bezodstpw">
    <w:name w:val="No Spacing"/>
    <w:basedOn w:val="Normalny"/>
    <w:link w:val="BezodstpwZnak"/>
    <w:semiHidden/>
    <w:qFormat/>
    <w:rsid w:val="00786E90"/>
    <w:rPr>
      <w:sz w:val="22"/>
      <w:lang w:val="en-US"/>
    </w:rPr>
  </w:style>
  <w:style w:type="character" w:customStyle="1" w:styleId="BezodstpwZnak">
    <w:name w:val="Bez odstępów Znak"/>
    <w:basedOn w:val="Domylnaczcionkaakapitu"/>
    <w:link w:val="Bezodstpw"/>
    <w:semiHidden/>
    <w:rsid w:val="00786E90"/>
    <w:rPr>
      <w:rFonts w:eastAsiaTheme="minorEastAsia"/>
    </w:rPr>
  </w:style>
  <w:style w:type="paragraph" w:customStyle="1" w:styleId="ECHRFooterLine">
    <w:name w:val="ECHR_Footer_Line"/>
    <w:aliases w:val="Footer_Line"/>
    <w:basedOn w:val="Normalny"/>
    <w:next w:val="ECHRFooter"/>
    <w:uiPriority w:val="57"/>
    <w:semiHidden/>
    <w:rsid w:val="00786E9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86E90"/>
  </w:style>
  <w:style w:type="paragraph" w:customStyle="1" w:styleId="DecList">
    <w:name w:val="Dec_List"/>
    <w:basedOn w:val="Normalny"/>
    <w:uiPriority w:val="9"/>
    <w:semiHidden/>
    <w:qFormat/>
    <w:rsid w:val="00786E90"/>
    <w:pPr>
      <w:spacing w:before="240"/>
      <w:ind w:left="284"/>
    </w:pPr>
  </w:style>
  <w:style w:type="paragraph" w:customStyle="1" w:styleId="JuParaSub">
    <w:name w:val="Ju_Para_Sub"/>
    <w:basedOn w:val="ECHRPara"/>
    <w:uiPriority w:val="13"/>
    <w:qFormat/>
    <w:rsid w:val="00786E90"/>
    <w:pPr>
      <w:ind w:left="284"/>
    </w:pPr>
  </w:style>
  <w:style w:type="paragraph" w:customStyle="1" w:styleId="ECHRTitleCentre3">
    <w:name w:val="ECHR_Title_Centre_3"/>
    <w:aliases w:val="Ju_H_Article"/>
    <w:basedOn w:val="Normalny"/>
    <w:next w:val="ECHRParaQuote"/>
    <w:uiPriority w:val="27"/>
    <w:qFormat/>
    <w:rsid w:val="00786E9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86E90"/>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86E90"/>
    <w:rPr>
      <w:color w:val="00B050"/>
    </w:rPr>
  </w:style>
  <w:style w:type="paragraph" w:customStyle="1" w:styleId="OpiQuot">
    <w:name w:val="Opi_Quot"/>
    <w:basedOn w:val="ECHRParaQuote"/>
    <w:uiPriority w:val="48"/>
    <w:qFormat/>
    <w:rsid w:val="00786E90"/>
  </w:style>
  <w:style w:type="paragraph" w:customStyle="1" w:styleId="JuAppQuestion">
    <w:name w:val="Ju_App_Question"/>
    <w:basedOn w:val="Normalny"/>
    <w:uiPriority w:val="5"/>
    <w:semiHidden/>
    <w:qFormat/>
    <w:rsid w:val="00786E90"/>
    <w:pPr>
      <w:numPr>
        <w:numId w:val="27"/>
      </w:numPr>
      <w:jc w:val="left"/>
    </w:pPr>
    <w:rPr>
      <w:b/>
    </w:rPr>
  </w:style>
  <w:style w:type="paragraph" w:customStyle="1" w:styleId="ECHRTitleCentre2">
    <w:name w:val="ECHR_Title_Centre_2"/>
    <w:aliases w:val="Dec_H_Case"/>
    <w:basedOn w:val="Normalny"/>
    <w:next w:val="ECHRPara"/>
    <w:uiPriority w:val="8"/>
    <w:qFormat/>
    <w:rsid w:val="00786E9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786E9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786E9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786E9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86E9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86E9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86E9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786E9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786E90"/>
    <w:pPr>
      <w:keepNext/>
      <w:keepLines/>
      <w:spacing w:before="240" w:after="120"/>
      <w:ind w:left="1236"/>
    </w:pPr>
    <w:rPr>
      <w:sz w:val="20"/>
      <w:lang w:val="en-GB"/>
    </w:rPr>
  </w:style>
  <w:style w:type="paragraph" w:customStyle="1" w:styleId="JuQuotSub">
    <w:name w:val="Ju_Quot_Sub"/>
    <w:basedOn w:val="ECHRParaQuote"/>
    <w:uiPriority w:val="15"/>
    <w:qFormat/>
    <w:rsid w:val="00786E90"/>
    <w:pPr>
      <w:ind w:left="567"/>
    </w:pPr>
  </w:style>
  <w:style w:type="paragraph" w:customStyle="1" w:styleId="JuInitialled">
    <w:name w:val="Ju_Initialled"/>
    <w:basedOn w:val="Normalny"/>
    <w:uiPriority w:val="31"/>
    <w:qFormat/>
    <w:rsid w:val="00786E90"/>
    <w:pPr>
      <w:tabs>
        <w:tab w:val="center" w:pos="6407"/>
      </w:tabs>
      <w:spacing w:before="720"/>
      <w:jc w:val="right"/>
    </w:pPr>
  </w:style>
  <w:style w:type="character" w:customStyle="1" w:styleId="JUNAMES">
    <w:name w:val="JU_NAMES"/>
    <w:uiPriority w:val="17"/>
    <w:qFormat/>
    <w:rsid w:val="00786E90"/>
    <w:rPr>
      <w:caps w:val="0"/>
      <w:smallCaps/>
    </w:rPr>
  </w:style>
  <w:style w:type="paragraph" w:styleId="Nagwek">
    <w:name w:val="header"/>
    <w:basedOn w:val="Normalny"/>
    <w:link w:val="NagwekZnak"/>
    <w:uiPriority w:val="57"/>
    <w:rsid w:val="00786E90"/>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786E90"/>
    <w:rPr>
      <w:sz w:val="24"/>
      <w:lang w:val="en-GB"/>
    </w:rPr>
  </w:style>
  <w:style w:type="character" w:customStyle="1" w:styleId="Nagwek1Znak">
    <w:name w:val="Nagłówek 1 Znak"/>
    <w:basedOn w:val="Domylnaczcionkaakapitu"/>
    <w:link w:val="Nagwek1"/>
    <w:uiPriority w:val="99"/>
    <w:semiHidden/>
    <w:rsid w:val="00786E9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786E9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86E9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86E90"/>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786E90"/>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786E90"/>
    <w:pPr>
      <w:ind w:firstLine="284"/>
    </w:pPr>
    <w:rPr>
      <w:b/>
    </w:rPr>
  </w:style>
  <w:style w:type="character" w:customStyle="1" w:styleId="Nagwek3Znak">
    <w:name w:val="Nagłówek 3 Znak"/>
    <w:basedOn w:val="Domylnaczcionkaakapitu"/>
    <w:link w:val="Nagwek3"/>
    <w:uiPriority w:val="99"/>
    <w:semiHidden/>
    <w:rsid w:val="00786E9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786E9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786E90"/>
    <w:rPr>
      <w:rFonts w:asciiTheme="majorHAnsi" w:eastAsiaTheme="majorEastAsia" w:hAnsiTheme="majorHAnsi" w:cstheme="majorBidi"/>
      <w:b/>
      <w:bCs/>
      <w:color w:val="808080"/>
    </w:rPr>
  </w:style>
  <w:style w:type="character" w:styleId="Wyrnieniedelikatne">
    <w:name w:val="Subtle Emphasis"/>
    <w:uiPriority w:val="99"/>
    <w:semiHidden/>
    <w:qFormat/>
    <w:rsid w:val="00786E9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86E90"/>
    <w:pPr>
      <w:keepNext/>
      <w:keepLines/>
      <w:spacing w:before="720" w:after="240"/>
      <w:outlineLvl w:val="0"/>
    </w:pPr>
    <w:rPr>
      <w:rFonts w:asciiTheme="majorHAnsi" w:hAnsiTheme="majorHAnsi"/>
      <w:sz w:val="28"/>
    </w:rPr>
  </w:style>
  <w:style w:type="character" w:styleId="Uwydatnienie">
    <w:name w:val="Emphasis"/>
    <w:uiPriority w:val="99"/>
    <w:semiHidden/>
    <w:qFormat/>
    <w:rsid w:val="00786E90"/>
    <w:rPr>
      <w:b/>
      <w:bCs/>
      <w:i/>
      <w:iCs/>
      <w:spacing w:val="10"/>
      <w:bdr w:val="none" w:sz="0" w:space="0" w:color="auto"/>
      <w:shd w:val="clear" w:color="auto" w:fill="auto"/>
    </w:rPr>
  </w:style>
  <w:style w:type="paragraph" w:styleId="Stopka">
    <w:name w:val="footer"/>
    <w:basedOn w:val="Normalny"/>
    <w:link w:val="StopkaZnak"/>
    <w:uiPriority w:val="57"/>
    <w:semiHidden/>
    <w:rsid w:val="00786E9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86E90"/>
    <w:rPr>
      <w:sz w:val="24"/>
      <w:lang w:val="en-GB"/>
    </w:rPr>
  </w:style>
  <w:style w:type="character" w:styleId="Odwoanieprzypisudolnego">
    <w:name w:val="footnote reference"/>
    <w:basedOn w:val="Domylnaczcionkaakapitu"/>
    <w:uiPriority w:val="99"/>
    <w:semiHidden/>
    <w:rsid w:val="00786E90"/>
    <w:rPr>
      <w:vertAlign w:val="superscript"/>
    </w:rPr>
  </w:style>
  <w:style w:type="paragraph" w:styleId="Tekstprzypisudolnego">
    <w:name w:val="footnote text"/>
    <w:basedOn w:val="Normalny"/>
    <w:link w:val="TekstprzypisudolnegoZnak"/>
    <w:uiPriority w:val="99"/>
    <w:semiHidden/>
    <w:rsid w:val="00786E90"/>
    <w:rPr>
      <w:sz w:val="20"/>
      <w:szCs w:val="20"/>
    </w:rPr>
  </w:style>
  <w:style w:type="character" w:customStyle="1" w:styleId="TekstprzypisudolnegoZnak">
    <w:name w:val="Tekst przypisu dolnego Znak"/>
    <w:basedOn w:val="Domylnaczcionkaakapitu"/>
    <w:link w:val="Tekstprzypisudolnego"/>
    <w:uiPriority w:val="99"/>
    <w:semiHidden/>
    <w:rsid w:val="00786E90"/>
    <w:rPr>
      <w:rFonts w:eastAsiaTheme="minorEastAsia"/>
      <w:sz w:val="20"/>
      <w:szCs w:val="20"/>
      <w:lang w:val="en-GB"/>
    </w:rPr>
  </w:style>
  <w:style w:type="character" w:customStyle="1" w:styleId="Nagwek6Znak">
    <w:name w:val="Nagłówek 6 Znak"/>
    <w:basedOn w:val="Domylnaczcionkaakapitu"/>
    <w:link w:val="Nagwek6"/>
    <w:uiPriority w:val="99"/>
    <w:semiHidden/>
    <w:rsid w:val="00786E9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786E9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86E9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86E9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86E90"/>
    <w:rPr>
      <w:color w:val="0072BC" w:themeColor="hyperlink"/>
      <w:u w:val="single"/>
    </w:rPr>
  </w:style>
  <w:style w:type="character" w:styleId="Wyrnienieintensywne">
    <w:name w:val="Intense Emphasis"/>
    <w:uiPriority w:val="99"/>
    <w:semiHidden/>
    <w:qFormat/>
    <w:rsid w:val="00786E90"/>
    <w:rPr>
      <w:b/>
      <w:bCs/>
    </w:rPr>
  </w:style>
  <w:style w:type="paragraph" w:styleId="Cytatintensywny">
    <w:name w:val="Intense Quote"/>
    <w:basedOn w:val="Normalny"/>
    <w:next w:val="Normalny"/>
    <w:link w:val="CytatintensywnyZnak"/>
    <w:uiPriority w:val="99"/>
    <w:semiHidden/>
    <w:qFormat/>
    <w:rsid w:val="00786E9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786E90"/>
    <w:rPr>
      <w:rFonts w:eastAsiaTheme="minorEastAsia"/>
      <w:b/>
      <w:bCs/>
      <w:i/>
      <w:iCs/>
      <w:lang w:bidi="en-US"/>
    </w:rPr>
  </w:style>
  <w:style w:type="character" w:styleId="Odwoanieintensywne">
    <w:name w:val="Intense Reference"/>
    <w:uiPriority w:val="99"/>
    <w:semiHidden/>
    <w:qFormat/>
    <w:rsid w:val="00786E90"/>
    <w:rPr>
      <w:smallCaps/>
      <w:spacing w:val="5"/>
      <w:u w:val="single"/>
    </w:rPr>
  </w:style>
  <w:style w:type="paragraph" w:styleId="Akapitzlist">
    <w:name w:val="List Paragraph"/>
    <w:basedOn w:val="Normalny"/>
    <w:uiPriority w:val="99"/>
    <w:semiHidden/>
    <w:qFormat/>
    <w:rsid w:val="00786E9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86E9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786E90"/>
    <w:rPr>
      <w:rFonts w:eastAsiaTheme="minorEastAsia"/>
      <w:i/>
      <w:iCs/>
      <w:lang w:bidi="en-US"/>
    </w:rPr>
  </w:style>
  <w:style w:type="character" w:styleId="Odwoaniedelikatne">
    <w:name w:val="Subtle Reference"/>
    <w:uiPriority w:val="99"/>
    <w:semiHidden/>
    <w:qFormat/>
    <w:rsid w:val="00786E90"/>
    <w:rPr>
      <w:smallCaps/>
    </w:rPr>
  </w:style>
  <w:style w:type="table" w:styleId="Tabela-Siatka">
    <w:name w:val="Table Grid"/>
    <w:basedOn w:val="Standardowy"/>
    <w:uiPriority w:val="59"/>
    <w:semiHidden/>
    <w:rsid w:val="00786E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86E9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86E9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86E9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86E9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86E9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86E9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86E9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786E90"/>
    <w:pPr>
      <w:spacing w:before="120" w:after="120"/>
      <w:ind w:left="425" w:firstLine="142"/>
    </w:pPr>
    <w:rPr>
      <w:sz w:val="20"/>
    </w:rPr>
  </w:style>
  <w:style w:type="paragraph" w:customStyle="1" w:styleId="ECHRPara">
    <w:name w:val="ECHR_Para"/>
    <w:aliases w:val="Ju_Para,Left,First line:  0 cm,Para,N_Para,Ju_Para + Interligne : Double"/>
    <w:basedOn w:val="Normalny"/>
    <w:link w:val="ECHRParaChar"/>
    <w:uiPriority w:val="12"/>
    <w:qFormat/>
    <w:rsid w:val="00786E9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86E9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86E9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786E90"/>
    <w:pPr>
      <w:ind w:left="340" w:hanging="340"/>
    </w:pPr>
  </w:style>
  <w:style w:type="paragraph" w:customStyle="1" w:styleId="JuSigned">
    <w:name w:val="Ju_Signed"/>
    <w:basedOn w:val="Normalny"/>
    <w:next w:val="JuParaLast"/>
    <w:uiPriority w:val="32"/>
    <w:qFormat/>
    <w:rsid w:val="00786E90"/>
    <w:pPr>
      <w:tabs>
        <w:tab w:val="center" w:pos="851"/>
        <w:tab w:val="center" w:pos="6407"/>
      </w:tabs>
      <w:spacing w:before="720"/>
      <w:jc w:val="left"/>
    </w:pPr>
  </w:style>
  <w:style w:type="paragraph" w:customStyle="1" w:styleId="JuParaLast">
    <w:name w:val="Ju_Para_Last"/>
    <w:basedOn w:val="Normalny"/>
    <w:next w:val="ECHRPara"/>
    <w:uiPriority w:val="30"/>
    <w:qFormat/>
    <w:rsid w:val="00786E90"/>
    <w:pPr>
      <w:keepNext/>
      <w:keepLines/>
      <w:spacing w:before="240"/>
      <w:ind w:firstLine="284"/>
    </w:pPr>
  </w:style>
  <w:style w:type="paragraph" w:customStyle="1" w:styleId="JuCourt">
    <w:name w:val="Ju_Court"/>
    <w:basedOn w:val="Normalny"/>
    <w:next w:val="Normalny"/>
    <w:uiPriority w:val="16"/>
    <w:qFormat/>
    <w:rsid w:val="00786E90"/>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86E90"/>
    <w:pPr>
      <w:ind w:left="346" w:firstLine="0"/>
    </w:pPr>
  </w:style>
  <w:style w:type="paragraph" w:customStyle="1" w:styleId="JuListi">
    <w:name w:val="Ju_List_i"/>
    <w:basedOn w:val="Normalny"/>
    <w:next w:val="JuLista"/>
    <w:uiPriority w:val="28"/>
    <w:qFormat/>
    <w:rsid w:val="00786E90"/>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basedOn w:val="Domylnaczcionkaakapitu"/>
    <w:uiPriority w:val="99"/>
    <w:semiHidden/>
    <w:rsid w:val="00786E90"/>
    <w:rPr>
      <w:vertAlign w:val="superscript"/>
    </w:rPr>
  </w:style>
  <w:style w:type="paragraph" w:styleId="Tekstprzypisukocowego">
    <w:name w:val="endnote text"/>
    <w:basedOn w:val="Normalny"/>
    <w:link w:val="TekstprzypisukocowegoZnak"/>
    <w:uiPriority w:val="99"/>
    <w:semiHidden/>
    <w:rsid w:val="00786E90"/>
    <w:rPr>
      <w:sz w:val="20"/>
      <w:szCs w:val="20"/>
    </w:rPr>
  </w:style>
  <w:style w:type="character" w:customStyle="1" w:styleId="TekstprzypisukocowegoZnak">
    <w:name w:val="Tekst przypisu końcowego Znak"/>
    <w:basedOn w:val="Domylnaczcionkaakapitu"/>
    <w:link w:val="Tekstprzypisukocowego"/>
    <w:uiPriority w:val="99"/>
    <w:semiHidden/>
    <w:rsid w:val="00786E90"/>
    <w:rPr>
      <w:rFonts w:eastAsiaTheme="minorEastAsia"/>
      <w:sz w:val="20"/>
      <w:szCs w:val="20"/>
      <w:lang w:val="en-GB"/>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786E9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786E9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786E9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86E9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86E9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86E9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86E90"/>
    <w:pPr>
      <w:ind w:left="635" w:hanging="357"/>
      <w:outlineLvl w:val="2"/>
    </w:pPr>
  </w:style>
  <w:style w:type="paragraph" w:customStyle="1" w:styleId="OpiHa">
    <w:name w:val="Opi_H_a"/>
    <w:basedOn w:val="ECHRHeading3"/>
    <w:uiPriority w:val="43"/>
    <w:qFormat/>
    <w:rsid w:val="00786E90"/>
    <w:pPr>
      <w:ind w:left="833" w:hanging="357"/>
      <w:outlineLvl w:val="3"/>
    </w:pPr>
    <w:rPr>
      <w:b/>
      <w:i w:val="0"/>
      <w:sz w:val="20"/>
    </w:rPr>
  </w:style>
  <w:style w:type="paragraph" w:customStyle="1" w:styleId="OpiHA0">
    <w:name w:val="Opi_H_A"/>
    <w:basedOn w:val="ECHRHeading1"/>
    <w:next w:val="OpiPara"/>
    <w:uiPriority w:val="41"/>
    <w:qFormat/>
    <w:rsid w:val="00786E90"/>
    <w:pPr>
      <w:tabs>
        <w:tab w:val="clear" w:pos="357"/>
      </w:tabs>
      <w:outlineLvl w:val="1"/>
    </w:pPr>
    <w:rPr>
      <w:b/>
    </w:rPr>
  </w:style>
  <w:style w:type="paragraph" w:customStyle="1" w:styleId="OpiHi">
    <w:name w:val="Opi_H_i"/>
    <w:basedOn w:val="ECHRHeading4"/>
    <w:uiPriority w:val="44"/>
    <w:qFormat/>
    <w:rsid w:val="00786E90"/>
    <w:pPr>
      <w:ind w:left="1037" w:hanging="357"/>
      <w:outlineLvl w:val="4"/>
    </w:pPr>
    <w:rPr>
      <w:b w:val="0"/>
      <w:i/>
    </w:rPr>
  </w:style>
  <w:style w:type="paragraph" w:customStyle="1" w:styleId="OpiPara">
    <w:name w:val="Opi_Para"/>
    <w:basedOn w:val="ECHRPara"/>
    <w:uiPriority w:val="46"/>
    <w:qFormat/>
    <w:rsid w:val="00786E90"/>
  </w:style>
  <w:style w:type="paragraph" w:customStyle="1" w:styleId="OpiParaSub">
    <w:name w:val="Opi_Para_Sub"/>
    <w:basedOn w:val="JuParaSub"/>
    <w:uiPriority w:val="47"/>
    <w:qFormat/>
    <w:rsid w:val="00786E90"/>
  </w:style>
  <w:style w:type="paragraph" w:customStyle="1" w:styleId="OpiQuotSub">
    <w:name w:val="Opi_Quot_Sub"/>
    <w:basedOn w:val="JuQuotSub"/>
    <w:uiPriority w:val="49"/>
    <w:qFormat/>
    <w:rsid w:val="00786E90"/>
  </w:style>
  <w:style w:type="paragraph" w:customStyle="1" w:styleId="OpiTranslation">
    <w:name w:val="Opi_Translation"/>
    <w:basedOn w:val="Normalny"/>
    <w:next w:val="OpiPara"/>
    <w:uiPriority w:val="40"/>
    <w:qFormat/>
    <w:rsid w:val="00786E90"/>
    <w:pPr>
      <w:jc w:val="center"/>
      <w:outlineLvl w:val="0"/>
    </w:pPr>
    <w:rPr>
      <w:i/>
    </w:rPr>
  </w:style>
  <w:style w:type="character" w:customStyle="1" w:styleId="ECHRParaChar">
    <w:name w:val="ECHR_Para Char"/>
    <w:aliases w:val="Ju_Para Char"/>
    <w:link w:val="ECHRPara"/>
    <w:uiPriority w:val="12"/>
    <w:rsid w:val="005374AD"/>
    <w:rPr>
      <w:rFonts w:eastAsiaTheme="minorEastAsia"/>
      <w:sz w:val="24"/>
      <w:lang w:val="en-GB"/>
    </w:rPr>
  </w:style>
  <w:style w:type="character" w:customStyle="1" w:styleId="JuQuotChar">
    <w:name w:val="Ju_Quot Char"/>
    <w:basedOn w:val="Domylnaczcionkaakapitu"/>
    <w:link w:val="ECHRParaQuote"/>
    <w:uiPriority w:val="14"/>
    <w:rsid w:val="005374AD"/>
    <w:rPr>
      <w:rFonts w:eastAsiaTheme="minorEastAsia"/>
      <w:sz w:val="20"/>
      <w:lang w:val="en-GB"/>
    </w:rPr>
  </w:style>
  <w:style w:type="character" w:customStyle="1" w:styleId="JuListChar">
    <w:name w:val="Ju_List Char"/>
    <w:link w:val="JuList"/>
    <w:uiPriority w:val="28"/>
    <w:rsid w:val="00FF2A36"/>
    <w:rPr>
      <w:rFonts w:eastAsiaTheme="minorEastAsia"/>
      <w:sz w:val="24"/>
      <w:lang w:val="en-GB"/>
    </w:rPr>
  </w:style>
  <w:style w:type="paragraph" w:styleId="Poprawka">
    <w:name w:val="Revision"/>
    <w:hidden/>
    <w:uiPriority w:val="99"/>
    <w:semiHidden/>
    <w:rsid w:val="00FF2A36"/>
    <w:rPr>
      <w:rFonts w:eastAsiaTheme="minorEastAsia"/>
      <w:sz w:val="24"/>
    </w:rPr>
  </w:style>
  <w:style w:type="paragraph" w:customStyle="1" w:styleId="ECHRParaSpaced">
    <w:name w:val="ECHR_Para_Spaced"/>
    <w:aliases w:val="Para_Spaced"/>
    <w:basedOn w:val="ECHRPara"/>
    <w:uiPriority w:val="4"/>
    <w:rsid w:val="00D50AE0"/>
    <w:pPr>
      <w:spacing w:before="120" w:after="120"/>
      <w:ind w:firstLine="0"/>
    </w:pPr>
    <w:rPr>
      <w:rFonts w:eastAsia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86E90"/>
    <w:pPr>
      <w:jc w:val="both"/>
    </w:pPr>
    <w:rPr>
      <w:rFonts w:eastAsiaTheme="minorEastAsia"/>
      <w:sz w:val="24"/>
      <w:lang w:val="en-GB"/>
    </w:rPr>
  </w:style>
  <w:style w:type="paragraph" w:styleId="Nagwek1">
    <w:name w:val="heading 1"/>
    <w:basedOn w:val="Normalny"/>
    <w:next w:val="Normalny"/>
    <w:link w:val="Nagwek1Znak"/>
    <w:uiPriority w:val="99"/>
    <w:semiHidden/>
    <w:rsid w:val="00786E9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86E9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86E9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86E9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86E9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786E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86E9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786E9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786E9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86E90"/>
    <w:rPr>
      <w:rFonts w:ascii="Tahoma" w:hAnsi="Tahoma" w:cs="Tahoma"/>
      <w:sz w:val="16"/>
      <w:szCs w:val="16"/>
    </w:rPr>
  </w:style>
  <w:style w:type="character" w:customStyle="1" w:styleId="TekstdymkaZnak">
    <w:name w:val="Tekst dymka Znak"/>
    <w:basedOn w:val="Domylnaczcionkaakapitu"/>
    <w:link w:val="Tekstdymka"/>
    <w:uiPriority w:val="99"/>
    <w:semiHidden/>
    <w:rsid w:val="00786E90"/>
    <w:rPr>
      <w:rFonts w:ascii="Tahoma" w:eastAsiaTheme="minorEastAsia" w:hAnsi="Tahoma" w:cs="Tahoma"/>
      <w:sz w:val="16"/>
      <w:szCs w:val="16"/>
      <w:lang w:val="en-GB"/>
    </w:rPr>
  </w:style>
  <w:style w:type="character" w:styleId="Tytuksiki">
    <w:name w:val="Book Title"/>
    <w:uiPriority w:val="99"/>
    <w:semiHidden/>
    <w:qFormat/>
    <w:rsid w:val="00786E90"/>
    <w:rPr>
      <w:i/>
      <w:iCs/>
      <w:smallCaps/>
      <w:spacing w:val="5"/>
    </w:rPr>
  </w:style>
  <w:style w:type="paragraph" w:customStyle="1" w:styleId="ECHRHeader">
    <w:name w:val="ECHR_Header"/>
    <w:aliases w:val="Ju_Header"/>
    <w:basedOn w:val="Nagwek"/>
    <w:uiPriority w:val="4"/>
    <w:qFormat/>
    <w:rsid w:val="00786E9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86E90"/>
    <w:pPr>
      <w:jc w:val="left"/>
    </w:pPr>
    <w:rPr>
      <w:sz w:val="8"/>
    </w:rPr>
  </w:style>
  <w:style w:type="character" w:styleId="Pogrubienie">
    <w:name w:val="Strong"/>
    <w:uiPriority w:val="99"/>
    <w:semiHidden/>
    <w:qFormat/>
    <w:rsid w:val="00786E90"/>
    <w:rPr>
      <w:b/>
      <w:bCs/>
    </w:rPr>
  </w:style>
  <w:style w:type="paragraph" w:styleId="Bezodstpw">
    <w:name w:val="No Spacing"/>
    <w:basedOn w:val="Normalny"/>
    <w:link w:val="BezodstpwZnak"/>
    <w:semiHidden/>
    <w:qFormat/>
    <w:rsid w:val="00786E90"/>
    <w:rPr>
      <w:sz w:val="22"/>
      <w:lang w:val="en-US"/>
    </w:rPr>
  </w:style>
  <w:style w:type="character" w:customStyle="1" w:styleId="BezodstpwZnak">
    <w:name w:val="Bez odstępów Znak"/>
    <w:basedOn w:val="Domylnaczcionkaakapitu"/>
    <w:link w:val="Bezodstpw"/>
    <w:semiHidden/>
    <w:rsid w:val="00786E90"/>
    <w:rPr>
      <w:rFonts w:eastAsiaTheme="minorEastAsia"/>
    </w:rPr>
  </w:style>
  <w:style w:type="paragraph" w:customStyle="1" w:styleId="ECHRFooterLine">
    <w:name w:val="ECHR_Footer_Line"/>
    <w:aliases w:val="Footer_Line"/>
    <w:basedOn w:val="Normalny"/>
    <w:next w:val="ECHRFooter"/>
    <w:uiPriority w:val="57"/>
    <w:semiHidden/>
    <w:rsid w:val="00786E9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86E90"/>
  </w:style>
  <w:style w:type="paragraph" w:customStyle="1" w:styleId="DecList">
    <w:name w:val="Dec_List"/>
    <w:basedOn w:val="Normalny"/>
    <w:uiPriority w:val="9"/>
    <w:semiHidden/>
    <w:qFormat/>
    <w:rsid w:val="00786E90"/>
    <w:pPr>
      <w:spacing w:before="240"/>
      <w:ind w:left="284"/>
    </w:pPr>
  </w:style>
  <w:style w:type="paragraph" w:customStyle="1" w:styleId="JuParaSub">
    <w:name w:val="Ju_Para_Sub"/>
    <w:basedOn w:val="ECHRPara"/>
    <w:uiPriority w:val="13"/>
    <w:qFormat/>
    <w:rsid w:val="00786E90"/>
    <w:pPr>
      <w:ind w:left="284"/>
    </w:pPr>
  </w:style>
  <w:style w:type="paragraph" w:customStyle="1" w:styleId="ECHRTitleCentre3">
    <w:name w:val="ECHR_Title_Centre_3"/>
    <w:aliases w:val="Ju_H_Article"/>
    <w:basedOn w:val="Normalny"/>
    <w:next w:val="ECHRParaQuote"/>
    <w:uiPriority w:val="27"/>
    <w:qFormat/>
    <w:rsid w:val="00786E9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86E90"/>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786E90"/>
    <w:rPr>
      <w:color w:val="00B050"/>
    </w:rPr>
  </w:style>
  <w:style w:type="paragraph" w:customStyle="1" w:styleId="OpiQuot">
    <w:name w:val="Opi_Quot"/>
    <w:basedOn w:val="ECHRParaQuote"/>
    <w:uiPriority w:val="48"/>
    <w:qFormat/>
    <w:rsid w:val="00786E90"/>
  </w:style>
  <w:style w:type="paragraph" w:customStyle="1" w:styleId="JuAppQuestion">
    <w:name w:val="Ju_App_Question"/>
    <w:basedOn w:val="Normalny"/>
    <w:uiPriority w:val="5"/>
    <w:semiHidden/>
    <w:qFormat/>
    <w:rsid w:val="00786E90"/>
    <w:pPr>
      <w:numPr>
        <w:numId w:val="27"/>
      </w:numPr>
      <w:jc w:val="left"/>
    </w:pPr>
    <w:rPr>
      <w:b/>
    </w:rPr>
  </w:style>
  <w:style w:type="paragraph" w:customStyle="1" w:styleId="ECHRTitleCentre2">
    <w:name w:val="ECHR_Title_Centre_2"/>
    <w:aliases w:val="Dec_H_Case"/>
    <w:basedOn w:val="Normalny"/>
    <w:next w:val="ECHRPara"/>
    <w:uiPriority w:val="8"/>
    <w:qFormat/>
    <w:rsid w:val="00786E9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786E9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786E9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786E9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86E9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86E9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86E9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786E9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786E90"/>
    <w:pPr>
      <w:keepNext/>
      <w:keepLines/>
      <w:spacing w:before="240" w:after="120"/>
      <w:ind w:left="1236"/>
    </w:pPr>
    <w:rPr>
      <w:sz w:val="20"/>
      <w:lang w:val="en-GB"/>
    </w:rPr>
  </w:style>
  <w:style w:type="paragraph" w:customStyle="1" w:styleId="JuQuotSub">
    <w:name w:val="Ju_Quot_Sub"/>
    <w:basedOn w:val="ECHRParaQuote"/>
    <w:uiPriority w:val="15"/>
    <w:qFormat/>
    <w:rsid w:val="00786E90"/>
    <w:pPr>
      <w:ind w:left="567"/>
    </w:pPr>
  </w:style>
  <w:style w:type="paragraph" w:customStyle="1" w:styleId="JuInitialled">
    <w:name w:val="Ju_Initialled"/>
    <w:basedOn w:val="Normalny"/>
    <w:uiPriority w:val="31"/>
    <w:qFormat/>
    <w:rsid w:val="00786E90"/>
    <w:pPr>
      <w:tabs>
        <w:tab w:val="center" w:pos="6407"/>
      </w:tabs>
      <w:spacing w:before="720"/>
      <w:jc w:val="right"/>
    </w:pPr>
  </w:style>
  <w:style w:type="character" w:customStyle="1" w:styleId="JUNAMES">
    <w:name w:val="JU_NAMES"/>
    <w:uiPriority w:val="17"/>
    <w:qFormat/>
    <w:rsid w:val="00786E90"/>
    <w:rPr>
      <w:caps w:val="0"/>
      <w:smallCaps/>
    </w:rPr>
  </w:style>
  <w:style w:type="paragraph" w:styleId="Nagwek">
    <w:name w:val="header"/>
    <w:basedOn w:val="Normalny"/>
    <w:link w:val="NagwekZnak"/>
    <w:uiPriority w:val="57"/>
    <w:rsid w:val="00786E90"/>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786E90"/>
    <w:rPr>
      <w:sz w:val="24"/>
      <w:lang w:val="en-GB"/>
    </w:rPr>
  </w:style>
  <w:style w:type="character" w:customStyle="1" w:styleId="Nagwek1Znak">
    <w:name w:val="Nagłówek 1 Znak"/>
    <w:basedOn w:val="Domylnaczcionkaakapitu"/>
    <w:link w:val="Nagwek1"/>
    <w:uiPriority w:val="99"/>
    <w:semiHidden/>
    <w:rsid w:val="00786E9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786E9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86E9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86E90"/>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786E90"/>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786E90"/>
    <w:pPr>
      <w:ind w:firstLine="284"/>
    </w:pPr>
    <w:rPr>
      <w:b/>
    </w:rPr>
  </w:style>
  <w:style w:type="character" w:customStyle="1" w:styleId="Nagwek3Znak">
    <w:name w:val="Nagłówek 3 Znak"/>
    <w:basedOn w:val="Domylnaczcionkaakapitu"/>
    <w:link w:val="Nagwek3"/>
    <w:uiPriority w:val="99"/>
    <w:semiHidden/>
    <w:rsid w:val="00786E9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786E9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786E90"/>
    <w:rPr>
      <w:rFonts w:asciiTheme="majorHAnsi" w:eastAsiaTheme="majorEastAsia" w:hAnsiTheme="majorHAnsi" w:cstheme="majorBidi"/>
      <w:b/>
      <w:bCs/>
      <w:color w:val="808080"/>
    </w:rPr>
  </w:style>
  <w:style w:type="character" w:styleId="Wyrnieniedelikatne">
    <w:name w:val="Subtle Emphasis"/>
    <w:uiPriority w:val="99"/>
    <w:semiHidden/>
    <w:qFormat/>
    <w:rsid w:val="00786E9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86E90"/>
    <w:pPr>
      <w:keepNext/>
      <w:keepLines/>
      <w:spacing w:before="720" w:after="240"/>
      <w:outlineLvl w:val="0"/>
    </w:pPr>
    <w:rPr>
      <w:rFonts w:asciiTheme="majorHAnsi" w:hAnsiTheme="majorHAnsi"/>
      <w:sz w:val="28"/>
    </w:rPr>
  </w:style>
  <w:style w:type="character" w:styleId="Uwydatnienie">
    <w:name w:val="Emphasis"/>
    <w:uiPriority w:val="99"/>
    <w:semiHidden/>
    <w:qFormat/>
    <w:rsid w:val="00786E90"/>
    <w:rPr>
      <w:b/>
      <w:bCs/>
      <w:i/>
      <w:iCs/>
      <w:spacing w:val="10"/>
      <w:bdr w:val="none" w:sz="0" w:space="0" w:color="auto"/>
      <w:shd w:val="clear" w:color="auto" w:fill="auto"/>
    </w:rPr>
  </w:style>
  <w:style w:type="paragraph" w:styleId="Stopka">
    <w:name w:val="footer"/>
    <w:basedOn w:val="Normalny"/>
    <w:link w:val="StopkaZnak"/>
    <w:uiPriority w:val="57"/>
    <w:semiHidden/>
    <w:rsid w:val="00786E9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86E90"/>
    <w:rPr>
      <w:sz w:val="24"/>
      <w:lang w:val="en-GB"/>
    </w:rPr>
  </w:style>
  <w:style w:type="character" w:styleId="Odwoanieprzypisudolnego">
    <w:name w:val="footnote reference"/>
    <w:basedOn w:val="Domylnaczcionkaakapitu"/>
    <w:uiPriority w:val="99"/>
    <w:semiHidden/>
    <w:rsid w:val="00786E90"/>
    <w:rPr>
      <w:vertAlign w:val="superscript"/>
    </w:rPr>
  </w:style>
  <w:style w:type="paragraph" w:styleId="Tekstprzypisudolnego">
    <w:name w:val="footnote text"/>
    <w:basedOn w:val="Normalny"/>
    <w:link w:val="TekstprzypisudolnegoZnak"/>
    <w:uiPriority w:val="99"/>
    <w:semiHidden/>
    <w:rsid w:val="00786E90"/>
    <w:rPr>
      <w:sz w:val="20"/>
      <w:szCs w:val="20"/>
    </w:rPr>
  </w:style>
  <w:style w:type="character" w:customStyle="1" w:styleId="TekstprzypisudolnegoZnak">
    <w:name w:val="Tekst przypisu dolnego Znak"/>
    <w:basedOn w:val="Domylnaczcionkaakapitu"/>
    <w:link w:val="Tekstprzypisudolnego"/>
    <w:uiPriority w:val="99"/>
    <w:semiHidden/>
    <w:rsid w:val="00786E90"/>
    <w:rPr>
      <w:rFonts w:eastAsiaTheme="minorEastAsia"/>
      <w:sz w:val="20"/>
      <w:szCs w:val="20"/>
      <w:lang w:val="en-GB"/>
    </w:rPr>
  </w:style>
  <w:style w:type="character" w:customStyle="1" w:styleId="Nagwek6Znak">
    <w:name w:val="Nagłówek 6 Znak"/>
    <w:basedOn w:val="Domylnaczcionkaakapitu"/>
    <w:link w:val="Nagwek6"/>
    <w:uiPriority w:val="99"/>
    <w:semiHidden/>
    <w:rsid w:val="00786E9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786E9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86E9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86E9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86E90"/>
    <w:rPr>
      <w:color w:val="0072BC" w:themeColor="hyperlink"/>
      <w:u w:val="single"/>
    </w:rPr>
  </w:style>
  <w:style w:type="character" w:styleId="Wyrnienieintensywne">
    <w:name w:val="Intense Emphasis"/>
    <w:uiPriority w:val="99"/>
    <w:semiHidden/>
    <w:qFormat/>
    <w:rsid w:val="00786E90"/>
    <w:rPr>
      <w:b/>
      <w:bCs/>
    </w:rPr>
  </w:style>
  <w:style w:type="paragraph" w:styleId="Cytatintensywny">
    <w:name w:val="Intense Quote"/>
    <w:basedOn w:val="Normalny"/>
    <w:next w:val="Normalny"/>
    <w:link w:val="CytatintensywnyZnak"/>
    <w:uiPriority w:val="99"/>
    <w:semiHidden/>
    <w:qFormat/>
    <w:rsid w:val="00786E9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786E90"/>
    <w:rPr>
      <w:rFonts w:eastAsiaTheme="minorEastAsia"/>
      <w:b/>
      <w:bCs/>
      <w:i/>
      <w:iCs/>
      <w:lang w:bidi="en-US"/>
    </w:rPr>
  </w:style>
  <w:style w:type="character" w:styleId="Odwoanieintensywne">
    <w:name w:val="Intense Reference"/>
    <w:uiPriority w:val="99"/>
    <w:semiHidden/>
    <w:qFormat/>
    <w:rsid w:val="00786E90"/>
    <w:rPr>
      <w:smallCaps/>
      <w:spacing w:val="5"/>
      <w:u w:val="single"/>
    </w:rPr>
  </w:style>
  <w:style w:type="paragraph" w:styleId="Akapitzlist">
    <w:name w:val="List Paragraph"/>
    <w:basedOn w:val="Normalny"/>
    <w:uiPriority w:val="99"/>
    <w:semiHidden/>
    <w:qFormat/>
    <w:rsid w:val="00786E9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86E9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786E90"/>
    <w:rPr>
      <w:rFonts w:eastAsiaTheme="minorEastAsia"/>
      <w:i/>
      <w:iCs/>
      <w:lang w:bidi="en-US"/>
    </w:rPr>
  </w:style>
  <w:style w:type="character" w:styleId="Odwoaniedelikatne">
    <w:name w:val="Subtle Reference"/>
    <w:uiPriority w:val="99"/>
    <w:semiHidden/>
    <w:qFormat/>
    <w:rsid w:val="00786E90"/>
    <w:rPr>
      <w:smallCaps/>
    </w:rPr>
  </w:style>
  <w:style w:type="table" w:styleId="Tabela-Siatka">
    <w:name w:val="Table Grid"/>
    <w:basedOn w:val="Standardowy"/>
    <w:uiPriority w:val="59"/>
    <w:semiHidden/>
    <w:rsid w:val="00786E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86E9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86E9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86E9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86E9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86E9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86E9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86E9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786E90"/>
    <w:pPr>
      <w:spacing w:before="120" w:after="120"/>
      <w:ind w:left="425" w:firstLine="142"/>
    </w:pPr>
    <w:rPr>
      <w:sz w:val="20"/>
    </w:rPr>
  </w:style>
  <w:style w:type="paragraph" w:customStyle="1" w:styleId="ECHRPara">
    <w:name w:val="ECHR_Para"/>
    <w:aliases w:val="Ju_Para,Left,First line:  0 cm,Para,N_Para,Ju_Para + Interligne : Double"/>
    <w:basedOn w:val="Normalny"/>
    <w:link w:val="ECHRParaChar"/>
    <w:uiPriority w:val="12"/>
    <w:qFormat/>
    <w:rsid w:val="00786E9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86E9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86E9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786E90"/>
    <w:pPr>
      <w:ind w:left="340" w:hanging="340"/>
    </w:pPr>
  </w:style>
  <w:style w:type="paragraph" w:customStyle="1" w:styleId="JuSigned">
    <w:name w:val="Ju_Signed"/>
    <w:basedOn w:val="Normalny"/>
    <w:next w:val="JuParaLast"/>
    <w:uiPriority w:val="32"/>
    <w:qFormat/>
    <w:rsid w:val="00786E90"/>
    <w:pPr>
      <w:tabs>
        <w:tab w:val="center" w:pos="851"/>
        <w:tab w:val="center" w:pos="6407"/>
      </w:tabs>
      <w:spacing w:before="720"/>
      <w:jc w:val="left"/>
    </w:pPr>
  </w:style>
  <w:style w:type="paragraph" w:customStyle="1" w:styleId="JuParaLast">
    <w:name w:val="Ju_Para_Last"/>
    <w:basedOn w:val="Normalny"/>
    <w:next w:val="ECHRPara"/>
    <w:uiPriority w:val="30"/>
    <w:qFormat/>
    <w:rsid w:val="00786E90"/>
    <w:pPr>
      <w:keepNext/>
      <w:keepLines/>
      <w:spacing w:before="240"/>
      <w:ind w:firstLine="284"/>
    </w:pPr>
  </w:style>
  <w:style w:type="paragraph" w:customStyle="1" w:styleId="JuCourt">
    <w:name w:val="Ju_Court"/>
    <w:basedOn w:val="Normalny"/>
    <w:next w:val="Normalny"/>
    <w:uiPriority w:val="16"/>
    <w:qFormat/>
    <w:rsid w:val="00786E90"/>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86E90"/>
    <w:pPr>
      <w:ind w:left="346" w:firstLine="0"/>
    </w:pPr>
  </w:style>
  <w:style w:type="paragraph" w:customStyle="1" w:styleId="JuListi">
    <w:name w:val="Ju_List_i"/>
    <w:basedOn w:val="Normalny"/>
    <w:next w:val="JuLista"/>
    <w:uiPriority w:val="28"/>
    <w:qFormat/>
    <w:rsid w:val="00786E90"/>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basedOn w:val="Domylnaczcionkaakapitu"/>
    <w:uiPriority w:val="99"/>
    <w:semiHidden/>
    <w:rsid w:val="00786E90"/>
    <w:rPr>
      <w:vertAlign w:val="superscript"/>
    </w:rPr>
  </w:style>
  <w:style w:type="paragraph" w:styleId="Tekstprzypisukocowego">
    <w:name w:val="endnote text"/>
    <w:basedOn w:val="Normalny"/>
    <w:link w:val="TekstprzypisukocowegoZnak"/>
    <w:uiPriority w:val="99"/>
    <w:semiHidden/>
    <w:rsid w:val="00786E90"/>
    <w:rPr>
      <w:sz w:val="20"/>
      <w:szCs w:val="20"/>
    </w:rPr>
  </w:style>
  <w:style w:type="character" w:customStyle="1" w:styleId="TekstprzypisukocowegoZnak">
    <w:name w:val="Tekst przypisu końcowego Znak"/>
    <w:basedOn w:val="Domylnaczcionkaakapitu"/>
    <w:link w:val="Tekstprzypisukocowego"/>
    <w:uiPriority w:val="99"/>
    <w:semiHidden/>
    <w:rsid w:val="00786E90"/>
    <w:rPr>
      <w:rFonts w:eastAsiaTheme="minorEastAsia"/>
      <w:sz w:val="20"/>
      <w:szCs w:val="20"/>
      <w:lang w:val="en-GB"/>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786E9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786E9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786E9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786E9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86E9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86E9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786E90"/>
    <w:pPr>
      <w:ind w:left="635" w:hanging="357"/>
      <w:outlineLvl w:val="2"/>
    </w:pPr>
  </w:style>
  <w:style w:type="paragraph" w:customStyle="1" w:styleId="OpiHa">
    <w:name w:val="Opi_H_a"/>
    <w:basedOn w:val="ECHRHeading3"/>
    <w:uiPriority w:val="43"/>
    <w:qFormat/>
    <w:rsid w:val="00786E90"/>
    <w:pPr>
      <w:ind w:left="833" w:hanging="357"/>
      <w:outlineLvl w:val="3"/>
    </w:pPr>
    <w:rPr>
      <w:b/>
      <w:i w:val="0"/>
      <w:sz w:val="20"/>
    </w:rPr>
  </w:style>
  <w:style w:type="paragraph" w:customStyle="1" w:styleId="OpiHA0">
    <w:name w:val="Opi_H_A"/>
    <w:basedOn w:val="ECHRHeading1"/>
    <w:next w:val="OpiPara"/>
    <w:uiPriority w:val="41"/>
    <w:qFormat/>
    <w:rsid w:val="00786E90"/>
    <w:pPr>
      <w:tabs>
        <w:tab w:val="clear" w:pos="357"/>
      </w:tabs>
      <w:outlineLvl w:val="1"/>
    </w:pPr>
    <w:rPr>
      <w:b/>
    </w:rPr>
  </w:style>
  <w:style w:type="paragraph" w:customStyle="1" w:styleId="OpiHi">
    <w:name w:val="Opi_H_i"/>
    <w:basedOn w:val="ECHRHeading4"/>
    <w:uiPriority w:val="44"/>
    <w:qFormat/>
    <w:rsid w:val="00786E90"/>
    <w:pPr>
      <w:ind w:left="1037" w:hanging="357"/>
      <w:outlineLvl w:val="4"/>
    </w:pPr>
    <w:rPr>
      <w:b w:val="0"/>
      <w:i/>
    </w:rPr>
  </w:style>
  <w:style w:type="paragraph" w:customStyle="1" w:styleId="OpiPara">
    <w:name w:val="Opi_Para"/>
    <w:basedOn w:val="ECHRPara"/>
    <w:uiPriority w:val="46"/>
    <w:qFormat/>
    <w:rsid w:val="00786E90"/>
  </w:style>
  <w:style w:type="paragraph" w:customStyle="1" w:styleId="OpiParaSub">
    <w:name w:val="Opi_Para_Sub"/>
    <w:basedOn w:val="JuParaSub"/>
    <w:uiPriority w:val="47"/>
    <w:qFormat/>
    <w:rsid w:val="00786E90"/>
  </w:style>
  <w:style w:type="paragraph" w:customStyle="1" w:styleId="OpiQuotSub">
    <w:name w:val="Opi_Quot_Sub"/>
    <w:basedOn w:val="JuQuotSub"/>
    <w:uiPriority w:val="49"/>
    <w:qFormat/>
    <w:rsid w:val="00786E90"/>
  </w:style>
  <w:style w:type="paragraph" w:customStyle="1" w:styleId="OpiTranslation">
    <w:name w:val="Opi_Translation"/>
    <w:basedOn w:val="Normalny"/>
    <w:next w:val="OpiPara"/>
    <w:uiPriority w:val="40"/>
    <w:qFormat/>
    <w:rsid w:val="00786E90"/>
    <w:pPr>
      <w:jc w:val="center"/>
      <w:outlineLvl w:val="0"/>
    </w:pPr>
    <w:rPr>
      <w:i/>
    </w:rPr>
  </w:style>
  <w:style w:type="character" w:customStyle="1" w:styleId="ECHRParaChar">
    <w:name w:val="ECHR_Para Char"/>
    <w:aliases w:val="Ju_Para Char"/>
    <w:link w:val="ECHRPara"/>
    <w:uiPriority w:val="12"/>
    <w:rsid w:val="005374AD"/>
    <w:rPr>
      <w:rFonts w:eastAsiaTheme="minorEastAsia"/>
      <w:sz w:val="24"/>
      <w:lang w:val="en-GB"/>
    </w:rPr>
  </w:style>
  <w:style w:type="character" w:customStyle="1" w:styleId="JuQuotChar">
    <w:name w:val="Ju_Quot Char"/>
    <w:basedOn w:val="Domylnaczcionkaakapitu"/>
    <w:link w:val="ECHRParaQuote"/>
    <w:uiPriority w:val="14"/>
    <w:rsid w:val="005374AD"/>
    <w:rPr>
      <w:rFonts w:eastAsiaTheme="minorEastAsia"/>
      <w:sz w:val="20"/>
      <w:lang w:val="en-GB"/>
    </w:rPr>
  </w:style>
  <w:style w:type="character" w:customStyle="1" w:styleId="JuListChar">
    <w:name w:val="Ju_List Char"/>
    <w:link w:val="JuList"/>
    <w:uiPriority w:val="28"/>
    <w:rsid w:val="00FF2A36"/>
    <w:rPr>
      <w:rFonts w:eastAsiaTheme="minorEastAsia"/>
      <w:sz w:val="24"/>
      <w:lang w:val="en-GB"/>
    </w:rPr>
  </w:style>
  <w:style w:type="paragraph" w:styleId="Poprawka">
    <w:name w:val="Revision"/>
    <w:hidden/>
    <w:uiPriority w:val="99"/>
    <w:semiHidden/>
    <w:rsid w:val="00FF2A36"/>
    <w:rPr>
      <w:rFonts w:eastAsiaTheme="minorEastAsia"/>
      <w:sz w:val="24"/>
    </w:rPr>
  </w:style>
  <w:style w:type="paragraph" w:customStyle="1" w:styleId="ECHRParaSpaced">
    <w:name w:val="ECHR_Para_Spaced"/>
    <w:aliases w:val="Para_Spaced"/>
    <w:basedOn w:val="ECHRPara"/>
    <w:uiPriority w:val="4"/>
    <w:rsid w:val="00D50AE0"/>
    <w:pPr>
      <w:spacing w:before="120" w:after="120"/>
      <w:ind w:firstLine="0"/>
    </w:pPr>
    <w:rPr>
      <w:rFonts w:eastAsia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386006">
      <w:bodyDiv w:val="1"/>
      <w:marLeft w:val="0"/>
      <w:marRight w:val="0"/>
      <w:marTop w:val="0"/>
      <w:marBottom w:val="0"/>
      <w:divBdr>
        <w:top w:val="none" w:sz="0" w:space="0" w:color="auto"/>
        <w:left w:val="none" w:sz="0" w:space="0" w:color="auto"/>
        <w:bottom w:val="none" w:sz="0" w:space="0" w:color="auto"/>
        <w:right w:val="none" w:sz="0" w:space="0" w:color="auto"/>
      </w:divBdr>
      <w:divsChild>
        <w:div w:id="1049381927">
          <w:marLeft w:val="0"/>
          <w:marRight w:val="0"/>
          <w:marTop w:val="0"/>
          <w:marBottom w:val="0"/>
          <w:divBdr>
            <w:top w:val="none" w:sz="0" w:space="0" w:color="auto"/>
            <w:left w:val="none" w:sz="0" w:space="0" w:color="auto"/>
            <w:bottom w:val="none" w:sz="0" w:space="0" w:color="auto"/>
            <w:right w:val="none" w:sz="0" w:space="0" w:color="auto"/>
          </w:divBdr>
          <w:divsChild>
            <w:div w:id="2118789545">
              <w:marLeft w:val="0"/>
              <w:marRight w:val="0"/>
              <w:marTop w:val="0"/>
              <w:marBottom w:val="0"/>
              <w:divBdr>
                <w:top w:val="none" w:sz="0" w:space="0" w:color="auto"/>
                <w:left w:val="none" w:sz="0" w:space="0" w:color="auto"/>
                <w:bottom w:val="none" w:sz="0" w:space="0" w:color="auto"/>
                <w:right w:val="none" w:sz="0" w:space="0" w:color="auto"/>
              </w:divBdr>
              <w:divsChild>
                <w:div w:id="1873614132">
                  <w:marLeft w:val="0"/>
                  <w:marRight w:val="0"/>
                  <w:marTop w:val="0"/>
                  <w:marBottom w:val="0"/>
                  <w:divBdr>
                    <w:top w:val="none" w:sz="0" w:space="0" w:color="auto"/>
                    <w:left w:val="none" w:sz="0" w:space="0" w:color="auto"/>
                    <w:bottom w:val="none" w:sz="0" w:space="0" w:color="auto"/>
                    <w:right w:val="none" w:sz="0" w:space="0" w:color="auto"/>
                  </w:divBdr>
                  <w:divsChild>
                    <w:div w:id="677927371">
                      <w:marLeft w:val="0"/>
                      <w:marRight w:val="0"/>
                      <w:marTop w:val="0"/>
                      <w:marBottom w:val="0"/>
                      <w:divBdr>
                        <w:top w:val="none" w:sz="0" w:space="0" w:color="auto"/>
                        <w:left w:val="none" w:sz="0" w:space="0" w:color="auto"/>
                        <w:bottom w:val="none" w:sz="0" w:space="0" w:color="auto"/>
                        <w:right w:val="none" w:sz="0" w:space="0" w:color="auto"/>
                      </w:divBdr>
                      <w:divsChild>
                        <w:div w:id="467019936">
                          <w:marLeft w:val="0"/>
                          <w:marRight w:val="0"/>
                          <w:marTop w:val="0"/>
                          <w:marBottom w:val="0"/>
                          <w:divBdr>
                            <w:top w:val="none" w:sz="0" w:space="0" w:color="auto"/>
                            <w:left w:val="none" w:sz="0" w:space="0" w:color="auto"/>
                            <w:bottom w:val="none" w:sz="0" w:space="0" w:color="auto"/>
                            <w:right w:val="none" w:sz="0" w:space="0" w:color="auto"/>
                          </w:divBdr>
                          <w:divsChild>
                            <w:div w:id="1525482634">
                              <w:marLeft w:val="0"/>
                              <w:marRight w:val="0"/>
                              <w:marTop w:val="0"/>
                              <w:marBottom w:val="0"/>
                              <w:divBdr>
                                <w:top w:val="none" w:sz="0" w:space="0" w:color="auto"/>
                                <w:left w:val="none" w:sz="0" w:space="0" w:color="auto"/>
                                <w:bottom w:val="none" w:sz="0" w:space="0" w:color="auto"/>
                                <w:right w:val="none" w:sz="0" w:space="0" w:color="auto"/>
                              </w:divBdr>
                              <w:divsChild>
                                <w:div w:id="1755276614">
                                  <w:marLeft w:val="0"/>
                                  <w:marRight w:val="0"/>
                                  <w:marTop w:val="0"/>
                                  <w:marBottom w:val="0"/>
                                  <w:divBdr>
                                    <w:top w:val="none" w:sz="0" w:space="0" w:color="auto"/>
                                    <w:left w:val="none" w:sz="0" w:space="0" w:color="auto"/>
                                    <w:bottom w:val="none" w:sz="0" w:space="0" w:color="auto"/>
                                    <w:right w:val="none" w:sz="0" w:space="0" w:color="auto"/>
                                  </w:divBdr>
                                  <w:divsChild>
                                    <w:div w:id="593829012">
                                      <w:marLeft w:val="60"/>
                                      <w:marRight w:val="0"/>
                                      <w:marTop w:val="0"/>
                                      <w:marBottom w:val="0"/>
                                      <w:divBdr>
                                        <w:top w:val="none" w:sz="0" w:space="0" w:color="auto"/>
                                        <w:left w:val="none" w:sz="0" w:space="0" w:color="auto"/>
                                        <w:bottom w:val="none" w:sz="0" w:space="0" w:color="auto"/>
                                        <w:right w:val="none" w:sz="0" w:space="0" w:color="auto"/>
                                      </w:divBdr>
                                      <w:divsChild>
                                        <w:div w:id="763723652">
                                          <w:marLeft w:val="0"/>
                                          <w:marRight w:val="0"/>
                                          <w:marTop w:val="0"/>
                                          <w:marBottom w:val="0"/>
                                          <w:divBdr>
                                            <w:top w:val="none" w:sz="0" w:space="0" w:color="auto"/>
                                            <w:left w:val="none" w:sz="0" w:space="0" w:color="auto"/>
                                            <w:bottom w:val="none" w:sz="0" w:space="0" w:color="auto"/>
                                            <w:right w:val="none" w:sz="0" w:space="0" w:color="auto"/>
                                          </w:divBdr>
                                          <w:divsChild>
                                            <w:div w:id="24330125">
                                              <w:marLeft w:val="0"/>
                                              <w:marRight w:val="0"/>
                                              <w:marTop w:val="0"/>
                                              <w:marBottom w:val="120"/>
                                              <w:divBdr>
                                                <w:top w:val="single" w:sz="6" w:space="0" w:color="F5F5F5"/>
                                                <w:left w:val="single" w:sz="6" w:space="0" w:color="F5F5F5"/>
                                                <w:bottom w:val="single" w:sz="6" w:space="0" w:color="F5F5F5"/>
                                                <w:right w:val="single" w:sz="6" w:space="0" w:color="F5F5F5"/>
                                              </w:divBdr>
                                              <w:divsChild>
                                                <w:div w:id="741178400">
                                                  <w:marLeft w:val="0"/>
                                                  <w:marRight w:val="0"/>
                                                  <w:marTop w:val="0"/>
                                                  <w:marBottom w:val="0"/>
                                                  <w:divBdr>
                                                    <w:top w:val="none" w:sz="0" w:space="0" w:color="auto"/>
                                                    <w:left w:val="none" w:sz="0" w:space="0" w:color="auto"/>
                                                    <w:bottom w:val="none" w:sz="0" w:space="0" w:color="auto"/>
                                                    <w:right w:val="none" w:sz="0" w:space="0" w:color="auto"/>
                                                  </w:divBdr>
                                                  <w:divsChild>
                                                    <w:div w:id="62176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7611473">
      <w:bodyDiv w:val="1"/>
      <w:marLeft w:val="0"/>
      <w:marRight w:val="0"/>
      <w:marTop w:val="0"/>
      <w:marBottom w:val="0"/>
      <w:divBdr>
        <w:top w:val="none" w:sz="0" w:space="0" w:color="auto"/>
        <w:left w:val="none" w:sz="0" w:space="0" w:color="auto"/>
        <w:bottom w:val="none" w:sz="0" w:space="0" w:color="auto"/>
        <w:right w:val="none" w:sz="0" w:space="0" w:color="auto"/>
      </w:divBdr>
      <w:divsChild>
        <w:div w:id="1595438973">
          <w:marLeft w:val="0"/>
          <w:marRight w:val="0"/>
          <w:marTop w:val="0"/>
          <w:marBottom w:val="0"/>
          <w:divBdr>
            <w:top w:val="none" w:sz="0" w:space="0" w:color="auto"/>
            <w:left w:val="none" w:sz="0" w:space="0" w:color="auto"/>
            <w:bottom w:val="none" w:sz="0" w:space="0" w:color="auto"/>
            <w:right w:val="none" w:sz="0" w:space="0" w:color="auto"/>
          </w:divBdr>
          <w:divsChild>
            <w:div w:id="545802144">
              <w:marLeft w:val="0"/>
              <w:marRight w:val="0"/>
              <w:marTop w:val="0"/>
              <w:marBottom w:val="0"/>
              <w:divBdr>
                <w:top w:val="none" w:sz="0" w:space="0" w:color="auto"/>
                <w:left w:val="none" w:sz="0" w:space="0" w:color="auto"/>
                <w:bottom w:val="none" w:sz="0" w:space="0" w:color="auto"/>
                <w:right w:val="none" w:sz="0" w:space="0" w:color="auto"/>
              </w:divBdr>
              <w:divsChild>
                <w:div w:id="1356422031">
                  <w:marLeft w:val="0"/>
                  <w:marRight w:val="0"/>
                  <w:marTop w:val="0"/>
                  <w:marBottom w:val="0"/>
                  <w:divBdr>
                    <w:top w:val="none" w:sz="0" w:space="0" w:color="auto"/>
                    <w:left w:val="none" w:sz="0" w:space="0" w:color="auto"/>
                    <w:bottom w:val="none" w:sz="0" w:space="0" w:color="auto"/>
                    <w:right w:val="none" w:sz="0" w:space="0" w:color="auto"/>
                  </w:divBdr>
                  <w:divsChild>
                    <w:div w:id="1660425186">
                      <w:marLeft w:val="0"/>
                      <w:marRight w:val="0"/>
                      <w:marTop w:val="0"/>
                      <w:marBottom w:val="0"/>
                      <w:divBdr>
                        <w:top w:val="none" w:sz="0" w:space="0" w:color="auto"/>
                        <w:left w:val="none" w:sz="0" w:space="0" w:color="auto"/>
                        <w:bottom w:val="none" w:sz="0" w:space="0" w:color="auto"/>
                        <w:right w:val="none" w:sz="0" w:space="0" w:color="auto"/>
                      </w:divBdr>
                      <w:divsChild>
                        <w:div w:id="652755455">
                          <w:marLeft w:val="0"/>
                          <w:marRight w:val="0"/>
                          <w:marTop w:val="0"/>
                          <w:marBottom w:val="0"/>
                          <w:divBdr>
                            <w:top w:val="none" w:sz="0" w:space="0" w:color="auto"/>
                            <w:left w:val="none" w:sz="0" w:space="0" w:color="auto"/>
                            <w:bottom w:val="none" w:sz="0" w:space="0" w:color="auto"/>
                            <w:right w:val="none" w:sz="0" w:space="0" w:color="auto"/>
                          </w:divBdr>
                          <w:divsChild>
                            <w:div w:id="11267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440991">
      <w:bodyDiv w:val="1"/>
      <w:marLeft w:val="0"/>
      <w:marRight w:val="0"/>
      <w:marTop w:val="0"/>
      <w:marBottom w:val="0"/>
      <w:divBdr>
        <w:top w:val="none" w:sz="0" w:space="0" w:color="auto"/>
        <w:left w:val="none" w:sz="0" w:space="0" w:color="auto"/>
        <w:bottom w:val="none" w:sz="0" w:space="0" w:color="auto"/>
        <w:right w:val="none" w:sz="0" w:space="0" w:color="auto"/>
      </w:divBdr>
    </w:div>
    <w:div w:id="843057042">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278610122">
      <w:bodyDiv w:val="1"/>
      <w:marLeft w:val="0"/>
      <w:marRight w:val="0"/>
      <w:marTop w:val="0"/>
      <w:marBottom w:val="0"/>
      <w:divBdr>
        <w:top w:val="none" w:sz="0" w:space="0" w:color="auto"/>
        <w:left w:val="none" w:sz="0" w:space="0" w:color="auto"/>
        <w:bottom w:val="none" w:sz="0" w:space="0" w:color="auto"/>
        <w:right w:val="none" w:sz="0" w:space="0" w:color="auto"/>
      </w:divBdr>
      <w:divsChild>
        <w:div w:id="1204631731">
          <w:marLeft w:val="0"/>
          <w:marRight w:val="0"/>
          <w:marTop w:val="0"/>
          <w:marBottom w:val="0"/>
          <w:divBdr>
            <w:top w:val="none" w:sz="0" w:space="0" w:color="auto"/>
            <w:left w:val="none" w:sz="0" w:space="0" w:color="auto"/>
            <w:bottom w:val="none" w:sz="0" w:space="0" w:color="auto"/>
            <w:right w:val="none" w:sz="0" w:space="0" w:color="auto"/>
          </w:divBdr>
          <w:divsChild>
            <w:div w:id="1640260877">
              <w:marLeft w:val="0"/>
              <w:marRight w:val="0"/>
              <w:marTop w:val="0"/>
              <w:marBottom w:val="0"/>
              <w:divBdr>
                <w:top w:val="none" w:sz="0" w:space="0" w:color="auto"/>
                <w:left w:val="none" w:sz="0" w:space="0" w:color="auto"/>
                <w:bottom w:val="none" w:sz="0" w:space="0" w:color="auto"/>
                <w:right w:val="none" w:sz="0" w:space="0" w:color="auto"/>
              </w:divBdr>
              <w:divsChild>
                <w:div w:id="834535817">
                  <w:marLeft w:val="0"/>
                  <w:marRight w:val="0"/>
                  <w:marTop w:val="0"/>
                  <w:marBottom w:val="0"/>
                  <w:divBdr>
                    <w:top w:val="none" w:sz="0" w:space="0" w:color="auto"/>
                    <w:left w:val="none" w:sz="0" w:space="0" w:color="auto"/>
                    <w:bottom w:val="none" w:sz="0" w:space="0" w:color="auto"/>
                    <w:right w:val="none" w:sz="0" w:space="0" w:color="auto"/>
                  </w:divBdr>
                  <w:divsChild>
                    <w:div w:id="2044556828">
                      <w:marLeft w:val="0"/>
                      <w:marRight w:val="0"/>
                      <w:marTop w:val="0"/>
                      <w:marBottom w:val="0"/>
                      <w:divBdr>
                        <w:top w:val="none" w:sz="0" w:space="0" w:color="auto"/>
                        <w:left w:val="none" w:sz="0" w:space="0" w:color="auto"/>
                        <w:bottom w:val="none" w:sz="0" w:space="0" w:color="auto"/>
                        <w:right w:val="none" w:sz="0" w:space="0" w:color="auto"/>
                      </w:divBdr>
                      <w:divsChild>
                        <w:div w:id="1947271655">
                          <w:marLeft w:val="0"/>
                          <w:marRight w:val="0"/>
                          <w:marTop w:val="0"/>
                          <w:marBottom w:val="0"/>
                          <w:divBdr>
                            <w:top w:val="none" w:sz="0" w:space="0" w:color="auto"/>
                            <w:left w:val="none" w:sz="0" w:space="0" w:color="auto"/>
                            <w:bottom w:val="none" w:sz="0" w:space="0" w:color="auto"/>
                            <w:right w:val="none" w:sz="0" w:space="0" w:color="auto"/>
                          </w:divBdr>
                          <w:divsChild>
                            <w:div w:id="149437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51773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18145907">
      <w:bodyDiv w:val="1"/>
      <w:marLeft w:val="0"/>
      <w:marRight w:val="0"/>
      <w:marTop w:val="0"/>
      <w:marBottom w:val="0"/>
      <w:divBdr>
        <w:top w:val="none" w:sz="0" w:space="0" w:color="auto"/>
        <w:left w:val="none" w:sz="0" w:space="0" w:color="auto"/>
        <w:bottom w:val="none" w:sz="0" w:space="0" w:color="auto"/>
        <w:right w:val="none" w:sz="0" w:space="0" w:color="auto"/>
      </w:divBdr>
      <w:divsChild>
        <w:div w:id="655842624">
          <w:marLeft w:val="0"/>
          <w:marRight w:val="0"/>
          <w:marTop w:val="0"/>
          <w:marBottom w:val="0"/>
          <w:divBdr>
            <w:top w:val="none" w:sz="0" w:space="0" w:color="auto"/>
            <w:left w:val="none" w:sz="0" w:space="0" w:color="auto"/>
            <w:bottom w:val="none" w:sz="0" w:space="0" w:color="auto"/>
            <w:right w:val="none" w:sz="0" w:space="0" w:color="auto"/>
          </w:divBdr>
          <w:divsChild>
            <w:div w:id="1647082782">
              <w:marLeft w:val="0"/>
              <w:marRight w:val="0"/>
              <w:marTop w:val="0"/>
              <w:marBottom w:val="0"/>
              <w:divBdr>
                <w:top w:val="none" w:sz="0" w:space="0" w:color="auto"/>
                <w:left w:val="none" w:sz="0" w:space="0" w:color="auto"/>
                <w:bottom w:val="none" w:sz="0" w:space="0" w:color="auto"/>
                <w:right w:val="none" w:sz="0" w:space="0" w:color="auto"/>
              </w:divBdr>
              <w:divsChild>
                <w:div w:id="593053887">
                  <w:marLeft w:val="0"/>
                  <w:marRight w:val="0"/>
                  <w:marTop w:val="0"/>
                  <w:marBottom w:val="0"/>
                  <w:divBdr>
                    <w:top w:val="none" w:sz="0" w:space="0" w:color="auto"/>
                    <w:left w:val="none" w:sz="0" w:space="0" w:color="auto"/>
                    <w:bottom w:val="none" w:sz="0" w:space="0" w:color="auto"/>
                    <w:right w:val="none" w:sz="0" w:space="0" w:color="auto"/>
                  </w:divBdr>
                  <w:divsChild>
                    <w:div w:id="140774528">
                      <w:marLeft w:val="0"/>
                      <w:marRight w:val="0"/>
                      <w:marTop w:val="0"/>
                      <w:marBottom w:val="0"/>
                      <w:divBdr>
                        <w:top w:val="none" w:sz="0" w:space="0" w:color="auto"/>
                        <w:left w:val="none" w:sz="0" w:space="0" w:color="auto"/>
                        <w:bottom w:val="none" w:sz="0" w:space="0" w:color="auto"/>
                        <w:right w:val="none" w:sz="0" w:space="0" w:color="auto"/>
                      </w:divBdr>
                      <w:divsChild>
                        <w:div w:id="1397584287">
                          <w:marLeft w:val="0"/>
                          <w:marRight w:val="0"/>
                          <w:marTop w:val="0"/>
                          <w:marBottom w:val="0"/>
                          <w:divBdr>
                            <w:top w:val="none" w:sz="0" w:space="0" w:color="auto"/>
                            <w:left w:val="none" w:sz="0" w:space="0" w:color="auto"/>
                            <w:bottom w:val="none" w:sz="0" w:space="0" w:color="auto"/>
                            <w:right w:val="none" w:sz="0" w:space="0" w:color="auto"/>
                          </w:divBdr>
                          <w:divsChild>
                            <w:div w:id="38085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302143">
      <w:bodyDiv w:val="1"/>
      <w:marLeft w:val="0"/>
      <w:marRight w:val="0"/>
      <w:marTop w:val="0"/>
      <w:marBottom w:val="0"/>
      <w:divBdr>
        <w:top w:val="none" w:sz="0" w:space="0" w:color="auto"/>
        <w:left w:val="none" w:sz="0" w:space="0" w:color="auto"/>
        <w:bottom w:val="none" w:sz="0" w:space="0" w:color="auto"/>
        <w:right w:val="none" w:sz="0" w:space="0" w:color="auto"/>
      </w:divBdr>
      <w:divsChild>
        <w:div w:id="657685733">
          <w:marLeft w:val="0"/>
          <w:marRight w:val="0"/>
          <w:marTop w:val="0"/>
          <w:marBottom w:val="0"/>
          <w:divBdr>
            <w:top w:val="none" w:sz="0" w:space="0" w:color="auto"/>
            <w:left w:val="none" w:sz="0" w:space="0" w:color="auto"/>
            <w:bottom w:val="none" w:sz="0" w:space="0" w:color="auto"/>
            <w:right w:val="none" w:sz="0" w:space="0" w:color="auto"/>
          </w:divBdr>
          <w:divsChild>
            <w:div w:id="1103038252">
              <w:marLeft w:val="0"/>
              <w:marRight w:val="0"/>
              <w:marTop w:val="0"/>
              <w:marBottom w:val="0"/>
              <w:divBdr>
                <w:top w:val="none" w:sz="0" w:space="0" w:color="auto"/>
                <w:left w:val="none" w:sz="0" w:space="0" w:color="auto"/>
                <w:bottom w:val="none" w:sz="0" w:space="0" w:color="auto"/>
                <w:right w:val="none" w:sz="0" w:space="0" w:color="auto"/>
              </w:divBdr>
              <w:divsChild>
                <w:div w:id="1080785687">
                  <w:marLeft w:val="0"/>
                  <w:marRight w:val="0"/>
                  <w:marTop w:val="0"/>
                  <w:marBottom w:val="0"/>
                  <w:divBdr>
                    <w:top w:val="none" w:sz="0" w:space="0" w:color="auto"/>
                    <w:left w:val="none" w:sz="0" w:space="0" w:color="auto"/>
                    <w:bottom w:val="none" w:sz="0" w:space="0" w:color="auto"/>
                    <w:right w:val="none" w:sz="0" w:space="0" w:color="auto"/>
                  </w:divBdr>
                  <w:divsChild>
                    <w:div w:id="831070148">
                      <w:marLeft w:val="0"/>
                      <w:marRight w:val="0"/>
                      <w:marTop w:val="0"/>
                      <w:marBottom w:val="0"/>
                      <w:divBdr>
                        <w:top w:val="none" w:sz="0" w:space="0" w:color="auto"/>
                        <w:left w:val="none" w:sz="0" w:space="0" w:color="auto"/>
                        <w:bottom w:val="none" w:sz="0" w:space="0" w:color="auto"/>
                        <w:right w:val="none" w:sz="0" w:space="0" w:color="auto"/>
                      </w:divBdr>
                      <w:divsChild>
                        <w:div w:id="494106660">
                          <w:marLeft w:val="0"/>
                          <w:marRight w:val="0"/>
                          <w:marTop w:val="0"/>
                          <w:marBottom w:val="0"/>
                          <w:divBdr>
                            <w:top w:val="none" w:sz="0" w:space="0" w:color="auto"/>
                            <w:left w:val="none" w:sz="0" w:space="0" w:color="auto"/>
                            <w:bottom w:val="none" w:sz="0" w:space="0" w:color="auto"/>
                            <w:right w:val="none" w:sz="0" w:space="0" w:color="auto"/>
                          </w:divBdr>
                          <w:divsChild>
                            <w:div w:id="87735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1C782-9428-4E86-B7BF-D3F16FDE6A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A0F1EC-88C9-4FE3-829B-D1D3083C2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0D698E0-2F2D-47D3-9F03-368415961799}">
  <ds:schemaRefs>
    <ds:schemaRef ds:uri="http://schemas.microsoft.com/sharepoint/v3/contenttype/forms"/>
  </ds:schemaRefs>
</ds:datastoreItem>
</file>

<file path=customXml/itemProps4.xml><?xml version="1.0" encoding="utf-8"?>
<ds:datastoreItem xmlns:ds="http://schemas.openxmlformats.org/officeDocument/2006/customXml" ds:itemID="{B800D993-826A-42C6-85C1-B1F248292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15781</Words>
  <Characters>94690</Characters>
  <Application>Microsoft Office Word</Application>
  <DocSecurity>0</DocSecurity>
  <Lines>789</Lines>
  <Paragraphs>220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2019-06-12T09:34:00Z</dcterms:created>
  <dcterms:modified xsi:type="dcterms:W3CDTF">2019-06-12T09:34:00Z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76639/11</vt:lpwstr>
  </property>
  <property fmtid="{D5CDD505-2E9C-101B-9397-08002B2CF9AE}" pid="4" name="CASEID">
    <vt:lpwstr>766185</vt:lpwstr>
  </property>
  <property fmtid="{D5CDD505-2E9C-101B-9397-08002B2CF9AE}" pid="5" name="ContentTypeId">
    <vt:lpwstr>0x010100558EB02BDB9E204AB350EDD385B68E10</vt:lpwstr>
  </property>
</Properties>
</file>