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9BC05E" w14:textId="2EA52184" w:rsidR="00457A70" w:rsidRPr="00457A70" w:rsidRDefault="00D01195" w:rsidP="00D01195">
      <w:pPr>
        <w:pStyle w:val="DecHCase"/>
      </w:pPr>
      <w:bookmarkStart w:id="0" w:name="_GoBack"/>
      <w:bookmarkEnd w:id="0"/>
      <w:r>
        <w:t>EUROPEJSKI TRYBUNAŁ PRAW CZŁOWIEKA</w:t>
      </w:r>
    </w:p>
    <w:p w14:paraId="1DEF9AB8" w14:textId="77777777" w:rsidR="007A4070" w:rsidRPr="00330FE9" w:rsidRDefault="00B738BC" w:rsidP="00330FE9">
      <w:pPr>
        <w:pStyle w:val="DecHCase"/>
      </w:pPr>
      <w:r>
        <w:t>PIERWSZA SEKCJA</w:t>
      </w:r>
    </w:p>
    <w:p w14:paraId="0C0F4EBA" w14:textId="702BB580" w:rsidR="007A4070" w:rsidRPr="00330FE9" w:rsidRDefault="007A4070" w:rsidP="00330FE9">
      <w:pPr>
        <w:pStyle w:val="JuTitle"/>
      </w:pPr>
      <w:r>
        <w:t>SPRAWA JEZIOR p</w:t>
      </w:r>
      <w:r w:rsidR="00643D36">
        <w:t>rzeciwko</w:t>
      </w:r>
      <w:r>
        <w:t xml:space="preserve"> POLSCE</w:t>
      </w:r>
    </w:p>
    <w:p w14:paraId="424BECCB" w14:textId="77777777" w:rsidR="007A4070" w:rsidRPr="00330FE9" w:rsidRDefault="007A4070" w:rsidP="00330FE9">
      <w:pPr>
        <w:pStyle w:val="ECHRCoverTitle4"/>
      </w:pPr>
      <w:r>
        <w:t>(Skarga nr 31955/11)</w:t>
      </w:r>
    </w:p>
    <w:p w14:paraId="75C7FC90" w14:textId="77777777" w:rsidR="007A4070" w:rsidRPr="00330FE9" w:rsidRDefault="007A4070" w:rsidP="00330FE9">
      <w:pPr>
        <w:pStyle w:val="DecHCase"/>
      </w:pPr>
    </w:p>
    <w:p w14:paraId="143111D5" w14:textId="77777777" w:rsidR="007A4070" w:rsidRPr="00330FE9" w:rsidRDefault="007A4070" w:rsidP="00330FE9">
      <w:pPr>
        <w:pStyle w:val="DecHCase"/>
      </w:pPr>
    </w:p>
    <w:p w14:paraId="3985D30C" w14:textId="77777777" w:rsidR="007A4070" w:rsidRPr="00330FE9" w:rsidRDefault="007A4070" w:rsidP="00330FE9">
      <w:pPr>
        <w:pStyle w:val="DecHCase"/>
      </w:pPr>
    </w:p>
    <w:p w14:paraId="5DFE55D0" w14:textId="77777777" w:rsidR="007A4070" w:rsidRPr="00330FE9" w:rsidRDefault="007A4070" w:rsidP="00330FE9">
      <w:pPr>
        <w:pStyle w:val="DecHCase"/>
      </w:pPr>
    </w:p>
    <w:p w14:paraId="012F0055" w14:textId="77777777" w:rsidR="007A4070" w:rsidRPr="00330FE9" w:rsidRDefault="007A4070" w:rsidP="00330FE9">
      <w:pPr>
        <w:pStyle w:val="DecHCase"/>
      </w:pPr>
    </w:p>
    <w:p w14:paraId="032C6259" w14:textId="77777777" w:rsidR="007A4070" w:rsidRPr="00330FE9" w:rsidRDefault="007A4070" w:rsidP="00330FE9">
      <w:pPr>
        <w:pStyle w:val="DecHCase"/>
      </w:pPr>
    </w:p>
    <w:p w14:paraId="58C59CEA" w14:textId="33EDC698" w:rsidR="007A4070" w:rsidRPr="00330FE9" w:rsidRDefault="007A4070" w:rsidP="00330FE9">
      <w:pPr>
        <w:pStyle w:val="DecHCase"/>
      </w:pPr>
      <w:r>
        <w:t>WYROK</w:t>
      </w:r>
      <w:r w:rsidR="00F27DAF">
        <w:t xml:space="preserve"> </w:t>
      </w:r>
    </w:p>
    <w:p w14:paraId="3021A545" w14:textId="1E4A59DA" w:rsidR="007A4070" w:rsidRPr="00330FE9" w:rsidRDefault="007A4070" w:rsidP="00330FE9">
      <w:pPr>
        <w:pStyle w:val="DecHCase"/>
      </w:pPr>
      <w:r w:rsidRPr="00F9043C">
        <w:t>STRASBURG</w:t>
      </w:r>
    </w:p>
    <w:p w14:paraId="15CE14A5" w14:textId="77777777" w:rsidR="007A4070" w:rsidRPr="00330FE9" w:rsidRDefault="00B738BC" w:rsidP="00330FE9">
      <w:pPr>
        <w:pStyle w:val="DecHCase"/>
      </w:pPr>
      <w:r>
        <w:t>4 czerwca 2020 roku</w:t>
      </w:r>
    </w:p>
    <w:p w14:paraId="1DFAC9D9" w14:textId="77777777" w:rsidR="007A4070" w:rsidRPr="00330FE9" w:rsidRDefault="007A4070" w:rsidP="00330FE9">
      <w:pPr>
        <w:pStyle w:val="DecHCase"/>
      </w:pPr>
    </w:p>
    <w:p w14:paraId="391E3D62" w14:textId="43E89713" w:rsidR="00516B59" w:rsidRPr="00330FE9" w:rsidRDefault="007A4070" w:rsidP="00330FE9">
      <w:pPr>
        <w:rPr>
          <w:rFonts w:ascii="Times New Roman" w:hAnsi="Times New Roman" w:cs="Times New Roman"/>
          <w:i/>
          <w:sz w:val="22"/>
        </w:rPr>
      </w:pPr>
      <w:r>
        <w:rPr>
          <w:i/>
          <w:sz w:val="22"/>
        </w:rPr>
        <w:t xml:space="preserve">Wyrok ten </w:t>
      </w:r>
      <w:r w:rsidR="00B71B4D">
        <w:rPr>
          <w:i/>
          <w:sz w:val="22"/>
        </w:rPr>
        <w:t xml:space="preserve">jest </w:t>
      </w:r>
      <w:r>
        <w:rPr>
          <w:i/>
          <w:sz w:val="22"/>
        </w:rPr>
        <w:t>ostateczny. Może podlegać korekcie wydawniczej</w:t>
      </w:r>
      <w:r>
        <w:rPr>
          <w:rFonts w:ascii="Times New Roman" w:hAnsi="Times New Roman"/>
          <w:i/>
          <w:sz w:val="22"/>
        </w:rPr>
        <w:t>.</w:t>
      </w:r>
    </w:p>
    <w:p w14:paraId="5825B13E" w14:textId="77777777" w:rsidR="00516B59" w:rsidRPr="00330FE9" w:rsidRDefault="00516B59" w:rsidP="00330FE9">
      <w:pPr>
        <w:ind w:left="720"/>
        <w:rPr>
          <w:rFonts w:ascii="Times New Roman" w:hAnsi="Times New Roman" w:cs="Times New Roman"/>
          <w:sz w:val="22"/>
        </w:rPr>
        <w:sectPr w:rsidR="00516B59" w:rsidRPr="00330FE9" w:rsidSect="00F912E4">
          <w:headerReference w:type="default" r:id="rId11"/>
          <w:footerReference w:type="even" r:id="rId12"/>
          <w:footerReference w:type="default" r:id="rId13"/>
          <w:footnotePr>
            <w:numRestart w:val="eachSect"/>
          </w:footnotePr>
          <w:endnotePr>
            <w:numFmt w:val="decimal"/>
          </w:endnotePr>
          <w:pgSz w:w="11906" w:h="16838" w:code="9"/>
          <w:pgMar w:top="2274" w:right="2274" w:bottom="2274" w:left="2274" w:header="1701" w:footer="720" w:gutter="0"/>
          <w:pgNumType w:start="1"/>
          <w:cols w:space="720"/>
          <w:noEndnote/>
        </w:sectPr>
      </w:pPr>
    </w:p>
    <w:p w14:paraId="390D6CCB" w14:textId="718E23DF" w:rsidR="004344E6" w:rsidRPr="00330FE9" w:rsidRDefault="004344E6" w:rsidP="00330FE9">
      <w:pPr>
        <w:pStyle w:val="JuCase"/>
      </w:pPr>
      <w:r>
        <w:lastRenderedPageBreak/>
        <w:t>W sprawie Jezior p</w:t>
      </w:r>
      <w:r w:rsidR="00643D36">
        <w:t>rzeciwko</w:t>
      </w:r>
      <w:r>
        <w:t xml:space="preserve"> Polsce,</w:t>
      </w:r>
    </w:p>
    <w:p w14:paraId="53137658" w14:textId="553D9A7B" w:rsidR="004344E6" w:rsidRPr="00330FE9" w:rsidRDefault="004344E6" w:rsidP="00330FE9">
      <w:pPr>
        <w:pStyle w:val="JuPara"/>
      </w:pPr>
      <w:r>
        <w:t>Europejski Trybunał Praw Człowieka (</w:t>
      </w:r>
      <w:r w:rsidR="004F21B5">
        <w:t>Pierwsza Sekcja</w:t>
      </w:r>
      <w:r>
        <w:t xml:space="preserve">), zasiadając jako </w:t>
      </w:r>
      <w:r w:rsidR="00792979">
        <w:t>Komitet</w:t>
      </w:r>
      <w:r>
        <w:t xml:space="preserve"> w składzie</w:t>
      </w:r>
      <w:r w:rsidR="003A52C7">
        <w:t>:</w:t>
      </w:r>
    </w:p>
    <w:p w14:paraId="402A054B" w14:textId="0490B20D" w:rsidR="00AA5201" w:rsidRDefault="007561CD" w:rsidP="00330FE9">
      <w:pPr>
        <w:pStyle w:val="JuJudges"/>
        <w:rPr>
          <w:i/>
        </w:rPr>
      </w:pPr>
      <w:r>
        <w:tab/>
        <w:t>Pere Pastor Vilanova,</w:t>
      </w:r>
      <w:r>
        <w:rPr>
          <w:i/>
        </w:rPr>
        <w:t xml:space="preserve"> Przewodniczący,</w:t>
      </w:r>
      <w:r w:rsidR="00F27DAF">
        <w:rPr>
          <w:i/>
        </w:rPr>
        <w:t xml:space="preserve"> </w:t>
      </w:r>
    </w:p>
    <w:p w14:paraId="02813839" w14:textId="3E0B42DD" w:rsidR="007B62EE" w:rsidRDefault="007561CD" w:rsidP="00330FE9">
      <w:pPr>
        <w:pStyle w:val="JuJudges"/>
      </w:pPr>
      <w:r>
        <w:tab/>
        <w:t>Krzysztof Wojtyczek,</w:t>
      </w:r>
      <w:r w:rsidR="00F27DAF">
        <w:rPr>
          <w:i/>
        </w:rPr>
        <w:t xml:space="preserve"> </w:t>
      </w:r>
    </w:p>
    <w:p w14:paraId="699250FC" w14:textId="5110DD38" w:rsidR="00AA5201" w:rsidRDefault="007B62EE" w:rsidP="00330FE9">
      <w:pPr>
        <w:pStyle w:val="JuJudges"/>
      </w:pPr>
      <w:r>
        <w:tab/>
        <w:t>Pa</w:t>
      </w:r>
      <w:r w:rsidR="007561CD">
        <w:t>uliine Koskelo,</w:t>
      </w:r>
      <w:r w:rsidR="007561CD">
        <w:rPr>
          <w:i/>
        </w:rPr>
        <w:t xml:space="preserve"> sędziowie,</w:t>
      </w:r>
      <w:r w:rsidR="00F27DAF">
        <w:t xml:space="preserve"> </w:t>
      </w:r>
    </w:p>
    <w:p w14:paraId="2CAFFC90" w14:textId="2D39B4CE" w:rsidR="004344E6" w:rsidRPr="00330FE9" w:rsidRDefault="007561CD" w:rsidP="00330FE9">
      <w:pPr>
        <w:pStyle w:val="JuJudges"/>
      </w:pPr>
      <w:r>
        <w:t xml:space="preserve">oraz Renata Degener, </w:t>
      </w:r>
      <w:r w:rsidR="00A95449">
        <w:rPr>
          <w:i/>
        </w:rPr>
        <w:t>zastępca K</w:t>
      </w:r>
      <w:r>
        <w:rPr>
          <w:i/>
        </w:rPr>
        <w:t>anclerza sekcji</w:t>
      </w:r>
      <w:r>
        <w:t>,</w:t>
      </w:r>
    </w:p>
    <w:p w14:paraId="7678FE0B" w14:textId="57BE4497" w:rsidR="004344E6" w:rsidRPr="00330FE9" w:rsidRDefault="004344E6" w:rsidP="00330FE9">
      <w:pPr>
        <w:pStyle w:val="JuPara"/>
      </w:pPr>
      <w:bookmarkStart w:id="1" w:name="ITMARKHavingStart"/>
      <w:bookmarkEnd w:id="1"/>
      <w:r>
        <w:t xml:space="preserve">Obradując na posiedzeniu </w:t>
      </w:r>
      <w:r w:rsidR="00C96B59">
        <w:t>niejawn</w:t>
      </w:r>
      <w:r>
        <w:t>ym w dniu 28 kwietnia 2020 roku,</w:t>
      </w:r>
    </w:p>
    <w:p w14:paraId="1AB6F51E" w14:textId="77777777" w:rsidR="00876F03" w:rsidRPr="00330FE9" w:rsidRDefault="004344E6" w:rsidP="00330FE9">
      <w:pPr>
        <w:pStyle w:val="JuPara"/>
      </w:pPr>
      <w:r>
        <w:t>Wydaje następujący wyrok, który został przyjęty w tym dniu:</w:t>
      </w:r>
    </w:p>
    <w:p w14:paraId="77E642F5" w14:textId="77777777" w:rsidR="00B738BC" w:rsidRPr="00330FE9" w:rsidRDefault="00B738BC" w:rsidP="00330FE9">
      <w:pPr>
        <w:pStyle w:val="JuHHead"/>
        <w:numPr>
          <w:ilvl w:val="0"/>
          <w:numId w:val="21"/>
        </w:numPr>
        <w:jc w:val="both"/>
      </w:pPr>
      <w:r>
        <w:t>POSTĘPOWANIE</w:t>
      </w:r>
    </w:p>
    <w:p w14:paraId="57A3A0A5" w14:textId="6882EB20" w:rsidR="00B738BC" w:rsidRPr="00330FE9" w:rsidRDefault="009D08D3" w:rsidP="00330FE9">
      <w:pPr>
        <w:pStyle w:val="JuPara"/>
      </w:pPr>
      <w:r>
        <w:rPr>
          <w:noProof/>
        </w:rPr>
        <w:t>1</w:t>
      </w:r>
      <w:r w:rsidR="00B738BC">
        <w:t>.</w:t>
      </w:r>
      <w:r w:rsidR="003A52C7">
        <w:t xml:space="preserve"> </w:t>
      </w:r>
      <w:r w:rsidR="00B738BC">
        <w:t>Sprawa wywodzi się ze skargi (nr 31955/11) wniesionej do Trybunału w dniu 18 maja 2011 roku przeciwko Rzeczypospolitej Polskiej na</w:t>
      </w:r>
      <w:r w:rsidR="00206D04">
        <w:t> </w:t>
      </w:r>
      <w:r w:rsidR="00B738BC">
        <w:t xml:space="preserve">podstawie art. 34 </w:t>
      </w:r>
      <w:r w:rsidR="00B738BC" w:rsidRPr="009D08D3">
        <w:t xml:space="preserve">Konwencji o ochronie praw człowieka i podstawowych wolności </w:t>
      </w:r>
      <w:r w:rsidR="00B738BC">
        <w:t xml:space="preserve">(„Konwencja”) przez obywatela Polski, </w:t>
      </w:r>
      <w:r>
        <w:t>p</w:t>
      </w:r>
      <w:r w:rsidR="00B738BC">
        <w:t>ana Andrzeja</w:t>
      </w:r>
      <w:r w:rsidR="00F27DAF">
        <w:t xml:space="preserve"> </w:t>
      </w:r>
      <w:r w:rsidR="00B738BC">
        <w:t>Jeziora („skarżący”).</w:t>
      </w:r>
    </w:p>
    <w:p w14:paraId="3B56CCA8" w14:textId="78C6D0C6" w:rsidR="00B738BC" w:rsidRPr="00330FE9" w:rsidRDefault="009D08D3" w:rsidP="00330FE9">
      <w:pPr>
        <w:pStyle w:val="JuPara"/>
      </w:pPr>
      <w:r>
        <w:rPr>
          <w:noProof/>
        </w:rPr>
        <w:t>2</w:t>
      </w:r>
      <w:r w:rsidR="00B738BC">
        <w:t>.</w:t>
      </w:r>
      <w:r w:rsidR="003A52C7">
        <w:t xml:space="preserve"> </w:t>
      </w:r>
      <w:r w:rsidR="00B738BC">
        <w:t xml:space="preserve">Skarżący reprezentowany był przez </w:t>
      </w:r>
      <w:r w:rsidR="001A543F" w:rsidRPr="00F9043C">
        <w:t>p</w:t>
      </w:r>
      <w:r w:rsidR="00B738BC" w:rsidRPr="00F9043C">
        <w:t>ana</w:t>
      </w:r>
      <w:r w:rsidR="00B738BC">
        <w:t xml:space="preserve"> A. Bodnara, wówczas prawnika Helsińskiej Fundacji Praw Człowieka w Warszawie („Fundacja Helsińska”), którego zastąpiła później </w:t>
      </w:r>
      <w:r w:rsidR="001A543F">
        <w:t>p</w:t>
      </w:r>
      <w:r w:rsidR="00B738BC">
        <w:t>ani D.</w:t>
      </w:r>
      <w:r w:rsidR="00F27DAF">
        <w:t xml:space="preserve"> </w:t>
      </w:r>
      <w:r w:rsidR="00B738BC">
        <w:t xml:space="preserve">Bychawska-Siniarska, również prawniczka tej samej Fundacji. Rząd polski („Rząd”) był reprezentowany przez pełnomocników: najpierw </w:t>
      </w:r>
      <w:r w:rsidR="001A543F">
        <w:t>p</w:t>
      </w:r>
      <w:r w:rsidR="00B738BC">
        <w:t>anią J.</w:t>
      </w:r>
      <w:r w:rsidR="00F27DAF">
        <w:t xml:space="preserve"> </w:t>
      </w:r>
      <w:r w:rsidR="00B738BC">
        <w:t>Chrzanowską, a</w:t>
      </w:r>
      <w:r w:rsidR="00206D04">
        <w:t> </w:t>
      </w:r>
      <w:r w:rsidR="00F54EEE">
        <w:t xml:space="preserve">następnie </w:t>
      </w:r>
      <w:r w:rsidR="001A543F">
        <w:t>p</w:t>
      </w:r>
      <w:r w:rsidR="00F54EEE">
        <w:t xml:space="preserve">ana </w:t>
      </w:r>
      <w:r w:rsidR="00B738BC">
        <w:t>J. Sobczaka z Ministerstwa Spraw Zagranicznych.</w:t>
      </w:r>
    </w:p>
    <w:p w14:paraId="0BF62665" w14:textId="7E44344C" w:rsidR="00B738BC" w:rsidRPr="00330FE9" w:rsidRDefault="009D08D3" w:rsidP="00330FE9">
      <w:pPr>
        <w:pStyle w:val="JuPara"/>
      </w:pPr>
      <w:r>
        <w:rPr>
          <w:noProof/>
        </w:rPr>
        <w:t>3</w:t>
      </w:r>
      <w:r w:rsidR="00B738BC">
        <w:t>.</w:t>
      </w:r>
      <w:r w:rsidR="003A52C7">
        <w:t xml:space="preserve"> </w:t>
      </w:r>
      <w:r w:rsidR="00B738BC">
        <w:t>W dniu 24 września 2012 roku skarga została zakomunikowana Rządowi.</w:t>
      </w:r>
    </w:p>
    <w:p w14:paraId="7D2BB09A" w14:textId="45C29473" w:rsidR="00B738BC" w:rsidRPr="00330FE9" w:rsidRDefault="009D08D3" w:rsidP="00330FE9">
      <w:pPr>
        <w:pStyle w:val="JuPara"/>
      </w:pPr>
      <w:r>
        <w:rPr>
          <w:noProof/>
        </w:rPr>
        <w:t>4</w:t>
      </w:r>
      <w:r w:rsidR="00B738BC">
        <w:t>.</w:t>
      </w:r>
      <w:r w:rsidR="003A52C7">
        <w:t xml:space="preserve"> </w:t>
      </w:r>
      <w:r w:rsidR="00B738BC">
        <w:t>Organizacja pozarządowa ARTICLE 19 („</w:t>
      </w:r>
      <w:r w:rsidR="004F21B5">
        <w:t>strona</w:t>
      </w:r>
      <w:r w:rsidR="00B738BC">
        <w:t xml:space="preserve"> trzecia</w:t>
      </w:r>
      <w:r w:rsidR="00792979">
        <w:t xml:space="preserve"> składająca interwencję</w:t>
      </w:r>
      <w:r w:rsidR="00B738BC">
        <w:t>”) otrzymała od Przewodniczącego prawo do interwencji w</w:t>
      </w:r>
      <w:r w:rsidR="00206D04">
        <w:t> </w:t>
      </w:r>
      <w:r w:rsidR="00B738BC">
        <w:t>postępowaniu pisemnym (</w:t>
      </w:r>
      <w:r w:rsidR="00A95449">
        <w:t>art.</w:t>
      </w:r>
      <w:r w:rsidR="00F27DAF">
        <w:t xml:space="preserve"> </w:t>
      </w:r>
      <w:r w:rsidR="00B738BC">
        <w:t xml:space="preserve">36 </w:t>
      </w:r>
      <w:r w:rsidR="00A822E9">
        <w:t xml:space="preserve">ust. </w:t>
      </w:r>
      <w:r w:rsidR="00B738BC">
        <w:t>2 Konwencji i</w:t>
      </w:r>
      <w:r w:rsidR="00A822E9">
        <w:t xml:space="preserve"> Reguła </w:t>
      </w:r>
      <w:r w:rsidR="00B738BC">
        <w:t xml:space="preserve">44 § 2 </w:t>
      </w:r>
      <w:r w:rsidR="00E92ED2">
        <w:t>R</w:t>
      </w:r>
      <w:r w:rsidR="00B738BC">
        <w:t>egulaminu</w:t>
      </w:r>
      <w:r w:rsidR="00A822E9">
        <w:t xml:space="preserve"> Trybunału</w:t>
      </w:r>
      <w:r w:rsidR="00B738BC">
        <w:t>) i przedstawiła swoje uwagi.</w:t>
      </w:r>
    </w:p>
    <w:p w14:paraId="35DF98F5" w14:textId="45C44DDD" w:rsidR="00792979" w:rsidRDefault="00F95427" w:rsidP="00330FE9">
      <w:pPr>
        <w:pStyle w:val="JuHHead"/>
        <w:numPr>
          <w:ilvl w:val="0"/>
          <w:numId w:val="21"/>
        </w:numPr>
        <w:tabs>
          <w:tab w:val="left" w:pos="5387"/>
        </w:tabs>
        <w:jc w:val="both"/>
      </w:pPr>
      <w:r>
        <w:t>FAKTY</w:t>
      </w:r>
      <w:r w:rsidR="00792979">
        <w:t xml:space="preserve"> </w:t>
      </w:r>
    </w:p>
    <w:p w14:paraId="2A09DB7D" w14:textId="5DFBCCAA" w:rsidR="00B738BC" w:rsidRPr="00792979" w:rsidRDefault="00B738BC" w:rsidP="00792979">
      <w:pPr>
        <w:pStyle w:val="JuHIRoman"/>
      </w:pPr>
      <w:r w:rsidRPr="00792979">
        <w:t>OKOLICZNOŚCI SPRAWY</w:t>
      </w:r>
    </w:p>
    <w:p w14:paraId="57360A19" w14:textId="1670B1E8" w:rsidR="00B738BC" w:rsidRPr="00330FE9" w:rsidRDefault="009D08D3" w:rsidP="00330FE9">
      <w:pPr>
        <w:pStyle w:val="JuPara"/>
      </w:pPr>
      <w:r>
        <w:rPr>
          <w:noProof/>
        </w:rPr>
        <w:t>5</w:t>
      </w:r>
      <w:r w:rsidR="00B738BC">
        <w:t>.</w:t>
      </w:r>
      <w:r w:rsidR="003A52C7">
        <w:t xml:space="preserve"> </w:t>
      </w:r>
      <w:r w:rsidR="00B738BC">
        <w:t>Skarżący urodził się w 1961 roku i mieszka w Ryglicach.</w:t>
      </w:r>
    </w:p>
    <w:p w14:paraId="4F2E4A0E" w14:textId="77777777" w:rsidR="00B738BC" w:rsidRPr="00330FE9" w:rsidRDefault="00B738BC" w:rsidP="00330FE9">
      <w:pPr>
        <w:pStyle w:val="JuHA"/>
      </w:pPr>
      <w:r>
        <w:t>Kontekst sprawy</w:t>
      </w:r>
    </w:p>
    <w:p w14:paraId="3DDBE748" w14:textId="6A8A11FF" w:rsidR="00B738BC" w:rsidRPr="00330FE9" w:rsidRDefault="009D08D3" w:rsidP="00330FE9">
      <w:pPr>
        <w:pStyle w:val="JuPara"/>
      </w:pPr>
      <w:r>
        <w:rPr>
          <w:noProof/>
        </w:rPr>
        <w:t>6</w:t>
      </w:r>
      <w:r w:rsidR="00B738BC">
        <w:t>.</w:t>
      </w:r>
      <w:r w:rsidR="003A52C7">
        <w:t xml:space="preserve"> </w:t>
      </w:r>
      <w:r w:rsidR="00B738BC">
        <w:t>Skarżący, który w rozpatrywanym okresie był kandydatem na</w:t>
      </w:r>
      <w:r w:rsidR="00206D04">
        <w:t> </w:t>
      </w:r>
      <w:r w:rsidR="00B738BC">
        <w:t xml:space="preserve">stanowisko radnego, prowadził blog internetowy poświęcony bieżącym wydarzeniom w gminie, </w:t>
      </w:r>
      <w:r w:rsidR="00A95449">
        <w:t xml:space="preserve">w której </w:t>
      </w:r>
      <w:r w:rsidR="00B738BC">
        <w:t>mieszka</w:t>
      </w:r>
      <w:r w:rsidR="00A95449">
        <w:t>ł</w:t>
      </w:r>
      <w:r w:rsidR="00B738BC">
        <w:t xml:space="preserve">. Na wspomnianym blogu publikował różne teksty, między innymi na temat kampanii politycznej prowadzonej w związku z odbywającymi się wówczas wyborami samorządowymi. Na blogu skarżącego pojawiały się komentarze, które </w:t>
      </w:r>
      <w:r w:rsidR="00B738BC">
        <w:lastRenderedPageBreak/>
        <w:t>internauci mogli zamieszczać bez logowania się. Zainteresowany zamieścił na swoim blogu zalecenie dla internautów o treści następującej:</w:t>
      </w:r>
    </w:p>
    <w:p w14:paraId="38449A16" w14:textId="5C635F25" w:rsidR="00B738BC" w:rsidRPr="00330FE9" w:rsidRDefault="00B738BC" w:rsidP="00330FE9">
      <w:pPr>
        <w:pStyle w:val="JuQuot"/>
      </w:pPr>
      <w:r w:rsidRPr="00AF3560">
        <w:t>„Proszę o pisanie komentarzy przemyślanych, ilustrujących rzeczywistość, a nie domysły. Komentarze nie mogą obrażać nikogo. Proszę o odwagę przy podpisywaniu komentarzy</w:t>
      </w:r>
      <w:r w:rsidR="00AF3560" w:rsidRPr="00AF3560">
        <w:t>, aby to nie robić raczej anonimowo</w:t>
      </w:r>
      <w:r w:rsidRPr="00AF3560">
        <w:t>.</w:t>
      </w:r>
      <w:r w:rsidR="003A52C7" w:rsidRPr="00AF3560">
        <w:t xml:space="preserve"> </w:t>
      </w:r>
      <w:r w:rsidRPr="00AF3560">
        <w:t>Komentarz podpisany nazwiskiem ma dużo większą wartość”</w:t>
      </w:r>
      <w:r w:rsidR="00E92ED2" w:rsidRPr="00AF3560">
        <w:t>.</w:t>
      </w:r>
    </w:p>
    <w:p w14:paraId="3AD80B2B" w14:textId="56BAEF13" w:rsidR="00B738BC" w:rsidRPr="00330FE9" w:rsidRDefault="009D08D3" w:rsidP="00330FE9">
      <w:pPr>
        <w:pStyle w:val="JuPara"/>
      </w:pPr>
      <w:r>
        <w:rPr>
          <w:noProof/>
        </w:rPr>
        <w:t>7</w:t>
      </w:r>
      <w:r w:rsidR="00B738BC">
        <w:t>.</w:t>
      </w:r>
      <w:r w:rsidR="003A52C7">
        <w:t xml:space="preserve"> </w:t>
      </w:r>
      <w:r w:rsidR="00B738BC">
        <w:t>Zgodnie z warunkami regulaminu wewnętrznego portalu internetowego, na którym znajdował się blog skarżącego, administratorzy b</w:t>
      </w:r>
      <w:r w:rsidR="004F21B5">
        <w:t>logów na tym portalu odpowiadali</w:t>
      </w:r>
      <w:r w:rsidR="00B738BC">
        <w:t xml:space="preserve"> za zamieszczane w nich treści. Blog skarżącego miał system powiadamiania o nowych treściach, jednak skarżący korzystał z niego bardzo rzadko. Z.J., syn skarżącego, pomagał mu w administrowaniu blogiem. Doraźnie monitorował treści zamieszczane przez użytkowników i usuwał te, które wydawały mu się obraźliwe wobec innych osób.</w:t>
      </w:r>
    </w:p>
    <w:p w14:paraId="7688AB54" w14:textId="5C7296D3" w:rsidR="00457A70" w:rsidRDefault="009D08D3" w:rsidP="003460FB">
      <w:pPr>
        <w:pStyle w:val="JuPara"/>
        <w:spacing w:after="120"/>
      </w:pPr>
      <w:r>
        <w:rPr>
          <w:noProof/>
        </w:rPr>
        <w:t>8</w:t>
      </w:r>
      <w:r w:rsidR="00B738BC">
        <w:t>.</w:t>
      </w:r>
      <w:r w:rsidR="003A52C7">
        <w:t xml:space="preserve"> </w:t>
      </w:r>
      <w:r w:rsidR="00B738BC">
        <w:t xml:space="preserve">Dnia 5 listopada 2010 roku, czyli mniej więcej dwa tygodnie przed wyborami, około godziny dwudziestej trzeciej, na blogu skarżącego pojawił się anonimowy komentarz atakujący B.K., burmistrza </w:t>
      </w:r>
      <w:r w:rsidR="00E92ED2">
        <w:t xml:space="preserve">ubiegającego się </w:t>
      </w:r>
      <w:r w:rsidR="00A95449">
        <w:t>o</w:t>
      </w:r>
      <w:r w:rsidR="00206D04">
        <w:t> </w:t>
      </w:r>
      <w:r w:rsidR="00A95449">
        <w:t>reelekcję</w:t>
      </w:r>
      <w:r w:rsidR="00B738BC">
        <w:t xml:space="preserve">, </w:t>
      </w:r>
      <w:r w:rsidR="00A95449">
        <w:t>wspieranego przez</w:t>
      </w:r>
      <w:r w:rsidR="002D6A0B">
        <w:t xml:space="preserve"> </w:t>
      </w:r>
      <w:r w:rsidR="00B738BC">
        <w:t>komitet wyborczy opozycyjny wobec komitetu skarżącego. Komentarz ten zawierał między innymi następujące stwierdzenia:</w:t>
      </w:r>
    </w:p>
    <w:p w14:paraId="004A4874" w14:textId="2DF52420" w:rsidR="00457A70" w:rsidRPr="00457A70" w:rsidRDefault="00F27DAF" w:rsidP="00457A70">
      <w:pPr>
        <w:pStyle w:val="JuPara"/>
        <w:ind w:left="284"/>
        <w:rPr>
          <w:sz w:val="20"/>
          <w:szCs w:val="20"/>
        </w:rPr>
      </w:pPr>
      <w:r>
        <w:t xml:space="preserve"> </w:t>
      </w:r>
      <w:r w:rsidR="00457A70" w:rsidRPr="00457A70">
        <w:rPr>
          <w:sz w:val="20"/>
          <w:szCs w:val="20"/>
        </w:rPr>
        <w:t>1.</w:t>
      </w:r>
      <w:r w:rsidR="003460FB" w:rsidRPr="003460FB">
        <w:rPr>
          <w:sz w:val="20"/>
          <w:szCs w:val="20"/>
        </w:rPr>
        <w:t xml:space="preserve"> </w:t>
      </w:r>
      <w:r w:rsidR="003460FB">
        <w:rPr>
          <w:sz w:val="20"/>
          <w:szCs w:val="20"/>
        </w:rPr>
        <w:t>„</w:t>
      </w:r>
      <w:r w:rsidR="00457A70" w:rsidRPr="00457A70">
        <w:rPr>
          <w:sz w:val="20"/>
          <w:szCs w:val="20"/>
        </w:rPr>
        <w:t>pochodzi ze starej bandyckiej rodziny z przestępczymi tradycjami</w:t>
      </w:r>
      <w:r w:rsidR="004F21B5">
        <w:rPr>
          <w:sz w:val="20"/>
          <w:szCs w:val="20"/>
        </w:rPr>
        <w:t>”</w:t>
      </w:r>
    </w:p>
    <w:p w14:paraId="32D648AA" w14:textId="77777777" w:rsidR="00457A70" w:rsidRPr="00457A70" w:rsidRDefault="00457A70" w:rsidP="00457A70">
      <w:pPr>
        <w:pStyle w:val="JuPara"/>
        <w:ind w:left="284" w:firstLine="0"/>
        <w:rPr>
          <w:sz w:val="20"/>
          <w:szCs w:val="20"/>
        </w:rPr>
      </w:pPr>
    </w:p>
    <w:p w14:paraId="217698B6" w14:textId="41DD9B04" w:rsidR="00457A70" w:rsidRPr="00457A70" w:rsidRDefault="00457A70" w:rsidP="004F21B5">
      <w:pPr>
        <w:pStyle w:val="JuPara"/>
        <w:ind w:left="284"/>
        <w:rPr>
          <w:sz w:val="20"/>
          <w:szCs w:val="20"/>
        </w:rPr>
      </w:pPr>
      <w:r w:rsidRPr="00457A70">
        <w:rPr>
          <w:sz w:val="20"/>
          <w:szCs w:val="20"/>
        </w:rPr>
        <w:t xml:space="preserve">2. </w:t>
      </w:r>
      <w:r w:rsidR="004F21B5">
        <w:rPr>
          <w:sz w:val="20"/>
          <w:szCs w:val="20"/>
        </w:rPr>
        <w:t>„</w:t>
      </w:r>
      <w:r w:rsidRPr="00457A70">
        <w:rPr>
          <w:sz w:val="20"/>
          <w:szCs w:val="20"/>
        </w:rPr>
        <w:t>jego matka zabiła swojego męża</w:t>
      </w:r>
      <w:r w:rsidR="004F21B5">
        <w:rPr>
          <w:sz w:val="20"/>
          <w:szCs w:val="20"/>
        </w:rPr>
        <w:t>”</w:t>
      </w:r>
      <w:r w:rsidRPr="00457A70">
        <w:rPr>
          <w:sz w:val="20"/>
          <w:szCs w:val="20"/>
        </w:rPr>
        <w:t xml:space="preserve"> oraz </w:t>
      </w:r>
      <w:r w:rsidR="004F21B5">
        <w:rPr>
          <w:sz w:val="20"/>
          <w:szCs w:val="20"/>
        </w:rPr>
        <w:t>„</w:t>
      </w:r>
      <w:r w:rsidRPr="00457A70">
        <w:rPr>
          <w:sz w:val="20"/>
          <w:szCs w:val="20"/>
        </w:rPr>
        <w:t>matka naszego przestępcy położyła trupem swojego ślubnego zadając mu śmiertelny cios prosto w serce</w:t>
      </w:r>
      <w:r w:rsidR="004F21B5">
        <w:rPr>
          <w:sz w:val="20"/>
          <w:szCs w:val="20"/>
        </w:rPr>
        <w:t>”</w:t>
      </w:r>
    </w:p>
    <w:p w14:paraId="28F0AC79" w14:textId="77777777" w:rsidR="00457A70" w:rsidRPr="00457A70" w:rsidRDefault="00457A70" w:rsidP="004F21B5">
      <w:pPr>
        <w:pStyle w:val="JuPara"/>
        <w:ind w:left="284"/>
        <w:rPr>
          <w:sz w:val="20"/>
          <w:szCs w:val="20"/>
        </w:rPr>
      </w:pPr>
    </w:p>
    <w:p w14:paraId="01C37BA1" w14:textId="0BDFB572" w:rsidR="00457A70" w:rsidRPr="00457A70" w:rsidRDefault="00457A70" w:rsidP="004F21B5">
      <w:pPr>
        <w:pStyle w:val="JuPara"/>
        <w:ind w:left="284"/>
        <w:rPr>
          <w:sz w:val="20"/>
          <w:szCs w:val="20"/>
        </w:rPr>
      </w:pPr>
      <w:r w:rsidRPr="00457A70">
        <w:rPr>
          <w:sz w:val="20"/>
          <w:szCs w:val="20"/>
        </w:rPr>
        <w:t xml:space="preserve">3. </w:t>
      </w:r>
      <w:r w:rsidR="004F21B5">
        <w:rPr>
          <w:sz w:val="20"/>
          <w:szCs w:val="20"/>
        </w:rPr>
        <w:t>„</w:t>
      </w:r>
      <w:r w:rsidRPr="00457A70">
        <w:rPr>
          <w:sz w:val="20"/>
          <w:szCs w:val="20"/>
        </w:rPr>
        <w:t>powodem konfliktu był kochanek matki K</w:t>
      </w:r>
      <w:r>
        <w:rPr>
          <w:sz w:val="20"/>
          <w:szCs w:val="20"/>
        </w:rPr>
        <w:t>.</w:t>
      </w:r>
      <w:r w:rsidR="004F21B5">
        <w:rPr>
          <w:sz w:val="20"/>
          <w:szCs w:val="20"/>
        </w:rPr>
        <w:t>”</w:t>
      </w:r>
      <w:r w:rsidRPr="00457A70">
        <w:rPr>
          <w:sz w:val="20"/>
          <w:szCs w:val="20"/>
        </w:rPr>
        <w:t xml:space="preserve"> oraz </w:t>
      </w:r>
      <w:r w:rsidR="004F21B5">
        <w:rPr>
          <w:sz w:val="20"/>
          <w:szCs w:val="20"/>
        </w:rPr>
        <w:t>„</w:t>
      </w:r>
      <w:r w:rsidRPr="00457A70">
        <w:rPr>
          <w:sz w:val="20"/>
          <w:szCs w:val="20"/>
        </w:rPr>
        <w:t>Kochanek ten machnął K</w:t>
      </w:r>
      <w:r>
        <w:rPr>
          <w:sz w:val="20"/>
          <w:szCs w:val="20"/>
        </w:rPr>
        <w:t>.</w:t>
      </w:r>
      <w:r w:rsidR="00206D04">
        <w:rPr>
          <w:sz w:val="20"/>
          <w:szCs w:val="20"/>
        </w:rPr>
        <w:t> </w:t>
      </w:r>
      <w:r w:rsidRPr="00457A70">
        <w:rPr>
          <w:sz w:val="20"/>
          <w:szCs w:val="20"/>
        </w:rPr>
        <w:t>dziecko, starszą siostrę burmistrza, która jest półkrwi Czeszką</w:t>
      </w:r>
      <w:r w:rsidR="004F21B5">
        <w:rPr>
          <w:sz w:val="20"/>
          <w:szCs w:val="20"/>
        </w:rPr>
        <w:t>”</w:t>
      </w:r>
    </w:p>
    <w:p w14:paraId="691DA4AB" w14:textId="77777777" w:rsidR="00457A70" w:rsidRPr="00457A70" w:rsidRDefault="00457A70" w:rsidP="004F21B5">
      <w:pPr>
        <w:pStyle w:val="JuPara"/>
        <w:ind w:left="284"/>
        <w:rPr>
          <w:sz w:val="20"/>
          <w:szCs w:val="20"/>
        </w:rPr>
      </w:pPr>
    </w:p>
    <w:p w14:paraId="6BF16B68" w14:textId="69582615" w:rsidR="00457A70" w:rsidRPr="00457A70" w:rsidRDefault="00457A70" w:rsidP="004F21B5">
      <w:pPr>
        <w:pStyle w:val="JuPara"/>
        <w:ind w:left="284"/>
        <w:rPr>
          <w:sz w:val="20"/>
          <w:szCs w:val="20"/>
        </w:rPr>
      </w:pPr>
      <w:r w:rsidRPr="00457A70">
        <w:rPr>
          <w:sz w:val="20"/>
          <w:szCs w:val="20"/>
        </w:rPr>
        <w:t xml:space="preserve">4. </w:t>
      </w:r>
      <w:r w:rsidR="004F21B5">
        <w:rPr>
          <w:sz w:val="20"/>
          <w:szCs w:val="20"/>
        </w:rPr>
        <w:t>„</w:t>
      </w:r>
      <w:r w:rsidRPr="00457A70">
        <w:rPr>
          <w:sz w:val="20"/>
          <w:szCs w:val="20"/>
        </w:rPr>
        <w:t>dzieci K</w:t>
      </w:r>
      <w:r>
        <w:rPr>
          <w:sz w:val="20"/>
          <w:szCs w:val="20"/>
        </w:rPr>
        <w:t>.</w:t>
      </w:r>
      <w:r w:rsidRPr="00457A70">
        <w:rPr>
          <w:sz w:val="20"/>
          <w:szCs w:val="20"/>
        </w:rPr>
        <w:t xml:space="preserve"> kontynuują przestępcze tradycje rodzinne</w:t>
      </w:r>
      <w:r w:rsidR="004F21B5">
        <w:rPr>
          <w:sz w:val="20"/>
          <w:szCs w:val="20"/>
        </w:rPr>
        <w:t>”</w:t>
      </w:r>
    </w:p>
    <w:p w14:paraId="0494F56B" w14:textId="77777777" w:rsidR="00457A70" w:rsidRPr="00457A70" w:rsidRDefault="00457A70" w:rsidP="004F21B5">
      <w:pPr>
        <w:pStyle w:val="JuPara"/>
        <w:ind w:left="284"/>
        <w:rPr>
          <w:sz w:val="20"/>
          <w:szCs w:val="20"/>
        </w:rPr>
      </w:pPr>
    </w:p>
    <w:p w14:paraId="5DBCC1B4" w14:textId="75487809" w:rsidR="00457A70" w:rsidRPr="00457A70" w:rsidRDefault="00457A70" w:rsidP="004F21B5">
      <w:pPr>
        <w:pStyle w:val="JuPara"/>
        <w:ind w:left="284"/>
        <w:rPr>
          <w:sz w:val="20"/>
          <w:szCs w:val="20"/>
        </w:rPr>
      </w:pPr>
      <w:r w:rsidRPr="00457A70">
        <w:rPr>
          <w:sz w:val="20"/>
          <w:szCs w:val="20"/>
        </w:rPr>
        <w:t xml:space="preserve">5. </w:t>
      </w:r>
      <w:r w:rsidR="004F21B5">
        <w:rPr>
          <w:sz w:val="20"/>
          <w:szCs w:val="20"/>
        </w:rPr>
        <w:t>„</w:t>
      </w:r>
      <w:r w:rsidRPr="00457A70">
        <w:rPr>
          <w:sz w:val="20"/>
          <w:szCs w:val="20"/>
        </w:rPr>
        <w:t>…synowie burmistrza…zostali dilerami narkotyków</w:t>
      </w:r>
      <w:r w:rsidR="004F21B5">
        <w:rPr>
          <w:sz w:val="20"/>
          <w:szCs w:val="20"/>
        </w:rPr>
        <w:t>”</w:t>
      </w:r>
    </w:p>
    <w:p w14:paraId="570DFC65" w14:textId="77777777" w:rsidR="00457A70" w:rsidRPr="00457A70" w:rsidRDefault="00457A70" w:rsidP="004F21B5">
      <w:pPr>
        <w:pStyle w:val="JuPara"/>
        <w:ind w:left="284"/>
        <w:rPr>
          <w:sz w:val="20"/>
          <w:szCs w:val="20"/>
        </w:rPr>
      </w:pPr>
    </w:p>
    <w:p w14:paraId="31A9EFC9" w14:textId="30067553" w:rsidR="00457A70" w:rsidRPr="00457A70" w:rsidRDefault="00457A70" w:rsidP="004F21B5">
      <w:pPr>
        <w:pStyle w:val="JuPara"/>
        <w:ind w:left="284"/>
        <w:rPr>
          <w:sz w:val="20"/>
          <w:szCs w:val="20"/>
        </w:rPr>
      </w:pPr>
      <w:r w:rsidRPr="00457A70">
        <w:rPr>
          <w:sz w:val="20"/>
          <w:szCs w:val="20"/>
        </w:rPr>
        <w:t xml:space="preserve">6. </w:t>
      </w:r>
      <w:r w:rsidR="004F21B5">
        <w:rPr>
          <w:sz w:val="20"/>
          <w:szCs w:val="20"/>
        </w:rPr>
        <w:t>„</w:t>
      </w:r>
      <w:r w:rsidRPr="00457A70">
        <w:rPr>
          <w:sz w:val="20"/>
          <w:szCs w:val="20"/>
        </w:rPr>
        <w:t>jeden z jego synów…aktualnie przebywa w zakładzie karnym</w:t>
      </w:r>
      <w:r w:rsidR="004F21B5">
        <w:rPr>
          <w:sz w:val="20"/>
          <w:szCs w:val="20"/>
        </w:rPr>
        <w:t>”</w:t>
      </w:r>
    </w:p>
    <w:p w14:paraId="1C07104D" w14:textId="77777777" w:rsidR="00457A70" w:rsidRPr="00457A70" w:rsidRDefault="00457A70" w:rsidP="004F21B5">
      <w:pPr>
        <w:pStyle w:val="JuPara"/>
        <w:ind w:left="284"/>
        <w:rPr>
          <w:sz w:val="20"/>
          <w:szCs w:val="20"/>
        </w:rPr>
      </w:pPr>
    </w:p>
    <w:p w14:paraId="06FDFB08" w14:textId="770D5691" w:rsidR="00457A70" w:rsidRPr="00457A70" w:rsidRDefault="00457A70" w:rsidP="004F21B5">
      <w:pPr>
        <w:pStyle w:val="JuPara"/>
        <w:ind w:left="284"/>
        <w:rPr>
          <w:sz w:val="20"/>
          <w:szCs w:val="20"/>
        </w:rPr>
      </w:pPr>
      <w:r w:rsidRPr="00457A70">
        <w:rPr>
          <w:sz w:val="20"/>
          <w:szCs w:val="20"/>
        </w:rPr>
        <w:t xml:space="preserve">7. </w:t>
      </w:r>
      <w:r w:rsidR="004F21B5">
        <w:rPr>
          <w:sz w:val="20"/>
          <w:szCs w:val="20"/>
        </w:rPr>
        <w:t>„</w:t>
      </w:r>
      <w:r w:rsidRPr="00457A70">
        <w:rPr>
          <w:sz w:val="20"/>
          <w:szCs w:val="20"/>
        </w:rPr>
        <w:t>Siostra B</w:t>
      </w:r>
      <w:r>
        <w:rPr>
          <w:sz w:val="20"/>
          <w:szCs w:val="20"/>
        </w:rPr>
        <w:t>.</w:t>
      </w:r>
      <w:r w:rsidRPr="00457A70">
        <w:rPr>
          <w:sz w:val="20"/>
          <w:szCs w:val="20"/>
        </w:rPr>
        <w:t>/../ powyłudzała kredyty bankowe i teraz ukrywa się przed wymiarem sprawiedliwości</w:t>
      </w:r>
      <w:r w:rsidR="004F21B5">
        <w:rPr>
          <w:sz w:val="20"/>
          <w:szCs w:val="20"/>
        </w:rPr>
        <w:t>”</w:t>
      </w:r>
    </w:p>
    <w:p w14:paraId="41534150" w14:textId="77777777" w:rsidR="00457A70" w:rsidRPr="00457A70" w:rsidRDefault="00457A70" w:rsidP="004F21B5">
      <w:pPr>
        <w:pStyle w:val="JuPara"/>
        <w:ind w:left="284"/>
        <w:rPr>
          <w:sz w:val="20"/>
          <w:szCs w:val="20"/>
        </w:rPr>
      </w:pPr>
    </w:p>
    <w:p w14:paraId="5C4A4925" w14:textId="173F9C5E" w:rsidR="00457A70" w:rsidRPr="00457A70" w:rsidRDefault="00457A70" w:rsidP="004F21B5">
      <w:pPr>
        <w:pStyle w:val="JuPara"/>
        <w:ind w:left="284"/>
        <w:rPr>
          <w:sz w:val="20"/>
          <w:szCs w:val="20"/>
        </w:rPr>
      </w:pPr>
      <w:r w:rsidRPr="00457A70">
        <w:rPr>
          <w:sz w:val="20"/>
          <w:szCs w:val="20"/>
        </w:rPr>
        <w:t xml:space="preserve">8. </w:t>
      </w:r>
      <w:r w:rsidR="004F21B5">
        <w:rPr>
          <w:sz w:val="20"/>
          <w:szCs w:val="20"/>
        </w:rPr>
        <w:t>„</w:t>
      </w:r>
      <w:r w:rsidRPr="00457A70">
        <w:rPr>
          <w:sz w:val="20"/>
          <w:szCs w:val="20"/>
        </w:rPr>
        <w:t>Z całej pewności możemy powiedzieć, że burmistrz K</w:t>
      </w:r>
      <w:r>
        <w:rPr>
          <w:sz w:val="20"/>
          <w:szCs w:val="20"/>
        </w:rPr>
        <w:t>.</w:t>
      </w:r>
      <w:r w:rsidRPr="00457A70">
        <w:rPr>
          <w:sz w:val="20"/>
          <w:szCs w:val="20"/>
        </w:rPr>
        <w:t xml:space="preserve"> pochodzi z bandyckiej rodziny z przestępczymi tradycjami</w:t>
      </w:r>
      <w:r w:rsidR="004F21B5">
        <w:rPr>
          <w:sz w:val="20"/>
          <w:szCs w:val="20"/>
        </w:rPr>
        <w:t>”</w:t>
      </w:r>
    </w:p>
    <w:p w14:paraId="741E99BE" w14:textId="77777777" w:rsidR="00457A70" w:rsidRPr="00457A70" w:rsidRDefault="00457A70" w:rsidP="004F21B5">
      <w:pPr>
        <w:pStyle w:val="JuPara"/>
        <w:ind w:left="284"/>
        <w:rPr>
          <w:sz w:val="20"/>
          <w:szCs w:val="20"/>
        </w:rPr>
      </w:pPr>
    </w:p>
    <w:p w14:paraId="03C5436F" w14:textId="0C5CC410" w:rsidR="00457A70" w:rsidRPr="00457A70" w:rsidRDefault="00457A70" w:rsidP="004F21B5">
      <w:pPr>
        <w:pStyle w:val="JuPara"/>
        <w:ind w:left="284"/>
        <w:rPr>
          <w:sz w:val="20"/>
          <w:szCs w:val="20"/>
        </w:rPr>
      </w:pPr>
      <w:r w:rsidRPr="00457A70">
        <w:rPr>
          <w:sz w:val="20"/>
          <w:szCs w:val="20"/>
        </w:rPr>
        <w:t>9.</w:t>
      </w:r>
      <w:r w:rsidR="00F27DAF">
        <w:rPr>
          <w:sz w:val="20"/>
          <w:szCs w:val="20"/>
        </w:rPr>
        <w:t xml:space="preserve"> </w:t>
      </w:r>
      <w:r w:rsidR="004F21B5">
        <w:rPr>
          <w:sz w:val="20"/>
          <w:szCs w:val="20"/>
        </w:rPr>
        <w:t>„</w:t>
      </w:r>
      <w:r w:rsidRPr="00457A70">
        <w:rPr>
          <w:sz w:val="20"/>
          <w:szCs w:val="20"/>
        </w:rPr>
        <w:t>Przestępczą karierę/…/ zaczął B</w:t>
      </w:r>
      <w:r>
        <w:rPr>
          <w:sz w:val="20"/>
          <w:szCs w:val="20"/>
        </w:rPr>
        <w:t>.</w:t>
      </w:r>
      <w:r w:rsidRPr="00457A70">
        <w:rPr>
          <w:sz w:val="20"/>
          <w:szCs w:val="20"/>
        </w:rPr>
        <w:t xml:space="preserve"> dwadzieścia lat temu</w:t>
      </w:r>
      <w:r w:rsidR="004F21B5">
        <w:rPr>
          <w:sz w:val="20"/>
          <w:szCs w:val="20"/>
        </w:rPr>
        <w:t>”</w:t>
      </w:r>
    </w:p>
    <w:p w14:paraId="638DD45E" w14:textId="77777777" w:rsidR="00457A70" w:rsidRPr="00457A70" w:rsidRDefault="00457A70" w:rsidP="004F21B5">
      <w:pPr>
        <w:pStyle w:val="JuPara"/>
        <w:ind w:left="284"/>
        <w:rPr>
          <w:sz w:val="20"/>
          <w:szCs w:val="20"/>
        </w:rPr>
      </w:pPr>
    </w:p>
    <w:p w14:paraId="74A35278" w14:textId="1BB41778" w:rsidR="00457A70" w:rsidRPr="00457A70" w:rsidRDefault="00457A70" w:rsidP="004F21B5">
      <w:pPr>
        <w:pStyle w:val="JuPara"/>
        <w:ind w:left="284"/>
        <w:rPr>
          <w:sz w:val="20"/>
          <w:szCs w:val="20"/>
        </w:rPr>
      </w:pPr>
      <w:r w:rsidRPr="00457A70">
        <w:rPr>
          <w:sz w:val="20"/>
          <w:szCs w:val="20"/>
        </w:rPr>
        <w:t xml:space="preserve">10. </w:t>
      </w:r>
      <w:r w:rsidR="004F21B5">
        <w:rPr>
          <w:sz w:val="20"/>
          <w:szCs w:val="20"/>
        </w:rPr>
        <w:t>„</w:t>
      </w:r>
      <w:r w:rsidRPr="00457A70">
        <w:rPr>
          <w:sz w:val="20"/>
          <w:szCs w:val="20"/>
        </w:rPr>
        <w:t>Bojąc się o stołek B</w:t>
      </w:r>
      <w:r w:rsidR="00AD2513">
        <w:rPr>
          <w:sz w:val="20"/>
          <w:szCs w:val="20"/>
        </w:rPr>
        <w:t>.</w:t>
      </w:r>
      <w:r w:rsidRPr="00457A70">
        <w:rPr>
          <w:sz w:val="20"/>
          <w:szCs w:val="20"/>
        </w:rPr>
        <w:t xml:space="preserve"> sfałszował także ostatnie wybory i obecnie nielegalnie zasiada na fotelu burmistrza</w:t>
      </w:r>
      <w:r w:rsidR="004F21B5">
        <w:rPr>
          <w:sz w:val="20"/>
          <w:szCs w:val="20"/>
        </w:rPr>
        <w:t>”</w:t>
      </w:r>
    </w:p>
    <w:p w14:paraId="62D8E746" w14:textId="77777777" w:rsidR="00457A70" w:rsidRPr="00457A70" w:rsidRDefault="00457A70" w:rsidP="004F21B5">
      <w:pPr>
        <w:pStyle w:val="JuPara"/>
        <w:ind w:left="284"/>
        <w:rPr>
          <w:sz w:val="20"/>
          <w:szCs w:val="20"/>
        </w:rPr>
      </w:pPr>
    </w:p>
    <w:p w14:paraId="53C6B51A" w14:textId="57E7CCE4" w:rsidR="00457A70" w:rsidRDefault="00457A70" w:rsidP="004F21B5">
      <w:pPr>
        <w:pStyle w:val="JuPara"/>
        <w:ind w:left="284"/>
        <w:rPr>
          <w:sz w:val="20"/>
          <w:szCs w:val="20"/>
        </w:rPr>
      </w:pPr>
      <w:r w:rsidRPr="00457A70">
        <w:rPr>
          <w:sz w:val="20"/>
          <w:szCs w:val="20"/>
        </w:rPr>
        <w:t xml:space="preserve">11. </w:t>
      </w:r>
      <w:r w:rsidR="004F21B5">
        <w:rPr>
          <w:sz w:val="20"/>
          <w:szCs w:val="20"/>
        </w:rPr>
        <w:t>„</w:t>
      </w:r>
      <w:r w:rsidRPr="00457A70">
        <w:rPr>
          <w:sz w:val="20"/>
          <w:szCs w:val="20"/>
        </w:rPr>
        <w:t>Wykorzystując niewiedzę ludzi i przestępcze kontakty zaczął on wykupować ziemię w W</w:t>
      </w:r>
      <w:r w:rsidR="00AD2513">
        <w:rPr>
          <w:sz w:val="20"/>
          <w:szCs w:val="20"/>
        </w:rPr>
        <w:t>.</w:t>
      </w:r>
      <w:r w:rsidRPr="00457A70">
        <w:rPr>
          <w:sz w:val="20"/>
          <w:szCs w:val="20"/>
        </w:rPr>
        <w:t xml:space="preserve"> L</w:t>
      </w:r>
      <w:r w:rsidR="00AD2513">
        <w:rPr>
          <w:sz w:val="20"/>
          <w:szCs w:val="20"/>
        </w:rPr>
        <w:t>.</w:t>
      </w:r>
      <w:r w:rsidR="004F21B5">
        <w:rPr>
          <w:sz w:val="20"/>
          <w:szCs w:val="20"/>
        </w:rPr>
        <w:t>”</w:t>
      </w:r>
    </w:p>
    <w:p w14:paraId="740F2C76" w14:textId="77777777" w:rsidR="00457A70" w:rsidRDefault="00457A70" w:rsidP="004F21B5">
      <w:pPr>
        <w:pStyle w:val="JuPara"/>
        <w:ind w:left="284"/>
        <w:rPr>
          <w:sz w:val="20"/>
          <w:szCs w:val="20"/>
        </w:rPr>
      </w:pPr>
    </w:p>
    <w:p w14:paraId="37089F29" w14:textId="48790A8E" w:rsidR="00457A70" w:rsidRDefault="00457A70" w:rsidP="004F21B5">
      <w:pPr>
        <w:pStyle w:val="JuPara"/>
        <w:ind w:left="284"/>
        <w:rPr>
          <w:sz w:val="20"/>
          <w:szCs w:val="20"/>
        </w:rPr>
      </w:pPr>
      <w:r w:rsidRPr="00457A70">
        <w:rPr>
          <w:sz w:val="20"/>
          <w:szCs w:val="20"/>
        </w:rPr>
        <w:lastRenderedPageBreak/>
        <w:t xml:space="preserve">12. </w:t>
      </w:r>
      <w:r w:rsidR="004F21B5">
        <w:rPr>
          <w:sz w:val="20"/>
          <w:szCs w:val="20"/>
        </w:rPr>
        <w:t>„</w:t>
      </w:r>
      <w:r w:rsidRPr="00457A70">
        <w:rPr>
          <w:sz w:val="20"/>
          <w:szCs w:val="20"/>
        </w:rPr>
        <w:t>Pozwalał także K</w:t>
      </w:r>
      <w:r w:rsidR="00616CD3">
        <w:rPr>
          <w:sz w:val="20"/>
          <w:szCs w:val="20"/>
        </w:rPr>
        <w:t>.</w:t>
      </w:r>
      <w:r w:rsidRPr="00457A70">
        <w:rPr>
          <w:sz w:val="20"/>
          <w:szCs w:val="20"/>
        </w:rPr>
        <w:t xml:space="preserve"> na to aby przetargi w </w:t>
      </w:r>
      <w:r w:rsidR="00616CD3">
        <w:rPr>
          <w:sz w:val="20"/>
          <w:szCs w:val="20"/>
        </w:rPr>
        <w:t>g</w:t>
      </w:r>
      <w:r w:rsidRPr="00457A70">
        <w:rPr>
          <w:sz w:val="20"/>
          <w:szCs w:val="20"/>
        </w:rPr>
        <w:t>minie R</w:t>
      </w:r>
      <w:r w:rsidR="00616CD3">
        <w:rPr>
          <w:sz w:val="20"/>
          <w:szCs w:val="20"/>
        </w:rPr>
        <w:t>.</w:t>
      </w:r>
      <w:r w:rsidRPr="00457A70">
        <w:rPr>
          <w:sz w:val="20"/>
          <w:szCs w:val="20"/>
        </w:rPr>
        <w:t xml:space="preserve"> wygrywała zaprzyjaźniona firma T</w:t>
      </w:r>
      <w:r w:rsidR="00616CD3">
        <w:rPr>
          <w:sz w:val="20"/>
          <w:szCs w:val="20"/>
        </w:rPr>
        <w:t>.</w:t>
      </w:r>
      <w:r w:rsidRPr="00457A70">
        <w:rPr>
          <w:sz w:val="20"/>
          <w:szCs w:val="20"/>
        </w:rPr>
        <w:t xml:space="preserve"> z Z</w:t>
      </w:r>
      <w:r w:rsidR="00616CD3">
        <w:rPr>
          <w:sz w:val="20"/>
          <w:szCs w:val="20"/>
        </w:rPr>
        <w:t xml:space="preserve">. </w:t>
      </w:r>
      <w:r w:rsidRPr="00457A70">
        <w:rPr>
          <w:sz w:val="20"/>
          <w:szCs w:val="20"/>
        </w:rPr>
        <w:t>co z kolei pozwalało na wyprowadzenie państwowych pieniędzy z</w:t>
      </w:r>
      <w:r w:rsidR="00206D04">
        <w:rPr>
          <w:sz w:val="20"/>
          <w:szCs w:val="20"/>
        </w:rPr>
        <w:t> </w:t>
      </w:r>
      <w:r w:rsidRPr="00457A70">
        <w:rPr>
          <w:sz w:val="20"/>
          <w:szCs w:val="20"/>
        </w:rPr>
        <w:t>gminnej kasy</w:t>
      </w:r>
      <w:r w:rsidR="004F21B5">
        <w:rPr>
          <w:sz w:val="20"/>
          <w:szCs w:val="20"/>
        </w:rPr>
        <w:t>”</w:t>
      </w:r>
    </w:p>
    <w:p w14:paraId="72E04986" w14:textId="77777777" w:rsidR="00457A70" w:rsidRDefault="00457A70" w:rsidP="004F21B5">
      <w:pPr>
        <w:pStyle w:val="JuPara"/>
        <w:ind w:left="284"/>
        <w:rPr>
          <w:sz w:val="20"/>
          <w:szCs w:val="20"/>
        </w:rPr>
      </w:pPr>
    </w:p>
    <w:p w14:paraId="55DAA093" w14:textId="516BAADF" w:rsidR="00457A70" w:rsidRPr="00457A70" w:rsidRDefault="00457A70" w:rsidP="004F21B5">
      <w:pPr>
        <w:pStyle w:val="JuPara"/>
        <w:ind w:left="284"/>
        <w:rPr>
          <w:sz w:val="20"/>
          <w:szCs w:val="20"/>
        </w:rPr>
      </w:pPr>
      <w:r w:rsidRPr="00457A70">
        <w:rPr>
          <w:sz w:val="20"/>
          <w:szCs w:val="20"/>
        </w:rPr>
        <w:t xml:space="preserve">13. </w:t>
      </w:r>
      <w:r w:rsidR="004F21B5">
        <w:rPr>
          <w:sz w:val="20"/>
          <w:szCs w:val="20"/>
        </w:rPr>
        <w:t>„</w:t>
      </w:r>
      <w:r w:rsidRPr="00457A70">
        <w:rPr>
          <w:sz w:val="20"/>
          <w:szCs w:val="20"/>
        </w:rPr>
        <w:t>…tradycje przestępcze w rodzinie K</w:t>
      </w:r>
      <w:r w:rsidR="00616CD3">
        <w:rPr>
          <w:sz w:val="20"/>
          <w:szCs w:val="20"/>
        </w:rPr>
        <w:t>.</w:t>
      </w:r>
      <w:r w:rsidRPr="00457A70">
        <w:rPr>
          <w:sz w:val="20"/>
          <w:szCs w:val="20"/>
        </w:rPr>
        <w:t xml:space="preserve"> zostały podtrzymane tym razem przez samego B</w:t>
      </w:r>
      <w:r>
        <w:rPr>
          <w:sz w:val="20"/>
          <w:szCs w:val="20"/>
        </w:rPr>
        <w:t>.</w:t>
      </w:r>
      <w:r w:rsidR="004F21B5">
        <w:rPr>
          <w:sz w:val="20"/>
          <w:szCs w:val="20"/>
        </w:rPr>
        <w:t>”</w:t>
      </w:r>
      <w:r w:rsidR="00927CF3">
        <w:rPr>
          <w:sz w:val="20"/>
          <w:szCs w:val="20"/>
        </w:rPr>
        <w:t>.</w:t>
      </w:r>
    </w:p>
    <w:p w14:paraId="6A7384EF" w14:textId="77777777" w:rsidR="00124A1B" w:rsidRDefault="00124A1B" w:rsidP="00330FE9">
      <w:pPr>
        <w:pStyle w:val="JuPara"/>
      </w:pPr>
    </w:p>
    <w:p w14:paraId="45CDE2B6" w14:textId="2A86FB2A" w:rsidR="00B738BC" w:rsidRPr="00330FE9" w:rsidRDefault="009D08D3" w:rsidP="00330FE9">
      <w:pPr>
        <w:pStyle w:val="JuPara"/>
      </w:pPr>
      <w:r>
        <w:rPr>
          <w:noProof/>
        </w:rPr>
        <w:t>9</w:t>
      </w:r>
      <w:r w:rsidR="00B738BC">
        <w:t>.</w:t>
      </w:r>
      <w:r w:rsidR="003A52C7">
        <w:t xml:space="preserve"> </w:t>
      </w:r>
      <w:r w:rsidR="00B738BC">
        <w:t>Z.J. natychmiast usunął ten komentarz z bloga, jednak po kilku minutach został on umieszczony ponownie. J.Z. ponownie usunął komentarz,</w:t>
      </w:r>
      <w:r w:rsidR="003A52C7">
        <w:t xml:space="preserve"> </w:t>
      </w:r>
      <w:r w:rsidR="00B738BC">
        <w:t>a następnie włączył system kontroli dostępu i wcześniejszego logowania się użytkowników poprzez adres mailowy. Następnego dnia Z.J. zrezygnował z tego ograniczenia.</w:t>
      </w:r>
    </w:p>
    <w:p w14:paraId="067F32FE" w14:textId="175E3F0B" w:rsidR="00B738BC" w:rsidRPr="00330FE9" w:rsidRDefault="009D08D3" w:rsidP="00330FE9">
      <w:pPr>
        <w:pStyle w:val="JuPara"/>
      </w:pPr>
      <w:r>
        <w:rPr>
          <w:noProof/>
        </w:rPr>
        <w:t>10</w:t>
      </w:r>
      <w:r w:rsidR="00B738BC">
        <w:t>.</w:t>
      </w:r>
      <w:r w:rsidR="003A52C7">
        <w:t xml:space="preserve"> </w:t>
      </w:r>
      <w:r w:rsidR="00B738BC">
        <w:t>Dnia 9 listopada 2010 roku na blogu skarżącego został zamieszczony identyczny wpis. Skarżący usunął wpis w tym samym dniu, natychmiast po otrzymaniu informacji o jego pojawieniu się, a następnie przywrócił kontrolę dostępu i obowiązek wcześniejszego logowania się użytkowników. Środki te zostały utrzymane przez okres mniej więcej trzech miesięcy.</w:t>
      </w:r>
    </w:p>
    <w:p w14:paraId="58D3E9B4" w14:textId="6B2538F0" w:rsidR="00B738BC" w:rsidRPr="00330FE9" w:rsidRDefault="00B738BC" w:rsidP="00330FE9">
      <w:pPr>
        <w:pStyle w:val="JuHA"/>
      </w:pPr>
      <w:r>
        <w:t xml:space="preserve">Postępowanie wszczęte przeciwko skarżącemu na mocy ustawy </w:t>
      </w:r>
      <w:r w:rsidRPr="003A52C7">
        <w:t>Ordynacja wyborcza do rad gmin, rad powiatów i sejmików województw</w:t>
      </w:r>
      <w:r>
        <w:t xml:space="preserve"> („</w:t>
      </w:r>
      <w:r w:rsidR="00422855">
        <w:t>ustawa</w:t>
      </w:r>
      <w:r>
        <w:t xml:space="preserve"> o wyborach samorządowych”)</w:t>
      </w:r>
    </w:p>
    <w:p w14:paraId="54B97768" w14:textId="7A89AB07" w:rsidR="00B738BC" w:rsidRPr="00330FE9" w:rsidRDefault="009D08D3" w:rsidP="00330FE9">
      <w:pPr>
        <w:pStyle w:val="JuPara"/>
      </w:pPr>
      <w:r>
        <w:rPr>
          <w:noProof/>
        </w:rPr>
        <w:t>11</w:t>
      </w:r>
      <w:r w:rsidR="00B738BC">
        <w:t>.</w:t>
      </w:r>
      <w:r w:rsidR="00F27DAF">
        <w:t xml:space="preserve"> </w:t>
      </w:r>
      <w:r w:rsidR="00B738BC">
        <w:t>Dnia 12 listopada 2010 roku B.K. pozwał skarżącego z</w:t>
      </w:r>
      <w:r w:rsidR="00F27DAF">
        <w:t xml:space="preserve"> </w:t>
      </w:r>
      <w:r w:rsidR="00B738BC">
        <w:t xml:space="preserve">art. 72 wspomnianej ustawy </w:t>
      </w:r>
      <w:r w:rsidR="00B738BC" w:rsidRPr="00E345DF">
        <w:t>(</w:t>
      </w:r>
      <w:r w:rsidR="00E345DF">
        <w:t>zob. par</w:t>
      </w:r>
      <w:r w:rsidR="00792979">
        <w:t>agraf</w:t>
      </w:r>
      <w:r w:rsidR="00B738BC">
        <w:t xml:space="preserve"> 23</w:t>
      </w:r>
      <w:r w:rsidR="00E345DF">
        <w:t xml:space="preserve"> poniżej</w:t>
      </w:r>
      <w:r w:rsidR="00B738BC">
        <w:t>).</w:t>
      </w:r>
    </w:p>
    <w:p w14:paraId="6A26A287" w14:textId="09EBFB11" w:rsidR="00B738BC" w:rsidRPr="00330FE9" w:rsidRDefault="009D08D3" w:rsidP="00330FE9">
      <w:pPr>
        <w:pStyle w:val="JuPara"/>
      </w:pPr>
      <w:r>
        <w:rPr>
          <w:noProof/>
        </w:rPr>
        <w:t>12</w:t>
      </w:r>
      <w:r w:rsidR="00B738BC">
        <w:t>.</w:t>
      </w:r>
      <w:r w:rsidR="003A52C7">
        <w:t xml:space="preserve"> </w:t>
      </w:r>
      <w:r w:rsidR="00B738BC">
        <w:t>Postanowieniem z dnia 15 listopada 2010 roku Sąd Okręgowy w</w:t>
      </w:r>
      <w:r w:rsidR="00206D04">
        <w:t> </w:t>
      </w:r>
      <w:r w:rsidR="00B738BC">
        <w:t xml:space="preserve">Tarnowie </w:t>
      </w:r>
      <w:r w:rsidR="006E0CC4">
        <w:t>uwzględnił</w:t>
      </w:r>
      <w:r w:rsidR="00B738BC">
        <w:t xml:space="preserve"> żądania B.K. Zakazał skarżącemu dalszego rozpowszechniania treści wskazanych w </w:t>
      </w:r>
      <w:r w:rsidR="00E345DF">
        <w:t>paragrafie</w:t>
      </w:r>
      <w:r w:rsidR="00B738BC">
        <w:t xml:space="preserve"> 8 i nakazał mu, aby</w:t>
      </w:r>
      <w:r w:rsidR="00206D04">
        <w:t> </w:t>
      </w:r>
      <w:r w:rsidR="00AB49C6">
        <w:t>w</w:t>
      </w:r>
      <w:r w:rsidR="00206D04">
        <w:t> </w:t>
      </w:r>
      <w:r w:rsidR="00B738BC">
        <w:t xml:space="preserve">ciągu 12 godzin od zakończenia postępowania zamieścił na swoim blogu </w:t>
      </w:r>
      <w:r w:rsidR="003C3064">
        <w:t xml:space="preserve">przeprosiny </w:t>
      </w:r>
      <w:r w:rsidR="00B738BC">
        <w:t>w formie następującego oświadczenia:</w:t>
      </w:r>
    </w:p>
    <w:p w14:paraId="6735F566" w14:textId="42A2D15D" w:rsidR="00B738BC" w:rsidRPr="00330FE9" w:rsidRDefault="00B738BC" w:rsidP="00330FE9">
      <w:pPr>
        <w:pStyle w:val="JuQuot"/>
        <w:rPr>
          <w:i/>
        </w:rPr>
      </w:pPr>
      <w:r>
        <w:t>„Przepraszam Pana B.K.</w:t>
      </w:r>
      <w:r w:rsidR="003A52C7">
        <w:t xml:space="preserve"> </w:t>
      </w:r>
      <w:r>
        <w:t>– kandydata na Burmistrza (...) – za rozpowszechnianie na</w:t>
      </w:r>
      <w:r w:rsidR="00206D04">
        <w:t> </w:t>
      </w:r>
      <w:r>
        <w:t>moim blogu pod adresem (...) nieprawdziwych i godzących w jego dobra osobiste informacji o nim i jego rodzinie, a zwłaszcza tych wskazujących, że [przytoczone są</w:t>
      </w:r>
      <w:r w:rsidR="00206D04">
        <w:t> </w:t>
      </w:r>
      <w:r>
        <w:t xml:space="preserve">wpisy wskazane w </w:t>
      </w:r>
      <w:r w:rsidR="00E345DF">
        <w:t>paragrafie</w:t>
      </w:r>
      <w:r>
        <w:t xml:space="preserve"> 8].</w:t>
      </w:r>
      <w:r w:rsidR="003A52C7">
        <w:t>”</w:t>
      </w:r>
    </w:p>
    <w:p w14:paraId="1C143A86" w14:textId="3C373029" w:rsidR="00B738BC" w:rsidRPr="00330FE9" w:rsidRDefault="00B738BC" w:rsidP="00330FE9">
      <w:pPr>
        <w:pStyle w:val="JuPara"/>
      </w:pPr>
      <w:r>
        <w:t>Ponadto Sąd nakazał skarżącemu wpłacenie kwoty 5000 zł</w:t>
      </w:r>
      <w:r w:rsidRPr="00330FE9">
        <w:rPr>
          <w:rStyle w:val="Odwoanieprzypisudolnego"/>
        </w:rPr>
        <w:footnoteReference w:id="2"/>
      </w:r>
      <w:r>
        <w:t xml:space="preserve"> na</w:t>
      </w:r>
      <w:r w:rsidR="00206D04">
        <w:t> </w:t>
      </w:r>
      <w:r>
        <w:t>organizację charytatywną oraz zwrócenie powodowi kosztów postępowania w wysokości 240 zł.</w:t>
      </w:r>
    </w:p>
    <w:p w14:paraId="4F15F2CE" w14:textId="74173418" w:rsidR="00B738BC" w:rsidRPr="00330FE9" w:rsidRDefault="009D08D3" w:rsidP="00330FE9">
      <w:pPr>
        <w:pStyle w:val="JuPara"/>
      </w:pPr>
      <w:r>
        <w:rPr>
          <w:noProof/>
        </w:rPr>
        <w:t>13</w:t>
      </w:r>
      <w:r w:rsidR="00B738BC">
        <w:t>.</w:t>
      </w:r>
      <w:r w:rsidR="003A52C7">
        <w:t xml:space="preserve"> </w:t>
      </w:r>
      <w:r w:rsidR="00B738BC">
        <w:t>W uzasadnieniu postanowienia Sąd podkreślił szczególny charakter postępowania prowadzonego w trybie wyborczym zgodnie z ustawą o</w:t>
      </w:r>
      <w:r w:rsidR="00206D04">
        <w:t> </w:t>
      </w:r>
      <w:r w:rsidR="00B738BC">
        <w:t>wyborach samorządowych, które to postępowanie mogło być wszczęte w</w:t>
      </w:r>
      <w:r w:rsidR="00206D04">
        <w:t> </w:t>
      </w:r>
      <w:r w:rsidR="00B738BC">
        <w:t>przypadku rozpowszechniania materiałów wyborczych o charakterze propagandowym</w:t>
      </w:r>
      <w:r w:rsidR="003C3064">
        <w:t>,</w:t>
      </w:r>
      <w:r w:rsidR="00B738BC">
        <w:t xml:space="preserve"> zawierających nieprawdziwe informacje o kandydacie startującym w wyborach. Sąd wskazał, że celem postępowania było jak</w:t>
      </w:r>
      <w:r w:rsidR="00206D04">
        <w:t> </w:t>
      </w:r>
      <w:r w:rsidR="00B738BC">
        <w:t xml:space="preserve">najszybsze sprostowanie nieprawdziwych i godzących w dobre imię </w:t>
      </w:r>
      <w:r w:rsidR="00B738BC">
        <w:lastRenderedPageBreak/>
        <w:t>kandydata informacji. Działając w duchu przytoczonego wyżej artykułu wspomnianej ustawy, w związku z art.</w:t>
      </w:r>
      <w:r w:rsidR="003A52C7">
        <w:t xml:space="preserve"> </w:t>
      </w:r>
      <w:r w:rsidR="00B738BC">
        <w:t>24 Kodeksu cywilnego („k</w:t>
      </w:r>
      <w:r w:rsidR="00E345DF">
        <w:t>.</w:t>
      </w:r>
      <w:r w:rsidR="00B738BC">
        <w:t>c</w:t>
      </w:r>
      <w:r w:rsidR="00E345DF">
        <w:t>.</w:t>
      </w:r>
      <w:r w:rsidR="00B738BC">
        <w:t>”), Sąd</w:t>
      </w:r>
      <w:r w:rsidR="00206D04">
        <w:t> </w:t>
      </w:r>
      <w:r w:rsidR="00B738BC">
        <w:t>uznał, że wspomniane komentarze stanowiły materiał wyborczy o</w:t>
      </w:r>
      <w:r w:rsidR="00206D04">
        <w:t> </w:t>
      </w:r>
      <w:r w:rsidR="00B738BC">
        <w:t>charakterze propagandowym, a ich treść była nieprawdziwa i szkodziła dobremu imieniu B.K., który był kandydatem w wyborach. Sąd uznał ponadto, że fakt dopuszczenia przez skarżącego do sytuacji, w której tak</w:t>
      </w:r>
      <w:r w:rsidR="00206D04">
        <w:t> </w:t>
      </w:r>
      <w:r w:rsidR="00B738BC">
        <w:t>formułowane wypowiedzi były rozpowszechniane na jego blogu, należy traktować jako popełniony przez niego czyn bezprawny. Sąd stał na</w:t>
      </w:r>
      <w:r w:rsidR="00206D04">
        <w:t> </w:t>
      </w:r>
      <w:r w:rsidR="00B738BC">
        <w:t>stanowisku, że skarżący jako właściciel wspomnianego bloga powinien był czuwać nad zapewnieniem zgodności publikowanych przez internautów komentarzy ze stanem rzeczywistym, zwłaszcza że dysponował w tym zakresie odpowiednimi środkami technicznymi. W tej kwestii Sąd zauważył w szczególności, że skarżący mógł narzucić internautom obowiązek logowania się przed wpisaniem komentarzy. Dodał, że zgodnie z</w:t>
      </w:r>
      <w:r w:rsidR="00206D04">
        <w:t> </w:t>
      </w:r>
      <w:r w:rsidR="00B738BC">
        <w:t>warunkami regulaminu wewnętrznego portalu internetowego, na którym znajdował się blog skarżącego, zainteresowany był odpowiedzialny za treści generowane przez internautów. Sąd uznał ponadto, że środki nałożone na</w:t>
      </w:r>
      <w:r w:rsidR="00206D04">
        <w:t> </w:t>
      </w:r>
      <w:r w:rsidR="00B738BC">
        <w:t>zainteresowanego były proporcjonalne do szkód wyrządzonych powodowi w związku z opublikowaniem wspomnianych komentarzy.</w:t>
      </w:r>
    </w:p>
    <w:p w14:paraId="1810B7A8" w14:textId="261A9CBA" w:rsidR="00B738BC" w:rsidRPr="00330FE9" w:rsidRDefault="009D08D3" w:rsidP="00330FE9">
      <w:pPr>
        <w:pStyle w:val="JuPara"/>
      </w:pPr>
      <w:r>
        <w:rPr>
          <w:noProof/>
        </w:rPr>
        <w:t>14</w:t>
      </w:r>
      <w:r w:rsidR="00B738BC">
        <w:t>.</w:t>
      </w:r>
      <w:r w:rsidR="003A52C7">
        <w:t xml:space="preserve"> </w:t>
      </w:r>
      <w:r w:rsidR="00B738BC">
        <w:t xml:space="preserve">Dnia 16 listopada 2010 roku skarżący odwołał się od tego postanowienia do Sądu Apelacyjnego w Krakowie. Podnosił, że sąd pierwszej instancji nie uwzględnił szczególnego charakteru bloga internetowego jako </w:t>
      </w:r>
      <w:r w:rsidR="00B738BC" w:rsidRPr="00F9043C">
        <w:t>nośnika komunikacji</w:t>
      </w:r>
      <w:r w:rsidR="00B738BC">
        <w:t xml:space="preserve"> i niesłusznie przypisał skarżącemu odpowiedzialność za komentarze publikowane na jego stronie internetowej przez osoby trzecie. Skarżący argumentował, że sąd pierwszej instancji nie</w:t>
      </w:r>
      <w:r w:rsidR="00206D04">
        <w:t> </w:t>
      </w:r>
      <w:r w:rsidR="00B738BC">
        <w:t xml:space="preserve">zastosował wyłączeń przewidzianych w art. 14 ustawy z dnia 18 lipca 2002 roku o świadczeniu usług drogą elektroniczną („ustawa z 2002 roku”, </w:t>
      </w:r>
      <w:r w:rsidR="00010C6D">
        <w:t xml:space="preserve">zob. paragraf </w:t>
      </w:r>
      <w:r w:rsidR="00B738BC">
        <w:t>26), pomimo że on sam usunął sporne komentarze niezwłocznie po otrzymaniu informacji o ich opublikowaniu. Skarżący podniósł ponadto, że zobowiązanie go do odgórnego cenzurowania</w:t>
      </w:r>
      <w:r w:rsidR="00B738BC">
        <w:rPr>
          <w:i/>
        </w:rPr>
        <w:t xml:space="preserve"> </w:t>
      </w:r>
      <w:r w:rsidR="00B738BC">
        <w:t>każdego komentarza zamieszczanego na jego stronie stałoby w sprzeczności z</w:t>
      </w:r>
      <w:r w:rsidR="00206D04">
        <w:t> </w:t>
      </w:r>
      <w:r w:rsidR="00B738BC">
        <w:t>postanowieniami przytaczanego artykułu wyżej wymienionej ustawy. Według niego, rezygnując z zastosowania istotnych postanowień art. 14 ustawy z 2002 roku, sąd pierwszej instancji naruszył względem niego art.</w:t>
      </w:r>
      <w:r w:rsidR="00206D04">
        <w:t> </w:t>
      </w:r>
      <w:r w:rsidR="00B738BC">
        <w:t>24 k</w:t>
      </w:r>
      <w:r w:rsidR="00010C6D">
        <w:t>.</w:t>
      </w:r>
      <w:r w:rsidR="00B738BC">
        <w:t>c.</w:t>
      </w:r>
    </w:p>
    <w:p w14:paraId="5462744F" w14:textId="2C69C916" w:rsidR="00B738BC" w:rsidRPr="00330FE9" w:rsidRDefault="009D08D3" w:rsidP="00330FE9">
      <w:pPr>
        <w:pStyle w:val="JuPara"/>
      </w:pPr>
      <w:r>
        <w:rPr>
          <w:noProof/>
        </w:rPr>
        <w:t>15</w:t>
      </w:r>
      <w:r w:rsidR="00B738BC">
        <w:t>.</w:t>
      </w:r>
      <w:r w:rsidR="003A52C7">
        <w:t xml:space="preserve"> </w:t>
      </w:r>
      <w:r w:rsidR="00B738BC">
        <w:t>Wyrokiem z dnia 17 listopada 2010 roku, przekazanym skarżącemu dnia 18 listopada 2010 roku, Sąd Apelacyjny w Krakowie oddalił apelację skarżącego</w:t>
      </w:r>
      <w:r w:rsidR="006E0CC4">
        <w:t>. W</w:t>
      </w:r>
      <w:r w:rsidR="00B738BC">
        <w:t xml:space="preserve"> uzasadnieni</w:t>
      </w:r>
      <w:r w:rsidR="006E0CC4">
        <w:t>u</w:t>
      </w:r>
      <w:r w:rsidR="00B738BC">
        <w:t xml:space="preserve"> </w:t>
      </w:r>
      <w:r w:rsidR="006E0CC4">
        <w:t>orzeczenia</w:t>
      </w:r>
      <w:r w:rsidR="00B738BC">
        <w:t xml:space="preserve">, Sąd Apelacyjny uznał, że skarżący w rzeczy samej ponosi odpowiedzialność za komentarze publikowane przez osoby trzecie, ponieważ nie uniemożliwił ich rozpowszechnienia. Zalecenie skierowane do internautów, które zamieścił zainteresowany, było </w:t>
      </w:r>
      <w:r w:rsidR="003C3064">
        <w:sym w:font="Symbol" w:char="F02D"/>
      </w:r>
      <w:r w:rsidR="00B738BC">
        <w:t xml:space="preserve"> jak stwierdził Sąd Apelacyjny </w:t>
      </w:r>
      <w:r w:rsidR="003C3064">
        <w:sym w:font="Symbol" w:char="F02D"/>
      </w:r>
      <w:r w:rsidR="00B738BC">
        <w:t xml:space="preserve"> niewystarczające do wyłączenia odpowiedzialności zainteresowanego. Sąd Apelacyjny uznał ponadto, że</w:t>
      </w:r>
      <w:r w:rsidR="00206D04">
        <w:t> </w:t>
      </w:r>
      <w:r w:rsidR="00B738BC">
        <w:t xml:space="preserve">skarżący niesłusznie powołał się na postanowienia art. 14 ustawy </w:t>
      </w:r>
      <w:r w:rsidR="00B738BC">
        <w:lastRenderedPageBreak/>
        <w:t>z</w:t>
      </w:r>
      <w:r w:rsidR="00206D04">
        <w:t> </w:t>
      </w:r>
      <w:r w:rsidR="00B738BC">
        <w:t>2002</w:t>
      </w:r>
      <w:r w:rsidR="00206D04">
        <w:t> </w:t>
      </w:r>
      <w:r w:rsidR="00B738BC">
        <w:t>roku w związku z</w:t>
      </w:r>
      <w:r w:rsidR="00F27DAF">
        <w:t xml:space="preserve"> </w:t>
      </w:r>
      <w:r w:rsidR="00B738BC">
        <w:t xml:space="preserve">postanowieniami </w:t>
      </w:r>
      <w:r w:rsidR="00A95449">
        <w:t>art.</w:t>
      </w:r>
      <w:r w:rsidR="00F27DAF">
        <w:t xml:space="preserve"> </w:t>
      </w:r>
      <w:r w:rsidR="00B738BC">
        <w:t>23 i 24 k</w:t>
      </w:r>
      <w:r w:rsidR="00010C6D">
        <w:t>.</w:t>
      </w:r>
      <w:r w:rsidR="00B738BC">
        <w:t xml:space="preserve">c. W tej kwestii Sąd Apelacyjny zauważył w szczególności, że skarżący mógłby uchylić się od odpowiedzialności za </w:t>
      </w:r>
      <w:r w:rsidR="00AB49C6">
        <w:t>bezprawne</w:t>
      </w:r>
      <w:r w:rsidR="00B738BC">
        <w:t xml:space="preserve"> treści generowane przez osoby trzecie tylko wtedy, gdyby w sposób skuteczny zablokował dostęp do tych treści natychmiast po uzyskaniu informacji o ich nielegalności. W omawian</w:t>
      </w:r>
      <w:r w:rsidR="00E61D68">
        <w:t>ej sprawie</w:t>
      </w:r>
      <w:r w:rsidR="00B738BC">
        <w:t xml:space="preserve"> tak jednak nie było.</w:t>
      </w:r>
    </w:p>
    <w:p w14:paraId="6014D117" w14:textId="71542881" w:rsidR="00B738BC" w:rsidRPr="00330FE9" w:rsidRDefault="00B738BC" w:rsidP="00330FE9">
      <w:pPr>
        <w:pStyle w:val="JuHA"/>
      </w:pPr>
      <w:r>
        <w:t>Postępowanie mające na celu przestrzeganie prawa B.K. do</w:t>
      </w:r>
      <w:r w:rsidR="00927CF3">
        <w:t> </w:t>
      </w:r>
      <w:r>
        <w:t>ochrony dóbr osobistych</w:t>
      </w:r>
    </w:p>
    <w:p w14:paraId="19A649C2" w14:textId="580FBE2B" w:rsidR="00B738BC" w:rsidRPr="00330FE9" w:rsidRDefault="009D08D3" w:rsidP="00330FE9">
      <w:pPr>
        <w:pStyle w:val="JuPara"/>
      </w:pPr>
      <w:r>
        <w:rPr>
          <w:noProof/>
        </w:rPr>
        <w:t>16</w:t>
      </w:r>
      <w:r w:rsidR="00B738BC">
        <w:t>.</w:t>
      </w:r>
      <w:r w:rsidR="003A52C7">
        <w:t xml:space="preserve"> </w:t>
      </w:r>
      <w:r w:rsidR="00B738BC">
        <w:t>Dnia 19 kwietnia 2011 roku, po przegranej w wyborach, B.K.</w:t>
      </w:r>
      <w:r w:rsidR="00206D04">
        <w:t> </w:t>
      </w:r>
      <w:r w:rsidR="00B738BC">
        <w:t xml:space="preserve">wszczął przeciwko skarżącemu powództwo o ochronę dóbr osobistych na podstawie </w:t>
      </w:r>
      <w:r w:rsidR="00010C6D">
        <w:t xml:space="preserve">art. </w:t>
      </w:r>
      <w:r w:rsidR="00B738BC">
        <w:t>23 i 24 k</w:t>
      </w:r>
      <w:r w:rsidR="00010C6D">
        <w:t>.</w:t>
      </w:r>
      <w:r w:rsidR="00B738BC">
        <w:t>c</w:t>
      </w:r>
      <w:r w:rsidR="00010C6D">
        <w:t>.</w:t>
      </w:r>
      <w:r w:rsidR="00B738BC">
        <w:t xml:space="preserve"> (</w:t>
      </w:r>
      <w:r w:rsidR="00010C6D">
        <w:t>zob. paragrafy</w:t>
      </w:r>
      <w:r w:rsidR="00F27DAF">
        <w:t xml:space="preserve"> </w:t>
      </w:r>
      <w:r w:rsidR="00B738BC">
        <w:t>24</w:t>
      </w:r>
      <w:r w:rsidR="003E4639">
        <w:rPr>
          <w:rFonts w:cstheme="minorHAnsi"/>
        </w:rPr>
        <w:t>–</w:t>
      </w:r>
      <w:r w:rsidR="00B738BC">
        <w:t>25). Podstawą skargi wniesionej przez B.K. były fakty</w:t>
      </w:r>
      <w:r w:rsidR="003E4639">
        <w:t xml:space="preserve"> identyczne z tymi</w:t>
      </w:r>
      <w:r w:rsidR="00B738BC">
        <w:t>, które zostały już wcześniej zbadane przez sądy krajowe w ramach postępowania opisanego w</w:t>
      </w:r>
      <w:r w:rsidR="00206D04">
        <w:t> </w:t>
      </w:r>
      <w:r w:rsidR="00010C6D">
        <w:t>paragrafach</w:t>
      </w:r>
      <w:r w:rsidR="00F9043C">
        <w:t xml:space="preserve"> </w:t>
      </w:r>
      <w:r w:rsidR="00B738BC">
        <w:t>11</w:t>
      </w:r>
      <w:r w:rsidR="003E4639">
        <w:rPr>
          <w:rFonts w:cstheme="minorHAnsi"/>
        </w:rPr>
        <w:t>–</w:t>
      </w:r>
      <w:r w:rsidR="00B738BC">
        <w:t>15.</w:t>
      </w:r>
    </w:p>
    <w:p w14:paraId="1B684842" w14:textId="54FEA0DD" w:rsidR="00B738BC" w:rsidRPr="00330FE9" w:rsidRDefault="009D08D3" w:rsidP="00330FE9">
      <w:pPr>
        <w:pStyle w:val="JuPara"/>
      </w:pPr>
      <w:r w:rsidRPr="00526D50">
        <w:rPr>
          <w:noProof/>
        </w:rPr>
        <w:t>17</w:t>
      </w:r>
      <w:r w:rsidR="00B738BC" w:rsidRPr="00526D50">
        <w:t>.</w:t>
      </w:r>
      <w:r w:rsidR="003A52C7" w:rsidRPr="00526D50">
        <w:t xml:space="preserve"> </w:t>
      </w:r>
      <w:r w:rsidR="00B738BC" w:rsidRPr="00526D50">
        <w:t>Postanowieniem z dnia 3 października 2011 roku Sąd Okręgowy w</w:t>
      </w:r>
      <w:r w:rsidR="00206D04">
        <w:t> </w:t>
      </w:r>
      <w:r w:rsidR="00B738BC">
        <w:t xml:space="preserve">Tarnowie </w:t>
      </w:r>
      <w:r w:rsidR="006E0CC4">
        <w:t>uwzględnił</w:t>
      </w:r>
      <w:r w:rsidR="00B738BC">
        <w:t xml:space="preserve"> </w:t>
      </w:r>
      <w:r w:rsidR="006E0CC4">
        <w:t>roszczenie</w:t>
      </w:r>
      <w:r w:rsidR="00B738BC">
        <w:t>, nakazując skarżącemu przeproszenie B.K. w formie ogłoszenia prasowego oraz zasądził od niego zapłatę na</w:t>
      </w:r>
      <w:r w:rsidR="00206D04">
        <w:t> </w:t>
      </w:r>
      <w:r w:rsidR="00B738BC">
        <w:t>rzecz B.K. kwoty 1000 zł z tytułu odszkodowania.</w:t>
      </w:r>
    </w:p>
    <w:p w14:paraId="0AA8C8F9" w14:textId="476E29CF" w:rsidR="007561CD" w:rsidRPr="00330FE9" w:rsidRDefault="009D08D3" w:rsidP="00330FE9">
      <w:pPr>
        <w:pStyle w:val="JuPara"/>
      </w:pPr>
      <w:r>
        <w:rPr>
          <w:noProof/>
        </w:rPr>
        <w:t>18</w:t>
      </w:r>
      <w:r w:rsidR="00B738BC">
        <w:t>.</w:t>
      </w:r>
      <w:r w:rsidR="003A52C7">
        <w:t xml:space="preserve"> </w:t>
      </w:r>
      <w:r w:rsidR="00B738BC">
        <w:t>Skarżący odwołał się od tego postanowienia.</w:t>
      </w:r>
    </w:p>
    <w:p w14:paraId="0832A664" w14:textId="00079D6A" w:rsidR="00B738BC" w:rsidRPr="00330FE9" w:rsidRDefault="009D08D3" w:rsidP="00330FE9">
      <w:pPr>
        <w:pStyle w:val="JuPara"/>
      </w:pPr>
      <w:r>
        <w:rPr>
          <w:noProof/>
        </w:rPr>
        <w:t>19</w:t>
      </w:r>
      <w:r w:rsidR="007561CD">
        <w:t>.</w:t>
      </w:r>
      <w:r w:rsidR="003A52C7">
        <w:t xml:space="preserve"> </w:t>
      </w:r>
      <w:r w:rsidR="007561CD">
        <w:t xml:space="preserve">Wyrokiem z dnia 19 stycznia 2012 roku Sąd Apelacyjny w Krakowie </w:t>
      </w:r>
      <w:r w:rsidR="00186035">
        <w:t>uchylił</w:t>
      </w:r>
      <w:r w:rsidR="007561CD">
        <w:t xml:space="preserve"> zaskarżone </w:t>
      </w:r>
      <w:r w:rsidR="00192A4E">
        <w:t>orzeczenie</w:t>
      </w:r>
      <w:r w:rsidR="007561CD">
        <w:t xml:space="preserve"> i od</w:t>
      </w:r>
      <w:r w:rsidR="00192A4E">
        <w:t>dalił</w:t>
      </w:r>
      <w:r w:rsidR="007561CD">
        <w:t xml:space="preserve"> </w:t>
      </w:r>
      <w:r w:rsidR="00192A4E">
        <w:t>roszczenie</w:t>
      </w:r>
      <w:r w:rsidR="007561CD">
        <w:t xml:space="preserve"> B.K., stwierdzając, że</w:t>
      </w:r>
      <w:r w:rsidR="00206D04">
        <w:t> </w:t>
      </w:r>
      <w:r w:rsidR="000E0CB5">
        <w:t>stanowisko</w:t>
      </w:r>
      <w:r w:rsidR="007561CD">
        <w:t xml:space="preserve"> skarżącego</w:t>
      </w:r>
      <w:r w:rsidR="000E0CB5">
        <w:t>,</w:t>
      </w:r>
      <w:r w:rsidR="007561CD">
        <w:t xml:space="preserve"> dotyczące kierowanego </w:t>
      </w:r>
      <w:r w:rsidR="000E0CB5">
        <w:t>przeciwko niemu</w:t>
      </w:r>
      <w:r w:rsidR="007561CD">
        <w:t xml:space="preserve"> zarzutu</w:t>
      </w:r>
      <w:r w:rsidR="00186035">
        <w:t xml:space="preserve"> </w:t>
      </w:r>
      <w:r w:rsidR="007561CD">
        <w:t>naruszenia art. 24 k</w:t>
      </w:r>
      <w:r w:rsidR="00010C6D">
        <w:t>.</w:t>
      </w:r>
      <w:r w:rsidR="007561CD">
        <w:t>c</w:t>
      </w:r>
      <w:r w:rsidR="00010C6D">
        <w:t>.</w:t>
      </w:r>
      <w:r w:rsidR="007561CD">
        <w:t xml:space="preserve"> w związku z </w:t>
      </w:r>
      <w:r w:rsidR="00010C6D">
        <w:t xml:space="preserve">art. </w:t>
      </w:r>
      <w:r w:rsidR="007561CD">
        <w:t>14 i 15 ustawy z 2002 roku</w:t>
      </w:r>
      <w:r w:rsidR="000E0CB5">
        <w:t>,</w:t>
      </w:r>
      <w:r w:rsidR="007561CD">
        <w:t xml:space="preserve"> był</w:t>
      </w:r>
      <w:r w:rsidR="000E0CB5">
        <w:t>o</w:t>
      </w:r>
      <w:r w:rsidR="007561CD">
        <w:t xml:space="preserve"> uzasadnione. Zauważając, że nie ma żadnych wątpliwości co do tego, iż</w:t>
      </w:r>
      <w:r w:rsidR="00206D04">
        <w:t> </w:t>
      </w:r>
      <w:r w:rsidR="007561CD">
        <w:t>sporne komentarze zawierały treści nieprawdziwe i naruszały dobra osobiste B.K., ani co do tego, że skarżący nie był źródłem tych stwierdzeń, Sąd Apelacyjny uznał, że w tych okolicznościach istotne jest ustalenie, czy i</w:t>
      </w:r>
      <w:r w:rsidR="00206D04">
        <w:t> </w:t>
      </w:r>
      <w:r w:rsidR="007561CD">
        <w:t>w jakim stopniu sam zainteresowany może odpowiadać za wyrządzoną szkodę polegającą na naruszeniu dóbr osobistych B.K. w związku z</w:t>
      </w:r>
      <w:r w:rsidR="00206D04">
        <w:t> </w:t>
      </w:r>
      <w:r w:rsidR="007561CD">
        <w:t>opublikowaniem wspomnianych komentarzy. Sąd Apelacyjny zauważył, że chcąc ocenić ewentualną nielegalność czynów zarzucanych skarżącemu</w:t>
      </w:r>
      <w:r w:rsidR="003C3064">
        <w:t>,</w:t>
      </w:r>
      <w:r w:rsidR="007561CD">
        <w:t xml:space="preserve"> sąd niższej instancji powinien był wziąć pod uwagę postanowienia ustawy z</w:t>
      </w:r>
      <w:r w:rsidR="00206D04">
        <w:t> </w:t>
      </w:r>
      <w:r w:rsidR="007561CD">
        <w:t>2002 roku. Zdaniem Sądu, skarżącego jako udostępniającego blog internetowy należało traktować jako usługodawcę świadczącego usługi hostingu (</w:t>
      </w:r>
      <w:r w:rsidR="002D1FD9">
        <w:t>„</w:t>
      </w:r>
      <w:r w:rsidR="007561CD">
        <w:rPr>
          <w:i/>
        </w:rPr>
        <w:t>hosting</w:t>
      </w:r>
      <w:r w:rsidR="007561CD">
        <w:t>”), o</w:t>
      </w:r>
      <w:r w:rsidR="00F27DAF">
        <w:t xml:space="preserve"> </w:t>
      </w:r>
      <w:r w:rsidR="007561CD">
        <w:t>czym jest mowa we wspomnianej ustawie.</w:t>
      </w:r>
    </w:p>
    <w:p w14:paraId="1A260B12" w14:textId="3F2EA6DA" w:rsidR="00B738BC" w:rsidRPr="00330FE9" w:rsidRDefault="009D08D3" w:rsidP="00330FE9">
      <w:pPr>
        <w:pStyle w:val="JuPara"/>
      </w:pPr>
      <w:r>
        <w:rPr>
          <w:noProof/>
        </w:rPr>
        <w:t>20</w:t>
      </w:r>
      <w:r w:rsidR="00B738BC">
        <w:t>.</w:t>
      </w:r>
      <w:r w:rsidR="003A52C7">
        <w:t xml:space="preserve"> </w:t>
      </w:r>
      <w:r w:rsidR="00B738BC">
        <w:t>Sąd Apelacyjny uznał, że wymogi wolności wyrażania opinii oraz specyfika usług hostingu internetowego wykluczają wszelką formę prewencyjnej kontroli hostowanych treści przez usługodawcę hostingu, w</w:t>
      </w:r>
      <w:r w:rsidR="00206D04">
        <w:t> </w:t>
      </w:r>
      <w:r w:rsidR="00B738BC">
        <w:t xml:space="preserve">związku z czym art. 15 ustawy z 2002 roku nie zawiera żadnych zobowiązań w tym zakresie. Sąd stwierdził, że nawet w przypadku zamieszczenia na stronie internetowej treści potencjalnie naruszających dobra osobiste osoby trzeciej, jakakolwiek kontrola prewencyjna takich </w:t>
      </w:r>
      <w:r w:rsidR="00B738BC">
        <w:lastRenderedPageBreak/>
        <w:t>treści przez udostępniającego stronę stałaby w sprzeczności z wolnością wyrażania opinii.</w:t>
      </w:r>
    </w:p>
    <w:p w14:paraId="4083629E" w14:textId="21B4E8E4" w:rsidR="00B738BC" w:rsidRPr="00330FE9" w:rsidRDefault="009D08D3" w:rsidP="00330FE9">
      <w:pPr>
        <w:pStyle w:val="JuPara"/>
      </w:pPr>
      <w:r>
        <w:rPr>
          <w:noProof/>
        </w:rPr>
        <w:t>21</w:t>
      </w:r>
      <w:r w:rsidR="00B738BC">
        <w:t>.</w:t>
      </w:r>
      <w:r w:rsidR="003A52C7">
        <w:t xml:space="preserve"> </w:t>
      </w:r>
      <w:r w:rsidR="00B738BC">
        <w:t xml:space="preserve">Sąd Apelacyjny zauważył, że pytanie o </w:t>
      </w:r>
      <w:r w:rsidR="003E4639">
        <w:t>konkretne warunki, od</w:t>
      </w:r>
      <w:r w:rsidR="00206D04">
        <w:t> </w:t>
      </w:r>
      <w:r w:rsidR="003E4639">
        <w:t xml:space="preserve">których spełnienia </w:t>
      </w:r>
      <w:r w:rsidR="00B738BC">
        <w:t>skarżący</w:t>
      </w:r>
      <w:r w:rsidR="003E4639">
        <w:t xml:space="preserve"> uzależniał</w:t>
      </w:r>
      <w:r w:rsidR="00B738BC">
        <w:t xml:space="preserve"> możliwość publikowania przez internautów komentarzy na </w:t>
      </w:r>
      <w:r w:rsidR="002D1FD9">
        <w:t>swojej</w:t>
      </w:r>
      <w:r w:rsidR="00B738BC">
        <w:t xml:space="preserve"> stronie internetowej, było pozbawione jakiegokolwiek znaczenia dla wyniku niniejszej sprawy. Według Sądu przypisywanie zainteresowanemu odpowiedzialności za komentarze publikowane przez osobę trzecią, jako konsekwencji domniemanego braku prewencyjnej kontroli treści oraz braku działań umożliwiających identyfikację autora takich komentarzy, było nieuzasadnione, ponieważ odpowiedzialność udostępniającego stronę internetową za treści generowane przez osoby trzecie nie zależy od możliwości ustalenia tożsamości tych osób. Sąd Apelacyjny uznał, że dopuszczenie przez skarżącego do sytuacji, w której internauci pozostawiali komentarze anonimowo, w żadnym razie nie może być traktowane jako popełnienie przez niego czynu bezprawnego.</w:t>
      </w:r>
    </w:p>
    <w:p w14:paraId="0B6B2044" w14:textId="2DC0AA62" w:rsidR="00B738BC" w:rsidRPr="00330FE9" w:rsidRDefault="009D08D3" w:rsidP="00330FE9">
      <w:pPr>
        <w:pStyle w:val="JuPara"/>
      </w:pPr>
      <w:r>
        <w:rPr>
          <w:noProof/>
        </w:rPr>
        <w:t>22</w:t>
      </w:r>
      <w:r w:rsidR="00B738BC">
        <w:t>.</w:t>
      </w:r>
      <w:r w:rsidR="003A52C7">
        <w:t xml:space="preserve"> </w:t>
      </w:r>
      <w:r w:rsidR="00B738BC">
        <w:t>Sąd Apelacyjny uznał, że skarżący mógłby ponosić odpowiedzialność za wspomniane komentarze tylko wówczas, gdyby zbagatelizował obowiązek ich bezzwłocznego usuwania</w:t>
      </w:r>
      <w:r w:rsidR="00F36970">
        <w:t xml:space="preserve"> wynikający z</w:t>
      </w:r>
      <w:r w:rsidR="00206D04">
        <w:t> </w:t>
      </w:r>
      <w:r w:rsidR="00B738BC">
        <w:t>art.</w:t>
      </w:r>
      <w:r w:rsidR="00206D04">
        <w:t> </w:t>
      </w:r>
      <w:r w:rsidR="00B738BC">
        <w:t xml:space="preserve">15 ustawy z 2002 roku. Tymczasem, zainteresowany usunął wspomniane komentarze niezwłocznie po otrzymaniu informacji o ich opublikowaniu na </w:t>
      </w:r>
      <w:r w:rsidR="003C3064">
        <w:t>swojej</w:t>
      </w:r>
      <w:r w:rsidR="00B738BC">
        <w:t xml:space="preserve"> stronie internetowej. Tym samym nie popełnił żadnego czynu bezprawnego, który naruszałby dobra osobiste B.K.</w:t>
      </w:r>
    </w:p>
    <w:p w14:paraId="27C19484" w14:textId="53553C3B" w:rsidR="00B738BC" w:rsidRPr="00330FE9" w:rsidRDefault="00B738BC" w:rsidP="00330FE9">
      <w:pPr>
        <w:pStyle w:val="JuHIRoman"/>
      </w:pPr>
      <w:r>
        <w:t xml:space="preserve">Odpowiednie PRAWO </w:t>
      </w:r>
      <w:r w:rsidR="005A63E6">
        <w:t xml:space="preserve">KRAJOWE </w:t>
      </w:r>
      <w:r>
        <w:t xml:space="preserve">I PRAKTYKA </w:t>
      </w:r>
    </w:p>
    <w:p w14:paraId="486B4E31" w14:textId="07F479FB" w:rsidR="00B738BC" w:rsidRPr="00330FE9" w:rsidRDefault="00B738BC" w:rsidP="00330FE9">
      <w:pPr>
        <w:pStyle w:val="JuHA"/>
      </w:pPr>
      <w:r>
        <w:t>Ustawa o wyborach samorządowych w brzmieniu obowiązującym w c</w:t>
      </w:r>
      <w:r w:rsidR="005E77B5">
        <w:t>zasie</w:t>
      </w:r>
      <w:r>
        <w:t xml:space="preserve"> omawianych zdarzeń </w:t>
      </w:r>
    </w:p>
    <w:p w14:paraId="57A37728" w14:textId="7766950B" w:rsidR="00B738BC" w:rsidRPr="00330FE9" w:rsidRDefault="009D08D3" w:rsidP="00330FE9">
      <w:pPr>
        <w:pStyle w:val="JuPara"/>
      </w:pPr>
      <w:r>
        <w:rPr>
          <w:noProof/>
        </w:rPr>
        <w:t>23</w:t>
      </w:r>
      <w:r w:rsidR="00B738BC">
        <w:t>.</w:t>
      </w:r>
      <w:r w:rsidR="003A52C7">
        <w:t xml:space="preserve"> </w:t>
      </w:r>
      <w:r w:rsidR="00B738BC">
        <w:t>Art. 72 tej ustawy we fragmentach mających znaczenie w</w:t>
      </w:r>
      <w:r w:rsidR="00F27DAF">
        <w:t xml:space="preserve"> </w:t>
      </w:r>
      <w:r w:rsidR="00B738BC">
        <w:t>omawian</w:t>
      </w:r>
      <w:r w:rsidR="00E61D68">
        <w:t>ej sprawie</w:t>
      </w:r>
      <w:r w:rsidR="00B738BC">
        <w:t xml:space="preserve"> ma brzmienie następujące:</w:t>
      </w:r>
    </w:p>
    <w:p w14:paraId="351F0CB4" w14:textId="3570BA9D" w:rsidR="00B738BC" w:rsidRPr="00330FE9" w:rsidRDefault="00B738BC" w:rsidP="00330FE9">
      <w:pPr>
        <w:pStyle w:val="JuQuot"/>
        <w:rPr>
          <w:b/>
        </w:rPr>
      </w:pPr>
      <w:r>
        <w:t>„§ 1.</w:t>
      </w:r>
      <w:r w:rsidR="003A52C7">
        <w:t xml:space="preserve"> </w:t>
      </w:r>
      <w:r>
        <w:t>Jeżeli [...] plakaty, ulotki, hasła i wypowiedzi lub inne formy prowadzonej w</w:t>
      </w:r>
      <w:r w:rsidR="00206D04">
        <w:t> </w:t>
      </w:r>
      <w:r>
        <w:t>okresie kampanii wyborczej agitacji zawierają informacje nieprawdziwe, kandydat na radnego lub pełnomocnik wyborczy zainteresowanego komitetu wyborczego ma</w:t>
      </w:r>
      <w:r w:rsidR="00206D04">
        <w:t> </w:t>
      </w:r>
      <w:r>
        <w:t>prawo wnieść do sądu okręgowego wniosek o wydanie orzeczenia:</w:t>
      </w:r>
    </w:p>
    <w:p w14:paraId="033720B3" w14:textId="5A23FB44" w:rsidR="00B738BC" w:rsidRPr="00330FE9" w:rsidRDefault="00B738BC" w:rsidP="00330FE9">
      <w:pPr>
        <w:pStyle w:val="JuQuot"/>
      </w:pPr>
      <w:r>
        <w:t>1.</w:t>
      </w:r>
      <w:r w:rsidR="003A52C7">
        <w:t xml:space="preserve"> </w:t>
      </w:r>
      <w:r>
        <w:t>zakazu rozpowszechniania takich informacji [przez pozwanego];</w:t>
      </w:r>
    </w:p>
    <w:p w14:paraId="74EE1531" w14:textId="7B09A9F7" w:rsidR="00B738BC" w:rsidRPr="00330FE9" w:rsidRDefault="00B738BC" w:rsidP="00330FE9">
      <w:pPr>
        <w:pStyle w:val="JuQuot"/>
      </w:pPr>
      <w:r>
        <w:t>2.</w:t>
      </w:r>
      <w:r w:rsidR="003A52C7">
        <w:t xml:space="preserve"> </w:t>
      </w:r>
      <w:r>
        <w:t>przepadku materiałów wyborczych zawierających takie informacje;</w:t>
      </w:r>
    </w:p>
    <w:p w14:paraId="6CAFF269" w14:textId="3A709E49" w:rsidR="00B738BC" w:rsidRPr="00330FE9" w:rsidRDefault="00B738BC" w:rsidP="00330FE9">
      <w:pPr>
        <w:pStyle w:val="JuQuot"/>
      </w:pPr>
      <w:r>
        <w:t>3.</w:t>
      </w:r>
      <w:r w:rsidR="003A52C7">
        <w:t xml:space="preserve"> </w:t>
      </w:r>
      <w:r>
        <w:t>nakazania sprostowania takich informacji;</w:t>
      </w:r>
    </w:p>
    <w:p w14:paraId="34F38F6B" w14:textId="607D113E" w:rsidR="00B738BC" w:rsidRPr="00330FE9" w:rsidRDefault="00B738BC" w:rsidP="00330FE9">
      <w:pPr>
        <w:pStyle w:val="JuQuot"/>
      </w:pPr>
      <w:r>
        <w:t>4.</w:t>
      </w:r>
      <w:r w:rsidR="003A52C7">
        <w:t xml:space="preserve"> </w:t>
      </w:r>
      <w:r>
        <w:t>nakazania publikacji odpowiedzi na stwierdzenia naruszające dobra osobiste;</w:t>
      </w:r>
    </w:p>
    <w:p w14:paraId="7ED1DDA6" w14:textId="0622A196" w:rsidR="00B738BC" w:rsidRPr="00330FE9" w:rsidRDefault="00B738BC" w:rsidP="00330FE9">
      <w:pPr>
        <w:pStyle w:val="JuQuot"/>
      </w:pPr>
      <w:r>
        <w:t>5.</w:t>
      </w:r>
      <w:r w:rsidR="003A52C7">
        <w:t xml:space="preserve"> </w:t>
      </w:r>
      <w:r>
        <w:t>nakazania przeproszenia osoby, której dobra osobiste zostały naruszone;</w:t>
      </w:r>
    </w:p>
    <w:p w14:paraId="54312B14" w14:textId="4E4BFD28" w:rsidR="00B738BC" w:rsidRDefault="00B738BC" w:rsidP="00330FE9">
      <w:pPr>
        <w:pStyle w:val="JuQuot"/>
      </w:pPr>
      <w:r>
        <w:t>6.</w:t>
      </w:r>
      <w:r w:rsidR="003A52C7">
        <w:t xml:space="preserve"> </w:t>
      </w:r>
      <w:r>
        <w:t>nakazania uczestnikowi postępowania wpłacenia kwoty do 10</w:t>
      </w:r>
      <w:r w:rsidR="00F27DAF">
        <w:t xml:space="preserve"> </w:t>
      </w:r>
      <w:r>
        <w:t>000 złotych na</w:t>
      </w:r>
      <w:r w:rsidR="00206D04">
        <w:t> </w:t>
      </w:r>
      <w:r>
        <w:t>rzecz instytucji charytatywnej.</w:t>
      </w:r>
    </w:p>
    <w:p w14:paraId="42783215" w14:textId="36DB4B4C" w:rsidR="00076D38" w:rsidRPr="00330FE9" w:rsidRDefault="00076D38" w:rsidP="00330FE9">
      <w:pPr>
        <w:pStyle w:val="JuQuot"/>
      </w:pPr>
      <w:r>
        <w:t>(..)”.</w:t>
      </w:r>
    </w:p>
    <w:p w14:paraId="49D7CDA6" w14:textId="77777777" w:rsidR="00B738BC" w:rsidRPr="00330FE9" w:rsidRDefault="00B738BC" w:rsidP="00330FE9">
      <w:pPr>
        <w:pStyle w:val="JuHA"/>
      </w:pPr>
      <w:r>
        <w:lastRenderedPageBreak/>
        <w:t>Kodeks cywilny</w:t>
      </w:r>
    </w:p>
    <w:p w14:paraId="76F92F8B" w14:textId="29F7152F" w:rsidR="00B738BC" w:rsidRPr="00330FE9" w:rsidRDefault="009D08D3" w:rsidP="00330FE9">
      <w:pPr>
        <w:pStyle w:val="JuPara"/>
      </w:pPr>
      <w:r>
        <w:rPr>
          <w:noProof/>
        </w:rPr>
        <w:t>24</w:t>
      </w:r>
      <w:r w:rsidR="00B738BC">
        <w:t>.</w:t>
      </w:r>
      <w:r w:rsidR="003A52C7">
        <w:t xml:space="preserve"> </w:t>
      </w:r>
      <w:r w:rsidR="00B738BC">
        <w:t>Art. 23 Kodeksu cywilnego zawiera nie</w:t>
      </w:r>
      <w:r w:rsidR="00076D38">
        <w:t>wyczerpującą</w:t>
      </w:r>
      <w:r w:rsidR="00B738BC">
        <w:t xml:space="preserve"> listę praw zwanych „dobrami osobistymi”. Artykuł ten ma brzmienie następujące:</w:t>
      </w:r>
    </w:p>
    <w:p w14:paraId="50A1EA52" w14:textId="645257CD" w:rsidR="00B738BC" w:rsidRPr="00330FE9" w:rsidRDefault="00B738BC" w:rsidP="00330FE9">
      <w:pPr>
        <w:pStyle w:val="JuQuot"/>
      </w:pPr>
      <w:r>
        <w:t>„Dobra osobiste człowieka, jak w szczególności zdrowie, wolność, cześć, swoboda sumienia, nazwisko lub pseudonim, wizerunek, tajemnica korespondencji, nietykalność mieszkania, twórczość naukowa, artystyczna, wynalazcza i</w:t>
      </w:r>
      <w:r w:rsidR="00206D04">
        <w:t> </w:t>
      </w:r>
      <w:r>
        <w:t>racjonalizatorska, pozostają pod ochroną prawa cywilnego niezależnie od ochrony przewidzianej w innych przepisach</w:t>
      </w:r>
      <w:r w:rsidR="003A52C7">
        <w:t>”</w:t>
      </w:r>
      <w:r w:rsidR="00F36970">
        <w:t>.</w:t>
      </w:r>
    </w:p>
    <w:p w14:paraId="6EA72B52" w14:textId="06F486AB" w:rsidR="00B738BC" w:rsidRPr="00330FE9" w:rsidRDefault="009D08D3" w:rsidP="00330FE9">
      <w:pPr>
        <w:pStyle w:val="JuPara"/>
      </w:pPr>
      <w:r>
        <w:rPr>
          <w:noProof/>
        </w:rPr>
        <w:t>25</w:t>
      </w:r>
      <w:r w:rsidR="00B738BC">
        <w:t>.</w:t>
      </w:r>
      <w:r w:rsidR="003A52C7">
        <w:t xml:space="preserve"> </w:t>
      </w:r>
      <w:r w:rsidR="00B738BC">
        <w:t xml:space="preserve">Art. 24 Kodeksu cywilnego </w:t>
      </w:r>
      <w:r w:rsidR="00F36970">
        <w:t xml:space="preserve">przewiduje </w:t>
      </w:r>
      <w:r w:rsidR="00B738BC">
        <w:t>środki służące naprawieniu szkód wynikających z naruszenia dóbr osobistych. Na mocy tego artykułu ten, czyje dobro osobiste zostaje zagrożone cudzym działaniem, może żądać zaniechania tego działania, chyba że nie jest ono bezprawne. W razie dokonanego naruszenia poszkodowany może żądać, ażeby osoba, która dopuściła się naruszenia, złożyła oświadczenie odpowiedniej treści i</w:t>
      </w:r>
      <w:r w:rsidR="00206D04">
        <w:t> </w:t>
      </w:r>
      <w:r w:rsidR="00B738BC">
        <w:t>w</w:t>
      </w:r>
      <w:r w:rsidR="00206D04">
        <w:t> </w:t>
      </w:r>
      <w:r w:rsidR="00B738BC">
        <w:t>odpowiedniej formie</w:t>
      </w:r>
      <w:r w:rsidR="0034037C">
        <w:t>,</w:t>
      </w:r>
      <w:r w:rsidR="00B738BC">
        <w:t xml:space="preserve"> lub może żądać od niej zadośćuczynienia pieniężnego. Jeżeli wskutek naruszenia dobra osobistego została wyrządzona szkoda majątkowa, poszkodowany może żądać odszkodowania.</w:t>
      </w:r>
    </w:p>
    <w:p w14:paraId="1E35D955" w14:textId="77777777" w:rsidR="00B738BC" w:rsidRPr="00330FE9" w:rsidRDefault="00B738BC" w:rsidP="00330FE9">
      <w:pPr>
        <w:pStyle w:val="JuHA"/>
      </w:pPr>
      <w:r>
        <w:t>Ustawa z dnia 18 lipca 2002 roku</w:t>
      </w:r>
    </w:p>
    <w:p w14:paraId="12DF6521" w14:textId="1D059682" w:rsidR="00B738BC" w:rsidRPr="00330FE9" w:rsidRDefault="009D08D3" w:rsidP="00330FE9">
      <w:pPr>
        <w:pStyle w:val="JuPara"/>
      </w:pPr>
      <w:r>
        <w:rPr>
          <w:noProof/>
        </w:rPr>
        <w:t>26</w:t>
      </w:r>
      <w:r w:rsidR="00B738BC">
        <w:t>.</w:t>
      </w:r>
      <w:r w:rsidR="003A52C7">
        <w:t xml:space="preserve"> </w:t>
      </w:r>
      <w:r w:rsidR="00B738BC">
        <w:t>Postanowienia tej ustawy, właściwe w omawian</w:t>
      </w:r>
      <w:r w:rsidR="0034037C">
        <w:t>ej sprawie</w:t>
      </w:r>
      <w:r w:rsidR="00B738BC">
        <w:t>, mają brzmienie następujące:</w:t>
      </w:r>
    </w:p>
    <w:p w14:paraId="1F374EE6" w14:textId="787F4EA9" w:rsidR="00B738BC" w:rsidRPr="00330FE9" w:rsidRDefault="003A52C7" w:rsidP="005E77B5">
      <w:pPr>
        <w:pStyle w:val="JuHArticle"/>
        <w:spacing w:before="120" w:beforeAutospacing="0"/>
      </w:pPr>
      <w:r>
        <w:t>A</w:t>
      </w:r>
      <w:r w:rsidR="00B738BC">
        <w:t>rt. 14</w:t>
      </w:r>
    </w:p>
    <w:p w14:paraId="27DA91F7" w14:textId="77777777" w:rsidR="00B738BC" w:rsidRPr="00330FE9" w:rsidRDefault="00B738BC" w:rsidP="00330FE9">
      <w:pPr>
        <w:pStyle w:val="JuQuot"/>
      </w:pPr>
      <w:r>
        <w:t>„1. Nie ponosi odpowiedzialności za przechowywane dane ten, kto udostępniając zasoby systemu teleinformatycznego w celu przechowywania danych przez usługobiorcę nie wie o bezprawnym charakterze danych lub związanej z nimi działalności, a w razie otrzymania urzędowego zawiadomienia lub uzyskania wiarygodnej wiadomości o bezprawnym charakterze danych lub związanej z nimi działalności niezwłocznie uniemożliwi dostęp do tych danych.</w:t>
      </w:r>
    </w:p>
    <w:p w14:paraId="071E845B" w14:textId="4DA785FB" w:rsidR="00B738BC" w:rsidRPr="00330FE9" w:rsidRDefault="00B738BC" w:rsidP="00330FE9">
      <w:pPr>
        <w:pStyle w:val="JuQuot"/>
      </w:pPr>
      <w:r>
        <w:t>2. Usługodawca, który otrzymał urzędowe zawiadomienie o bezprawnym charakterze przechowywanych danych dostarczonych przez usługobiorcę i</w:t>
      </w:r>
      <w:r w:rsidR="00206D04">
        <w:t> </w:t>
      </w:r>
      <w:r>
        <w:t>uniemożliwił dostęp do tych danych, nie ponosi odpowiedzialności względem tego usługobiorcy za szkodę powstałą w wyniku uniemożliwienia dostępu do tych danych.</w:t>
      </w:r>
    </w:p>
    <w:p w14:paraId="38C83F72" w14:textId="7A6BCB45" w:rsidR="00B738BC" w:rsidRPr="00330FE9" w:rsidRDefault="00B738BC" w:rsidP="00330FE9">
      <w:pPr>
        <w:pStyle w:val="JuQuot"/>
      </w:pPr>
      <w:r>
        <w:t>3. Usługodawca, który uzyskał wiarygodną wiadomość o bezprawnym charakterze przechowywanych danych dostarczonych przez usługobiorcę i uniemożliwił dostęp do</w:t>
      </w:r>
      <w:r w:rsidR="00206D04">
        <w:t> </w:t>
      </w:r>
      <w:r>
        <w:t>tych danych, nie odpowiada względem tego usługobiorcy za szkodę powstałą w</w:t>
      </w:r>
      <w:r w:rsidR="00206D04">
        <w:t> </w:t>
      </w:r>
      <w:r>
        <w:t>wyniku uniemożliwienia dostępu do tych danych, jeżeli niezwłocznie zawiadomił usługobiorcę o zamiarze uniemożliwienia do nich dostępu.</w:t>
      </w:r>
    </w:p>
    <w:p w14:paraId="7536CE94" w14:textId="1462124D" w:rsidR="00B738BC" w:rsidRPr="00330FE9" w:rsidRDefault="00B738BC" w:rsidP="00330FE9">
      <w:pPr>
        <w:pStyle w:val="JuQuot"/>
      </w:pPr>
      <w:r>
        <w:t>4. Przepisów ust. 1</w:t>
      </w:r>
      <w:r w:rsidR="00F36970">
        <w:rPr>
          <w:rFonts w:cstheme="minorHAnsi"/>
        </w:rPr>
        <w:t>–</w:t>
      </w:r>
      <w:r>
        <w:t>3 nie stosuje się, jeżeli usługodawca przejął kontrolę nad</w:t>
      </w:r>
      <w:r w:rsidR="00206D04">
        <w:t> </w:t>
      </w:r>
      <w:r>
        <w:t>usługobiorcą w rozumieniu przepisów o ochronie konkurencji i konsumentów</w:t>
      </w:r>
      <w:r w:rsidR="003A52C7">
        <w:t>”</w:t>
      </w:r>
      <w:r w:rsidR="00F36970">
        <w:t>.</w:t>
      </w:r>
    </w:p>
    <w:p w14:paraId="529FFF9F" w14:textId="77777777" w:rsidR="00B738BC" w:rsidRPr="00330FE9" w:rsidRDefault="00B738BC" w:rsidP="00330FE9">
      <w:pPr>
        <w:pStyle w:val="JuHArticle"/>
      </w:pPr>
      <w:r>
        <w:t>Art. 15</w:t>
      </w:r>
    </w:p>
    <w:p w14:paraId="5F1E5A57" w14:textId="1164CD98" w:rsidR="00B738BC" w:rsidRPr="00330FE9" w:rsidRDefault="00B738BC" w:rsidP="00330FE9">
      <w:pPr>
        <w:pStyle w:val="JuQuot"/>
      </w:pPr>
      <w:r>
        <w:t>„Podmiot, który świadczy usługi określone w art. 12</w:t>
      </w:r>
      <w:r w:rsidR="00F36970">
        <w:rPr>
          <w:rFonts w:cstheme="minorHAnsi"/>
        </w:rPr>
        <w:t>–</w:t>
      </w:r>
      <w:r>
        <w:t>14, nie jest obowiązany do</w:t>
      </w:r>
      <w:r w:rsidR="00CE1419">
        <w:t> </w:t>
      </w:r>
      <w:r>
        <w:t>sprawdzania przekazywanych, przechowywanych lub udostępnianych przez niego danych, o których mowa w art 12</w:t>
      </w:r>
      <w:r w:rsidR="00F36970">
        <w:rPr>
          <w:rFonts w:cstheme="minorHAnsi"/>
        </w:rPr>
        <w:t>–</w:t>
      </w:r>
      <w:r>
        <w:t>14</w:t>
      </w:r>
      <w:r w:rsidR="003A52C7">
        <w:t>”</w:t>
      </w:r>
      <w:r w:rsidR="00F36970">
        <w:t>.</w:t>
      </w:r>
    </w:p>
    <w:p w14:paraId="2A7CA4CE" w14:textId="77777777" w:rsidR="00B738BC" w:rsidRPr="00F95427" w:rsidRDefault="00B738BC" w:rsidP="00330FE9">
      <w:pPr>
        <w:pStyle w:val="JuHA"/>
      </w:pPr>
      <w:r w:rsidRPr="00F95427">
        <w:lastRenderedPageBreak/>
        <w:t>Odpowiednie orzecznictwo Sądu Najwyższego Rzeczpospolitej Polskiej</w:t>
      </w:r>
    </w:p>
    <w:p w14:paraId="0ACB4D94" w14:textId="6F3F64D7" w:rsidR="00B738BC" w:rsidRPr="00330FE9" w:rsidRDefault="009D08D3" w:rsidP="00330FE9">
      <w:pPr>
        <w:pStyle w:val="JuPara"/>
      </w:pPr>
      <w:r>
        <w:rPr>
          <w:noProof/>
        </w:rPr>
        <w:t>27</w:t>
      </w:r>
      <w:r w:rsidR="00B738BC">
        <w:t>.</w:t>
      </w:r>
      <w:r w:rsidR="003A52C7">
        <w:t xml:space="preserve"> </w:t>
      </w:r>
      <w:r w:rsidR="00B738BC">
        <w:t>W wyroku z dnia 8 lipca 2011 roku (sprawa IV CSK 665/10), Sąd</w:t>
      </w:r>
      <w:r w:rsidR="00CE1419">
        <w:t> </w:t>
      </w:r>
      <w:r w:rsidR="00B738BC">
        <w:t>Najwyższy stwierdził, że usługodawca świadczący drogą elektroniczną usługi polegające na umożliwieniu bezpłatnego dostępu do utworzonego przez siebie portalu dyskusyjnego nie ma obowiązku zapewnienia możliwości identyfikacji usługobiorcy dokonującego wpisu na tym portalu i</w:t>
      </w:r>
      <w:r w:rsidR="00CE1419">
        <w:t> </w:t>
      </w:r>
      <w:r w:rsidR="00B738BC">
        <w:t>nie ponosi odpowiedzialności za naruszenie dóbr osobistych</w:t>
      </w:r>
      <w:r w:rsidR="00F95427">
        <w:t xml:space="preserve"> innych osób [w rezultacie takiego wpisu]</w:t>
      </w:r>
      <w:r w:rsidR="00B738BC">
        <w:t>, chyba że wiedział, iż wpis narusza te dobra i</w:t>
      </w:r>
      <w:r w:rsidR="00CE1419">
        <w:t> </w:t>
      </w:r>
      <w:r w:rsidR="00B738BC">
        <w:t>nie usunął go niezwłocznie.</w:t>
      </w:r>
    </w:p>
    <w:p w14:paraId="346BD8F8" w14:textId="6E0C7CCC" w:rsidR="00B738BC" w:rsidRPr="00330FE9" w:rsidRDefault="00B738BC" w:rsidP="00330FE9">
      <w:pPr>
        <w:pStyle w:val="JuHIRoman"/>
      </w:pPr>
      <w:r>
        <w:t>ODPOWIEDNIE INSTRUMENTY MIĘDZYNARODOWE I</w:t>
      </w:r>
      <w:r w:rsidR="00F27DAF">
        <w:t xml:space="preserve"> </w:t>
      </w:r>
      <w:r>
        <w:t xml:space="preserve">STANDARDY UNII EUROPEJSKIEJ </w:t>
      </w:r>
    </w:p>
    <w:p w14:paraId="286F7065" w14:textId="7874B71D" w:rsidR="00B738BC" w:rsidRPr="00330FE9" w:rsidRDefault="009D08D3" w:rsidP="00330FE9">
      <w:pPr>
        <w:pStyle w:val="JuPara"/>
      </w:pPr>
      <w:r>
        <w:rPr>
          <w:noProof/>
        </w:rPr>
        <w:t>28</w:t>
      </w:r>
      <w:r w:rsidR="00B738BC">
        <w:t>.</w:t>
      </w:r>
      <w:r w:rsidR="003A52C7">
        <w:t xml:space="preserve"> </w:t>
      </w:r>
      <w:r w:rsidR="00B738BC">
        <w:t>Instrumenty międzynarodowe i standardy Unii Europejskiej właści</w:t>
      </w:r>
      <w:r w:rsidR="00E61D68">
        <w:t>we w omawianej sprawie</w:t>
      </w:r>
      <w:r w:rsidR="00B738BC">
        <w:t xml:space="preserve"> są przedstawione w </w:t>
      </w:r>
      <w:r w:rsidR="00152839">
        <w:t>paragrafach</w:t>
      </w:r>
      <w:r w:rsidR="00F9043C">
        <w:t xml:space="preserve"> </w:t>
      </w:r>
      <w:r w:rsidR="00B738BC">
        <w:t>44</w:t>
      </w:r>
      <w:r w:rsidR="003573C0">
        <w:rPr>
          <w:rFonts w:cstheme="minorHAnsi"/>
        </w:rPr>
        <w:t>–</w:t>
      </w:r>
      <w:r w:rsidR="00B738BC">
        <w:t xml:space="preserve">57 wyroku </w:t>
      </w:r>
      <w:r w:rsidR="00F95427">
        <w:t>w</w:t>
      </w:r>
      <w:r w:rsidR="00CE1419">
        <w:t> </w:t>
      </w:r>
      <w:r w:rsidR="00F95427">
        <w:t xml:space="preserve">sprawie </w:t>
      </w:r>
      <w:r w:rsidR="00B738BC">
        <w:rPr>
          <w:i/>
        </w:rPr>
        <w:t>Delfi A.S. p. Estonii</w:t>
      </w:r>
      <w:r w:rsidR="000B2AE9">
        <w:t xml:space="preserve"> [WI], nr 64569/09, </w:t>
      </w:r>
      <w:r w:rsidR="00B738BC">
        <w:t>16 czerwca 2015 roku.</w:t>
      </w:r>
    </w:p>
    <w:p w14:paraId="5637A569" w14:textId="30A1C893" w:rsidR="00B738BC" w:rsidRPr="00330FE9" w:rsidRDefault="00B738BC" w:rsidP="00330FE9">
      <w:pPr>
        <w:pStyle w:val="JuHHead"/>
      </w:pPr>
      <w:r>
        <w:t>PRAWO</w:t>
      </w:r>
    </w:p>
    <w:p w14:paraId="2FD19B5E" w14:textId="2C1E5815" w:rsidR="00B738BC" w:rsidRPr="00330FE9" w:rsidRDefault="00B738BC" w:rsidP="00330FE9">
      <w:pPr>
        <w:pStyle w:val="JuHIRoman"/>
      </w:pPr>
      <w:r>
        <w:t xml:space="preserve">WNIOSEK RZĄDU O SKREŚLENIE </w:t>
      </w:r>
      <w:r w:rsidR="00F80C12">
        <w:t xml:space="preserve">Skargi </w:t>
      </w:r>
      <w:r>
        <w:t xml:space="preserve">Z LISTY </w:t>
      </w:r>
      <w:r w:rsidR="00F80C12">
        <w:t xml:space="preserve">spraw </w:t>
      </w:r>
      <w:r>
        <w:t>NA</w:t>
      </w:r>
      <w:r w:rsidR="00CE1419">
        <w:t> </w:t>
      </w:r>
      <w:r w:rsidR="00F80C12">
        <w:t xml:space="preserve">podstawie </w:t>
      </w:r>
      <w:r>
        <w:t>art. 37 KONWENCJI</w:t>
      </w:r>
    </w:p>
    <w:p w14:paraId="1742200B" w14:textId="567899EC" w:rsidR="00B738BC" w:rsidRPr="00330FE9" w:rsidRDefault="009D08D3" w:rsidP="00330FE9">
      <w:pPr>
        <w:pStyle w:val="JuPara"/>
      </w:pPr>
      <w:r>
        <w:rPr>
          <w:noProof/>
        </w:rPr>
        <w:t>29</w:t>
      </w:r>
      <w:r w:rsidR="00B738BC">
        <w:t>.</w:t>
      </w:r>
      <w:r w:rsidR="003A52C7">
        <w:t xml:space="preserve"> </w:t>
      </w:r>
      <w:r w:rsidR="00B738BC">
        <w:t>W piśmie z dnia 25 czerwca 2013 roku Rząd zwrócił się do</w:t>
      </w:r>
      <w:r w:rsidR="00CE1419">
        <w:t> </w:t>
      </w:r>
      <w:r w:rsidR="00B738BC">
        <w:t>Trybunału o skreślenie skargi z listy spraw i załączył deklarację</w:t>
      </w:r>
      <w:r w:rsidR="00F80C12" w:rsidRPr="00F80C12">
        <w:t xml:space="preserve"> </w:t>
      </w:r>
      <w:r w:rsidR="00F80C12">
        <w:t>jednostronną</w:t>
      </w:r>
      <w:r w:rsidR="00B738BC">
        <w:t xml:space="preserve">. We wspomnianej deklaracji Rząd przyznał, że w niniejszej sprawie doszło do naruszenia art. 10 Konwencji w zakresie dotyczącym orzeczeń wydanych </w:t>
      </w:r>
      <w:r w:rsidR="00F80C12">
        <w:t xml:space="preserve">w dniach </w:t>
      </w:r>
      <w:r w:rsidR="00B738BC">
        <w:t>15 i 17 listopada 2010 roku przez sądy krajowe orzekające w trybie wyborczym.</w:t>
      </w:r>
      <w:r w:rsidR="003A52C7">
        <w:t xml:space="preserve"> </w:t>
      </w:r>
      <w:r w:rsidR="00B738BC">
        <w:t xml:space="preserve">Rząd zaproponował również wypłacenie skarżącemu kwoty 3000 EUR z tytułu słusznego zadośćuczynienia i zwrócił się do Trybunału o skreślenie skargi z listy spraw na mocy art. 37 </w:t>
      </w:r>
      <w:r w:rsidR="00A822E9">
        <w:t>ust.</w:t>
      </w:r>
      <w:r w:rsidR="00B738BC">
        <w:t xml:space="preserve"> 1 </w:t>
      </w:r>
      <w:r w:rsidR="002D6A0B">
        <w:t xml:space="preserve">lit. </w:t>
      </w:r>
      <w:r w:rsidR="00B738BC">
        <w:t>c Konwencji.</w:t>
      </w:r>
    </w:p>
    <w:p w14:paraId="5ED416FE" w14:textId="5B1867B5" w:rsidR="00B738BC" w:rsidRPr="00330FE9" w:rsidRDefault="009D08D3" w:rsidP="00330FE9">
      <w:pPr>
        <w:pStyle w:val="JuPara"/>
      </w:pPr>
      <w:r>
        <w:rPr>
          <w:noProof/>
        </w:rPr>
        <w:t>30</w:t>
      </w:r>
      <w:r w:rsidR="00B738BC">
        <w:t>.</w:t>
      </w:r>
      <w:r w:rsidR="003A52C7">
        <w:t xml:space="preserve"> </w:t>
      </w:r>
      <w:r w:rsidR="00B738BC">
        <w:t>Skarżący nie przyjął oferty Rządu i poprosił Trybunał o orzeczenie w</w:t>
      </w:r>
      <w:r w:rsidR="00CE1419">
        <w:t> </w:t>
      </w:r>
      <w:r w:rsidR="00B738BC">
        <w:t>formie wyroku. Podkreślił, że sprawa ma znaczenie dla orzecznictwa i</w:t>
      </w:r>
      <w:r w:rsidR="00CE1419">
        <w:t> </w:t>
      </w:r>
      <w:r w:rsidR="00B738BC">
        <w:t>ustawodawstwa europejskiego i krajowego, że deklaracja Rządu nie</w:t>
      </w:r>
      <w:r w:rsidR="00CE1419">
        <w:t> </w:t>
      </w:r>
      <w:r w:rsidR="00B738BC">
        <w:t>pozwala mu skutecznie domagać się wznowienia postępowania krajowego i</w:t>
      </w:r>
      <w:r w:rsidR="00F27DAF">
        <w:t xml:space="preserve"> </w:t>
      </w:r>
      <w:r w:rsidR="003F3C93">
        <w:t>że w</w:t>
      </w:r>
      <w:r w:rsidR="00F27DAF">
        <w:t xml:space="preserve"> </w:t>
      </w:r>
      <w:r w:rsidR="00B738BC">
        <w:t>każdym razie kwota proponowana z</w:t>
      </w:r>
      <w:r w:rsidR="00F27DAF">
        <w:t xml:space="preserve"> </w:t>
      </w:r>
      <w:r w:rsidR="00B738BC">
        <w:t>tytułu słusznego zadośćuczynienia jest niewystarczająca.</w:t>
      </w:r>
    </w:p>
    <w:p w14:paraId="0982F5AE" w14:textId="50A82B6A" w:rsidR="00B738BC" w:rsidRPr="00330FE9" w:rsidRDefault="009D08D3" w:rsidP="00330FE9">
      <w:pPr>
        <w:pStyle w:val="JuPara"/>
      </w:pPr>
      <w:r>
        <w:rPr>
          <w:noProof/>
        </w:rPr>
        <w:t>31</w:t>
      </w:r>
      <w:r w:rsidR="00B738BC">
        <w:t>.</w:t>
      </w:r>
      <w:r w:rsidR="003A52C7">
        <w:t xml:space="preserve"> </w:t>
      </w:r>
      <w:r w:rsidR="00B738BC">
        <w:t>Trybunał uważa, że w pewnych okolicznościach może być wskazane skreślenie sprawy z listy na mocy art. 37</w:t>
      </w:r>
      <w:r w:rsidR="00A822E9">
        <w:t xml:space="preserve"> ust.</w:t>
      </w:r>
      <w:r w:rsidR="00B738BC">
        <w:t xml:space="preserve"> 1 </w:t>
      </w:r>
      <w:r w:rsidR="00A95449">
        <w:t xml:space="preserve">lit. </w:t>
      </w:r>
      <w:r w:rsidR="00B738BC">
        <w:t>c Konwencji na</w:t>
      </w:r>
      <w:r w:rsidR="00CE1419">
        <w:t> </w:t>
      </w:r>
      <w:r w:rsidR="00B738BC">
        <w:t xml:space="preserve">podstawie deklaracji </w:t>
      </w:r>
      <w:r w:rsidR="00F80C12">
        <w:t xml:space="preserve">jednostronnej </w:t>
      </w:r>
      <w:r w:rsidR="00B738BC">
        <w:t xml:space="preserve">pozwanego rządu, nawet jeżeli skarżący życzy sobie, by sprawa podlegała </w:t>
      </w:r>
      <w:r w:rsidR="002D6A0B">
        <w:t xml:space="preserve">dalszemu </w:t>
      </w:r>
      <w:r w:rsidR="00B738BC">
        <w:t xml:space="preserve">rozstrzygnięciu sądowemu. Od </w:t>
      </w:r>
      <w:r w:rsidR="00AE166B">
        <w:t xml:space="preserve">szczegółowych </w:t>
      </w:r>
      <w:r w:rsidR="00B738BC">
        <w:t xml:space="preserve">okoliczności sprawy zależeć będzie ustalenie, czy </w:t>
      </w:r>
      <w:r w:rsidR="00F80C12">
        <w:t xml:space="preserve">deklaracja </w:t>
      </w:r>
      <w:r w:rsidR="00B738BC">
        <w:t xml:space="preserve">jednostronna stanowi wystarczającą podstawę, </w:t>
      </w:r>
      <w:r w:rsidR="00B738BC">
        <w:lastRenderedPageBreak/>
        <w:t>aby</w:t>
      </w:r>
      <w:r w:rsidR="00CE1419">
        <w:t> </w:t>
      </w:r>
      <w:r w:rsidR="00B738BC">
        <w:t>Trybunał uznał, że przestrzeganie praw człowieka zagwarantowanych Konwencją nie wymaga od niego dalszego rozstrzygania w sprawie (</w:t>
      </w:r>
      <w:r w:rsidR="00B738BC">
        <w:rPr>
          <w:i/>
        </w:rPr>
        <w:t>Tahsin</w:t>
      </w:r>
      <w:r w:rsidR="00CE1419">
        <w:rPr>
          <w:i/>
        </w:rPr>
        <w:t> </w:t>
      </w:r>
      <w:r w:rsidR="00B738BC">
        <w:rPr>
          <w:i/>
        </w:rPr>
        <w:t>Acar p. Turcji</w:t>
      </w:r>
      <w:r w:rsidR="00B738BC">
        <w:t xml:space="preserve"> [WI], nr 26307/95, § 75, </w:t>
      </w:r>
      <w:r w:rsidR="00DF4A98">
        <w:t>ETPC</w:t>
      </w:r>
      <w:r w:rsidR="00B738BC">
        <w:t xml:space="preserve"> 2004</w:t>
      </w:r>
      <w:r w:rsidR="00B738BC">
        <w:rPr>
          <w:rFonts w:ascii="MS Mincho" w:hAnsi="MS Mincho"/>
        </w:rPr>
        <w:t>‑</w:t>
      </w:r>
      <w:r w:rsidR="00B738BC">
        <w:t xml:space="preserve">III, i </w:t>
      </w:r>
      <w:r w:rsidR="00B738BC">
        <w:rPr>
          <w:i/>
        </w:rPr>
        <w:t>Melnic p.</w:t>
      </w:r>
      <w:r w:rsidR="00CE1419">
        <w:rPr>
          <w:i/>
        </w:rPr>
        <w:t> </w:t>
      </w:r>
      <w:r w:rsidR="00B738BC">
        <w:rPr>
          <w:i/>
        </w:rPr>
        <w:t>Republice Mołdowy</w:t>
      </w:r>
      <w:r w:rsidR="00B738BC">
        <w:t>, nr 6923/03, § 22, 14 listopada 2006 roku).</w:t>
      </w:r>
    </w:p>
    <w:p w14:paraId="0017BACE" w14:textId="3943EE59" w:rsidR="00B738BC" w:rsidRPr="00330FE9" w:rsidRDefault="009D08D3" w:rsidP="00330FE9">
      <w:pPr>
        <w:pStyle w:val="JuPara"/>
      </w:pPr>
      <w:r>
        <w:rPr>
          <w:noProof/>
        </w:rPr>
        <w:t>32</w:t>
      </w:r>
      <w:r w:rsidR="00B738BC">
        <w:t>.</w:t>
      </w:r>
      <w:r w:rsidR="003A52C7">
        <w:t xml:space="preserve"> </w:t>
      </w:r>
      <w:r w:rsidR="00B738BC">
        <w:t>W omawian</w:t>
      </w:r>
      <w:r w:rsidR="00E61D68">
        <w:t xml:space="preserve">ej </w:t>
      </w:r>
      <w:r w:rsidR="00CE1419">
        <w:t>sprawie</w:t>
      </w:r>
      <w:r w:rsidR="00B738BC">
        <w:t xml:space="preserve"> Trybunał zbadał warunki </w:t>
      </w:r>
      <w:r w:rsidR="00F80C12">
        <w:t xml:space="preserve">deklaracji </w:t>
      </w:r>
      <w:r w:rsidR="00B738BC">
        <w:t xml:space="preserve">jednostronnej Rządu. W świetle okoliczności omawianej sprawy Trybunał jest zdania, że deklaracja nie daje </w:t>
      </w:r>
      <w:r w:rsidR="008A6A3E">
        <w:t xml:space="preserve">wystarczających </w:t>
      </w:r>
      <w:r w:rsidR="00B738BC">
        <w:t>podstaw, aby uznać</w:t>
      </w:r>
      <w:r w:rsidR="008A6A3E">
        <w:t xml:space="preserve"> za</w:t>
      </w:r>
      <w:r w:rsidR="00CE1419">
        <w:t> </w:t>
      </w:r>
      <w:r w:rsidR="008A6A3E">
        <w:t>bezzasadne</w:t>
      </w:r>
      <w:r w:rsidR="00B738BC">
        <w:t xml:space="preserve"> dalsze rozstrzygani</w:t>
      </w:r>
      <w:r w:rsidR="008A6A3E">
        <w:t>e</w:t>
      </w:r>
      <w:r w:rsidR="00B738BC">
        <w:t xml:space="preserve"> w sprawie.</w:t>
      </w:r>
    </w:p>
    <w:p w14:paraId="296612DB" w14:textId="5F859744" w:rsidR="00B738BC" w:rsidRPr="00330FE9" w:rsidRDefault="009D08D3" w:rsidP="00330FE9">
      <w:pPr>
        <w:pStyle w:val="JuPara"/>
      </w:pPr>
      <w:r>
        <w:rPr>
          <w:noProof/>
        </w:rPr>
        <w:t>33</w:t>
      </w:r>
      <w:r w:rsidR="00B738BC">
        <w:t>.</w:t>
      </w:r>
      <w:r w:rsidR="003A52C7">
        <w:t xml:space="preserve"> </w:t>
      </w:r>
      <w:r w:rsidR="00B738BC">
        <w:t>W konkluzji Trybunał odrzuc</w:t>
      </w:r>
      <w:r w:rsidR="00F80C12">
        <w:t>a wniosek</w:t>
      </w:r>
      <w:r w:rsidR="00B738BC">
        <w:t xml:space="preserve"> Rządu o skreślenie </w:t>
      </w:r>
      <w:r w:rsidR="00F80C12">
        <w:t xml:space="preserve">skargi </w:t>
      </w:r>
      <w:r w:rsidR="00B738BC">
        <w:t>z</w:t>
      </w:r>
      <w:r w:rsidR="00CE1419">
        <w:t> </w:t>
      </w:r>
      <w:r w:rsidR="00B738BC">
        <w:t xml:space="preserve">listy </w:t>
      </w:r>
      <w:r w:rsidR="00F80C12">
        <w:t xml:space="preserve">spraw </w:t>
      </w:r>
      <w:r w:rsidR="00B738BC">
        <w:t xml:space="preserve">na </w:t>
      </w:r>
      <w:r w:rsidR="00F80C12">
        <w:t xml:space="preserve">podstawie </w:t>
      </w:r>
      <w:r w:rsidR="00B738BC">
        <w:t xml:space="preserve">art. 37 </w:t>
      </w:r>
      <w:r w:rsidR="00F80C12">
        <w:t>ust.</w:t>
      </w:r>
      <w:r w:rsidR="00B738BC">
        <w:t xml:space="preserve"> 1 </w:t>
      </w:r>
      <w:r w:rsidR="002D6A0B">
        <w:t xml:space="preserve">lit. </w:t>
      </w:r>
      <w:r w:rsidR="00B738BC">
        <w:t xml:space="preserve">c Konwencji i tym samym </w:t>
      </w:r>
      <w:r w:rsidR="00F80C12">
        <w:t>postanawia</w:t>
      </w:r>
      <w:r w:rsidR="00B738BC">
        <w:t xml:space="preserve"> kontynuować badanie dopuszczalności oraz przedmiotu s</w:t>
      </w:r>
      <w:r w:rsidR="00792979">
        <w:t>kargi</w:t>
      </w:r>
      <w:r w:rsidR="00B738BC">
        <w:t>.</w:t>
      </w:r>
    </w:p>
    <w:p w14:paraId="4BEE20DE" w14:textId="77777777" w:rsidR="00B738BC" w:rsidRPr="00330FE9" w:rsidRDefault="00B738BC" w:rsidP="00330FE9">
      <w:pPr>
        <w:pStyle w:val="JuHIRoman"/>
      </w:pPr>
      <w:r>
        <w:t>ZARZUT NARUSZENIA art. 10 KONWENCJI</w:t>
      </w:r>
    </w:p>
    <w:p w14:paraId="096FCCCD" w14:textId="2C9A1D80" w:rsidR="00B738BC" w:rsidRPr="00330FE9" w:rsidRDefault="009D08D3" w:rsidP="00330FE9">
      <w:pPr>
        <w:pStyle w:val="JuPara"/>
      </w:pPr>
      <w:r>
        <w:rPr>
          <w:noProof/>
        </w:rPr>
        <w:t>34</w:t>
      </w:r>
      <w:r w:rsidR="00B738BC">
        <w:t>.</w:t>
      </w:r>
      <w:r w:rsidR="003A52C7">
        <w:t xml:space="preserve"> </w:t>
      </w:r>
      <w:r w:rsidR="00B738BC">
        <w:t>Powołując się na art. 10 Konwencji, skarżący skarży się, że</w:t>
      </w:r>
      <w:r w:rsidR="00CE1419">
        <w:t> </w:t>
      </w:r>
      <w:r w:rsidR="00B738BC">
        <w:t xml:space="preserve">postanowienia wydawane przeciwko niemu </w:t>
      </w:r>
      <w:r w:rsidR="00F80C12">
        <w:t>w wyniku</w:t>
      </w:r>
      <w:r w:rsidR="00B738BC">
        <w:t xml:space="preserve"> postępowania, jakie sądy krajowe </w:t>
      </w:r>
      <w:r w:rsidR="00483A87">
        <w:t>prowadziły</w:t>
      </w:r>
      <w:r w:rsidR="00B738BC">
        <w:t xml:space="preserve"> na mocy ustawy o wyborach samorządowych, spowodowały naruszenie jego prawa do wolności wyrażania opinii zagwarantowanego w art. 10 Konwencji, </w:t>
      </w:r>
      <w:r w:rsidR="00483A87">
        <w:t>który we</w:t>
      </w:r>
      <w:r w:rsidR="00CE1419">
        <w:t> </w:t>
      </w:r>
      <w:r w:rsidR="00483A87">
        <w:t>fragmentach właściwych w omawianej sprawie ma następujące brzmienie</w:t>
      </w:r>
      <w:r w:rsidR="00B738BC">
        <w:t>:</w:t>
      </w:r>
    </w:p>
    <w:p w14:paraId="21109A62" w14:textId="748E9D8F" w:rsidR="00B738BC" w:rsidRPr="00330FE9" w:rsidRDefault="00B738BC" w:rsidP="00330FE9">
      <w:pPr>
        <w:pStyle w:val="JuQuot"/>
      </w:pPr>
      <w:r>
        <w:t>„1.</w:t>
      </w:r>
      <w:r w:rsidR="003A52C7">
        <w:t xml:space="preserve"> </w:t>
      </w:r>
      <w:r>
        <w:t>Każdy ma prawo do wolności wyrażania opinii.</w:t>
      </w:r>
      <w:r w:rsidR="003A52C7">
        <w:t xml:space="preserve"> </w:t>
      </w:r>
      <w:r>
        <w:t>(...)</w:t>
      </w:r>
    </w:p>
    <w:p w14:paraId="14FF6723" w14:textId="639BFA40" w:rsidR="00B738BC" w:rsidRPr="00330FE9" w:rsidRDefault="00B738BC" w:rsidP="00330FE9">
      <w:pPr>
        <w:pStyle w:val="JuQuot"/>
      </w:pPr>
      <w:r>
        <w:t>2.</w:t>
      </w:r>
      <w:r w:rsidR="003A52C7">
        <w:t xml:space="preserve"> </w:t>
      </w:r>
      <w:r>
        <w:t>Korzystanie z tych wolności pociągających za sobą obowiązki i</w:t>
      </w:r>
      <w:r w:rsidR="00CE1419">
        <w:t> </w:t>
      </w:r>
      <w:r>
        <w:t>odpowiedzialność może podlegać takim wymogom formalnym, warunkom, ograniczeniom i sankcjom, jakie są przewidziane przez ustawę i niezbędne w</w:t>
      </w:r>
      <w:r w:rsidR="00CE1419">
        <w:t> </w:t>
      </w:r>
      <w:r>
        <w:t xml:space="preserve">społeczeństwie demokratycznym (...) z uwagi </w:t>
      </w:r>
      <w:r w:rsidR="00DF4A98">
        <w:t xml:space="preserve">(…) </w:t>
      </w:r>
      <w:r>
        <w:t>na ochronę dobrego imienia i praw innych osób (...)</w:t>
      </w:r>
      <w:r w:rsidR="003A52C7">
        <w:t>”</w:t>
      </w:r>
      <w:r w:rsidR="000204AE">
        <w:t>.</w:t>
      </w:r>
    </w:p>
    <w:p w14:paraId="252472C6" w14:textId="77777777" w:rsidR="00B738BC" w:rsidRPr="00330FE9" w:rsidRDefault="00B738BC" w:rsidP="00330FE9">
      <w:pPr>
        <w:pStyle w:val="JuHA"/>
      </w:pPr>
      <w:r>
        <w:t xml:space="preserve">Dopuszczalność </w:t>
      </w:r>
    </w:p>
    <w:p w14:paraId="0253CD3B" w14:textId="01C7755D" w:rsidR="00B738BC" w:rsidRPr="00330FE9" w:rsidRDefault="009D08D3" w:rsidP="00330FE9">
      <w:pPr>
        <w:pStyle w:val="JuPara"/>
      </w:pPr>
      <w:r>
        <w:rPr>
          <w:noProof/>
        </w:rPr>
        <w:t>35</w:t>
      </w:r>
      <w:r w:rsidR="00B738BC">
        <w:t>.</w:t>
      </w:r>
      <w:r w:rsidR="003A52C7">
        <w:t xml:space="preserve"> </w:t>
      </w:r>
      <w:r w:rsidR="00B738BC">
        <w:t xml:space="preserve">Stwierdzając, że skarga nie jest </w:t>
      </w:r>
      <w:r w:rsidR="00332979">
        <w:t>w sposób oczywisty nieuzasadniona</w:t>
      </w:r>
      <w:r w:rsidR="00B738BC">
        <w:t xml:space="preserve"> w rozumieniu art. 35 </w:t>
      </w:r>
      <w:r w:rsidR="00A822E9">
        <w:t>ust.</w:t>
      </w:r>
      <w:r w:rsidR="00B738BC">
        <w:t xml:space="preserve"> 3 </w:t>
      </w:r>
      <w:r w:rsidR="002D6A0B">
        <w:t xml:space="preserve">lit. </w:t>
      </w:r>
      <w:r w:rsidR="00A822E9">
        <w:t>a</w:t>
      </w:r>
      <w:r w:rsidR="00B738BC">
        <w:t xml:space="preserve"> Konwencji i że nie </w:t>
      </w:r>
      <w:r w:rsidR="00483A87">
        <w:t xml:space="preserve">zachodzi </w:t>
      </w:r>
      <w:r w:rsidR="00B738BC">
        <w:t>ponadto żaden inny powód niedopuszczalności, Trybunał uznaje ją za dopuszczalną.</w:t>
      </w:r>
    </w:p>
    <w:p w14:paraId="63F505DB" w14:textId="77777777" w:rsidR="00B738BC" w:rsidRPr="00330FE9" w:rsidRDefault="00B738BC" w:rsidP="00330FE9">
      <w:pPr>
        <w:pStyle w:val="JuHA"/>
      </w:pPr>
      <w:r>
        <w:t>Przedmiot skargi</w:t>
      </w:r>
    </w:p>
    <w:p w14:paraId="49EE8FF5" w14:textId="77777777" w:rsidR="00B738BC" w:rsidRPr="00330FE9" w:rsidRDefault="00B738BC" w:rsidP="00330FE9">
      <w:pPr>
        <w:pStyle w:val="JuH1"/>
      </w:pPr>
      <w:r>
        <w:t>Argumenty stron</w:t>
      </w:r>
    </w:p>
    <w:p w14:paraId="60157BF9" w14:textId="2308FFD8" w:rsidR="00B738BC" w:rsidRPr="00330FE9" w:rsidRDefault="009D08D3" w:rsidP="00330FE9">
      <w:pPr>
        <w:pStyle w:val="JuPara"/>
      </w:pPr>
      <w:r>
        <w:rPr>
          <w:noProof/>
        </w:rPr>
        <w:t>36</w:t>
      </w:r>
      <w:r w:rsidR="00B738BC">
        <w:t>.</w:t>
      </w:r>
      <w:r w:rsidR="003A52C7">
        <w:t xml:space="preserve"> </w:t>
      </w:r>
      <w:r w:rsidR="00B738BC">
        <w:t xml:space="preserve">Skarżący </w:t>
      </w:r>
      <w:r w:rsidR="00824C43">
        <w:t>u</w:t>
      </w:r>
      <w:r w:rsidR="00B738BC">
        <w:t>trzymuje, że wspomniane orzeczenia oznaczają nieuzasadnioną ingerencję w jego prawo do wolności wyrażania opinii, a</w:t>
      </w:r>
      <w:r w:rsidR="00CE1419">
        <w:t> </w:t>
      </w:r>
      <w:r w:rsidR="00B738BC">
        <w:t xml:space="preserve">ingerencja </w:t>
      </w:r>
      <w:r w:rsidR="00483A87">
        <w:t xml:space="preserve">ta </w:t>
      </w:r>
      <w:r w:rsidR="00B738BC">
        <w:t>nie</w:t>
      </w:r>
      <w:r w:rsidR="00483A87">
        <w:t xml:space="preserve"> była</w:t>
      </w:r>
      <w:r w:rsidR="00B738BC">
        <w:t>, według niego, „przewidziana przez ustawę” ani „niezbędna w społeczeństwie demokratycznym”.</w:t>
      </w:r>
    </w:p>
    <w:p w14:paraId="3341F4B9" w14:textId="278ABF9F" w:rsidR="00B738BC" w:rsidRPr="00330FE9" w:rsidRDefault="009D08D3" w:rsidP="00330FE9">
      <w:pPr>
        <w:pStyle w:val="JuPara"/>
      </w:pPr>
      <w:r>
        <w:rPr>
          <w:noProof/>
        </w:rPr>
        <w:t>37</w:t>
      </w:r>
      <w:r w:rsidR="00B738BC">
        <w:t>.</w:t>
      </w:r>
      <w:r w:rsidR="003A52C7">
        <w:t xml:space="preserve"> </w:t>
      </w:r>
      <w:r w:rsidR="00B738BC">
        <w:t>Rząd się nie wypowiedział.</w:t>
      </w:r>
    </w:p>
    <w:p w14:paraId="04561AF4" w14:textId="6F64E03C" w:rsidR="00B738BC" w:rsidRPr="00330FE9" w:rsidRDefault="00B738BC" w:rsidP="00330FE9">
      <w:pPr>
        <w:pStyle w:val="JuH1"/>
      </w:pPr>
      <w:r>
        <w:lastRenderedPageBreak/>
        <w:t xml:space="preserve">Uwagi </w:t>
      </w:r>
      <w:r w:rsidR="00483A87">
        <w:t xml:space="preserve">strony </w:t>
      </w:r>
      <w:r>
        <w:t xml:space="preserve">trzeciej </w:t>
      </w:r>
      <w:r w:rsidR="00483A87">
        <w:t>składającej interwencję</w:t>
      </w:r>
    </w:p>
    <w:p w14:paraId="7654A987" w14:textId="017F0694" w:rsidR="00B738BC" w:rsidRPr="00330FE9" w:rsidRDefault="009D08D3" w:rsidP="00330FE9">
      <w:pPr>
        <w:pStyle w:val="JuPara"/>
        <w:rPr>
          <w:bCs/>
        </w:rPr>
      </w:pPr>
      <w:r>
        <w:rPr>
          <w:noProof/>
        </w:rPr>
        <w:t>38</w:t>
      </w:r>
      <w:r w:rsidR="00B738BC">
        <w:t>.</w:t>
      </w:r>
      <w:r w:rsidR="003A52C7">
        <w:t xml:space="preserve"> </w:t>
      </w:r>
      <w:r w:rsidR="00B738BC">
        <w:t>Organizacja pozarządowa Article 19 uważa, że blogi internetowe cechują się przede wszystkim możliwością samod</w:t>
      </w:r>
      <w:r w:rsidR="00483A87">
        <w:t xml:space="preserve">zielnego publikowania treści </w:t>
      </w:r>
      <w:r w:rsidR="00483A87" w:rsidRPr="00483A87">
        <w:rPr>
          <w:i/>
        </w:rPr>
        <w:t>on</w:t>
      </w:r>
      <w:r w:rsidR="00B738BC" w:rsidRPr="00483A87">
        <w:rPr>
          <w:i/>
        </w:rPr>
        <w:t>line</w:t>
      </w:r>
      <w:r w:rsidR="00483A87">
        <w:rPr>
          <w:i/>
        </w:rPr>
        <w:t xml:space="preserve"> </w:t>
      </w:r>
      <w:r w:rsidR="00483A87">
        <w:t>przez każdego użytkownika</w:t>
      </w:r>
      <w:r w:rsidR="00B738BC">
        <w:t xml:space="preserve"> </w:t>
      </w:r>
      <w:r w:rsidR="00483A87">
        <w:t xml:space="preserve">i </w:t>
      </w:r>
      <w:r w:rsidR="00B738BC">
        <w:t>bez żadnej wcześniejszej kontroli edytorskiej publikowanych treści</w:t>
      </w:r>
      <w:r w:rsidR="00483A87">
        <w:t>, a także</w:t>
      </w:r>
      <w:r w:rsidR="00B738BC">
        <w:t xml:space="preserve"> możliwością pozostawienia komentarza na aktualny temat. </w:t>
      </w:r>
      <w:r w:rsidR="00E12AEE">
        <w:t>Oprócz tego</w:t>
      </w:r>
      <w:r w:rsidR="00B738BC">
        <w:t xml:space="preserve">, pojawienie się </w:t>
      </w:r>
      <w:r w:rsidR="00E12AEE">
        <w:t>I</w:t>
      </w:r>
      <w:r w:rsidR="00B738BC">
        <w:t xml:space="preserve">nternetu oraz imponująca ilość informacji umieszczanych </w:t>
      </w:r>
      <w:r w:rsidR="00483A87">
        <w:t xml:space="preserve">w nim </w:t>
      </w:r>
      <w:r w:rsidR="00B738BC">
        <w:t>każdego dnia zwiększają ryzyko każdej publikującej osoby, że zostanie ona pociągnięta do</w:t>
      </w:r>
      <w:r w:rsidR="00CE1419">
        <w:t> </w:t>
      </w:r>
      <w:r w:rsidR="00B738BC">
        <w:t xml:space="preserve">odpowiedzialności ze względu na publikowane w </w:t>
      </w:r>
      <w:r w:rsidR="002157D6">
        <w:t>I</w:t>
      </w:r>
      <w:r w:rsidR="00B738BC">
        <w:t xml:space="preserve">nternecie </w:t>
      </w:r>
      <w:r w:rsidR="002D6A0B">
        <w:t>treści</w:t>
      </w:r>
      <w:r w:rsidR="00B738BC">
        <w:t>. Odnośnie do podmiotów pośredniczących w realizacji usług internetowych, w większości krajów ich odpowiedzialność za treści generowane przez</w:t>
      </w:r>
      <w:r w:rsidR="00CE1419">
        <w:t> </w:t>
      </w:r>
      <w:r w:rsidR="00B738BC">
        <w:t>osoby trzecie jest co do zasady wyłączona, chociaż takie wyłączenie nie ma charakteru nieograniczonego.</w:t>
      </w:r>
    </w:p>
    <w:p w14:paraId="28F8844C" w14:textId="6F0839A6" w:rsidR="00B738BC" w:rsidRPr="00330FE9" w:rsidRDefault="009D08D3" w:rsidP="00330FE9">
      <w:pPr>
        <w:pStyle w:val="JuPara"/>
      </w:pPr>
      <w:r>
        <w:rPr>
          <w:noProof/>
        </w:rPr>
        <w:t>39</w:t>
      </w:r>
      <w:r w:rsidR="00B738BC">
        <w:t>.</w:t>
      </w:r>
      <w:r w:rsidR="003A52C7">
        <w:t xml:space="preserve"> </w:t>
      </w:r>
      <w:r w:rsidR="00B738BC">
        <w:t xml:space="preserve">Article 19 stoi na stanowisku, że podmioty pośredniczące w realizacji usług </w:t>
      </w:r>
      <w:r w:rsidR="00483A87">
        <w:t xml:space="preserve">internetowych </w:t>
      </w:r>
      <w:r w:rsidR="00B738BC">
        <w:t>nie mogą odpowiadać za treści generowane przez internautów, jeżeli nie uczestniczyły bezpośrednio w zmianach wprowadzanych w tych treściach. Według Article 19 podmioty te powinny mieć jedynie obowiązek usuwania takich treści, ale pod warunkiem że</w:t>
      </w:r>
      <w:r w:rsidR="00CE1419">
        <w:t> </w:t>
      </w:r>
      <w:r w:rsidR="00B738BC">
        <w:t>ich</w:t>
      </w:r>
      <w:r w:rsidR="00CE1419">
        <w:t> </w:t>
      </w:r>
      <w:r w:rsidR="00B738BC">
        <w:t xml:space="preserve">nielegalność zostanie wcześniej potwierdzona </w:t>
      </w:r>
      <w:r w:rsidR="00483A87">
        <w:t xml:space="preserve">orzeczeniem </w:t>
      </w:r>
      <w:r w:rsidR="00B738BC">
        <w:t xml:space="preserve">sądu. </w:t>
      </w:r>
      <w:r w:rsidR="0085714A">
        <w:t xml:space="preserve">Zdaniem </w:t>
      </w:r>
      <w:r w:rsidR="00B738BC">
        <w:t>Article 19 stwierdzenie to staje się jeszcze bardziej znaczące, jeżeli podmiot pośredniczący wdrożył wcześniej system kontroli treści generowanych przez osoby trzecie. W</w:t>
      </w:r>
      <w:r w:rsidR="00F27DAF">
        <w:t xml:space="preserve"> </w:t>
      </w:r>
      <w:r w:rsidR="0085714A">
        <w:t xml:space="preserve">ocenie </w:t>
      </w:r>
      <w:r w:rsidR="00B738BC">
        <w:t>Article 19 podjęcie decyzji przeciwnej ograniczałoby wolność wyrażania opinii w Internecie.</w:t>
      </w:r>
    </w:p>
    <w:p w14:paraId="60F832F2" w14:textId="3F30294C" w:rsidR="00B738BC" w:rsidRPr="00330FE9" w:rsidRDefault="009D08D3" w:rsidP="00330FE9">
      <w:pPr>
        <w:pStyle w:val="JuPara"/>
      </w:pPr>
      <w:r>
        <w:rPr>
          <w:noProof/>
        </w:rPr>
        <w:t>40</w:t>
      </w:r>
      <w:r w:rsidR="00B738BC">
        <w:t>.</w:t>
      </w:r>
      <w:r w:rsidR="003A52C7">
        <w:t xml:space="preserve"> </w:t>
      </w:r>
      <w:r w:rsidR="00B738BC">
        <w:t>Article 19 uważa, że udostępniający blogi internetowe nie powinni ponosić odpowiedzialności za treści generowane przez osoby trzecie, jeżeli zastosowa</w:t>
      </w:r>
      <w:r w:rsidR="0085714A">
        <w:t>li</w:t>
      </w:r>
      <w:r w:rsidR="00B738BC">
        <w:t xml:space="preserve"> środki niezbędne do usunięcia bezprawnych twierdzeń z</w:t>
      </w:r>
      <w:r w:rsidR="00F27DAF">
        <w:t xml:space="preserve"> </w:t>
      </w:r>
      <w:r w:rsidR="00B738BC">
        <w:t>chwilą</w:t>
      </w:r>
      <w:r w:rsidR="0085714A">
        <w:t xml:space="preserve"> powzięcia wiedzy </w:t>
      </w:r>
      <w:r w:rsidR="00B738BC">
        <w:t>o ich zamieszczeniu.</w:t>
      </w:r>
    </w:p>
    <w:p w14:paraId="2CC757DD" w14:textId="77777777" w:rsidR="00B738BC" w:rsidRPr="00330FE9" w:rsidRDefault="00B738BC" w:rsidP="00330FE9">
      <w:pPr>
        <w:pStyle w:val="JuH1"/>
      </w:pPr>
      <w:r>
        <w:t>Ocena przez Trybunał</w:t>
      </w:r>
    </w:p>
    <w:p w14:paraId="76828CFA" w14:textId="4BF01FE4" w:rsidR="00B738BC" w:rsidRPr="00330FE9" w:rsidRDefault="009D08D3" w:rsidP="00330FE9">
      <w:pPr>
        <w:pStyle w:val="JuPara"/>
        <w:rPr>
          <w:bCs/>
        </w:rPr>
      </w:pPr>
      <w:r>
        <w:rPr>
          <w:bCs/>
          <w:noProof/>
        </w:rPr>
        <w:t>41</w:t>
      </w:r>
      <w:r w:rsidR="00B738BC">
        <w:t>.</w:t>
      </w:r>
      <w:r w:rsidR="003A52C7">
        <w:t xml:space="preserve"> </w:t>
      </w:r>
      <w:r w:rsidR="00B738BC">
        <w:t>Nie ma żadnych wątpliwości, że orzeczenia wyda</w:t>
      </w:r>
      <w:r w:rsidR="00017CD9">
        <w:t>ne przeciwko skarżącemu stanowiły</w:t>
      </w:r>
      <w:r w:rsidR="00B738BC">
        <w:t xml:space="preserve"> ingerencję</w:t>
      </w:r>
      <w:r w:rsidR="002D6A0B">
        <w:t xml:space="preserve"> władz publicznych w korzystanie</w:t>
      </w:r>
      <w:r w:rsidR="00B738BC">
        <w:t xml:space="preserve"> przez niego z wolności wyrażania opinii w rozumieniu art.</w:t>
      </w:r>
      <w:bookmarkStart w:id="2" w:name="0100000B"/>
      <w:bookmarkEnd w:id="2"/>
      <w:r w:rsidR="00B738BC">
        <w:t xml:space="preserve"> 10 Konwencji.</w:t>
      </w:r>
    </w:p>
    <w:p w14:paraId="09674EE8" w14:textId="68B2D35F" w:rsidR="00B738BC" w:rsidRPr="00330FE9" w:rsidRDefault="009D08D3" w:rsidP="00330FE9">
      <w:pPr>
        <w:pStyle w:val="JuPara"/>
        <w:rPr>
          <w:bCs/>
        </w:rPr>
      </w:pPr>
      <w:r>
        <w:rPr>
          <w:bCs/>
          <w:noProof/>
        </w:rPr>
        <w:t>42</w:t>
      </w:r>
      <w:r w:rsidR="00B738BC">
        <w:t>.</w:t>
      </w:r>
      <w:r w:rsidR="003A52C7">
        <w:t xml:space="preserve"> </w:t>
      </w:r>
      <w:r w:rsidR="00B738BC">
        <w:t>Trybunał przypomina, że aby nie naruszać art. 10 Konwencji, taka</w:t>
      </w:r>
      <w:r w:rsidR="00CE1419">
        <w:t> </w:t>
      </w:r>
      <w:r w:rsidR="00B738BC">
        <w:t xml:space="preserve">ingerencja winna była być „przewidziana przez ustawę”, winna dążyć do realizacji </w:t>
      </w:r>
      <w:r w:rsidR="00017CD9">
        <w:t xml:space="preserve">uprawnionego </w:t>
      </w:r>
      <w:r w:rsidR="00B738BC">
        <w:t xml:space="preserve">celu w świetle ust. 2 i ponadto być </w:t>
      </w:r>
      <w:r w:rsidR="00CE0C51">
        <w:t xml:space="preserve">niezbędna </w:t>
      </w:r>
      <w:r w:rsidR="00B738BC">
        <w:t>w</w:t>
      </w:r>
      <w:r w:rsidR="00CE1419">
        <w:t> </w:t>
      </w:r>
      <w:r w:rsidR="00B738BC">
        <w:t xml:space="preserve">społeczeństwie demokratycznym </w:t>
      </w:r>
      <w:r w:rsidR="00573735">
        <w:t>dla</w:t>
      </w:r>
      <w:r w:rsidR="00B738BC">
        <w:t xml:space="preserve"> osiągnięcia tego celu (</w:t>
      </w:r>
      <w:r w:rsidR="00B738BC" w:rsidRPr="007C6EDE">
        <w:rPr>
          <w:i/>
        </w:rPr>
        <w:t>Magyar</w:t>
      </w:r>
      <w:r w:rsidR="00CE1419">
        <w:rPr>
          <w:i/>
        </w:rPr>
        <w:t> </w:t>
      </w:r>
      <w:r w:rsidR="00B738BC" w:rsidRPr="007C6EDE">
        <w:rPr>
          <w:i/>
        </w:rPr>
        <w:t>Tartalomszolgáltatók Egyesülete i Index.hu Zrt p.</w:t>
      </w:r>
      <w:r w:rsidR="003A52C7" w:rsidRPr="007C6EDE">
        <w:rPr>
          <w:i/>
        </w:rPr>
        <w:t xml:space="preserve"> </w:t>
      </w:r>
      <w:r w:rsidR="00B738BC" w:rsidRPr="007C6EDE">
        <w:rPr>
          <w:bCs/>
          <w:i/>
        </w:rPr>
        <w:t>Węgrom</w:t>
      </w:r>
      <w:r w:rsidR="00B738BC" w:rsidRPr="007C6EDE">
        <w:rPr>
          <w:i/>
        </w:rPr>
        <w:t xml:space="preserve">, </w:t>
      </w:r>
      <w:r w:rsidR="00B738BC">
        <w:t>nr</w:t>
      </w:r>
      <w:r w:rsidR="00CE1419">
        <w:t> </w:t>
      </w:r>
      <w:r w:rsidR="00B738BC">
        <w:t>22947/13, §</w:t>
      </w:r>
      <w:r w:rsidR="00F27DAF">
        <w:t xml:space="preserve"> </w:t>
      </w:r>
      <w:r w:rsidR="00B738BC">
        <w:t>46, 2 lutego 2016 roku).</w:t>
      </w:r>
    </w:p>
    <w:p w14:paraId="5B4AC5F7" w14:textId="361F121C" w:rsidR="00B738BC" w:rsidRPr="00330FE9" w:rsidRDefault="009D08D3" w:rsidP="00330FE9">
      <w:pPr>
        <w:pStyle w:val="JuPara"/>
        <w:rPr>
          <w:bCs/>
        </w:rPr>
      </w:pPr>
      <w:r>
        <w:rPr>
          <w:bCs/>
          <w:noProof/>
        </w:rPr>
        <w:t>43</w:t>
      </w:r>
      <w:r w:rsidR="00B738BC">
        <w:t>.</w:t>
      </w:r>
      <w:r w:rsidR="003A52C7">
        <w:t xml:space="preserve"> </w:t>
      </w:r>
      <w:r w:rsidR="00017CD9">
        <w:t>Trybunał zauważa, że w omawianej sprawie</w:t>
      </w:r>
      <w:r w:rsidR="00B738BC">
        <w:t xml:space="preserve"> skarżący </w:t>
      </w:r>
      <w:r w:rsidR="00017CD9">
        <w:t>u</w:t>
      </w:r>
      <w:r w:rsidR="00B738BC">
        <w:t>trzymuje, ż</w:t>
      </w:r>
      <w:r w:rsidR="00017CD9">
        <w:t>e</w:t>
      </w:r>
      <w:r w:rsidR="00CE1419">
        <w:t> </w:t>
      </w:r>
      <w:r w:rsidR="00B738BC">
        <w:t xml:space="preserve">ingerencja była pozbawiona podstaw prawnych, ponieważ </w:t>
      </w:r>
      <w:r w:rsidR="00792979">
        <w:t xml:space="preserve">nałożono </w:t>
      </w:r>
      <w:r w:rsidR="00017CD9">
        <w:t>na</w:t>
      </w:r>
      <w:r w:rsidR="00CE1419">
        <w:t> </w:t>
      </w:r>
      <w:r w:rsidR="00017CD9">
        <w:t xml:space="preserve">niego </w:t>
      </w:r>
      <w:r w:rsidR="00B738BC">
        <w:t>sankcje ze względu na domniemany brak prewencyjnej kontroli treści generowanych przez internautów, mimo że nie był związany żadnym zobowiązaniem prawnym w tym zakresie.</w:t>
      </w:r>
    </w:p>
    <w:p w14:paraId="5E996A99" w14:textId="7469079D" w:rsidR="00B738BC" w:rsidRPr="00330FE9" w:rsidRDefault="009D08D3" w:rsidP="00330FE9">
      <w:pPr>
        <w:pStyle w:val="JuPara"/>
        <w:rPr>
          <w:bCs/>
        </w:rPr>
      </w:pPr>
      <w:r>
        <w:rPr>
          <w:bCs/>
          <w:noProof/>
        </w:rPr>
        <w:lastRenderedPageBreak/>
        <w:t>44</w:t>
      </w:r>
      <w:r w:rsidR="00B738BC">
        <w:t>.</w:t>
      </w:r>
      <w:r w:rsidR="003A52C7">
        <w:t xml:space="preserve"> </w:t>
      </w:r>
      <w:r w:rsidR="00B738BC">
        <w:t>Trybunał zauważa, że sądy krajowe obu instancji</w:t>
      </w:r>
      <w:r w:rsidR="00017CD9">
        <w:t>,</w:t>
      </w:r>
      <w:r w:rsidR="00B738BC">
        <w:t xml:space="preserve"> chcąc zastosować sankcję wobec skarżącego, wykorzystały postanowienia art.</w:t>
      </w:r>
      <w:r w:rsidR="00F27DAF">
        <w:t xml:space="preserve"> </w:t>
      </w:r>
      <w:r w:rsidR="00B738BC">
        <w:t>72 ustawy o</w:t>
      </w:r>
      <w:r w:rsidR="00CE1419">
        <w:t> </w:t>
      </w:r>
      <w:r w:rsidR="00B738BC">
        <w:t xml:space="preserve">wyborach samorządowych w związku z postanowieniami </w:t>
      </w:r>
      <w:r w:rsidR="00010C6D">
        <w:t xml:space="preserve">art. </w:t>
      </w:r>
      <w:r w:rsidR="00B738BC">
        <w:t>23 i 24 k</w:t>
      </w:r>
      <w:r w:rsidR="00017CD9">
        <w:t>.</w:t>
      </w:r>
      <w:r w:rsidR="00B738BC">
        <w:t>c. Trybunał zauważa, że Sąd Apelacyjny w Krakowie wprost odrzucił możliwość zastosowania art. 14 ustawy z 2002 roku, uznając, że skarżący nie mógł powołać się na podstawy wyłączenia odpowiedzialności z tego postanowienia, ponieważ nie przeszkodził skutecznie w rozpowszechnieniu spornych komentarzy (</w:t>
      </w:r>
      <w:r w:rsidR="00152839">
        <w:t>zob. paragraf</w:t>
      </w:r>
      <w:r w:rsidR="00B738BC">
        <w:t xml:space="preserve"> 15).</w:t>
      </w:r>
    </w:p>
    <w:p w14:paraId="3E9B4F91" w14:textId="0536DBF4" w:rsidR="00B738BC" w:rsidRPr="00330FE9" w:rsidRDefault="009D08D3" w:rsidP="00330FE9">
      <w:pPr>
        <w:pStyle w:val="JuPara"/>
        <w:rPr>
          <w:bCs/>
        </w:rPr>
      </w:pPr>
      <w:r>
        <w:rPr>
          <w:bCs/>
          <w:noProof/>
        </w:rPr>
        <w:t>45</w:t>
      </w:r>
      <w:r w:rsidR="00B738BC">
        <w:t>.</w:t>
      </w:r>
      <w:r w:rsidR="003A52C7">
        <w:t xml:space="preserve"> </w:t>
      </w:r>
      <w:r w:rsidR="00B738BC">
        <w:t xml:space="preserve">Trybunał przypomina w tym kontekście, że </w:t>
      </w:r>
      <w:r w:rsidR="00017CD9">
        <w:t>w pierwszej kolejności to</w:t>
      </w:r>
      <w:r w:rsidR="00CE1419">
        <w:t> </w:t>
      </w:r>
      <w:r w:rsidR="00B738BC">
        <w:t>do władz krajowych należy interpretowanie i stosowanie prawa wewnętrznego (</w:t>
      </w:r>
      <w:r w:rsidR="00152839">
        <w:t>zob.,</w:t>
      </w:r>
      <w:r w:rsidR="00B738BC">
        <w:t xml:space="preserve"> na przykład, wyrok </w:t>
      </w:r>
      <w:r w:rsidR="00B738BC">
        <w:rPr>
          <w:bCs/>
          <w:i/>
        </w:rPr>
        <w:t>Rekvényi p. Węgrom</w:t>
      </w:r>
      <w:r w:rsidR="00B738BC">
        <w:t xml:space="preserve"> [WI], nr</w:t>
      </w:r>
      <w:r w:rsidR="00CE1419">
        <w:t> </w:t>
      </w:r>
      <w:r w:rsidR="00B738BC">
        <w:t>25390/94, §</w:t>
      </w:r>
      <w:r w:rsidR="00F27DAF">
        <w:t xml:space="preserve"> </w:t>
      </w:r>
      <w:r w:rsidR="00B738BC">
        <w:t xml:space="preserve">35, </w:t>
      </w:r>
      <w:r w:rsidR="00DF4A98">
        <w:t>ETPC</w:t>
      </w:r>
      <w:r w:rsidR="00F27DAF">
        <w:t xml:space="preserve"> </w:t>
      </w:r>
      <w:r w:rsidR="00B738BC">
        <w:t>1999</w:t>
      </w:r>
      <w:r w:rsidR="00B738BC">
        <w:noBreakHyphen/>
        <w:t xml:space="preserve">III). </w:t>
      </w:r>
      <w:r w:rsidR="00017CD9">
        <w:t xml:space="preserve">Nie należy do </w:t>
      </w:r>
      <w:r w:rsidR="00B738BC">
        <w:t xml:space="preserve">zadań Trybunału wypowiadanie się na temat celowości technik </w:t>
      </w:r>
      <w:r w:rsidR="00017CD9">
        <w:t>regulowania takiej czy innej dziedziny</w:t>
      </w:r>
      <w:r w:rsidR="00824C43">
        <w:t>,</w:t>
      </w:r>
      <w:r w:rsidR="00017CD9">
        <w:t xml:space="preserve"> </w:t>
      </w:r>
      <w:r w:rsidR="00B738BC">
        <w:t>wybranych prze</w:t>
      </w:r>
      <w:r w:rsidR="00017CD9">
        <w:t>z ustawodawcę pozwanego państwa</w:t>
      </w:r>
      <w:r w:rsidR="00B738BC">
        <w:t>; rola Trybunału ogranicza się do sprawdzania, czy przyjęte metody i</w:t>
      </w:r>
      <w:r w:rsidR="00CE1419">
        <w:t> </w:t>
      </w:r>
      <w:r w:rsidR="00B738BC">
        <w:t>konsekwencje z nich wynikające są zgodne z Konwencją (</w:t>
      </w:r>
      <w:r w:rsidR="00B738BC">
        <w:rPr>
          <w:bCs/>
          <w:i/>
        </w:rPr>
        <w:t>Gorzelik p</w:t>
      </w:r>
      <w:r w:rsidR="002D6A0B">
        <w:rPr>
          <w:bCs/>
          <w:i/>
        </w:rPr>
        <w:t>.</w:t>
      </w:r>
      <w:r w:rsidR="00CE1419">
        <w:rPr>
          <w:bCs/>
          <w:i/>
        </w:rPr>
        <w:t> </w:t>
      </w:r>
      <w:r w:rsidR="00B738BC">
        <w:rPr>
          <w:bCs/>
          <w:i/>
        </w:rPr>
        <w:t>Polsce</w:t>
      </w:r>
      <w:r w:rsidR="00B738BC">
        <w:t xml:space="preserve"> [WI], nr</w:t>
      </w:r>
      <w:r w:rsidR="00F27DAF">
        <w:t xml:space="preserve"> </w:t>
      </w:r>
      <w:r w:rsidR="00B738BC">
        <w:t>44158/98, §</w:t>
      </w:r>
      <w:r w:rsidR="00F27DAF">
        <w:t xml:space="preserve"> </w:t>
      </w:r>
      <w:r w:rsidR="00B738BC">
        <w:t xml:space="preserve">67, </w:t>
      </w:r>
      <w:r w:rsidR="00DF4A98">
        <w:t>ETPC</w:t>
      </w:r>
      <w:r w:rsidR="00B738BC">
        <w:t xml:space="preserve"> 2004-I). W związku z tym Trybunał ograniczy się do zbadania, czy zastosowanie przez sądy krajowe postanowień art.</w:t>
      </w:r>
      <w:r w:rsidR="00F27DAF">
        <w:t xml:space="preserve"> </w:t>
      </w:r>
      <w:r w:rsidR="00B738BC">
        <w:t>72 ustawy o wyborach samorządowych w związku z</w:t>
      </w:r>
      <w:r w:rsidR="00CE1419">
        <w:t> </w:t>
      </w:r>
      <w:r w:rsidR="00B738BC">
        <w:t xml:space="preserve">postanowieniami </w:t>
      </w:r>
      <w:r w:rsidR="00010C6D">
        <w:t xml:space="preserve">art. </w:t>
      </w:r>
      <w:r w:rsidR="00B738BC">
        <w:t>23 i 24 k</w:t>
      </w:r>
      <w:r w:rsidR="00010C6D">
        <w:t>.</w:t>
      </w:r>
      <w:r w:rsidR="00B738BC">
        <w:t>c</w:t>
      </w:r>
      <w:r w:rsidR="00010C6D">
        <w:t>.</w:t>
      </w:r>
      <w:r w:rsidR="00B738BC">
        <w:t xml:space="preserve"> było </w:t>
      </w:r>
      <w:r w:rsidR="00B738BC" w:rsidRPr="00F9043C">
        <w:t xml:space="preserve">przewidywalne </w:t>
      </w:r>
      <w:r w:rsidR="00B738BC">
        <w:t xml:space="preserve">dla celów art. 10 </w:t>
      </w:r>
      <w:r w:rsidR="00A822E9">
        <w:t>ust.</w:t>
      </w:r>
      <w:r w:rsidR="00B738BC">
        <w:t xml:space="preserve"> 2 Konwencji.</w:t>
      </w:r>
    </w:p>
    <w:p w14:paraId="67483B4D" w14:textId="42E3BDFE" w:rsidR="00B738BC" w:rsidRPr="00330FE9" w:rsidRDefault="009D08D3" w:rsidP="00330FE9">
      <w:pPr>
        <w:pStyle w:val="JuPara"/>
        <w:rPr>
          <w:bCs/>
        </w:rPr>
      </w:pPr>
      <w:r>
        <w:rPr>
          <w:bCs/>
          <w:noProof/>
        </w:rPr>
        <w:t>46</w:t>
      </w:r>
      <w:r w:rsidR="00B738BC">
        <w:t>.</w:t>
      </w:r>
      <w:r w:rsidR="003A52C7">
        <w:t xml:space="preserve"> </w:t>
      </w:r>
      <w:r w:rsidR="00017CD9">
        <w:t>W omawianej sprawie</w:t>
      </w:r>
      <w:r w:rsidR="00B738BC">
        <w:t xml:space="preserve"> Trybunał stwierdza, że sporne komentarze zostały opublikowane na stronie skarżącego w okresie przedwyborczym, mniej więcej dwa tygodnie przed dniem wyborów, i że atakowały one urzędującego burmistrza kandydującego ponownie na to stanowisko. Trybunał stwierdza następnie, że sądy krajowe uznały wspomniane komentarze za materiał wyborczy o</w:t>
      </w:r>
      <w:r w:rsidR="00F27DAF">
        <w:t xml:space="preserve"> </w:t>
      </w:r>
      <w:r w:rsidR="00B738BC">
        <w:t xml:space="preserve">charakterze propagandowym, zawierający </w:t>
      </w:r>
      <w:r w:rsidR="002D6A0B">
        <w:sym w:font="Symbol" w:char="F02D"/>
      </w:r>
      <w:r w:rsidR="00B738BC">
        <w:t xml:space="preserve"> jak stwierdziły sądy </w:t>
      </w:r>
      <w:r w:rsidR="002D6A0B">
        <w:sym w:font="Symbol" w:char="F02D"/>
      </w:r>
      <w:r w:rsidR="00B738BC">
        <w:t xml:space="preserve"> informacje nieprawdziwe i naruszające cześć powoda jako kandydata w</w:t>
      </w:r>
      <w:r w:rsidR="00F27DAF">
        <w:t xml:space="preserve"> </w:t>
      </w:r>
      <w:r w:rsidR="00B738BC">
        <w:t>wyborach. W tych okolicznościach i</w:t>
      </w:r>
      <w:r w:rsidR="00CE1419">
        <w:t> </w:t>
      </w:r>
      <w:r w:rsidR="00B738BC">
        <w:t>ze</w:t>
      </w:r>
      <w:r w:rsidR="00CE1419">
        <w:t> </w:t>
      </w:r>
      <w:r w:rsidR="00B738BC">
        <w:t>względu na brzmienie wspomnianych komentarzy Trybunał jest zdania, że skarżący mógł co do zasady przewidzieć, iż zostanie uznany za</w:t>
      </w:r>
      <w:r w:rsidR="00CE1419">
        <w:t> </w:t>
      </w:r>
      <w:r w:rsidR="00B738BC">
        <w:t>odpowiedzialnego za ich rozpowszechnianie na swoim blogu</w:t>
      </w:r>
      <w:r w:rsidR="00017CD9">
        <w:t xml:space="preserve"> na</w:t>
      </w:r>
      <w:r w:rsidR="00CE1419">
        <w:t> </w:t>
      </w:r>
      <w:r w:rsidR="00017CD9">
        <w:t xml:space="preserve">podstawie </w:t>
      </w:r>
      <w:r w:rsidR="00B738BC">
        <w:t>art. 72 ustawy o wyborach samorządowych w związku z</w:t>
      </w:r>
      <w:r w:rsidR="00CE1419">
        <w:t> </w:t>
      </w:r>
      <w:r w:rsidR="00010C6D">
        <w:t>art.</w:t>
      </w:r>
      <w:r w:rsidR="00CE1419">
        <w:t> </w:t>
      </w:r>
      <w:r w:rsidR="00B738BC">
        <w:t xml:space="preserve">23 </w:t>
      </w:r>
      <w:r w:rsidR="00A71DF1">
        <w:t xml:space="preserve">i </w:t>
      </w:r>
      <w:r w:rsidR="00B738BC">
        <w:t>24 k</w:t>
      </w:r>
      <w:r w:rsidR="002D7B4E">
        <w:t>.</w:t>
      </w:r>
      <w:r w:rsidR="00B738BC">
        <w:t>c. Trybunał uważa w</w:t>
      </w:r>
      <w:r w:rsidR="00F27DAF">
        <w:t xml:space="preserve"> </w:t>
      </w:r>
      <w:r w:rsidR="00B738BC">
        <w:t>związku z tym, że wspomniana ingerencja była „przewidziana przez ustawę” w</w:t>
      </w:r>
      <w:r w:rsidR="00F27DAF">
        <w:t xml:space="preserve"> </w:t>
      </w:r>
      <w:r w:rsidR="00B738BC">
        <w:t>rozumieniu art.</w:t>
      </w:r>
      <w:r w:rsidR="00F27DAF">
        <w:t xml:space="preserve"> </w:t>
      </w:r>
      <w:r w:rsidR="00B738BC">
        <w:t>10 Konwencji (</w:t>
      </w:r>
      <w:r w:rsidR="00B738BC">
        <w:rPr>
          <w:bCs/>
          <w:i/>
        </w:rPr>
        <w:t>mutatis mutandis,</w:t>
      </w:r>
      <w:r w:rsidR="00B738BC">
        <w:t xml:space="preserve"> </w:t>
      </w:r>
      <w:r w:rsidR="00B738BC">
        <w:rPr>
          <w:bCs/>
          <w:i/>
        </w:rPr>
        <w:t>Magyar Tartalomszolgáltatók Egyesülete i</w:t>
      </w:r>
      <w:r w:rsidR="00CE1419">
        <w:rPr>
          <w:bCs/>
          <w:i/>
        </w:rPr>
        <w:t> </w:t>
      </w:r>
      <w:r w:rsidR="00B738BC">
        <w:rPr>
          <w:bCs/>
          <w:i/>
        </w:rPr>
        <w:t>Index.hu Zrt</w:t>
      </w:r>
      <w:r w:rsidR="00B738BC">
        <w:t xml:space="preserve"> </w:t>
      </w:r>
      <w:r w:rsidR="00B738BC">
        <w:rPr>
          <w:bCs/>
          <w:i/>
        </w:rPr>
        <w:t>p. Węgrom,</w:t>
      </w:r>
      <w:r w:rsidR="00B738BC">
        <w:t xml:space="preserve"> wyżej wymieniony, § 51).</w:t>
      </w:r>
    </w:p>
    <w:p w14:paraId="5917D9B4" w14:textId="1F2CBFED" w:rsidR="00B738BC" w:rsidRPr="00330FE9" w:rsidRDefault="009D08D3" w:rsidP="00330FE9">
      <w:pPr>
        <w:pStyle w:val="JuPara"/>
        <w:rPr>
          <w:bCs/>
        </w:rPr>
      </w:pPr>
      <w:r>
        <w:rPr>
          <w:bCs/>
          <w:noProof/>
        </w:rPr>
        <w:t>47</w:t>
      </w:r>
      <w:r w:rsidR="00B738BC">
        <w:t>.</w:t>
      </w:r>
      <w:r w:rsidR="003A52C7">
        <w:t xml:space="preserve"> </w:t>
      </w:r>
      <w:r w:rsidR="00B738BC">
        <w:t>Trybunał zauważa, że ingerencja miała u</w:t>
      </w:r>
      <w:r w:rsidR="002D7B4E">
        <w:t>praw</w:t>
      </w:r>
      <w:r w:rsidR="00B738BC">
        <w:t>niony cel przewidziany w art.</w:t>
      </w:r>
      <w:bookmarkStart w:id="3" w:name="0100000C"/>
      <w:bookmarkEnd w:id="3"/>
      <w:r w:rsidR="00B738BC">
        <w:t xml:space="preserve"> 10</w:t>
      </w:r>
      <w:r w:rsidR="002D7B4E" w:rsidRPr="002D7B4E">
        <w:t xml:space="preserve"> </w:t>
      </w:r>
      <w:r w:rsidR="002D7B4E">
        <w:t>ust. 2</w:t>
      </w:r>
      <w:r w:rsidR="00B738BC">
        <w:t>, czyli ochronę dobrego imienia innych osób, w</w:t>
      </w:r>
      <w:r w:rsidR="00CE1419">
        <w:t> </w:t>
      </w:r>
      <w:r w:rsidR="00B738BC">
        <w:t xml:space="preserve">szczególności B.K. jako kandydata w wyborach samorządowych. Pozostaje do ustalenia, czy była ona </w:t>
      </w:r>
      <w:r w:rsidR="00A71DF1">
        <w:t>„</w:t>
      </w:r>
      <w:r w:rsidR="00D069DB">
        <w:t xml:space="preserve">niezbędna </w:t>
      </w:r>
      <w:r w:rsidR="00B738BC">
        <w:t>w społeczeństwie demokratycznym”.</w:t>
      </w:r>
    </w:p>
    <w:p w14:paraId="0307BB57" w14:textId="7B378ACC" w:rsidR="00B738BC" w:rsidRPr="00330FE9" w:rsidRDefault="009D08D3" w:rsidP="00330FE9">
      <w:pPr>
        <w:pStyle w:val="JuPara"/>
        <w:rPr>
          <w:bCs/>
        </w:rPr>
      </w:pPr>
      <w:r>
        <w:rPr>
          <w:bCs/>
          <w:noProof/>
        </w:rPr>
        <w:t>48</w:t>
      </w:r>
      <w:r w:rsidR="00B738BC">
        <w:t>.</w:t>
      </w:r>
      <w:r w:rsidR="003A52C7">
        <w:t xml:space="preserve"> </w:t>
      </w:r>
      <w:r w:rsidR="00B738BC">
        <w:t xml:space="preserve">Trybunał odnosi się w tym względzie do podstawowych zasad, które wywodzą się z </w:t>
      </w:r>
      <w:r w:rsidR="002D7B4E">
        <w:t xml:space="preserve">jego </w:t>
      </w:r>
      <w:r w:rsidR="00B738BC">
        <w:t>orzecznictwa w tym zakresie (</w:t>
      </w:r>
      <w:r w:rsidR="00152839">
        <w:t>zob.</w:t>
      </w:r>
      <w:r w:rsidR="00B738BC">
        <w:t xml:space="preserve">, wśród wielu innych, </w:t>
      </w:r>
      <w:r w:rsidR="00B738BC">
        <w:rPr>
          <w:bCs/>
          <w:i/>
        </w:rPr>
        <w:t>Hertel p. Szwajcarii</w:t>
      </w:r>
      <w:r w:rsidR="00B738BC">
        <w:t xml:space="preserve">, 25 sierpnia 1998, § 46, </w:t>
      </w:r>
      <w:r w:rsidR="00F9043C">
        <w:t>Zbiór orzeczeń</w:t>
      </w:r>
      <w:r w:rsidR="00B738BC">
        <w:t xml:space="preserve"> 1998-VI; </w:t>
      </w:r>
      <w:r w:rsidR="00B738BC">
        <w:rPr>
          <w:bCs/>
          <w:i/>
        </w:rPr>
        <w:t xml:space="preserve">Steel </w:t>
      </w:r>
      <w:r w:rsidR="002D6A0B">
        <w:rPr>
          <w:bCs/>
          <w:i/>
        </w:rPr>
        <w:lastRenderedPageBreak/>
        <w:t>i</w:t>
      </w:r>
      <w:r w:rsidR="00CE1419">
        <w:rPr>
          <w:bCs/>
          <w:i/>
        </w:rPr>
        <w:t> </w:t>
      </w:r>
      <w:r w:rsidR="00B738BC">
        <w:rPr>
          <w:bCs/>
          <w:i/>
        </w:rPr>
        <w:t>Morris p.</w:t>
      </w:r>
      <w:r w:rsidR="00F27DAF">
        <w:rPr>
          <w:bCs/>
          <w:i/>
        </w:rPr>
        <w:t xml:space="preserve"> </w:t>
      </w:r>
      <w:r w:rsidR="00B738BC">
        <w:rPr>
          <w:bCs/>
          <w:i/>
        </w:rPr>
        <w:t>Wielkiej Brytanii</w:t>
      </w:r>
      <w:r w:rsidR="00B738BC">
        <w:t xml:space="preserve">, nr 68416/01, § 87, </w:t>
      </w:r>
      <w:r w:rsidR="00DF4A98">
        <w:t>ETPC</w:t>
      </w:r>
      <w:r w:rsidR="00B738BC">
        <w:t xml:space="preserve"> 2005-II, </w:t>
      </w:r>
      <w:r w:rsidR="00B738BC">
        <w:rPr>
          <w:bCs/>
          <w:i/>
        </w:rPr>
        <w:t>Mouvement raëlien suisse p. Szwajcarii</w:t>
      </w:r>
      <w:r w:rsidR="00B738BC">
        <w:t xml:space="preserve"> [WI], nr 16354/ 06, § 48, </w:t>
      </w:r>
      <w:r w:rsidR="00DF4A98">
        <w:t>ETPC</w:t>
      </w:r>
      <w:r w:rsidR="00B738BC">
        <w:t xml:space="preserve"> 2012, </w:t>
      </w:r>
      <w:r w:rsidR="00B738BC">
        <w:rPr>
          <w:bCs/>
          <w:i/>
        </w:rPr>
        <w:t>Animal Defenders International p.</w:t>
      </w:r>
      <w:r w:rsidR="00F27DAF">
        <w:rPr>
          <w:bCs/>
          <w:i/>
        </w:rPr>
        <w:t xml:space="preserve"> </w:t>
      </w:r>
      <w:r w:rsidR="00B738BC">
        <w:rPr>
          <w:bCs/>
          <w:i/>
        </w:rPr>
        <w:t>Wielkiej Brytanii</w:t>
      </w:r>
      <w:r w:rsidR="00B738BC">
        <w:t xml:space="preserve"> [WI], nr 48876/08, § 100, </w:t>
      </w:r>
      <w:r w:rsidR="00DF4A98">
        <w:t>ETPC</w:t>
      </w:r>
      <w:r w:rsidR="00B738BC">
        <w:t xml:space="preserve"> 2013 i, </w:t>
      </w:r>
      <w:r w:rsidR="00B43DF0">
        <w:t>z</w:t>
      </w:r>
      <w:r w:rsidR="00F27DAF">
        <w:t xml:space="preserve"> </w:t>
      </w:r>
      <w:r w:rsidR="00B43DF0">
        <w:t>mniej odległej przeszłości</w:t>
      </w:r>
      <w:r w:rsidR="00B738BC">
        <w:t xml:space="preserve">, </w:t>
      </w:r>
      <w:r w:rsidR="00B738BC">
        <w:rPr>
          <w:bCs/>
          <w:i/>
        </w:rPr>
        <w:t>Delfi AS</w:t>
      </w:r>
      <w:r w:rsidR="00B738BC">
        <w:t xml:space="preserve"> </w:t>
      </w:r>
      <w:r w:rsidR="00B738BC">
        <w:rPr>
          <w:bCs/>
          <w:i/>
        </w:rPr>
        <w:t xml:space="preserve">p. Estonii </w:t>
      </w:r>
      <w:r w:rsidR="00B738BC">
        <w:t>[WI], nr</w:t>
      </w:r>
      <w:r w:rsidR="00CE1419">
        <w:t> </w:t>
      </w:r>
      <w:r w:rsidR="00B738BC">
        <w:t>64569/09, §</w:t>
      </w:r>
      <w:r w:rsidR="00F27DAF">
        <w:t xml:space="preserve"> </w:t>
      </w:r>
      <w:r w:rsidR="00B738BC">
        <w:t xml:space="preserve">131, </w:t>
      </w:r>
      <w:r w:rsidR="00DF4A98">
        <w:t>ETPC</w:t>
      </w:r>
      <w:r w:rsidR="00F27DAF">
        <w:t xml:space="preserve"> </w:t>
      </w:r>
      <w:r w:rsidR="00B738BC">
        <w:t>2015).</w:t>
      </w:r>
    </w:p>
    <w:p w14:paraId="5AAAB020" w14:textId="50CC5FB1" w:rsidR="00B738BC" w:rsidRPr="00330FE9" w:rsidRDefault="009D08D3" w:rsidP="00330FE9">
      <w:pPr>
        <w:pStyle w:val="JuPara"/>
        <w:rPr>
          <w:bCs/>
        </w:rPr>
      </w:pPr>
      <w:r>
        <w:rPr>
          <w:bCs/>
          <w:noProof/>
        </w:rPr>
        <w:t>49</w:t>
      </w:r>
      <w:r w:rsidR="00B738BC">
        <w:t>.</w:t>
      </w:r>
      <w:r w:rsidR="003A52C7">
        <w:t xml:space="preserve"> </w:t>
      </w:r>
      <w:r w:rsidR="00B738BC">
        <w:t>Trybunał przypomina ponadto</w:t>
      </w:r>
      <w:r w:rsidR="00BF735D">
        <w:t xml:space="preserve"> swoje</w:t>
      </w:r>
      <w:r w:rsidR="00B738BC">
        <w:t xml:space="preserve"> wcześniej</w:t>
      </w:r>
      <w:r w:rsidR="00BF735D">
        <w:t>sze stwierdzenie</w:t>
      </w:r>
      <w:r w:rsidR="00B738BC">
        <w:t>, że</w:t>
      </w:r>
      <w:r w:rsidR="00CE1419">
        <w:t> </w:t>
      </w:r>
      <w:r w:rsidR="00BF735D">
        <w:t xml:space="preserve">strony internetowe, charakteryzujące się </w:t>
      </w:r>
      <w:r w:rsidR="00B738BC">
        <w:t>dostępności</w:t>
      </w:r>
      <w:r w:rsidR="00BF735D">
        <w:t>ą</w:t>
      </w:r>
      <w:r w:rsidR="00B738BC">
        <w:t>, a także możliwości</w:t>
      </w:r>
      <w:r w:rsidR="00BF735D">
        <w:t>ą</w:t>
      </w:r>
      <w:r w:rsidR="00B738BC">
        <w:t xml:space="preserve"> przechowywania i rozpowszechniania dużej ilości danych, </w:t>
      </w:r>
      <w:r w:rsidR="00BF735D">
        <w:t xml:space="preserve">znacząco </w:t>
      </w:r>
      <w:r w:rsidR="00B738BC">
        <w:t xml:space="preserve">przyczyniają się do </w:t>
      </w:r>
      <w:r w:rsidR="00BF735D">
        <w:t>zwiększenia dostępności bieżących informacji dla ogółu społeczeństwa</w:t>
      </w:r>
      <w:r w:rsidR="00B738BC">
        <w:t xml:space="preserve"> i ogólnie ułatwiają przekaz</w:t>
      </w:r>
      <w:r w:rsidR="002D7B4E">
        <w:t>ywanie</w:t>
      </w:r>
      <w:r w:rsidR="00B738BC">
        <w:t xml:space="preserve"> informacji (</w:t>
      </w:r>
      <w:r w:rsidR="00B738BC">
        <w:rPr>
          <w:bCs/>
          <w:i/>
        </w:rPr>
        <w:t>Ahmet Yıldırım</w:t>
      </w:r>
      <w:r w:rsidR="00B738BC">
        <w:t xml:space="preserve"> </w:t>
      </w:r>
      <w:r w:rsidR="00B738BC">
        <w:rPr>
          <w:bCs/>
          <w:i/>
        </w:rPr>
        <w:t>p. Turcji,</w:t>
      </w:r>
      <w:r w:rsidR="00B738BC">
        <w:t xml:space="preserve"> nr 3111/10, § 48, </w:t>
      </w:r>
      <w:r w:rsidR="00DF4A98">
        <w:t>ETPC</w:t>
      </w:r>
      <w:r w:rsidR="00F27DAF">
        <w:t xml:space="preserve"> </w:t>
      </w:r>
      <w:r w:rsidR="00B738BC">
        <w:t xml:space="preserve">2012, </w:t>
      </w:r>
      <w:r w:rsidR="00B738BC">
        <w:rPr>
          <w:bCs/>
          <w:i/>
        </w:rPr>
        <w:t>Delfi AS</w:t>
      </w:r>
      <w:r w:rsidR="00B738BC">
        <w:t>, wyżej wymieniony, § 133). Równocześnie</w:t>
      </w:r>
      <w:r w:rsidR="004C5425">
        <w:t xml:space="preserve"> nie ulega wątpliwości, że</w:t>
      </w:r>
      <w:r w:rsidR="00B738BC">
        <w:t xml:space="preserve"> </w:t>
      </w:r>
      <w:r w:rsidR="0035432D">
        <w:t>w</w:t>
      </w:r>
      <w:r w:rsidR="00F27DAF">
        <w:t xml:space="preserve"> </w:t>
      </w:r>
      <w:r w:rsidR="0035432D">
        <w:t xml:space="preserve">przypadku </w:t>
      </w:r>
      <w:r w:rsidR="00B738BC">
        <w:t>treści i komunikacj</w:t>
      </w:r>
      <w:r w:rsidR="0035432D">
        <w:t>i</w:t>
      </w:r>
      <w:r w:rsidR="00B738BC">
        <w:t xml:space="preserve"> w Internecie </w:t>
      </w:r>
      <w:r w:rsidR="0035432D">
        <w:t>ryzyko szkód związanych z</w:t>
      </w:r>
      <w:r w:rsidR="00CE1419">
        <w:t> </w:t>
      </w:r>
      <w:r w:rsidR="00B738BC">
        <w:t>wykonywani</w:t>
      </w:r>
      <w:r w:rsidR="0035432D">
        <w:t>em</w:t>
      </w:r>
      <w:r w:rsidR="00B738BC">
        <w:t xml:space="preserve"> i korzystani</w:t>
      </w:r>
      <w:r w:rsidR="0035432D">
        <w:t>em</w:t>
      </w:r>
      <w:r w:rsidR="00B738BC">
        <w:t xml:space="preserve"> z</w:t>
      </w:r>
      <w:r w:rsidR="00F27DAF">
        <w:t xml:space="preserve"> </w:t>
      </w:r>
      <w:r w:rsidR="00B738BC">
        <w:t>praw człowieka i podstawowych wolności, w szczególności z prawa do poszanowania życia prywatnego, jest</w:t>
      </w:r>
      <w:r w:rsidR="00CE1419">
        <w:t> </w:t>
      </w:r>
      <w:r w:rsidR="00B738BC">
        <w:t xml:space="preserve">wyższe niż </w:t>
      </w:r>
      <w:r w:rsidR="0035432D">
        <w:t>w</w:t>
      </w:r>
      <w:r w:rsidR="00F27DAF">
        <w:t xml:space="preserve"> </w:t>
      </w:r>
      <w:r w:rsidR="0035432D">
        <w:t>przypadku</w:t>
      </w:r>
      <w:r w:rsidR="00B738BC">
        <w:t xml:space="preserve"> publikacji prasowych (</w:t>
      </w:r>
      <w:r w:rsidR="00B738BC">
        <w:rPr>
          <w:bCs/>
          <w:i/>
        </w:rPr>
        <w:t xml:space="preserve">Komitet redakcyjny </w:t>
      </w:r>
      <w:r w:rsidR="00B738BC">
        <w:t xml:space="preserve">Pravoye Delo </w:t>
      </w:r>
      <w:r w:rsidR="00B738BC">
        <w:rPr>
          <w:bCs/>
          <w:i/>
        </w:rPr>
        <w:t>i Shtekel p. Ukrainie</w:t>
      </w:r>
      <w:r w:rsidR="00B738BC">
        <w:t>, nr 33014/05, §§ 63</w:t>
      </w:r>
      <w:r w:rsidR="00A66865">
        <w:rPr>
          <w:rFonts w:cstheme="minorHAnsi"/>
        </w:rPr>
        <w:t>–</w:t>
      </w:r>
      <w:r w:rsidR="00B738BC">
        <w:t xml:space="preserve">64, </w:t>
      </w:r>
      <w:r w:rsidR="00DF4A98">
        <w:t>ETPC</w:t>
      </w:r>
      <w:r w:rsidR="00F27DAF">
        <w:t xml:space="preserve"> </w:t>
      </w:r>
      <w:r w:rsidR="00B738BC">
        <w:t xml:space="preserve">2011, </w:t>
      </w:r>
      <w:r w:rsidR="00B738BC">
        <w:rPr>
          <w:bCs/>
          <w:i/>
        </w:rPr>
        <w:t>Delfi AS,</w:t>
      </w:r>
      <w:r w:rsidR="00B738BC">
        <w:t xml:space="preserve"> wyżej wymieniony, § 128).</w:t>
      </w:r>
    </w:p>
    <w:p w14:paraId="6133AC51" w14:textId="6340AC40" w:rsidR="00B738BC" w:rsidRPr="00330FE9" w:rsidRDefault="009D08D3" w:rsidP="00330FE9">
      <w:pPr>
        <w:pStyle w:val="JuPara"/>
        <w:rPr>
          <w:b/>
          <w:bCs/>
        </w:rPr>
      </w:pPr>
      <w:r>
        <w:rPr>
          <w:bCs/>
          <w:noProof/>
        </w:rPr>
        <w:t>50</w:t>
      </w:r>
      <w:r w:rsidR="00B738BC">
        <w:t>.</w:t>
      </w:r>
      <w:r w:rsidR="003A52C7">
        <w:t xml:space="preserve"> </w:t>
      </w:r>
      <w:r w:rsidR="00B738BC">
        <w:t xml:space="preserve">Trybunał przypomina też, że prawo do ochrony dobrego imienia wynika </w:t>
      </w:r>
      <w:r w:rsidR="00AE184B">
        <w:sym w:font="Symbol" w:char="F02D"/>
      </w:r>
      <w:r w:rsidR="00B738BC">
        <w:t xml:space="preserve"> jako element prawa do poszanowania życia prywatnego</w:t>
      </w:r>
      <w:r w:rsidR="00332979">
        <w:t xml:space="preserve"> </w:t>
      </w:r>
      <w:r w:rsidR="00096B81">
        <w:sym w:font="Symbol" w:char="F02D"/>
      </w:r>
      <w:r w:rsidR="00096B81">
        <w:t xml:space="preserve"> </w:t>
      </w:r>
      <w:r w:rsidR="00B738BC">
        <w:t>z art. 8 Konwencji (</w:t>
      </w:r>
      <w:r w:rsidR="00B738BC">
        <w:rPr>
          <w:bCs/>
          <w:i/>
        </w:rPr>
        <w:t>Pfeifer p. Austrii</w:t>
      </w:r>
      <w:r w:rsidR="00B738BC">
        <w:t>, nr 12556/03, §</w:t>
      </w:r>
      <w:r w:rsidR="00F27DAF">
        <w:t xml:space="preserve"> </w:t>
      </w:r>
      <w:r w:rsidR="00B738BC">
        <w:t>35,15</w:t>
      </w:r>
      <w:r w:rsidR="00F27DAF">
        <w:t xml:space="preserve"> </w:t>
      </w:r>
      <w:r w:rsidR="00B738BC">
        <w:t>listopada</w:t>
      </w:r>
      <w:r w:rsidR="00F27DAF">
        <w:t xml:space="preserve"> </w:t>
      </w:r>
      <w:r w:rsidR="00B738BC">
        <w:t>2007 roku, i</w:t>
      </w:r>
      <w:r w:rsidR="00CE1419">
        <w:t> </w:t>
      </w:r>
      <w:r w:rsidR="00B738BC">
        <w:rPr>
          <w:bCs/>
          <w:i/>
        </w:rPr>
        <w:t>Polanco Torres i Movilla Polanco p.</w:t>
      </w:r>
      <w:r w:rsidR="00F27DAF">
        <w:rPr>
          <w:bCs/>
          <w:i/>
        </w:rPr>
        <w:t xml:space="preserve"> </w:t>
      </w:r>
      <w:r w:rsidR="00B738BC">
        <w:rPr>
          <w:bCs/>
          <w:i/>
        </w:rPr>
        <w:t>Hiszpanii</w:t>
      </w:r>
      <w:r w:rsidR="00B738BC">
        <w:t>, nr</w:t>
      </w:r>
      <w:r w:rsidR="00F27DAF">
        <w:t xml:space="preserve"> </w:t>
      </w:r>
      <w:r w:rsidR="00B738BC">
        <w:t>34147/06, § 40, 21</w:t>
      </w:r>
      <w:r w:rsidR="00CE1419">
        <w:t> </w:t>
      </w:r>
      <w:r w:rsidR="00B738BC">
        <w:t>września 2010 roku). Niemniej jednak, aby art.</w:t>
      </w:r>
      <w:r w:rsidR="00F27DAF">
        <w:t xml:space="preserve"> </w:t>
      </w:r>
      <w:r w:rsidR="00B738BC">
        <w:t xml:space="preserve">8 znalazł zastosowanie, naruszenie dobrego imienia </w:t>
      </w:r>
      <w:r w:rsidR="00B738BC" w:rsidRPr="00F9043C">
        <w:t xml:space="preserve">musi być odpowiednio poważne i </w:t>
      </w:r>
      <w:r w:rsidR="0069109E" w:rsidRPr="00F9043C">
        <w:t>dokonane w</w:t>
      </w:r>
      <w:r w:rsidR="00CE1419">
        <w:t> </w:t>
      </w:r>
      <w:r w:rsidR="0069109E" w:rsidRPr="00F9043C">
        <w:t xml:space="preserve">sposób </w:t>
      </w:r>
      <w:r w:rsidR="00B738BC" w:rsidRPr="00F9043C">
        <w:t>szkod</w:t>
      </w:r>
      <w:r w:rsidR="0069109E" w:rsidRPr="00F9043C">
        <w:t>zący</w:t>
      </w:r>
      <w:r w:rsidR="00F27DAF">
        <w:t xml:space="preserve"> </w:t>
      </w:r>
      <w:r w:rsidR="0069109E" w:rsidRPr="00F9043C">
        <w:t>korzystaniu</w:t>
      </w:r>
      <w:r w:rsidR="0069109E">
        <w:t xml:space="preserve"> z</w:t>
      </w:r>
      <w:r w:rsidR="00F27DAF">
        <w:t xml:space="preserve"> </w:t>
      </w:r>
      <w:r w:rsidR="0069109E">
        <w:t xml:space="preserve">osobistego prawa </w:t>
      </w:r>
      <w:r w:rsidR="00B738BC">
        <w:t>do poszanowania życia prywatnego (</w:t>
      </w:r>
      <w:r w:rsidR="00B738BC">
        <w:rPr>
          <w:bCs/>
          <w:i/>
        </w:rPr>
        <w:t>A. p. Norwegii</w:t>
      </w:r>
      <w:r w:rsidR="00B738BC">
        <w:t>, nr 28070/06, §</w:t>
      </w:r>
      <w:r w:rsidR="00F27DAF">
        <w:t xml:space="preserve"> </w:t>
      </w:r>
      <w:r w:rsidR="00B738BC">
        <w:t>64, 9 kwietnia</w:t>
      </w:r>
      <w:r w:rsidR="003A52C7">
        <w:t xml:space="preserve"> </w:t>
      </w:r>
      <w:r w:rsidR="00B738BC">
        <w:t xml:space="preserve">2009 roku, i </w:t>
      </w:r>
      <w:r w:rsidR="00B738BC">
        <w:rPr>
          <w:bCs/>
          <w:i/>
        </w:rPr>
        <w:t xml:space="preserve">Axel Springer AG p. Niemcom </w:t>
      </w:r>
      <w:r w:rsidR="00B738BC">
        <w:t>[WI], nr 39954/08, §</w:t>
      </w:r>
      <w:r w:rsidR="00F27DAF">
        <w:t xml:space="preserve"> </w:t>
      </w:r>
      <w:r w:rsidR="00B738BC">
        <w:t>83, 7</w:t>
      </w:r>
      <w:r w:rsidR="00F27DAF">
        <w:t xml:space="preserve"> </w:t>
      </w:r>
      <w:r w:rsidR="00B738BC">
        <w:t>lutego 2012 roku).</w:t>
      </w:r>
    </w:p>
    <w:p w14:paraId="16669777" w14:textId="52FA2232" w:rsidR="00B738BC" w:rsidRPr="00330FE9" w:rsidRDefault="009D08D3" w:rsidP="00330FE9">
      <w:pPr>
        <w:pStyle w:val="JuPara"/>
        <w:rPr>
          <w:bCs/>
        </w:rPr>
      </w:pPr>
      <w:r>
        <w:rPr>
          <w:bCs/>
          <w:noProof/>
        </w:rPr>
        <w:t>51</w:t>
      </w:r>
      <w:r w:rsidR="00B738BC">
        <w:t>.</w:t>
      </w:r>
      <w:r w:rsidR="003A52C7">
        <w:t xml:space="preserve"> </w:t>
      </w:r>
      <w:r w:rsidR="002D7B4E">
        <w:t>Przy badaniu konieczności</w:t>
      </w:r>
      <w:r w:rsidR="00B738BC">
        <w:t xml:space="preserve"> ograniczenia wolności wyrażania opinii w</w:t>
      </w:r>
      <w:r w:rsidR="00CE1419">
        <w:t> </w:t>
      </w:r>
      <w:r w:rsidR="00B738BC">
        <w:t>społeczeństwie demokratycznym w celu „ochrony dobr</w:t>
      </w:r>
      <w:r w:rsidR="002D7B4E">
        <w:t>ego imienia i praw innych osób”</w:t>
      </w:r>
      <w:r w:rsidR="00B738BC">
        <w:t xml:space="preserve"> </w:t>
      </w:r>
      <w:r w:rsidR="002D7B4E">
        <w:t>może zaistnieć potrzeba sprawdzenia przez Trybunał</w:t>
      </w:r>
      <w:r w:rsidR="00B738BC">
        <w:t>, czy</w:t>
      </w:r>
      <w:r w:rsidR="00CE1419">
        <w:t> </w:t>
      </w:r>
      <w:r w:rsidR="00B738BC">
        <w:t>władze krajowe zapewniły właściwą równowagę dwóch wartości gwarantowanych przez Konwencję, które w niektórych sprawach mogą ze</w:t>
      </w:r>
      <w:r w:rsidR="00CE1419">
        <w:t> </w:t>
      </w:r>
      <w:r w:rsidR="00B738BC">
        <w:t xml:space="preserve">sobą kolidować, czyli z jednej strony wolności wyrażania opinii gwarantowanej </w:t>
      </w:r>
      <w:r w:rsidR="00E96DF0">
        <w:t xml:space="preserve">przez </w:t>
      </w:r>
      <w:r w:rsidR="00B738BC">
        <w:t>art.</w:t>
      </w:r>
      <w:r w:rsidR="00F27DAF">
        <w:t xml:space="preserve"> </w:t>
      </w:r>
      <w:r w:rsidR="00B738BC">
        <w:t xml:space="preserve">10, a z drugiej </w:t>
      </w:r>
      <w:r w:rsidR="00AE184B">
        <w:sym w:font="Symbol" w:char="F02D"/>
      </w:r>
      <w:r w:rsidR="00B738BC">
        <w:t xml:space="preserve"> prawa do poszanowania życia prywatnego gwarantowanego </w:t>
      </w:r>
      <w:r w:rsidR="00E96DF0">
        <w:t xml:space="preserve">przez </w:t>
      </w:r>
      <w:r w:rsidR="00B738BC">
        <w:t>art.</w:t>
      </w:r>
      <w:r w:rsidR="00F27DAF">
        <w:t xml:space="preserve"> </w:t>
      </w:r>
      <w:r w:rsidR="00B738BC">
        <w:t>8 (</w:t>
      </w:r>
      <w:r w:rsidR="00B738BC">
        <w:rPr>
          <w:bCs/>
          <w:i/>
        </w:rPr>
        <w:t>Hachette Filipacchi Associés p.</w:t>
      </w:r>
      <w:r w:rsidR="00CE1419">
        <w:rPr>
          <w:bCs/>
          <w:i/>
        </w:rPr>
        <w:t> </w:t>
      </w:r>
      <w:r w:rsidR="00B738BC">
        <w:rPr>
          <w:bCs/>
          <w:i/>
        </w:rPr>
        <w:t>Francji</w:t>
      </w:r>
      <w:r w:rsidR="00B738BC">
        <w:t xml:space="preserve">, nr 71111/01, § 43, 14 czerwca 2007 roku, </w:t>
      </w:r>
      <w:r w:rsidR="00B738BC">
        <w:rPr>
          <w:bCs/>
          <w:i/>
        </w:rPr>
        <w:t>MGN Limited p.</w:t>
      </w:r>
      <w:r w:rsidR="00CE1419">
        <w:rPr>
          <w:bCs/>
          <w:i/>
        </w:rPr>
        <w:t> </w:t>
      </w:r>
      <w:r w:rsidR="00B738BC">
        <w:rPr>
          <w:bCs/>
          <w:i/>
        </w:rPr>
        <w:t>Wielkiej Brytanii</w:t>
      </w:r>
      <w:r w:rsidR="00B738BC">
        <w:t xml:space="preserve">, nr 39401/04, § 142, 18 stycznia 2011 roku, i </w:t>
      </w:r>
      <w:r w:rsidR="00B738BC">
        <w:rPr>
          <w:bCs/>
          <w:i/>
        </w:rPr>
        <w:t>Axel</w:t>
      </w:r>
      <w:r w:rsidR="00F27DAF">
        <w:rPr>
          <w:bCs/>
          <w:i/>
        </w:rPr>
        <w:t xml:space="preserve"> </w:t>
      </w:r>
      <w:r w:rsidR="00B738BC">
        <w:rPr>
          <w:bCs/>
          <w:i/>
        </w:rPr>
        <w:t>Springer AG</w:t>
      </w:r>
      <w:r w:rsidR="00B738BC">
        <w:t>, wyżej wymieniony, § 84).</w:t>
      </w:r>
    </w:p>
    <w:p w14:paraId="78CD6341" w14:textId="4DCA1DD7" w:rsidR="00B738BC" w:rsidRPr="00330FE9" w:rsidRDefault="009D08D3" w:rsidP="00330FE9">
      <w:pPr>
        <w:pStyle w:val="JuPara"/>
        <w:rPr>
          <w:bCs/>
        </w:rPr>
      </w:pPr>
      <w:r>
        <w:rPr>
          <w:bCs/>
          <w:noProof/>
        </w:rPr>
        <w:t>52</w:t>
      </w:r>
      <w:r w:rsidR="00B738BC">
        <w:t>.</w:t>
      </w:r>
      <w:r w:rsidR="003A52C7">
        <w:t xml:space="preserve"> </w:t>
      </w:r>
      <w:r w:rsidR="00B738BC">
        <w:t xml:space="preserve">Trybunał stwierdził już w poprzednich sprawach, że prawa gwarantowane odpowiednio </w:t>
      </w:r>
      <w:r w:rsidR="00E96DF0">
        <w:t xml:space="preserve">przez </w:t>
      </w:r>
      <w:r w:rsidR="00B738BC">
        <w:t>art. 8 i art. 10 co do zasady zasługują na</w:t>
      </w:r>
      <w:r w:rsidR="00CE1419">
        <w:t> </w:t>
      </w:r>
      <w:r w:rsidR="00B738BC">
        <w:t xml:space="preserve">równe poszanowanie, a wynik sprawy normalnie nie może różnić </w:t>
      </w:r>
      <w:r w:rsidR="00AE184B">
        <w:t xml:space="preserve">się </w:t>
      </w:r>
      <w:r w:rsidR="00B738BC">
        <w:t>w</w:t>
      </w:r>
      <w:r w:rsidR="00CE1419">
        <w:t> </w:t>
      </w:r>
      <w:r w:rsidR="00B738BC">
        <w:t xml:space="preserve">zależności od tego, czy została wniesiona do Trybunału pod kątem art. 10 Konwencji przez wydawcę </w:t>
      </w:r>
      <w:r w:rsidR="00AE184B">
        <w:t>obraźliwego artykułu, czy pod ką</w:t>
      </w:r>
      <w:r w:rsidR="00B738BC">
        <w:t>tem art.</w:t>
      </w:r>
      <w:r w:rsidR="00F27DAF">
        <w:t xml:space="preserve"> </w:t>
      </w:r>
      <w:r w:rsidR="00B738BC">
        <w:t xml:space="preserve">8 Konwencji przez osobę będącą </w:t>
      </w:r>
      <w:r w:rsidR="002D7B4E">
        <w:t xml:space="preserve">obiektem </w:t>
      </w:r>
      <w:r w:rsidR="00B738BC">
        <w:t>takiego artykułu.</w:t>
      </w:r>
      <w:r w:rsidR="003A52C7">
        <w:t xml:space="preserve"> </w:t>
      </w:r>
      <w:r w:rsidR="00B738BC">
        <w:t xml:space="preserve">Tym samym, </w:t>
      </w:r>
      <w:r w:rsidR="00B738BC">
        <w:lastRenderedPageBreak/>
        <w:t xml:space="preserve">margines oceny winien być w obu przypadkach </w:t>
      </w:r>
      <w:r w:rsidR="002D7B4E">
        <w:t xml:space="preserve">co do zasady </w:t>
      </w:r>
      <w:r w:rsidR="00B738BC">
        <w:t>taki sam (</w:t>
      </w:r>
      <w:r w:rsidR="00B738BC">
        <w:rPr>
          <w:bCs/>
          <w:i/>
        </w:rPr>
        <w:t>Axel</w:t>
      </w:r>
      <w:r w:rsidR="00CE1419">
        <w:rPr>
          <w:bCs/>
          <w:i/>
        </w:rPr>
        <w:t> </w:t>
      </w:r>
      <w:r w:rsidR="00B738BC">
        <w:rPr>
          <w:bCs/>
          <w:i/>
        </w:rPr>
        <w:t>Springer AG</w:t>
      </w:r>
      <w:r w:rsidR="00B738BC">
        <w:t xml:space="preserve">, wspomniany wyżej, § 87, i </w:t>
      </w:r>
      <w:r w:rsidR="00B738BC">
        <w:rPr>
          <w:bCs/>
          <w:i/>
        </w:rPr>
        <w:t>Von Hannover p.</w:t>
      </w:r>
      <w:r w:rsidR="00F27DAF">
        <w:rPr>
          <w:bCs/>
          <w:i/>
        </w:rPr>
        <w:t xml:space="preserve"> </w:t>
      </w:r>
      <w:r w:rsidR="00B738BC">
        <w:rPr>
          <w:bCs/>
          <w:i/>
        </w:rPr>
        <w:t>Niemcom (nr</w:t>
      </w:r>
      <w:r w:rsidR="00F27DAF">
        <w:rPr>
          <w:bCs/>
          <w:i/>
        </w:rPr>
        <w:t xml:space="preserve"> </w:t>
      </w:r>
      <w:r w:rsidR="00B738BC">
        <w:rPr>
          <w:bCs/>
          <w:i/>
        </w:rPr>
        <w:t xml:space="preserve">2) </w:t>
      </w:r>
      <w:r w:rsidR="00B738BC">
        <w:t xml:space="preserve">[WI], nry 40660/08 i 60641/08, § 106, </w:t>
      </w:r>
      <w:r w:rsidR="00DF4A98">
        <w:t>ETPC</w:t>
      </w:r>
      <w:r w:rsidR="00B738BC">
        <w:t xml:space="preserve"> 2012, wraz z</w:t>
      </w:r>
      <w:r w:rsidR="00CE1419">
        <w:t> </w:t>
      </w:r>
      <w:r w:rsidR="00B738BC">
        <w:t xml:space="preserve">odniesieniami do spraw </w:t>
      </w:r>
      <w:r w:rsidR="00B738BC">
        <w:rPr>
          <w:bCs/>
          <w:i/>
        </w:rPr>
        <w:t>Hachette Filipacchi Associés</w:t>
      </w:r>
      <w:r w:rsidR="00B738BC">
        <w:t xml:space="preserve">, wyżej wymieniony, § 41, </w:t>
      </w:r>
      <w:r w:rsidR="00B738BC">
        <w:rPr>
          <w:bCs/>
          <w:i/>
        </w:rPr>
        <w:t>Timciuc p. Rumunii</w:t>
      </w:r>
      <w:r w:rsidR="00B738BC">
        <w:t xml:space="preserve"> (</w:t>
      </w:r>
      <w:r w:rsidR="008F6A4A">
        <w:t>de</w:t>
      </w:r>
      <w:r w:rsidR="00643D36">
        <w:t>c</w:t>
      </w:r>
      <w:r w:rsidR="00B738BC">
        <w:t>.), nr 28999/03, § 144, 12 października 2010</w:t>
      </w:r>
      <w:r w:rsidR="00CE1419">
        <w:t> </w:t>
      </w:r>
      <w:r w:rsidR="00B738BC">
        <w:t xml:space="preserve">roku, i </w:t>
      </w:r>
      <w:r w:rsidR="00B738BC">
        <w:rPr>
          <w:bCs/>
          <w:i/>
        </w:rPr>
        <w:t>Mosley p. Wielkiej Brytanii</w:t>
      </w:r>
      <w:r w:rsidR="00B738BC">
        <w:t>, nr 48009/08, § 111, 10 maja 2011</w:t>
      </w:r>
      <w:r w:rsidR="00CE1419">
        <w:t> </w:t>
      </w:r>
      <w:r w:rsidR="00B738BC">
        <w:t>roku). Jeżeli do zrównoważenia tych dwóch praw przez władze krajowe doszło przy poszanowaniu kryteriów ustanowionych w</w:t>
      </w:r>
      <w:r w:rsidR="00CE1419">
        <w:t> </w:t>
      </w:r>
      <w:r w:rsidR="00B738BC">
        <w:t xml:space="preserve">orzecznictwie Trybunału, to Trybunał musiałby mieć poważne powody, aby zastąpić </w:t>
      </w:r>
      <w:r w:rsidR="00282EE2">
        <w:t xml:space="preserve">opinię </w:t>
      </w:r>
      <w:r w:rsidR="00B738BC">
        <w:t xml:space="preserve">sądów </w:t>
      </w:r>
      <w:r w:rsidR="00282EE2">
        <w:t xml:space="preserve">krajowych swoją własną opinią </w:t>
      </w:r>
      <w:r w:rsidR="00B738BC">
        <w:t>(</w:t>
      </w:r>
      <w:r w:rsidR="00B738BC">
        <w:rPr>
          <w:bCs/>
          <w:i/>
        </w:rPr>
        <w:t>Axel Springer AG</w:t>
      </w:r>
      <w:r w:rsidR="00B738BC">
        <w:t>, wyżej wymieniony, §</w:t>
      </w:r>
      <w:r w:rsidR="00F27DAF">
        <w:t xml:space="preserve"> </w:t>
      </w:r>
      <w:r w:rsidR="00B738BC">
        <w:t xml:space="preserve">88, i </w:t>
      </w:r>
      <w:r w:rsidR="00B738BC">
        <w:rPr>
          <w:bCs/>
          <w:i/>
        </w:rPr>
        <w:t>Von Hannover (nr 2)</w:t>
      </w:r>
      <w:r w:rsidR="00B738BC">
        <w:t>, wyżej wymieniony, §</w:t>
      </w:r>
      <w:r w:rsidR="00CE1419">
        <w:t> </w:t>
      </w:r>
      <w:r w:rsidR="00B738BC">
        <w:t>107, wraz z</w:t>
      </w:r>
      <w:r w:rsidR="00F27DAF">
        <w:t xml:space="preserve"> </w:t>
      </w:r>
      <w:r w:rsidR="00B738BC">
        <w:t xml:space="preserve">odniesieniami do </w:t>
      </w:r>
      <w:r w:rsidR="00B738BC">
        <w:rPr>
          <w:bCs/>
          <w:i/>
        </w:rPr>
        <w:t>MGN Limited</w:t>
      </w:r>
      <w:r w:rsidR="00B738BC">
        <w:t>, wyżej wymieniony, §§ 150 i</w:t>
      </w:r>
      <w:r w:rsidR="00CE1419">
        <w:t> </w:t>
      </w:r>
      <w:r w:rsidR="00B738BC">
        <w:t>155, i</w:t>
      </w:r>
      <w:r w:rsidR="00F27DAF">
        <w:t xml:space="preserve"> </w:t>
      </w:r>
      <w:r w:rsidR="00B738BC">
        <w:rPr>
          <w:bCs/>
          <w:i/>
        </w:rPr>
        <w:t xml:space="preserve">Palomo Sánchez i </w:t>
      </w:r>
      <w:r w:rsidR="00DF4A98">
        <w:rPr>
          <w:bCs/>
          <w:i/>
        </w:rPr>
        <w:t xml:space="preserve">Inni </w:t>
      </w:r>
      <w:r w:rsidR="00B738BC">
        <w:rPr>
          <w:bCs/>
          <w:i/>
        </w:rPr>
        <w:t>p. Hiszpanii</w:t>
      </w:r>
      <w:r w:rsidR="00B738BC">
        <w:t xml:space="preserve"> [WI], nry 28955/06, 28957/06, 28959/06 i 28964/06, §</w:t>
      </w:r>
      <w:r w:rsidR="00F27DAF">
        <w:t xml:space="preserve"> </w:t>
      </w:r>
      <w:r w:rsidR="00B738BC">
        <w:t>57, 12 września 2011 roku). Innymi słowy, Trybunał przyznaje ogólnie państwu szeroki margines oceny w sytuacji konieczności znalezienia równowagi pomiędzy sprzecznymi interesami prywatnymi lub różnymi prawami gwarantowanymi przez Konwencję (</w:t>
      </w:r>
      <w:r w:rsidR="00B738BC">
        <w:rPr>
          <w:bCs/>
          <w:i/>
        </w:rPr>
        <w:t>Evans p. Wielkiej Brytanii</w:t>
      </w:r>
      <w:r w:rsidR="00B738BC">
        <w:t xml:space="preserve"> [WI], nr 6339/05, §</w:t>
      </w:r>
      <w:r w:rsidR="00F27DAF">
        <w:t xml:space="preserve"> </w:t>
      </w:r>
      <w:r w:rsidR="00B738BC">
        <w:t xml:space="preserve">77, </w:t>
      </w:r>
      <w:r w:rsidR="00DF4A98">
        <w:t>ETPC</w:t>
      </w:r>
      <w:r w:rsidR="00F27DAF">
        <w:t xml:space="preserve"> </w:t>
      </w:r>
      <w:r w:rsidR="00B738BC">
        <w:t xml:space="preserve">2007-I, </w:t>
      </w:r>
      <w:r w:rsidR="00B738BC">
        <w:rPr>
          <w:bCs/>
          <w:i/>
        </w:rPr>
        <w:t xml:space="preserve">Chassagnou i </w:t>
      </w:r>
      <w:r w:rsidR="00DF4A98">
        <w:rPr>
          <w:bCs/>
          <w:i/>
        </w:rPr>
        <w:t xml:space="preserve">Inni </w:t>
      </w:r>
      <w:r w:rsidR="00C402C7">
        <w:rPr>
          <w:bCs/>
          <w:i/>
        </w:rPr>
        <w:t>p</w:t>
      </w:r>
      <w:r w:rsidR="00B738BC">
        <w:rPr>
          <w:bCs/>
          <w:i/>
        </w:rPr>
        <w:t>. Francji</w:t>
      </w:r>
      <w:r w:rsidR="00B738BC">
        <w:t xml:space="preserve"> [WI], nry</w:t>
      </w:r>
      <w:r w:rsidR="00F27DAF">
        <w:t xml:space="preserve"> </w:t>
      </w:r>
      <w:r w:rsidR="00B738BC">
        <w:t>25088/94, 28331/95 i 28443/95, §</w:t>
      </w:r>
      <w:r w:rsidR="00CE1419">
        <w:t> </w:t>
      </w:r>
      <w:r w:rsidR="00B738BC">
        <w:t xml:space="preserve">113, </w:t>
      </w:r>
      <w:r w:rsidR="00DF4A98">
        <w:t>ETPC</w:t>
      </w:r>
      <w:r w:rsidR="00B738BC">
        <w:t xml:space="preserve"> 1999-III, i </w:t>
      </w:r>
      <w:r w:rsidR="00B738BC">
        <w:rPr>
          <w:bCs/>
          <w:i/>
        </w:rPr>
        <w:t xml:space="preserve">Ashby Donald i </w:t>
      </w:r>
      <w:r w:rsidR="00DF4A98">
        <w:rPr>
          <w:bCs/>
          <w:i/>
        </w:rPr>
        <w:t xml:space="preserve">Inni </w:t>
      </w:r>
      <w:r w:rsidR="00B738BC">
        <w:rPr>
          <w:bCs/>
          <w:i/>
        </w:rPr>
        <w:t>p. Francji</w:t>
      </w:r>
      <w:r w:rsidR="00B738BC">
        <w:t>, nr 36769/08, § 40, 10 stycznia 2013 roku).</w:t>
      </w:r>
    </w:p>
    <w:p w14:paraId="7A65A933" w14:textId="77138B70" w:rsidR="00B738BC" w:rsidRPr="00330FE9" w:rsidRDefault="009D08D3" w:rsidP="00330FE9">
      <w:pPr>
        <w:pStyle w:val="JuPara"/>
        <w:rPr>
          <w:bCs/>
        </w:rPr>
      </w:pPr>
      <w:r>
        <w:rPr>
          <w:bCs/>
          <w:noProof/>
        </w:rPr>
        <w:t>53</w:t>
      </w:r>
      <w:r w:rsidR="00B738BC">
        <w:t>.</w:t>
      </w:r>
      <w:r w:rsidR="003A52C7">
        <w:t xml:space="preserve"> </w:t>
      </w:r>
      <w:r w:rsidR="00B738BC">
        <w:t>Trybunał przypomina, że dokonując takiej oceny w sprawach, w</w:t>
      </w:r>
      <w:r w:rsidR="00CE1419">
        <w:t> </w:t>
      </w:r>
      <w:r w:rsidR="00B738BC">
        <w:t>których główny podmiot pełnił rolę podmiotu pośredniczącego w</w:t>
      </w:r>
      <w:r w:rsidR="00CE1419">
        <w:t> </w:t>
      </w:r>
      <w:r w:rsidR="00B738BC">
        <w:t xml:space="preserve">realizacji usług internetowych, sam wymienił szereg istotnych czynników: kontekst, w jaki wpisują się komentarze; środki zastosowane przez nośnik publikacji, aby zapobiec </w:t>
      </w:r>
      <w:r w:rsidR="006F7C1F">
        <w:t xml:space="preserve">publikowaniu </w:t>
      </w:r>
      <w:r w:rsidR="00B738BC">
        <w:t xml:space="preserve">zniesławiających komentarzy lub je usunąć; </w:t>
      </w:r>
      <w:r w:rsidR="006F7C1F">
        <w:t xml:space="preserve">ustalenie, czy </w:t>
      </w:r>
      <w:r w:rsidR="00B738BC">
        <w:t xml:space="preserve">odpowiedzialność </w:t>
      </w:r>
      <w:r w:rsidR="00C4172A">
        <w:t xml:space="preserve">powinna </w:t>
      </w:r>
      <w:r w:rsidR="006F7C1F">
        <w:t>ciąży</w:t>
      </w:r>
      <w:r w:rsidR="00C4172A">
        <w:t>ć raczej</w:t>
      </w:r>
      <w:r w:rsidR="006F7C1F">
        <w:t xml:space="preserve"> na autorze </w:t>
      </w:r>
      <w:r w:rsidR="00B738BC">
        <w:t xml:space="preserve">komentarza, czy </w:t>
      </w:r>
      <w:r w:rsidR="006F7C1F">
        <w:t>podmiocie pośredniczącym</w:t>
      </w:r>
      <w:r w:rsidR="00B738BC">
        <w:t>, a także konsekwencj</w:t>
      </w:r>
      <w:r w:rsidR="006F7C1F">
        <w:t>e</w:t>
      </w:r>
      <w:r w:rsidR="00B738BC">
        <w:t xml:space="preserve"> postępowania wewnętrznego dla danego </w:t>
      </w:r>
      <w:r w:rsidR="00B738BC" w:rsidRPr="00F9043C">
        <w:t>nośnika publikacji</w:t>
      </w:r>
      <w:r w:rsidR="00B738BC">
        <w:t xml:space="preserve"> (</w:t>
      </w:r>
      <w:r w:rsidR="00B738BC">
        <w:rPr>
          <w:bCs/>
          <w:i/>
        </w:rPr>
        <w:t>Delfi AS,</w:t>
      </w:r>
      <w:r w:rsidR="00B738BC">
        <w:t xml:space="preserve"> wyżej wymieniony, §§ 142-143).</w:t>
      </w:r>
    </w:p>
    <w:p w14:paraId="2918FBA5" w14:textId="1A814B85" w:rsidR="00B738BC" w:rsidRPr="00330FE9" w:rsidRDefault="009D08D3" w:rsidP="00330FE9">
      <w:pPr>
        <w:pStyle w:val="JuPara"/>
        <w:rPr>
          <w:bCs/>
        </w:rPr>
      </w:pPr>
      <w:r>
        <w:rPr>
          <w:bCs/>
          <w:noProof/>
        </w:rPr>
        <w:t>54</w:t>
      </w:r>
      <w:r w:rsidR="00B738BC">
        <w:t>.</w:t>
      </w:r>
      <w:r w:rsidR="003A52C7">
        <w:t xml:space="preserve"> </w:t>
      </w:r>
      <w:r w:rsidR="00B738BC">
        <w:t>W omawian</w:t>
      </w:r>
      <w:r w:rsidR="00C4172A">
        <w:t>ej sprawie</w:t>
      </w:r>
      <w:r w:rsidR="00B738BC">
        <w:t>, odnośnie do kontekstu, w jakim pojawiały się wspomniane komentarze, Trybunał stwierdza, że sądy krajowe uznały je</w:t>
      </w:r>
      <w:r w:rsidR="00CE1419">
        <w:t> </w:t>
      </w:r>
      <w:r w:rsidR="00B738BC">
        <w:t>za</w:t>
      </w:r>
      <w:r w:rsidR="00CE1419">
        <w:t> </w:t>
      </w:r>
      <w:r w:rsidR="00B738BC">
        <w:t>zniesławiające B.K. i naruszające jego dobre imię jako kandydata w</w:t>
      </w:r>
      <w:r w:rsidR="00CE1419">
        <w:t> </w:t>
      </w:r>
      <w:r w:rsidR="00B738BC">
        <w:t>wyborach samorządowych (</w:t>
      </w:r>
      <w:r w:rsidR="00152839">
        <w:t>zob. paragrafy</w:t>
      </w:r>
      <w:r w:rsidR="00B738BC">
        <w:t xml:space="preserve"> 13</w:t>
      </w:r>
      <w:r w:rsidR="00FE3519">
        <w:rPr>
          <w:rFonts w:cstheme="minorHAnsi"/>
        </w:rPr>
        <w:t>–</w:t>
      </w:r>
      <w:r w:rsidR="00B738BC">
        <w:t>15). Trybunał nie</w:t>
      </w:r>
      <w:r w:rsidR="00CE1419">
        <w:t> </w:t>
      </w:r>
      <w:r w:rsidR="00B738BC">
        <w:t>dostrzega żadnego powodu, aby odstąpić od wniosku, do jakiego doszły w</w:t>
      </w:r>
      <w:r w:rsidR="00F27DAF">
        <w:t xml:space="preserve"> </w:t>
      </w:r>
      <w:r w:rsidR="00B738BC">
        <w:t>tej kwestii sądy krajowe, zważywszy na brzmienie spornych komentarzy.</w:t>
      </w:r>
    </w:p>
    <w:p w14:paraId="3E7AB4FE" w14:textId="69968A2E" w:rsidR="00B738BC" w:rsidRPr="00330FE9" w:rsidRDefault="009D08D3" w:rsidP="00330FE9">
      <w:pPr>
        <w:pStyle w:val="JuPara"/>
        <w:rPr>
          <w:bCs/>
        </w:rPr>
      </w:pPr>
      <w:r>
        <w:rPr>
          <w:bCs/>
          <w:noProof/>
        </w:rPr>
        <w:t>55</w:t>
      </w:r>
      <w:r w:rsidR="00B738BC">
        <w:t>.</w:t>
      </w:r>
      <w:r w:rsidR="003A52C7">
        <w:t xml:space="preserve"> </w:t>
      </w:r>
      <w:r w:rsidR="00B738BC">
        <w:t>Trybunał zauważa następnie, że strona internetowa, na której zostały opublikowane sporne komentarze, była administrowana przez skarżącego bezpłatnie i że w praktyce miała ona znaczenie tylko dla mieszkańców gminy, w której mieszkał też sam zainteresowany (</w:t>
      </w:r>
      <w:r w:rsidR="00B738BC" w:rsidRPr="007C6EDE">
        <w:rPr>
          <w:i/>
        </w:rPr>
        <w:t>mutatis mutandis Magyar Tartalomszolgáltatók Egyesülete i Index.hu Zrt</w:t>
      </w:r>
      <w:r w:rsidR="00B738BC">
        <w:t xml:space="preserve">, wyżej wymieniony, § 64, </w:t>
      </w:r>
      <w:r w:rsidR="00B738BC" w:rsidRPr="007C6EDE">
        <w:rPr>
          <w:i/>
        </w:rPr>
        <w:t>Phil</w:t>
      </w:r>
      <w:r w:rsidR="00B738BC">
        <w:t xml:space="preserve">, wyżej wymieniony, § 31, i </w:t>
      </w:r>
      <w:r w:rsidR="00B738BC" w:rsidRPr="007C6EDE">
        <w:rPr>
          <w:i/>
        </w:rPr>
        <w:t>a contrario Delfi AS</w:t>
      </w:r>
      <w:r w:rsidR="00B738BC">
        <w:t>, wyżej wymieniony, § 144).</w:t>
      </w:r>
      <w:r w:rsidR="003A52C7">
        <w:t xml:space="preserve"> </w:t>
      </w:r>
      <w:r w:rsidR="00B738BC">
        <w:t xml:space="preserve">Trybunał </w:t>
      </w:r>
      <w:r w:rsidR="00FE3519">
        <w:t xml:space="preserve">stwierdza </w:t>
      </w:r>
      <w:r w:rsidR="00B738BC">
        <w:t>ponadto, że sądy krajowe uznały przydatność wspomnianej strony internetowej dla wspomnianej społe</w:t>
      </w:r>
      <w:r w:rsidR="00C4172A">
        <w:t>czności. Zauważa, że w omawianej sprawie</w:t>
      </w:r>
      <w:r w:rsidR="00B738BC">
        <w:t xml:space="preserve"> nie zostało podniesione, </w:t>
      </w:r>
      <w:r w:rsidR="00B738BC">
        <w:lastRenderedPageBreak/>
        <w:t>iż</w:t>
      </w:r>
      <w:r w:rsidR="00CE1419">
        <w:t> </w:t>
      </w:r>
      <w:r w:rsidR="00B738BC">
        <w:t>sporne komentarze miałyby być reakcją na słowa samego skarżącego lub</w:t>
      </w:r>
      <w:r w:rsidR="00CE1419">
        <w:t> </w:t>
      </w:r>
      <w:r w:rsidR="00B738BC">
        <w:t>że on sam miałby je w jakikolwiek sposób podsycać (</w:t>
      </w:r>
      <w:r w:rsidR="00B738BC">
        <w:rPr>
          <w:bCs/>
          <w:i/>
        </w:rPr>
        <w:t>Magyar Tartalomszolgáltatók Egyesülete i Index.hu Zrt,</w:t>
      </w:r>
      <w:r w:rsidR="00B738BC">
        <w:t xml:space="preserve"> wyżej wymieniony, § 73).</w:t>
      </w:r>
    </w:p>
    <w:p w14:paraId="047E5C21" w14:textId="2EA4E86C" w:rsidR="00B738BC" w:rsidRPr="00330FE9" w:rsidRDefault="009D08D3" w:rsidP="00330FE9">
      <w:pPr>
        <w:pStyle w:val="JuPara"/>
        <w:rPr>
          <w:bCs/>
        </w:rPr>
      </w:pPr>
      <w:r>
        <w:rPr>
          <w:bCs/>
          <w:noProof/>
        </w:rPr>
        <w:t>56</w:t>
      </w:r>
      <w:r w:rsidR="00B738BC">
        <w:t>.</w:t>
      </w:r>
      <w:r w:rsidR="003A52C7">
        <w:t xml:space="preserve"> </w:t>
      </w:r>
      <w:r w:rsidR="00B738BC">
        <w:t>Trybunał stwierdza, że w omawian</w:t>
      </w:r>
      <w:r w:rsidR="00C4172A">
        <w:t>ej sprawie</w:t>
      </w:r>
      <w:r w:rsidR="00B738BC">
        <w:t xml:space="preserve"> skarżący zdecydował się umożliwić internautom pozostawianie komentarzy bez wcześniejszego logowania, ale równocześnie zastosował pewne środki w</w:t>
      </w:r>
      <w:r w:rsidR="00F27DAF">
        <w:t xml:space="preserve"> </w:t>
      </w:r>
      <w:r w:rsidR="00B738BC">
        <w:t xml:space="preserve">celu wykrywania treści potencjalnie bezprawnych. Stwierdza tym samym, że strona internetowa zainteresowanego miała </w:t>
      </w:r>
      <w:r w:rsidR="00B738BC" w:rsidRPr="009714D8">
        <w:t>system powiadamiania o</w:t>
      </w:r>
      <w:r w:rsidR="00F27DAF" w:rsidRPr="009714D8">
        <w:t xml:space="preserve"> </w:t>
      </w:r>
      <w:r w:rsidR="00B738BC" w:rsidRPr="009714D8">
        <w:t>nowych treściach, a treści na niej publikowane były doraźnie kontrolowane przez osob</w:t>
      </w:r>
      <w:r w:rsidR="008F6A4A" w:rsidRPr="009714D8">
        <w:t>ę</w:t>
      </w:r>
      <w:r w:rsidR="00B738BC" w:rsidRPr="009714D8">
        <w:t xml:space="preserve"> bliską zainteresowanemu. Trybunał zauważa ponadto, że skarżący zamieścił zalecenie dla internautów, by stosowali</w:t>
      </w:r>
      <w:r w:rsidR="00B738BC">
        <w:t xml:space="preserve"> zasady dobrego wychowania i przestrzegali praw innych osób (</w:t>
      </w:r>
      <w:r w:rsidR="00152839">
        <w:t xml:space="preserve">zob. paragrafy </w:t>
      </w:r>
      <w:r w:rsidR="00B738BC">
        <w:t>6</w:t>
      </w:r>
      <w:r w:rsidR="007045F3">
        <w:rPr>
          <w:rFonts w:cstheme="minorHAnsi"/>
        </w:rPr>
        <w:t>–</w:t>
      </w:r>
      <w:r w:rsidR="00B738BC">
        <w:t>7).</w:t>
      </w:r>
    </w:p>
    <w:p w14:paraId="7EA10805" w14:textId="53B54FD8" w:rsidR="00B738BC" w:rsidRPr="00330FE9" w:rsidRDefault="009D08D3" w:rsidP="00330FE9">
      <w:pPr>
        <w:pStyle w:val="JuPara"/>
        <w:rPr>
          <w:bCs/>
        </w:rPr>
      </w:pPr>
      <w:r>
        <w:rPr>
          <w:bCs/>
          <w:noProof/>
        </w:rPr>
        <w:t>57</w:t>
      </w:r>
      <w:r w:rsidR="00B738BC">
        <w:t>.</w:t>
      </w:r>
      <w:r w:rsidR="003A52C7">
        <w:t xml:space="preserve"> </w:t>
      </w:r>
      <w:r w:rsidR="00B738BC">
        <w:t xml:space="preserve">Trybunał </w:t>
      </w:r>
      <w:r w:rsidR="00C4172A">
        <w:t>odnotowuje</w:t>
      </w:r>
      <w:r w:rsidR="00B738BC">
        <w:t xml:space="preserve">, że skarżący usunął sporne komentarze </w:t>
      </w:r>
      <w:r w:rsidR="00C4172A">
        <w:t xml:space="preserve">niezwłocznie </w:t>
      </w:r>
      <w:r w:rsidR="00B738BC">
        <w:t>po otrzymaniu informacji o ich opublikowaniu (porównaj z</w:t>
      </w:r>
      <w:r w:rsidR="00CE1419">
        <w:t> </w:t>
      </w:r>
      <w:r w:rsidR="00B738BC">
        <w:rPr>
          <w:bCs/>
          <w:i/>
        </w:rPr>
        <w:t xml:space="preserve">Delfi AS </w:t>
      </w:r>
      <w:r w:rsidR="00B738BC">
        <w:t>i</w:t>
      </w:r>
      <w:r w:rsidR="00B738BC">
        <w:rPr>
          <w:bCs/>
          <w:i/>
        </w:rPr>
        <w:t xml:space="preserve"> Phil</w:t>
      </w:r>
      <w:r w:rsidR="00B738BC">
        <w:t xml:space="preserve">, sprawy wyżej wymienione, w których bezprawne treści pozostawały dostępne w </w:t>
      </w:r>
      <w:r w:rsidR="007045F3">
        <w:t>I</w:t>
      </w:r>
      <w:r w:rsidR="00B738BC">
        <w:t xml:space="preserve">nternecie odpowiednio przez sześć tygodni i przez dziewięć dni). Dodatkowo zastosował </w:t>
      </w:r>
      <w:r w:rsidR="00120BC4">
        <w:t xml:space="preserve">on </w:t>
      </w:r>
      <w:r w:rsidR="00B738BC">
        <w:t>czasową kontrolę dostępu i</w:t>
      </w:r>
      <w:r w:rsidR="00CE1419">
        <w:t> </w:t>
      </w:r>
      <w:r w:rsidR="00B738BC">
        <w:t>obowiązek wcześniejszego logowania się użytkowników poprzez adres mailowy (</w:t>
      </w:r>
      <w:r w:rsidR="00152839">
        <w:t>zob. paragrafy</w:t>
      </w:r>
      <w:r w:rsidR="00F9043C">
        <w:t xml:space="preserve"> </w:t>
      </w:r>
      <w:r w:rsidR="00B738BC">
        <w:t>9</w:t>
      </w:r>
      <w:r w:rsidR="007045F3">
        <w:rPr>
          <w:rFonts w:cstheme="minorHAnsi"/>
        </w:rPr>
        <w:t>–</w:t>
      </w:r>
      <w:r w:rsidR="00B738BC">
        <w:t>10).</w:t>
      </w:r>
    </w:p>
    <w:p w14:paraId="02BDA434" w14:textId="3524803C" w:rsidR="00B738BC" w:rsidRPr="00330FE9" w:rsidRDefault="009D08D3" w:rsidP="00330FE9">
      <w:pPr>
        <w:pStyle w:val="JuPara"/>
        <w:rPr>
          <w:bCs/>
        </w:rPr>
      </w:pPr>
      <w:r>
        <w:rPr>
          <w:bCs/>
          <w:noProof/>
        </w:rPr>
        <w:t>58</w:t>
      </w:r>
      <w:r w:rsidR="00B738BC">
        <w:t>.</w:t>
      </w:r>
      <w:r w:rsidR="003A52C7">
        <w:t xml:space="preserve"> </w:t>
      </w:r>
      <w:r w:rsidR="00B738BC">
        <w:t>Trybunał zauważa, że sądy krajowe zarzuciły skarżącemu zastosowanie niewystarczających środków w celu przeciwdziałania rozpowszechnianiu wspomnianych komentarzy. Jednak sam Trybunał stoi na stanowisku, że wymaganie od skarżącego, by wychodził z założenia, że</w:t>
      </w:r>
      <w:r w:rsidR="00CE1419">
        <w:t> </w:t>
      </w:r>
      <w:r w:rsidR="00B738BC">
        <w:t xml:space="preserve">niektóre nieprzefiltrowane komentarze mogą być sprzeczne z prawem, oznaczałoby wymaganie od niego nadmiernej i nierealistycznej zdolności przewidywania, co mogłoby </w:t>
      </w:r>
      <w:r w:rsidR="00120BC4">
        <w:t>zagrozić prawu</w:t>
      </w:r>
      <w:r w:rsidR="00B738BC">
        <w:t xml:space="preserve"> do </w:t>
      </w:r>
      <w:r w:rsidR="007C6EDE">
        <w:t xml:space="preserve">przekazywania informacji przez </w:t>
      </w:r>
      <w:r w:rsidR="001E634F">
        <w:t>I</w:t>
      </w:r>
      <w:r w:rsidR="00B738BC">
        <w:t>nternet (</w:t>
      </w:r>
      <w:r w:rsidR="00B738BC">
        <w:rPr>
          <w:bCs/>
          <w:i/>
        </w:rPr>
        <w:t>Magyar Tartalomszolgáltatók Egyesülete i Index.hu Zrt</w:t>
      </w:r>
      <w:r w:rsidR="00B738BC">
        <w:t>, wyżej wymieniony, §</w:t>
      </w:r>
      <w:r w:rsidR="00F27DAF">
        <w:t xml:space="preserve"> </w:t>
      </w:r>
      <w:r w:rsidR="00B738BC">
        <w:t xml:space="preserve">82, </w:t>
      </w:r>
      <w:r w:rsidR="00B738BC">
        <w:rPr>
          <w:bCs/>
          <w:i/>
        </w:rPr>
        <w:t>P</w:t>
      </w:r>
      <w:r w:rsidR="003573C0">
        <w:rPr>
          <w:bCs/>
          <w:i/>
        </w:rPr>
        <w:t>hi</w:t>
      </w:r>
      <w:r w:rsidR="00B738BC">
        <w:rPr>
          <w:bCs/>
          <w:i/>
        </w:rPr>
        <w:t>l,</w:t>
      </w:r>
      <w:r w:rsidR="00B738BC">
        <w:t xml:space="preserve"> wyżej wymieniony, § 31).</w:t>
      </w:r>
    </w:p>
    <w:p w14:paraId="40510016" w14:textId="54585B88" w:rsidR="00B738BC" w:rsidRPr="00330FE9" w:rsidRDefault="009D08D3" w:rsidP="00330FE9">
      <w:pPr>
        <w:pStyle w:val="JuPara"/>
        <w:rPr>
          <w:bCs/>
          <w:i/>
        </w:rPr>
      </w:pPr>
      <w:r>
        <w:rPr>
          <w:bCs/>
          <w:noProof/>
        </w:rPr>
        <w:t>59</w:t>
      </w:r>
      <w:r w:rsidR="00B738BC">
        <w:t>.</w:t>
      </w:r>
      <w:r w:rsidR="003A52C7">
        <w:t xml:space="preserve"> </w:t>
      </w:r>
      <w:r w:rsidR="00B738BC">
        <w:t>Odnośnie do możliwości pociągnięcia do odpowiedzialności autora wspomnianych komentarzy, Trybunał zauważa, że poza jedną deklaracją złożoną przez samego skarżącego, wedle której istnienia takiej możliwości nie można wykluczyć, strony nie przekazały mu żadnych istotnych informacji w tej kwestii. Trybunał zauważa, że nie wydaje się, by sam B.K. podjął kiedykolwiek jakiekolwiek działania w tym celu</w:t>
      </w:r>
      <w:r w:rsidR="00AE184B">
        <w:t>;</w:t>
      </w:r>
      <w:r w:rsidR="00B738BC">
        <w:t xml:space="preserve"> zamiast tego wolał zwrócić się bezpośrednio przeciwko skarżącemu jako udostępniającemu stronę internetową, na której zostały opublikowane komentarze na jego temat. Trybunał podnosi ponadto, że w dniu złożenia przez B.K. </w:t>
      </w:r>
      <w:r w:rsidR="00516287">
        <w:t>pozwu</w:t>
      </w:r>
      <w:r w:rsidR="00B738BC">
        <w:t xml:space="preserve"> przeciwko skarżącemu, spornych komentarzy nie było już na stronie zainteresowanego.</w:t>
      </w:r>
    </w:p>
    <w:p w14:paraId="7E7D1160" w14:textId="33E9CADB" w:rsidR="00B738BC" w:rsidRPr="00330FE9" w:rsidRDefault="009D08D3" w:rsidP="00330FE9">
      <w:pPr>
        <w:pStyle w:val="JuPara"/>
        <w:rPr>
          <w:bCs/>
        </w:rPr>
      </w:pPr>
      <w:r>
        <w:rPr>
          <w:bCs/>
          <w:noProof/>
        </w:rPr>
        <w:t>60</w:t>
      </w:r>
      <w:r w:rsidR="00B738BC">
        <w:t>.</w:t>
      </w:r>
      <w:r w:rsidR="003A52C7">
        <w:t xml:space="preserve"> </w:t>
      </w:r>
      <w:r w:rsidR="00B738BC">
        <w:t xml:space="preserve">Odnośnie do konsekwencji postępowania </w:t>
      </w:r>
      <w:r w:rsidR="00365BB9">
        <w:t>krajowego</w:t>
      </w:r>
      <w:r w:rsidR="00B738BC">
        <w:t>, Trybunał zauważa, że skarżący otrzymał nakaz zaprzestania rozpowszechniania spornych wypowiedzi oraz przeproszenia za nie w formie opubl</w:t>
      </w:r>
      <w:r w:rsidR="00120BC4">
        <w:t>ikowanego ogłoszenia. Dodatkowo</w:t>
      </w:r>
      <w:r w:rsidR="00B738BC">
        <w:t xml:space="preserve"> został zobowiązany do wpłacenia kwoty 5000 zł na</w:t>
      </w:r>
      <w:r w:rsidR="00CE1419">
        <w:t> </w:t>
      </w:r>
      <w:r w:rsidR="001E634F">
        <w:t xml:space="preserve">rzecz </w:t>
      </w:r>
      <w:r w:rsidR="00B738BC">
        <w:t>organizacj</w:t>
      </w:r>
      <w:r w:rsidR="001E634F">
        <w:t>i</w:t>
      </w:r>
      <w:r w:rsidR="00B738BC">
        <w:t xml:space="preserve"> charytatywn</w:t>
      </w:r>
      <w:r w:rsidR="001E634F">
        <w:t>ej</w:t>
      </w:r>
      <w:r w:rsidR="00B738BC">
        <w:t xml:space="preserve"> oraz do zwrócenia powodowi kosztów postępowania w wysokości 240 zł (</w:t>
      </w:r>
      <w:r w:rsidR="00152839">
        <w:t>zob. paragraf</w:t>
      </w:r>
      <w:r w:rsidR="00B738BC">
        <w:t xml:space="preserve"> 12). Trybunał uważa, </w:t>
      </w:r>
      <w:r w:rsidR="00B738BC">
        <w:lastRenderedPageBreak/>
        <w:t>że</w:t>
      </w:r>
      <w:r w:rsidR="00CE1419">
        <w:t> </w:t>
      </w:r>
      <w:r w:rsidR="00B738BC">
        <w:t xml:space="preserve">wskutek łącznego zastosowania przeciwko niemu wspomnianych środków skarżący poniósł karę, która mogła zniechęcić do działania kogoś, kto </w:t>
      </w:r>
      <w:r w:rsidR="00AE184B">
        <w:sym w:font="Symbol" w:char="F02D"/>
      </w:r>
      <w:r w:rsidR="00B738BC">
        <w:t xml:space="preserve"> tak jak skarżący w omawian</w:t>
      </w:r>
      <w:r w:rsidR="00E61D68">
        <w:t>ej sprawie</w:t>
      </w:r>
      <w:r w:rsidR="00B738BC">
        <w:t xml:space="preserve"> </w:t>
      </w:r>
      <w:r w:rsidR="00AE184B">
        <w:sym w:font="Symbol" w:char="F02D"/>
      </w:r>
      <w:r w:rsidR="00B738BC">
        <w:t xml:space="preserve"> administrował w pełni bezpłatnie blog internetowy poświęcony tematom ważnym dla społeczności. W tej kwestii Trybunał przytacza swoje wcześniejsze stwierdzenia, wedle których przypisywanie odpowiedzialności </w:t>
      </w:r>
      <w:r w:rsidR="001E634F">
        <w:t>w odniesieniu do</w:t>
      </w:r>
      <w:r w:rsidR="00B738BC">
        <w:t xml:space="preserve"> komentarz</w:t>
      </w:r>
      <w:r w:rsidR="00D20569">
        <w:t>y</w:t>
      </w:r>
      <w:r w:rsidR="00B738BC">
        <w:t xml:space="preserve"> pochodząc</w:t>
      </w:r>
      <w:r w:rsidR="00D20569">
        <w:t>ych</w:t>
      </w:r>
      <w:r w:rsidR="00B738BC">
        <w:t xml:space="preserve"> od osób trzecich może mieć negatywne skutki dla</w:t>
      </w:r>
      <w:r w:rsidR="00CE1419">
        <w:t> </w:t>
      </w:r>
      <w:r w:rsidR="00B738BC">
        <w:t xml:space="preserve">zamieszczania komentarzy na portalach internetowych i zadziałać odstraszająco w zakresie wolności wyrażania opinii w </w:t>
      </w:r>
      <w:r w:rsidR="001E634F">
        <w:t>I</w:t>
      </w:r>
      <w:r w:rsidR="00B738BC">
        <w:t>nternecie (</w:t>
      </w:r>
      <w:r w:rsidR="00B738BC">
        <w:rPr>
          <w:bCs/>
          <w:i/>
        </w:rPr>
        <w:t>Magyar Tartalomszolgáltatók Egyesülete i Index.hu Zrt,</w:t>
      </w:r>
      <w:r w:rsidR="00B738BC">
        <w:t xml:space="preserve"> wyżej wymieniony § 86, </w:t>
      </w:r>
      <w:r w:rsidR="00B738BC">
        <w:rPr>
          <w:bCs/>
          <w:i/>
        </w:rPr>
        <w:t xml:space="preserve">Phil, </w:t>
      </w:r>
      <w:r w:rsidR="00B738BC">
        <w:t>wyżej wymieniony, § 35).</w:t>
      </w:r>
    </w:p>
    <w:p w14:paraId="1F10885D" w14:textId="5176D9E0" w:rsidR="00B738BC" w:rsidRPr="00330FE9" w:rsidRDefault="009D08D3" w:rsidP="00330FE9">
      <w:pPr>
        <w:pStyle w:val="JuPara"/>
      </w:pPr>
      <w:r>
        <w:rPr>
          <w:noProof/>
        </w:rPr>
        <w:t>61</w:t>
      </w:r>
      <w:r w:rsidR="00B738BC">
        <w:t>.</w:t>
      </w:r>
      <w:r w:rsidR="003A52C7">
        <w:t xml:space="preserve"> </w:t>
      </w:r>
      <w:r w:rsidR="00B738BC">
        <w:t>Trybunał zauważa na koniec, że sądy krajowe, które prowadziły postępowanie wszczęte przeciwko skarżącemu na mocy ustawy o wyborach samorządowych, nie zapewniły właściwej równowagi między prawem zainteresowanego do wolności wyrażania opinii a sprzecznym z nim prawem B.K. do poszanowania jego dobrego imienia jako kandydata w</w:t>
      </w:r>
      <w:r w:rsidR="00CE1419">
        <w:t> </w:t>
      </w:r>
      <w:r w:rsidR="00B738BC">
        <w:t>wyborach samorządowych</w:t>
      </w:r>
      <w:r w:rsidR="00120BC4">
        <w:t>. Orzeczenia sądów krajowych stanowiły</w:t>
      </w:r>
      <w:r w:rsidR="00B738BC">
        <w:t xml:space="preserve"> </w:t>
      </w:r>
      <w:r w:rsidR="00120BC4">
        <w:t>nieproporcjonalną ingerencję</w:t>
      </w:r>
      <w:r w:rsidR="00B738BC">
        <w:t xml:space="preserve"> w prawo do wolności wyrażania opinii skarżącego, nie były zatem </w:t>
      </w:r>
      <w:r w:rsidR="008F6A4A">
        <w:t>niezbędne</w:t>
      </w:r>
      <w:r w:rsidR="00B738BC">
        <w:t xml:space="preserve"> w społeczeństwie demokratycznym.</w:t>
      </w:r>
    </w:p>
    <w:p w14:paraId="584C0E42" w14:textId="57915A37" w:rsidR="00B738BC" w:rsidRPr="00330FE9" w:rsidRDefault="009D08D3" w:rsidP="00330FE9">
      <w:pPr>
        <w:pStyle w:val="JuPara"/>
      </w:pPr>
      <w:r>
        <w:rPr>
          <w:noProof/>
        </w:rPr>
        <w:t>62</w:t>
      </w:r>
      <w:r w:rsidR="00B738BC">
        <w:t>.</w:t>
      </w:r>
      <w:r w:rsidR="003A52C7">
        <w:t xml:space="preserve"> </w:t>
      </w:r>
      <w:r w:rsidR="00B738BC">
        <w:t>W związku z tym doszło do naruszenia art. 10 Konwencji.</w:t>
      </w:r>
    </w:p>
    <w:p w14:paraId="78CBD5D6" w14:textId="77777777" w:rsidR="00B738BC" w:rsidRPr="00330FE9" w:rsidRDefault="00B738BC" w:rsidP="00330FE9">
      <w:pPr>
        <w:pStyle w:val="JuHIRoman"/>
      </w:pPr>
      <w:r>
        <w:t>ZASTOSOWANIE art. 41 KONWENCJI</w:t>
      </w:r>
    </w:p>
    <w:p w14:paraId="3ED7671B" w14:textId="7E3EC2C6" w:rsidR="00B738BC" w:rsidRPr="00330FE9" w:rsidRDefault="009D08D3" w:rsidP="005E77B5">
      <w:pPr>
        <w:pStyle w:val="JuPara"/>
        <w:spacing w:after="120"/>
      </w:pPr>
      <w:r>
        <w:rPr>
          <w:noProof/>
        </w:rPr>
        <w:t>63</w:t>
      </w:r>
      <w:r w:rsidR="00B738BC">
        <w:t>.</w:t>
      </w:r>
      <w:r w:rsidR="003A52C7">
        <w:t xml:space="preserve"> </w:t>
      </w:r>
      <w:r w:rsidR="00B738BC">
        <w:t>Zgodnie z art. 41 Konwencji</w:t>
      </w:r>
    </w:p>
    <w:p w14:paraId="689B5418" w14:textId="68DA46D9" w:rsidR="00B738BC" w:rsidRPr="00330FE9" w:rsidRDefault="00B738BC" w:rsidP="005E77B5">
      <w:pPr>
        <w:pStyle w:val="JuQuot"/>
        <w:keepNext/>
        <w:keepLines/>
        <w:spacing w:before="0" w:after="0"/>
      </w:pPr>
      <w:r>
        <w:t>„</w:t>
      </w:r>
      <w:r w:rsidR="00DF4A98" w:rsidRPr="00DF4A98">
        <w:t xml:space="preserve">Jeśli Trybunał stwierdzi, że nastąpiło naruszenie Konwencji lub jej </w:t>
      </w:r>
      <w:r>
        <w:t>P</w:t>
      </w:r>
      <w:r w:rsidR="00DF4A98" w:rsidRPr="00DF4A98">
        <w:t>rotokołów, oraz jeśli prawo wewnętrzne zainteresowanej Wysokiej Układającej się Strony pozwala tylko na częściowe usunięcie konsekwencji tego naruszenia, Trybunał orzeka, gdy zachodzi potrzeba, słuszne zadośćuczynienie pokrzywdzonej stronie</w:t>
      </w:r>
      <w:r w:rsidR="003A52C7">
        <w:t>”</w:t>
      </w:r>
      <w:r w:rsidR="00DF4A98">
        <w:t>.</w:t>
      </w:r>
    </w:p>
    <w:p w14:paraId="29F5FC07" w14:textId="77777777" w:rsidR="00B738BC" w:rsidRPr="00330FE9" w:rsidRDefault="00B738BC" w:rsidP="00330FE9">
      <w:pPr>
        <w:pStyle w:val="JuHA"/>
      </w:pPr>
      <w:r>
        <w:t>Szkoda</w:t>
      </w:r>
    </w:p>
    <w:p w14:paraId="5CD2742E" w14:textId="109D0ADD" w:rsidR="00B405B6" w:rsidRPr="00330FE9" w:rsidRDefault="009D08D3" w:rsidP="00330FE9">
      <w:pPr>
        <w:pStyle w:val="JuPara"/>
      </w:pPr>
      <w:r>
        <w:rPr>
          <w:noProof/>
        </w:rPr>
        <w:t>64</w:t>
      </w:r>
      <w:r w:rsidR="00B738BC">
        <w:t>.</w:t>
      </w:r>
      <w:r w:rsidR="003A52C7">
        <w:t xml:space="preserve"> </w:t>
      </w:r>
      <w:r w:rsidR="00B738BC">
        <w:t>Skarżący dochodzi kwoty 2020 euro (EUR) z tytułu szkody majątkowej, dzieląc ją w sposób następujący: 1250 EUR z tytułu kwoty, którą wpłacił zgodnie z orzeczeniami krajowymi, 360 EUR z tytułu pożyczki bankowej, którą musiał zaciągnąć, aby spłacić tę kwotę oraz różne koszty postępowania krajowego, 60 EUR z tytułu spłaty kosztów postępowania krajowego i 350 EUR z tytułu kosztów związanych z</w:t>
      </w:r>
      <w:r w:rsidR="00CE1419">
        <w:t> </w:t>
      </w:r>
      <w:r w:rsidR="00B738BC">
        <w:t>leczeniem, jakiemu się poddał w związku z wszczętym przeciwko niemu postępowaniem krajowym. Dodatkowo domaga się kwoty 7000 EUR z</w:t>
      </w:r>
      <w:r w:rsidR="00CE1419">
        <w:t> </w:t>
      </w:r>
      <w:r w:rsidR="00B738BC">
        <w:t>tytułu słusznego zadośćuczynienia.</w:t>
      </w:r>
    </w:p>
    <w:p w14:paraId="10BFE82C" w14:textId="73B6807F" w:rsidR="00B738BC" w:rsidRPr="00330FE9" w:rsidRDefault="009D08D3" w:rsidP="00330FE9">
      <w:pPr>
        <w:pStyle w:val="JuPara"/>
      </w:pPr>
      <w:r>
        <w:rPr>
          <w:noProof/>
        </w:rPr>
        <w:t>65</w:t>
      </w:r>
      <w:r w:rsidR="00B738BC">
        <w:t>.</w:t>
      </w:r>
      <w:r w:rsidR="003A52C7">
        <w:t xml:space="preserve"> </w:t>
      </w:r>
      <w:r w:rsidR="00B738BC">
        <w:t>Rząd uważa, że żądana kwota słusznego zadośćuczynienia jest wygórowana i że nie istnie</w:t>
      </w:r>
      <w:r w:rsidR="000B2AE9">
        <w:t>je żaden związek przyczynowy mię</w:t>
      </w:r>
      <w:r w:rsidR="00B738BC">
        <w:t xml:space="preserve">dzy zarzutem naruszenia a kwotą odpowiadającą wydatkom poniesionym przez skarżącego na leczenie. Rząd uważa, że kwota żądana z tytułu kosztów </w:t>
      </w:r>
      <w:r w:rsidR="00B738BC">
        <w:lastRenderedPageBreak/>
        <w:t>postępowania krajowego odpowiada kosztom i wydatkom, a nie szkodzie majątkowej.</w:t>
      </w:r>
    </w:p>
    <w:p w14:paraId="2D3AA332" w14:textId="1A89AE55" w:rsidR="00B738BC" w:rsidRPr="00330FE9" w:rsidRDefault="009D08D3" w:rsidP="00330FE9">
      <w:pPr>
        <w:pStyle w:val="JuPara"/>
      </w:pPr>
      <w:r>
        <w:rPr>
          <w:noProof/>
        </w:rPr>
        <w:t>66</w:t>
      </w:r>
      <w:r w:rsidR="00BB0FE0">
        <w:t>.</w:t>
      </w:r>
      <w:r w:rsidR="003A52C7">
        <w:t xml:space="preserve"> </w:t>
      </w:r>
      <w:r w:rsidR="00BB0FE0">
        <w:t>Trybunał zauważa, że kwota 1250 EUR wynika ze szkody majątkowej i że skarżący wystarczająco uzasadnił swoje żądanie w</w:t>
      </w:r>
      <w:r w:rsidR="00CE1419">
        <w:t> </w:t>
      </w:r>
      <w:r w:rsidR="00BB0FE0">
        <w:t>tej</w:t>
      </w:r>
      <w:r w:rsidR="00CE1419">
        <w:t> </w:t>
      </w:r>
      <w:r w:rsidR="00BB0FE0">
        <w:t>sprawie. W związku z tym, Trybunał uznaje, że kwotę tę należy skarżącemu przyznać. Odnośnie do elementów dotyczących kosztów postępowania krajowego, Trybunał uważa, podobnie jak Rząd, że</w:t>
      </w:r>
      <w:r w:rsidR="00CE1419">
        <w:t> </w:t>
      </w:r>
      <w:r w:rsidR="00BB0FE0">
        <w:t>odpowiadają one żądaniu w zakresie kosztów i wydatków (</w:t>
      </w:r>
      <w:r w:rsidR="00BB0FE0">
        <w:rPr>
          <w:i/>
        </w:rPr>
        <w:t>mutatis mutandis</w:t>
      </w:r>
      <w:r w:rsidR="00BB0FE0">
        <w:t xml:space="preserve"> </w:t>
      </w:r>
      <w:r w:rsidR="00BB0FE0">
        <w:rPr>
          <w:i/>
        </w:rPr>
        <w:t>Dinu p. Rumunii</w:t>
      </w:r>
      <w:r w:rsidR="00BB0FE0">
        <w:t>, nr</w:t>
      </w:r>
      <w:r w:rsidR="00F27DAF">
        <w:t xml:space="preserve"> </w:t>
      </w:r>
      <w:r w:rsidR="00BB0FE0">
        <w:t>64356/14, § 90, 7 lutego 2017 roku). Odnośnie do pozostałych kwot, jakich dochodzi skarżący z tytułu szkody majątkowej, Trybunał nie dostrzega żadnego związku przyczynowego pomiędzy nimi a</w:t>
      </w:r>
      <w:r w:rsidR="00F27DAF">
        <w:t xml:space="preserve"> </w:t>
      </w:r>
      <w:r w:rsidR="00BB0FE0">
        <w:t>stwierdzonym naruszeniem i oddala tę część wniosku. Trybunał uważa jednak, że istnieją podstawy do przyznania skarżącemu kwoty 7000 EUR z</w:t>
      </w:r>
      <w:r w:rsidR="00F27DAF">
        <w:t xml:space="preserve"> </w:t>
      </w:r>
      <w:r w:rsidR="00BB0FE0">
        <w:t>tytułu szkody moralnej.</w:t>
      </w:r>
    </w:p>
    <w:p w14:paraId="3D938C62" w14:textId="77777777" w:rsidR="00B738BC" w:rsidRPr="00330FE9" w:rsidRDefault="00B738BC" w:rsidP="00330FE9">
      <w:pPr>
        <w:pStyle w:val="JuHA"/>
      </w:pPr>
      <w:r>
        <w:t>Koszty i wydatki</w:t>
      </w:r>
    </w:p>
    <w:p w14:paraId="607D4F8F" w14:textId="09876BB7" w:rsidR="00B738BC" w:rsidRPr="00330FE9" w:rsidRDefault="009D08D3" w:rsidP="00330FE9">
      <w:pPr>
        <w:pStyle w:val="JuPara"/>
      </w:pPr>
      <w:r>
        <w:rPr>
          <w:noProof/>
        </w:rPr>
        <w:t>67</w:t>
      </w:r>
      <w:r w:rsidR="00B738BC">
        <w:t>.</w:t>
      </w:r>
      <w:r w:rsidR="003A52C7">
        <w:t xml:space="preserve"> </w:t>
      </w:r>
      <w:r w:rsidR="00B738BC">
        <w:t>Skarżący domaga się zwrotu 150 EUR za koszty i wydatki poniesione w postępowaniu przed sądami krajowymi oraz 1800 EUR za</w:t>
      </w:r>
      <w:r w:rsidR="00CE1419">
        <w:t> </w:t>
      </w:r>
      <w:r w:rsidR="00B738BC">
        <w:t>koszty reprezentacji przed Trybunałem.</w:t>
      </w:r>
    </w:p>
    <w:p w14:paraId="4262177C" w14:textId="2B3BF9DD" w:rsidR="00B738BC" w:rsidRPr="00330FE9" w:rsidRDefault="009D08D3" w:rsidP="00330FE9">
      <w:pPr>
        <w:pStyle w:val="JuPara"/>
      </w:pPr>
      <w:r>
        <w:rPr>
          <w:noProof/>
        </w:rPr>
        <w:t>68</w:t>
      </w:r>
      <w:r w:rsidR="00B738BC">
        <w:t>.</w:t>
      </w:r>
      <w:r w:rsidR="003A52C7">
        <w:t xml:space="preserve"> </w:t>
      </w:r>
      <w:r w:rsidR="00B738BC">
        <w:t>Rząd uważa, że wobec braku jakichkolwiek dowodów żadna kwota nie powinna zostać wypłacona z tego tytułu.</w:t>
      </w:r>
    </w:p>
    <w:p w14:paraId="482BD786" w14:textId="36ED5779" w:rsidR="00B738BC" w:rsidRPr="00330FE9" w:rsidRDefault="009D08D3" w:rsidP="00330FE9">
      <w:pPr>
        <w:pStyle w:val="JuPara"/>
      </w:pPr>
      <w:r>
        <w:rPr>
          <w:noProof/>
        </w:rPr>
        <w:t>69</w:t>
      </w:r>
      <w:r w:rsidR="00B738BC">
        <w:t>.</w:t>
      </w:r>
      <w:r w:rsidR="003A52C7">
        <w:t xml:space="preserve"> </w:t>
      </w:r>
      <w:r w:rsidR="00B738BC">
        <w:t>Uwzględniając dokumenty, którymi dysponuje, oraz istniejące orzecznictwo, Trybunał przyznaje skarżącemu 60 EUR z tytułu kosztów postępowania krajowego.</w:t>
      </w:r>
    </w:p>
    <w:p w14:paraId="54F80399" w14:textId="239BF3AC" w:rsidR="00B738BC" w:rsidRPr="00330FE9" w:rsidRDefault="009D08D3" w:rsidP="00330FE9">
      <w:pPr>
        <w:pStyle w:val="JuPara"/>
      </w:pPr>
      <w:r>
        <w:rPr>
          <w:noProof/>
        </w:rPr>
        <w:t>70</w:t>
      </w:r>
      <w:r w:rsidR="00B738BC">
        <w:t>.</w:t>
      </w:r>
      <w:r w:rsidR="003A52C7">
        <w:t xml:space="preserve"> </w:t>
      </w:r>
      <w:r w:rsidR="003C532D" w:rsidRPr="003C532D">
        <w:t>Trybunał za słuszne uznaje wyznaczenie wysokości odsetek za</w:t>
      </w:r>
      <w:r w:rsidR="00CE1419">
        <w:t> </w:t>
      </w:r>
      <w:r w:rsidR="003C532D" w:rsidRPr="003C532D">
        <w:t>zwłokę na podstawie marginalnej stopy procentowej Europejskiego Banku Centralnego powiększonej o trzy punkty procentowe.</w:t>
      </w:r>
      <w:r w:rsidR="00B738BC">
        <w:t>.</w:t>
      </w:r>
    </w:p>
    <w:p w14:paraId="49AEEF34" w14:textId="77777777" w:rsidR="00B738BC" w:rsidRPr="00330FE9" w:rsidRDefault="00B738BC" w:rsidP="00330FE9">
      <w:pPr>
        <w:pStyle w:val="JuHHead"/>
        <w:numPr>
          <w:ilvl w:val="0"/>
          <w:numId w:val="21"/>
        </w:numPr>
        <w:jc w:val="both"/>
      </w:pPr>
      <w:r>
        <w:t>Z TYCH WZGLĘDÓW TRYBUNAŁ JEDNOGŁOŚNIE,</w:t>
      </w:r>
    </w:p>
    <w:p w14:paraId="571B89F0" w14:textId="77777777" w:rsidR="00B738BC" w:rsidRPr="00330FE9" w:rsidRDefault="00B738BC" w:rsidP="00330FE9">
      <w:pPr>
        <w:pStyle w:val="JuList"/>
      </w:pPr>
      <w:r>
        <w:rPr>
          <w:i/>
        </w:rPr>
        <w:t>Uznaje</w:t>
      </w:r>
      <w:r>
        <w:t xml:space="preserve"> skargę za dopuszczalną;</w:t>
      </w:r>
    </w:p>
    <w:p w14:paraId="5687932E" w14:textId="77777777" w:rsidR="00B738BC" w:rsidRPr="00330FE9" w:rsidRDefault="00B738BC" w:rsidP="00330FE9">
      <w:pPr>
        <w:pStyle w:val="JuList"/>
      </w:pPr>
      <w:r>
        <w:rPr>
          <w:i/>
        </w:rPr>
        <w:t>Uznaje</w:t>
      </w:r>
      <w:r>
        <w:t>, że doszło do naruszenia art. 10 Konwencji;</w:t>
      </w:r>
    </w:p>
    <w:p w14:paraId="2A262121" w14:textId="77777777" w:rsidR="00662EA1" w:rsidRPr="00330FE9" w:rsidRDefault="00662EA1" w:rsidP="00330FE9">
      <w:pPr>
        <w:pStyle w:val="JuList"/>
        <w:rPr>
          <w:i/>
        </w:rPr>
      </w:pPr>
      <w:r>
        <w:rPr>
          <w:i/>
        </w:rPr>
        <w:t xml:space="preserve">Uznaje, </w:t>
      </w:r>
    </w:p>
    <w:p w14:paraId="13D1CB87" w14:textId="77777777" w:rsidR="00662EA1" w:rsidRPr="00330FE9" w:rsidRDefault="00662EA1" w:rsidP="00330FE9">
      <w:pPr>
        <w:pStyle w:val="JuLista"/>
      </w:pPr>
      <w:r>
        <w:t>że pozwane państwo winno wypłacić skarżącemu w ciągu trzech miesięcy następujące kwoty, które należy przeliczyć na walutę pozwanego państwa, według kursu z dnia realizacji wyroku:</w:t>
      </w:r>
    </w:p>
    <w:p w14:paraId="7279BA07" w14:textId="596C4C44" w:rsidR="00662EA1" w:rsidRPr="00330FE9" w:rsidRDefault="00662EA1" w:rsidP="00330FE9">
      <w:pPr>
        <w:pStyle w:val="JuListi"/>
      </w:pPr>
      <w:r>
        <w:t>1250 EUR (</w:t>
      </w:r>
      <w:r w:rsidR="00B96D96">
        <w:t xml:space="preserve">jeden </w:t>
      </w:r>
      <w:r>
        <w:t>tysiąc dwieście pięćdziesiąt euro) oraz każdą kwotę, jaka może być należna z tytułu podatku, za szkodę materialną;</w:t>
      </w:r>
    </w:p>
    <w:p w14:paraId="42E2A364" w14:textId="77777777" w:rsidR="00662EA1" w:rsidRPr="00330FE9" w:rsidRDefault="00227DBE" w:rsidP="00330FE9">
      <w:pPr>
        <w:pStyle w:val="JuListi"/>
      </w:pPr>
      <w:r>
        <w:t>7000 EUR (siedem tysięcy euro) oraz każdą kwotę, jaka może być należna z tytułu podatku, za szkodę moralną;</w:t>
      </w:r>
    </w:p>
    <w:p w14:paraId="0BA30F1E" w14:textId="6A93FF69" w:rsidR="00662EA1" w:rsidRPr="00330FE9" w:rsidRDefault="00662EA1" w:rsidP="00330FE9">
      <w:pPr>
        <w:pStyle w:val="JuListi"/>
      </w:pPr>
      <w:r>
        <w:lastRenderedPageBreak/>
        <w:t>60 EUR (sześćdziesiąt euro) oraz każdą kwotę, jaka może być należna z tytułu podatku przez skarżącego, z tytułu kosztów i</w:t>
      </w:r>
      <w:r w:rsidR="00CE1419">
        <w:t> </w:t>
      </w:r>
      <w:r>
        <w:t>wydatków</w:t>
      </w:r>
      <w:r w:rsidR="00B96D96">
        <w:t>.</w:t>
      </w:r>
    </w:p>
    <w:p w14:paraId="0987B8EF" w14:textId="3EAAC7E5" w:rsidR="00662EA1" w:rsidRPr="00330FE9" w:rsidRDefault="00041E9E" w:rsidP="00041E9E">
      <w:pPr>
        <w:pStyle w:val="JuLista"/>
      </w:pPr>
      <w:r w:rsidRPr="00041E9E">
        <w:t>że od upływu wyżej wskazanego terminu trzech miesięcy aż</w:t>
      </w:r>
      <w:r w:rsidR="00CE1419">
        <w:t> </w:t>
      </w:r>
      <w:r w:rsidRPr="00041E9E">
        <w:t>do</w:t>
      </w:r>
      <w:r w:rsidR="00CE1419">
        <w:t> </w:t>
      </w:r>
      <w:r>
        <w:t>momentu płatności, od powyższych kwot</w:t>
      </w:r>
      <w:r w:rsidRPr="00041E9E">
        <w:t xml:space="preserve"> należne będą odsetki zwykłe, w stawce równej marginalnej stopie procentowej Europejskiego Banku Centralnego obowiązującej w okresie zwłoki, powiększonej o trzy punkty procentowe</w:t>
      </w:r>
      <w:r w:rsidR="00B96D96">
        <w:t>.</w:t>
      </w:r>
    </w:p>
    <w:p w14:paraId="36CE63CB" w14:textId="77777777" w:rsidR="007561CD" w:rsidRPr="00330FE9" w:rsidRDefault="00662EA1" w:rsidP="00330FE9">
      <w:pPr>
        <w:pStyle w:val="JuList"/>
      </w:pPr>
      <w:r>
        <w:rPr>
          <w:i/>
        </w:rPr>
        <w:t>Oddala</w:t>
      </w:r>
      <w:r>
        <w:t xml:space="preserve"> roszczenie o słuszne zadośćuczynienie w pozostałej części.</w:t>
      </w:r>
    </w:p>
    <w:p w14:paraId="26D73AB7" w14:textId="35D5F09D" w:rsidR="00893F30" w:rsidRPr="00330FE9" w:rsidRDefault="00893F30" w:rsidP="00330FE9">
      <w:pPr>
        <w:pStyle w:val="JuParaLast"/>
      </w:pPr>
      <w:r>
        <w:t xml:space="preserve">Sporządzono w języku francuskim i </w:t>
      </w:r>
      <w:r w:rsidR="00DF4A98">
        <w:t>notyfikowano</w:t>
      </w:r>
      <w:r>
        <w:t xml:space="preserve"> pisemnie dnia 4</w:t>
      </w:r>
      <w:r w:rsidR="00CE1419">
        <w:t> </w:t>
      </w:r>
      <w:r>
        <w:t xml:space="preserve">czerwca 2020 roku zgodnie z </w:t>
      </w:r>
      <w:r w:rsidR="00A822E9">
        <w:t>Regułą</w:t>
      </w:r>
      <w:r w:rsidR="00F27DAF">
        <w:t xml:space="preserve"> </w:t>
      </w:r>
      <w:r>
        <w:t>77</w:t>
      </w:r>
      <w:r w:rsidR="00F27DAF">
        <w:t xml:space="preserve"> </w:t>
      </w:r>
      <w:r>
        <w:t>§§</w:t>
      </w:r>
      <w:r w:rsidR="00F27DAF">
        <w:t xml:space="preserve"> </w:t>
      </w:r>
      <w:r>
        <w:t xml:space="preserve">2 i 3 </w:t>
      </w:r>
      <w:r w:rsidR="00A822E9">
        <w:t>Regulaminu Trybunału</w:t>
      </w:r>
      <w:r>
        <w:t>.</w:t>
      </w:r>
    </w:p>
    <w:p w14:paraId="29F43B66" w14:textId="6B7C9179" w:rsidR="00876F03" w:rsidRPr="00330FE9" w:rsidRDefault="00AD5FC2" w:rsidP="00330FE9">
      <w:pPr>
        <w:pStyle w:val="JuSigned"/>
      </w:pPr>
      <w:r>
        <w:tab/>
        <w:t>Renata Degener</w:t>
      </w:r>
      <w:r>
        <w:tab/>
        <w:t xml:space="preserve">Pere Pastor Vilanova </w:t>
      </w:r>
      <w:r w:rsidR="00F27DAF">
        <w:t xml:space="preserve"> </w:t>
      </w:r>
      <w:r>
        <w:tab/>
        <w:t>Zastępca Kanclerza</w:t>
      </w:r>
      <w:r>
        <w:tab/>
        <w:t>Przewodniczący</w:t>
      </w:r>
    </w:p>
    <w:sectPr w:rsidR="00876F03" w:rsidRPr="00330FE9" w:rsidSect="005E77B5">
      <w:headerReference w:type="even" r:id="rId14"/>
      <w:headerReference w:type="default" r:id="rId15"/>
      <w:footerReference w:type="default" r:id="rId16"/>
      <w:footnotePr>
        <w:numRestart w:val="eachSect"/>
      </w:footnotePr>
      <w:pgSz w:w="11906" w:h="16838" w:code="9"/>
      <w:pgMar w:top="2274" w:right="2274" w:bottom="2127" w:left="2274" w:header="1701"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3FBD04" w14:textId="77777777" w:rsidR="001752D4" w:rsidRPr="000F1305" w:rsidRDefault="001752D4" w:rsidP="00516B59">
      <w:r w:rsidRPr="000F1305">
        <w:separator/>
      </w:r>
    </w:p>
  </w:endnote>
  <w:endnote w:type="continuationSeparator" w:id="0">
    <w:p w14:paraId="5E427630" w14:textId="77777777" w:rsidR="001752D4" w:rsidRPr="000F1305" w:rsidRDefault="001752D4" w:rsidP="00516B59">
      <w:r w:rsidRPr="000F1305">
        <w:continuationSeparator/>
      </w:r>
    </w:p>
  </w:endnote>
  <w:endnote w:type="continuationNotice" w:id="1">
    <w:p w14:paraId="0A0306D0" w14:textId="77777777" w:rsidR="001752D4" w:rsidRDefault="001752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8094621"/>
      <w:docPartObj>
        <w:docPartGallery w:val="Page Numbers (Bottom of Page)"/>
        <w:docPartUnique/>
      </w:docPartObj>
    </w:sdtPr>
    <w:sdtEndPr/>
    <w:sdtContent>
      <w:p w14:paraId="210D5B13" w14:textId="77777777" w:rsidR="00792979" w:rsidRDefault="00792979" w:rsidP="003C3064">
        <w:pPr>
          <w:pStyle w:val="Stopka"/>
        </w:pPr>
        <w:r>
          <w:tab/>
        </w:r>
        <w:r w:rsidRPr="00493F2B">
          <w:rPr>
            <w:sz w:val="18"/>
            <w:szCs w:val="18"/>
          </w:rPr>
          <w:fldChar w:fldCharType="begin"/>
        </w:r>
        <w:r w:rsidRPr="00493F2B">
          <w:rPr>
            <w:sz w:val="18"/>
            <w:szCs w:val="18"/>
          </w:rPr>
          <w:instrText xml:space="preserve"> PAGE </w:instrText>
        </w:r>
        <w:r w:rsidRPr="00493F2B">
          <w:rPr>
            <w:sz w:val="18"/>
            <w:szCs w:val="18"/>
          </w:rPr>
          <w:fldChar w:fldCharType="separate"/>
        </w:r>
        <w:r w:rsidR="008A7D57">
          <w:rPr>
            <w:noProof/>
            <w:sz w:val="18"/>
            <w:szCs w:val="18"/>
          </w:rPr>
          <w:t>10</w:t>
        </w:r>
        <w:r w:rsidRPr="00493F2B">
          <w:rPr>
            <w:sz w:val="18"/>
            <w:szCs w:val="18"/>
          </w:rPr>
          <w:fldChar w:fldCharType="end"/>
        </w:r>
      </w:p>
    </w:sdtContent>
  </w:sdt>
  <w:p w14:paraId="186BB78E" w14:textId="77777777" w:rsidR="00792979" w:rsidRDefault="0079297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52838" w14:textId="77777777" w:rsidR="00792979" w:rsidRPr="00150BFA" w:rsidRDefault="00792979" w:rsidP="007561CD">
    <w:pPr>
      <w:jc w:val="center"/>
    </w:pPr>
    <w:r>
      <w:rPr>
        <w:noProof/>
        <w:lang w:eastAsia="pl-PL"/>
      </w:rPr>
      <w:drawing>
        <wp:inline distT="0" distB="0" distL="0" distR="0" wp14:anchorId="0FE58CAD" wp14:editId="74527FF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524D52C" w14:textId="77777777" w:rsidR="00792979" w:rsidRPr="000F1305" w:rsidRDefault="00792979" w:rsidP="00F27D1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11B1BA" w14:textId="77777777" w:rsidR="00792979" w:rsidRPr="00D01935" w:rsidRDefault="00792979" w:rsidP="00662882">
    <w:pPr>
      <w:pStyle w:val="JuHeader"/>
    </w:pPr>
    <w:r>
      <w:fldChar w:fldCharType="begin"/>
    </w:r>
    <w:r>
      <w:instrText xml:space="preserve"> PAGE </w:instrText>
    </w:r>
    <w:r>
      <w:fldChar w:fldCharType="separate"/>
    </w:r>
    <w:r w:rsidR="008A7D57">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CD25F3" w14:textId="77777777" w:rsidR="001752D4" w:rsidRPr="000F1305" w:rsidRDefault="001752D4" w:rsidP="00516B59">
      <w:r w:rsidRPr="000F1305">
        <w:separator/>
      </w:r>
    </w:p>
  </w:footnote>
  <w:footnote w:type="continuationSeparator" w:id="0">
    <w:p w14:paraId="1737BA9C" w14:textId="77777777" w:rsidR="001752D4" w:rsidRPr="000F1305" w:rsidRDefault="001752D4" w:rsidP="00516B59">
      <w:r w:rsidRPr="000F1305">
        <w:continuationSeparator/>
      </w:r>
    </w:p>
  </w:footnote>
  <w:footnote w:type="continuationNotice" w:id="1">
    <w:p w14:paraId="79245B5C" w14:textId="77777777" w:rsidR="001752D4" w:rsidRDefault="001752D4"/>
  </w:footnote>
  <w:footnote w:id="2">
    <w:p w14:paraId="1C05277D" w14:textId="0F42131A" w:rsidR="00792979" w:rsidRPr="006C2412" w:rsidRDefault="00792979" w:rsidP="00B738BC">
      <w:pPr>
        <w:pStyle w:val="Tekstprzypisudolnego"/>
      </w:pPr>
      <w:r w:rsidRPr="00E345DF">
        <w:rPr>
          <w:rStyle w:val="Odwoanieprzypisudolnego"/>
        </w:rPr>
        <w:footnoteRef/>
      </w:r>
      <w:r>
        <w:t xml:space="preserve"> Około 1250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7F94F2" w14:textId="77777777" w:rsidR="00792979" w:rsidRPr="00A45145" w:rsidRDefault="00792979" w:rsidP="007561CD">
    <w:pPr>
      <w:jc w:val="center"/>
    </w:pPr>
    <w:r>
      <w:rPr>
        <w:noProof/>
        <w:lang w:eastAsia="pl-PL"/>
      </w:rPr>
      <w:drawing>
        <wp:inline distT="0" distB="0" distL="0" distR="0" wp14:anchorId="78BBC0B4" wp14:editId="55DCBA57">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181F9E1" w14:textId="77777777" w:rsidR="00792979" w:rsidRPr="000F1305" w:rsidRDefault="00792979" w:rsidP="007561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1894EA" w14:textId="32E78F02" w:rsidR="00792979" w:rsidRPr="00DF4A98" w:rsidRDefault="00792979" w:rsidP="00DF4A98">
    <w:pPr>
      <w:pStyle w:val="JuHeader"/>
    </w:pPr>
    <w:r>
      <w:t xml:space="preserve">WYROK W SPRAWIE JEZIOR PRZECIWKO POLSCE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F45DF" w14:textId="00EC95F9" w:rsidR="00792979" w:rsidRPr="00662882" w:rsidRDefault="00792979" w:rsidP="00662882">
    <w:pPr>
      <w:pStyle w:val="JuHeader"/>
    </w:pPr>
    <w:r>
      <w:t xml:space="preserve">WYROK W SPRAWIE JEZIOR PRZECIWKO POLSCE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A8741ACC"/>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hint="default"/>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347157C"/>
    <w:multiLevelType w:val="hybridMultilevel"/>
    <w:tmpl w:val="C92A06CA"/>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3"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C7F8FC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0326302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69B170C5"/>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718C54F2"/>
    <w:multiLevelType w:val="multilevel"/>
    <w:tmpl w:val="7222064C"/>
    <w:numStyleLink w:val="ECHRA1StyleList"/>
  </w:abstractNum>
  <w:num w:numId="1">
    <w:abstractNumId w:val="15"/>
  </w:num>
  <w:num w:numId="2">
    <w:abstractNumId w:val="11"/>
  </w:num>
  <w:num w:numId="3">
    <w:abstractNumId w:val="10"/>
  </w:num>
  <w:num w:numId="4">
    <w:abstractNumId w:val="16"/>
  </w:num>
  <w:num w:numId="5">
    <w:abstractNumId w:val="13"/>
  </w:num>
  <w:num w:numId="6">
    <w:abstractNumId w:val="17"/>
  </w:num>
  <w:num w:numId="7">
    <w:abstractNumId w:val="16"/>
  </w:num>
  <w:num w:numId="8">
    <w:abstractNumId w:val="17"/>
  </w:num>
  <w:num w:numId="9">
    <w:abstractNumId w:val="9"/>
  </w:num>
  <w:num w:numId="10">
    <w:abstractNumId w:val="21"/>
    <w:lvlOverride w:ilvl="0">
      <w:lvl w:ilvl="0">
        <w:start w:val="1"/>
        <w:numFmt w:val="decimal"/>
        <w:pStyle w:val="JuList"/>
        <w:lvlText w:val="%1."/>
        <w:lvlJc w:val="left"/>
        <w:pPr>
          <w:tabs>
            <w:tab w:val="num" w:pos="340"/>
          </w:tabs>
          <w:ind w:left="340" w:hanging="340"/>
        </w:pPr>
        <w:rPr>
          <w:rFonts w:hint="default"/>
          <w:i w:val="0"/>
        </w:rPr>
      </w:lvl>
    </w:lvlOverride>
  </w:num>
  <w:num w:numId="11">
    <w:abstractNumId w:val="1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12"/>
  </w:num>
  <w:num w:numId="25">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B738BC"/>
    <w:rsid w:val="000041F8"/>
    <w:rsid w:val="000042A8"/>
    <w:rsid w:val="00004308"/>
    <w:rsid w:val="00005BF0"/>
    <w:rsid w:val="00007154"/>
    <w:rsid w:val="000103AE"/>
    <w:rsid w:val="00010C6D"/>
    <w:rsid w:val="00011D69"/>
    <w:rsid w:val="00012AD3"/>
    <w:rsid w:val="00015C2D"/>
    <w:rsid w:val="00015F00"/>
    <w:rsid w:val="00017CD9"/>
    <w:rsid w:val="000204AE"/>
    <w:rsid w:val="00022C1D"/>
    <w:rsid w:val="00034987"/>
    <w:rsid w:val="00041E9E"/>
    <w:rsid w:val="00051015"/>
    <w:rsid w:val="000602DF"/>
    <w:rsid w:val="00061B05"/>
    <w:rsid w:val="000632D5"/>
    <w:rsid w:val="000644EE"/>
    <w:rsid w:val="00076D38"/>
    <w:rsid w:val="00080ECE"/>
    <w:rsid w:val="0009057B"/>
    <w:rsid w:val="000925AD"/>
    <w:rsid w:val="000937A7"/>
    <w:rsid w:val="00096B81"/>
    <w:rsid w:val="000A24EB"/>
    <w:rsid w:val="000A4B01"/>
    <w:rsid w:val="000B2AE9"/>
    <w:rsid w:val="000B5D17"/>
    <w:rsid w:val="000B6923"/>
    <w:rsid w:val="000C5F3C"/>
    <w:rsid w:val="000C6DCC"/>
    <w:rsid w:val="000D04C2"/>
    <w:rsid w:val="000D0610"/>
    <w:rsid w:val="000D47AA"/>
    <w:rsid w:val="000D721F"/>
    <w:rsid w:val="000E069B"/>
    <w:rsid w:val="000E0CB5"/>
    <w:rsid w:val="000E0E82"/>
    <w:rsid w:val="000E1DC5"/>
    <w:rsid w:val="000E223F"/>
    <w:rsid w:val="000E4AC8"/>
    <w:rsid w:val="000E7D45"/>
    <w:rsid w:val="000F1305"/>
    <w:rsid w:val="000F19D8"/>
    <w:rsid w:val="000F7851"/>
    <w:rsid w:val="00104E23"/>
    <w:rsid w:val="00111B0C"/>
    <w:rsid w:val="00117CD2"/>
    <w:rsid w:val="00120BC4"/>
    <w:rsid w:val="00120D6C"/>
    <w:rsid w:val="00124A1B"/>
    <w:rsid w:val="001257EC"/>
    <w:rsid w:val="00133D33"/>
    <w:rsid w:val="00134D64"/>
    <w:rsid w:val="00135A30"/>
    <w:rsid w:val="0013612C"/>
    <w:rsid w:val="00137FF6"/>
    <w:rsid w:val="00141650"/>
    <w:rsid w:val="00152839"/>
    <w:rsid w:val="001625AD"/>
    <w:rsid w:val="00162967"/>
    <w:rsid w:val="00162A12"/>
    <w:rsid w:val="00166530"/>
    <w:rsid w:val="001752D4"/>
    <w:rsid w:val="00181508"/>
    <w:rsid w:val="001832BD"/>
    <w:rsid w:val="00186035"/>
    <w:rsid w:val="00192A4E"/>
    <w:rsid w:val="001943B5"/>
    <w:rsid w:val="00194C5B"/>
    <w:rsid w:val="00195134"/>
    <w:rsid w:val="001A145B"/>
    <w:rsid w:val="001A543F"/>
    <w:rsid w:val="001A674C"/>
    <w:rsid w:val="001B3B24"/>
    <w:rsid w:val="001C0F98"/>
    <w:rsid w:val="001C2A42"/>
    <w:rsid w:val="001C2B5C"/>
    <w:rsid w:val="001D63ED"/>
    <w:rsid w:val="001D7348"/>
    <w:rsid w:val="001E035B"/>
    <w:rsid w:val="001E05C3"/>
    <w:rsid w:val="001E0961"/>
    <w:rsid w:val="001E3EAE"/>
    <w:rsid w:val="001E634F"/>
    <w:rsid w:val="001E6F32"/>
    <w:rsid w:val="001F2145"/>
    <w:rsid w:val="001F39F4"/>
    <w:rsid w:val="001F6262"/>
    <w:rsid w:val="001F67B0"/>
    <w:rsid w:val="001F7B3D"/>
    <w:rsid w:val="00204F24"/>
    <w:rsid w:val="00205F9F"/>
    <w:rsid w:val="00206D04"/>
    <w:rsid w:val="00210338"/>
    <w:rsid w:val="002115FC"/>
    <w:rsid w:val="00212184"/>
    <w:rsid w:val="0021423C"/>
    <w:rsid w:val="002157D6"/>
    <w:rsid w:val="00227DBE"/>
    <w:rsid w:val="00230D00"/>
    <w:rsid w:val="00231364"/>
    <w:rsid w:val="00231DF7"/>
    <w:rsid w:val="00231FD1"/>
    <w:rsid w:val="002339E0"/>
    <w:rsid w:val="00233CF8"/>
    <w:rsid w:val="0023575D"/>
    <w:rsid w:val="00237148"/>
    <w:rsid w:val="0024222D"/>
    <w:rsid w:val="002438C7"/>
    <w:rsid w:val="00244B0E"/>
    <w:rsid w:val="00244F6C"/>
    <w:rsid w:val="002532C5"/>
    <w:rsid w:val="002546AE"/>
    <w:rsid w:val="00256F45"/>
    <w:rsid w:val="00260C03"/>
    <w:rsid w:val="0026540E"/>
    <w:rsid w:val="00275123"/>
    <w:rsid w:val="00282240"/>
    <w:rsid w:val="00282EE2"/>
    <w:rsid w:val="002948AD"/>
    <w:rsid w:val="0029739C"/>
    <w:rsid w:val="002A01CC"/>
    <w:rsid w:val="002A61B1"/>
    <w:rsid w:val="002A663C"/>
    <w:rsid w:val="002B444B"/>
    <w:rsid w:val="002B5887"/>
    <w:rsid w:val="002B7E83"/>
    <w:rsid w:val="002C0E27"/>
    <w:rsid w:val="002C3040"/>
    <w:rsid w:val="002D022D"/>
    <w:rsid w:val="002D1FD9"/>
    <w:rsid w:val="002D24BB"/>
    <w:rsid w:val="002D6A0B"/>
    <w:rsid w:val="002D7B4E"/>
    <w:rsid w:val="002F29AA"/>
    <w:rsid w:val="002F2AF7"/>
    <w:rsid w:val="002F7E1C"/>
    <w:rsid w:val="00301A75"/>
    <w:rsid w:val="00302F70"/>
    <w:rsid w:val="0030336F"/>
    <w:rsid w:val="0030375E"/>
    <w:rsid w:val="0030660C"/>
    <w:rsid w:val="00312A30"/>
    <w:rsid w:val="00316323"/>
    <w:rsid w:val="003203E0"/>
    <w:rsid w:val="00320F72"/>
    <w:rsid w:val="0032463E"/>
    <w:rsid w:val="00326224"/>
    <w:rsid w:val="00330FE9"/>
    <w:rsid w:val="003328DB"/>
    <w:rsid w:val="00332979"/>
    <w:rsid w:val="00337EE4"/>
    <w:rsid w:val="0034037C"/>
    <w:rsid w:val="00340FFD"/>
    <w:rsid w:val="003460FB"/>
    <w:rsid w:val="00347D88"/>
    <w:rsid w:val="003506B1"/>
    <w:rsid w:val="0035432D"/>
    <w:rsid w:val="00356AC7"/>
    <w:rsid w:val="003573C0"/>
    <w:rsid w:val="003609FA"/>
    <w:rsid w:val="00361D45"/>
    <w:rsid w:val="003655F5"/>
    <w:rsid w:val="0036566F"/>
    <w:rsid w:val="00365BB9"/>
    <w:rsid w:val="00367B4F"/>
    <w:rsid w:val="003710C8"/>
    <w:rsid w:val="003722CE"/>
    <w:rsid w:val="003750BE"/>
    <w:rsid w:val="00387B9D"/>
    <w:rsid w:val="0039364F"/>
    <w:rsid w:val="00396686"/>
    <w:rsid w:val="0039778E"/>
    <w:rsid w:val="003A37B8"/>
    <w:rsid w:val="003A52C7"/>
    <w:rsid w:val="003B4941"/>
    <w:rsid w:val="003B6A2E"/>
    <w:rsid w:val="003C3064"/>
    <w:rsid w:val="003C532D"/>
    <w:rsid w:val="003C5714"/>
    <w:rsid w:val="003C6B9F"/>
    <w:rsid w:val="003C6E2A"/>
    <w:rsid w:val="003D0299"/>
    <w:rsid w:val="003D32BE"/>
    <w:rsid w:val="003E3FE3"/>
    <w:rsid w:val="003E4639"/>
    <w:rsid w:val="003E6D80"/>
    <w:rsid w:val="003E7A9C"/>
    <w:rsid w:val="003F05FA"/>
    <w:rsid w:val="003F244A"/>
    <w:rsid w:val="003F30B8"/>
    <w:rsid w:val="003F3C93"/>
    <w:rsid w:val="003F4C45"/>
    <w:rsid w:val="003F5F7B"/>
    <w:rsid w:val="003F7D64"/>
    <w:rsid w:val="00401F7D"/>
    <w:rsid w:val="0041177B"/>
    <w:rsid w:val="00414300"/>
    <w:rsid w:val="00422855"/>
    <w:rsid w:val="00425C67"/>
    <w:rsid w:val="00427E7A"/>
    <w:rsid w:val="00430F19"/>
    <w:rsid w:val="00431C07"/>
    <w:rsid w:val="004344E6"/>
    <w:rsid w:val="00436C49"/>
    <w:rsid w:val="00445366"/>
    <w:rsid w:val="00447F5B"/>
    <w:rsid w:val="00456549"/>
    <w:rsid w:val="00457A70"/>
    <w:rsid w:val="004604A0"/>
    <w:rsid w:val="00461DB0"/>
    <w:rsid w:val="00463926"/>
    <w:rsid w:val="00464C9A"/>
    <w:rsid w:val="00474F3D"/>
    <w:rsid w:val="00477E3A"/>
    <w:rsid w:val="00483A87"/>
    <w:rsid w:val="00483E5F"/>
    <w:rsid w:val="00485FF9"/>
    <w:rsid w:val="004907F0"/>
    <w:rsid w:val="0049140B"/>
    <w:rsid w:val="004923A5"/>
    <w:rsid w:val="00493F2B"/>
    <w:rsid w:val="00496197"/>
    <w:rsid w:val="00496BFB"/>
    <w:rsid w:val="004A15C7"/>
    <w:rsid w:val="004B013B"/>
    <w:rsid w:val="004B112B"/>
    <w:rsid w:val="004C01E4"/>
    <w:rsid w:val="004C086C"/>
    <w:rsid w:val="004C1A3F"/>
    <w:rsid w:val="004C1F56"/>
    <w:rsid w:val="004C27BC"/>
    <w:rsid w:val="004C5425"/>
    <w:rsid w:val="004D15F3"/>
    <w:rsid w:val="004D5311"/>
    <w:rsid w:val="004D5DCC"/>
    <w:rsid w:val="004E22F1"/>
    <w:rsid w:val="004F10AF"/>
    <w:rsid w:val="004F11A4"/>
    <w:rsid w:val="004F21B5"/>
    <w:rsid w:val="004F2389"/>
    <w:rsid w:val="004F304D"/>
    <w:rsid w:val="004F61BE"/>
    <w:rsid w:val="004F66B1"/>
    <w:rsid w:val="00511C07"/>
    <w:rsid w:val="00516287"/>
    <w:rsid w:val="00516B59"/>
    <w:rsid w:val="005173A6"/>
    <w:rsid w:val="00520BAA"/>
    <w:rsid w:val="00522ABA"/>
    <w:rsid w:val="00525208"/>
    <w:rsid w:val="005257A5"/>
    <w:rsid w:val="005264C0"/>
    <w:rsid w:val="00526A8A"/>
    <w:rsid w:val="00526D50"/>
    <w:rsid w:val="00531DF2"/>
    <w:rsid w:val="00534A3E"/>
    <w:rsid w:val="005442EE"/>
    <w:rsid w:val="00547353"/>
    <w:rsid w:val="005474E7"/>
    <w:rsid w:val="005512A3"/>
    <w:rsid w:val="005578CE"/>
    <w:rsid w:val="00562781"/>
    <w:rsid w:val="00566E2B"/>
    <w:rsid w:val="0057271C"/>
    <w:rsid w:val="00572845"/>
    <w:rsid w:val="00573735"/>
    <w:rsid w:val="00576986"/>
    <w:rsid w:val="00592772"/>
    <w:rsid w:val="00592C8D"/>
    <w:rsid w:val="0059574A"/>
    <w:rsid w:val="005A1B9B"/>
    <w:rsid w:val="005A63E6"/>
    <w:rsid w:val="005A6751"/>
    <w:rsid w:val="005B092E"/>
    <w:rsid w:val="005B152C"/>
    <w:rsid w:val="005B1EE0"/>
    <w:rsid w:val="005B2B24"/>
    <w:rsid w:val="005B4425"/>
    <w:rsid w:val="005B4B94"/>
    <w:rsid w:val="005C353F"/>
    <w:rsid w:val="005C3EE8"/>
    <w:rsid w:val="005C7585"/>
    <w:rsid w:val="005D34F9"/>
    <w:rsid w:val="005D4190"/>
    <w:rsid w:val="005D67A3"/>
    <w:rsid w:val="005E2988"/>
    <w:rsid w:val="005E3085"/>
    <w:rsid w:val="005E77B5"/>
    <w:rsid w:val="005F51E1"/>
    <w:rsid w:val="00611C80"/>
    <w:rsid w:val="006121C9"/>
    <w:rsid w:val="00613B21"/>
    <w:rsid w:val="00616CD3"/>
    <w:rsid w:val="00620692"/>
    <w:rsid w:val="006242CA"/>
    <w:rsid w:val="00627507"/>
    <w:rsid w:val="00633717"/>
    <w:rsid w:val="006344E1"/>
    <w:rsid w:val="006361FD"/>
    <w:rsid w:val="00643D36"/>
    <w:rsid w:val="006545C4"/>
    <w:rsid w:val="00661971"/>
    <w:rsid w:val="00661CE8"/>
    <w:rsid w:val="006623D9"/>
    <w:rsid w:val="00662882"/>
    <w:rsid w:val="00662EA1"/>
    <w:rsid w:val="00664192"/>
    <w:rsid w:val="0066550C"/>
    <w:rsid w:val="006716F2"/>
    <w:rsid w:val="00682BF2"/>
    <w:rsid w:val="006859CE"/>
    <w:rsid w:val="0069109E"/>
    <w:rsid w:val="00691270"/>
    <w:rsid w:val="00694BA8"/>
    <w:rsid w:val="006A037C"/>
    <w:rsid w:val="006A36F4"/>
    <w:rsid w:val="006A406F"/>
    <w:rsid w:val="006A5D3A"/>
    <w:rsid w:val="006C23D4"/>
    <w:rsid w:val="006C475E"/>
    <w:rsid w:val="006C7BB0"/>
    <w:rsid w:val="006D3237"/>
    <w:rsid w:val="006E0CC4"/>
    <w:rsid w:val="006E2E37"/>
    <w:rsid w:val="006E3CF1"/>
    <w:rsid w:val="006E7E80"/>
    <w:rsid w:val="006F48CA"/>
    <w:rsid w:val="006F64DD"/>
    <w:rsid w:val="006F7C1F"/>
    <w:rsid w:val="007007A4"/>
    <w:rsid w:val="007045F3"/>
    <w:rsid w:val="00715127"/>
    <w:rsid w:val="00715E8E"/>
    <w:rsid w:val="007172B0"/>
    <w:rsid w:val="00723580"/>
    <w:rsid w:val="00723755"/>
    <w:rsid w:val="00724AE2"/>
    <w:rsid w:val="0073136C"/>
    <w:rsid w:val="00731F0F"/>
    <w:rsid w:val="00733250"/>
    <w:rsid w:val="00735951"/>
    <w:rsid w:val="0073767D"/>
    <w:rsid w:val="00741404"/>
    <w:rsid w:val="00742793"/>
    <w:rsid w:val="007449E5"/>
    <w:rsid w:val="00747FF0"/>
    <w:rsid w:val="007561CD"/>
    <w:rsid w:val="007612E2"/>
    <w:rsid w:val="00764D4E"/>
    <w:rsid w:val="00765A1F"/>
    <w:rsid w:val="00775B6D"/>
    <w:rsid w:val="00776D68"/>
    <w:rsid w:val="007850EE"/>
    <w:rsid w:val="00785B95"/>
    <w:rsid w:val="00790AAD"/>
    <w:rsid w:val="00790E96"/>
    <w:rsid w:val="00792979"/>
    <w:rsid w:val="00793366"/>
    <w:rsid w:val="007971FF"/>
    <w:rsid w:val="007A4070"/>
    <w:rsid w:val="007A716F"/>
    <w:rsid w:val="007B270A"/>
    <w:rsid w:val="007B62EE"/>
    <w:rsid w:val="007C0695"/>
    <w:rsid w:val="007C419A"/>
    <w:rsid w:val="007C4CC8"/>
    <w:rsid w:val="007C5426"/>
    <w:rsid w:val="007C5798"/>
    <w:rsid w:val="007C6EDE"/>
    <w:rsid w:val="007D4832"/>
    <w:rsid w:val="007E21B2"/>
    <w:rsid w:val="007E2C4E"/>
    <w:rsid w:val="007F1905"/>
    <w:rsid w:val="00801300"/>
    <w:rsid w:val="00802C64"/>
    <w:rsid w:val="0080523A"/>
    <w:rsid w:val="00805E52"/>
    <w:rsid w:val="008061D0"/>
    <w:rsid w:val="00810B38"/>
    <w:rsid w:val="008204C7"/>
    <w:rsid w:val="00820992"/>
    <w:rsid w:val="00823602"/>
    <w:rsid w:val="00824C43"/>
    <w:rsid w:val="008255F5"/>
    <w:rsid w:val="00826A9E"/>
    <w:rsid w:val="0083014E"/>
    <w:rsid w:val="0083214A"/>
    <w:rsid w:val="00834220"/>
    <w:rsid w:val="00845723"/>
    <w:rsid w:val="008464C0"/>
    <w:rsid w:val="00851EF9"/>
    <w:rsid w:val="0085714A"/>
    <w:rsid w:val="008577FD"/>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96DAA"/>
    <w:rsid w:val="008A6A3E"/>
    <w:rsid w:val="008A7D57"/>
    <w:rsid w:val="008B02DC"/>
    <w:rsid w:val="008B2698"/>
    <w:rsid w:val="008B57CE"/>
    <w:rsid w:val="008C26DE"/>
    <w:rsid w:val="008D2225"/>
    <w:rsid w:val="008D4752"/>
    <w:rsid w:val="008E271C"/>
    <w:rsid w:val="008E418E"/>
    <w:rsid w:val="008E5BC6"/>
    <w:rsid w:val="008E6A25"/>
    <w:rsid w:val="008E7A1B"/>
    <w:rsid w:val="008F5193"/>
    <w:rsid w:val="008F6A4A"/>
    <w:rsid w:val="009013A7"/>
    <w:rsid w:val="009017FB"/>
    <w:rsid w:val="009017FC"/>
    <w:rsid w:val="009020E3"/>
    <w:rsid w:val="0090506B"/>
    <w:rsid w:val="009050C9"/>
    <w:rsid w:val="009066FC"/>
    <w:rsid w:val="009140A3"/>
    <w:rsid w:val="009144A2"/>
    <w:rsid w:val="0091510C"/>
    <w:rsid w:val="009259AC"/>
    <w:rsid w:val="00926F38"/>
    <w:rsid w:val="00927CF3"/>
    <w:rsid w:val="009308A1"/>
    <w:rsid w:val="009328B6"/>
    <w:rsid w:val="00934301"/>
    <w:rsid w:val="00936CD1"/>
    <w:rsid w:val="009375A5"/>
    <w:rsid w:val="00941747"/>
    <w:rsid w:val="00941EFB"/>
    <w:rsid w:val="00947AFB"/>
    <w:rsid w:val="00951D7D"/>
    <w:rsid w:val="009630C7"/>
    <w:rsid w:val="00963E2E"/>
    <w:rsid w:val="009714D8"/>
    <w:rsid w:val="00972B55"/>
    <w:rsid w:val="009743B7"/>
    <w:rsid w:val="00975039"/>
    <w:rsid w:val="00977227"/>
    <w:rsid w:val="0098228B"/>
    <w:rsid w:val="009828DA"/>
    <w:rsid w:val="00985BAB"/>
    <w:rsid w:val="00986FD4"/>
    <w:rsid w:val="009B1B5F"/>
    <w:rsid w:val="009B6673"/>
    <w:rsid w:val="009C191B"/>
    <w:rsid w:val="009C2BD6"/>
    <w:rsid w:val="009D08D3"/>
    <w:rsid w:val="009D2F52"/>
    <w:rsid w:val="009E16D2"/>
    <w:rsid w:val="009E1F32"/>
    <w:rsid w:val="009E776C"/>
    <w:rsid w:val="009F0EC5"/>
    <w:rsid w:val="00A00672"/>
    <w:rsid w:val="00A132AD"/>
    <w:rsid w:val="00A1726E"/>
    <w:rsid w:val="00A204CF"/>
    <w:rsid w:val="00A21624"/>
    <w:rsid w:val="00A23D49"/>
    <w:rsid w:val="00A27004"/>
    <w:rsid w:val="00A27163"/>
    <w:rsid w:val="00A30C29"/>
    <w:rsid w:val="00A34DD6"/>
    <w:rsid w:val="00A36819"/>
    <w:rsid w:val="00A36989"/>
    <w:rsid w:val="00A43628"/>
    <w:rsid w:val="00A43AA3"/>
    <w:rsid w:val="00A4783F"/>
    <w:rsid w:val="00A54192"/>
    <w:rsid w:val="00A55841"/>
    <w:rsid w:val="00A6035E"/>
    <w:rsid w:val="00A6144C"/>
    <w:rsid w:val="00A66617"/>
    <w:rsid w:val="00A66865"/>
    <w:rsid w:val="00A671F8"/>
    <w:rsid w:val="00A673A4"/>
    <w:rsid w:val="00A71DF1"/>
    <w:rsid w:val="00A724AE"/>
    <w:rsid w:val="00A73329"/>
    <w:rsid w:val="00A75785"/>
    <w:rsid w:val="00A822E9"/>
    <w:rsid w:val="00A82359"/>
    <w:rsid w:val="00A865D2"/>
    <w:rsid w:val="00A94C20"/>
    <w:rsid w:val="00A95449"/>
    <w:rsid w:val="00AA227F"/>
    <w:rsid w:val="00AA3BC7"/>
    <w:rsid w:val="00AA5201"/>
    <w:rsid w:val="00AA754A"/>
    <w:rsid w:val="00AB099E"/>
    <w:rsid w:val="00AB4328"/>
    <w:rsid w:val="00AB49C6"/>
    <w:rsid w:val="00AB5628"/>
    <w:rsid w:val="00AC00C2"/>
    <w:rsid w:val="00AC5872"/>
    <w:rsid w:val="00AD2513"/>
    <w:rsid w:val="00AD5FC2"/>
    <w:rsid w:val="00AE0A2E"/>
    <w:rsid w:val="00AE166B"/>
    <w:rsid w:val="00AE184B"/>
    <w:rsid w:val="00AE354C"/>
    <w:rsid w:val="00AE3A3B"/>
    <w:rsid w:val="00AF3560"/>
    <w:rsid w:val="00AF4B07"/>
    <w:rsid w:val="00AF6186"/>
    <w:rsid w:val="00AF7A3A"/>
    <w:rsid w:val="00B009F4"/>
    <w:rsid w:val="00B160DB"/>
    <w:rsid w:val="00B20836"/>
    <w:rsid w:val="00B224B5"/>
    <w:rsid w:val="00B235BB"/>
    <w:rsid w:val="00B25320"/>
    <w:rsid w:val="00B25D3B"/>
    <w:rsid w:val="00B269DE"/>
    <w:rsid w:val="00B27A44"/>
    <w:rsid w:val="00B30BBF"/>
    <w:rsid w:val="00B32D5E"/>
    <w:rsid w:val="00B33C03"/>
    <w:rsid w:val="00B405B6"/>
    <w:rsid w:val="00B43DF0"/>
    <w:rsid w:val="00B44E56"/>
    <w:rsid w:val="00B46543"/>
    <w:rsid w:val="00B47D33"/>
    <w:rsid w:val="00B52BE0"/>
    <w:rsid w:val="00B54133"/>
    <w:rsid w:val="00B701ED"/>
    <w:rsid w:val="00B71B4D"/>
    <w:rsid w:val="00B738BC"/>
    <w:rsid w:val="00B751F4"/>
    <w:rsid w:val="00B8086C"/>
    <w:rsid w:val="00B840F7"/>
    <w:rsid w:val="00B861B4"/>
    <w:rsid w:val="00B86DFE"/>
    <w:rsid w:val="00B90990"/>
    <w:rsid w:val="00B922FF"/>
    <w:rsid w:val="00B9281E"/>
    <w:rsid w:val="00B93925"/>
    <w:rsid w:val="00B95187"/>
    <w:rsid w:val="00B96D96"/>
    <w:rsid w:val="00BA28C8"/>
    <w:rsid w:val="00BA2D55"/>
    <w:rsid w:val="00BA71B1"/>
    <w:rsid w:val="00BB0637"/>
    <w:rsid w:val="00BB0FE0"/>
    <w:rsid w:val="00BB345F"/>
    <w:rsid w:val="00BB68EA"/>
    <w:rsid w:val="00BC1C27"/>
    <w:rsid w:val="00BC1F03"/>
    <w:rsid w:val="00BC6BBF"/>
    <w:rsid w:val="00BD1572"/>
    <w:rsid w:val="00BE14E3"/>
    <w:rsid w:val="00BE3774"/>
    <w:rsid w:val="00BE41BB"/>
    <w:rsid w:val="00BE41E5"/>
    <w:rsid w:val="00BF4109"/>
    <w:rsid w:val="00BF4CC3"/>
    <w:rsid w:val="00BF735D"/>
    <w:rsid w:val="00C00E59"/>
    <w:rsid w:val="00C054C7"/>
    <w:rsid w:val="00C057B5"/>
    <w:rsid w:val="00C1461E"/>
    <w:rsid w:val="00C149F0"/>
    <w:rsid w:val="00C22687"/>
    <w:rsid w:val="00C25983"/>
    <w:rsid w:val="00C32989"/>
    <w:rsid w:val="00C32E4D"/>
    <w:rsid w:val="00C333A0"/>
    <w:rsid w:val="00C36408"/>
    <w:rsid w:val="00C36A81"/>
    <w:rsid w:val="00C402C7"/>
    <w:rsid w:val="00C4172A"/>
    <w:rsid w:val="00C41974"/>
    <w:rsid w:val="00C45616"/>
    <w:rsid w:val="00C53F4A"/>
    <w:rsid w:val="00C54125"/>
    <w:rsid w:val="00C55B54"/>
    <w:rsid w:val="00C6098E"/>
    <w:rsid w:val="00C6152C"/>
    <w:rsid w:val="00C631D0"/>
    <w:rsid w:val="00C74810"/>
    <w:rsid w:val="00C81ACF"/>
    <w:rsid w:val="00C90D68"/>
    <w:rsid w:val="00C939FE"/>
    <w:rsid w:val="00C96B59"/>
    <w:rsid w:val="00CA4BDA"/>
    <w:rsid w:val="00CA7C61"/>
    <w:rsid w:val="00CB1F66"/>
    <w:rsid w:val="00CB2951"/>
    <w:rsid w:val="00CB53C9"/>
    <w:rsid w:val="00CD282B"/>
    <w:rsid w:val="00CD4C35"/>
    <w:rsid w:val="00CD7369"/>
    <w:rsid w:val="00CE0B0E"/>
    <w:rsid w:val="00CE0C51"/>
    <w:rsid w:val="00CE1419"/>
    <w:rsid w:val="00CE3831"/>
    <w:rsid w:val="00D00ABB"/>
    <w:rsid w:val="00D01195"/>
    <w:rsid w:val="00D02781"/>
    <w:rsid w:val="00D02EEC"/>
    <w:rsid w:val="00D03551"/>
    <w:rsid w:val="00D069DB"/>
    <w:rsid w:val="00D06A63"/>
    <w:rsid w:val="00D07E0E"/>
    <w:rsid w:val="00D11478"/>
    <w:rsid w:val="00D15ED0"/>
    <w:rsid w:val="00D20569"/>
    <w:rsid w:val="00D21B3E"/>
    <w:rsid w:val="00D21C26"/>
    <w:rsid w:val="00D21FED"/>
    <w:rsid w:val="00D24251"/>
    <w:rsid w:val="00D343E2"/>
    <w:rsid w:val="00D361A2"/>
    <w:rsid w:val="00D44C2E"/>
    <w:rsid w:val="00D45414"/>
    <w:rsid w:val="00D54FF1"/>
    <w:rsid w:val="00D566BD"/>
    <w:rsid w:val="00D57A4D"/>
    <w:rsid w:val="00D60AA7"/>
    <w:rsid w:val="00D62A67"/>
    <w:rsid w:val="00D6435F"/>
    <w:rsid w:val="00D653BC"/>
    <w:rsid w:val="00D75E28"/>
    <w:rsid w:val="00D772C2"/>
    <w:rsid w:val="00D8008E"/>
    <w:rsid w:val="00D82C45"/>
    <w:rsid w:val="00D908A8"/>
    <w:rsid w:val="00D977B6"/>
    <w:rsid w:val="00DA3634"/>
    <w:rsid w:val="00DA4A31"/>
    <w:rsid w:val="00DA7B04"/>
    <w:rsid w:val="00DB36C2"/>
    <w:rsid w:val="00DB5CBD"/>
    <w:rsid w:val="00DC08C1"/>
    <w:rsid w:val="00DC169B"/>
    <w:rsid w:val="00DC2AB9"/>
    <w:rsid w:val="00DC63F0"/>
    <w:rsid w:val="00DD5382"/>
    <w:rsid w:val="00DD6EE5"/>
    <w:rsid w:val="00DE2362"/>
    <w:rsid w:val="00DE386C"/>
    <w:rsid w:val="00DE4D35"/>
    <w:rsid w:val="00DF098B"/>
    <w:rsid w:val="00DF11C4"/>
    <w:rsid w:val="00DF210C"/>
    <w:rsid w:val="00DF4A98"/>
    <w:rsid w:val="00DF4B6A"/>
    <w:rsid w:val="00E02C09"/>
    <w:rsid w:val="00E04D59"/>
    <w:rsid w:val="00E07DA1"/>
    <w:rsid w:val="00E123CB"/>
    <w:rsid w:val="00E12AEE"/>
    <w:rsid w:val="00E20E13"/>
    <w:rsid w:val="00E21DBC"/>
    <w:rsid w:val="00E275D7"/>
    <w:rsid w:val="00E27DBE"/>
    <w:rsid w:val="00E32AB1"/>
    <w:rsid w:val="00E345DF"/>
    <w:rsid w:val="00E36C71"/>
    <w:rsid w:val="00E40404"/>
    <w:rsid w:val="00E459C6"/>
    <w:rsid w:val="00E47589"/>
    <w:rsid w:val="00E61246"/>
    <w:rsid w:val="00E61D68"/>
    <w:rsid w:val="00E64915"/>
    <w:rsid w:val="00E661D4"/>
    <w:rsid w:val="00E70091"/>
    <w:rsid w:val="00E720F5"/>
    <w:rsid w:val="00E76D47"/>
    <w:rsid w:val="00E849F7"/>
    <w:rsid w:val="00E90302"/>
    <w:rsid w:val="00E92ED2"/>
    <w:rsid w:val="00E96DF0"/>
    <w:rsid w:val="00E97396"/>
    <w:rsid w:val="00EA185E"/>
    <w:rsid w:val="00EA592A"/>
    <w:rsid w:val="00EB14E4"/>
    <w:rsid w:val="00EB182B"/>
    <w:rsid w:val="00EB32A5"/>
    <w:rsid w:val="00EB34ED"/>
    <w:rsid w:val="00EB4A37"/>
    <w:rsid w:val="00EB7BE0"/>
    <w:rsid w:val="00EC315E"/>
    <w:rsid w:val="00EC58D1"/>
    <w:rsid w:val="00ED077C"/>
    <w:rsid w:val="00ED1190"/>
    <w:rsid w:val="00ED1579"/>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27DAF"/>
    <w:rsid w:val="00F32269"/>
    <w:rsid w:val="00F36970"/>
    <w:rsid w:val="00F54EEE"/>
    <w:rsid w:val="00F56A6F"/>
    <w:rsid w:val="00F5709C"/>
    <w:rsid w:val="00F626DA"/>
    <w:rsid w:val="00F64EF1"/>
    <w:rsid w:val="00F659F3"/>
    <w:rsid w:val="00F80C12"/>
    <w:rsid w:val="00F83589"/>
    <w:rsid w:val="00F8765F"/>
    <w:rsid w:val="00F9043C"/>
    <w:rsid w:val="00F90767"/>
    <w:rsid w:val="00F912E4"/>
    <w:rsid w:val="00F94531"/>
    <w:rsid w:val="00F95427"/>
    <w:rsid w:val="00F9588E"/>
    <w:rsid w:val="00FA685B"/>
    <w:rsid w:val="00FB0C01"/>
    <w:rsid w:val="00FC18F2"/>
    <w:rsid w:val="00FC39E5"/>
    <w:rsid w:val="00FC3A78"/>
    <w:rsid w:val="00FD1005"/>
    <w:rsid w:val="00FD61AA"/>
    <w:rsid w:val="00FD6C75"/>
    <w:rsid w:val="00FD7649"/>
    <w:rsid w:val="00FE351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6A0D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semiHidden="1" w:uiPriority="59" w:unhideWhenUsed="1"/>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A00672"/>
    <w:rPr>
      <w:sz w:val="24"/>
      <w:szCs w:val="24"/>
    </w:rPr>
  </w:style>
  <w:style w:type="paragraph" w:styleId="Nagwek1">
    <w:name w:val="heading 1"/>
    <w:basedOn w:val="Normalny"/>
    <w:next w:val="Normalny"/>
    <w:link w:val="Nagwek1Znak"/>
    <w:uiPriority w:val="98"/>
    <w:semiHidden/>
    <w:rsid w:val="00A0067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0067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00672"/>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00672"/>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00672"/>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0067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00672"/>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0067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0067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00672"/>
    <w:rPr>
      <w:rFonts w:ascii="Tahoma" w:hAnsi="Tahoma" w:cs="Tahoma"/>
      <w:sz w:val="16"/>
      <w:szCs w:val="16"/>
    </w:rPr>
  </w:style>
  <w:style w:type="character" w:customStyle="1" w:styleId="TekstdymkaZnak">
    <w:name w:val="Tekst dymka Znak"/>
    <w:basedOn w:val="Domylnaczcionkaakapitu"/>
    <w:link w:val="Tekstdymka"/>
    <w:uiPriority w:val="98"/>
    <w:semiHidden/>
    <w:rsid w:val="00A00672"/>
    <w:rPr>
      <w:rFonts w:ascii="Tahoma" w:hAnsi="Tahoma" w:cs="Tahoma"/>
      <w:sz w:val="16"/>
      <w:szCs w:val="16"/>
      <w:lang w:val="pl-PL"/>
    </w:rPr>
  </w:style>
  <w:style w:type="character" w:styleId="Tytuksiki">
    <w:name w:val="Book Title"/>
    <w:uiPriority w:val="98"/>
    <w:semiHidden/>
    <w:qFormat/>
    <w:rsid w:val="00A00672"/>
    <w:rPr>
      <w:i/>
      <w:iCs/>
      <w:smallCaps/>
      <w:spacing w:val="5"/>
    </w:rPr>
  </w:style>
  <w:style w:type="paragraph" w:customStyle="1" w:styleId="JuHeader">
    <w:name w:val="Ju_Header"/>
    <w:aliases w:val="_Header"/>
    <w:basedOn w:val="Nagwek"/>
    <w:uiPriority w:val="29"/>
    <w:qFormat/>
    <w:rsid w:val="00A00672"/>
    <w:pPr>
      <w:tabs>
        <w:tab w:val="clear" w:pos="4536"/>
        <w:tab w:val="clear" w:pos="9072"/>
      </w:tabs>
      <w:jc w:val="center"/>
    </w:pPr>
    <w:rPr>
      <w:sz w:val="18"/>
    </w:rPr>
  </w:style>
  <w:style w:type="paragraph" w:customStyle="1" w:styleId="DecList">
    <w:name w:val="Dec_List"/>
    <w:aliases w:val="_List"/>
    <w:basedOn w:val="JuList"/>
    <w:uiPriority w:val="22"/>
    <w:rsid w:val="00A00672"/>
    <w:pPr>
      <w:numPr>
        <w:numId w:val="0"/>
      </w:numPr>
      <w:ind w:left="284"/>
    </w:pPr>
  </w:style>
  <w:style w:type="character" w:styleId="Pogrubienie">
    <w:name w:val="Strong"/>
    <w:uiPriority w:val="98"/>
    <w:semiHidden/>
    <w:qFormat/>
    <w:rsid w:val="00A00672"/>
    <w:rPr>
      <w:b/>
      <w:bCs/>
    </w:rPr>
  </w:style>
  <w:style w:type="paragraph" w:styleId="Bezodstpw">
    <w:name w:val="No Spacing"/>
    <w:basedOn w:val="Normalny"/>
    <w:link w:val="BezodstpwZnak"/>
    <w:uiPriority w:val="98"/>
    <w:semiHidden/>
    <w:qFormat/>
    <w:rsid w:val="00A00672"/>
  </w:style>
  <w:style w:type="character" w:customStyle="1" w:styleId="BezodstpwZnak">
    <w:name w:val="Bez odstępów Znak"/>
    <w:basedOn w:val="Domylnaczcionkaakapitu"/>
    <w:link w:val="Bezodstpw"/>
    <w:uiPriority w:val="98"/>
    <w:semiHidden/>
    <w:rsid w:val="00A00672"/>
    <w:rPr>
      <w:sz w:val="24"/>
      <w:szCs w:val="24"/>
      <w:lang w:val="pl-PL"/>
    </w:rPr>
  </w:style>
  <w:style w:type="paragraph" w:customStyle="1" w:styleId="JuQuot">
    <w:name w:val="Ju_Quot"/>
    <w:aliases w:val="_Quote"/>
    <w:basedOn w:val="NormalJustified"/>
    <w:uiPriority w:val="20"/>
    <w:qFormat/>
    <w:rsid w:val="00A00672"/>
    <w:pPr>
      <w:spacing w:before="120" w:after="120"/>
      <w:ind w:left="425" w:firstLine="142"/>
    </w:pPr>
    <w:rPr>
      <w:sz w:val="20"/>
    </w:rPr>
  </w:style>
  <w:style w:type="paragraph" w:customStyle="1" w:styleId="JuList">
    <w:name w:val="Ju_List"/>
    <w:aliases w:val="_List_1"/>
    <w:basedOn w:val="NormalJustified"/>
    <w:uiPriority w:val="23"/>
    <w:qFormat/>
    <w:rsid w:val="00A00672"/>
    <w:pPr>
      <w:numPr>
        <w:numId w:val="10"/>
      </w:numPr>
      <w:spacing w:before="280" w:after="60"/>
    </w:pPr>
  </w:style>
  <w:style w:type="paragraph" w:customStyle="1" w:styleId="JuLista">
    <w:name w:val="Ju_List_a"/>
    <w:aliases w:val="_List_2"/>
    <w:basedOn w:val="NormalJustified"/>
    <w:uiPriority w:val="23"/>
    <w:rsid w:val="00A00672"/>
    <w:pPr>
      <w:numPr>
        <w:ilvl w:val="1"/>
        <w:numId w:val="10"/>
      </w:numPr>
    </w:pPr>
  </w:style>
  <w:style w:type="paragraph" w:customStyle="1" w:styleId="JuListi">
    <w:name w:val="Ju_List_i"/>
    <w:aliases w:val="_List_3"/>
    <w:basedOn w:val="NormalJustified"/>
    <w:uiPriority w:val="23"/>
    <w:rsid w:val="00A00672"/>
    <w:pPr>
      <w:numPr>
        <w:ilvl w:val="2"/>
        <w:numId w:val="10"/>
      </w:numPr>
    </w:pPr>
  </w:style>
  <w:style w:type="paragraph" w:customStyle="1" w:styleId="DecHTitle">
    <w:name w:val="Dec_H_Title"/>
    <w:aliases w:val="_Title_1"/>
    <w:basedOn w:val="JuPara"/>
    <w:next w:val="JuPara"/>
    <w:uiPriority w:val="38"/>
    <w:qFormat/>
    <w:rsid w:val="00A00672"/>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19"/>
    <w:qFormat/>
    <w:rsid w:val="00A00672"/>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A00672"/>
    <w:pPr>
      <w:keepNext/>
      <w:keepLines/>
      <w:tabs>
        <w:tab w:val="right" w:pos="7938"/>
      </w:tabs>
      <w:ind w:firstLine="0"/>
      <w:jc w:val="center"/>
    </w:pPr>
    <w:rPr>
      <w:i/>
    </w:rPr>
  </w:style>
  <w:style w:type="numbering" w:customStyle="1" w:styleId="ECHRA1StyleBulletedSquare">
    <w:name w:val="ECHR_A1_Style_Bulleted_Square"/>
    <w:basedOn w:val="Bezlisty"/>
    <w:rsid w:val="00A00672"/>
    <w:pPr>
      <w:numPr>
        <w:numId w:val="4"/>
      </w:numPr>
    </w:pPr>
  </w:style>
  <w:style w:type="paragraph" w:customStyle="1" w:styleId="JuHHead">
    <w:name w:val="Ju_H_Head"/>
    <w:aliases w:val="_Head_1"/>
    <w:basedOn w:val="Nagwek1"/>
    <w:next w:val="JuPara"/>
    <w:uiPriority w:val="17"/>
    <w:qFormat/>
    <w:rsid w:val="00A00672"/>
    <w:pPr>
      <w:keepNext/>
      <w:keepLines/>
      <w:numPr>
        <w:numId w:val="9"/>
      </w:numPr>
      <w:spacing w:before="100" w:beforeAutospacing="1" w:after="240"/>
      <w:contextualSpacing w:val="0"/>
    </w:pPr>
    <w:rPr>
      <w:b w:val="0"/>
      <w:caps/>
      <w:color w:val="auto"/>
    </w:rPr>
  </w:style>
  <w:style w:type="numbering" w:customStyle="1" w:styleId="ECHRA1StyleList">
    <w:name w:val="ECHR_A1_Style_List"/>
    <w:basedOn w:val="Bezlisty"/>
    <w:uiPriority w:val="99"/>
    <w:rsid w:val="00A00672"/>
    <w:pPr>
      <w:numPr>
        <w:numId w:val="5"/>
      </w:numPr>
    </w:pPr>
  </w:style>
  <w:style w:type="paragraph" w:customStyle="1" w:styleId="JuSigned">
    <w:name w:val="Ju_Signed"/>
    <w:aliases w:val="_Signature"/>
    <w:basedOn w:val="Normalny"/>
    <w:next w:val="JuPara"/>
    <w:uiPriority w:val="31"/>
    <w:qFormat/>
    <w:rsid w:val="00A00672"/>
    <w:pPr>
      <w:tabs>
        <w:tab w:val="center" w:pos="851"/>
        <w:tab w:val="center" w:pos="6407"/>
      </w:tabs>
      <w:spacing w:before="720"/>
    </w:pPr>
  </w:style>
  <w:style w:type="paragraph" w:styleId="Tytu">
    <w:name w:val="Title"/>
    <w:basedOn w:val="Normalny"/>
    <w:next w:val="Normalny"/>
    <w:link w:val="TytuZnak"/>
    <w:uiPriority w:val="98"/>
    <w:semiHidden/>
    <w:qFormat/>
    <w:rsid w:val="00A0067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A00672"/>
    <w:rPr>
      <w:rFonts w:asciiTheme="majorHAnsi" w:eastAsiaTheme="majorEastAsia" w:hAnsiTheme="majorHAnsi" w:cstheme="majorBidi"/>
      <w:spacing w:val="5"/>
      <w:sz w:val="52"/>
      <w:szCs w:val="52"/>
      <w:lang w:val="pl-PL" w:bidi="en-US"/>
    </w:rPr>
  </w:style>
  <w:style w:type="numbering" w:customStyle="1" w:styleId="ECHRA1StyleNumberedList">
    <w:name w:val="ECHR_A1_Style_Numbered_List"/>
    <w:basedOn w:val="Bezlisty"/>
    <w:rsid w:val="00A00672"/>
    <w:pPr>
      <w:numPr>
        <w:numId w:val="6"/>
      </w:numPr>
    </w:pPr>
  </w:style>
  <w:style w:type="table" w:customStyle="1" w:styleId="ECHRTable2019">
    <w:name w:val="ECHR_Table_2019"/>
    <w:basedOn w:val="Standardowy"/>
    <w:uiPriority w:val="99"/>
    <w:rsid w:val="00A0067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A00672"/>
    <w:rPr>
      <w:sz w:val="8"/>
    </w:rPr>
  </w:style>
  <w:style w:type="paragraph" w:customStyle="1" w:styleId="JuCourt">
    <w:name w:val="Ju_Court"/>
    <w:aliases w:val="_Court_Names"/>
    <w:basedOn w:val="Normalny"/>
    <w:next w:val="Normalny"/>
    <w:uiPriority w:val="32"/>
    <w:qFormat/>
    <w:rsid w:val="00A00672"/>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1"/>
    <w:qFormat/>
    <w:rsid w:val="00A00672"/>
    <w:pPr>
      <w:tabs>
        <w:tab w:val="center" w:pos="6407"/>
      </w:tabs>
      <w:spacing w:before="720"/>
      <w:jc w:val="right"/>
    </w:pPr>
  </w:style>
  <w:style w:type="paragraph" w:customStyle="1" w:styleId="JuHIRoman">
    <w:name w:val="Ju_H_I_Roman"/>
    <w:aliases w:val="_Head_2"/>
    <w:basedOn w:val="Nagwek2"/>
    <w:next w:val="JuPara"/>
    <w:uiPriority w:val="17"/>
    <w:qFormat/>
    <w:rsid w:val="00A00672"/>
    <w:pPr>
      <w:keepNext/>
      <w:keepLines/>
      <w:numPr>
        <w:ilvl w:val="1"/>
        <w:numId w:val="9"/>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A00672"/>
    <w:pPr>
      <w:keepNext/>
      <w:keepLines/>
      <w:numPr>
        <w:ilvl w:val="2"/>
        <w:numId w:val="9"/>
      </w:numPr>
      <w:spacing w:before="100" w:beforeAutospacing="1" w:after="240" w:line="240" w:lineRule="auto"/>
    </w:pPr>
    <w:rPr>
      <w:color w:val="auto"/>
      <w:sz w:val="24"/>
    </w:rPr>
  </w:style>
  <w:style w:type="paragraph" w:customStyle="1" w:styleId="JuH1">
    <w:name w:val="Ju_H_1."/>
    <w:aliases w:val="_Head_4"/>
    <w:basedOn w:val="Nagwek4"/>
    <w:next w:val="JuPara"/>
    <w:uiPriority w:val="17"/>
    <w:rsid w:val="00A00672"/>
    <w:pPr>
      <w:keepNext/>
      <w:keepLines/>
      <w:numPr>
        <w:ilvl w:val="3"/>
        <w:numId w:val="9"/>
      </w:numPr>
      <w:spacing w:before="100" w:beforeAutospacing="1" w:after="120"/>
    </w:pPr>
    <w:rPr>
      <w:b w:val="0"/>
      <w:color w:val="auto"/>
      <w:sz w:val="24"/>
    </w:rPr>
  </w:style>
  <w:style w:type="paragraph" w:styleId="Nagwek">
    <w:name w:val="header"/>
    <w:basedOn w:val="Normalny"/>
    <w:link w:val="NagwekZnak"/>
    <w:uiPriority w:val="98"/>
    <w:semiHidden/>
    <w:rsid w:val="00A00672"/>
    <w:pPr>
      <w:tabs>
        <w:tab w:val="center" w:pos="4536"/>
        <w:tab w:val="right" w:pos="9072"/>
      </w:tabs>
    </w:pPr>
  </w:style>
  <w:style w:type="character" w:customStyle="1" w:styleId="NagwekZnak">
    <w:name w:val="Nagłówek Znak"/>
    <w:basedOn w:val="Domylnaczcionkaakapitu"/>
    <w:link w:val="Nagwek"/>
    <w:uiPriority w:val="98"/>
    <w:semiHidden/>
    <w:rsid w:val="00A00672"/>
    <w:rPr>
      <w:sz w:val="24"/>
      <w:szCs w:val="24"/>
      <w:lang w:val="pl-PL"/>
    </w:rPr>
  </w:style>
  <w:style w:type="character" w:customStyle="1" w:styleId="Nagwek1Znak">
    <w:name w:val="Nagłówek 1 Znak"/>
    <w:basedOn w:val="Domylnaczcionkaakapitu"/>
    <w:link w:val="Nagwek1"/>
    <w:uiPriority w:val="98"/>
    <w:semiHidden/>
    <w:rsid w:val="00A00672"/>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A00672"/>
    <w:pPr>
      <w:keepNext/>
      <w:keepLines/>
      <w:numPr>
        <w:ilvl w:val="4"/>
        <w:numId w:val="9"/>
      </w:numPr>
      <w:spacing w:before="100" w:beforeAutospacing="1" w:after="120"/>
    </w:pPr>
    <w:rPr>
      <w:color w:val="auto"/>
      <w:sz w:val="20"/>
    </w:rPr>
  </w:style>
  <w:style w:type="paragraph" w:customStyle="1" w:styleId="JuHi">
    <w:name w:val="Ju_H_i"/>
    <w:aliases w:val="_Head_6"/>
    <w:basedOn w:val="Nagwek6"/>
    <w:next w:val="JuPara"/>
    <w:uiPriority w:val="17"/>
    <w:rsid w:val="00A00672"/>
    <w:pPr>
      <w:keepNext/>
      <w:keepLines/>
      <w:numPr>
        <w:ilvl w:val="5"/>
        <w:numId w:val="9"/>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A00672"/>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A00672"/>
    <w:pPr>
      <w:keepNext/>
      <w:keepLines/>
      <w:numPr>
        <w:ilvl w:val="6"/>
        <w:numId w:val="9"/>
      </w:numPr>
      <w:spacing w:before="100" w:beforeAutospacing="1" w:after="120"/>
    </w:pPr>
    <w:rPr>
      <w:i w:val="0"/>
      <w:sz w:val="20"/>
    </w:rPr>
  </w:style>
  <w:style w:type="paragraph" w:customStyle="1" w:styleId="JuH">
    <w:name w:val="Ju_H_–"/>
    <w:aliases w:val="_Head_8"/>
    <w:basedOn w:val="Nagwek8"/>
    <w:next w:val="JuPara"/>
    <w:uiPriority w:val="17"/>
    <w:rsid w:val="00A00672"/>
    <w:pPr>
      <w:keepNext/>
      <w:keepLines/>
      <w:numPr>
        <w:ilvl w:val="7"/>
        <w:numId w:val="9"/>
      </w:numPr>
      <w:spacing w:before="100" w:beforeAutospacing="1" w:after="120"/>
    </w:pPr>
    <w:rPr>
      <w:i/>
    </w:rPr>
  </w:style>
  <w:style w:type="character" w:customStyle="1" w:styleId="Nagwek3Znak">
    <w:name w:val="Nagłówek 3 Znak"/>
    <w:basedOn w:val="Domylnaczcionkaakapitu"/>
    <w:link w:val="Nagwek3"/>
    <w:uiPriority w:val="98"/>
    <w:semiHidden/>
    <w:rsid w:val="00A00672"/>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A00672"/>
    <w:pPr>
      <w:keepNext/>
      <w:keepLines/>
      <w:spacing w:before="240" w:after="240"/>
      <w:ind w:firstLine="284"/>
    </w:pPr>
  </w:style>
  <w:style w:type="paragraph" w:customStyle="1" w:styleId="JuJudges">
    <w:name w:val="Ju_Judges"/>
    <w:aliases w:val="_Judges"/>
    <w:basedOn w:val="Normalny"/>
    <w:uiPriority w:val="32"/>
    <w:qFormat/>
    <w:rsid w:val="00A00672"/>
    <w:pPr>
      <w:tabs>
        <w:tab w:val="left" w:pos="567"/>
        <w:tab w:val="left" w:pos="1134"/>
      </w:tabs>
    </w:pPr>
  </w:style>
  <w:style w:type="character" w:customStyle="1" w:styleId="Nagwek4Znak">
    <w:name w:val="Nagłówek 4 Znak"/>
    <w:basedOn w:val="Domylnaczcionkaakapitu"/>
    <w:link w:val="Nagwek4"/>
    <w:uiPriority w:val="98"/>
    <w:semiHidden/>
    <w:rsid w:val="00A00672"/>
    <w:rPr>
      <w:rFonts w:asciiTheme="majorHAnsi" w:eastAsiaTheme="majorEastAsia" w:hAnsiTheme="majorHAnsi" w:cstheme="majorBidi"/>
      <w:b/>
      <w:bCs/>
      <w:i/>
      <w:iCs/>
      <w:color w:val="777777"/>
      <w:lang w:val="pl-PL"/>
    </w:rPr>
  </w:style>
  <w:style w:type="character" w:customStyle="1" w:styleId="JuITMark">
    <w:name w:val="Ju_ITMark"/>
    <w:aliases w:val="_ITMark"/>
    <w:basedOn w:val="Domylnaczcionkaakapitu"/>
    <w:uiPriority w:val="43"/>
    <w:qFormat/>
    <w:rsid w:val="00A00672"/>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8"/>
    <w:semiHidden/>
    <w:rsid w:val="00A00672"/>
    <w:rPr>
      <w:rFonts w:asciiTheme="majorHAnsi" w:eastAsiaTheme="majorEastAsia" w:hAnsiTheme="majorHAnsi" w:cstheme="majorBidi"/>
      <w:b/>
      <w:bCs/>
      <w:color w:val="808080"/>
      <w:lang w:val="pl-PL"/>
    </w:rPr>
  </w:style>
  <w:style w:type="character" w:customStyle="1" w:styleId="JUNAMES">
    <w:name w:val="JU_NAMES"/>
    <w:aliases w:val="_Ju_Names"/>
    <w:uiPriority w:val="33"/>
    <w:qFormat/>
    <w:rsid w:val="00A00672"/>
    <w:rPr>
      <w:caps w:val="0"/>
      <w:smallCaps/>
    </w:rPr>
  </w:style>
  <w:style w:type="paragraph" w:customStyle="1" w:styleId="NormalJustified">
    <w:name w:val="Normal_Justified"/>
    <w:basedOn w:val="Normalny"/>
    <w:semiHidden/>
    <w:rsid w:val="00A00672"/>
    <w:pPr>
      <w:jc w:val="both"/>
    </w:pPr>
  </w:style>
  <w:style w:type="character" w:styleId="Wyrnieniedelikatne">
    <w:name w:val="Subtle Emphasis"/>
    <w:uiPriority w:val="98"/>
    <w:semiHidden/>
    <w:qFormat/>
    <w:rsid w:val="00A00672"/>
    <w:rPr>
      <w:i/>
      <w:iCs/>
    </w:rPr>
  </w:style>
  <w:style w:type="table" w:customStyle="1" w:styleId="ECHRTable">
    <w:name w:val="ECHR_Table"/>
    <w:basedOn w:val="Standardowy"/>
    <w:rsid w:val="00A00672"/>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00672"/>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A00672"/>
    <w:rPr>
      <w:b/>
      <w:bCs/>
      <w:i/>
      <w:iCs/>
      <w:spacing w:val="10"/>
      <w:bdr w:val="none" w:sz="0" w:space="0" w:color="auto"/>
      <w:shd w:val="clear" w:color="auto" w:fill="auto"/>
    </w:rPr>
  </w:style>
  <w:style w:type="paragraph" w:styleId="Stopka">
    <w:name w:val="footer"/>
    <w:basedOn w:val="Normalny"/>
    <w:link w:val="StopkaZnak"/>
    <w:uiPriority w:val="98"/>
    <w:semiHidden/>
    <w:rsid w:val="00A00672"/>
    <w:pPr>
      <w:tabs>
        <w:tab w:val="center" w:pos="3686"/>
        <w:tab w:val="right" w:pos="7371"/>
      </w:tabs>
    </w:pPr>
  </w:style>
  <w:style w:type="character" w:customStyle="1" w:styleId="StopkaZnak">
    <w:name w:val="Stopka Znak"/>
    <w:basedOn w:val="Domylnaczcionkaakapitu"/>
    <w:link w:val="Stopka"/>
    <w:uiPriority w:val="98"/>
    <w:semiHidden/>
    <w:rsid w:val="00A00672"/>
    <w:rPr>
      <w:sz w:val="24"/>
      <w:szCs w:val="24"/>
      <w:lang w:val="pl-PL"/>
    </w:rPr>
  </w:style>
  <w:style w:type="character" w:styleId="Odwoanieprzypisudolnego">
    <w:name w:val="footnote reference"/>
    <w:basedOn w:val="Domylnaczcionkaakapitu"/>
    <w:uiPriority w:val="98"/>
    <w:semiHidden/>
    <w:rsid w:val="00A00672"/>
    <w:rPr>
      <w:vertAlign w:val="superscript"/>
    </w:rPr>
  </w:style>
  <w:style w:type="paragraph" w:styleId="Tekstprzypisudolnego">
    <w:name w:val="footnote text"/>
    <w:basedOn w:val="Normalny"/>
    <w:link w:val="TekstprzypisudolnegoZnak"/>
    <w:uiPriority w:val="98"/>
    <w:semiHidden/>
    <w:rsid w:val="00A00672"/>
    <w:rPr>
      <w:sz w:val="20"/>
      <w:szCs w:val="20"/>
    </w:rPr>
  </w:style>
  <w:style w:type="character" w:customStyle="1" w:styleId="TekstprzypisudolnegoZnak">
    <w:name w:val="Tekst przypisu dolnego Znak"/>
    <w:basedOn w:val="Domylnaczcionkaakapitu"/>
    <w:link w:val="Tekstprzypisudolnego"/>
    <w:uiPriority w:val="98"/>
    <w:semiHidden/>
    <w:rsid w:val="00A00672"/>
    <w:rPr>
      <w:sz w:val="20"/>
      <w:szCs w:val="20"/>
      <w:lang w:val="pl-PL"/>
    </w:rPr>
  </w:style>
  <w:style w:type="character" w:customStyle="1" w:styleId="Nagwek6Znak">
    <w:name w:val="Nagłówek 6 Znak"/>
    <w:basedOn w:val="Domylnaczcionkaakapitu"/>
    <w:link w:val="Nagwek6"/>
    <w:uiPriority w:val="98"/>
    <w:semiHidden/>
    <w:rsid w:val="00A00672"/>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A00672"/>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A00672"/>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A00672"/>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A00672"/>
    <w:rPr>
      <w:color w:val="0072BC" w:themeColor="hyperlink"/>
      <w:u w:val="single"/>
    </w:rPr>
  </w:style>
  <w:style w:type="character" w:styleId="Wyrnienieintensywne">
    <w:name w:val="Intense Emphasis"/>
    <w:uiPriority w:val="98"/>
    <w:semiHidden/>
    <w:qFormat/>
    <w:rsid w:val="00A00672"/>
    <w:rPr>
      <w:b/>
      <w:bCs/>
    </w:rPr>
  </w:style>
  <w:style w:type="paragraph" w:styleId="Cytatintensywny">
    <w:name w:val="Intense Quote"/>
    <w:basedOn w:val="Normalny"/>
    <w:next w:val="Normalny"/>
    <w:link w:val="CytatintensywnyZnak"/>
    <w:uiPriority w:val="98"/>
    <w:semiHidden/>
    <w:qFormat/>
    <w:rsid w:val="00A0067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A00672"/>
    <w:rPr>
      <w:b/>
      <w:bCs/>
      <w:i/>
      <w:iCs/>
      <w:sz w:val="24"/>
      <w:szCs w:val="24"/>
      <w:lang w:val="pl-PL" w:bidi="en-US"/>
    </w:rPr>
  </w:style>
  <w:style w:type="character" w:styleId="Odwoanieintensywne">
    <w:name w:val="Intense Reference"/>
    <w:uiPriority w:val="98"/>
    <w:semiHidden/>
    <w:qFormat/>
    <w:rsid w:val="00A00672"/>
    <w:rPr>
      <w:smallCaps/>
      <w:spacing w:val="5"/>
      <w:u w:val="single"/>
    </w:rPr>
  </w:style>
  <w:style w:type="paragraph" w:styleId="Akapitzlist">
    <w:name w:val="List Paragraph"/>
    <w:basedOn w:val="Normalny"/>
    <w:uiPriority w:val="98"/>
    <w:semiHidden/>
    <w:qFormat/>
    <w:rsid w:val="00A00672"/>
    <w:pPr>
      <w:ind w:left="720"/>
      <w:contextualSpacing/>
    </w:pPr>
  </w:style>
  <w:style w:type="table" w:customStyle="1" w:styleId="LtrTableAddress">
    <w:name w:val="Ltr_Table_Address"/>
    <w:aliases w:val="ECHR_Ltr_Table_Address"/>
    <w:basedOn w:val="Standardowy"/>
    <w:uiPriority w:val="99"/>
    <w:rsid w:val="00A00672"/>
    <w:rPr>
      <w:sz w:val="24"/>
      <w:szCs w:val="24"/>
    </w:rPr>
    <w:tblPr>
      <w:tblInd w:w="5103" w:type="dxa"/>
    </w:tblPr>
  </w:style>
  <w:style w:type="paragraph" w:styleId="Cytat">
    <w:name w:val="Quote"/>
    <w:basedOn w:val="Normalny"/>
    <w:next w:val="Normalny"/>
    <w:link w:val="CytatZnak"/>
    <w:uiPriority w:val="98"/>
    <w:semiHidden/>
    <w:qFormat/>
    <w:rsid w:val="00A00672"/>
    <w:pPr>
      <w:spacing w:before="200"/>
      <w:ind w:left="360" w:right="360"/>
    </w:pPr>
    <w:rPr>
      <w:i/>
      <w:iCs/>
      <w:lang w:bidi="en-US"/>
    </w:rPr>
  </w:style>
  <w:style w:type="character" w:customStyle="1" w:styleId="CytatZnak">
    <w:name w:val="Cytat Znak"/>
    <w:basedOn w:val="Domylnaczcionkaakapitu"/>
    <w:link w:val="Cytat"/>
    <w:uiPriority w:val="98"/>
    <w:semiHidden/>
    <w:rsid w:val="00A00672"/>
    <w:rPr>
      <w:i/>
      <w:iCs/>
      <w:sz w:val="24"/>
      <w:szCs w:val="24"/>
      <w:lang w:val="pl-PL" w:bidi="en-US"/>
    </w:rPr>
  </w:style>
  <w:style w:type="character" w:styleId="Odwoaniedelikatne">
    <w:name w:val="Subtle Reference"/>
    <w:uiPriority w:val="98"/>
    <w:semiHidden/>
    <w:qFormat/>
    <w:rsid w:val="00A00672"/>
    <w:rPr>
      <w:smallCaps/>
    </w:rPr>
  </w:style>
  <w:style w:type="table" w:styleId="Tabela-Siatka">
    <w:name w:val="Table Grid"/>
    <w:basedOn w:val="Standardowy"/>
    <w:uiPriority w:val="59"/>
    <w:semiHidden/>
    <w:rsid w:val="00A0067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0067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0067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0067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0067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0067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0067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A00672"/>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00672"/>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0067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0067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0067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0067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0067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A00672"/>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A00672"/>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A00672"/>
    <w:pPr>
      <w:numPr>
        <w:numId w:val="1"/>
      </w:numPr>
    </w:pPr>
  </w:style>
  <w:style w:type="paragraph" w:customStyle="1" w:styleId="JuPara">
    <w:name w:val="Ju_Para"/>
    <w:aliases w:val="_Para"/>
    <w:basedOn w:val="NormalJustified"/>
    <w:link w:val="JuParaChar"/>
    <w:uiPriority w:val="4"/>
    <w:qFormat/>
    <w:rsid w:val="00A00672"/>
    <w:pPr>
      <w:ind w:firstLine="284"/>
    </w:pPr>
  </w:style>
  <w:style w:type="numbering" w:styleId="1ai">
    <w:name w:val="Outline List 1"/>
    <w:basedOn w:val="Bezlisty"/>
    <w:uiPriority w:val="99"/>
    <w:semiHidden/>
    <w:unhideWhenUsed/>
    <w:rsid w:val="00A00672"/>
    <w:pPr>
      <w:numPr>
        <w:numId w:val="2"/>
      </w:numPr>
    </w:pPr>
  </w:style>
  <w:style w:type="table" w:customStyle="1" w:styleId="ECHRTableSimpleBox">
    <w:name w:val="ECHR_Table_Simple_Box"/>
    <w:basedOn w:val="Standardowy"/>
    <w:uiPriority w:val="99"/>
    <w:rsid w:val="00A0067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0067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A00672"/>
    <w:pPr>
      <w:numPr>
        <w:numId w:val="3"/>
      </w:numPr>
    </w:pPr>
  </w:style>
  <w:style w:type="table" w:customStyle="1" w:styleId="ECHRTableForInternalUse">
    <w:name w:val="ECHR_Table_For_Internal_Use"/>
    <w:basedOn w:val="Standardowy"/>
    <w:uiPriority w:val="99"/>
    <w:rsid w:val="00A0067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0067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A00672"/>
  </w:style>
  <w:style w:type="paragraph" w:styleId="Tekstblokowy">
    <w:name w:val="Block Text"/>
    <w:basedOn w:val="Normalny"/>
    <w:uiPriority w:val="98"/>
    <w:semiHidden/>
    <w:rsid w:val="00A0067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0067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A00672"/>
    <w:pPr>
      <w:spacing w:after="120"/>
    </w:pPr>
  </w:style>
  <w:style w:type="character" w:customStyle="1" w:styleId="TekstpodstawowyZnak">
    <w:name w:val="Tekst podstawowy Znak"/>
    <w:basedOn w:val="Domylnaczcionkaakapitu"/>
    <w:link w:val="Tekstpodstawowy"/>
    <w:uiPriority w:val="98"/>
    <w:semiHidden/>
    <w:rsid w:val="00A00672"/>
    <w:rPr>
      <w:sz w:val="24"/>
      <w:szCs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A00672"/>
    <w:pPr>
      <w:spacing w:after="120" w:line="480" w:lineRule="auto"/>
    </w:pPr>
  </w:style>
  <w:style w:type="table" w:customStyle="1" w:styleId="ECHRHeaderTableReduced">
    <w:name w:val="ECHR_Header_Table_Reduced"/>
    <w:basedOn w:val="Standardowy"/>
    <w:uiPriority w:val="99"/>
    <w:rsid w:val="00A00672"/>
    <w:rPr>
      <w:sz w:val="24"/>
      <w:szCs w:val="24"/>
    </w:rPr>
    <w:tblPr>
      <w:tblInd w:w="-1474"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A00672"/>
    <w:pPr>
      <w:ind w:firstLine="284"/>
    </w:pPr>
    <w:rPr>
      <w:b/>
    </w:rPr>
  </w:style>
  <w:style w:type="character" w:styleId="Numerstrony">
    <w:name w:val="page number"/>
    <w:uiPriority w:val="98"/>
    <w:semiHidden/>
    <w:rsid w:val="00A00672"/>
    <w:rPr>
      <w:sz w:val="18"/>
    </w:rPr>
  </w:style>
  <w:style w:type="paragraph" w:styleId="Listapunktowana2">
    <w:name w:val="List Bullet 2"/>
    <w:basedOn w:val="Normalny"/>
    <w:uiPriority w:val="98"/>
    <w:semiHidden/>
    <w:rsid w:val="00A00672"/>
    <w:pPr>
      <w:numPr>
        <w:numId w:val="12"/>
      </w:numPr>
      <w:contextualSpacing/>
    </w:pPr>
  </w:style>
  <w:style w:type="character" w:customStyle="1" w:styleId="Tekstpodstawowy2Znak">
    <w:name w:val="Tekst podstawowy 2 Znak"/>
    <w:basedOn w:val="Domylnaczcionkaakapitu"/>
    <w:link w:val="Tekstpodstawowy2"/>
    <w:uiPriority w:val="98"/>
    <w:semiHidden/>
    <w:rsid w:val="00A00672"/>
    <w:rPr>
      <w:sz w:val="24"/>
      <w:szCs w:val="24"/>
      <w:lang w:val="pl-PL"/>
    </w:rPr>
  </w:style>
  <w:style w:type="paragraph" w:styleId="Tekstpodstawowy3">
    <w:name w:val="Body Text 3"/>
    <w:basedOn w:val="Normalny"/>
    <w:link w:val="Tekstpodstawowy3Znak"/>
    <w:uiPriority w:val="98"/>
    <w:semiHidden/>
    <w:rsid w:val="00A00672"/>
    <w:pPr>
      <w:spacing w:after="120"/>
    </w:pPr>
    <w:rPr>
      <w:sz w:val="16"/>
      <w:szCs w:val="16"/>
    </w:rPr>
  </w:style>
  <w:style w:type="character" w:customStyle="1" w:styleId="Tekstpodstawowy3Znak">
    <w:name w:val="Tekst podstawowy 3 Znak"/>
    <w:basedOn w:val="Domylnaczcionkaakapitu"/>
    <w:link w:val="Tekstpodstawowy3"/>
    <w:uiPriority w:val="98"/>
    <w:semiHidden/>
    <w:rsid w:val="00A00672"/>
    <w:rPr>
      <w:sz w:val="16"/>
      <w:szCs w:val="16"/>
      <w:lang w:val="pl-PL"/>
    </w:rPr>
  </w:style>
  <w:style w:type="paragraph" w:styleId="Tekstpodstawowyzwciciem">
    <w:name w:val="Body Text First Indent"/>
    <w:basedOn w:val="Tekstpodstawowy"/>
    <w:link w:val="TekstpodstawowyzwciciemZnak"/>
    <w:uiPriority w:val="98"/>
    <w:semiHidden/>
    <w:rsid w:val="00A00672"/>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00672"/>
    <w:rPr>
      <w:sz w:val="24"/>
      <w:szCs w:val="24"/>
      <w:lang w:val="pl-PL"/>
    </w:rPr>
  </w:style>
  <w:style w:type="paragraph" w:styleId="Tekstpodstawowywcity">
    <w:name w:val="Body Text Indent"/>
    <w:basedOn w:val="Normalny"/>
    <w:link w:val="TekstpodstawowywcityZnak"/>
    <w:uiPriority w:val="98"/>
    <w:semiHidden/>
    <w:rsid w:val="00A00672"/>
    <w:pPr>
      <w:spacing w:after="120"/>
      <w:ind w:left="283"/>
    </w:pPr>
  </w:style>
  <w:style w:type="character" w:customStyle="1" w:styleId="TekstpodstawowywcityZnak">
    <w:name w:val="Tekst podstawowy wcięty Znak"/>
    <w:basedOn w:val="Domylnaczcionkaakapitu"/>
    <w:link w:val="Tekstpodstawowywcity"/>
    <w:uiPriority w:val="98"/>
    <w:semiHidden/>
    <w:rsid w:val="00A00672"/>
    <w:rPr>
      <w:sz w:val="24"/>
      <w:szCs w:val="24"/>
      <w:lang w:val="pl-PL"/>
    </w:rPr>
  </w:style>
  <w:style w:type="paragraph" w:styleId="Tekstpodstawowyzwciciem2">
    <w:name w:val="Body Text First Indent 2"/>
    <w:basedOn w:val="Tekstpodstawowywcity"/>
    <w:link w:val="Tekstpodstawowyzwciciem2Znak"/>
    <w:uiPriority w:val="98"/>
    <w:semiHidden/>
    <w:rsid w:val="00A00672"/>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00672"/>
    <w:rPr>
      <w:sz w:val="24"/>
      <w:szCs w:val="24"/>
      <w:lang w:val="pl-PL"/>
    </w:rPr>
  </w:style>
  <w:style w:type="paragraph" w:styleId="Tekstpodstawowywcity2">
    <w:name w:val="Body Text Indent 2"/>
    <w:basedOn w:val="Normalny"/>
    <w:link w:val="Tekstpodstawowywcity2Znak"/>
    <w:uiPriority w:val="98"/>
    <w:semiHidden/>
    <w:rsid w:val="00A00672"/>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00672"/>
    <w:rPr>
      <w:sz w:val="24"/>
      <w:szCs w:val="24"/>
      <w:lang w:val="pl-PL"/>
    </w:rPr>
  </w:style>
  <w:style w:type="paragraph" w:styleId="Tekstpodstawowywcity3">
    <w:name w:val="Body Text Indent 3"/>
    <w:basedOn w:val="Normalny"/>
    <w:link w:val="Tekstpodstawowywcity3Znak"/>
    <w:uiPriority w:val="98"/>
    <w:semiHidden/>
    <w:rsid w:val="00A0067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00672"/>
    <w:rPr>
      <w:sz w:val="16"/>
      <w:szCs w:val="16"/>
      <w:lang w:val="pl-PL"/>
    </w:rPr>
  </w:style>
  <w:style w:type="paragraph" w:styleId="Legenda">
    <w:name w:val="caption"/>
    <w:basedOn w:val="Normalny"/>
    <w:next w:val="Normalny"/>
    <w:uiPriority w:val="98"/>
    <w:semiHidden/>
    <w:qFormat/>
    <w:rsid w:val="00A00672"/>
    <w:pPr>
      <w:spacing w:after="200"/>
    </w:pPr>
    <w:rPr>
      <w:b/>
      <w:bCs/>
      <w:color w:val="0072BC" w:themeColor="accent1"/>
      <w:sz w:val="18"/>
      <w:szCs w:val="18"/>
    </w:rPr>
  </w:style>
  <w:style w:type="paragraph" w:styleId="Zwrotpoegnalny">
    <w:name w:val="Closing"/>
    <w:basedOn w:val="Normalny"/>
    <w:link w:val="ZwrotpoegnalnyZnak"/>
    <w:uiPriority w:val="98"/>
    <w:semiHidden/>
    <w:rsid w:val="00A00672"/>
    <w:pPr>
      <w:ind w:left="4252"/>
    </w:pPr>
  </w:style>
  <w:style w:type="character" w:customStyle="1" w:styleId="ZwrotpoegnalnyZnak">
    <w:name w:val="Zwrot pożegnalny Znak"/>
    <w:basedOn w:val="Domylnaczcionkaakapitu"/>
    <w:link w:val="Zwrotpoegnalny"/>
    <w:uiPriority w:val="98"/>
    <w:semiHidden/>
    <w:rsid w:val="00A00672"/>
    <w:rPr>
      <w:sz w:val="24"/>
      <w:szCs w:val="24"/>
      <w:lang w:val="pl-PL"/>
    </w:rPr>
  </w:style>
  <w:style w:type="table" w:styleId="Kolorowasiatka">
    <w:name w:val="Colorful Grid"/>
    <w:basedOn w:val="Standardowy"/>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0067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0067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0067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0067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0067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0067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0067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0067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0067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0067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0067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0067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0067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0067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A00672"/>
    <w:rPr>
      <w:sz w:val="16"/>
      <w:szCs w:val="16"/>
    </w:rPr>
  </w:style>
  <w:style w:type="paragraph" w:styleId="Tekstkomentarza">
    <w:name w:val="annotation text"/>
    <w:basedOn w:val="Normalny"/>
    <w:link w:val="TekstkomentarzaZnak"/>
    <w:uiPriority w:val="98"/>
    <w:semiHidden/>
    <w:rsid w:val="00A00672"/>
    <w:rPr>
      <w:sz w:val="20"/>
      <w:szCs w:val="20"/>
    </w:rPr>
  </w:style>
  <w:style w:type="character" w:customStyle="1" w:styleId="TekstkomentarzaZnak">
    <w:name w:val="Tekst komentarza Znak"/>
    <w:basedOn w:val="Domylnaczcionkaakapitu"/>
    <w:link w:val="Tekstkomentarza"/>
    <w:uiPriority w:val="98"/>
    <w:semiHidden/>
    <w:rsid w:val="00A00672"/>
    <w:rPr>
      <w:sz w:val="20"/>
      <w:szCs w:val="20"/>
      <w:lang w:val="pl-PL"/>
    </w:rPr>
  </w:style>
  <w:style w:type="paragraph" w:styleId="Tematkomentarza">
    <w:name w:val="annotation subject"/>
    <w:basedOn w:val="Tekstkomentarza"/>
    <w:next w:val="Tekstkomentarza"/>
    <w:link w:val="TematkomentarzaZnak"/>
    <w:uiPriority w:val="98"/>
    <w:semiHidden/>
    <w:rsid w:val="00A00672"/>
    <w:rPr>
      <w:b/>
      <w:bCs/>
    </w:rPr>
  </w:style>
  <w:style w:type="character" w:customStyle="1" w:styleId="TematkomentarzaZnak">
    <w:name w:val="Temat komentarza Znak"/>
    <w:basedOn w:val="TekstkomentarzaZnak"/>
    <w:link w:val="Tematkomentarza"/>
    <w:uiPriority w:val="98"/>
    <w:semiHidden/>
    <w:rsid w:val="00A00672"/>
    <w:rPr>
      <w:b/>
      <w:bCs/>
      <w:sz w:val="20"/>
      <w:szCs w:val="20"/>
      <w:lang w:val="pl-PL"/>
    </w:rPr>
  </w:style>
  <w:style w:type="table" w:styleId="Ciemnalista">
    <w:name w:val="Dark List"/>
    <w:basedOn w:val="Standardowy"/>
    <w:uiPriority w:val="70"/>
    <w:semiHidden/>
    <w:rsid w:val="00A0067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0067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0067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0067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0067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0067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0067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00672"/>
  </w:style>
  <w:style w:type="character" w:customStyle="1" w:styleId="DataZnak">
    <w:name w:val="Data Znak"/>
    <w:basedOn w:val="Domylnaczcionkaakapitu"/>
    <w:link w:val="Data"/>
    <w:uiPriority w:val="98"/>
    <w:semiHidden/>
    <w:rsid w:val="00A00672"/>
    <w:rPr>
      <w:sz w:val="24"/>
      <w:szCs w:val="24"/>
      <w:lang w:val="pl-PL"/>
    </w:rPr>
  </w:style>
  <w:style w:type="paragraph" w:styleId="Mapadokumentu">
    <w:name w:val="Document Map"/>
    <w:basedOn w:val="Normalny"/>
    <w:link w:val="MapadokumentuZnak"/>
    <w:uiPriority w:val="98"/>
    <w:semiHidden/>
    <w:rsid w:val="00A00672"/>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00672"/>
    <w:rPr>
      <w:rFonts w:ascii="Tahoma" w:hAnsi="Tahoma" w:cs="Tahoma"/>
      <w:sz w:val="16"/>
      <w:szCs w:val="16"/>
      <w:lang w:val="pl-PL"/>
    </w:rPr>
  </w:style>
  <w:style w:type="paragraph" w:styleId="Podpise-mail">
    <w:name w:val="E-mail Signature"/>
    <w:basedOn w:val="Normalny"/>
    <w:link w:val="Podpise-mailZnak"/>
    <w:uiPriority w:val="98"/>
    <w:semiHidden/>
    <w:rsid w:val="00A00672"/>
  </w:style>
  <w:style w:type="character" w:customStyle="1" w:styleId="Podpise-mailZnak">
    <w:name w:val="Podpis e-mail Znak"/>
    <w:basedOn w:val="Domylnaczcionkaakapitu"/>
    <w:link w:val="Podpise-mail"/>
    <w:uiPriority w:val="98"/>
    <w:semiHidden/>
    <w:rsid w:val="00A00672"/>
    <w:rPr>
      <w:sz w:val="24"/>
      <w:szCs w:val="24"/>
      <w:lang w:val="pl-PL"/>
    </w:rPr>
  </w:style>
  <w:style w:type="character" w:styleId="Odwoanieprzypisukocowego">
    <w:name w:val="endnote reference"/>
    <w:basedOn w:val="Domylnaczcionkaakapitu"/>
    <w:uiPriority w:val="98"/>
    <w:semiHidden/>
    <w:rsid w:val="00A00672"/>
    <w:rPr>
      <w:vertAlign w:val="superscript"/>
    </w:rPr>
  </w:style>
  <w:style w:type="paragraph" w:styleId="Tekstprzypisukocowego">
    <w:name w:val="endnote text"/>
    <w:basedOn w:val="Normalny"/>
    <w:link w:val="TekstprzypisukocowegoZnak"/>
    <w:uiPriority w:val="98"/>
    <w:semiHidden/>
    <w:rsid w:val="00A00672"/>
    <w:rPr>
      <w:sz w:val="20"/>
      <w:szCs w:val="20"/>
    </w:rPr>
  </w:style>
  <w:style w:type="character" w:customStyle="1" w:styleId="TekstprzypisukocowegoZnak">
    <w:name w:val="Tekst przypisu końcowego Znak"/>
    <w:basedOn w:val="Domylnaczcionkaakapitu"/>
    <w:link w:val="Tekstprzypisukocowego"/>
    <w:uiPriority w:val="98"/>
    <w:semiHidden/>
    <w:rsid w:val="00A00672"/>
    <w:rPr>
      <w:sz w:val="20"/>
      <w:szCs w:val="20"/>
      <w:lang w:val="pl-PL"/>
    </w:rPr>
  </w:style>
  <w:style w:type="paragraph" w:styleId="Adresnakopercie">
    <w:name w:val="envelope address"/>
    <w:basedOn w:val="Normalny"/>
    <w:uiPriority w:val="98"/>
    <w:semiHidden/>
    <w:rsid w:val="00A00672"/>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00672"/>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00672"/>
    <w:rPr>
      <w:color w:val="7030A0" w:themeColor="followedHyperlink"/>
      <w:u w:val="single"/>
    </w:rPr>
  </w:style>
  <w:style w:type="character" w:styleId="HTML-akronim">
    <w:name w:val="HTML Acronym"/>
    <w:basedOn w:val="Domylnaczcionkaakapitu"/>
    <w:uiPriority w:val="98"/>
    <w:semiHidden/>
    <w:rsid w:val="00A00672"/>
  </w:style>
  <w:style w:type="paragraph" w:styleId="HTML-adres">
    <w:name w:val="HTML Address"/>
    <w:basedOn w:val="Normalny"/>
    <w:link w:val="HTML-adresZnak"/>
    <w:uiPriority w:val="98"/>
    <w:semiHidden/>
    <w:rsid w:val="00A00672"/>
    <w:rPr>
      <w:i/>
      <w:iCs/>
    </w:rPr>
  </w:style>
  <w:style w:type="character" w:customStyle="1" w:styleId="HTML-adresZnak">
    <w:name w:val="HTML - adres Znak"/>
    <w:basedOn w:val="Domylnaczcionkaakapitu"/>
    <w:link w:val="HTML-adres"/>
    <w:uiPriority w:val="98"/>
    <w:semiHidden/>
    <w:rsid w:val="00A00672"/>
    <w:rPr>
      <w:i/>
      <w:iCs/>
      <w:sz w:val="24"/>
      <w:szCs w:val="24"/>
      <w:lang w:val="pl-PL"/>
    </w:rPr>
  </w:style>
  <w:style w:type="character" w:styleId="HTML-cytat">
    <w:name w:val="HTML Cite"/>
    <w:basedOn w:val="Domylnaczcionkaakapitu"/>
    <w:uiPriority w:val="98"/>
    <w:semiHidden/>
    <w:rsid w:val="00A00672"/>
    <w:rPr>
      <w:i/>
      <w:iCs/>
    </w:rPr>
  </w:style>
  <w:style w:type="character" w:styleId="HTML-kod">
    <w:name w:val="HTML Code"/>
    <w:basedOn w:val="Domylnaczcionkaakapitu"/>
    <w:uiPriority w:val="98"/>
    <w:semiHidden/>
    <w:rsid w:val="00A00672"/>
    <w:rPr>
      <w:rFonts w:ascii="Consolas" w:hAnsi="Consolas" w:cs="Consolas"/>
      <w:sz w:val="20"/>
      <w:szCs w:val="20"/>
    </w:rPr>
  </w:style>
  <w:style w:type="character" w:styleId="HTML-definicja">
    <w:name w:val="HTML Definition"/>
    <w:basedOn w:val="Domylnaczcionkaakapitu"/>
    <w:uiPriority w:val="98"/>
    <w:semiHidden/>
    <w:rsid w:val="00A00672"/>
    <w:rPr>
      <w:i/>
      <w:iCs/>
    </w:rPr>
  </w:style>
  <w:style w:type="character" w:styleId="HTML-klawiatura">
    <w:name w:val="HTML Keyboard"/>
    <w:basedOn w:val="Domylnaczcionkaakapitu"/>
    <w:uiPriority w:val="98"/>
    <w:semiHidden/>
    <w:rsid w:val="00A00672"/>
    <w:rPr>
      <w:rFonts w:ascii="Consolas" w:hAnsi="Consolas" w:cs="Consolas"/>
      <w:sz w:val="20"/>
      <w:szCs w:val="20"/>
    </w:rPr>
  </w:style>
  <w:style w:type="paragraph" w:styleId="HTML-wstpniesformatowany">
    <w:name w:val="HTML Preformatted"/>
    <w:basedOn w:val="Normalny"/>
    <w:link w:val="HTML-wstpniesformatowanyZnak"/>
    <w:uiPriority w:val="98"/>
    <w:semiHidden/>
    <w:rsid w:val="00A0067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00672"/>
    <w:rPr>
      <w:rFonts w:ascii="Consolas" w:hAnsi="Consolas" w:cs="Consolas"/>
      <w:sz w:val="20"/>
      <w:szCs w:val="20"/>
      <w:lang w:val="pl-PL"/>
    </w:rPr>
  </w:style>
  <w:style w:type="character" w:styleId="HTML-przykad">
    <w:name w:val="HTML Sample"/>
    <w:basedOn w:val="Domylnaczcionkaakapitu"/>
    <w:uiPriority w:val="98"/>
    <w:semiHidden/>
    <w:rsid w:val="00A00672"/>
    <w:rPr>
      <w:rFonts w:ascii="Consolas" w:hAnsi="Consolas" w:cs="Consolas"/>
      <w:sz w:val="24"/>
      <w:szCs w:val="24"/>
    </w:rPr>
  </w:style>
  <w:style w:type="character" w:styleId="HTML-staaszeroko">
    <w:name w:val="HTML Typewriter"/>
    <w:basedOn w:val="Domylnaczcionkaakapitu"/>
    <w:uiPriority w:val="98"/>
    <w:semiHidden/>
    <w:rsid w:val="00A00672"/>
    <w:rPr>
      <w:rFonts w:ascii="Consolas" w:hAnsi="Consolas" w:cs="Consolas"/>
      <w:sz w:val="20"/>
      <w:szCs w:val="20"/>
    </w:rPr>
  </w:style>
  <w:style w:type="character" w:styleId="HTML-zmienna">
    <w:name w:val="HTML Variable"/>
    <w:basedOn w:val="Domylnaczcionkaakapitu"/>
    <w:uiPriority w:val="98"/>
    <w:semiHidden/>
    <w:rsid w:val="00A00672"/>
    <w:rPr>
      <w:i/>
      <w:iCs/>
    </w:rPr>
  </w:style>
  <w:style w:type="paragraph" w:styleId="Indeks1">
    <w:name w:val="index 1"/>
    <w:basedOn w:val="Normalny"/>
    <w:next w:val="Normalny"/>
    <w:autoRedefine/>
    <w:uiPriority w:val="98"/>
    <w:semiHidden/>
    <w:rsid w:val="00A00672"/>
    <w:pPr>
      <w:ind w:left="240" w:hanging="240"/>
    </w:pPr>
  </w:style>
  <w:style w:type="paragraph" w:styleId="Indeks2">
    <w:name w:val="index 2"/>
    <w:basedOn w:val="Normalny"/>
    <w:next w:val="Normalny"/>
    <w:autoRedefine/>
    <w:uiPriority w:val="98"/>
    <w:semiHidden/>
    <w:rsid w:val="00A00672"/>
    <w:pPr>
      <w:ind w:left="480" w:hanging="240"/>
    </w:pPr>
  </w:style>
  <w:style w:type="paragraph" w:styleId="Indeks3">
    <w:name w:val="index 3"/>
    <w:basedOn w:val="Normalny"/>
    <w:next w:val="Normalny"/>
    <w:autoRedefine/>
    <w:uiPriority w:val="98"/>
    <w:semiHidden/>
    <w:rsid w:val="00A00672"/>
    <w:pPr>
      <w:ind w:left="720" w:hanging="240"/>
    </w:pPr>
  </w:style>
  <w:style w:type="paragraph" w:styleId="Indeks4">
    <w:name w:val="index 4"/>
    <w:basedOn w:val="Normalny"/>
    <w:next w:val="Normalny"/>
    <w:autoRedefine/>
    <w:uiPriority w:val="98"/>
    <w:semiHidden/>
    <w:rsid w:val="00A00672"/>
    <w:pPr>
      <w:ind w:left="960" w:hanging="240"/>
    </w:pPr>
  </w:style>
  <w:style w:type="paragraph" w:styleId="Indeks5">
    <w:name w:val="index 5"/>
    <w:basedOn w:val="Normalny"/>
    <w:next w:val="Normalny"/>
    <w:autoRedefine/>
    <w:uiPriority w:val="98"/>
    <w:semiHidden/>
    <w:rsid w:val="00A00672"/>
    <w:pPr>
      <w:ind w:left="1200" w:hanging="240"/>
    </w:pPr>
  </w:style>
  <w:style w:type="paragraph" w:styleId="Indeks6">
    <w:name w:val="index 6"/>
    <w:basedOn w:val="Normalny"/>
    <w:next w:val="Normalny"/>
    <w:autoRedefine/>
    <w:uiPriority w:val="98"/>
    <w:semiHidden/>
    <w:rsid w:val="00A00672"/>
    <w:pPr>
      <w:ind w:left="1440" w:hanging="240"/>
    </w:pPr>
  </w:style>
  <w:style w:type="paragraph" w:styleId="Indeks7">
    <w:name w:val="index 7"/>
    <w:basedOn w:val="Normalny"/>
    <w:next w:val="Normalny"/>
    <w:autoRedefine/>
    <w:uiPriority w:val="98"/>
    <w:semiHidden/>
    <w:rsid w:val="00A00672"/>
    <w:pPr>
      <w:ind w:left="1680" w:hanging="240"/>
    </w:pPr>
  </w:style>
  <w:style w:type="paragraph" w:styleId="Indeks8">
    <w:name w:val="index 8"/>
    <w:basedOn w:val="Normalny"/>
    <w:next w:val="Normalny"/>
    <w:autoRedefine/>
    <w:uiPriority w:val="98"/>
    <w:semiHidden/>
    <w:rsid w:val="00A00672"/>
    <w:pPr>
      <w:ind w:left="1920" w:hanging="240"/>
    </w:pPr>
  </w:style>
  <w:style w:type="paragraph" w:styleId="Indeks9">
    <w:name w:val="index 9"/>
    <w:basedOn w:val="Normalny"/>
    <w:next w:val="Normalny"/>
    <w:autoRedefine/>
    <w:uiPriority w:val="98"/>
    <w:semiHidden/>
    <w:rsid w:val="00A00672"/>
    <w:pPr>
      <w:ind w:left="2160" w:hanging="240"/>
    </w:pPr>
  </w:style>
  <w:style w:type="paragraph" w:styleId="Nagwekindeksu">
    <w:name w:val="index heading"/>
    <w:basedOn w:val="Normalny"/>
    <w:next w:val="Indeks1"/>
    <w:uiPriority w:val="98"/>
    <w:semiHidden/>
    <w:rsid w:val="00A00672"/>
    <w:rPr>
      <w:rFonts w:asciiTheme="majorHAnsi" w:eastAsiaTheme="majorEastAsia" w:hAnsiTheme="majorHAnsi" w:cstheme="majorBidi"/>
      <w:b/>
      <w:bCs/>
    </w:rPr>
  </w:style>
  <w:style w:type="table" w:styleId="Jasnasiatka">
    <w:name w:val="Light Grid"/>
    <w:basedOn w:val="Standardowy"/>
    <w:uiPriority w:val="62"/>
    <w:semiHidden/>
    <w:rsid w:val="00A0067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0067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0067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0067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0067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0067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0067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0067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0067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0067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0067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0067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0067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0067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0067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0067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0067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0067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0067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0067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0067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00672"/>
  </w:style>
  <w:style w:type="paragraph" w:styleId="Lista">
    <w:name w:val="List"/>
    <w:basedOn w:val="Normalny"/>
    <w:uiPriority w:val="98"/>
    <w:semiHidden/>
    <w:rsid w:val="00A00672"/>
    <w:pPr>
      <w:ind w:left="283" w:hanging="283"/>
      <w:contextualSpacing/>
    </w:pPr>
  </w:style>
  <w:style w:type="paragraph" w:styleId="Lista2">
    <w:name w:val="List 2"/>
    <w:basedOn w:val="Normalny"/>
    <w:uiPriority w:val="98"/>
    <w:semiHidden/>
    <w:rsid w:val="00A00672"/>
    <w:pPr>
      <w:ind w:left="566" w:hanging="283"/>
      <w:contextualSpacing/>
    </w:pPr>
  </w:style>
  <w:style w:type="paragraph" w:styleId="Lista3">
    <w:name w:val="List 3"/>
    <w:basedOn w:val="Normalny"/>
    <w:uiPriority w:val="98"/>
    <w:semiHidden/>
    <w:rsid w:val="00A00672"/>
    <w:pPr>
      <w:ind w:left="849" w:hanging="283"/>
      <w:contextualSpacing/>
    </w:pPr>
  </w:style>
  <w:style w:type="paragraph" w:styleId="Lista4">
    <w:name w:val="List 4"/>
    <w:basedOn w:val="Normalny"/>
    <w:uiPriority w:val="98"/>
    <w:semiHidden/>
    <w:rsid w:val="00A00672"/>
    <w:pPr>
      <w:ind w:left="1132" w:hanging="283"/>
      <w:contextualSpacing/>
    </w:pPr>
  </w:style>
  <w:style w:type="paragraph" w:styleId="Lista5">
    <w:name w:val="List 5"/>
    <w:basedOn w:val="Normalny"/>
    <w:uiPriority w:val="98"/>
    <w:semiHidden/>
    <w:rsid w:val="00A00672"/>
    <w:pPr>
      <w:ind w:left="1415" w:hanging="283"/>
      <w:contextualSpacing/>
    </w:pPr>
  </w:style>
  <w:style w:type="paragraph" w:styleId="Listapunktowana">
    <w:name w:val="List Bullet"/>
    <w:basedOn w:val="Normalny"/>
    <w:uiPriority w:val="98"/>
    <w:semiHidden/>
    <w:rsid w:val="00A00672"/>
    <w:pPr>
      <w:numPr>
        <w:numId w:val="11"/>
      </w:numPr>
    </w:pPr>
  </w:style>
  <w:style w:type="paragraph" w:styleId="Listapunktowana3">
    <w:name w:val="List Bullet 3"/>
    <w:basedOn w:val="Normalny"/>
    <w:uiPriority w:val="98"/>
    <w:semiHidden/>
    <w:rsid w:val="00A00672"/>
    <w:pPr>
      <w:numPr>
        <w:numId w:val="13"/>
      </w:numPr>
      <w:contextualSpacing/>
    </w:pPr>
  </w:style>
  <w:style w:type="paragraph" w:styleId="Listapunktowana4">
    <w:name w:val="List Bullet 4"/>
    <w:basedOn w:val="Normalny"/>
    <w:uiPriority w:val="98"/>
    <w:semiHidden/>
    <w:rsid w:val="00A00672"/>
    <w:pPr>
      <w:numPr>
        <w:numId w:val="14"/>
      </w:numPr>
      <w:contextualSpacing/>
    </w:pPr>
  </w:style>
  <w:style w:type="paragraph" w:styleId="Listapunktowana5">
    <w:name w:val="List Bullet 5"/>
    <w:basedOn w:val="Normalny"/>
    <w:uiPriority w:val="98"/>
    <w:semiHidden/>
    <w:rsid w:val="00A00672"/>
    <w:pPr>
      <w:numPr>
        <w:numId w:val="15"/>
      </w:numPr>
      <w:contextualSpacing/>
    </w:pPr>
  </w:style>
  <w:style w:type="paragraph" w:styleId="Lista-kontynuacja">
    <w:name w:val="List Continue"/>
    <w:basedOn w:val="Normalny"/>
    <w:uiPriority w:val="98"/>
    <w:semiHidden/>
    <w:rsid w:val="00A00672"/>
    <w:pPr>
      <w:spacing w:after="120"/>
      <w:ind w:left="283"/>
      <w:contextualSpacing/>
    </w:pPr>
  </w:style>
  <w:style w:type="paragraph" w:styleId="Lista-kontynuacja2">
    <w:name w:val="List Continue 2"/>
    <w:basedOn w:val="Normalny"/>
    <w:uiPriority w:val="98"/>
    <w:semiHidden/>
    <w:rsid w:val="00A00672"/>
    <w:pPr>
      <w:spacing w:after="120"/>
      <w:ind w:left="566"/>
      <w:contextualSpacing/>
    </w:pPr>
  </w:style>
  <w:style w:type="paragraph" w:styleId="Lista-kontynuacja3">
    <w:name w:val="List Continue 3"/>
    <w:basedOn w:val="Normalny"/>
    <w:uiPriority w:val="98"/>
    <w:semiHidden/>
    <w:rsid w:val="00A00672"/>
    <w:pPr>
      <w:spacing w:after="120"/>
      <w:ind w:left="849"/>
      <w:contextualSpacing/>
    </w:pPr>
  </w:style>
  <w:style w:type="paragraph" w:styleId="Lista-kontynuacja4">
    <w:name w:val="List Continue 4"/>
    <w:basedOn w:val="Normalny"/>
    <w:uiPriority w:val="98"/>
    <w:semiHidden/>
    <w:rsid w:val="00A00672"/>
    <w:pPr>
      <w:spacing w:after="120"/>
      <w:ind w:left="1132"/>
      <w:contextualSpacing/>
    </w:pPr>
  </w:style>
  <w:style w:type="paragraph" w:styleId="Lista-kontynuacja5">
    <w:name w:val="List Continue 5"/>
    <w:basedOn w:val="Normalny"/>
    <w:uiPriority w:val="98"/>
    <w:semiHidden/>
    <w:rsid w:val="00A00672"/>
    <w:pPr>
      <w:spacing w:after="120"/>
      <w:ind w:left="1415"/>
      <w:contextualSpacing/>
    </w:pPr>
  </w:style>
  <w:style w:type="paragraph" w:styleId="Listanumerowana">
    <w:name w:val="List Number"/>
    <w:basedOn w:val="Normalny"/>
    <w:uiPriority w:val="98"/>
    <w:semiHidden/>
    <w:rsid w:val="00A00672"/>
    <w:pPr>
      <w:numPr>
        <w:numId w:val="16"/>
      </w:numPr>
      <w:contextualSpacing/>
    </w:pPr>
  </w:style>
  <w:style w:type="paragraph" w:styleId="Listanumerowana2">
    <w:name w:val="List Number 2"/>
    <w:basedOn w:val="Normalny"/>
    <w:uiPriority w:val="98"/>
    <w:semiHidden/>
    <w:rsid w:val="00A00672"/>
    <w:pPr>
      <w:numPr>
        <w:numId w:val="17"/>
      </w:numPr>
      <w:contextualSpacing/>
    </w:pPr>
  </w:style>
  <w:style w:type="paragraph" w:styleId="Listanumerowana3">
    <w:name w:val="List Number 3"/>
    <w:basedOn w:val="Normalny"/>
    <w:uiPriority w:val="98"/>
    <w:semiHidden/>
    <w:rsid w:val="00A00672"/>
    <w:pPr>
      <w:numPr>
        <w:numId w:val="18"/>
      </w:numPr>
      <w:contextualSpacing/>
    </w:pPr>
  </w:style>
  <w:style w:type="paragraph" w:styleId="Listanumerowana4">
    <w:name w:val="List Number 4"/>
    <w:basedOn w:val="Normalny"/>
    <w:uiPriority w:val="98"/>
    <w:semiHidden/>
    <w:rsid w:val="00A00672"/>
    <w:pPr>
      <w:numPr>
        <w:numId w:val="19"/>
      </w:numPr>
      <w:contextualSpacing/>
    </w:pPr>
  </w:style>
  <w:style w:type="paragraph" w:styleId="Listanumerowana5">
    <w:name w:val="List Number 5"/>
    <w:basedOn w:val="Normalny"/>
    <w:uiPriority w:val="98"/>
    <w:semiHidden/>
    <w:rsid w:val="00A00672"/>
    <w:pPr>
      <w:numPr>
        <w:numId w:val="20"/>
      </w:numPr>
      <w:contextualSpacing/>
    </w:pPr>
  </w:style>
  <w:style w:type="paragraph" w:styleId="Tekstmakra">
    <w:name w:val="macro"/>
    <w:link w:val="TekstmakraZnak"/>
    <w:uiPriority w:val="98"/>
    <w:semiHidden/>
    <w:rsid w:val="00A0067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00672"/>
    <w:rPr>
      <w:rFonts w:ascii="Consolas" w:eastAsiaTheme="minorEastAsia" w:hAnsi="Consolas" w:cs="Consolas"/>
      <w:sz w:val="20"/>
      <w:szCs w:val="20"/>
    </w:rPr>
  </w:style>
  <w:style w:type="table" w:styleId="redniasiatka1">
    <w:name w:val="Medium Grid 1"/>
    <w:basedOn w:val="Standardowy"/>
    <w:uiPriority w:val="67"/>
    <w:semiHidden/>
    <w:rsid w:val="00A0067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0067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0067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0067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0067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0067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0067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0067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0067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0067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0067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0067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0067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0067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0067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0067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0067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0067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0067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0067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0067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0067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00672"/>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A00672"/>
    <w:rPr>
      <w:rFonts w:ascii="Times New Roman" w:hAnsi="Times New Roman" w:cs="Times New Roman"/>
    </w:rPr>
  </w:style>
  <w:style w:type="paragraph" w:styleId="Wcicienormalne">
    <w:name w:val="Normal Indent"/>
    <w:basedOn w:val="Normalny"/>
    <w:uiPriority w:val="98"/>
    <w:semiHidden/>
    <w:rsid w:val="00A00672"/>
    <w:pPr>
      <w:ind w:left="720"/>
    </w:pPr>
  </w:style>
  <w:style w:type="paragraph" w:styleId="Nagweknotatki">
    <w:name w:val="Note Heading"/>
    <w:basedOn w:val="Normalny"/>
    <w:next w:val="Normalny"/>
    <w:link w:val="NagweknotatkiZnak"/>
    <w:uiPriority w:val="98"/>
    <w:semiHidden/>
    <w:rsid w:val="00A00672"/>
  </w:style>
  <w:style w:type="character" w:customStyle="1" w:styleId="NagweknotatkiZnak">
    <w:name w:val="Nagłówek notatki Znak"/>
    <w:basedOn w:val="Domylnaczcionkaakapitu"/>
    <w:link w:val="Nagweknotatki"/>
    <w:uiPriority w:val="98"/>
    <w:semiHidden/>
    <w:rsid w:val="00A00672"/>
    <w:rPr>
      <w:sz w:val="24"/>
      <w:szCs w:val="24"/>
      <w:lang w:val="pl-PL"/>
    </w:rPr>
  </w:style>
  <w:style w:type="character" w:styleId="Tekstzastpczy">
    <w:name w:val="Placeholder Text"/>
    <w:basedOn w:val="Domylnaczcionkaakapitu"/>
    <w:uiPriority w:val="98"/>
    <w:semiHidden/>
    <w:rsid w:val="00A00672"/>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00672"/>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00672"/>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A00672"/>
  </w:style>
  <w:style w:type="character" w:customStyle="1" w:styleId="ZwrotgrzecznociowyZnak">
    <w:name w:val="Zwrot grzecznościowy Znak"/>
    <w:basedOn w:val="Domylnaczcionkaakapitu"/>
    <w:link w:val="Zwrotgrzecznociowy"/>
    <w:uiPriority w:val="98"/>
    <w:semiHidden/>
    <w:rsid w:val="00A00672"/>
    <w:rPr>
      <w:sz w:val="24"/>
      <w:szCs w:val="24"/>
      <w:lang w:val="pl-PL"/>
    </w:rPr>
  </w:style>
  <w:style w:type="paragraph" w:styleId="Podpis">
    <w:name w:val="Signature"/>
    <w:basedOn w:val="Normalny"/>
    <w:link w:val="PodpisZnak"/>
    <w:uiPriority w:val="98"/>
    <w:semiHidden/>
    <w:rsid w:val="00A00672"/>
    <w:pPr>
      <w:ind w:left="4252"/>
    </w:pPr>
  </w:style>
  <w:style w:type="character" w:customStyle="1" w:styleId="PodpisZnak">
    <w:name w:val="Podpis Znak"/>
    <w:basedOn w:val="Domylnaczcionkaakapitu"/>
    <w:link w:val="Podpis"/>
    <w:uiPriority w:val="98"/>
    <w:semiHidden/>
    <w:rsid w:val="00A00672"/>
    <w:rPr>
      <w:sz w:val="24"/>
      <w:szCs w:val="24"/>
      <w:lang w:val="pl-PL"/>
    </w:rPr>
  </w:style>
  <w:style w:type="table" w:styleId="Tabela-Efekty3D1">
    <w:name w:val="Table 3D effects 1"/>
    <w:basedOn w:val="Standardowy"/>
    <w:uiPriority w:val="99"/>
    <w:semiHidden/>
    <w:unhideWhenUsed/>
    <w:rsid w:val="00A0067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A0067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A0067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0067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0067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0067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0067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0067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0067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0067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0067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0067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0067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0067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0067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0067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0067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0067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0067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0067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0067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0067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0067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0067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0067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0067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0067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0067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0067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0067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00672"/>
    <w:pPr>
      <w:ind w:left="240" w:hanging="240"/>
    </w:pPr>
  </w:style>
  <w:style w:type="paragraph" w:styleId="Spisilustracji">
    <w:name w:val="table of figures"/>
    <w:basedOn w:val="Normalny"/>
    <w:next w:val="Normalny"/>
    <w:uiPriority w:val="98"/>
    <w:semiHidden/>
    <w:rsid w:val="00A00672"/>
  </w:style>
  <w:style w:type="table" w:styleId="Tabela-Profesjonalny">
    <w:name w:val="Table Professional"/>
    <w:basedOn w:val="Standardowy"/>
    <w:uiPriority w:val="99"/>
    <w:semiHidden/>
    <w:unhideWhenUsed/>
    <w:rsid w:val="00A0067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0067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0067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0067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0067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0067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0067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0067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0067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0067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0067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00672"/>
    <w:pPr>
      <w:spacing w:after="100"/>
      <w:ind w:left="1680"/>
    </w:pPr>
  </w:style>
  <w:style w:type="paragraph" w:styleId="Spistreci9">
    <w:name w:val="toc 9"/>
    <w:basedOn w:val="Normalny"/>
    <w:next w:val="Normalny"/>
    <w:autoRedefine/>
    <w:uiPriority w:val="98"/>
    <w:semiHidden/>
    <w:rsid w:val="00A00672"/>
    <w:pPr>
      <w:spacing w:after="100"/>
      <w:ind w:left="1920"/>
    </w:pPr>
  </w:style>
  <w:style w:type="paragraph" w:customStyle="1" w:styleId="ECHRFooter">
    <w:name w:val="ECHR_Footer"/>
    <w:aliases w:val="Footer_ECHR"/>
    <w:basedOn w:val="Stopka"/>
    <w:uiPriority w:val="57"/>
    <w:semiHidden/>
    <w:rsid w:val="00893F30"/>
    <w:rPr>
      <w:sz w:val="8"/>
    </w:rPr>
  </w:style>
  <w:style w:type="paragraph" w:customStyle="1" w:styleId="FooterLine">
    <w:name w:val="_Footer_Line"/>
    <w:aliases w:val="Footer_Line"/>
    <w:basedOn w:val="Normalny"/>
    <w:next w:val="Footer"/>
    <w:uiPriority w:val="57"/>
    <w:semiHidden/>
    <w:rsid w:val="00A0067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00672"/>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A00672"/>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A00672"/>
    <w:pPr>
      <w:numPr>
        <w:numId w:val="7"/>
      </w:numPr>
      <w:spacing w:before="60" w:after="60"/>
    </w:pPr>
  </w:style>
  <w:style w:type="paragraph" w:customStyle="1" w:styleId="ECHRBullet2">
    <w:name w:val="ECHR_Bullet_2"/>
    <w:aliases w:val="_Bul_2"/>
    <w:basedOn w:val="ECHRBullet1"/>
    <w:uiPriority w:val="23"/>
    <w:semiHidden/>
    <w:rsid w:val="00A00672"/>
    <w:pPr>
      <w:numPr>
        <w:ilvl w:val="1"/>
      </w:numPr>
    </w:pPr>
  </w:style>
  <w:style w:type="paragraph" w:customStyle="1" w:styleId="ECHRBullet3">
    <w:name w:val="ECHR_Bullet_3"/>
    <w:aliases w:val="_Bul_3"/>
    <w:basedOn w:val="ECHRBullet2"/>
    <w:uiPriority w:val="23"/>
    <w:semiHidden/>
    <w:rsid w:val="00A00672"/>
    <w:pPr>
      <w:numPr>
        <w:ilvl w:val="2"/>
      </w:numPr>
    </w:pPr>
  </w:style>
  <w:style w:type="paragraph" w:customStyle="1" w:styleId="ECHRBullet4">
    <w:name w:val="ECHR_Bullet_4"/>
    <w:aliases w:val="_Bul_4"/>
    <w:basedOn w:val="ECHRBullet3"/>
    <w:uiPriority w:val="23"/>
    <w:semiHidden/>
    <w:rsid w:val="00A00672"/>
    <w:pPr>
      <w:numPr>
        <w:ilvl w:val="3"/>
      </w:numPr>
    </w:pPr>
  </w:style>
  <w:style w:type="paragraph" w:customStyle="1" w:styleId="ECHRConfidential">
    <w:name w:val="ECHR_Confidential"/>
    <w:aliases w:val="_Confidential"/>
    <w:basedOn w:val="Normalny"/>
    <w:next w:val="Normalny"/>
    <w:uiPriority w:val="42"/>
    <w:semiHidden/>
    <w:qFormat/>
    <w:rsid w:val="00A00672"/>
    <w:pPr>
      <w:jc w:val="right"/>
    </w:pPr>
    <w:rPr>
      <w:color w:val="C00000"/>
      <w:sz w:val="20"/>
    </w:rPr>
  </w:style>
  <w:style w:type="paragraph" w:customStyle="1" w:styleId="ECHRDecisionBody">
    <w:name w:val="ECHR_Decision_Body"/>
    <w:aliases w:val="_Decision_Body"/>
    <w:basedOn w:val="NormalJustified"/>
    <w:uiPriority w:val="54"/>
    <w:semiHidden/>
    <w:rsid w:val="00A00672"/>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00672"/>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omylnaczcionkaakapitu"/>
    <w:link w:val="ECHRDivisionName"/>
    <w:uiPriority w:val="41"/>
    <w:semiHidden/>
    <w:rsid w:val="00A00672"/>
    <w:rPr>
      <w:rFonts w:ascii="Arial" w:hAnsi="Arial"/>
      <w:i/>
      <w:color w:val="0072BC" w:themeColor="accent1"/>
      <w:sz w:val="32"/>
      <w:szCs w:val="24"/>
      <w:lang w:val="pl-PL"/>
    </w:rPr>
  </w:style>
  <w:style w:type="paragraph" w:customStyle="1" w:styleId="ECHRFooterLineLandscape">
    <w:name w:val="ECHR_Footer_Line_Landscape"/>
    <w:aliases w:val="_Footer_Line_Landscape"/>
    <w:basedOn w:val="Normalny"/>
    <w:uiPriority w:val="30"/>
    <w:semiHidden/>
    <w:rsid w:val="00A0067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A00672"/>
    <w:pPr>
      <w:jc w:val="right"/>
    </w:pPr>
    <w:rPr>
      <w:sz w:val="20"/>
    </w:rPr>
  </w:style>
  <w:style w:type="paragraph" w:customStyle="1" w:styleId="ECHRHeaderRefIt">
    <w:name w:val="ECHR_Header_Ref_It"/>
    <w:aliases w:val="_Ref_Ital"/>
    <w:basedOn w:val="Normalny"/>
    <w:next w:val="ECHRHeaderDate"/>
    <w:uiPriority w:val="43"/>
    <w:semiHidden/>
    <w:qFormat/>
    <w:rsid w:val="00A00672"/>
    <w:pPr>
      <w:jc w:val="right"/>
    </w:pPr>
    <w:rPr>
      <w:i/>
      <w:sz w:val="20"/>
    </w:rPr>
  </w:style>
  <w:style w:type="paragraph" w:customStyle="1" w:styleId="ECHRHeading9">
    <w:name w:val="ECHR_Heading_9"/>
    <w:aliases w:val="_Head_9"/>
    <w:basedOn w:val="Nagwek9"/>
    <w:uiPriority w:val="19"/>
    <w:semiHidden/>
    <w:rsid w:val="00A00672"/>
    <w:pPr>
      <w:keepNext/>
      <w:keepLines/>
      <w:numPr>
        <w:ilvl w:val="8"/>
        <w:numId w:val="9"/>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A0067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A00672"/>
    <w:pPr>
      <w:numPr>
        <w:numId w:val="8"/>
      </w:numPr>
      <w:spacing w:before="60" w:after="60"/>
    </w:pPr>
  </w:style>
  <w:style w:type="paragraph" w:customStyle="1" w:styleId="ECHRNumberedList2">
    <w:name w:val="ECHR_Numbered_List_2"/>
    <w:aliases w:val="_Num_2"/>
    <w:basedOn w:val="ECHRNumberedList1"/>
    <w:uiPriority w:val="23"/>
    <w:semiHidden/>
    <w:rsid w:val="00A00672"/>
    <w:pPr>
      <w:numPr>
        <w:ilvl w:val="1"/>
      </w:numPr>
    </w:pPr>
  </w:style>
  <w:style w:type="paragraph" w:customStyle="1" w:styleId="ECHRNumberedList3">
    <w:name w:val="ECHR_Numbered_List_3"/>
    <w:aliases w:val="_Num_3"/>
    <w:basedOn w:val="ECHRNumberedList2"/>
    <w:uiPriority w:val="23"/>
    <w:semiHidden/>
    <w:rsid w:val="00A00672"/>
    <w:pPr>
      <w:numPr>
        <w:ilvl w:val="2"/>
      </w:numPr>
    </w:pPr>
  </w:style>
  <w:style w:type="paragraph" w:customStyle="1" w:styleId="ECHRParaHanging">
    <w:name w:val="ECHR_Para_Hanging"/>
    <w:aliases w:val="_Hanging"/>
    <w:basedOn w:val="Normalny"/>
    <w:uiPriority w:val="8"/>
    <w:semiHidden/>
    <w:qFormat/>
    <w:rsid w:val="00A00672"/>
    <w:pPr>
      <w:ind w:left="567" w:hanging="567"/>
      <w:jc w:val="both"/>
    </w:pPr>
  </w:style>
  <w:style w:type="paragraph" w:customStyle="1" w:styleId="ECHRParaIndent">
    <w:name w:val="ECHR_Para_Indent"/>
    <w:aliases w:val="_Indent"/>
    <w:basedOn w:val="Normalny"/>
    <w:uiPriority w:val="7"/>
    <w:semiHidden/>
    <w:qFormat/>
    <w:rsid w:val="00A00672"/>
    <w:pPr>
      <w:spacing w:before="120" w:after="120"/>
      <w:ind w:left="567"/>
      <w:jc w:val="both"/>
    </w:pPr>
  </w:style>
  <w:style w:type="character" w:customStyle="1" w:styleId="ECHRRed">
    <w:name w:val="ECHR_Red"/>
    <w:aliases w:val="_Red"/>
    <w:basedOn w:val="Domylnaczcionkaakapitu"/>
    <w:uiPriority w:val="15"/>
    <w:semiHidden/>
    <w:qFormat/>
    <w:rsid w:val="00A00672"/>
    <w:rPr>
      <w:color w:val="C00000" w:themeColor="accent2"/>
    </w:rPr>
  </w:style>
  <w:style w:type="paragraph" w:customStyle="1" w:styleId="ECHRSpacer">
    <w:name w:val="ECHR_Spacer"/>
    <w:aliases w:val="_Spacer"/>
    <w:basedOn w:val="Normalny"/>
    <w:uiPriority w:val="45"/>
    <w:semiHidden/>
    <w:rsid w:val="00A00672"/>
    <w:rPr>
      <w:sz w:val="4"/>
    </w:rPr>
  </w:style>
  <w:style w:type="table" w:customStyle="1" w:styleId="ECHRTable2">
    <w:name w:val="ECHR_Table_2"/>
    <w:basedOn w:val="Standardowy"/>
    <w:uiPriority w:val="99"/>
    <w:rsid w:val="00A0067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0067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A0067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0067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0067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A0067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0067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A0067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00672"/>
    <w:pPr>
      <w:outlineLvl w:val="0"/>
    </w:pPr>
  </w:style>
  <w:style w:type="paragraph" w:customStyle="1" w:styleId="ECHRTitleTOC1">
    <w:name w:val="ECHR_Title_TOC_1"/>
    <w:aliases w:val="_Title_L_TOC"/>
    <w:basedOn w:val="ECHRTitle1"/>
    <w:next w:val="Normalny"/>
    <w:uiPriority w:val="27"/>
    <w:semiHidden/>
    <w:qFormat/>
    <w:rsid w:val="00A00672"/>
    <w:pPr>
      <w:outlineLvl w:val="0"/>
    </w:pPr>
  </w:style>
  <w:style w:type="paragraph" w:customStyle="1" w:styleId="JuHeaderLandscape">
    <w:name w:val="Ju_Header_Landscape"/>
    <w:aliases w:val="_Header_Landscape"/>
    <w:basedOn w:val="JuHeader"/>
    <w:uiPriority w:val="29"/>
    <w:qFormat/>
    <w:rsid w:val="00B738BC"/>
    <w:pPr>
      <w:tabs>
        <w:tab w:val="center" w:pos="6146"/>
        <w:tab w:val="right" w:pos="12293"/>
      </w:tabs>
      <w:jc w:val="left"/>
    </w:pPr>
    <w:rPr>
      <w:szCs w:val="22"/>
    </w:rPr>
  </w:style>
  <w:style w:type="character" w:customStyle="1" w:styleId="JuNames0">
    <w:name w:val="Ju_Names"/>
    <w:rsid w:val="00B738BC"/>
    <w:rPr>
      <w:rFonts w:ascii="Times New Roman" w:hAnsi="Times New Roman" w:cs="Times New Roman"/>
      <w:smallCaps/>
    </w:rPr>
  </w:style>
  <w:style w:type="character" w:customStyle="1" w:styleId="JuParaChar">
    <w:name w:val="Ju_Para Char"/>
    <w:aliases w:val="_Para Char"/>
    <w:basedOn w:val="Domylnaczcionkaakapitu"/>
    <w:link w:val="JuPara"/>
    <w:uiPriority w:val="4"/>
    <w:locked/>
    <w:rsid w:val="00B738BC"/>
    <w:rPr>
      <w:sz w:val="24"/>
      <w:szCs w:val="24"/>
      <w:lang w:val="pl-PL"/>
    </w:rPr>
  </w:style>
  <w:style w:type="character" w:customStyle="1" w:styleId="footnote">
    <w:name w:val="footnote"/>
    <w:basedOn w:val="Domylnaczcionkaakapitu"/>
    <w:rsid w:val="005A6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48949645">
      <w:bodyDiv w:val="1"/>
      <w:marLeft w:val="0"/>
      <w:marRight w:val="0"/>
      <w:marTop w:val="0"/>
      <w:marBottom w:val="0"/>
      <w:divBdr>
        <w:top w:val="none" w:sz="0" w:space="0" w:color="auto"/>
        <w:left w:val="none" w:sz="0" w:space="0" w:color="auto"/>
        <w:bottom w:val="none" w:sz="0" w:space="0" w:color="auto"/>
        <w:right w:val="none" w:sz="0" w:space="0" w:color="auto"/>
      </w:divBdr>
      <w:divsChild>
        <w:div w:id="1035161529">
          <w:marLeft w:val="0"/>
          <w:marRight w:val="0"/>
          <w:marTop w:val="0"/>
          <w:marBottom w:val="0"/>
          <w:divBdr>
            <w:top w:val="none" w:sz="0" w:space="0" w:color="auto"/>
            <w:left w:val="none" w:sz="0" w:space="0" w:color="auto"/>
            <w:bottom w:val="none" w:sz="0" w:space="0" w:color="auto"/>
            <w:right w:val="none" w:sz="0" w:space="0" w:color="auto"/>
          </w:divBdr>
          <w:divsChild>
            <w:div w:id="652180023">
              <w:marLeft w:val="0"/>
              <w:marRight w:val="0"/>
              <w:marTop w:val="0"/>
              <w:marBottom w:val="0"/>
              <w:divBdr>
                <w:top w:val="none" w:sz="0" w:space="0" w:color="auto"/>
                <w:left w:val="none" w:sz="0" w:space="0" w:color="auto"/>
                <w:bottom w:val="none" w:sz="0" w:space="0" w:color="auto"/>
                <w:right w:val="none" w:sz="0" w:space="0" w:color="auto"/>
              </w:divBdr>
              <w:divsChild>
                <w:div w:id="1550261324">
                  <w:marLeft w:val="0"/>
                  <w:marRight w:val="0"/>
                  <w:marTop w:val="0"/>
                  <w:marBottom w:val="0"/>
                  <w:divBdr>
                    <w:top w:val="none" w:sz="0" w:space="0" w:color="auto"/>
                    <w:left w:val="none" w:sz="0" w:space="0" w:color="auto"/>
                    <w:bottom w:val="none" w:sz="0" w:space="0" w:color="auto"/>
                    <w:right w:val="none" w:sz="0" w:space="0" w:color="auto"/>
                  </w:divBdr>
                  <w:divsChild>
                    <w:div w:id="1256398455">
                      <w:marLeft w:val="0"/>
                      <w:marRight w:val="0"/>
                      <w:marTop w:val="0"/>
                      <w:marBottom w:val="0"/>
                      <w:divBdr>
                        <w:top w:val="none" w:sz="0" w:space="0" w:color="auto"/>
                        <w:left w:val="none" w:sz="0" w:space="0" w:color="auto"/>
                        <w:bottom w:val="none" w:sz="0" w:space="0" w:color="auto"/>
                        <w:right w:val="none" w:sz="0" w:space="0" w:color="auto"/>
                      </w:divBdr>
                      <w:divsChild>
                        <w:div w:id="1609240776">
                          <w:marLeft w:val="0"/>
                          <w:marRight w:val="0"/>
                          <w:marTop w:val="0"/>
                          <w:marBottom w:val="0"/>
                          <w:divBdr>
                            <w:top w:val="none" w:sz="0" w:space="0" w:color="auto"/>
                            <w:left w:val="none" w:sz="0" w:space="0" w:color="auto"/>
                            <w:bottom w:val="none" w:sz="0" w:space="0" w:color="auto"/>
                            <w:right w:val="none" w:sz="0" w:space="0" w:color="auto"/>
                          </w:divBdr>
                          <w:divsChild>
                            <w:div w:id="705065431">
                              <w:marLeft w:val="0"/>
                              <w:marRight w:val="0"/>
                              <w:marTop w:val="0"/>
                              <w:marBottom w:val="0"/>
                              <w:divBdr>
                                <w:top w:val="none" w:sz="0" w:space="0" w:color="auto"/>
                                <w:left w:val="none" w:sz="0" w:space="0" w:color="auto"/>
                                <w:bottom w:val="none" w:sz="0" w:space="0" w:color="auto"/>
                                <w:right w:val="none" w:sz="0" w:space="0" w:color="auto"/>
                              </w:divBdr>
                              <w:divsChild>
                                <w:div w:id="1424765866">
                                  <w:marLeft w:val="0"/>
                                  <w:marRight w:val="0"/>
                                  <w:marTop w:val="0"/>
                                  <w:marBottom w:val="0"/>
                                  <w:divBdr>
                                    <w:top w:val="none" w:sz="0" w:space="0" w:color="auto"/>
                                    <w:left w:val="none" w:sz="0" w:space="0" w:color="auto"/>
                                    <w:bottom w:val="none" w:sz="0" w:space="0" w:color="auto"/>
                                    <w:right w:val="none" w:sz="0" w:space="0" w:color="auto"/>
                                  </w:divBdr>
                                  <w:divsChild>
                                    <w:div w:id="1600021636">
                                      <w:marLeft w:val="0"/>
                                      <w:marRight w:val="0"/>
                                      <w:marTop w:val="0"/>
                                      <w:marBottom w:val="0"/>
                                      <w:divBdr>
                                        <w:top w:val="none" w:sz="0" w:space="0" w:color="auto"/>
                                        <w:left w:val="none" w:sz="0" w:space="0" w:color="auto"/>
                                        <w:bottom w:val="none" w:sz="0" w:space="0" w:color="auto"/>
                                        <w:right w:val="none" w:sz="0" w:space="0" w:color="auto"/>
                                      </w:divBdr>
                                      <w:divsChild>
                                        <w:div w:id="1725179869">
                                          <w:marLeft w:val="0"/>
                                          <w:marRight w:val="0"/>
                                          <w:marTop w:val="0"/>
                                          <w:marBottom w:val="0"/>
                                          <w:divBdr>
                                            <w:top w:val="none" w:sz="0" w:space="0" w:color="auto"/>
                                            <w:left w:val="none" w:sz="0" w:space="0" w:color="auto"/>
                                            <w:bottom w:val="none" w:sz="0" w:space="0" w:color="auto"/>
                                            <w:right w:val="none" w:sz="0" w:space="0" w:color="auto"/>
                                          </w:divBdr>
                                          <w:divsChild>
                                            <w:div w:id="302808609">
                                              <w:marLeft w:val="0"/>
                                              <w:marRight w:val="0"/>
                                              <w:marTop w:val="0"/>
                                              <w:marBottom w:val="0"/>
                                              <w:divBdr>
                                                <w:top w:val="none" w:sz="0" w:space="0" w:color="auto"/>
                                                <w:left w:val="none" w:sz="0" w:space="0" w:color="auto"/>
                                                <w:bottom w:val="none" w:sz="0" w:space="0" w:color="auto"/>
                                                <w:right w:val="none" w:sz="0" w:space="0" w:color="auto"/>
                                              </w:divBdr>
                                              <w:divsChild>
                                                <w:div w:id="1136026885">
                                                  <w:marLeft w:val="0"/>
                                                  <w:marRight w:val="0"/>
                                                  <w:marTop w:val="0"/>
                                                  <w:marBottom w:val="0"/>
                                                  <w:divBdr>
                                                    <w:top w:val="none" w:sz="0" w:space="0" w:color="auto"/>
                                                    <w:left w:val="none" w:sz="0" w:space="0" w:color="auto"/>
                                                    <w:bottom w:val="none" w:sz="0" w:space="0" w:color="auto"/>
                                                    <w:right w:val="none" w:sz="0" w:space="0" w:color="auto"/>
                                                  </w:divBdr>
                                                  <w:divsChild>
                                                    <w:div w:id="871919513">
                                                      <w:marLeft w:val="0"/>
                                                      <w:marRight w:val="0"/>
                                                      <w:marTop w:val="0"/>
                                                      <w:marBottom w:val="0"/>
                                                      <w:divBdr>
                                                        <w:top w:val="none" w:sz="0" w:space="0" w:color="auto"/>
                                                        <w:left w:val="none" w:sz="0" w:space="0" w:color="auto"/>
                                                        <w:bottom w:val="none" w:sz="0" w:space="0" w:color="auto"/>
                                                        <w:right w:val="none" w:sz="0" w:space="0" w:color="auto"/>
                                                      </w:divBdr>
                                                      <w:divsChild>
                                                        <w:div w:id="1711101469">
                                                          <w:marLeft w:val="0"/>
                                                          <w:marRight w:val="0"/>
                                                          <w:marTop w:val="0"/>
                                                          <w:marBottom w:val="0"/>
                                                          <w:divBdr>
                                                            <w:top w:val="none" w:sz="0" w:space="0" w:color="auto"/>
                                                            <w:left w:val="none" w:sz="0" w:space="0" w:color="auto"/>
                                                            <w:bottom w:val="none" w:sz="0" w:space="0" w:color="auto"/>
                                                            <w:right w:val="none" w:sz="0" w:space="0" w:color="auto"/>
                                                          </w:divBdr>
                                                        </w:div>
                                                        <w:div w:id="723600836">
                                                          <w:marLeft w:val="0"/>
                                                          <w:marRight w:val="0"/>
                                                          <w:marTop w:val="0"/>
                                                          <w:marBottom w:val="0"/>
                                                          <w:divBdr>
                                                            <w:top w:val="none" w:sz="0" w:space="0" w:color="auto"/>
                                                            <w:left w:val="none" w:sz="0" w:space="0" w:color="auto"/>
                                                            <w:bottom w:val="none" w:sz="0" w:space="0" w:color="auto"/>
                                                            <w:right w:val="none" w:sz="0" w:space="0" w:color="auto"/>
                                                          </w:divBdr>
                                                          <w:divsChild>
                                                            <w:div w:id="1132362051">
                                                              <w:marLeft w:val="0"/>
                                                              <w:marRight w:val="0"/>
                                                              <w:marTop w:val="0"/>
                                                              <w:marBottom w:val="0"/>
                                                              <w:divBdr>
                                                                <w:top w:val="none" w:sz="0" w:space="0" w:color="auto"/>
                                                                <w:left w:val="none" w:sz="0" w:space="0" w:color="auto"/>
                                                                <w:bottom w:val="none" w:sz="0" w:space="0" w:color="auto"/>
                                                                <w:right w:val="none" w:sz="0" w:space="0" w:color="auto"/>
                                                              </w:divBdr>
                                                              <w:divsChild>
                                                                <w:div w:id="107061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296706">
                                                          <w:marLeft w:val="0"/>
                                                          <w:marRight w:val="0"/>
                                                          <w:marTop w:val="0"/>
                                                          <w:marBottom w:val="0"/>
                                                          <w:divBdr>
                                                            <w:top w:val="none" w:sz="0" w:space="0" w:color="auto"/>
                                                            <w:left w:val="none" w:sz="0" w:space="0" w:color="auto"/>
                                                            <w:bottom w:val="none" w:sz="0" w:space="0" w:color="auto"/>
                                                            <w:right w:val="none" w:sz="0" w:space="0" w:color="auto"/>
                                                          </w:divBdr>
                                                          <w:divsChild>
                                                            <w:div w:id="916474281">
                                                              <w:marLeft w:val="0"/>
                                                              <w:marRight w:val="0"/>
                                                              <w:marTop w:val="0"/>
                                                              <w:marBottom w:val="0"/>
                                                              <w:divBdr>
                                                                <w:top w:val="none" w:sz="0" w:space="0" w:color="auto"/>
                                                                <w:left w:val="none" w:sz="0" w:space="0" w:color="auto"/>
                                                                <w:bottom w:val="none" w:sz="0" w:space="0" w:color="auto"/>
                                                                <w:right w:val="none" w:sz="0" w:space="0" w:color="auto"/>
                                                              </w:divBdr>
                                                              <w:divsChild>
                                                                <w:div w:id="15049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880844">
                                                          <w:marLeft w:val="0"/>
                                                          <w:marRight w:val="0"/>
                                                          <w:marTop w:val="0"/>
                                                          <w:marBottom w:val="0"/>
                                                          <w:divBdr>
                                                            <w:top w:val="none" w:sz="0" w:space="0" w:color="auto"/>
                                                            <w:left w:val="none" w:sz="0" w:space="0" w:color="auto"/>
                                                            <w:bottom w:val="none" w:sz="0" w:space="0" w:color="auto"/>
                                                            <w:right w:val="none" w:sz="0" w:space="0" w:color="auto"/>
                                                          </w:divBdr>
                                                          <w:divsChild>
                                                            <w:div w:id="185485950">
                                                              <w:marLeft w:val="0"/>
                                                              <w:marRight w:val="0"/>
                                                              <w:marTop w:val="0"/>
                                                              <w:marBottom w:val="0"/>
                                                              <w:divBdr>
                                                                <w:top w:val="none" w:sz="0" w:space="0" w:color="auto"/>
                                                                <w:left w:val="none" w:sz="0" w:space="0" w:color="auto"/>
                                                                <w:bottom w:val="none" w:sz="0" w:space="0" w:color="auto"/>
                                                                <w:right w:val="none" w:sz="0" w:space="0" w:color="auto"/>
                                                              </w:divBdr>
                                                              <w:divsChild>
                                                                <w:div w:id="194526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17204">
                                                          <w:marLeft w:val="0"/>
                                                          <w:marRight w:val="0"/>
                                                          <w:marTop w:val="0"/>
                                                          <w:marBottom w:val="0"/>
                                                          <w:divBdr>
                                                            <w:top w:val="none" w:sz="0" w:space="0" w:color="auto"/>
                                                            <w:left w:val="none" w:sz="0" w:space="0" w:color="auto"/>
                                                            <w:bottom w:val="none" w:sz="0" w:space="0" w:color="auto"/>
                                                            <w:right w:val="none" w:sz="0" w:space="0" w:color="auto"/>
                                                          </w:divBdr>
                                                          <w:divsChild>
                                                            <w:div w:id="1794205626">
                                                              <w:marLeft w:val="0"/>
                                                              <w:marRight w:val="0"/>
                                                              <w:marTop w:val="0"/>
                                                              <w:marBottom w:val="0"/>
                                                              <w:divBdr>
                                                                <w:top w:val="none" w:sz="0" w:space="0" w:color="auto"/>
                                                                <w:left w:val="none" w:sz="0" w:space="0" w:color="auto"/>
                                                                <w:bottom w:val="none" w:sz="0" w:space="0" w:color="auto"/>
                                                                <w:right w:val="none" w:sz="0" w:space="0" w:color="auto"/>
                                                              </w:divBdr>
                                                              <w:divsChild>
                                                                <w:div w:id="205226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764251">
                                                          <w:marLeft w:val="0"/>
                                                          <w:marRight w:val="0"/>
                                                          <w:marTop w:val="0"/>
                                                          <w:marBottom w:val="0"/>
                                                          <w:divBdr>
                                                            <w:top w:val="none" w:sz="0" w:space="0" w:color="auto"/>
                                                            <w:left w:val="none" w:sz="0" w:space="0" w:color="auto"/>
                                                            <w:bottom w:val="none" w:sz="0" w:space="0" w:color="auto"/>
                                                            <w:right w:val="none" w:sz="0" w:space="0" w:color="auto"/>
                                                          </w:divBdr>
                                                          <w:divsChild>
                                                            <w:div w:id="1219047070">
                                                              <w:marLeft w:val="0"/>
                                                              <w:marRight w:val="0"/>
                                                              <w:marTop w:val="0"/>
                                                              <w:marBottom w:val="0"/>
                                                              <w:divBdr>
                                                                <w:top w:val="none" w:sz="0" w:space="0" w:color="auto"/>
                                                                <w:left w:val="none" w:sz="0" w:space="0" w:color="auto"/>
                                                                <w:bottom w:val="none" w:sz="0" w:space="0" w:color="auto"/>
                                                                <w:right w:val="none" w:sz="0" w:space="0" w:color="auto"/>
                                                              </w:divBdr>
                                                              <w:divsChild>
                                                                <w:div w:id="107262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939449">
                                                          <w:marLeft w:val="0"/>
                                                          <w:marRight w:val="0"/>
                                                          <w:marTop w:val="0"/>
                                                          <w:marBottom w:val="0"/>
                                                          <w:divBdr>
                                                            <w:top w:val="none" w:sz="0" w:space="0" w:color="auto"/>
                                                            <w:left w:val="none" w:sz="0" w:space="0" w:color="auto"/>
                                                            <w:bottom w:val="none" w:sz="0" w:space="0" w:color="auto"/>
                                                            <w:right w:val="none" w:sz="0" w:space="0" w:color="auto"/>
                                                          </w:divBdr>
                                                          <w:divsChild>
                                                            <w:div w:id="1639072853">
                                                              <w:marLeft w:val="0"/>
                                                              <w:marRight w:val="0"/>
                                                              <w:marTop w:val="0"/>
                                                              <w:marBottom w:val="0"/>
                                                              <w:divBdr>
                                                                <w:top w:val="none" w:sz="0" w:space="0" w:color="auto"/>
                                                                <w:left w:val="none" w:sz="0" w:space="0" w:color="auto"/>
                                                                <w:bottom w:val="none" w:sz="0" w:space="0" w:color="auto"/>
                                                                <w:right w:val="none" w:sz="0" w:space="0" w:color="auto"/>
                                                              </w:divBdr>
                                                              <w:divsChild>
                                                                <w:div w:id="11429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911508">
                                                      <w:marLeft w:val="0"/>
                                                      <w:marRight w:val="0"/>
                                                      <w:marTop w:val="0"/>
                                                      <w:marBottom w:val="0"/>
                                                      <w:divBdr>
                                                        <w:top w:val="none" w:sz="0" w:space="0" w:color="auto"/>
                                                        <w:left w:val="none" w:sz="0" w:space="0" w:color="auto"/>
                                                        <w:bottom w:val="none" w:sz="0" w:space="0" w:color="auto"/>
                                                        <w:right w:val="none" w:sz="0" w:space="0" w:color="auto"/>
                                                      </w:divBdr>
                                                      <w:divsChild>
                                                        <w:div w:id="1503162045">
                                                          <w:marLeft w:val="0"/>
                                                          <w:marRight w:val="0"/>
                                                          <w:marTop w:val="0"/>
                                                          <w:marBottom w:val="0"/>
                                                          <w:divBdr>
                                                            <w:top w:val="none" w:sz="0" w:space="0" w:color="auto"/>
                                                            <w:left w:val="none" w:sz="0" w:space="0" w:color="auto"/>
                                                            <w:bottom w:val="none" w:sz="0" w:space="0" w:color="auto"/>
                                                            <w:right w:val="none" w:sz="0" w:space="0" w:color="auto"/>
                                                          </w:divBdr>
                                                        </w:div>
                                                      </w:divsChild>
                                                    </w:div>
                                                    <w:div w:id="1342127600">
                                                      <w:marLeft w:val="0"/>
                                                      <w:marRight w:val="0"/>
                                                      <w:marTop w:val="0"/>
                                                      <w:marBottom w:val="0"/>
                                                      <w:divBdr>
                                                        <w:top w:val="none" w:sz="0" w:space="0" w:color="auto"/>
                                                        <w:left w:val="none" w:sz="0" w:space="0" w:color="auto"/>
                                                        <w:bottom w:val="none" w:sz="0" w:space="0" w:color="auto"/>
                                                        <w:right w:val="none" w:sz="0" w:space="0" w:color="auto"/>
                                                      </w:divBdr>
                                                      <w:divsChild>
                                                        <w:div w:id="18914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E416C-BBAC-4EA0-8172-866869241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AEDD6C0-273A-4888-A9C1-9DD928D7F27C}">
  <ds:schemaRefs>
    <ds:schemaRef ds:uri="http://schemas.microsoft.com/sharepoint/v3/contenttype/forms"/>
  </ds:schemaRefs>
</ds:datastoreItem>
</file>

<file path=customXml/itemProps3.xml><?xml version="1.0" encoding="utf-8"?>
<ds:datastoreItem xmlns:ds="http://schemas.openxmlformats.org/officeDocument/2006/customXml" ds:itemID="{13C28F48-5E4B-41A4-B6DC-337DEAC15F7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5C8F2E1-EC26-4A2C-8F2C-07C490F47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5919</Words>
  <Characters>35515</Characters>
  <Application>Microsoft Office Word</Application>
  <DocSecurity>4</DocSecurity>
  <Lines>295</Lines>
  <Paragraphs>82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2020-08-12T08:58:00Z</dcterms:created>
  <dcterms:modified xsi:type="dcterms:W3CDTF">2020-08-12T08:58:00Z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31955/11</vt:lpwstr>
  </property>
  <property fmtid="{D5CDD505-2E9C-101B-9397-08002B2CF9AE}" pid="4" name="CASEID">
    <vt:lpwstr>721536</vt:lpwstr>
  </property>
  <property fmtid="{D5CDD505-2E9C-101B-9397-08002B2CF9AE}" pid="5" name="ContentTypeId">
    <vt:lpwstr>0x010100558EB02BDB9E204AB350EDD385B68E10</vt:lpwstr>
  </property>
</Properties>
</file>