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AB4BE3" w14:textId="6F4DF20D" w:rsidR="00A9185A" w:rsidRPr="00211F57" w:rsidRDefault="007C037E" w:rsidP="00211F57">
      <w:pPr>
        <w:jc w:val="center"/>
        <w:rPr>
          <w:rFonts w:ascii="Times New Roman" w:hAnsi="Times New Roman" w:cs="Times New Roman"/>
        </w:rPr>
      </w:pPr>
      <w:bookmarkStart w:id="0" w:name="_GoBack"/>
      <w:bookmarkEnd w:id="0"/>
      <w:r>
        <w:rPr>
          <w:rFonts w:ascii="Times New Roman" w:hAnsi="Times New Roman" w:cs="Times New Roman"/>
        </w:rPr>
        <w:t>EUROPEJSKI TRYBUNAŁ PRAW CZŁOWIEKA</w:t>
      </w:r>
    </w:p>
    <w:p w14:paraId="1C8B118B" w14:textId="77777777" w:rsidR="00211F57" w:rsidRPr="00211F57" w:rsidRDefault="00211F57" w:rsidP="00211F57">
      <w:pPr>
        <w:jc w:val="center"/>
        <w:rPr>
          <w:rFonts w:ascii="Times New Roman" w:hAnsi="Times New Roman" w:cs="Times New Roman"/>
        </w:rPr>
      </w:pPr>
    </w:p>
    <w:p w14:paraId="1E2CBF50" w14:textId="77777777" w:rsidR="0098410D" w:rsidRPr="00211F57" w:rsidRDefault="0098410D" w:rsidP="00211F57">
      <w:pPr>
        <w:jc w:val="center"/>
      </w:pPr>
    </w:p>
    <w:p w14:paraId="35B43448" w14:textId="77777777" w:rsidR="0098410D" w:rsidRPr="00211F57" w:rsidRDefault="00A9185A" w:rsidP="00211F57">
      <w:pPr>
        <w:pStyle w:val="DecHCase"/>
      </w:pPr>
      <w:r>
        <w:t>PIERWSZA SEKCJA</w:t>
      </w:r>
    </w:p>
    <w:p w14:paraId="5D468E4A" w14:textId="77777777" w:rsidR="00211F57" w:rsidRPr="00211F57" w:rsidRDefault="00211F57" w:rsidP="00211F57">
      <w:pPr>
        <w:pStyle w:val="JuTitle"/>
        <w:rPr>
          <w:color w:val="000000" w:themeColor="text1"/>
        </w:rPr>
      </w:pPr>
      <w:bookmarkStart w:id="1" w:name="To"/>
    </w:p>
    <w:p w14:paraId="76CD8871" w14:textId="77777777" w:rsidR="00211F57" w:rsidRPr="00211F57" w:rsidRDefault="00211F57" w:rsidP="00211F57">
      <w:pPr>
        <w:pStyle w:val="JuTitle"/>
        <w:rPr>
          <w:color w:val="000000" w:themeColor="text1"/>
        </w:rPr>
      </w:pPr>
    </w:p>
    <w:p w14:paraId="45F855E8" w14:textId="77777777" w:rsidR="008E6217" w:rsidRPr="00211F57" w:rsidRDefault="008E6217" w:rsidP="00211F57">
      <w:pPr>
        <w:pStyle w:val="JuTitle"/>
      </w:pPr>
      <w:r>
        <w:rPr>
          <w:color w:val="000000" w:themeColor="text1"/>
        </w:rPr>
        <w:t xml:space="preserve">SPRAWA </w:t>
      </w:r>
      <w:bookmarkEnd w:id="1"/>
      <w:r>
        <w:t>RECHUL PRZECIWKO POLSCE</w:t>
      </w:r>
    </w:p>
    <w:p w14:paraId="63046CB0" w14:textId="2FAB3295" w:rsidR="00D74888" w:rsidRPr="00211F57" w:rsidRDefault="008E6217" w:rsidP="00211F57">
      <w:pPr>
        <w:pStyle w:val="ECHRCoverTitle4"/>
      </w:pPr>
      <w:r>
        <w:t>(Skarga nr</w:t>
      </w:r>
      <w:r w:rsidR="00A71CFC">
        <w:t xml:space="preserve"> </w:t>
      </w:r>
      <w:r>
        <w:t>69143/12)</w:t>
      </w:r>
    </w:p>
    <w:p w14:paraId="3BCA79C0" w14:textId="77777777" w:rsidR="0098410D" w:rsidRPr="00211F57" w:rsidRDefault="0098410D" w:rsidP="00211F57">
      <w:pPr>
        <w:pStyle w:val="DecHCase"/>
      </w:pPr>
    </w:p>
    <w:p w14:paraId="61AD7E1C" w14:textId="77777777" w:rsidR="00211F57" w:rsidRPr="00211F57" w:rsidRDefault="00211F57" w:rsidP="00211F57">
      <w:pPr>
        <w:pStyle w:val="JuPara"/>
      </w:pPr>
    </w:p>
    <w:p w14:paraId="57CBDD53" w14:textId="77777777" w:rsidR="00AC4CD4" w:rsidRPr="00211F57" w:rsidRDefault="00AC4CD4" w:rsidP="00211F57">
      <w:pPr>
        <w:pStyle w:val="DecHCase"/>
      </w:pPr>
    </w:p>
    <w:p w14:paraId="42F69B3C" w14:textId="77777777" w:rsidR="0098410D" w:rsidRPr="00211F57" w:rsidRDefault="0098410D" w:rsidP="00211F57">
      <w:pPr>
        <w:pStyle w:val="DecHCase"/>
      </w:pPr>
    </w:p>
    <w:p w14:paraId="09AE1DB9" w14:textId="55C049E1" w:rsidR="0098410D" w:rsidRPr="00211F57" w:rsidRDefault="0098410D" w:rsidP="00211F57">
      <w:pPr>
        <w:pStyle w:val="DecHCase"/>
      </w:pPr>
      <w:r>
        <w:t>WYROK</w:t>
      </w:r>
      <w:r w:rsidR="00A71CFC">
        <w:t xml:space="preserve"> </w:t>
      </w:r>
    </w:p>
    <w:p w14:paraId="77B6FC46" w14:textId="77777777" w:rsidR="00211F57" w:rsidRPr="00211F57" w:rsidRDefault="00211F57" w:rsidP="00211F57">
      <w:pPr>
        <w:pStyle w:val="JuPara"/>
      </w:pPr>
    </w:p>
    <w:p w14:paraId="41F900DE" w14:textId="77777777" w:rsidR="00211F57" w:rsidRPr="00211F57" w:rsidRDefault="00211F57" w:rsidP="00211F57">
      <w:pPr>
        <w:pStyle w:val="JuPara"/>
      </w:pPr>
    </w:p>
    <w:p w14:paraId="08A30CCF" w14:textId="77777777" w:rsidR="00211F57" w:rsidRPr="00211F57" w:rsidRDefault="00211F57" w:rsidP="00211F57">
      <w:pPr>
        <w:pStyle w:val="JuPara"/>
      </w:pPr>
    </w:p>
    <w:p w14:paraId="722F119A" w14:textId="77777777" w:rsidR="00211F57" w:rsidRPr="00211F57" w:rsidRDefault="00211F57" w:rsidP="00211F57">
      <w:pPr>
        <w:pStyle w:val="JuPara"/>
      </w:pPr>
    </w:p>
    <w:p w14:paraId="12C327D3" w14:textId="77777777" w:rsidR="00211F57" w:rsidRPr="00211F57" w:rsidRDefault="00211F57" w:rsidP="00211F57">
      <w:pPr>
        <w:pStyle w:val="JuPara"/>
      </w:pPr>
    </w:p>
    <w:p w14:paraId="63DB8C43" w14:textId="77777777" w:rsidR="00211F57" w:rsidRPr="00211F57" w:rsidRDefault="00211F57" w:rsidP="00211F57">
      <w:pPr>
        <w:pStyle w:val="JuPara"/>
      </w:pPr>
    </w:p>
    <w:p w14:paraId="78A0D288" w14:textId="77777777" w:rsidR="00211F57" w:rsidRPr="00211F57" w:rsidRDefault="00211F57" w:rsidP="00211F57">
      <w:pPr>
        <w:pStyle w:val="JuPara"/>
      </w:pPr>
    </w:p>
    <w:p w14:paraId="4CB9B6B3" w14:textId="77777777" w:rsidR="0098410D" w:rsidRPr="00211F57" w:rsidRDefault="0098410D" w:rsidP="00211F57">
      <w:pPr>
        <w:pStyle w:val="DecHCase"/>
      </w:pPr>
      <w:r>
        <w:t>STRASBURG</w:t>
      </w:r>
    </w:p>
    <w:p w14:paraId="0BA2BE48" w14:textId="7D05CD52" w:rsidR="0098410D" w:rsidRPr="00211F57" w:rsidRDefault="00A9185A" w:rsidP="00211F57">
      <w:pPr>
        <w:pStyle w:val="DecHCase"/>
      </w:pPr>
      <w:r>
        <w:rPr>
          <w:rFonts w:ascii="Times New Roman" w:hAnsi="Times New Roman"/>
        </w:rPr>
        <w:t>9</w:t>
      </w:r>
      <w:r w:rsidR="00A71CFC">
        <w:rPr>
          <w:rFonts w:ascii="Times New Roman" w:hAnsi="Times New Roman"/>
        </w:rPr>
        <w:t xml:space="preserve"> </w:t>
      </w:r>
      <w:r>
        <w:rPr>
          <w:rFonts w:ascii="Times New Roman" w:hAnsi="Times New Roman"/>
        </w:rPr>
        <w:t>lipca</w:t>
      </w:r>
      <w:r w:rsidR="00A71CFC">
        <w:rPr>
          <w:rFonts w:ascii="Times New Roman" w:hAnsi="Times New Roman"/>
        </w:rPr>
        <w:t xml:space="preserve"> </w:t>
      </w:r>
      <w:r>
        <w:rPr>
          <w:rFonts w:ascii="Times New Roman" w:hAnsi="Times New Roman"/>
        </w:rPr>
        <w:t>2020</w:t>
      </w:r>
      <w:r w:rsidR="00A71CFC">
        <w:rPr>
          <w:rFonts w:ascii="Times New Roman" w:hAnsi="Times New Roman"/>
        </w:rPr>
        <w:t xml:space="preserve"> </w:t>
      </w:r>
      <w:r>
        <w:rPr>
          <w:rFonts w:ascii="Times New Roman" w:hAnsi="Times New Roman"/>
        </w:rPr>
        <w:t>r.</w:t>
      </w:r>
    </w:p>
    <w:p w14:paraId="7D6A8E0B" w14:textId="77777777" w:rsidR="0044578A" w:rsidRPr="00211F57" w:rsidRDefault="0044578A" w:rsidP="00211F57">
      <w:pPr>
        <w:pStyle w:val="JuPara"/>
        <w:ind w:firstLine="0"/>
      </w:pPr>
    </w:p>
    <w:p w14:paraId="7BD83D8B" w14:textId="77777777" w:rsidR="002422B6" w:rsidRPr="00211F57" w:rsidRDefault="0098410D" w:rsidP="00211F57">
      <w:pPr>
        <w:rPr>
          <w:i/>
          <w:sz w:val="22"/>
        </w:rPr>
      </w:pPr>
      <w:r>
        <w:rPr>
          <w:i/>
          <w:sz w:val="22"/>
        </w:rPr>
        <w:t>Wyrok ten jest ostateczny, ale może podlegać korekcie wydawniczej.</w:t>
      </w:r>
    </w:p>
    <w:p w14:paraId="31BDFFF3" w14:textId="77777777" w:rsidR="0098410D" w:rsidRPr="00211F57" w:rsidRDefault="0098410D" w:rsidP="00211F57">
      <w:pPr>
        <w:sectPr w:rsidR="0098410D" w:rsidRPr="00211F57"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110C9E5" w14:textId="77777777" w:rsidR="0098410D" w:rsidRPr="00211F57" w:rsidRDefault="0098410D" w:rsidP="00211F57">
      <w:pPr>
        <w:pStyle w:val="JuCase"/>
      </w:pPr>
      <w:r>
        <w:lastRenderedPageBreak/>
        <w:t>W sprawie Rechul przeciwko Polsce</w:t>
      </w:r>
    </w:p>
    <w:p w14:paraId="5C1E2E02" w14:textId="77777777" w:rsidR="009F4C8F" w:rsidRPr="00211F57" w:rsidRDefault="009F4C8F" w:rsidP="00211F57">
      <w:pPr>
        <w:pStyle w:val="JuPara"/>
      </w:pPr>
      <w:r>
        <w:t>Europejski Trybunał Praw Człowieka (Pierwsza Sekcja), zasiadając jako Komitet w składzie:</w:t>
      </w:r>
    </w:p>
    <w:p w14:paraId="385A1E7A" w14:textId="1DF8AD4F" w:rsidR="00A71CFC" w:rsidRDefault="00DC6F42" w:rsidP="00211F57">
      <w:pPr>
        <w:pStyle w:val="JuJudges"/>
        <w:rPr>
          <w:i/>
        </w:rPr>
      </w:pPr>
      <w:r>
        <w:tab/>
        <w:t>Linos-Alexandre Sicilianos,</w:t>
      </w:r>
      <w:r>
        <w:rPr>
          <w:i/>
        </w:rPr>
        <w:t xml:space="preserve"> Przewodniczący,</w:t>
      </w:r>
      <w:r w:rsidR="00A71CFC">
        <w:rPr>
          <w:i/>
        </w:rPr>
        <w:t xml:space="preserve"> </w:t>
      </w:r>
    </w:p>
    <w:p w14:paraId="3EAECF0C" w14:textId="77777777" w:rsidR="00A71CFC" w:rsidRDefault="00DC6F42" w:rsidP="00211F57">
      <w:pPr>
        <w:pStyle w:val="JuJudges"/>
        <w:rPr>
          <w:i/>
        </w:rPr>
      </w:pPr>
      <w:r>
        <w:tab/>
        <w:t>Krzysztof Wojtyczek,</w:t>
      </w:r>
      <w:r w:rsidR="00A71CFC">
        <w:rPr>
          <w:i/>
        </w:rPr>
        <w:t xml:space="preserve"> </w:t>
      </w:r>
    </w:p>
    <w:p w14:paraId="53AE04BB" w14:textId="77777777" w:rsidR="00A71CFC" w:rsidRDefault="00DC6F42" w:rsidP="00211F57">
      <w:pPr>
        <w:pStyle w:val="JuJudges"/>
      </w:pPr>
      <w:r>
        <w:tab/>
        <w:t>Armen Harutyunyan,</w:t>
      </w:r>
      <w:r>
        <w:rPr>
          <w:i/>
        </w:rPr>
        <w:t xml:space="preserve"> sędziowie,</w:t>
      </w:r>
      <w:r w:rsidR="00A71CFC">
        <w:t xml:space="preserve"> </w:t>
      </w:r>
    </w:p>
    <w:p w14:paraId="0CD7D813" w14:textId="55F86B73" w:rsidR="009F4C8F" w:rsidRPr="00211F57" w:rsidRDefault="00DC6F42" w:rsidP="00211F57">
      <w:pPr>
        <w:pStyle w:val="JuJudges"/>
      </w:pPr>
      <w:r>
        <w:t xml:space="preserve">oraz Renata Degener, </w:t>
      </w:r>
      <w:r>
        <w:rPr>
          <w:i/>
          <w:iCs/>
        </w:rPr>
        <w:t>Zastępca Kanclerza Sekcji,</w:t>
      </w:r>
    </w:p>
    <w:p w14:paraId="4F89001B" w14:textId="39ECB326" w:rsidR="009F4C8F" w:rsidRPr="00211F57" w:rsidRDefault="009F4C8F" w:rsidP="00211F57">
      <w:pPr>
        <w:pStyle w:val="JuPara"/>
      </w:pPr>
      <w:bookmarkStart w:id="2" w:name="ITMARKHavingStart"/>
      <w:bookmarkEnd w:id="2"/>
      <w:r>
        <w:t>obradując na posiedzeniu niejawnym w dniu</w:t>
      </w:r>
      <w:r w:rsidR="00A71CFC">
        <w:t xml:space="preserve"> </w:t>
      </w:r>
      <w:r>
        <w:t>16</w:t>
      </w:r>
      <w:r w:rsidR="00A71CFC">
        <w:t xml:space="preserve"> </w:t>
      </w:r>
      <w:r>
        <w:t>czerwca</w:t>
      </w:r>
      <w:r w:rsidR="00A71CFC">
        <w:t xml:space="preserve"> </w:t>
      </w:r>
      <w:r>
        <w:t>2020</w:t>
      </w:r>
      <w:r w:rsidR="00A71CFC">
        <w:t xml:space="preserve"> </w:t>
      </w:r>
      <w:r>
        <w:t>r.,</w:t>
      </w:r>
    </w:p>
    <w:p w14:paraId="55D5F648" w14:textId="77777777" w:rsidR="009F4C8F" w:rsidRPr="00211F57" w:rsidRDefault="009F4C8F" w:rsidP="00211F57">
      <w:pPr>
        <w:pStyle w:val="JuPara"/>
      </w:pPr>
      <w:r>
        <w:t>wydaje następujący wyrok, który został przyjęty w tym dniu:</w:t>
      </w:r>
    </w:p>
    <w:p w14:paraId="0C560645" w14:textId="77777777" w:rsidR="00A9185A" w:rsidRPr="00211F57" w:rsidRDefault="00A9185A" w:rsidP="00211F57">
      <w:pPr>
        <w:pStyle w:val="JuHHead"/>
        <w:numPr>
          <w:ilvl w:val="0"/>
          <w:numId w:val="1"/>
        </w:numPr>
      </w:pPr>
      <w:r>
        <w:t>POSTĘPOWANIE</w:t>
      </w:r>
    </w:p>
    <w:p w14:paraId="5B3B3DF0" w14:textId="5ADC60CE" w:rsidR="00A9185A" w:rsidRPr="00211F57" w:rsidRDefault="00A258CC" w:rsidP="00211F57">
      <w:pPr>
        <w:pStyle w:val="JuPara"/>
      </w:pPr>
      <w:r>
        <w:rPr>
          <w:noProof/>
        </w:rPr>
        <w:t>1</w:t>
      </w:r>
      <w:r w:rsidR="00A9185A">
        <w:t>.</w:t>
      </w:r>
      <w:r w:rsidR="00A71CFC">
        <w:t xml:space="preserve"> </w:t>
      </w:r>
      <w:r w:rsidR="00A9185A">
        <w:t>Sprawa wywodzi się ze skargi (nr</w:t>
      </w:r>
      <w:r w:rsidR="00A71CFC">
        <w:t xml:space="preserve"> </w:t>
      </w:r>
      <w:r w:rsidR="00A9185A">
        <w:t>69143/12) przeciwko Rzeczypospolitej Polskiej wniesionej do Trybunału w</w:t>
      </w:r>
      <w:r w:rsidR="00A71CFC">
        <w:t xml:space="preserve"> </w:t>
      </w:r>
      <w:r w:rsidR="00A9185A">
        <w:t>dniu</w:t>
      </w:r>
      <w:r w:rsidR="00A71CFC">
        <w:t xml:space="preserve"> </w:t>
      </w:r>
      <w:r w:rsidR="00A9185A">
        <w:t>2</w:t>
      </w:r>
      <w:r w:rsidR="00A71CFC">
        <w:t xml:space="preserve"> </w:t>
      </w:r>
      <w:r w:rsidR="00A9185A">
        <w:t>października</w:t>
      </w:r>
      <w:r w:rsidR="00A71CFC">
        <w:t xml:space="preserve"> </w:t>
      </w:r>
      <w:r w:rsidR="00A9185A">
        <w:t>2012</w:t>
      </w:r>
      <w:r w:rsidR="00A71CFC">
        <w:t xml:space="preserve"> </w:t>
      </w:r>
      <w:r w:rsidR="00A9185A">
        <w:t>r. na podstawie art.</w:t>
      </w:r>
      <w:r w:rsidR="00A71CFC">
        <w:t xml:space="preserve"> </w:t>
      </w:r>
      <w:r w:rsidR="00A9185A">
        <w:t>34 Konwencji o ochronie praw człowieka i</w:t>
      </w:r>
      <w:r w:rsidR="00664C10">
        <w:t> </w:t>
      </w:r>
      <w:r w:rsidR="00A9185A">
        <w:t>podstawowych wolności („Konwencji”) przez obywatela polskiego</w:t>
      </w:r>
      <w:r w:rsidR="000A0542">
        <w:t xml:space="preserve"> p.</w:t>
      </w:r>
      <w:r w:rsidR="00664C10">
        <w:t> </w:t>
      </w:r>
      <w:r w:rsidR="00A9185A">
        <w:t>Sebastiana Rechula („skarżącego”).</w:t>
      </w:r>
    </w:p>
    <w:p w14:paraId="0AC3F4DC" w14:textId="537AA9D5" w:rsidR="00A9185A" w:rsidRPr="00211F57" w:rsidRDefault="00A258CC" w:rsidP="00211F57">
      <w:pPr>
        <w:pStyle w:val="JuPara"/>
      </w:pPr>
      <w:r>
        <w:rPr>
          <w:noProof/>
        </w:rPr>
        <w:t>2</w:t>
      </w:r>
      <w:r w:rsidR="00A9185A">
        <w:t>.</w:t>
      </w:r>
      <w:r w:rsidR="00A71CFC">
        <w:t xml:space="preserve"> </w:t>
      </w:r>
      <w:r w:rsidR="00A9185A">
        <w:t>Skarżącego reprezentowała mec. M. Jas-Baran, adwokat praktykująca we Wrocławiu. Rząd polski („Rząd”) reprezentowany był przez swojego pełnomocnika p. J. Chrzanowską, a następnie przez p. J. Sobczaka z</w:t>
      </w:r>
      <w:r w:rsidR="00664C10">
        <w:t> </w:t>
      </w:r>
      <w:r w:rsidR="00A9185A">
        <w:t>Ministerstwa Spraw Zagranicznych.</w:t>
      </w:r>
    </w:p>
    <w:p w14:paraId="1A955924" w14:textId="313550EE" w:rsidR="00A9185A" w:rsidRPr="00211F57" w:rsidRDefault="00A258CC" w:rsidP="00211F57">
      <w:pPr>
        <w:pStyle w:val="JuPara"/>
      </w:pPr>
      <w:r>
        <w:rPr>
          <w:noProof/>
        </w:rPr>
        <w:t>3</w:t>
      </w:r>
      <w:r w:rsidR="00A9185A">
        <w:t>.</w:t>
      </w:r>
      <w:r w:rsidR="00A71CFC">
        <w:t xml:space="preserve"> </w:t>
      </w:r>
      <w:r w:rsidR="00A9185A">
        <w:t>W dniu</w:t>
      </w:r>
      <w:r w:rsidR="00A71CFC">
        <w:t xml:space="preserve"> </w:t>
      </w:r>
      <w:r w:rsidR="00A9185A">
        <w:t>9</w:t>
      </w:r>
      <w:r w:rsidR="00A71CFC">
        <w:t xml:space="preserve"> </w:t>
      </w:r>
      <w:r w:rsidR="00A9185A">
        <w:t>stycznia</w:t>
      </w:r>
      <w:r w:rsidR="00A71CFC">
        <w:t xml:space="preserve"> </w:t>
      </w:r>
      <w:r w:rsidR="00A9185A">
        <w:t>2018</w:t>
      </w:r>
      <w:r w:rsidR="00A71CFC">
        <w:t xml:space="preserve"> </w:t>
      </w:r>
      <w:r w:rsidR="00A9185A">
        <w:t>r. skargę dotyczącą art.</w:t>
      </w:r>
      <w:r w:rsidR="00A71CFC">
        <w:t xml:space="preserve"> </w:t>
      </w:r>
      <w:r w:rsidR="00A9185A">
        <w:t>6 zakomunikowano Rządowi, a pozostałą cześć skargi uznano za niedopuszczalną na podstawie Reguły</w:t>
      </w:r>
      <w:r w:rsidR="00A71CFC">
        <w:t xml:space="preserve"> </w:t>
      </w:r>
      <w:r w:rsidR="00A9185A">
        <w:t>54</w:t>
      </w:r>
      <w:r w:rsidR="00A71CFC">
        <w:t xml:space="preserve"> </w:t>
      </w:r>
      <w:r w:rsidR="00A9185A">
        <w:t>§</w:t>
      </w:r>
      <w:r w:rsidR="00A71CFC">
        <w:t xml:space="preserve"> </w:t>
      </w:r>
      <w:r w:rsidR="00A9185A">
        <w:t>3 Regulaminu Trybunału.</w:t>
      </w:r>
    </w:p>
    <w:p w14:paraId="6E897CE9" w14:textId="77777777" w:rsidR="00A9185A" w:rsidRPr="00211F57" w:rsidRDefault="00A9185A" w:rsidP="00211F57">
      <w:pPr>
        <w:pStyle w:val="JuHHead"/>
      </w:pPr>
      <w:r>
        <w:t>FAKTY</w:t>
      </w:r>
    </w:p>
    <w:p w14:paraId="2B89F7BF" w14:textId="77777777" w:rsidR="00A9185A" w:rsidRPr="00211F57" w:rsidRDefault="00A9185A" w:rsidP="00211F57">
      <w:pPr>
        <w:pStyle w:val="JuHIRoman"/>
      </w:pPr>
      <w:r>
        <w:t>OKOLICZNOŚCI SPRAWY</w:t>
      </w:r>
    </w:p>
    <w:p w14:paraId="66F23306" w14:textId="2879E903" w:rsidR="00A9185A" w:rsidRPr="00211F57" w:rsidRDefault="00A258CC" w:rsidP="00211F57">
      <w:pPr>
        <w:pStyle w:val="JuPara"/>
      </w:pPr>
      <w:r>
        <w:rPr>
          <w:noProof/>
        </w:rPr>
        <w:t>4</w:t>
      </w:r>
      <w:r w:rsidR="00A9185A">
        <w:t>.</w:t>
      </w:r>
      <w:r w:rsidR="00A71CFC">
        <w:t xml:space="preserve"> </w:t>
      </w:r>
      <w:r w:rsidR="00A9185A">
        <w:t>Skarżący urodził się w</w:t>
      </w:r>
      <w:r w:rsidR="00A71CFC">
        <w:t xml:space="preserve"> </w:t>
      </w:r>
      <w:r w:rsidR="00A9185A">
        <w:t>1972</w:t>
      </w:r>
      <w:r w:rsidR="00A71CFC">
        <w:t xml:space="preserve"> </w:t>
      </w:r>
      <w:r w:rsidR="00A9185A">
        <w:t>r. i mieszka w Żarach.</w:t>
      </w:r>
    </w:p>
    <w:p w14:paraId="749C68CF" w14:textId="07285225" w:rsidR="00A9185A" w:rsidRPr="00211F57" w:rsidRDefault="00A9185A" w:rsidP="00211F57">
      <w:pPr>
        <w:pStyle w:val="JuHA"/>
      </w:pPr>
      <w:r>
        <w:t xml:space="preserve">Postępowanie przed Sądem Rejonowym w Szamotułach – odmowa zwolnienia </w:t>
      </w:r>
      <w:r w:rsidR="000A0542">
        <w:t>od kosztów sądowych</w:t>
      </w:r>
    </w:p>
    <w:p w14:paraId="2F6DC22A" w14:textId="3F682197" w:rsidR="00A9185A" w:rsidRPr="00211F57" w:rsidRDefault="00A258CC" w:rsidP="00211F57">
      <w:pPr>
        <w:pStyle w:val="JuPara"/>
      </w:pPr>
      <w:r>
        <w:rPr>
          <w:noProof/>
        </w:rPr>
        <w:t>5</w:t>
      </w:r>
      <w:r w:rsidR="00A9185A">
        <w:t>.</w:t>
      </w:r>
      <w:r w:rsidR="00A71CFC">
        <w:t xml:space="preserve"> </w:t>
      </w:r>
      <w:r w:rsidR="00A9185A">
        <w:t>W</w:t>
      </w:r>
      <w:r w:rsidR="00A71CFC">
        <w:t xml:space="preserve"> </w:t>
      </w:r>
      <w:r w:rsidR="00A9185A">
        <w:t>2011</w:t>
      </w:r>
      <w:r w:rsidR="00A71CFC">
        <w:t xml:space="preserve"> </w:t>
      </w:r>
      <w:r w:rsidR="00A9185A">
        <w:t>r. skarżący wniósł przeciwko Skarbowi Państwa pozew o</w:t>
      </w:r>
      <w:r w:rsidR="00664C10">
        <w:t> </w:t>
      </w:r>
      <w:r w:rsidR="00A9185A">
        <w:t>zapłatę zadośćuczynienia za krzywdę</w:t>
      </w:r>
      <w:r w:rsidR="000A0542">
        <w:t xml:space="preserve">, </w:t>
      </w:r>
      <w:r w:rsidR="003849F9">
        <w:t>jakiej</w:t>
      </w:r>
      <w:r w:rsidR="000A0542">
        <w:t xml:space="preserve"> – jak twierdził – </w:t>
      </w:r>
      <w:r w:rsidR="003849F9">
        <w:t>doznał</w:t>
      </w:r>
      <w:r w:rsidR="000A0542">
        <w:t xml:space="preserve"> </w:t>
      </w:r>
      <w:r w:rsidR="00A9185A">
        <w:t>w</w:t>
      </w:r>
      <w:r w:rsidR="00664C10">
        <w:t> </w:t>
      </w:r>
      <w:r w:rsidR="00A9185A">
        <w:t xml:space="preserve">związku z warunkami panującymi w Zakładzie Karnym we Wronkach </w:t>
      </w:r>
      <w:r w:rsidR="000A0542">
        <w:t>w</w:t>
      </w:r>
      <w:r w:rsidR="00664C10">
        <w:t> </w:t>
      </w:r>
      <w:r w:rsidR="000A0542">
        <w:t xml:space="preserve">okresie </w:t>
      </w:r>
      <w:r w:rsidR="00A9185A">
        <w:t>od stycznia do czerwca</w:t>
      </w:r>
      <w:r w:rsidR="00A71CFC">
        <w:t xml:space="preserve"> </w:t>
      </w:r>
      <w:r w:rsidR="00A9185A">
        <w:t>2001</w:t>
      </w:r>
      <w:r w:rsidR="00A71CFC">
        <w:t xml:space="preserve"> </w:t>
      </w:r>
      <w:r w:rsidR="00A9185A">
        <w:t>r. Domagał się on kwoty</w:t>
      </w:r>
      <w:r w:rsidR="00A71CFC">
        <w:t xml:space="preserve"> </w:t>
      </w:r>
      <w:r w:rsidR="00A9185A">
        <w:t>10</w:t>
      </w:r>
      <w:r w:rsidR="00664C10">
        <w:t> </w:t>
      </w:r>
      <w:r w:rsidR="00A9185A">
        <w:t>000</w:t>
      </w:r>
      <w:r w:rsidR="00664C10">
        <w:t> </w:t>
      </w:r>
      <w:r w:rsidR="00A9185A">
        <w:t>PLN (</w:t>
      </w:r>
      <w:r w:rsidR="000A0542">
        <w:t>ok.</w:t>
      </w:r>
      <w:r w:rsidR="00A71CFC">
        <w:t xml:space="preserve"> </w:t>
      </w:r>
      <w:r w:rsidR="00A9185A">
        <w:t>2500 euro (EUR)). Jednocześnie zwrócił się do sądu rejonowego o</w:t>
      </w:r>
      <w:r w:rsidR="00A71CFC">
        <w:t xml:space="preserve"> </w:t>
      </w:r>
      <w:r w:rsidR="00A9185A">
        <w:t xml:space="preserve">zwolnienie go </w:t>
      </w:r>
      <w:r w:rsidR="000A0542">
        <w:t>od kosztów sądowych</w:t>
      </w:r>
      <w:r w:rsidR="00A9185A">
        <w:t xml:space="preserve"> w wysokości</w:t>
      </w:r>
      <w:r w:rsidR="00A71CFC">
        <w:t xml:space="preserve"> </w:t>
      </w:r>
      <w:r w:rsidR="00A9185A">
        <w:t>500 PLN (ok.</w:t>
      </w:r>
      <w:r w:rsidR="00A71CFC">
        <w:t xml:space="preserve"> </w:t>
      </w:r>
      <w:r w:rsidR="00A9185A">
        <w:t xml:space="preserve">125 EUR). Na poparcie swojego </w:t>
      </w:r>
      <w:r w:rsidR="000A0542">
        <w:t xml:space="preserve">wniosku </w:t>
      </w:r>
      <w:r w:rsidR="00A9185A">
        <w:t>przedłożył oświadczenie dotyczące swojej sytuacji materialnej, w</w:t>
      </w:r>
      <w:r w:rsidR="00A71CFC">
        <w:t xml:space="preserve"> </w:t>
      </w:r>
      <w:r w:rsidR="00A9185A">
        <w:t xml:space="preserve">którym stwierdził, że jest bezrobotny, nie posiada żadnych oszczędności ani przedmiotów wartościowych, ma długi z tytułu </w:t>
      </w:r>
      <w:r w:rsidR="00454058">
        <w:t xml:space="preserve">nieuregulowanych świadczeń </w:t>
      </w:r>
      <w:r w:rsidR="00A9185A">
        <w:lastRenderedPageBreak/>
        <w:t xml:space="preserve">alimentacyjnych na rzecz dzieci, a także zaległości w spłacie miesięcznych rat kredytu bankowego. Ponadto poinformował sąd, że </w:t>
      </w:r>
      <w:r w:rsidR="00454058">
        <w:t>w okresie</w:t>
      </w:r>
      <w:r w:rsidR="00A9185A">
        <w:t xml:space="preserve"> od</w:t>
      </w:r>
      <w:r w:rsidR="00A71CFC">
        <w:t xml:space="preserve"> </w:t>
      </w:r>
      <w:r w:rsidR="00A9185A">
        <w:t>2001</w:t>
      </w:r>
      <w:r w:rsidR="00A71CFC">
        <w:t xml:space="preserve"> </w:t>
      </w:r>
      <w:r w:rsidR="00A9185A">
        <w:t>r. do września</w:t>
      </w:r>
      <w:r w:rsidR="00A71CFC">
        <w:t xml:space="preserve"> </w:t>
      </w:r>
      <w:r w:rsidR="00A9185A">
        <w:t>2004</w:t>
      </w:r>
      <w:r w:rsidR="00A71CFC">
        <w:t xml:space="preserve"> </w:t>
      </w:r>
      <w:r w:rsidR="00A9185A">
        <w:t xml:space="preserve">r. </w:t>
      </w:r>
      <w:r w:rsidR="00454058">
        <w:t xml:space="preserve">przebywał w areszcie śledczym </w:t>
      </w:r>
      <w:r w:rsidR="00A9185A">
        <w:t>oraz że od dnia</w:t>
      </w:r>
      <w:r w:rsidR="00A71CFC">
        <w:t xml:space="preserve"> </w:t>
      </w:r>
      <w:r w:rsidR="00A9185A">
        <w:t>18</w:t>
      </w:r>
      <w:r w:rsidR="00A71CFC">
        <w:t xml:space="preserve"> </w:t>
      </w:r>
      <w:r w:rsidR="00A9185A">
        <w:t>lipca</w:t>
      </w:r>
      <w:r w:rsidR="00A71CFC">
        <w:t xml:space="preserve"> </w:t>
      </w:r>
      <w:r w:rsidR="00A9185A">
        <w:t>2009</w:t>
      </w:r>
      <w:r w:rsidR="00A71CFC">
        <w:t xml:space="preserve"> </w:t>
      </w:r>
      <w:r w:rsidR="0077574F">
        <w:t>r. odbywa</w:t>
      </w:r>
      <w:r w:rsidR="00A9185A">
        <w:t xml:space="preserve"> kolejną karę pozbawienia wolności, która ma zostać zakończona w</w:t>
      </w:r>
      <w:r w:rsidR="00A71CFC">
        <w:t xml:space="preserve"> </w:t>
      </w:r>
      <w:r w:rsidR="00A9185A">
        <w:t>styczniu</w:t>
      </w:r>
      <w:r w:rsidR="00A71CFC">
        <w:t xml:space="preserve"> </w:t>
      </w:r>
      <w:r w:rsidR="00A9185A">
        <w:t>2013</w:t>
      </w:r>
      <w:r w:rsidR="00A71CFC">
        <w:t xml:space="preserve"> </w:t>
      </w:r>
      <w:r w:rsidR="00A9185A">
        <w:t>r.</w:t>
      </w:r>
    </w:p>
    <w:p w14:paraId="20BE8D91" w14:textId="58D37EB2" w:rsidR="00A9185A" w:rsidRPr="00211F57" w:rsidRDefault="00A258CC" w:rsidP="00211F57">
      <w:pPr>
        <w:pStyle w:val="JuPara"/>
      </w:pPr>
      <w:r>
        <w:rPr>
          <w:noProof/>
        </w:rPr>
        <w:t>6</w:t>
      </w:r>
      <w:r w:rsidR="00A9185A">
        <w:t>.</w:t>
      </w:r>
      <w:r w:rsidR="00A71CFC">
        <w:t xml:space="preserve"> </w:t>
      </w:r>
      <w:r w:rsidR="00A9185A">
        <w:t>W dniu</w:t>
      </w:r>
      <w:r w:rsidR="00A71CFC">
        <w:t xml:space="preserve"> </w:t>
      </w:r>
      <w:r w:rsidR="00A9185A">
        <w:t>4</w:t>
      </w:r>
      <w:r w:rsidR="00A71CFC">
        <w:t xml:space="preserve"> </w:t>
      </w:r>
      <w:r w:rsidR="00A9185A">
        <w:t>stycznia</w:t>
      </w:r>
      <w:r w:rsidR="00A71CFC">
        <w:t xml:space="preserve"> </w:t>
      </w:r>
      <w:r w:rsidR="00A9185A">
        <w:t>2012</w:t>
      </w:r>
      <w:r w:rsidR="00A71CFC">
        <w:t xml:space="preserve"> </w:t>
      </w:r>
      <w:r w:rsidR="00A9185A">
        <w:t xml:space="preserve">r. Sąd Rejonowy w Szamotułach oddalił wniosek skarżącego o zwolnienie </w:t>
      </w:r>
      <w:r w:rsidR="00454058">
        <w:t>od kosztów sądowych</w:t>
      </w:r>
      <w:r w:rsidR="00A9185A">
        <w:t xml:space="preserve">. </w:t>
      </w:r>
      <w:r w:rsidR="00454058">
        <w:t>W uzasadnieniu s</w:t>
      </w:r>
      <w:r w:rsidR="00A9185A">
        <w:t xml:space="preserve">ąd </w:t>
      </w:r>
      <w:r w:rsidR="00454058">
        <w:t>wskazał</w:t>
      </w:r>
      <w:r w:rsidR="00A9185A">
        <w:t xml:space="preserve">, że jedynie osoby </w:t>
      </w:r>
      <w:r w:rsidR="00454058">
        <w:t>pozbawione możliwości dokonywania oszczędności</w:t>
      </w:r>
      <w:r w:rsidR="00A9185A">
        <w:t xml:space="preserve"> mogą domagać się zwolnienia </w:t>
      </w:r>
      <w:r w:rsidR="00454058">
        <w:t xml:space="preserve">od kosztów </w:t>
      </w:r>
      <w:r w:rsidR="00A9185A">
        <w:t>sądow</w:t>
      </w:r>
      <w:r w:rsidR="00454058">
        <w:t>ych</w:t>
      </w:r>
      <w:r w:rsidR="00A9185A">
        <w:t xml:space="preserve"> w</w:t>
      </w:r>
      <w:r w:rsidR="00C471A9">
        <w:t> </w:t>
      </w:r>
      <w:r w:rsidR="00A9185A">
        <w:t>całości, a skarżący tego warunku</w:t>
      </w:r>
      <w:r w:rsidR="00454058">
        <w:t xml:space="preserve"> nie spełnił</w:t>
      </w:r>
      <w:r w:rsidR="00A9185A">
        <w:t xml:space="preserve">. Skarżący powinien był </w:t>
      </w:r>
      <w:r w:rsidR="00454058">
        <w:t xml:space="preserve">odłożyć </w:t>
      </w:r>
      <w:r w:rsidR="00A9185A">
        <w:t xml:space="preserve">środki na przygotowanie </w:t>
      </w:r>
      <w:r w:rsidR="00454058">
        <w:t xml:space="preserve">się do sprawy </w:t>
      </w:r>
      <w:r w:rsidR="00A9185A">
        <w:t>w związku z warunkami odbywania kary pozbawienia wolności w</w:t>
      </w:r>
      <w:r w:rsidR="00A71CFC">
        <w:t xml:space="preserve"> </w:t>
      </w:r>
      <w:r w:rsidR="00A9185A">
        <w:t>2001</w:t>
      </w:r>
      <w:r w:rsidR="00A71CFC">
        <w:t xml:space="preserve"> </w:t>
      </w:r>
      <w:r w:rsidR="00A9185A">
        <w:t xml:space="preserve">r., </w:t>
      </w:r>
      <w:r w:rsidR="00454058">
        <w:t>w szczególności że</w:t>
      </w:r>
      <w:r w:rsidR="00C471A9">
        <w:t> </w:t>
      </w:r>
      <w:r w:rsidR="00454058">
        <w:t>w</w:t>
      </w:r>
      <w:r w:rsidR="00C471A9">
        <w:t> </w:t>
      </w:r>
      <w:r w:rsidR="00454058">
        <w:t xml:space="preserve">okresie </w:t>
      </w:r>
      <w:r w:rsidR="00A9185A">
        <w:t>od września</w:t>
      </w:r>
      <w:r w:rsidR="00A71CFC">
        <w:t xml:space="preserve"> </w:t>
      </w:r>
      <w:r w:rsidR="00A9185A">
        <w:t>2004</w:t>
      </w:r>
      <w:r w:rsidR="00A71CFC">
        <w:t xml:space="preserve"> </w:t>
      </w:r>
      <w:r w:rsidR="00A9185A">
        <w:t>r. do lipca</w:t>
      </w:r>
      <w:r w:rsidR="00A71CFC">
        <w:t xml:space="preserve"> </w:t>
      </w:r>
      <w:r w:rsidR="00A9185A">
        <w:t>2009</w:t>
      </w:r>
      <w:r w:rsidR="00A71CFC">
        <w:t xml:space="preserve"> </w:t>
      </w:r>
      <w:r w:rsidR="00A9185A">
        <w:t>r.</w:t>
      </w:r>
      <w:r w:rsidR="00223BAA">
        <w:t xml:space="preserve"> przebywał na wolności.</w:t>
      </w:r>
    </w:p>
    <w:p w14:paraId="4949B204" w14:textId="4C97E689" w:rsidR="00A9185A" w:rsidRPr="00211F57" w:rsidRDefault="00A258CC" w:rsidP="00211F57">
      <w:pPr>
        <w:pStyle w:val="JuPara"/>
      </w:pPr>
      <w:r>
        <w:rPr>
          <w:noProof/>
        </w:rPr>
        <w:t>7</w:t>
      </w:r>
      <w:r w:rsidR="00A9185A">
        <w:t>.</w:t>
      </w:r>
      <w:r w:rsidR="00A71CFC">
        <w:t xml:space="preserve"> </w:t>
      </w:r>
      <w:r w:rsidR="00A9185A">
        <w:t>W dniu</w:t>
      </w:r>
      <w:r w:rsidR="00A71CFC">
        <w:t xml:space="preserve"> </w:t>
      </w:r>
      <w:r w:rsidR="00A9185A">
        <w:t>28</w:t>
      </w:r>
      <w:r w:rsidR="00A71CFC">
        <w:t xml:space="preserve"> </w:t>
      </w:r>
      <w:r w:rsidR="00A9185A">
        <w:t>lutego</w:t>
      </w:r>
      <w:r w:rsidR="00A71CFC">
        <w:t xml:space="preserve"> </w:t>
      </w:r>
      <w:r w:rsidR="00A9185A">
        <w:t>2012</w:t>
      </w:r>
      <w:r w:rsidR="00A71CFC">
        <w:t xml:space="preserve"> </w:t>
      </w:r>
      <w:r w:rsidR="00A9185A">
        <w:t xml:space="preserve">r. Sąd Okręgowy w Poznaniu, </w:t>
      </w:r>
      <w:r w:rsidR="00454058">
        <w:t xml:space="preserve">rozstrzygając </w:t>
      </w:r>
      <w:r w:rsidR="00A9185A">
        <w:t>w</w:t>
      </w:r>
      <w:r w:rsidR="00C471A9">
        <w:t> </w:t>
      </w:r>
      <w:r w:rsidR="00A9185A">
        <w:t xml:space="preserve">przedmiocie zażalenia skarżącego, utrzymał to postanowienie </w:t>
      </w:r>
      <w:r w:rsidR="00454058">
        <w:t xml:space="preserve">w mocy </w:t>
      </w:r>
      <w:r w:rsidR="00A9185A">
        <w:t>i</w:t>
      </w:r>
      <w:r w:rsidR="00C471A9">
        <w:t> </w:t>
      </w:r>
      <w:r w:rsidR="00A9185A">
        <w:t>w</w:t>
      </w:r>
      <w:r w:rsidR="00C471A9">
        <w:t> </w:t>
      </w:r>
      <w:r w:rsidR="00A9185A">
        <w:t xml:space="preserve">całości </w:t>
      </w:r>
      <w:r w:rsidR="00454058">
        <w:t>podzielił</w:t>
      </w:r>
      <w:r w:rsidR="00A9185A">
        <w:t xml:space="preserve"> </w:t>
      </w:r>
      <w:r w:rsidR="003849F9">
        <w:t>uzasadnienie</w:t>
      </w:r>
      <w:r w:rsidR="00A9185A">
        <w:t xml:space="preserve"> sądu pierwszej instancji. Sąd zauważył również, że skarżący nie pon</w:t>
      </w:r>
      <w:r w:rsidR="0077574F">
        <w:t>osi</w:t>
      </w:r>
      <w:r w:rsidR="00A9185A">
        <w:t xml:space="preserve"> żadnych kosztów, ponieważ </w:t>
      </w:r>
      <w:r w:rsidR="003849F9">
        <w:t xml:space="preserve">świadczenia </w:t>
      </w:r>
      <w:r w:rsidR="00A9185A">
        <w:t>aliment</w:t>
      </w:r>
      <w:r w:rsidR="003849F9">
        <w:t>acyjne</w:t>
      </w:r>
      <w:r w:rsidR="00A9185A">
        <w:t xml:space="preserve"> na rzecz dziecka były wypłacane </w:t>
      </w:r>
      <w:r w:rsidR="003849F9">
        <w:t>ze środków publicznych</w:t>
      </w:r>
      <w:r w:rsidR="00A9185A">
        <w:t xml:space="preserve"> </w:t>
      </w:r>
      <w:r w:rsidR="003849F9">
        <w:t>w</w:t>
      </w:r>
      <w:r w:rsidR="00C471A9">
        <w:t> </w:t>
      </w:r>
      <w:r w:rsidR="003849F9">
        <w:t xml:space="preserve">związku z </w:t>
      </w:r>
      <w:r w:rsidR="00A9185A">
        <w:t>odbywani</w:t>
      </w:r>
      <w:r w:rsidR="003849F9">
        <w:t>em</w:t>
      </w:r>
      <w:r w:rsidR="00A9185A">
        <w:t xml:space="preserve"> przez niego kary pozbawienia wolności. Ponadto skarżący był osobą zdrową i mógł </w:t>
      </w:r>
      <w:r w:rsidR="003849F9">
        <w:t xml:space="preserve">zapewnić </w:t>
      </w:r>
      <w:r w:rsidR="00A9185A">
        <w:t>sobie pracę w czasie, gdy</w:t>
      </w:r>
      <w:r w:rsidR="00C471A9">
        <w:t> </w:t>
      </w:r>
      <w:r w:rsidR="003849F9">
        <w:t xml:space="preserve">pozostawał </w:t>
      </w:r>
      <w:r w:rsidR="00A9185A">
        <w:t>na wolności. Mógł w ten sposób poczynić niezbędne oszczędności</w:t>
      </w:r>
      <w:r w:rsidR="003849F9">
        <w:t xml:space="preserve">, aby pokryć koszty sądowe </w:t>
      </w:r>
      <w:r w:rsidR="00A9185A">
        <w:t>w</w:t>
      </w:r>
      <w:r w:rsidR="00A71CFC">
        <w:t xml:space="preserve"> </w:t>
      </w:r>
      <w:r w:rsidR="00A9185A">
        <w:t>wysokości</w:t>
      </w:r>
      <w:r w:rsidR="00A71CFC">
        <w:t xml:space="preserve"> </w:t>
      </w:r>
      <w:r w:rsidR="00A9185A">
        <w:t>500</w:t>
      </w:r>
      <w:r w:rsidR="00A71CFC">
        <w:t xml:space="preserve"> </w:t>
      </w:r>
      <w:r w:rsidR="00A9185A">
        <w:t>PLN za</w:t>
      </w:r>
      <w:r w:rsidR="00C471A9">
        <w:t> </w:t>
      </w:r>
      <w:r w:rsidR="00A9185A">
        <w:t>powództwo cywilne, które planował wytoczyć.</w:t>
      </w:r>
    </w:p>
    <w:p w14:paraId="2B3F2217" w14:textId="6065B85E" w:rsidR="00A9185A" w:rsidRPr="00211F57" w:rsidRDefault="00A258CC" w:rsidP="00211F57">
      <w:pPr>
        <w:pStyle w:val="JuPara"/>
      </w:pPr>
      <w:r>
        <w:rPr>
          <w:noProof/>
        </w:rPr>
        <w:t>8</w:t>
      </w:r>
      <w:r w:rsidR="00A9185A">
        <w:t>.</w:t>
      </w:r>
      <w:r w:rsidR="00A71CFC">
        <w:t xml:space="preserve"> </w:t>
      </w:r>
      <w:r w:rsidR="00A9185A">
        <w:t xml:space="preserve">Skarżący nie </w:t>
      </w:r>
      <w:r w:rsidR="003849F9">
        <w:t xml:space="preserve">wniósł </w:t>
      </w:r>
      <w:r w:rsidR="00A9185A">
        <w:t xml:space="preserve">wymaganej opłaty sądowej. </w:t>
      </w:r>
      <w:r w:rsidR="003849F9">
        <w:t>Tym samym</w:t>
      </w:r>
      <w:r w:rsidR="00A9185A">
        <w:t xml:space="preserve"> w</w:t>
      </w:r>
      <w:r w:rsidR="00A71CFC">
        <w:t xml:space="preserve"> </w:t>
      </w:r>
      <w:r w:rsidR="00A9185A">
        <w:t>dniu</w:t>
      </w:r>
      <w:r w:rsidR="00A71CFC">
        <w:t xml:space="preserve"> </w:t>
      </w:r>
      <w:r w:rsidR="00A9185A">
        <w:t>17</w:t>
      </w:r>
      <w:r w:rsidR="00A71CFC">
        <w:t xml:space="preserve"> </w:t>
      </w:r>
      <w:r w:rsidR="00A9185A">
        <w:t>maja</w:t>
      </w:r>
      <w:r w:rsidR="00A71CFC">
        <w:t xml:space="preserve"> </w:t>
      </w:r>
      <w:r w:rsidR="00A9185A">
        <w:t>2012</w:t>
      </w:r>
      <w:r w:rsidR="00A71CFC">
        <w:t xml:space="preserve"> </w:t>
      </w:r>
      <w:r w:rsidR="00A9185A">
        <w:t>r. sąd rejonowy, orzekając na podstawie art.</w:t>
      </w:r>
      <w:r w:rsidR="00A71CFC">
        <w:t xml:space="preserve"> </w:t>
      </w:r>
      <w:r w:rsidR="00A9185A">
        <w:t>130 §</w:t>
      </w:r>
      <w:r w:rsidR="00A71CFC">
        <w:t xml:space="preserve"> </w:t>
      </w:r>
      <w:r w:rsidR="00A9185A">
        <w:t>2 Kodeksu postępowania cywilnego („k.p.c.”), zwrócił pozew cywilny skarżącego. W</w:t>
      </w:r>
      <w:r w:rsidR="00C471A9">
        <w:t> </w:t>
      </w:r>
      <w:r w:rsidR="00A9185A">
        <w:t>związku z tym przedmiotowe postępowanie nie wywołało żadnych skutków prawnych i zostało uznane za niewszczęte we wszystkich aspektach prawnych i praktycznych.</w:t>
      </w:r>
    </w:p>
    <w:p w14:paraId="300B8FA4" w14:textId="77777777" w:rsidR="00A9185A" w:rsidRPr="00211F57" w:rsidRDefault="00A9185A" w:rsidP="00211F57">
      <w:pPr>
        <w:pStyle w:val="JuHA"/>
      </w:pPr>
      <w:r>
        <w:t>Postępowanie przed Sądem Okręgowym we Wrocławiu – zwrot kosztów zastępstwa procesowego strony wygrywającej.</w:t>
      </w:r>
    </w:p>
    <w:p w14:paraId="469264C3" w14:textId="5679DC42" w:rsidR="00A9185A" w:rsidRPr="00211F57" w:rsidRDefault="00A258CC" w:rsidP="00211F57">
      <w:pPr>
        <w:pStyle w:val="JuPara"/>
      </w:pPr>
      <w:r>
        <w:rPr>
          <w:noProof/>
        </w:rPr>
        <w:t>9</w:t>
      </w:r>
      <w:r w:rsidR="00A9185A">
        <w:t>.</w:t>
      </w:r>
      <w:r w:rsidR="00A71CFC">
        <w:t xml:space="preserve"> </w:t>
      </w:r>
      <w:r w:rsidR="00A9185A">
        <w:t>W</w:t>
      </w:r>
      <w:r w:rsidR="00A71CFC">
        <w:t xml:space="preserve"> </w:t>
      </w:r>
      <w:r w:rsidR="00A9185A">
        <w:t>2011</w:t>
      </w:r>
      <w:r w:rsidR="00A71CFC">
        <w:t xml:space="preserve"> </w:t>
      </w:r>
      <w:r w:rsidR="00A9185A">
        <w:t>r. skarżący wniósł przeciwko Skarbowi Państwa pozew o</w:t>
      </w:r>
      <w:r w:rsidR="00C471A9">
        <w:t> </w:t>
      </w:r>
      <w:r w:rsidR="00A9185A">
        <w:t>zapłatę zadośćuczynienia za krzywdę</w:t>
      </w:r>
      <w:r w:rsidR="003849F9">
        <w:t xml:space="preserve">, jakiej – jak twierdził – doznał </w:t>
      </w:r>
      <w:r w:rsidR="00A9185A">
        <w:t>w</w:t>
      </w:r>
      <w:r w:rsidR="00C471A9">
        <w:t> </w:t>
      </w:r>
      <w:r w:rsidR="00A9185A">
        <w:t xml:space="preserve">związku z </w:t>
      </w:r>
      <w:r w:rsidR="003849F9">
        <w:t>osadzeniem go</w:t>
      </w:r>
      <w:r w:rsidR="00A71CFC">
        <w:t xml:space="preserve"> </w:t>
      </w:r>
      <w:r w:rsidR="00A9185A">
        <w:t xml:space="preserve">w Zakładzie Karnym w Wołowie </w:t>
      </w:r>
      <w:r w:rsidR="003849F9">
        <w:t xml:space="preserve">w okresie </w:t>
      </w:r>
      <w:r w:rsidR="00A9185A">
        <w:t>od</w:t>
      </w:r>
      <w:r w:rsidR="00C471A9">
        <w:t> </w:t>
      </w:r>
      <w:r w:rsidR="00A9185A">
        <w:t>czerwca</w:t>
      </w:r>
      <w:r w:rsidR="00A71CFC">
        <w:t xml:space="preserve"> </w:t>
      </w:r>
      <w:r w:rsidR="00A9185A">
        <w:t>2001</w:t>
      </w:r>
      <w:r w:rsidR="00A71CFC">
        <w:t xml:space="preserve"> </w:t>
      </w:r>
      <w:r w:rsidR="00A9185A">
        <w:t>r. do września</w:t>
      </w:r>
      <w:r w:rsidR="00A71CFC">
        <w:t xml:space="preserve"> </w:t>
      </w:r>
      <w:r w:rsidR="00A9185A">
        <w:t>2004</w:t>
      </w:r>
      <w:r w:rsidR="00A71CFC">
        <w:t xml:space="preserve"> </w:t>
      </w:r>
      <w:r w:rsidR="00A9185A">
        <w:t>r. Skarżący dochodził kwoty</w:t>
      </w:r>
      <w:r w:rsidR="00A71CFC">
        <w:t xml:space="preserve"> </w:t>
      </w:r>
      <w:r w:rsidR="00A9185A">
        <w:t>80</w:t>
      </w:r>
      <w:r w:rsidR="00A71CFC">
        <w:t xml:space="preserve"> </w:t>
      </w:r>
      <w:r w:rsidR="00A9185A">
        <w:t>000 PLN (</w:t>
      </w:r>
      <w:r w:rsidR="003849F9">
        <w:t xml:space="preserve">ok. </w:t>
      </w:r>
      <w:r w:rsidR="00A9185A">
        <w:t>20</w:t>
      </w:r>
      <w:r w:rsidR="00A71CFC">
        <w:t xml:space="preserve"> </w:t>
      </w:r>
      <w:r w:rsidR="00A9185A">
        <w:t>000 EUR). Jednocześnie zwrócił się do sądu krajowego o</w:t>
      </w:r>
      <w:r w:rsidR="00C471A9">
        <w:t> </w:t>
      </w:r>
      <w:r w:rsidR="00A9185A">
        <w:t xml:space="preserve">zwolnienie go </w:t>
      </w:r>
      <w:r w:rsidR="003849F9">
        <w:t>od wszystkich</w:t>
      </w:r>
      <w:r w:rsidR="00A9185A">
        <w:t xml:space="preserve"> </w:t>
      </w:r>
      <w:r w:rsidR="003849F9">
        <w:t xml:space="preserve">kosztów </w:t>
      </w:r>
      <w:r w:rsidR="00A9185A">
        <w:t>sądowych.</w:t>
      </w:r>
    </w:p>
    <w:p w14:paraId="7930730A" w14:textId="116332B3" w:rsidR="00A9185A" w:rsidRPr="00211F57" w:rsidRDefault="00A258CC" w:rsidP="00211F57">
      <w:pPr>
        <w:pStyle w:val="JuPara"/>
      </w:pPr>
      <w:r>
        <w:rPr>
          <w:noProof/>
        </w:rPr>
        <w:t>10</w:t>
      </w:r>
      <w:r w:rsidR="00A9185A">
        <w:t>.</w:t>
      </w:r>
      <w:r w:rsidR="00A71CFC">
        <w:t xml:space="preserve"> </w:t>
      </w:r>
      <w:r w:rsidR="00A9185A">
        <w:t>W dniu</w:t>
      </w:r>
      <w:r w:rsidR="00A71CFC">
        <w:t xml:space="preserve"> </w:t>
      </w:r>
      <w:r w:rsidR="00A9185A">
        <w:t>8</w:t>
      </w:r>
      <w:r w:rsidR="00A71CFC">
        <w:t xml:space="preserve"> </w:t>
      </w:r>
      <w:r w:rsidR="00A9185A">
        <w:t>lutego</w:t>
      </w:r>
      <w:r w:rsidR="00A71CFC">
        <w:t xml:space="preserve"> </w:t>
      </w:r>
      <w:r w:rsidR="00A9185A">
        <w:t>2012</w:t>
      </w:r>
      <w:r w:rsidR="00A71CFC">
        <w:t xml:space="preserve"> </w:t>
      </w:r>
      <w:r w:rsidR="00A9185A">
        <w:t xml:space="preserve">r. Sąd Okręgowy we Wrocławiu </w:t>
      </w:r>
      <w:r w:rsidR="003849F9">
        <w:t>uwzględnił ten</w:t>
      </w:r>
      <w:r w:rsidR="00A9185A">
        <w:t xml:space="preserve"> </w:t>
      </w:r>
      <w:r w:rsidR="003849F9">
        <w:t xml:space="preserve">wniosek </w:t>
      </w:r>
      <w:r w:rsidR="00A9185A">
        <w:t>i zwolnił skarżącego z kosztów tego postępowania</w:t>
      </w:r>
      <w:r w:rsidR="003849F9">
        <w:t xml:space="preserve"> w całości</w:t>
      </w:r>
      <w:r w:rsidR="00A9185A">
        <w:t>.</w:t>
      </w:r>
    </w:p>
    <w:p w14:paraId="52BA3D8B" w14:textId="618EC093" w:rsidR="00A9185A" w:rsidRPr="00211F57" w:rsidRDefault="00A258CC" w:rsidP="00211F57">
      <w:pPr>
        <w:pStyle w:val="JuPara"/>
      </w:pPr>
      <w:r>
        <w:rPr>
          <w:noProof/>
        </w:rPr>
        <w:t>11</w:t>
      </w:r>
      <w:r w:rsidR="00A9185A">
        <w:t>.</w:t>
      </w:r>
      <w:r w:rsidR="00A71CFC">
        <w:t xml:space="preserve"> </w:t>
      </w:r>
      <w:r w:rsidR="00A9185A">
        <w:t>W dniu</w:t>
      </w:r>
      <w:r w:rsidR="00A71CFC">
        <w:t xml:space="preserve"> </w:t>
      </w:r>
      <w:r w:rsidR="00A9185A">
        <w:t>17</w:t>
      </w:r>
      <w:r w:rsidR="00A71CFC">
        <w:t xml:space="preserve"> </w:t>
      </w:r>
      <w:r w:rsidR="00A9185A">
        <w:t>kwietnia</w:t>
      </w:r>
      <w:r w:rsidR="00A71CFC">
        <w:t xml:space="preserve"> </w:t>
      </w:r>
      <w:r w:rsidR="00A9185A">
        <w:t>2012</w:t>
      </w:r>
      <w:r w:rsidR="00A71CFC">
        <w:t xml:space="preserve"> </w:t>
      </w:r>
      <w:r w:rsidR="00A9185A">
        <w:t xml:space="preserve">r. Sąd Okręgowy oddalił </w:t>
      </w:r>
      <w:r w:rsidR="003849F9">
        <w:t xml:space="preserve">wytoczone przez skarżącego powództwo </w:t>
      </w:r>
      <w:r w:rsidR="00A9185A">
        <w:t>o zadośćuczynienie z uwagi na przedawnienie i</w:t>
      </w:r>
      <w:r w:rsidR="00C471A9">
        <w:t> </w:t>
      </w:r>
      <w:r w:rsidR="00A9185A">
        <w:t>zasądził od niego, na podstawie art.</w:t>
      </w:r>
      <w:r w:rsidR="00A71CFC">
        <w:t xml:space="preserve"> </w:t>
      </w:r>
      <w:r w:rsidR="00A9185A">
        <w:t>98 §</w:t>
      </w:r>
      <w:r w:rsidR="00A71CFC">
        <w:t xml:space="preserve"> </w:t>
      </w:r>
      <w:r w:rsidR="00A9185A">
        <w:t>1 k.p.c. oraz art.</w:t>
      </w:r>
      <w:r w:rsidR="00A71CFC">
        <w:t xml:space="preserve"> </w:t>
      </w:r>
      <w:r w:rsidR="00A9185A">
        <w:t xml:space="preserve">108 ustawy </w:t>
      </w:r>
      <w:r w:rsidR="00A9185A">
        <w:lastRenderedPageBreak/>
        <w:t>o</w:t>
      </w:r>
      <w:r w:rsidR="00C471A9">
        <w:t> </w:t>
      </w:r>
      <w:r w:rsidR="00A9185A">
        <w:t>kosztach sądowych w</w:t>
      </w:r>
      <w:r w:rsidR="00A71CFC">
        <w:t xml:space="preserve"> </w:t>
      </w:r>
      <w:r w:rsidR="00A9185A">
        <w:t>sprawach cywilnych (zob.</w:t>
      </w:r>
      <w:r w:rsidR="00A71CFC">
        <w:t xml:space="preserve"> </w:t>
      </w:r>
      <w:r w:rsidR="00A9185A">
        <w:t>„Istotne przepisy prawa krajowego” poniżej), kwotę</w:t>
      </w:r>
      <w:r w:rsidR="00A71CFC">
        <w:t xml:space="preserve"> </w:t>
      </w:r>
      <w:r w:rsidR="00A9185A">
        <w:t>3600 PLN (ok.</w:t>
      </w:r>
      <w:r w:rsidR="00A71CFC">
        <w:t xml:space="preserve"> </w:t>
      </w:r>
      <w:r w:rsidR="00A9185A">
        <w:t>900 EUR) na rzecz pełnomocnika Prokurat</w:t>
      </w:r>
      <w:r w:rsidR="0077574F">
        <w:t>orii</w:t>
      </w:r>
      <w:r w:rsidR="00A9185A">
        <w:t xml:space="preserve"> Generalnej, który reprezentował stronę wygrywającą, czyli pozwany Skarb Państwa.</w:t>
      </w:r>
    </w:p>
    <w:p w14:paraId="4DD7E186" w14:textId="3C7EB253" w:rsidR="00A9185A" w:rsidRPr="00211F57" w:rsidRDefault="00A258CC" w:rsidP="00211F57">
      <w:pPr>
        <w:pStyle w:val="JuPara"/>
      </w:pPr>
      <w:r>
        <w:rPr>
          <w:noProof/>
        </w:rPr>
        <w:t>12</w:t>
      </w:r>
      <w:r w:rsidR="00A9185A">
        <w:t>.</w:t>
      </w:r>
      <w:r w:rsidR="00A71CFC">
        <w:t xml:space="preserve"> </w:t>
      </w:r>
      <w:r w:rsidR="00A9185A">
        <w:t xml:space="preserve">Skarżący </w:t>
      </w:r>
      <w:r w:rsidR="00D97ABD">
        <w:t>zaskarżył ten wyrok w części dotyczącej</w:t>
      </w:r>
      <w:r w:rsidR="00A9185A">
        <w:t xml:space="preserve"> zapłaty </w:t>
      </w:r>
      <w:r w:rsidR="00D97ABD">
        <w:t>kosztów postępowania poniesionych przez stronę</w:t>
      </w:r>
      <w:r w:rsidR="00A9185A">
        <w:t xml:space="preserve"> </w:t>
      </w:r>
      <w:r w:rsidR="00D97ABD">
        <w:t>pozwaną</w:t>
      </w:r>
      <w:r w:rsidR="00A9185A">
        <w:t xml:space="preserve">. </w:t>
      </w:r>
      <w:r w:rsidR="00D97ABD">
        <w:t>W</w:t>
      </w:r>
      <w:r w:rsidR="00A9185A">
        <w:t xml:space="preserve"> tym względzie</w:t>
      </w:r>
      <w:r w:rsidR="00D97ABD">
        <w:t xml:space="preserve"> twierdził</w:t>
      </w:r>
      <w:r w:rsidR="00A9185A">
        <w:t xml:space="preserve">, że Sąd Okręgowy nie uwzględnił </w:t>
      </w:r>
      <w:r w:rsidR="00D97ABD">
        <w:t>faktu, że jest osobą niezamożną</w:t>
      </w:r>
      <w:r w:rsidR="00A9185A">
        <w:t>.</w:t>
      </w:r>
    </w:p>
    <w:p w14:paraId="6DF3BE53" w14:textId="3E529434" w:rsidR="00A9185A" w:rsidRPr="00211F57" w:rsidRDefault="00A258CC" w:rsidP="00211F57">
      <w:pPr>
        <w:pStyle w:val="JuPara"/>
      </w:pPr>
      <w:r>
        <w:rPr>
          <w:noProof/>
        </w:rPr>
        <w:t>13</w:t>
      </w:r>
      <w:r w:rsidR="00A9185A">
        <w:t>.</w:t>
      </w:r>
      <w:r w:rsidR="00A71CFC">
        <w:t xml:space="preserve"> </w:t>
      </w:r>
      <w:r w:rsidR="00A9185A">
        <w:t>W dniu</w:t>
      </w:r>
      <w:r w:rsidR="00A71CFC">
        <w:t xml:space="preserve"> </w:t>
      </w:r>
      <w:r w:rsidR="00A9185A">
        <w:t>12</w:t>
      </w:r>
      <w:r w:rsidR="00A71CFC">
        <w:t xml:space="preserve"> </w:t>
      </w:r>
      <w:r w:rsidR="00A9185A">
        <w:t>lipca</w:t>
      </w:r>
      <w:r w:rsidR="00A71CFC">
        <w:t xml:space="preserve"> </w:t>
      </w:r>
      <w:r w:rsidR="00A9185A">
        <w:t>2012</w:t>
      </w:r>
      <w:r w:rsidR="00A71CFC">
        <w:t xml:space="preserve"> </w:t>
      </w:r>
      <w:r w:rsidR="00A9185A">
        <w:t xml:space="preserve">r. Sąd Apelacyjny we Wrocławiu, </w:t>
      </w:r>
      <w:r w:rsidR="00D97ABD">
        <w:t>na podstawie</w:t>
      </w:r>
      <w:r w:rsidR="00A9185A">
        <w:t xml:space="preserve"> art.</w:t>
      </w:r>
      <w:r w:rsidR="00A71CFC">
        <w:t xml:space="preserve"> </w:t>
      </w:r>
      <w:r w:rsidR="00A9185A">
        <w:t>102 k.p.c. oraz art.</w:t>
      </w:r>
      <w:r w:rsidR="00A71CFC">
        <w:t xml:space="preserve"> </w:t>
      </w:r>
      <w:r w:rsidR="00A9185A">
        <w:t>108 ustawy z dnia</w:t>
      </w:r>
      <w:r w:rsidR="00A71CFC">
        <w:t xml:space="preserve"> </w:t>
      </w:r>
      <w:r w:rsidR="00A9185A">
        <w:t>28</w:t>
      </w:r>
      <w:r w:rsidR="00A71CFC">
        <w:t xml:space="preserve"> </w:t>
      </w:r>
      <w:r w:rsidR="00A9185A">
        <w:t>lipca</w:t>
      </w:r>
      <w:r w:rsidR="00A71CFC">
        <w:t xml:space="preserve"> </w:t>
      </w:r>
      <w:r w:rsidR="00A9185A">
        <w:t>2005</w:t>
      </w:r>
      <w:r w:rsidR="00A71CFC">
        <w:t xml:space="preserve"> </w:t>
      </w:r>
      <w:r w:rsidR="00A9185A">
        <w:t>r. o kosztach sądowych w sprawach cywilnych, oddalił zażalenie skarżącego. Sąd uznał, że zła sytuacja finansowa skarżącego nie może być uznana za wypadek szczególnie uzasadniony w rozumieniu art.</w:t>
      </w:r>
      <w:r w:rsidR="00A71CFC">
        <w:t xml:space="preserve"> </w:t>
      </w:r>
      <w:r w:rsidR="00A9185A">
        <w:t xml:space="preserve">102 KPC, a w konsekwencji nie może prowadzić do zwolnienia skarżącego </w:t>
      </w:r>
      <w:r w:rsidR="00D97ABD">
        <w:t>od</w:t>
      </w:r>
      <w:r w:rsidR="00A9185A">
        <w:t xml:space="preserve"> obowiązku </w:t>
      </w:r>
      <w:r w:rsidR="00D97ABD">
        <w:t xml:space="preserve">uiszczenia wynagrodzenia na rzecz </w:t>
      </w:r>
      <w:r w:rsidR="00A9185A">
        <w:t>pełnomocnika strony wygrywającej.</w:t>
      </w:r>
    </w:p>
    <w:p w14:paraId="3AD95E87" w14:textId="77777777" w:rsidR="00A9185A" w:rsidRPr="00211F57" w:rsidRDefault="00A9185A" w:rsidP="00211F57">
      <w:pPr>
        <w:pStyle w:val="JuHIRoman"/>
      </w:pPr>
      <w:r>
        <w:t>ISTOTNE PRZEPISY PRAWA KRAJOWEGO I PRAKTYKA</w:t>
      </w:r>
    </w:p>
    <w:p w14:paraId="400C3BEE" w14:textId="55363902" w:rsidR="00A9185A" w:rsidRPr="00211F57" w:rsidRDefault="00A258CC" w:rsidP="00211F57">
      <w:pPr>
        <w:pStyle w:val="JuPara"/>
      </w:pPr>
      <w:r>
        <w:rPr>
          <w:noProof/>
        </w:rPr>
        <w:t>14</w:t>
      </w:r>
      <w:r w:rsidR="00A9185A">
        <w:t>.</w:t>
      </w:r>
      <w:r w:rsidR="00A71CFC">
        <w:t xml:space="preserve"> </w:t>
      </w:r>
      <w:r w:rsidR="00A9185A">
        <w:t>Przepisy dotyczące pokrywania kosztów i opłat sądowych w</w:t>
      </w:r>
      <w:r w:rsidR="00C471A9">
        <w:t> </w:t>
      </w:r>
      <w:r w:rsidR="00A9185A">
        <w:t xml:space="preserve">postępowaniu cywilnym, a także zwalniania </w:t>
      </w:r>
      <w:r w:rsidR="00D97ABD">
        <w:t xml:space="preserve">od kosztów sądowych </w:t>
      </w:r>
      <w:r w:rsidR="00A9185A">
        <w:t>z</w:t>
      </w:r>
      <w:r w:rsidR="00C471A9">
        <w:t> </w:t>
      </w:r>
      <w:r w:rsidR="00A9185A">
        <w:t xml:space="preserve">uwagi na rzeczywisty status majątkowy powoda, </w:t>
      </w:r>
      <w:r w:rsidR="00D97ABD">
        <w:t>wskazano</w:t>
      </w:r>
      <w:r w:rsidR="00A9185A">
        <w:t xml:space="preserve"> w wyroku </w:t>
      </w:r>
      <w:r w:rsidR="00A9185A">
        <w:rPr>
          <w:i/>
        </w:rPr>
        <w:t>Buczek przeciwko Polsce</w:t>
      </w:r>
      <w:r w:rsidR="00A9185A">
        <w:t>, skarga nr</w:t>
      </w:r>
      <w:r w:rsidR="00A71CFC">
        <w:t xml:space="preserve"> </w:t>
      </w:r>
      <w:r w:rsidR="00A9185A">
        <w:t>31667/12, §§</w:t>
      </w:r>
      <w:r w:rsidR="00A71CFC">
        <w:t xml:space="preserve"> </w:t>
      </w:r>
      <w:r w:rsidR="00A9185A">
        <w:t>13-16, 14</w:t>
      </w:r>
      <w:r w:rsidR="00A71CFC">
        <w:t xml:space="preserve"> </w:t>
      </w:r>
      <w:r w:rsidR="00A9185A">
        <w:t>czerwca</w:t>
      </w:r>
      <w:r w:rsidR="00A71CFC">
        <w:t xml:space="preserve"> </w:t>
      </w:r>
      <w:r w:rsidR="00A9185A">
        <w:t>2016</w:t>
      </w:r>
      <w:r w:rsidR="00A71CFC">
        <w:t xml:space="preserve"> </w:t>
      </w:r>
      <w:r w:rsidR="00A9185A">
        <w:t>r.</w:t>
      </w:r>
    </w:p>
    <w:p w14:paraId="3063FFF7" w14:textId="5762E298" w:rsidR="00A9185A" w:rsidRPr="00211F57" w:rsidRDefault="00A258CC" w:rsidP="00211F57">
      <w:pPr>
        <w:pStyle w:val="JuPara"/>
      </w:pPr>
      <w:r>
        <w:rPr>
          <w:noProof/>
        </w:rPr>
        <w:t>15</w:t>
      </w:r>
      <w:r w:rsidR="00A9185A">
        <w:t>.</w:t>
      </w:r>
      <w:r w:rsidR="00A71CFC">
        <w:t xml:space="preserve"> </w:t>
      </w:r>
      <w:r w:rsidR="00A9185A">
        <w:t>Ponadto, zgodnie z art.</w:t>
      </w:r>
      <w:r w:rsidR="00A71CFC">
        <w:t xml:space="preserve"> </w:t>
      </w:r>
      <w:r w:rsidR="00A9185A">
        <w:t xml:space="preserve">108 k.p.c., zwolnienie </w:t>
      </w:r>
      <w:r w:rsidR="00D97ABD">
        <w:t>od kosztów</w:t>
      </w:r>
      <w:r w:rsidR="00A9185A">
        <w:t xml:space="preserve"> sądowych nie zwalnia automatycznie strony przegrywającej z obowiązku pokrycia kosztów procesu strony wygrywającej. Te koszty procesowe obejmują między innymi wydatki poniesione przez stronę wygrywającą </w:t>
      </w:r>
      <w:r w:rsidR="00D97ABD">
        <w:t>w związku z</w:t>
      </w:r>
      <w:r w:rsidR="00C471A9">
        <w:t> </w:t>
      </w:r>
      <w:r w:rsidR="00A9185A">
        <w:t>zastępstw</w:t>
      </w:r>
      <w:r w:rsidR="00D97ABD">
        <w:t>em</w:t>
      </w:r>
      <w:r w:rsidR="00A9185A">
        <w:t xml:space="preserve"> procesow</w:t>
      </w:r>
      <w:r w:rsidR="00D97ABD">
        <w:t>ym</w:t>
      </w:r>
      <w:r w:rsidR="00A9185A">
        <w:t>. Ogólna zasada, zgodnie z którą koszty niezbędne do prawidłowego przeprowadzenia postępowania są ponoszone przez stronę przegrywającą, jest określona w art.</w:t>
      </w:r>
      <w:r w:rsidR="00A71CFC">
        <w:t xml:space="preserve"> </w:t>
      </w:r>
      <w:r w:rsidR="00A9185A">
        <w:t>98 k.p.c. Zgodnie z</w:t>
      </w:r>
      <w:r w:rsidR="00C471A9">
        <w:t> </w:t>
      </w:r>
      <w:r w:rsidR="00A9185A">
        <w:t>art.</w:t>
      </w:r>
      <w:r w:rsidR="00C471A9">
        <w:t> </w:t>
      </w:r>
      <w:r w:rsidR="00A9185A">
        <w:t xml:space="preserve">102 k.p.c. </w:t>
      </w:r>
      <w:r w:rsidR="003A7E23">
        <w:t>w wypadkach szczególnie uzasadnionych sąd może</w:t>
      </w:r>
      <w:r w:rsidR="00A9185A">
        <w:t xml:space="preserve"> </w:t>
      </w:r>
      <w:r w:rsidR="0077574F">
        <w:t>w</w:t>
      </w:r>
      <w:r w:rsidR="00C471A9">
        <w:t> </w:t>
      </w:r>
      <w:r w:rsidR="0077574F">
        <w:t xml:space="preserve">sprawie cywilnej </w:t>
      </w:r>
      <w:r w:rsidR="00A9185A">
        <w:t xml:space="preserve">zasądzić od strony przegrywającej </w:t>
      </w:r>
      <w:r w:rsidR="003A7E23">
        <w:t xml:space="preserve">tylko </w:t>
      </w:r>
      <w:r w:rsidR="00A9185A">
        <w:t xml:space="preserve">część wyżej wymienionych kosztów procesu </w:t>
      </w:r>
      <w:r w:rsidR="003A7E23">
        <w:t>albo nie obciążać jej w ogóle kosztami</w:t>
      </w:r>
      <w:r w:rsidR="00A9185A">
        <w:t>.</w:t>
      </w:r>
    </w:p>
    <w:p w14:paraId="075F6CCB" w14:textId="60A29D12" w:rsidR="00A9185A" w:rsidRPr="00211F57" w:rsidRDefault="00A258CC" w:rsidP="00211F57">
      <w:pPr>
        <w:pStyle w:val="JuPara"/>
      </w:pPr>
      <w:r>
        <w:rPr>
          <w:noProof/>
        </w:rPr>
        <w:t>16</w:t>
      </w:r>
      <w:r w:rsidR="00A9185A">
        <w:t>.</w:t>
      </w:r>
      <w:r w:rsidR="00A71CFC">
        <w:t xml:space="preserve"> </w:t>
      </w:r>
      <w:r w:rsidR="00A9185A">
        <w:t>W dniu</w:t>
      </w:r>
      <w:r w:rsidR="00A71CFC">
        <w:t xml:space="preserve"> </w:t>
      </w:r>
      <w:r w:rsidR="00A9185A">
        <w:t>12</w:t>
      </w:r>
      <w:r w:rsidR="00A71CFC">
        <w:t xml:space="preserve"> </w:t>
      </w:r>
      <w:r w:rsidR="00A9185A">
        <w:t>czerwca</w:t>
      </w:r>
      <w:r w:rsidR="00A71CFC">
        <w:t xml:space="preserve"> </w:t>
      </w:r>
      <w:r w:rsidR="00A9185A">
        <w:t>2001</w:t>
      </w:r>
      <w:r w:rsidR="00A71CFC">
        <w:t xml:space="preserve"> </w:t>
      </w:r>
      <w:r w:rsidR="00A9185A">
        <w:t xml:space="preserve">r. Trybunał Konstytucyjny </w:t>
      </w:r>
      <w:r w:rsidR="003A7E23">
        <w:t xml:space="preserve">RP </w:t>
      </w:r>
      <w:r w:rsidR="00A9185A">
        <w:t>wysunął następujący wniosek w tym względzie (sprawa nr</w:t>
      </w:r>
      <w:r w:rsidR="00A71CFC">
        <w:t xml:space="preserve"> </w:t>
      </w:r>
      <w:r w:rsidR="00A9185A">
        <w:t>P</w:t>
      </w:r>
      <w:r w:rsidR="00A71CFC">
        <w:t xml:space="preserve"> </w:t>
      </w:r>
      <w:r w:rsidR="00A9185A">
        <w:t>13/01):</w:t>
      </w:r>
    </w:p>
    <w:p w14:paraId="72DD54DA" w14:textId="5970B4EC" w:rsidR="00A9185A" w:rsidRPr="00211F57" w:rsidRDefault="00A9185A" w:rsidP="00211F57">
      <w:pPr>
        <w:pStyle w:val="JuQuot"/>
      </w:pPr>
      <w:r>
        <w:t xml:space="preserve"> „[...] zwolnienie od kosztów postępowania, w szczególności innych niż koszty sądowe, nie może mieć charakteru bezwzględnego, tzn. nie może powodować sytuacji, w której druga strona wygrywając sprawę nie może domagać się uwzględnienia zwrotu poniesionych przez nią wydatków [...]</w:t>
      </w:r>
      <w:r w:rsidR="003A7E23">
        <w:t>.</w:t>
      </w:r>
      <w:r>
        <w:t xml:space="preserve"> Zwolnienia strony przegrywającej, bez stworzenia odpowiedniego źródła rekompensaty poniesionych kosztów dla strony wygrywającej, stanowi instytucjonalne ograniczenie prawa do</w:t>
      </w:r>
      <w:r w:rsidR="00C471A9">
        <w:t> </w:t>
      </w:r>
      <w:r>
        <w:t xml:space="preserve">sądu”. </w:t>
      </w:r>
    </w:p>
    <w:p w14:paraId="300D165F" w14:textId="6A617750" w:rsidR="00A9185A" w:rsidRPr="00211F57" w:rsidRDefault="00A258CC" w:rsidP="00211F57">
      <w:pPr>
        <w:pStyle w:val="JuPara"/>
      </w:pPr>
      <w:r>
        <w:rPr>
          <w:noProof/>
        </w:rPr>
        <w:t>17</w:t>
      </w:r>
      <w:r w:rsidR="00A9185A">
        <w:t>.</w:t>
      </w:r>
      <w:r w:rsidR="00A71CFC">
        <w:t xml:space="preserve"> </w:t>
      </w:r>
      <w:r w:rsidR="00A9185A">
        <w:t>W dniu</w:t>
      </w:r>
      <w:r w:rsidR="00A71CFC">
        <w:t xml:space="preserve"> </w:t>
      </w:r>
      <w:r w:rsidR="00A9185A">
        <w:t>6</w:t>
      </w:r>
      <w:r w:rsidR="00A71CFC">
        <w:t xml:space="preserve"> </w:t>
      </w:r>
      <w:r w:rsidR="00A9185A">
        <w:t>września</w:t>
      </w:r>
      <w:r w:rsidR="00A71CFC">
        <w:t xml:space="preserve"> </w:t>
      </w:r>
      <w:r w:rsidR="00A9185A">
        <w:t>2001</w:t>
      </w:r>
      <w:r w:rsidR="00A71CFC">
        <w:t xml:space="preserve"> </w:t>
      </w:r>
      <w:r w:rsidR="00A9185A">
        <w:t xml:space="preserve">r. Trybunał Konstytucyjny orzekł, że zasada, zgodnie z którą stronie wygrywającej w postępowaniu cywilnym przysługuje zwrot kosztów procesu, przy czym koszty postępowania </w:t>
      </w:r>
      <w:r w:rsidR="00A9185A">
        <w:lastRenderedPageBreak/>
        <w:t xml:space="preserve">pokrywa strona przegrywająca, </w:t>
      </w:r>
      <w:r w:rsidR="009E6813">
        <w:t>jest</w:t>
      </w:r>
      <w:r w:rsidR="00A9185A">
        <w:t xml:space="preserve"> zgodna z zasadą równości i</w:t>
      </w:r>
      <w:r w:rsidR="00C471A9">
        <w:t> </w:t>
      </w:r>
      <w:r w:rsidR="00A9185A">
        <w:t>sprawiedliwości społecznej (sprawa nr</w:t>
      </w:r>
      <w:r w:rsidR="00A71CFC">
        <w:t xml:space="preserve"> </w:t>
      </w:r>
      <w:r w:rsidR="00A9185A">
        <w:t>P/3/01).</w:t>
      </w:r>
    </w:p>
    <w:p w14:paraId="01201900" w14:textId="658DA3C0" w:rsidR="00A9185A" w:rsidRPr="00211F57" w:rsidRDefault="00A258CC" w:rsidP="00211F57">
      <w:pPr>
        <w:pStyle w:val="JuPara"/>
      </w:pPr>
      <w:r>
        <w:rPr>
          <w:noProof/>
        </w:rPr>
        <w:t>18</w:t>
      </w:r>
      <w:r w:rsidR="00A9185A">
        <w:t>.</w:t>
      </w:r>
      <w:r w:rsidR="00A71CFC">
        <w:t xml:space="preserve"> </w:t>
      </w:r>
      <w:r w:rsidR="00A9185A">
        <w:t xml:space="preserve">Koszty zastępstwa </w:t>
      </w:r>
      <w:r w:rsidR="003A7E23">
        <w:t>procesowego</w:t>
      </w:r>
      <w:r w:rsidR="00A9185A">
        <w:t xml:space="preserve"> pełnomocników ustanowionych z</w:t>
      </w:r>
      <w:r w:rsidR="00C471A9">
        <w:t> </w:t>
      </w:r>
      <w:r w:rsidR="00A9185A">
        <w:t>urzędu określa rozporządzeni</w:t>
      </w:r>
      <w:r w:rsidR="003A7E23">
        <w:t>e</w:t>
      </w:r>
      <w:r w:rsidR="00A9185A">
        <w:t xml:space="preserve"> Ministra Sprawiedliwości</w:t>
      </w:r>
      <w:r w:rsidR="00AB708A">
        <w:t xml:space="preserve"> </w:t>
      </w:r>
      <w:r w:rsidR="00A9185A">
        <w:t>z</w:t>
      </w:r>
      <w:r w:rsidR="00A71CFC">
        <w:t xml:space="preserve"> </w:t>
      </w:r>
      <w:r w:rsidR="00A9185A">
        <w:t>dnia</w:t>
      </w:r>
      <w:r w:rsidR="00A71CFC">
        <w:t xml:space="preserve"> </w:t>
      </w:r>
      <w:r w:rsidR="00A9185A">
        <w:t>28</w:t>
      </w:r>
      <w:r w:rsidR="00C471A9">
        <w:t> </w:t>
      </w:r>
      <w:r w:rsidR="00A9185A">
        <w:t>września</w:t>
      </w:r>
      <w:r w:rsidR="00A71CFC">
        <w:t xml:space="preserve"> </w:t>
      </w:r>
      <w:r w:rsidR="00A9185A">
        <w:t>2002</w:t>
      </w:r>
      <w:r w:rsidR="00A71CFC">
        <w:t xml:space="preserve"> </w:t>
      </w:r>
      <w:r w:rsidR="00A9185A">
        <w:t xml:space="preserve">r. </w:t>
      </w:r>
      <w:r w:rsidR="00A9185A" w:rsidRPr="00AE021E">
        <w:rPr>
          <w:iCs/>
        </w:rPr>
        <w:t>w sprawie opłat za czynności radców prawnych oraz</w:t>
      </w:r>
      <w:r w:rsidR="00C471A9">
        <w:rPr>
          <w:iCs/>
        </w:rPr>
        <w:t> </w:t>
      </w:r>
      <w:r w:rsidR="00A9185A" w:rsidRPr="00AE021E">
        <w:rPr>
          <w:iCs/>
        </w:rPr>
        <w:t>ponoszenia przez Skarb Państwa kosztów pomocy prawnej udzielonej przez radcę prawnego ustanowionego z urzędu.</w:t>
      </w:r>
      <w:r w:rsidR="00A9185A">
        <w:t xml:space="preserve"> Koszty te zależą od</w:t>
      </w:r>
      <w:r w:rsidR="00C471A9">
        <w:t> </w:t>
      </w:r>
      <w:r w:rsidR="00A9185A">
        <w:t xml:space="preserve">wartości </w:t>
      </w:r>
      <w:r w:rsidR="003A7E23">
        <w:t xml:space="preserve">przedmiotu sporu </w:t>
      </w:r>
      <w:r w:rsidR="00A9185A">
        <w:t>i wahają się od</w:t>
      </w:r>
      <w:r w:rsidR="00A71CFC">
        <w:t xml:space="preserve"> </w:t>
      </w:r>
      <w:r w:rsidR="00A9185A">
        <w:t>60 PLN (ok.</w:t>
      </w:r>
      <w:r w:rsidR="00A71CFC">
        <w:t xml:space="preserve"> </w:t>
      </w:r>
      <w:r w:rsidR="00A9185A">
        <w:t>15 EUR) do</w:t>
      </w:r>
      <w:r w:rsidR="00C471A9">
        <w:t> </w:t>
      </w:r>
      <w:r w:rsidR="00A9185A">
        <w:t>7200 PLN (ok.</w:t>
      </w:r>
      <w:r w:rsidR="00A71CFC">
        <w:t xml:space="preserve"> </w:t>
      </w:r>
      <w:r w:rsidR="00A9185A">
        <w:t>1800 EUR).</w:t>
      </w:r>
    </w:p>
    <w:p w14:paraId="476BCA59" w14:textId="4FB15467" w:rsidR="00A9185A" w:rsidRPr="00211F57" w:rsidRDefault="00A258CC" w:rsidP="00211F57">
      <w:pPr>
        <w:pStyle w:val="JuPara"/>
      </w:pPr>
      <w:r>
        <w:rPr>
          <w:noProof/>
        </w:rPr>
        <w:t>19</w:t>
      </w:r>
      <w:r w:rsidR="00A9185A">
        <w:t>.</w:t>
      </w:r>
      <w:r w:rsidR="00A71CFC">
        <w:t xml:space="preserve"> </w:t>
      </w:r>
      <w:r w:rsidR="00A9185A">
        <w:t>Zgodnie z art.</w:t>
      </w:r>
      <w:r w:rsidR="00A71CFC">
        <w:t xml:space="preserve"> </w:t>
      </w:r>
      <w:r w:rsidR="00A9185A">
        <w:t>130 §</w:t>
      </w:r>
      <w:r w:rsidR="00A71CFC">
        <w:t xml:space="preserve"> </w:t>
      </w:r>
      <w:r w:rsidR="00A9185A">
        <w:t>2 pozew zwrócony stronie z uwagi na</w:t>
      </w:r>
      <w:r w:rsidR="00C471A9">
        <w:t> </w:t>
      </w:r>
      <w:r w:rsidR="00A9185A">
        <w:t>nieuiszczenie odpowiednich kosztów sądowych nie wywołuje żadnych skutków prawnych.</w:t>
      </w:r>
    </w:p>
    <w:p w14:paraId="0D3E9EC3" w14:textId="77777777" w:rsidR="00A9185A" w:rsidRPr="00211F57" w:rsidRDefault="00A9185A" w:rsidP="00211F57">
      <w:pPr>
        <w:pStyle w:val="JuHHead"/>
      </w:pPr>
      <w:r>
        <w:t>PRAWO</w:t>
      </w:r>
    </w:p>
    <w:p w14:paraId="365D6965" w14:textId="60FFCC0E" w:rsidR="00A9185A" w:rsidRPr="00211F57" w:rsidRDefault="00A9185A" w:rsidP="00211F57">
      <w:pPr>
        <w:pStyle w:val="JuHIRoman"/>
      </w:pPr>
      <w:r>
        <w:t>ZARZUCANE NARUSZENIE ART.</w:t>
      </w:r>
      <w:r w:rsidR="00A71CFC">
        <w:t xml:space="preserve"> </w:t>
      </w:r>
      <w:r>
        <w:t>6 KONWENCJI</w:t>
      </w:r>
    </w:p>
    <w:p w14:paraId="38A11744" w14:textId="4148930D" w:rsidR="00A9185A" w:rsidRPr="00211F57" w:rsidRDefault="00A258CC" w:rsidP="00211F57">
      <w:pPr>
        <w:pStyle w:val="JuPara"/>
      </w:pPr>
      <w:r>
        <w:rPr>
          <w:noProof/>
        </w:rPr>
        <w:t>20</w:t>
      </w:r>
      <w:r w:rsidR="00A9185A">
        <w:t>.</w:t>
      </w:r>
      <w:r w:rsidR="00A71CFC">
        <w:t xml:space="preserve"> </w:t>
      </w:r>
      <w:r w:rsidR="00A9185A">
        <w:t>Powołując się na art.</w:t>
      </w:r>
      <w:r w:rsidR="00A71CFC">
        <w:t xml:space="preserve"> </w:t>
      </w:r>
      <w:r w:rsidR="00A9185A">
        <w:t>6 ust.</w:t>
      </w:r>
      <w:r w:rsidR="00A71CFC">
        <w:t xml:space="preserve"> </w:t>
      </w:r>
      <w:r w:rsidR="00A9185A">
        <w:t>1 Konwencji, skarżący wniósł opartą na</w:t>
      </w:r>
      <w:r w:rsidR="00C471A9">
        <w:t> </w:t>
      </w:r>
      <w:r w:rsidR="00A9185A">
        <w:t>dwóch zarzutach skargę dotyczącą naruszenia jego prawa do rzetelnego procesu sądowego. Po pierwsze, skarżący zarzucił naruszenie jego prawa do</w:t>
      </w:r>
      <w:r w:rsidR="00C471A9">
        <w:t> </w:t>
      </w:r>
      <w:r w:rsidR="00A9185A">
        <w:t xml:space="preserve">dostępu do sądu, ponieważ sąd krajowy odmówił zwolnienia go </w:t>
      </w:r>
      <w:r w:rsidR="00223BAA">
        <w:t>od</w:t>
      </w:r>
      <w:r w:rsidR="00C471A9">
        <w:t> </w:t>
      </w:r>
      <w:r w:rsidR="00223BAA">
        <w:t>kosztów</w:t>
      </w:r>
      <w:r w:rsidR="00A9185A">
        <w:t xml:space="preserve"> sądowych wymaganych przy składaniu pozwu cywilnego dotyczącego warunków panujących w Zakładzie Karnym we Wronkach. Po</w:t>
      </w:r>
      <w:r w:rsidR="00C471A9">
        <w:t> </w:t>
      </w:r>
      <w:r w:rsidR="00A9185A">
        <w:t xml:space="preserve">drugie, skarżący zarzucił naruszenie jego prawa do rzetelnego procesu sądowego, ponieważ w postępowaniu dotyczącym jego powództwa przeciwko Zakładowi Karnemu w Wołowie sąd </w:t>
      </w:r>
      <w:r w:rsidR="00223BAA">
        <w:t>obciążył go</w:t>
      </w:r>
      <w:r w:rsidR="00A9185A">
        <w:t xml:space="preserve"> koszt</w:t>
      </w:r>
      <w:r w:rsidR="00223BAA">
        <w:t>ami</w:t>
      </w:r>
      <w:r w:rsidR="00A9185A">
        <w:t xml:space="preserve"> procesu poniesion</w:t>
      </w:r>
      <w:r w:rsidR="00223BAA">
        <w:t>ymi</w:t>
      </w:r>
      <w:r w:rsidR="00A9185A">
        <w:t xml:space="preserve"> przez stronę wygrywającą.</w:t>
      </w:r>
    </w:p>
    <w:p w14:paraId="170661CC" w14:textId="23E4B7C2" w:rsidR="00A9185A" w:rsidRPr="00211F57" w:rsidRDefault="00223BAA" w:rsidP="00211F57">
      <w:pPr>
        <w:pStyle w:val="JuPara"/>
      </w:pPr>
      <w:r>
        <w:t>P</w:t>
      </w:r>
      <w:r w:rsidR="00A9185A">
        <w:t>ostanowienie</w:t>
      </w:r>
      <w:r>
        <w:t xml:space="preserve"> to, </w:t>
      </w:r>
      <w:r w:rsidR="00A9185A">
        <w:t xml:space="preserve">w istotnym zakresie, </w:t>
      </w:r>
      <w:r>
        <w:t xml:space="preserve">stanowi </w:t>
      </w:r>
      <w:r w:rsidR="00A9185A">
        <w:t>co następuje:</w:t>
      </w:r>
    </w:p>
    <w:p w14:paraId="6AE29DA2" w14:textId="39E62ED0" w:rsidR="00A9185A" w:rsidRPr="00211F57" w:rsidRDefault="00A9185A" w:rsidP="00211F57">
      <w:pPr>
        <w:pStyle w:val="JuQuot"/>
      </w:pPr>
      <w:r>
        <w:t>„</w:t>
      </w:r>
      <w:r w:rsidR="0080255F">
        <w:t>K</w:t>
      </w:r>
      <w:r>
        <w:t xml:space="preserve">ażdy ma prawo do </w:t>
      </w:r>
      <w:r w:rsidR="0080255F">
        <w:t xml:space="preserve">sprawiedliwego </w:t>
      </w:r>
      <w:r>
        <w:t>[…]</w:t>
      </w:r>
      <w:r w:rsidR="0080255F">
        <w:t xml:space="preserve"> </w:t>
      </w:r>
      <w:r>
        <w:t>rozpatrzenia jego sprawy […] przez niezawisły i</w:t>
      </w:r>
      <w:r w:rsidR="00A71CFC">
        <w:t xml:space="preserve"> </w:t>
      </w:r>
      <w:r>
        <w:t>bezstronny sąd ustanowiony ustawą</w:t>
      </w:r>
      <w:r w:rsidR="0080255F">
        <w:t xml:space="preserve"> przy rozstrzyganiu o jego prawach i</w:t>
      </w:r>
      <w:r w:rsidR="00C471A9">
        <w:t> </w:t>
      </w:r>
      <w:r w:rsidR="0080255F">
        <w:t>obowiązkach o charakterze cywilnym […]</w:t>
      </w:r>
      <w:r>
        <w:t>”.</w:t>
      </w:r>
    </w:p>
    <w:p w14:paraId="12C6377B" w14:textId="77777777" w:rsidR="00A9185A" w:rsidRPr="00211F57" w:rsidRDefault="00A9185A" w:rsidP="00211F57">
      <w:pPr>
        <w:pStyle w:val="JuHA"/>
      </w:pPr>
      <w:r>
        <w:t>Dopuszczalność</w:t>
      </w:r>
    </w:p>
    <w:p w14:paraId="594B2540" w14:textId="448B35C1" w:rsidR="00A9185A" w:rsidRPr="00211F57" w:rsidRDefault="00A258CC" w:rsidP="00211F57">
      <w:pPr>
        <w:pStyle w:val="JuPara"/>
      </w:pPr>
      <w:r>
        <w:rPr>
          <w:noProof/>
        </w:rPr>
        <w:t>21</w:t>
      </w:r>
      <w:r w:rsidR="00A9185A">
        <w:t>.</w:t>
      </w:r>
      <w:r w:rsidR="00A71CFC">
        <w:t xml:space="preserve"> </w:t>
      </w:r>
      <w:r w:rsidR="00A9185A">
        <w:t>Trybunał zauważa, że skarga nie jest w sposób oczywisty nieuzasadniona w rozumieniu art.</w:t>
      </w:r>
      <w:r w:rsidR="00A71CFC">
        <w:t xml:space="preserve"> </w:t>
      </w:r>
      <w:r w:rsidR="00A9185A">
        <w:t>35 ust.</w:t>
      </w:r>
      <w:r w:rsidR="00A71CFC">
        <w:t xml:space="preserve"> </w:t>
      </w:r>
      <w:r w:rsidR="00A9185A">
        <w:t>3 lit.</w:t>
      </w:r>
      <w:r w:rsidR="00A71CFC">
        <w:t xml:space="preserve"> </w:t>
      </w:r>
      <w:r w:rsidR="00A9185A">
        <w:t>a Konwencji, ani nie jest niedopuszczalna na jakiejkolwiek innej podstawie. Należy ją zatem uznać za dopuszczalną.</w:t>
      </w:r>
    </w:p>
    <w:p w14:paraId="32E0F19A" w14:textId="77777777" w:rsidR="00A9185A" w:rsidRPr="00211F57" w:rsidRDefault="00A9185A" w:rsidP="00211F57">
      <w:pPr>
        <w:pStyle w:val="JuHA"/>
      </w:pPr>
      <w:r>
        <w:lastRenderedPageBreak/>
        <w:t>Przedmiot skargi</w:t>
      </w:r>
    </w:p>
    <w:p w14:paraId="7AA16341" w14:textId="77777777" w:rsidR="00A9185A" w:rsidRPr="00211F57" w:rsidRDefault="00A9185A" w:rsidP="00211F57">
      <w:pPr>
        <w:pStyle w:val="JuH1"/>
      </w:pPr>
      <w:r>
        <w:t>Stanowiska stron</w:t>
      </w:r>
    </w:p>
    <w:p w14:paraId="1C69AB4D" w14:textId="77777777" w:rsidR="00A9185A" w:rsidRPr="00211F57" w:rsidRDefault="00A9185A" w:rsidP="00211F57">
      <w:pPr>
        <w:pStyle w:val="JuHa0"/>
      </w:pPr>
      <w:r>
        <w:t>Skarżący</w:t>
      </w:r>
    </w:p>
    <w:p w14:paraId="1CDD7806" w14:textId="60271875" w:rsidR="00A9185A" w:rsidRPr="00211F57" w:rsidRDefault="00A258CC" w:rsidP="00211F57">
      <w:pPr>
        <w:pStyle w:val="JuPara"/>
      </w:pPr>
      <w:r>
        <w:rPr>
          <w:noProof/>
        </w:rPr>
        <w:t>22</w:t>
      </w:r>
      <w:r w:rsidR="00A9185A">
        <w:t>.</w:t>
      </w:r>
      <w:r w:rsidR="00A71CFC">
        <w:t xml:space="preserve"> </w:t>
      </w:r>
      <w:r w:rsidR="00A9185A">
        <w:t xml:space="preserve">Skarżący </w:t>
      </w:r>
      <w:r w:rsidR="00223BAA">
        <w:t>twierdził</w:t>
      </w:r>
      <w:r w:rsidR="00A9185A">
        <w:t xml:space="preserve">, że ze względu na swój status osoby uprzednio skazanej oraz brak jakiegokolwiek programu resocjalizacji osób opuszczających zakład karny, przebywając na wolności, nie był w stanie </w:t>
      </w:r>
      <w:r w:rsidR="00223BAA">
        <w:t xml:space="preserve">znaleźć </w:t>
      </w:r>
      <w:r w:rsidR="00A9185A">
        <w:t>wystarczająco dobrze płatnej pracy, która pozwoliłaby mu na</w:t>
      </w:r>
      <w:r w:rsidR="00C471A9">
        <w:t> </w:t>
      </w:r>
      <w:r w:rsidR="00A9185A">
        <w:t xml:space="preserve">poczynienie oszczędności w związku z jego postępowaniem sądowym przeciwko </w:t>
      </w:r>
      <w:r w:rsidR="0080255F">
        <w:t>p</w:t>
      </w:r>
      <w:r w:rsidR="00A9185A">
        <w:t>aństwu. Krótkoterminowe umowy, które zawarł w czasie pobytu na wolności, miały bardzo niepewny charakter. Skarżący żył zatem poniżej granicy ubóstwa. Skarżący zauważył również, że pomimo poważnych prób, nie udało mu się znaleźć płatnej pracy w zakładzie karnym.</w:t>
      </w:r>
    </w:p>
    <w:p w14:paraId="775249DB" w14:textId="3ACBD722" w:rsidR="00A9185A" w:rsidRPr="00211F57" w:rsidRDefault="00A258CC" w:rsidP="00211F57">
      <w:pPr>
        <w:pStyle w:val="JuPara"/>
      </w:pPr>
      <w:r>
        <w:rPr>
          <w:noProof/>
        </w:rPr>
        <w:t>23</w:t>
      </w:r>
      <w:r w:rsidR="00A9185A">
        <w:t>.</w:t>
      </w:r>
      <w:r w:rsidR="00A71CFC">
        <w:t xml:space="preserve"> </w:t>
      </w:r>
      <w:r w:rsidR="00A9185A">
        <w:t>Skarżący twierdził również, że zadośćuczynienie, którego dochodził w każdym ze spornych postępowań, było rozsądne, biorąc pod uwagę z</w:t>
      </w:r>
      <w:r w:rsidR="00C471A9">
        <w:t> </w:t>
      </w:r>
      <w:r w:rsidR="00A9185A">
        <w:t>jednej strony wagę jego zarzutów i długość jego cierpienia, a z drugiej strony średnie wynagrodzenie w Polsce.</w:t>
      </w:r>
    </w:p>
    <w:p w14:paraId="2AE841EF" w14:textId="31D6D6AC" w:rsidR="00A9185A" w:rsidRPr="00211F57" w:rsidRDefault="00A258CC" w:rsidP="00211F57">
      <w:pPr>
        <w:pStyle w:val="JuPara"/>
      </w:pPr>
      <w:r>
        <w:rPr>
          <w:noProof/>
        </w:rPr>
        <w:t>24</w:t>
      </w:r>
      <w:r w:rsidR="00A9185A">
        <w:t>.</w:t>
      </w:r>
      <w:r w:rsidR="00A71CFC">
        <w:t xml:space="preserve"> </w:t>
      </w:r>
      <w:r w:rsidR="00A9185A">
        <w:t xml:space="preserve">Ponadto, w szczególności w odniesieniu do drugiego postępowania, skarżący zakwestionował wysokość kosztów </w:t>
      </w:r>
      <w:r w:rsidR="00DB1D52">
        <w:t xml:space="preserve">procesu </w:t>
      </w:r>
      <w:r w:rsidR="00A9185A">
        <w:t xml:space="preserve">strony wygrywającej, wyjaśniając, że ponieważ sprawa została rozstrzygnięta w kwestii </w:t>
      </w:r>
      <w:r w:rsidR="00DB1D52">
        <w:t xml:space="preserve">formalnej </w:t>
      </w:r>
      <w:r w:rsidR="00A9185A">
        <w:t xml:space="preserve">dotyczącej przedawnienia, pełnomocnik strony pozwanej nie włożył znaczącego wysiłku w obronę strony pozwanej. Sąd krajowy </w:t>
      </w:r>
      <w:r w:rsidR="00DB1D52">
        <w:t>niesłusznie</w:t>
      </w:r>
      <w:r w:rsidR="00A9185A">
        <w:t xml:space="preserve"> </w:t>
      </w:r>
      <w:r w:rsidR="00DB1D52">
        <w:t xml:space="preserve">pominął niepewną </w:t>
      </w:r>
      <w:r w:rsidR="00A9185A">
        <w:t>sytuacj</w:t>
      </w:r>
      <w:r w:rsidR="00DB1D52">
        <w:t>ę</w:t>
      </w:r>
      <w:r w:rsidR="00A9185A">
        <w:t xml:space="preserve"> skarżącego i </w:t>
      </w:r>
      <w:r w:rsidR="00DB1D52">
        <w:t>obciążył go</w:t>
      </w:r>
      <w:r w:rsidR="00A9185A">
        <w:t xml:space="preserve"> </w:t>
      </w:r>
      <w:r w:rsidR="00DB1D52">
        <w:t xml:space="preserve">kosztami poniesionymi </w:t>
      </w:r>
      <w:r w:rsidR="00A9185A">
        <w:t>przez stronę wygrywającą sprawę. W tym względzie skarżący podniósł, że</w:t>
      </w:r>
      <w:r w:rsidR="00C471A9">
        <w:t> </w:t>
      </w:r>
      <w:r w:rsidR="00A9185A">
        <w:t>od momentu opuszczenia zakładu karnego nie miał prawa do uzyskania żadnego płatnego zatrudnienia, ponieważ nabył status opiekuna swojej matki będącej osobą starszą, z</w:t>
      </w:r>
      <w:r w:rsidR="00DB1D52">
        <w:t>a co</w:t>
      </w:r>
      <w:r w:rsidR="00A9185A">
        <w:t xml:space="preserve"> </w:t>
      </w:r>
      <w:r w:rsidR="00DB1D52">
        <w:t xml:space="preserve">pobierał miesięczne </w:t>
      </w:r>
      <w:r w:rsidR="00A9185A">
        <w:t>świadczenie w</w:t>
      </w:r>
      <w:r w:rsidR="00C471A9">
        <w:t> </w:t>
      </w:r>
      <w:r w:rsidR="00A9185A">
        <w:t>wysokości</w:t>
      </w:r>
      <w:r w:rsidR="00A71CFC">
        <w:t xml:space="preserve"> </w:t>
      </w:r>
      <w:r w:rsidR="00A9185A">
        <w:t>520 PLN (</w:t>
      </w:r>
      <w:r w:rsidR="00DB1D52">
        <w:t>ok.</w:t>
      </w:r>
      <w:r w:rsidR="00A71CFC">
        <w:t xml:space="preserve"> </w:t>
      </w:r>
      <w:r w:rsidR="00A9185A">
        <w:t xml:space="preserve">130 EUR). </w:t>
      </w:r>
      <w:r w:rsidR="00DB1D52">
        <w:t>Tym samym</w:t>
      </w:r>
      <w:r w:rsidR="00A9185A">
        <w:t xml:space="preserve"> nadal żył poniżej progu ubóstwa, otrzymując odzież i żywność od organizacji opieki społecznej.</w:t>
      </w:r>
    </w:p>
    <w:p w14:paraId="2B362C8A" w14:textId="77777777" w:rsidR="00A9185A" w:rsidRPr="00211F57" w:rsidRDefault="00A9185A" w:rsidP="00211F57">
      <w:pPr>
        <w:pStyle w:val="JuHa0"/>
      </w:pPr>
      <w:r>
        <w:t>Rząd</w:t>
      </w:r>
    </w:p>
    <w:p w14:paraId="5857853F" w14:textId="0DC2E0D0" w:rsidR="00A9185A" w:rsidRPr="00211F57" w:rsidRDefault="00A258CC" w:rsidP="00211F57">
      <w:pPr>
        <w:pStyle w:val="JuPara"/>
      </w:pPr>
      <w:r>
        <w:rPr>
          <w:noProof/>
        </w:rPr>
        <w:t>25</w:t>
      </w:r>
      <w:r w:rsidR="00A9185A">
        <w:t>.</w:t>
      </w:r>
      <w:r w:rsidR="00A71CFC">
        <w:t xml:space="preserve"> </w:t>
      </w:r>
      <w:r w:rsidR="00A9185A">
        <w:t xml:space="preserve">Rząd argumentował, że prawo dostępu do sądu zapisane w </w:t>
      </w:r>
      <w:r w:rsidR="00AE021E">
        <w:t>a</w:t>
      </w:r>
      <w:r w:rsidR="00DB1D52">
        <w:t>rt.</w:t>
      </w:r>
      <w:r w:rsidR="00A71CFC">
        <w:t xml:space="preserve"> </w:t>
      </w:r>
      <w:r w:rsidR="00A9185A">
        <w:t xml:space="preserve">6 Konwencji nie ma charakteru bezwzględnego i że </w:t>
      </w:r>
      <w:r w:rsidR="00DB1D52">
        <w:t>samo obciążenie</w:t>
      </w:r>
      <w:r w:rsidR="00A9185A">
        <w:t xml:space="preserve"> strony postępowania cywilnego koszt</w:t>
      </w:r>
      <w:r w:rsidR="00DB1D52">
        <w:t>ami</w:t>
      </w:r>
      <w:r w:rsidR="00A9185A">
        <w:t xml:space="preserve"> </w:t>
      </w:r>
      <w:r w:rsidR="00DB1D52">
        <w:t xml:space="preserve">sądowymi </w:t>
      </w:r>
      <w:r w:rsidR="00A9185A">
        <w:t xml:space="preserve">i </w:t>
      </w:r>
      <w:r w:rsidR="00DB1D52">
        <w:t>kosztami procesu</w:t>
      </w:r>
      <w:r w:rsidR="00A9185A">
        <w:t xml:space="preserve"> nie</w:t>
      </w:r>
      <w:r w:rsidR="00C471A9">
        <w:t> </w:t>
      </w:r>
      <w:r w:rsidR="00A9185A">
        <w:t>stanowi naruszenia tego postanowienia.</w:t>
      </w:r>
    </w:p>
    <w:p w14:paraId="309F96EE" w14:textId="3EE96E85" w:rsidR="00A9185A" w:rsidRPr="00211F57" w:rsidRDefault="00A258CC" w:rsidP="00211F57">
      <w:pPr>
        <w:pStyle w:val="JuPara"/>
      </w:pPr>
      <w:r>
        <w:rPr>
          <w:noProof/>
        </w:rPr>
        <w:t>26</w:t>
      </w:r>
      <w:r w:rsidR="00A9185A">
        <w:t>.</w:t>
      </w:r>
      <w:r w:rsidR="00A71CFC">
        <w:t xml:space="preserve"> </w:t>
      </w:r>
      <w:r w:rsidR="00A9185A">
        <w:t>W odniesieniu do pierwszego z</w:t>
      </w:r>
      <w:r w:rsidR="009E6813">
        <w:t xml:space="preserve"> zaskarżonych</w:t>
      </w:r>
      <w:r w:rsidR="00A9185A">
        <w:t xml:space="preserve"> postępowań Rząd stwierdził, że wniosek skarżącego o zwolnienie </w:t>
      </w:r>
      <w:r w:rsidR="00DB1D52">
        <w:t xml:space="preserve">od </w:t>
      </w:r>
      <w:r w:rsidR="00A9185A">
        <w:t xml:space="preserve">kosztów sądowych został </w:t>
      </w:r>
      <w:r w:rsidR="00DB1D52">
        <w:t xml:space="preserve">dogłębnie </w:t>
      </w:r>
      <w:r w:rsidR="00A9185A">
        <w:t xml:space="preserve">rozpatrzony przez sądy krajowe. </w:t>
      </w:r>
      <w:r w:rsidR="00DB1D52">
        <w:t>Odmowa</w:t>
      </w:r>
      <w:r w:rsidR="00A9185A">
        <w:t xml:space="preserve"> zwolnienia </w:t>
      </w:r>
      <w:r w:rsidR="00DB1D52">
        <w:t>od</w:t>
      </w:r>
      <w:r w:rsidR="00C471A9">
        <w:t> </w:t>
      </w:r>
      <w:r w:rsidR="00A9185A">
        <w:t>kosztów, które stanowiły</w:t>
      </w:r>
      <w:r w:rsidR="00A71CFC">
        <w:t xml:space="preserve"> </w:t>
      </w:r>
      <w:r w:rsidR="00A9185A">
        <w:t xml:space="preserve">5% </w:t>
      </w:r>
      <w:r w:rsidR="00DB1D52">
        <w:t>wartości przedmiotu sporu</w:t>
      </w:r>
      <w:r w:rsidR="00A9185A">
        <w:t xml:space="preserve"> i wynosiły</w:t>
      </w:r>
      <w:r w:rsidR="00A71CFC">
        <w:t xml:space="preserve"> </w:t>
      </w:r>
      <w:r w:rsidR="00A9185A">
        <w:t>500</w:t>
      </w:r>
      <w:r w:rsidR="00C471A9">
        <w:t> </w:t>
      </w:r>
      <w:r w:rsidR="00A9185A">
        <w:t>PLN, była uzasadniona i nie utrudniała skarżącemu dostępu do sądu. W</w:t>
      </w:r>
      <w:r w:rsidR="00C471A9">
        <w:t> </w:t>
      </w:r>
      <w:r w:rsidR="00A9185A">
        <w:t>szczególności skarżący, który przed wniesieniem powództwa cywilnego przebywał na wolności przez</w:t>
      </w:r>
      <w:r w:rsidR="00A71CFC">
        <w:t xml:space="preserve"> </w:t>
      </w:r>
      <w:r w:rsidR="00A9185A">
        <w:t xml:space="preserve">5 lat, mógł poczynić oszczędności niezbędne </w:t>
      </w:r>
      <w:r w:rsidR="00A9185A">
        <w:lastRenderedPageBreak/>
        <w:t xml:space="preserve">do prowadzenia postępowania sądowego, </w:t>
      </w:r>
      <w:r w:rsidR="00DB1D52">
        <w:t xml:space="preserve">do </w:t>
      </w:r>
      <w:r w:rsidR="00A9185A">
        <w:t>które</w:t>
      </w:r>
      <w:r w:rsidR="00DB1D52">
        <w:t>go czynił</w:t>
      </w:r>
      <w:r w:rsidR="00A9185A">
        <w:t xml:space="preserve"> przygotow</w:t>
      </w:r>
      <w:r w:rsidR="00DB1D52">
        <w:t>ania</w:t>
      </w:r>
      <w:r w:rsidR="00A9185A">
        <w:t>. Ponadto zwrot pozwu cywilnego skarżącego nie pozbawił go dostępu do</w:t>
      </w:r>
      <w:r w:rsidR="00C471A9">
        <w:t> </w:t>
      </w:r>
      <w:r w:rsidR="00A9185A">
        <w:t>sądu. Skarżący mógł wystąpić z nowym powództwem cywilnym, domagając się bardziej rozsądnego zadośćuczynienia, które wiązałoby się z</w:t>
      </w:r>
      <w:r w:rsidR="00C471A9">
        <w:t> </w:t>
      </w:r>
      <w:r w:rsidR="00A9185A">
        <w:t>niższymi kosztami sądowymi.</w:t>
      </w:r>
    </w:p>
    <w:p w14:paraId="756E0884" w14:textId="494384B3" w:rsidR="00A9185A" w:rsidRPr="00211F57" w:rsidRDefault="00A258CC" w:rsidP="00211F57">
      <w:pPr>
        <w:pStyle w:val="JuPara"/>
      </w:pPr>
      <w:r>
        <w:rPr>
          <w:noProof/>
        </w:rPr>
        <w:t>27</w:t>
      </w:r>
      <w:r w:rsidR="00A9185A">
        <w:t>.</w:t>
      </w:r>
      <w:r w:rsidR="00A71CFC">
        <w:t xml:space="preserve"> </w:t>
      </w:r>
      <w:r w:rsidR="00A9185A">
        <w:t>W odniesieniu do drugiego postępowania Rząd stwierdził po</w:t>
      </w:r>
      <w:r w:rsidR="00C471A9">
        <w:t> </w:t>
      </w:r>
      <w:r w:rsidR="00A9185A">
        <w:t>pierwsze, że sprawę skarżącego rozpatrzył sąd cywilny. Jego dostęp do</w:t>
      </w:r>
      <w:r w:rsidR="00C471A9">
        <w:t> </w:t>
      </w:r>
      <w:r w:rsidR="00A9185A">
        <w:t xml:space="preserve">sądu nie został zatem utrudniony. W zakresie, w jakim ta część skargi mogłaby w szerszym ujęciu dotyczyć kwestii rzetelnego procesu sądowego, Rząd stwierdził, że koszty zastępstwa procesowego strony wygrywającej, które skarżący miał ponieść, nie były nadmierne w porównaniu z wartością </w:t>
      </w:r>
      <w:r w:rsidR="00DB1D52">
        <w:t>przedmiotu sporu</w:t>
      </w:r>
      <w:r w:rsidR="00A9185A">
        <w:t>. Zastępstwo procesowe pozwanego Skarbu Państwa było również uzasadnione w okolicznościach niniejszej sprawy, ponieważ roszczenie powoda mogło zostać uznane za przedawnione jedynie w</w:t>
      </w:r>
      <w:r w:rsidR="00C471A9">
        <w:t> </w:t>
      </w:r>
      <w:r w:rsidR="00A9185A">
        <w:t xml:space="preserve">przypadku </w:t>
      </w:r>
      <w:r w:rsidR="00DB1D52">
        <w:t>podniesienia zarzutu</w:t>
      </w:r>
      <w:r w:rsidR="00A9185A">
        <w:t xml:space="preserve"> w tym względzie. Wreszcie Rząd stwierdził, że sąd krajowy rozważył możliwość zastosowania art.</w:t>
      </w:r>
      <w:r w:rsidR="00A71CFC">
        <w:t xml:space="preserve"> </w:t>
      </w:r>
      <w:r w:rsidR="00A9185A">
        <w:t xml:space="preserve">102 k.p.c., ale zdecydował, że w przypadku skarżącego nie </w:t>
      </w:r>
      <w:r w:rsidR="00DB1D52">
        <w:t>zachodziły</w:t>
      </w:r>
      <w:r w:rsidR="00A9185A">
        <w:t xml:space="preserve"> szczególne okoliczności uzasadniające zwolnienie </w:t>
      </w:r>
      <w:r w:rsidR="00DB1D52">
        <w:t>od</w:t>
      </w:r>
      <w:r w:rsidR="00A9185A">
        <w:t xml:space="preserve"> kosztów sądowych.</w:t>
      </w:r>
    </w:p>
    <w:p w14:paraId="1949AAEA" w14:textId="77777777" w:rsidR="00A9185A" w:rsidRPr="00211F57" w:rsidRDefault="00A9185A" w:rsidP="00211F57">
      <w:pPr>
        <w:pStyle w:val="JuH1"/>
      </w:pPr>
      <w:r>
        <w:t>Ocena Trybunału</w:t>
      </w:r>
    </w:p>
    <w:p w14:paraId="3A2E8955" w14:textId="17BF2089" w:rsidR="00A9185A" w:rsidRPr="00211F57" w:rsidRDefault="00A258CC" w:rsidP="00211F57">
      <w:pPr>
        <w:pStyle w:val="JuPara"/>
      </w:pPr>
      <w:r>
        <w:rPr>
          <w:noProof/>
        </w:rPr>
        <w:t>28</w:t>
      </w:r>
      <w:r w:rsidR="00A9185A">
        <w:t>.</w:t>
      </w:r>
      <w:r w:rsidR="00A71CFC">
        <w:t xml:space="preserve"> </w:t>
      </w:r>
      <w:r w:rsidR="00A9185A">
        <w:t>Artykuł</w:t>
      </w:r>
      <w:r w:rsidR="00A71CFC">
        <w:t xml:space="preserve"> </w:t>
      </w:r>
      <w:r w:rsidR="00A9185A">
        <w:t>6 ust.</w:t>
      </w:r>
      <w:r w:rsidR="00A71CFC">
        <w:t xml:space="preserve"> </w:t>
      </w:r>
      <w:r w:rsidR="00A9185A">
        <w:t xml:space="preserve">1 </w:t>
      </w:r>
      <w:r w:rsidR="00DB1D52">
        <w:t>obejmuje</w:t>
      </w:r>
      <w:r w:rsidR="00A9185A">
        <w:t xml:space="preserve"> „prawo do sądu”, którego jednym z</w:t>
      </w:r>
      <w:r w:rsidR="00C471A9">
        <w:t> </w:t>
      </w:r>
      <w:r w:rsidR="00A9185A">
        <w:t>aspektów jest prawo dostępu do sądu, czyli prawo do wszczęcia postępowania przed sądem w sprawach cywilnych.</w:t>
      </w:r>
    </w:p>
    <w:p w14:paraId="26574FCE" w14:textId="277B9D45" w:rsidR="00A9185A" w:rsidRPr="00211F57" w:rsidRDefault="00A258CC" w:rsidP="00211F57">
      <w:pPr>
        <w:pStyle w:val="JuPara"/>
      </w:pPr>
      <w:r>
        <w:rPr>
          <w:noProof/>
        </w:rPr>
        <w:t>29</w:t>
      </w:r>
      <w:r w:rsidR="00A9185A">
        <w:t>.</w:t>
      </w:r>
      <w:r w:rsidR="00A71CFC">
        <w:t xml:space="preserve"> </w:t>
      </w:r>
      <w:r w:rsidR="00DB1D52">
        <w:t>P</w:t>
      </w:r>
      <w:r w:rsidR="00A9185A">
        <w:t xml:space="preserve">rawo to nie ma </w:t>
      </w:r>
      <w:r w:rsidR="00DB1D52">
        <w:t xml:space="preserve">jednak </w:t>
      </w:r>
      <w:r w:rsidR="00A9185A">
        <w:t xml:space="preserve">charakteru bezwzględnego i może </w:t>
      </w:r>
      <w:r w:rsidR="00DB1D52">
        <w:t>doznawać ograniczeń</w:t>
      </w:r>
      <w:r w:rsidR="00A9185A">
        <w:t xml:space="preserve">. Trybunał orzekł, </w:t>
      </w:r>
      <w:r w:rsidR="00DB1D52">
        <w:t xml:space="preserve">że – </w:t>
      </w:r>
      <w:r w:rsidR="00A9185A">
        <w:t>gwarantując stronom skuteczne prawo dostępu do sądu w celu rozstrzygnięcia o ich „prawach i obowiązkach o</w:t>
      </w:r>
      <w:r w:rsidR="00C471A9">
        <w:t> </w:t>
      </w:r>
      <w:r w:rsidR="00A9185A">
        <w:t>charakterze cywilnym”</w:t>
      </w:r>
      <w:r w:rsidR="00DB1D52">
        <w:t xml:space="preserve"> –</w:t>
      </w:r>
      <w:r w:rsidR="00A9185A">
        <w:t xml:space="preserve"> art.</w:t>
      </w:r>
      <w:r w:rsidR="00A71CFC">
        <w:t xml:space="preserve"> </w:t>
      </w:r>
      <w:r w:rsidR="00A9185A">
        <w:t>6 ust.</w:t>
      </w:r>
      <w:r w:rsidR="00A71CFC">
        <w:t xml:space="preserve"> </w:t>
      </w:r>
      <w:r w:rsidR="00A9185A">
        <w:t>1 pozostawia państwu wolny wybór środków do wykorzystania dla osiągnięcia tego celu, jednak podczas gdy</w:t>
      </w:r>
      <w:r w:rsidR="00C471A9">
        <w:t> </w:t>
      </w:r>
      <w:r w:rsidR="00A9185A">
        <w:t xml:space="preserve">Państwa Strony posiadają pewien </w:t>
      </w:r>
      <w:r w:rsidR="0080255F">
        <w:t>margines oceny</w:t>
      </w:r>
      <w:r w:rsidR="00A9185A">
        <w:t xml:space="preserve"> w tym względzie, ostateczna decyzja co do przestrzegania wymogów Konwencji pozostaje w</w:t>
      </w:r>
      <w:r w:rsidR="00C471A9">
        <w:t> </w:t>
      </w:r>
      <w:r w:rsidR="00A9185A">
        <w:t>gestii Trybunału (zob.</w:t>
      </w:r>
      <w:r w:rsidR="00A71CFC">
        <w:t xml:space="preserve"> </w:t>
      </w:r>
      <w:r w:rsidR="00A9185A">
        <w:rPr>
          <w:i/>
        </w:rPr>
        <w:t>Kreuz przeciwko Polsce</w:t>
      </w:r>
      <w:r w:rsidR="00A9185A">
        <w:t>, skarga nr</w:t>
      </w:r>
      <w:r w:rsidR="00A71CFC">
        <w:t xml:space="preserve"> </w:t>
      </w:r>
      <w:r w:rsidR="00A9185A">
        <w:t>28249/95, §</w:t>
      </w:r>
      <w:r w:rsidR="00A71CFC">
        <w:t xml:space="preserve"> </w:t>
      </w:r>
      <w:r w:rsidR="00A9185A">
        <w:t>53, ETPC</w:t>
      </w:r>
      <w:r w:rsidR="00A71CFC">
        <w:t xml:space="preserve"> </w:t>
      </w:r>
      <w:r w:rsidR="00A9185A">
        <w:t xml:space="preserve">2001-VI; oraz </w:t>
      </w:r>
      <w:r w:rsidR="00A9185A">
        <w:rPr>
          <w:i/>
        </w:rPr>
        <w:t>Podbielski i PPU Polpure przeciwko Polsce</w:t>
      </w:r>
      <w:r w:rsidR="00A9185A">
        <w:t>, skarga nr</w:t>
      </w:r>
      <w:r w:rsidR="0015531C">
        <w:t> </w:t>
      </w:r>
      <w:r w:rsidR="00A9185A">
        <w:t>39199/98, 26</w:t>
      </w:r>
      <w:r w:rsidR="00A71CFC">
        <w:t xml:space="preserve"> </w:t>
      </w:r>
      <w:r w:rsidR="00A9185A">
        <w:t>lipca</w:t>
      </w:r>
      <w:r w:rsidR="00A71CFC">
        <w:t xml:space="preserve"> </w:t>
      </w:r>
      <w:r w:rsidR="00A9185A">
        <w:t>2005</w:t>
      </w:r>
      <w:r w:rsidR="00A71CFC">
        <w:t xml:space="preserve"> </w:t>
      </w:r>
      <w:r w:rsidR="00A9185A">
        <w:t>r.).</w:t>
      </w:r>
    </w:p>
    <w:p w14:paraId="7E9D6813" w14:textId="5F453F72" w:rsidR="00A9185A" w:rsidRPr="00211F57" w:rsidRDefault="00A258CC" w:rsidP="00211F57">
      <w:pPr>
        <w:pStyle w:val="JuPara"/>
      </w:pPr>
      <w:r>
        <w:rPr>
          <w:noProof/>
        </w:rPr>
        <w:t>30</w:t>
      </w:r>
      <w:r w:rsidR="00A9185A">
        <w:t>.</w:t>
      </w:r>
      <w:r w:rsidR="00A71CFC">
        <w:t xml:space="preserve"> </w:t>
      </w:r>
      <w:r w:rsidR="00A9185A">
        <w:t xml:space="preserve">Trybunał musi być zatem </w:t>
      </w:r>
      <w:r w:rsidR="00DB1D52">
        <w:t>przekonany</w:t>
      </w:r>
      <w:r w:rsidR="00A9185A">
        <w:t xml:space="preserve">, że zastosowane ograniczenia nie zawężają </w:t>
      </w:r>
      <w:r w:rsidR="00DB1D52">
        <w:t xml:space="preserve">ani nie </w:t>
      </w:r>
      <w:r w:rsidR="00A9185A">
        <w:t xml:space="preserve">ograniczają dostępu przyznanego jednostce w taki sposób lub do takiego stopnia, że </w:t>
      </w:r>
      <w:r w:rsidR="00662A52">
        <w:t>dochodzi do naruszenia</w:t>
      </w:r>
      <w:r w:rsidR="00964C6C">
        <w:t xml:space="preserve"> samej</w:t>
      </w:r>
      <w:r w:rsidR="00FD3112">
        <w:t xml:space="preserve"> istoty</w:t>
      </w:r>
      <w:r w:rsidR="00A9185A">
        <w:t xml:space="preserve"> tego prawa (zob.</w:t>
      </w:r>
      <w:r w:rsidR="00A71CFC">
        <w:t xml:space="preserve"> </w:t>
      </w:r>
      <w:r w:rsidR="00A9185A">
        <w:rPr>
          <w:i/>
        </w:rPr>
        <w:t>Kreuz przeciwko Polsce</w:t>
      </w:r>
      <w:r w:rsidR="00A9185A">
        <w:t xml:space="preserve">, </w:t>
      </w:r>
      <w:r w:rsidR="00A9185A">
        <w:rPr>
          <w:i/>
          <w:iCs/>
        </w:rPr>
        <w:t>op.</w:t>
      </w:r>
      <w:r w:rsidR="00662A52">
        <w:rPr>
          <w:i/>
          <w:iCs/>
        </w:rPr>
        <w:t xml:space="preserve"> </w:t>
      </w:r>
      <w:r w:rsidR="00A9185A">
        <w:rPr>
          <w:i/>
          <w:iCs/>
        </w:rPr>
        <w:t>cit.</w:t>
      </w:r>
      <w:r w:rsidR="00A9185A">
        <w:t>, §</w:t>
      </w:r>
      <w:r w:rsidR="00A71CFC">
        <w:t xml:space="preserve"> </w:t>
      </w:r>
      <w:r w:rsidR="00A9185A">
        <w:t>58).</w:t>
      </w:r>
    </w:p>
    <w:p w14:paraId="77AEA3B9" w14:textId="4C4D20F4" w:rsidR="00A9185A" w:rsidRPr="00211F57" w:rsidRDefault="00A258CC" w:rsidP="00211F57">
      <w:pPr>
        <w:pStyle w:val="JuPara"/>
      </w:pPr>
      <w:r>
        <w:rPr>
          <w:noProof/>
        </w:rPr>
        <w:t>31</w:t>
      </w:r>
      <w:r w:rsidR="00A9185A">
        <w:t>.</w:t>
      </w:r>
      <w:r w:rsidR="00A71CFC">
        <w:t xml:space="preserve"> </w:t>
      </w:r>
      <w:r w:rsidR="00A9185A">
        <w:t xml:space="preserve">Kwota opłat </w:t>
      </w:r>
      <w:r w:rsidR="004A54E1">
        <w:t xml:space="preserve">oceniana </w:t>
      </w:r>
      <w:r w:rsidR="00A9185A">
        <w:t xml:space="preserve">w świetle okoliczności danej sprawy, włączając w to </w:t>
      </w:r>
      <w:r w:rsidR="006336F4">
        <w:t xml:space="preserve">zdolność skarżącego do </w:t>
      </w:r>
      <w:r w:rsidR="00C516FC">
        <w:t xml:space="preserve">ich </w:t>
      </w:r>
      <w:r w:rsidR="00662A52">
        <w:t>pokrycia</w:t>
      </w:r>
      <w:r w:rsidR="00A9185A">
        <w:t xml:space="preserve">, </w:t>
      </w:r>
      <w:r w:rsidR="00662A52">
        <w:t xml:space="preserve">a także </w:t>
      </w:r>
      <w:r w:rsidR="00A9185A">
        <w:t xml:space="preserve">etap postępowania, na którym </w:t>
      </w:r>
      <w:r w:rsidR="00662A52">
        <w:t>doszło do nałożenia ograniczeń</w:t>
      </w:r>
      <w:r w:rsidR="00A9185A">
        <w:t xml:space="preserve">, stanowią czynniki istotne dla określenia, czy jednostka </w:t>
      </w:r>
      <w:r w:rsidR="004A54E1">
        <w:t>korzystała z prawa</w:t>
      </w:r>
      <w:r w:rsidR="00A9185A">
        <w:t xml:space="preserve"> dostępu do sądu oraz do „rozpatrzenia </w:t>
      </w:r>
      <w:r w:rsidR="004A54E1">
        <w:t>[</w:t>
      </w:r>
      <w:r w:rsidR="00A9185A">
        <w:t>jej</w:t>
      </w:r>
      <w:r w:rsidR="004A54E1">
        <w:t>]</w:t>
      </w:r>
      <w:r w:rsidR="00A9185A">
        <w:t xml:space="preserve"> sprawy </w:t>
      </w:r>
      <w:r w:rsidR="004A54E1">
        <w:t xml:space="preserve">[…] </w:t>
      </w:r>
      <w:r w:rsidR="00A9185A">
        <w:t xml:space="preserve">przez </w:t>
      </w:r>
      <w:r w:rsidR="004A54E1">
        <w:t xml:space="preserve">[…] </w:t>
      </w:r>
      <w:r w:rsidR="00A9185A">
        <w:t>sąd” (</w:t>
      </w:r>
      <w:r w:rsidR="00A9185A">
        <w:rPr>
          <w:i/>
        </w:rPr>
        <w:t>Jedamski i</w:t>
      </w:r>
      <w:r w:rsidR="00C471A9">
        <w:rPr>
          <w:i/>
        </w:rPr>
        <w:t> </w:t>
      </w:r>
      <w:r w:rsidR="00A9185A">
        <w:rPr>
          <w:i/>
        </w:rPr>
        <w:t>Jedamska przeciwko Polsce</w:t>
      </w:r>
      <w:r w:rsidR="00A9185A">
        <w:t>, skarga nr</w:t>
      </w:r>
      <w:r w:rsidR="00A71CFC">
        <w:t xml:space="preserve"> </w:t>
      </w:r>
      <w:r w:rsidR="00A9185A">
        <w:t>73547/01, §</w:t>
      </w:r>
      <w:r w:rsidR="00A71CFC">
        <w:t xml:space="preserve"> </w:t>
      </w:r>
      <w:r w:rsidR="00A9185A">
        <w:t>60, 26</w:t>
      </w:r>
      <w:r w:rsidR="00A71CFC">
        <w:t xml:space="preserve"> </w:t>
      </w:r>
      <w:r w:rsidR="00A9185A">
        <w:t>lipca</w:t>
      </w:r>
      <w:r w:rsidR="00A71CFC">
        <w:t xml:space="preserve"> </w:t>
      </w:r>
      <w:r w:rsidR="00A9185A">
        <w:t>2005</w:t>
      </w:r>
      <w:r w:rsidR="00A71CFC">
        <w:t xml:space="preserve"> </w:t>
      </w:r>
      <w:r w:rsidR="00A9185A">
        <w:t>r.).</w:t>
      </w:r>
    </w:p>
    <w:p w14:paraId="01CBF61C" w14:textId="585F9A33" w:rsidR="00A9185A" w:rsidRPr="00211F57" w:rsidRDefault="00A258CC" w:rsidP="00211F57">
      <w:pPr>
        <w:pStyle w:val="JuPara"/>
      </w:pPr>
      <w:r>
        <w:rPr>
          <w:noProof/>
        </w:rPr>
        <w:lastRenderedPageBreak/>
        <w:t>32</w:t>
      </w:r>
      <w:r w:rsidR="00A9185A">
        <w:t>.</w:t>
      </w:r>
      <w:r w:rsidR="00A71CFC">
        <w:t xml:space="preserve"> </w:t>
      </w:r>
      <w:r w:rsidR="00A9185A">
        <w:t>Trybunał orzek</w:t>
      </w:r>
      <w:r w:rsidR="004A54E1">
        <w:t>a</w:t>
      </w:r>
      <w:r w:rsidR="00A9185A">
        <w:t xml:space="preserve">ł ponadto, że kwestie powiązane z ustaleniem kosztów procesu mogą być istotne dla oceny, czy postępowanie w sprawie cywilnej, postrzeganej </w:t>
      </w:r>
      <w:r w:rsidR="00662A52">
        <w:t xml:space="preserve">w ujęciu </w:t>
      </w:r>
      <w:r w:rsidR="00A9185A">
        <w:t>całościow</w:t>
      </w:r>
      <w:r w:rsidR="00662A52">
        <w:t>ym</w:t>
      </w:r>
      <w:r w:rsidR="00A9185A">
        <w:t xml:space="preserve">, </w:t>
      </w:r>
      <w:r w:rsidR="00662A52">
        <w:t>czyni zadość</w:t>
      </w:r>
      <w:r w:rsidR="00A9185A">
        <w:t xml:space="preserve"> </w:t>
      </w:r>
      <w:r w:rsidR="00662A52">
        <w:t xml:space="preserve">wymogom </w:t>
      </w:r>
      <w:r w:rsidR="004A54E1">
        <w:t xml:space="preserve">rzetelności </w:t>
      </w:r>
      <w:r w:rsidR="00662A52">
        <w:t xml:space="preserve">wynikającym z </w:t>
      </w:r>
      <w:r w:rsidR="00A9185A">
        <w:t>art.</w:t>
      </w:r>
      <w:r w:rsidR="00A71CFC">
        <w:t xml:space="preserve"> </w:t>
      </w:r>
      <w:r w:rsidR="00A9185A">
        <w:t>6 ust.</w:t>
      </w:r>
      <w:r w:rsidR="00A71CFC">
        <w:t xml:space="preserve"> </w:t>
      </w:r>
      <w:r w:rsidR="00A9185A">
        <w:t>1 Konwencji (zob.</w:t>
      </w:r>
      <w:r w:rsidR="00A71CFC">
        <w:t xml:space="preserve"> </w:t>
      </w:r>
      <w:r w:rsidR="00A9185A">
        <w:rPr>
          <w:i/>
        </w:rPr>
        <w:t>mutatis</w:t>
      </w:r>
      <w:r w:rsidR="00A71CFC">
        <w:rPr>
          <w:i/>
        </w:rPr>
        <w:t xml:space="preserve"> </w:t>
      </w:r>
      <w:r w:rsidR="00A9185A">
        <w:rPr>
          <w:i/>
        </w:rPr>
        <w:t>mutandis</w:t>
      </w:r>
      <w:r w:rsidR="00A9185A">
        <w:t xml:space="preserve">, </w:t>
      </w:r>
      <w:r w:rsidR="00A9185A">
        <w:rPr>
          <w:i/>
        </w:rPr>
        <w:t>Robins przeciwko Zjednoczonemu Królestwu</w:t>
      </w:r>
      <w:r w:rsidR="00A9185A">
        <w:t>, 23</w:t>
      </w:r>
      <w:r w:rsidR="00A71CFC">
        <w:t xml:space="preserve"> </w:t>
      </w:r>
      <w:r w:rsidR="00A9185A">
        <w:t>września</w:t>
      </w:r>
      <w:r w:rsidR="00A71CFC">
        <w:t xml:space="preserve"> </w:t>
      </w:r>
      <w:r w:rsidR="00A9185A">
        <w:t>1997</w:t>
      </w:r>
      <w:r w:rsidR="00A71CFC">
        <w:t xml:space="preserve"> </w:t>
      </w:r>
      <w:r w:rsidR="00A9185A">
        <w:t>r., §</w:t>
      </w:r>
      <w:r w:rsidR="00A71CFC">
        <w:t xml:space="preserve"> </w:t>
      </w:r>
      <w:r w:rsidR="00A9185A">
        <w:t>29, Zbiór Wyroków i</w:t>
      </w:r>
      <w:r w:rsidR="00A71CFC">
        <w:t xml:space="preserve"> </w:t>
      </w:r>
      <w:r w:rsidR="00A9185A">
        <w:t>Decyzji</w:t>
      </w:r>
      <w:r w:rsidR="00A71CFC">
        <w:t xml:space="preserve"> </w:t>
      </w:r>
      <w:r w:rsidR="00A9185A">
        <w:t>1997</w:t>
      </w:r>
      <w:r w:rsidR="00A9185A">
        <w:rPr>
          <w:rFonts w:ascii="MS Mincho" w:hAnsi="MS Mincho"/>
        </w:rPr>
        <w:t>‑</w:t>
      </w:r>
      <w:r w:rsidR="00A9185A">
        <w:t xml:space="preserve">V; </w:t>
      </w:r>
      <w:r w:rsidR="00A9185A">
        <w:rPr>
          <w:i/>
        </w:rPr>
        <w:t>Macková przeciwko Słowacji</w:t>
      </w:r>
      <w:r w:rsidR="00A9185A">
        <w:t>, skarga nr</w:t>
      </w:r>
      <w:r w:rsidR="00C471A9">
        <w:t> </w:t>
      </w:r>
      <w:r w:rsidR="00A9185A">
        <w:t>51543/99, §</w:t>
      </w:r>
      <w:r w:rsidR="00A71CFC">
        <w:t xml:space="preserve"> </w:t>
      </w:r>
      <w:r w:rsidR="00A9185A">
        <w:t>55, 29</w:t>
      </w:r>
      <w:r w:rsidR="00A71CFC">
        <w:t xml:space="preserve"> </w:t>
      </w:r>
      <w:r w:rsidR="00A9185A">
        <w:t>marca</w:t>
      </w:r>
      <w:r w:rsidR="00A71CFC">
        <w:t xml:space="preserve"> </w:t>
      </w:r>
      <w:r w:rsidR="00A9185A">
        <w:t>2005</w:t>
      </w:r>
      <w:r w:rsidR="00A71CFC">
        <w:t xml:space="preserve"> </w:t>
      </w:r>
      <w:r w:rsidR="00A9185A">
        <w:t xml:space="preserve">r.; </w:t>
      </w:r>
      <w:r w:rsidR="00A9185A">
        <w:rPr>
          <w:i/>
        </w:rPr>
        <w:t>Stankiewicz przeciwko Polsce</w:t>
      </w:r>
      <w:r w:rsidR="00A9185A">
        <w:t>, skarga nr</w:t>
      </w:r>
      <w:r w:rsidR="00A71CFC">
        <w:t xml:space="preserve"> </w:t>
      </w:r>
      <w:r w:rsidR="00A9185A">
        <w:t>46917/99, §</w:t>
      </w:r>
      <w:r w:rsidR="00A71CFC">
        <w:t xml:space="preserve"> </w:t>
      </w:r>
      <w:r w:rsidR="00A9185A">
        <w:t>60, ETPC</w:t>
      </w:r>
      <w:r w:rsidR="00A71CFC">
        <w:t xml:space="preserve"> </w:t>
      </w:r>
      <w:r w:rsidR="00A9185A">
        <w:t>2006</w:t>
      </w:r>
      <w:r w:rsidR="00A9185A">
        <w:noBreakHyphen/>
        <w:t xml:space="preserve">VI; oraz </w:t>
      </w:r>
      <w:r w:rsidR="00A9185A">
        <w:rPr>
          <w:i/>
        </w:rPr>
        <w:t>Piętka przeciwko Polsce</w:t>
      </w:r>
      <w:r w:rsidR="00A9185A">
        <w:t>, skarga nr</w:t>
      </w:r>
      <w:r w:rsidR="00C471A9">
        <w:t> </w:t>
      </w:r>
      <w:r w:rsidR="00A9185A">
        <w:t>34216/07, §</w:t>
      </w:r>
      <w:r w:rsidR="00A71CFC">
        <w:t xml:space="preserve"> </w:t>
      </w:r>
      <w:r w:rsidR="00A9185A">
        <w:t>58, 16</w:t>
      </w:r>
      <w:r w:rsidR="00A71CFC">
        <w:t xml:space="preserve"> </w:t>
      </w:r>
      <w:r w:rsidR="00A9185A">
        <w:t>października</w:t>
      </w:r>
      <w:r w:rsidR="00A71CFC">
        <w:t xml:space="preserve"> </w:t>
      </w:r>
      <w:r w:rsidR="00A9185A">
        <w:t>2012</w:t>
      </w:r>
      <w:r w:rsidR="00A71CFC">
        <w:t xml:space="preserve"> </w:t>
      </w:r>
      <w:r w:rsidR="00A9185A">
        <w:t>r.).</w:t>
      </w:r>
    </w:p>
    <w:p w14:paraId="08AD3411" w14:textId="5E21885B" w:rsidR="00A9185A" w:rsidRPr="00211F57" w:rsidRDefault="00A258CC" w:rsidP="00211F57">
      <w:pPr>
        <w:pStyle w:val="JuPara"/>
      </w:pPr>
      <w:r>
        <w:rPr>
          <w:noProof/>
        </w:rPr>
        <w:t>33</w:t>
      </w:r>
      <w:r w:rsidR="00A9185A">
        <w:t>.</w:t>
      </w:r>
      <w:r w:rsidR="00A71CFC">
        <w:t xml:space="preserve"> </w:t>
      </w:r>
      <w:r w:rsidR="00662A52">
        <w:t>Wracając na grunt</w:t>
      </w:r>
      <w:r w:rsidR="00A9185A">
        <w:t xml:space="preserve"> nini</w:t>
      </w:r>
      <w:r w:rsidR="004A54E1">
        <w:t>ejszej sprawy, Trybunał zauważa</w:t>
      </w:r>
      <w:r w:rsidR="00A9185A">
        <w:t xml:space="preserve"> w pierwszej kolejności, że oba pozwy cywilne wniesione przez skarżącego-osadzonego dotyczyły ochrony jego dóbr osobistych w związku z warunkami panującymi w dwóch różnych zakładach karnych.</w:t>
      </w:r>
    </w:p>
    <w:p w14:paraId="77B323E0" w14:textId="74CD993B" w:rsidR="00A9185A" w:rsidRPr="00211F57" w:rsidRDefault="00A258CC" w:rsidP="00211F57">
      <w:pPr>
        <w:pStyle w:val="JuPara"/>
      </w:pPr>
      <w:r>
        <w:rPr>
          <w:noProof/>
        </w:rPr>
        <w:t>34</w:t>
      </w:r>
      <w:r w:rsidR="00A9185A">
        <w:t>.</w:t>
      </w:r>
      <w:r w:rsidR="00A71CFC">
        <w:t xml:space="preserve"> </w:t>
      </w:r>
      <w:r w:rsidR="004A54E1">
        <w:t>W pierwszym zaskarżonym postępowaniu</w:t>
      </w:r>
      <w:r w:rsidR="00A9185A">
        <w:t xml:space="preserve"> skarżący dochodził zadośćuczynienia w wysokości około</w:t>
      </w:r>
      <w:r w:rsidR="00A71CFC">
        <w:t xml:space="preserve"> </w:t>
      </w:r>
      <w:r w:rsidR="00A9185A">
        <w:t>2500</w:t>
      </w:r>
      <w:r w:rsidR="00A71CFC">
        <w:t xml:space="preserve"> </w:t>
      </w:r>
      <w:r w:rsidR="00A9185A">
        <w:t xml:space="preserve">EUR. Opłata sądowa, którą był zobowiązany </w:t>
      </w:r>
      <w:r w:rsidR="00662A52">
        <w:t>wnieść</w:t>
      </w:r>
      <w:r w:rsidR="00A9185A">
        <w:t>, została ustalona jako ułam</w:t>
      </w:r>
      <w:r w:rsidR="00662A52">
        <w:t>kowa</w:t>
      </w:r>
      <w:r w:rsidR="00A9185A">
        <w:t xml:space="preserve"> </w:t>
      </w:r>
      <w:r w:rsidR="00662A52">
        <w:t xml:space="preserve">wartość </w:t>
      </w:r>
      <w:r w:rsidR="00A9185A">
        <w:t>roszczenia i</w:t>
      </w:r>
      <w:r w:rsidR="00C471A9">
        <w:t> </w:t>
      </w:r>
      <w:r w:rsidR="00A9185A">
        <w:t>tym samym wyniosła około</w:t>
      </w:r>
      <w:r w:rsidR="00A71CFC">
        <w:t xml:space="preserve"> </w:t>
      </w:r>
      <w:r w:rsidR="00A9185A">
        <w:t>125 EUR.</w:t>
      </w:r>
    </w:p>
    <w:p w14:paraId="2E7445F2" w14:textId="0E7C7542" w:rsidR="00A9185A" w:rsidRPr="00211F57" w:rsidRDefault="00A258CC" w:rsidP="00211F57">
      <w:pPr>
        <w:pStyle w:val="JuPara"/>
      </w:pPr>
      <w:r>
        <w:rPr>
          <w:noProof/>
        </w:rPr>
        <w:t>35</w:t>
      </w:r>
      <w:r w:rsidR="00A9185A">
        <w:t>.</w:t>
      </w:r>
      <w:r w:rsidR="00A71CFC">
        <w:t xml:space="preserve"> </w:t>
      </w:r>
      <w:r w:rsidR="00A9185A">
        <w:t xml:space="preserve">Skarżący przedstawił sądowi krajowemu szczegółowe oświadczenie dotyczące sytuacji materialnej i wniósł o zwolnienie </w:t>
      </w:r>
      <w:r w:rsidR="00662A52">
        <w:t>od kosztów sądowych</w:t>
      </w:r>
      <w:r w:rsidR="00A9185A">
        <w:t xml:space="preserve"> ze względu na udokumentowany status</w:t>
      </w:r>
      <w:r w:rsidR="00662A52">
        <w:t xml:space="preserve"> jako osoby niezamożnej</w:t>
      </w:r>
      <w:r w:rsidR="00A9185A">
        <w:t>.</w:t>
      </w:r>
    </w:p>
    <w:p w14:paraId="3DAC301A" w14:textId="73C5FEC1" w:rsidR="00A9185A" w:rsidRPr="00211F57" w:rsidRDefault="00A258CC" w:rsidP="00211F57">
      <w:pPr>
        <w:pStyle w:val="JuPara"/>
      </w:pPr>
      <w:r>
        <w:rPr>
          <w:noProof/>
        </w:rPr>
        <w:t>36</w:t>
      </w:r>
      <w:r w:rsidR="00A9185A">
        <w:t>.</w:t>
      </w:r>
      <w:r w:rsidR="00A71CFC">
        <w:t xml:space="preserve"> </w:t>
      </w:r>
      <w:r w:rsidR="00A9185A">
        <w:t xml:space="preserve">Sąd krajowy pierwszej instancji </w:t>
      </w:r>
      <w:r w:rsidR="00662A52">
        <w:t>postanowił nie zwalniać</w:t>
      </w:r>
      <w:r w:rsidR="00A9185A">
        <w:t xml:space="preserve"> </w:t>
      </w:r>
      <w:r w:rsidR="00662A52">
        <w:t xml:space="preserve">[skarżącego] </w:t>
      </w:r>
      <w:r w:rsidR="00A9185A">
        <w:t>z</w:t>
      </w:r>
      <w:r w:rsidR="00A71CFC">
        <w:t xml:space="preserve"> </w:t>
      </w:r>
      <w:r w:rsidR="00A9185A">
        <w:t xml:space="preserve">opłaty </w:t>
      </w:r>
      <w:r w:rsidR="00662A52">
        <w:t xml:space="preserve">ani jej nie </w:t>
      </w:r>
      <w:r w:rsidR="00A9185A">
        <w:t>obniż</w:t>
      </w:r>
      <w:r w:rsidR="00662A52">
        <w:t>ać</w:t>
      </w:r>
      <w:r w:rsidR="00A9185A">
        <w:t>, uzasadniając to tym, że opłata ta</w:t>
      </w:r>
      <w:r w:rsidR="00C471A9">
        <w:t> </w:t>
      </w:r>
      <w:r w:rsidR="00A9185A">
        <w:t>była stosunkowo niewielka, a skarżący mógł poczynić oszczędności w</w:t>
      </w:r>
      <w:r w:rsidR="00C471A9">
        <w:t> </w:t>
      </w:r>
      <w:r w:rsidR="00A9185A">
        <w:t xml:space="preserve">czasie, gdy przebywał na wolności. Ostatecznie sąd zwrócił skarżącemu pozew </w:t>
      </w:r>
      <w:r w:rsidR="00662A52">
        <w:t xml:space="preserve">ze względu </w:t>
      </w:r>
      <w:r w:rsidR="00A9185A">
        <w:t xml:space="preserve">na niedokonanie przez niego płatności. </w:t>
      </w:r>
      <w:r w:rsidR="00662A52">
        <w:t xml:space="preserve">Tym samym </w:t>
      </w:r>
      <w:r w:rsidR="004A54E1">
        <w:t xml:space="preserve">powództwo </w:t>
      </w:r>
      <w:r w:rsidR="00A9185A">
        <w:t xml:space="preserve">skarżącego </w:t>
      </w:r>
      <w:r w:rsidR="00662A52">
        <w:t xml:space="preserve">nie </w:t>
      </w:r>
      <w:r w:rsidR="004A54E1">
        <w:t>zostało rozp</w:t>
      </w:r>
      <w:r w:rsidR="00C516FC">
        <w:t>oznane</w:t>
      </w:r>
      <w:r w:rsidR="00A9185A">
        <w:t>.</w:t>
      </w:r>
    </w:p>
    <w:p w14:paraId="11BE3176" w14:textId="0AA38E7A" w:rsidR="00A9185A" w:rsidRPr="00211F57" w:rsidRDefault="00A258CC" w:rsidP="00211F57">
      <w:pPr>
        <w:pStyle w:val="JuPara"/>
      </w:pPr>
      <w:r>
        <w:rPr>
          <w:noProof/>
        </w:rPr>
        <w:t>37</w:t>
      </w:r>
      <w:r w:rsidR="00A9185A">
        <w:t>.</w:t>
      </w:r>
      <w:r w:rsidR="00A71CFC">
        <w:t xml:space="preserve"> </w:t>
      </w:r>
      <w:r w:rsidR="00A9185A">
        <w:t xml:space="preserve">W drugim </w:t>
      </w:r>
      <w:r w:rsidR="004A54E1">
        <w:t xml:space="preserve">zaskarżonym </w:t>
      </w:r>
      <w:r w:rsidR="00A9185A">
        <w:t xml:space="preserve">postępowaniu sąd krajowy </w:t>
      </w:r>
      <w:r w:rsidR="00662A52">
        <w:t xml:space="preserve">rozpoznał </w:t>
      </w:r>
      <w:r w:rsidR="00A9185A">
        <w:t xml:space="preserve">powództwo skarżącego i oddalił je z uwagi na przedawnienie. Sąd ten zwolnił skarżącego </w:t>
      </w:r>
      <w:r w:rsidR="00662A52">
        <w:t>od</w:t>
      </w:r>
      <w:r w:rsidR="00A9185A">
        <w:t xml:space="preserve"> </w:t>
      </w:r>
      <w:r w:rsidR="00662A52">
        <w:t>kosztów sądowych</w:t>
      </w:r>
      <w:r w:rsidR="00A9185A">
        <w:t xml:space="preserve">, ale ostatecznie </w:t>
      </w:r>
      <w:r w:rsidR="00662A52">
        <w:t>obciążył go</w:t>
      </w:r>
      <w:r w:rsidR="00A9185A">
        <w:t xml:space="preserve"> </w:t>
      </w:r>
      <w:r w:rsidR="00662A52">
        <w:t xml:space="preserve">kosztami </w:t>
      </w:r>
      <w:r w:rsidR="00A9185A">
        <w:t>zastępstwa procesowego strony pozwanej, która wygrała sprawę. Koszty te, które zgodnie z prawem zostały obliczone w stosunku do</w:t>
      </w:r>
      <w:r w:rsidR="00C471A9">
        <w:t> </w:t>
      </w:r>
      <w:r w:rsidR="00A9185A">
        <w:t>wartości roszczenia skarżącego, wyniosły około</w:t>
      </w:r>
      <w:r w:rsidR="00A71CFC">
        <w:t xml:space="preserve"> </w:t>
      </w:r>
      <w:r w:rsidR="00A9185A">
        <w:t>900 EUR.</w:t>
      </w:r>
    </w:p>
    <w:p w14:paraId="487C3171" w14:textId="0DCB17F2" w:rsidR="00A9185A" w:rsidRPr="00211F57" w:rsidRDefault="00A258CC" w:rsidP="00211F57">
      <w:pPr>
        <w:pStyle w:val="JuPara"/>
      </w:pPr>
      <w:r>
        <w:rPr>
          <w:noProof/>
        </w:rPr>
        <w:t>38</w:t>
      </w:r>
      <w:r w:rsidR="00A9185A">
        <w:t>.</w:t>
      </w:r>
      <w:r w:rsidR="00A71CFC">
        <w:t xml:space="preserve"> </w:t>
      </w:r>
      <w:r w:rsidR="00A9185A">
        <w:t xml:space="preserve">Trybunał ponownie </w:t>
      </w:r>
      <w:r w:rsidR="00662A52">
        <w:t>podkreśla</w:t>
      </w:r>
      <w:r w:rsidR="00A9185A">
        <w:t xml:space="preserve">, że należy </w:t>
      </w:r>
      <w:r w:rsidR="00662A52">
        <w:t>przyjąć</w:t>
      </w:r>
      <w:r w:rsidR="00A9185A">
        <w:t xml:space="preserve">, iż </w:t>
      </w:r>
      <w:r w:rsidR="004A54E1">
        <w:t xml:space="preserve">roszczenie dochodzone </w:t>
      </w:r>
      <w:r w:rsidR="00A9185A">
        <w:t xml:space="preserve">przed </w:t>
      </w:r>
      <w:r w:rsidR="004A54E1">
        <w:t xml:space="preserve">sądem </w:t>
      </w:r>
      <w:r w:rsidR="00A9185A">
        <w:t xml:space="preserve">jest </w:t>
      </w:r>
      <w:r w:rsidR="00662A52">
        <w:t xml:space="preserve">realne </w:t>
      </w:r>
      <w:r w:rsidR="00A9185A">
        <w:t xml:space="preserve">i poważne, o ile brak jest jasnych przesłanek wskazujących na to, iż </w:t>
      </w:r>
      <w:r w:rsidR="004A54E1">
        <w:t xml:space="preserve">roszczenie </w:t>
      </w:r>
      <w:r w:rsidR="00A9185A">
        <w:t xml:space="preserve">jest </w:t>
      </w:r>
      <w:r w:rsidR="004B05F7">
        <w:t xml:space="preserve">bezzasadne </w:t>
      </w:r>
      <w:r w:rsidR="00A9185A">
        <w:t xml:space="preserve">lub </w:t>
      </w:r>
      <w:r w:rsidR="004B05F7">
        <w:t xml:space="preserve">zostało </w:t>
      </w:r>
      <w:r w:rsidR="00A9185A">
        <w:t>wniesione w złej wierze</w:t>
      </w:r>
      <w:r w:rsidR="00CF6959">
        <w:t>,</w:t>
      </w:r>
      <w:r w:rsidR="00C516FC">
        <w:t xml:space="preserve"> lub z innej przyczyny jest </w:t>
      </w:r>
      <w:r w:rsidR="00A9185A">
        <w:t>bezpodstawne (zob.</w:t>
      </w:r>
      <w:r w:rsidR="00A71CFC">
        <w:t xml:space="preserve"> </w:t>
      </w:r>
      <w:r w:rsidR="00A9185A">
        <w:rPr>
          <w:i/>
        </w:rPr>
        <w:t>Rolf</w:t>
      </w:r>
      <w:r w:rsidR="00A71CFC">
        <w:rPr>
          <w:i/>
        </w:rPr>
        <w:t xml:space="preserve"> </w:t>
      </w:r>
      <w:r w:rsidR="00A9185A">
        <w:rPr>
          <w:i/>
        </w:rPr>
        <w:t>Gustafson przeciwko Szwecji</w:t>
      </w:r>
      <w:r w:rsidR="00A9185A">
        <w:t>, wyrok z dnia</w:t>
      </w:r>
      <w:r w:rsidR="00A71CFC">
        <w:t xml:space="preserve"> </w:t>
      </w:r>
      <w:r w:rsidR="00A9185A">
        <w:t>1</w:t>
      </w:r>
      <w:r w:rsidR="00A71CFC">
        <w:t xml:space="preserve"> </w:t>
      </w:r>
      <w:r w:rsidR="00A9185A">
        <w:t>lipca</w:t>
      </w:r>
      <w:r w:rsidR="00A71CFC">
        <w:t xml:space="preserve"> </w:t>
      </w:r>
      <w:r w:rsidR="00A9185A">
        <w:t>1997</w:t>
      </w:r>
      <w:r w:rsidR="00A71CFC">
        <w:t xml:space="preserve"> </w:t>
      </w:r>
      <w:r w:rsidR="00A9185A">
        <w:t>r., Zbiór Wyroków i Decyzji</w:t>
      </w:r>
      <w:r w:rsidR="00A71CFC">
        <w:t xml:space="preserve"> </w:t>
      </w:r>
      <w:r w:rsidR="00A9185A">
        <w:t>1997-IV, §</w:t>
      </w:r>
      <w:r w:rsidR="00A71CFC">
        <w:t xml:space="preserve"> </w:t>
      </w:r>
      <w:r w:rsidR="00A9185A">
        <w:t>38).</w:t>
      </w:r>
    </w:p>
    <w:p w14:paraId="6431F506" w14:textId="470FEE02" w:rsidR="00625C86" w:rsidRDefault="00A258CC" w:rsidP="00211F57">
      <w:pPr>
        <w:pStyle w:val="JuPara"/>
      </w:pPr>
      <w:r>
        <w:rPr>
          <w:noProof/>
        </w:rPr>
        <w:t>39</w:t>
      </w:r>
      <w:r w:rsidR="00A9185A">
        <w:t>.</w:t>
      </w:r>
      <w:r w:rsidR="00A71CFC">
        <w:t xml:space="preserve"> </w:t>
      </w:r>
      <w:r w:rsidR="00A9185A">
        <w:t xml:space="preserve">W odniesieniu do pierwszego </w:t>
      </w:r>
      <w:r w:rsidR="004A54E1">
        <w:t>zaskarżonego postępowania Trybunał stwierdza</w:t>
      </w:r>
      <w:r w:rsidR="00A9185A">
        <w:t xml:space="preserve">, że spór </w:t>
      </w:r>
      <w:r w:rsidR="004A54E1">
        <w:t xml:space="preserve">będący jego przedmiotem </w:t>
      </w:r>
      <w:r w:rsidR="00A9185A">
        <w:t>był „autentyczny i poważny” w</w:t>
      </w:r>
      <w:r w:rsidR="00C471A9">
        <w:t> </w:t>
      </w:r>
      <w:r w:rsidR="00A9185A">
        <w:t>rozumieniu orzecznictwa Trybunału (zob.</w:t>
      </w:r>
      <w:r w:rsidR="00A71CFC">
        <w:t xml:space="preserve"> </w:t>
      </w:r>
      <w:r w:rsidR="00A9185A">
        <w:rPr>
          <w:i/>
        </w:rPr>
        <w:t>Kaukonen</w:t>
      </w:r>
      <w:r w:rsidR="00A9185A">
        <w:rPr>
          <w:i/>
          <w:iCs/>
        </w:rPr>
        <w:t xml:space="preserve"> przeciwko Finlandii</w:t>
      </w:r>
      <w:r w:rsidR="00A9185A">
        <w:t>, skarga nr</w:t>
      </w:r>
      <w:r w:rsidR="00A71CFC">
        <w:t xml:space="preserve"> </w:t>
      </w:r>
      <w:r w:rsidR="00A9185A">
        <w:t>24738/94, Decyzja Komisji z dnia</w:t>
      </w:r>
      <w:r w:rsidR="00A71CFC">
        <w:t xml:space="preserve"> </w:t>
      </w:r>
      <w:r w:rsidR="00A9185A">
        <w:t>8</w:t>
      </w:r>
      <w:r w:rsidR="00A71CFC">
        <w:t xml:space="preserve"> </w:t>
      </w:r>
      <w:r w:rsidR="00A9185A">
        <w:t>grudnia</w:t>
      </w:r>
      <w:r w:rsidR="00A71CFC">
        <w:t xml:space="preserve"> </w:t>
      </w:r>
      <w:r w:rsidR="00A9185A">
        <w:t>1997</w:t>
      </w:r>
      <w:r w:rsidR="00A71CFC">
        <w:t xml:space="preserve"> </w:t>
      </w:r>
      <w:r w:rsidR="00625C86">
        <w:t>r.).</w:t>
      </w:r>
    </w:p>
    <w:p w14:paraId="08A545E9" w14:textId="3563CA4D" w:rsidR="00A9185A" w:rsidRPr="00211F57" w:rsidRDefault="00625C86" w:rsidP="00211F57">
      <w:pPr>
        <w:pStyle w:val="JuPara"/>
      </w:pPr>
      <w:r>
        <w:t>4</w:t>
      </w:r>
      <w:r w:rsidR="00A258CC">
        <w:rPr>
          <w:noProof/>
        </w:rPr>
        <w:t>0</w:t>
      </w:r>
      <w:r w:rsidR="00A9185A">
        <w:t>.</w:t>
      </w:r>
      <w:r w:rsidR="00A71CFC">
        <w:t xml:space="preserve"> </w:t>
      </w:r>
      <w:r w:rsidR="00A9185A">
        <w:t xml:space="preserve">Ze względu na wagę </w:t>
      </w:r>
      <w:r w:rsidR="004B05F7">
        <w:t xml:space="preserve">zarzutów </w:t>
      </w:r>
      <w:r w:rsidR="00A9185A">
        <w:t xml:space="preserve">skarżącego i czas trwania zarzucanego cierpienia jego roszczenie o zadośćuczynienie nie wydaje się być znacznie </w:t>
      </w:r>
      <w:r w:rsidR="00A9185A">
        <w:lastRenderedPageBreak/>
        <w:t>przesadzone i nierzeczywiste (por.</w:t>
      </w:r>
      <w:r w:rsidR="00A71CFC">
        <w:t xml:space="preserve"> </w:t>
      </w:r>
      <w:r w:rsidR="00A9185A">
        <w:rPr>
          <w:i/>
        </w:rPr>
        <w:t xml:space="preserve">Zelcer </w:t>
      </w:r>
      <w:r w:rsidR="00A9185A">
        <w:rPr>
          <w:i/>
          <w:iCs/>
        </w:rPr>
        <w:t>przeciwko Polsce</w:t>
      </w:r>
      <w:r w:rsidR="00A9185A">
        <w:t xml:space="preserve"> (dec.), skarga nr</w:t>
      </w:r>
      <w:r w:rsidR="00C471A9">
        <w:t> </w:t>
      </w:r>
      <w:r w:rsidR="00A9185A">
        <w:t>38774/05, 5</w:t>
      </w:r>
      <w:r w:rsidR="00A71CFC">
        <w:t xml:space="preserve"> </w:t>
      </w:r>
      <w:r w:rsidR="00A9185A">
        <w:t>lipca</w:t>
      </w:r>
      <w:r w:rsidR="00A71CFC">
        <w:t xml:space="preserve"> </w:t>
      </w:r>
      <w:r w:rsidR="00A9185A">
        <w:t>2011</w:t>
      </w:r>
      <w:r w:rsidR="00A71CFC">
        <w:t xml:space="preserve"> </w:t>
      </w:r>
      <w:r w:rsidR="00A9185A">
        <w:t xml:space="preserve">r. oraz, </w:t>
      </w:r>
      <w:r w:rsidR="00A9185A">
        <w:rPr>
          <w:i/>
        </w:rPr>
        <w:t>mutatis mutandis</w:t>
      </w:r>
      <w:r w:rsidR="00A9185A">
        <w:t>,</w:t>
      </w:r>
      <w:r w:rsidR="00A9185A">
        <w:rPr>
          <w:i/>
        </w:rPr>
        <w:t xml:space="preserve"> Kupiec </w:t>
      </w:r>
      <w:r w:rsidR="00A9185A">
        <w:rPr>
          <w:i/>
          <w:iCs/>
        </w:rPr>
        <w:t>przeciwko Polsce</w:t>
      </w:r>
      <w:r w:rsidR="00A9185A">
        <w:t>, skarga nr</w:t>
      </w:r>
      <w:r w:rsidR="00A71CFC">
        <w:t xml:space="preserve"> </w:t>
      </w:r>
      <w:r w:rsidR="00A9185A">
        <w:t>16828/02, §§</w:t>
      </w:r>
      <w:r w:rsidR="00A71CFC">
        <w:t xml:space="preserve"> </w:t>
      </w:r>
      <w:r w:rsidR="00A9185A">
        <w:t>6 i</w:t>
      </w:r>
      <w:r w:rsidR="00A71CFC">
        <w:t xml:space="preserve"> </w:t>
      </w:r>
      <w:r w:rsidR="00A9185A">
        <w:t>47, 3</w:t>
      </w:r>
      <w:r w:rsidR="00A71CFC">
        <w:t xml:space="preserve"> </w:t>
      </w:r>
      <w:r w:rsidR="00A9185A">
        <w:t>lutego</w:t>
      </w:r>
      <w:r w:rsidR="00A71CFC">
        <w:t xml:space="preserve"> </w:t>
      </w:r>
      <w:r w:rsidR="00A9185A">
        <w:t>2009</w:t>
      </w:r>
      <w:r w:rsidR="00A71CFC">
        <w:t xml:space="preserve"> </w:t>
      </w:r>
      <w:r w:rsidR="00A9185A">
        <w:t>r.).</w:t>
      </w:r>
    </w:p>
    <w:p w14:paraId="4777ADFF" w14:textId="7BB8165F" w:rsidR="00A9185A" w:rsidRPr="00211F57" w:rsidRDefault="00A258CC" w:rsidP="00211F57">
      <w:pPr>
        <w:pStyle w:val="JuPara"/>
      </w:pPr>
      <w:r>
        <w:rPr>
          <w:noProof/>
        </w:rPr>
        <w:t>41</w:t>
      </w:r>
      <w:r w:rsidR="00A9185A">
        <w:t>.</w:t>
      </w:r>
      <w:r w:rsidR="00A71CFC">
        <w:t xml:space="preserve"> </w:t>
      </w:r>
      <w:r w:rsidR="00A9185A">
        <w:t xml:space="preserve">(Nie)zdolność osadzonego-skarżącego do </w:t>
      </w:r>
      <w:r w:rsidR="004B05F7">
        <w:t xml:space="preserve">wniesienia </w:t>
      </w:r>
      <w:r w:rsidR="00A9185A">
        <w:t xml:space="preserve">opłaty sądowej w pierwszym </w:t>
      </w:r>
      <w:r w:rsidR="006336F4">
        <w:t>zaskarżonym</w:t>
      </w:r>
      <w:r w:rsidR="00A9185A">
        <w:t xml:space="preserve"> postępowaniu nie została oceniona w świetle jego rzeczywistej sytuacji materialnej, lecz jedynie w oparciu o</w:t>
      </w:r>
      <w:r w:rsidR="00C471A9">
        <w:t> </w:t>
      </w:r>
      <w:r w:rsidR="00A9185A">
        <w:t>hipotetyczne przypuszczenie, że gdy przebywał on na wolności</w:t>
      </w:r>
      <w:r w:rsidR="00FC1A1E">
        <w:t>,</w:t>
      </w:r>
      <w:r w:rsidR="00A9185A">
        <w:t xml:space="preserve"> mógł i</w:t>
      </w:r>
      <w:r w:rsidR="00C471A9">
        <w:t> </w:t>
      </w:r>
      <w:r w:rsidR="00A9185A">
        <w:t>powinien był być w stanie poczynić oszczędności w celu przygotowania powództwa przeciwko zakładowi karnemu (zob.</w:t>
      </w:r>
      <w:r w:rsidR="00A71CFC">
        <w:t xml:space="preserve"> </w:t>
      </w:r>
      <w:r w:rsidR="00A9185A">
        <w:rPr>
          <w:i/>
        </w:rPr>
        <w:t>mutatis mutandis</w:t>
      </w:r>
      <w:r w:rsidR="00A9185A">
        <w:t xml:space="preserve">, </w:t>
      </w:r>
      <w:r w:rsidR="00A9185A">
        <w:rPr>
          <w:i/>
        </w:rPr>
        <w:t>Jedamski i Jedamska,</w:t>
      </w:r>
      <w:r w:rsidR="00A9185A">
        <w:t xml:space="preserve"> </w:t>
      </w:r>
      <w:r w:rsidR="00A9185A">
        <w:rPr>
          <w:i/>
          <w:iCs/>
        </w:rPr>
        <w:t>op.</w:t>
      </w:r>
      <w:r w:rsidR="00A71CFC">
        <w:rPr>
          <w:i/>
          <w:iCs/>
        </w:rPr>
        <w:t xml:space="preserve"> </w:t>
      </w:r>
      <w:r w:rsidR="00A9185A">
        <w:rPr>
          <w:i/>
          <w:iCs/>
        </w:rPr>
        <w:t>cit.</w:t>
      </w:r>
      <w:r w:rsidR="00A9185A">
        <w:t>, §§</w:t>
      </w:r>
      <w:r w:rsidR="00A71CFC">
        <w:t xml:space="preserve"> </w:t>
      </w:r>
      <w:r w:rsidR="00A9185A">
        <w:t>62 i</w:t>
      </w:r>
      <w:r w:rsidR="00A71CFC">
        <w:t xml:space="preserve"> </w:t>
      </w:r>
      <w:r w:rsidR="00A9185A">
        <w:t>63). Rzeczywista i bezsporna niepewna sytuacja skarżącego, wynikająca z braku godnego zatrudnienia w</w:t>
      </w:r>
      <w:r w:rsidR="00C471A9">
        <w:t> </w:t>
      </w:r>
      <w:r w:rsidR="00A9185A">
        <w:t xml:space="preserve">czasie, gdy przebywał on na wolności, co </w:t>
      </w:r>
      <w:r w:rsidR="004B05F7">
        <w:t xml:space="preserve">– </w:t>
      </w:r>
      <w:r w:rsidR="00A9185A">
        <w:t xml:space="preserve">zdaniem Trybunału </w:t>
      </w:r>
      <w:r w:rsidR="004B05F7">
        <w:t xml:space="preserve">– można </w:t>
      </w:r>
      <w:r w:rsidR="00A9185A">
        <w:t>zgodnie z twierdzeniem skarżącego</w:t>
      </w:r>
      <w:r w:rsidR="004B05F7">
        <w:t xml:space="preserve"> uzasadniać</w:t>
      </w:r>
      <w:r w:rsidR="00A9185A">
        <w:t xml:space="preserve"> jego karalnością, nie została w ogóle uwzględniona przez sąd krajowy.</w:t>
      </w:r>
    </w:p>
    <w:p w14:paraId="555AEBDF" w14:textId="310BDCA8" w:rsidR="00A9185A" w:rsidRPr="00211F57" w:rsidRDefault="00A258CC" w:rsidP="00211F57">
      <w:pPr>
        <w:pStyle w:val="JuPara"/>
      </w:pPr>
      <w:r>
        <w:rPr>
          <w:noProof/>
        </w:rPr>
        <w:t>42</w:t>
      </w:r>
      <w:r w:rsidR="00A9185A">
        <w:t>.</w:t>
      </w:r>
      <w:r w:rsidR="00A71CFC">
        <w:t xml:space="preserve"> </w:t>
      </w:r>
      <w:r w:rsidR="00A9185A">
        <w:t>Co więcej sąd krajowy mógł</w:t>
      </w:r>
      <w:r w:rsidR="004B05F7">
        <w:t xml:space="preserve"> </w:t>
      </w:r>
      <w:r w:rsidR="00A9185A">
        <w:t xml:space="preserve">przyznać częściowe zwolnienie </w:t>
      </w:r>
      <w:r w:rsidR="004B05F7">
        <w:t>od</w:t>
      </w:r>
      <w:r w:rsidR="00C471A9">
        <w:t> </w:t>
      </w:r>
      <w:r w:rsidR="004B05F7">
        <w:t xml:space="preserve">kosztów </w:t>
      </w:r>
      <w:r w:rsidR="00A9185A">
        <w:t>sądow</w:t>
      </w:r>
      <w:r w:rsidR="004B05F7">
        <w:t>ych, czego postanowił nie czynić</w:t>
      </w:r>
      <w:r w:rsidR="00A9185A">
        <w:t xml:space="preserve"> (por.</w:t>
      </w:r>
      <w:r w:rsidR="00A71CFC">
        <w:t xml:space="preserve"> </w:t>
      </w:r>
      <w:r w:rsidR="00A9185A">
        <w:rPr>
          <w:i/>
        </w:rPr>
        <w:t>Buczek przeciwko Polsce</w:t>
      </w:r>
      <w:r w:rsidR="00A9185A">
        <w:rPr>
          <w:snapToGrid w:val="0"/>
        </w:rPr>
        <w:t>, skarga nr</w:t>
      </w:r>
      <w:r w:rsidR="00A71CFC">
        <w:rPr>
          <w:snapToGrid w:val="0"/>
        </w:rPr>
        <w:t xml:space="preserve"> </w:t>
      </w:r>
      <w:r w:rsidR="00A9185A">
        <w:t>31667/12</w:t>
      </w:r>
      <w:r w:rsidR="00A9185A">
        <w:rPr>
          <w:snapToGrid w:val="0"/>
        </w:rPr>
        <w:t>, §</w:t>
      </w:r>
      <w:r w:rsidR="00A71CFC">
        <w:rPr>
          <w:snapToGrid w:val="0"/>
        </w:rPr>
        <w:t xml:space="preserve"> </w:t>
      </w:r>
      <w:r w:rsidR="00A9185A">
        <w:rPr>
          <w:snapToGrid w:val="0"/>
        </w:rPr>
        <w:t>29, 14</w:t>
      </w:r>
      <w:r w:rsidR="00A71CFC">
        <w:rPr>
          <w:snapToGrid w:val="0"/>
        </w:rPr>
        <w:t xml:space="preserve"> </w:t>
      </w:r>
      <w:r w:rsidR="00A9185A">
        <w:rPr>
          <w:snapToGrid w:val="0"/>
        </w:rPr>
        <w:t>czerwca</w:t>
      </w:r>
      <w:r w:rsidR="00A71CFC">
        <w:rPr>
          <w:snapToGrid w:val="0"/>
        </w:rPr>
        <w:t xml:space="preserve"> </w:t>
      </w:r>
      <w:r w:rsidR="00A9185A">
        <w:rPr>
          <w:snapToGrid w:val="0"/>
        </w:rPr>
        <w:t>2016</w:t>
      </w:r>
      <w:r w:rsidR="00A71CFC">
        <w:rPr>
          <w:snapToGrid w:val="0"/>
        </w:rPr>
        <w:t xml:space="preserve"> </w:t>
      </w:r>
      <w:r w:rsidR="00A9185A">
        <w:rPr>
          <w:snapToGrid w:val="0"/>
        </w:rPr>
        <w:t xml:space="preserve">r., oraz </w:t>
      </w:r>
      <w:r w:rsidR="00A9185A">
        <w:rPr>
          <w:i/>
        </w:rPr>
        <w:t>Grabowski przeciwko Polsce</w:t>
      </w:r>
      <w:r w:rsidR="00A9185A">
        <w:rPr>
          <w:snapToGrid w:val="0"/>
        </w:rPr>
        <w:t>, skarga nr</w:t>
      </w:r>
      <w:r w:rsidR="00A71CFC">
        <w:rPr>
          <w:snapToGrid w:val="0"/>
        </w:rPr>
        <w:t xml:space="preserve"> </w:t>
      </w:r>
      <w:r w:rsidR="00A9185A">
        <w:t>57722/12</w:t>
      </w:r>
      <w:r w:rsidR="00A9185A">
        <w:rPr>
          <w:snapToGrid w:val="0"/>
        </w:rPr>
        <w:t>, §</w:t>
      </w:r>
      <w:r w:rsidR="00A71CFC">
        <w:rPr>
          <w:snapToGrid w:val="0"/>
        </w:rPr>
        <w:t xml:space="preserve"> </w:t>
      </w:r>
      <w:r w:rsidR="00A9185A">
        <w:rPr>
          <w:snapToGrid w:val="0"/>
        </w:rPr>
        <w:t>31, 30</w:t>
      </w:r>
      <w:r w:rsidR="00A71CFC">
        <w:rPr>
          <w:snapToGrid w:val="0"/>
        </w:rPr>
        <w:t xml:space="preserve"> </w:t>
      </w:r>
      <w:r w:rsidR="00A9185A">
        <w:rPr>
          <w:snapToGrid w:val="0"/>
        </w:rPr>
        <w:t>czerwca</w:t>
      </w:r>
      <w:r w:rsidR="00A71CFC">
        <w:rPr>
          <w:snapToGrid w:val="0"/>
        </w:rPr>
        <w:t xml:space="preserve"> </w:t>
      </w:r>
      <w:r w:rsidR="00A9185A">
        <w:rPr>
          <w:snapToGrid w:val="0"/>
        </w:rPr>
        <w:t>2015</w:t>
      </w:r>
      <w:r w:rsidR="00A71CFC">
        <w:rPr>
          <w:snapToGrid w:val="0"/>
        </w:rPr>
        <w:t xml:space="preserve"> </w:t>
      </w:r>
      <w:r w:rsidR="00A9185A">
        <w:rPr>
          <w:snapToGrid w:val="0"/>
        </w:rPr>
        <w:t>r.).</w:t>
      </w:r>
    </w:p>
    <w:p w14:paraId="1C17BADB" w14:textId="2312B183" w:rsidR="00A9185A" w:rsidRPr="00211F57" w:rsidRDefault="00A258CC" w:rsidP="00211F57">
      <w:pPr>
        <w:pStyle w:val="JuPara"/>
      </w:pPr>
      <w:r w:rsidRPr="007C037E">
        <w:rPr>
          <w:noProof/>
        </w:rPr>
        <w:t>43</w:t>
      </w:r>
      <w:r w:rsidR="00A9185A" w:rsidRPr="007C037E">
        <w:t>.</w:t>
      </w:r>
      <w:r w:rsidR="00A71CFC">
        <w:t xml:space="preserve"> </w:t>
      </w:r>
      <w:r w:rsidR="00A9185A" w:rsidRPr="007C037E">
        <w:t>Inną ważną cechą rozpatrywanej sprawy jest fakt, że w tym samym czasie inny sąd cywilny (zob.</w:t>
      </w:r>
      <w:r w:rsidR="00A71CFC">
        <w:t xml:space="preserve"> </w:t>
      </w:r>
      <w:r w:rsidR="00A9185A" w:rsidRPr="007C037E">
        <w:t xml:space="preserve">drugie </w:t>
      </w:r>
      <w:r w:rsidR="00FC1A1E">
        <w:t>zaskarżone</w:t>
      </w:r>
      <w:r w:rsidR="00A9185A" w:rsidRPr="007C037E">
        <w:t xml:space="preserve"> postępowanie) uznał skarżącego </w:t>
      </w:r>
      <w:r w:rsidR="007C037E">
        <w:t xml:space="preserve">za osobę niezamożną </w:t>
      </w:r>
      <w:r w:rsidR="00A9185A" w:rsidRPr="007C037E">
        <w:t xml:space="preserve">i </w:t>
      </w:r>
      <w:r w:rsidR="007C037E">
        <w:t>zwolnił go</w:t>
      </w:r>
      <w:r w:rsidR="00A9185A" w:rsidRPr="007C037E">
        <w:t xml:space="preserve"> </w:t>
      </w:r>
      <w:r w:rsidR="007C037E">
        <w:t>od kosztów</w:t>
      </w:r>
      <w:r w:rsidR="00A9185A" w:rsidRPr="007C037E">
        <w:t xml:space="preserve"> sądowych </w:t>
      </w:r>
      <w:r w:rsidR="007C037E">
        <w:t>w</w:t>
      </w:r>
      <w:r w:rsidR="00C471A9">
        <w:t> </w:t>
      </w:r>
      <w:r w:rsidR="007C037E">
        <w:t xml:space="preserve">całości </w:t>
      </w:r>
      <w:r w:rsidR="00A9185A" w:rsidRPr="007C037E">
        <w:t>(zob.</w:t>
      </w:r>
      <w:r w:rsidR="00A71CFC">
        <w:t xml:space="preserve"> </w:t>
      </w:r>
      <w:r w:rsidR="00A9185A" w:rsidRPr="007C037E">
        <w:t>par.</w:t>
      </w:r>
      <w:r w:rsidR="00A71CFC">
        <w:t xml:space="preserve"> </w:t>
      </w:r>
      <w:r w:rsidR="00FC1A1E">
        <w:t>8 powyżej</w:t>
      </w:r>
      <w:r w:rsidR="00A9185A" w:rsidRPr="007C037E">
        <w:t>; por.</w:t>
      </w:r>
      <w:r w:rsidR="00A71CFC">
        <w:t xml:space="preserve"> </w:t>
      </w:r>
      <w:r w:rsidR="00A9185A" w:rsidRPr="007C037E">
        <w:rPr>
          <w:i/>
        </w:rPr>
        <w:t>mutatis mutandis</w:t>
      </w:r>
      <w:r w:rsidR="00A9185A" w:rsidRPr="007C037E">
        <w:t xml:space="preserve"> </w:t>
      </w:r>
      <w:r w:rsidR="00A9185A" w:rsidRPr="007C037E">
        <w:rPr>
          <w:i/>
        </w:rPr>
        <w:t xml:space="preserve">Wersel </w:t>
      </w:r>
      <w:r w:rsidR="00A9185A" w:rsidRPr="007C037E">
        <w:rPr>
          <w:i/>
          <w:iCs/>
        </w:rPr>
        <w:t>przeciwko Polsce</w:t>
      </w:r>
      <w:r w:rsidR="00A9185A" w:rsidRPr="007C037E">
        <w:t>, skarga nr</w:t>
      </w:r>
      <w:r w:rsidR="00A71CFC">
        <w:t xml:space="preserve"> </w:t>
      </w:r>
      <w:r w:rsidR="00A9185A" w:rsidRPr="007C037E">
        <w:t>30358/04, §</w:t>
      </w:r>
      <w:r w:rsidR="00A71CFC">
        <w:t xml:space="preserve"> </w:t>
      </w:r>
      <w:r w:rsidR="00A9185A" w:rsidRPr="007C037E">
        <w:t>46, 13</w:t>
      </w:r>
      <w:r w:rsidR="00A71CFC">
        <w:t xml:space="preserve"> </w:t>
      </w:r>
      <w:r w:rsidR="00A9185A" w:rsidRPr="007C037E">
        <w:t>września</w:t>
      </w:r>
      <w:r w:rsidR="00A71CFC">
        <w:t xml:space="preserve"> </w:t>
      </w:r>
      <w:r w:rsidR="00A9185A" w:rsidRPr="007C037E">
        <w:t>2011</w:t>
      </w:r>
      <w:r w:rsidR="00A71CFC">
        <w:t xml:space="preserve"> </w:t>
      </w:r>
      <w:r w:rsidR="00A9185A" w:rsidRPr="007C037E">
        <w:t>r.).</w:t>
      </w:r>
    </w:p>
    <w:p w14:paraId="55682C2A" w14:textId="43625816" w:rsidR="00A9185A" w:rsidRPr="00211F57" w:rsidRDefault="00A258CC" w:rsidP="00211F57">
      <w:pPr>
        <w:pStyle w:val="JuPara"/>
      </w:pPr>
      <w:r>
        <w:rPr>
          <w:noProof/>
        </w:rPr>
        <w:t>44</w:t>
      </w:r>
      <w:r w:rsidR="00A9185A">
        <w:t>.</w:t>
      </w:r>
      <w:r w:rsidR="00A71CFC">
        <w:t xml:space="preserve"> </w:t>
      </w:r>
      <w:r w:rsidR="00A9185A">
        <w:t>Wreszcie Trybunał zauważ</w:t>
      </w:r>
      <w:r w:rsidR="00FC1A1E">
        <w:t>a</w:t>
      </w:r>
      <w:r w:rsidR="00A9185A">
        <w:t xml:space="preserve">, że odmowa zwolnienia </w:t>
      </w:r>
      <w:r w:rsidR="007C037E">
        <w:t>od</w:t>
      </w:r>
      <w:r w:rsidR="00A9185A">
        <w:t xml:space="preserve"> </w:t>
      </w:r>
      <w:r w:rsidR="007C037E">
        <w:t xml:space="preserve">kosztów sądowych </w:t>
      </w:r>
      <w:r w:rsidR="00A9185A">
        <w:t xml:space="preserve">nastąpiła przed sądem pierwszej instancji i </w:t>
      </w:r>
      <w:r w:rsidR="00FC1A1E">
        <w:t>skutkowała tym, że</w:t>
      </w:r>
      <w:r w:rsidR="00C471A9">
        <w:t> </w:t>
      </w:r>
      <w:r w:rsidR="00FC1A1E">
        <w:t>powództw</w:t>
      </w:r>
      <w:r w:rsidR="00C471A9">
        <w:t>o</w:t>
      </w:r>
      <w:r w:rsidR="00FC1A1E">
        <w:t xml:space="preserve"> skarżącego nie zostało rozp</w:t>
      </w:r>
      <w:r w:rsidR="00C516FC">
        <w:t>oznane</w:t>
      </w:r>
      <w:r w:rsidR="00FC1A1E">
        <w:t xml:space="preserve"> przez sąd </w:t>
      </w:r>
      <w:r w:rsidR="00A9185A">
        <w:t>(por.</w:t>
      </w:r>
      <w:r w:rsidR="00C471A9">
        <w:t> </w:t>
      </w:r>
      <w:r w:rsidR="00A9185A">
        <w:rPr>
          <w:i/>
        </w:rPr>
        <w:t>mutatis</w:t>
      </w:r>
      <w:r w:rsidR="00C471A9">
        <w:rPr>
          <w:i/>
        </w:rPr>
        <w:t> </w:t>
      </w:r>
      <w:r w:rsidR="00A9185A">
        <w:rPr>
          <w:i/>
        </w:rPr>
        <w:t>mutandis</w:t>
      </w:r>
      <w:r w:rsidR="00A9185A">
        <w:t xml:space="preserve">, </w:t>
      </w:r>
      <w:r w:rsidR="00A9185A">
        <w:rPr>
          <w:i/>
        </w:rPr>
        <w:t xml:space="preserve">Zelcer </w:t>
      </w:r>
      <w:r w:rsidR="00A9185A">
        <w:rPr>
          <w:i/>
          <w:iCs/>
        </w:rPr>
        <w:t>przeciwko Polsce</w:t>
      </w:r>
      <w:r w:rsidR="00A9185A">
        <w:t xml:space="preserve"> (dec.), skarga nr</w:t>
      </w:r>
      <w:r w:rsidR="00A71CFC">
        <w:t xml:space="preserve"> </w:t>
      </w:r>
      <w:r w:rsidR="00A9185A">
        <w:t>38774/05, 5</w:t>
      </w:r>
      <w:r w:rsidR="00A71CFC">
        <w:t xml:space="preserve"> </w:t>
      </w:r>
      <w:r w:rsidR="00A9185A">
        <w:t>lipca</w:t>
      </w:r>
      <w:r w:rsidR="00A71CFC">
        <w:t xml:space="preserve"> </w:t>
      </w:r>
      <w:r w:rsidR="00A9185A">
        <w:t>2011</w:t>
      </w:r>
      <w:r w:rsidR="00A71CFC">
        <w:t xml:space="preserve"> </w:t>
      </w:r>
      <w:r w:rsidR="00A9185A">
        <w:t>r.).</w:t>
      </w:r>
    </w:p>
    <w:p w14:paraId="18732179" w14:textId="6A8695D8" w:rsidR="00A9185A" w:rsidRPr="00211F57" w:rsidRDefault="00A258CC" w:rsidP="00211F57">
      <w:pPr>
        <w:pStyle w:val="JuPara"/>
      </w:pPr>
      <w:r>
        <w:rPr>
          <w:noProof/>
        </w:rPr>
        <w:t>45</w:t>
      </w:r>
      <w:r w:rsidR="00A9185A">
        <w:t>.</w:t>
      </w:r>
      <w:r w:rsidR="00A71CFC">
        <w:t xml:space="preserve"> </w:t>
      </w:r>
      <w:r w:rsidR="00A9185A">
        <w:t xml:space="preserve">Co się tyczy drugiego </w:t>
      </w:r>
      <w:r w:rsidR="00FC1A1E">
        <w:t>zaskarżonego postępowania Trybunał zauważa</w:t>
      </w:r>
      <w:r w:rsidR="00A9185A">
        <w:t xml:space="preserve">, że </w:t>
      </w:r>
      <w:r w:rsidR="00023059">
        <w:t xml:space="preserve">przedmiotem sporu nie jest tu </w:t>
      </w:r>
      <w:r w:rsidR="00A9185A">
        <w:t xml:space="preserve">opłata sądowa </w:t>
      </w:r>
      <w:r w:rsidR="00023059">
        <w:t xml:space="preserve">czy </w:t>
      </w:r>
      <w:r w:rsidR="00A9185A">
        <w:t>dostęp skarżącego do sądu</w:t>
      </w:r>
      <w:r w:rsidR="00FC1A1E">
        <w:t xml:space="preserve"> jako taki</w:t>
      </w:r>
      <w:r w:rsidR="00A9185A">
        <w:t>. Trybunał po raz kolejny przypomina jednak, że mogą również zaistnieć sytuacje, w których kwestie powiązane z</w:t>
      </w:r>
      <w:r w:rsidR="00C471A9">
        <w:t> </w:t>
      </w:r>
      <w:r w:rsidR="00A9185A">
        <w:t>ustaleniem kosztów procesu lub kosztów sądowych mogą być istotne dla</w:t>
      </w:r>
      <w:r w:rsidR="00C471A9">
        <w:t> </w:t>
      </w:r>
      <w:r w:rsidR="00A9185A">
        <w:t xml:space="preserve">oceny, czy postępowanie </w:t>
      </w:r>
      <w:r w:rsidR="00FC1A1E">
        <w:t>w sprawie cywilnej, postrzegane</w:t>
      </w:r>
      <w:r w:rsidR="00A9185A">
        <w:t xml:space="preserve"> całościowo, </w:t>
      </w:r>
      <w:r w:rsidR="00023059">
        <w:t>czyni zadość</w:t>
      </w:r>
      <w:r w:rsidR="00A9185A">
        <w:t xml:space="preserve"> </w:t>
      </w:r>
      <w:r w:rsidR="00023059">
        <w:t xml:space="preserve">wymogom </w:t>
      </w:r>
      <w:r w:rsidR="00A9185A">
        <w:t>[</w:t>
      </w:r>
      <w:r w:rsidR="00FC1A1E">
        <w:t xml:space="preserve">rzetelności </w:t>
      </w:r>
      <w:r w:rsidR="00A9185A">
        <w:t>w</w:t>
      </w:r>
      <w:r w:rsidR="00023059">
        <w:t>ynikającym z</w:t>
      </w:r>
      <w:r w:rsidR="00A9185A">
        <w:t>] art.</w:t>
      </w:r>
      <w:r w:rsidR="00A71CFC">
        <w:t xml:space="preserve"> </w:t>
      </w:r>
      <w:r w:rsidR="00A9185A">
        <w:t>6 ust.</w:t>
      </w:r>
      <w:r w:rsidR="00A71CFC">
        <w:t xml:space="preserve"> </w:t>
      </w:r>
      <w:r w:rsidR="00A9185A">
        <w:t>1 Konwencji (zob.</w:t>
      </w:r>
      <w:r w:rsidR="00A71CFC">
        <w:t xml:space="preserve"> </w:t>
      </w:r>
      <w:r w:rsidR="00A9185A">
        <w:t>par.</w:t>
      </w:r>
      <w:r w:rsidR="00A71CFC">
        <w:t xml:space="preserve"> </w:t>
      </w:r>
      <w:r w:rsidR="00A9185A">
        <w:t>31 i</w:t>
      </w:r>
      <w:r w:rsidR="00A71CFC">
        <w:t xml:space="preserve"> </w:t>
      </w:r>
      <w:r w:rsidR="00A9185A">
        <w:t xml:space="preserve">32 powyżej; oraz </w:t>
      </w:r>
      <w:r w:rsidR="00A9185A">
        <w:rPr>
          <w:i/>
        </w:rPr>
        <w:t>mutatis mutandis</w:t>
      </w:r>
      <w:r w:rsidR="00A9185A">
        <w:t xml:space="preserve">, </w:t>
      </w:r>
      <w:r w:rsidR="00A9185A">
        <w:rPr>
          <w:i/>
        </w:rPr>
        <w:t xml:space="preserve">Piętka, </w:t>
      </w:r>
      <w:r w:rsidR="00A9185A">
        <w:rPr>
          <w:i/>
          <w:iCs/>
        </w:rPr>
        <w:t>op.</w:t>
      </w:r>
      <w:r w:rsidR="00A71CFC">
        <w:rPr>
          <w:i/>
          <w:iCs/>
        </w:rPr>
        <w:t xml:space="preserve"> </w:t>
      </w:r>
      <w:r w:rsidR="00A9185A">
        <w:rPr>
          <w:i/>
          <w:iCs/>
        </w:rPr>
        <w:t>cit.</w:t>
      </w:r>
      <w:r w:rsidR="00A9185A">
        <w:t>, §</w:t>
      </w:r>
      <w:r w:rsidR="00A71CFC">
        <w:t xml:space="preserve"> </w:t>
      </w:r>
      <w:r w:rsidR="00A9185A">
        <w:t>58).</w:t>
      </w:r>
    </w:p>
    <w:p w14:paraId="13D7ED1C" w14:textId="5F7459E3" w:rsidR="00A9185A" w:rsidRPr="00211F57" w:rsidRDefault="00A258CC" w:rsidP="00211F57">
      <w:pPr>
        <w:pStyle w:val="JuPara"/>
      </w:pPr>
      <w:r>
        <w:rPr>
          <w:noProof/>
        </w:rPr>
        <w:t>46</w:t>
      </w:r>
      <w:r w:rsidR="00A9185A">
        <w:t>.</w:t>
      </w:r>
      <w:r w:rsidR="00A71CFC">
        <w:t xml:space="preserve"> </w:t>
      </w:r>
      <w:r w:rsidR="00FC1A1E">
        <w:t>Trybunał uznaje</w:t>
      </w:r>
      <w:r w:rsidR="00A9185A">
        <w:t>, że zasada odpowiedzialności finansowej za</w:t>
      </w:r>
      <w:r w:rsidR="00C471A9">
        <w:t> </w:t>
      </w:r>
      <w:r w:rsidR="00A9185A">
        <w:t xml:space="preserve">wytoczenie bezskutecznego powództwa cywilnego, innymi słowy, wymagająca od powoda poniesienia kosztów procesu strony pozwanej, która wygrała sprawę, nie jest sama w sobie sprzeczna z zasadami równości, sprawiedliwości i ogólnej sprawiedliwości. Trybunał </w:t>
      </w:r>
      <w:r w:rsidR="00023059">
        <w:t>podziela również stanowisko</w:t>
      </w:r>
      <w:r w:rsidR="00A9185A">
        <w:t xml:space="preserve"> polski</w:t>
      </w:r>
      <w:r w:rsidR="00023059">
        <w:t>ego</w:t>
      </w:r>
      <w:r w:rsidR="00A9185A">
        <w:t xml:space="preserve"> </w:t>
      </w:r>
      <w:r w:rsidR="00023059">
        <w:t xml:space="preserve">Trybunału </w:t>
      </w:r>
      <w:r w:rsidR="00A9185A">
        <w:t>Konstytucyjn</w:t>
      </w:r>
      <w:r w:rsidR="00023059">
        <w:t>ego</w:t>
      </w:r>
      <w:r w:rsidR="00A9185A">
        <w:t xml:space="preserve">, </w:t>
      </w:r>
      <w:r w:rsidR="00023059">
        <w:t xml:space="preserve">zgodnie z którym </w:t>
      </w:r>
      <w:r w:rsidR="00A9185A">
        <w:t xml:space="preserve">zwolnienie </w:t>
      </w:r>
      <w:r w:rsidR="00023059">
        <w:t>od kosztów</w:t>
      </w:r>
      <w:r w:rsidR="00A9185A">
        <w:t xml:space="preserve"> sądowych nie musi wywoływać bezwzględnego skutku w postaci pozbawienia strony wygrywającej możliwości uzyskania </w:t>
      </w:r>
      <w:r w:rsidR="00A9185A">
        <w:lastRenderedPageBreak/>
        <w:t xml:space="preserve">zwrotu poniesionych kosztów. Takie uregulowanie mogłoby </w:t>
      </w:r>
      <w:r w:rsidR="00023059">
        <w:t>bowiem</w:t>
      </w:r>
      <w:r w:rsidR="00A9185A">
        <w:t xml:space="preserve"> prowadzić do naruszenia praw strony wygrywającej, wynikających z art.</w:t>
      </w:r>
      <w:r w:rsidR="00A71CFC">
        <w:t xml:space="preserve"> </w:t>
      </w:r>
      <w:r w:rsidR="00A9185A">
        <w:t>6 (zob.</w:t>
      </w:r>
      <w:r w:rsidR="00A71CFC">
        <w:t xml:space="preserve"> </w:t>
      </w:r>
      <w:r w:rsidR="00A9185A">
        <w:rPr>
          <w:i/>
        </w:rPr>
        <w:t>mutatis mutandis</w:t>
      </w:r>
      <w:r w:rsidR="00A9185A">
        <w:t xml:space="preserve">, </w:t>
      </w:r>
      <w:r w:rsidR="00A9185A">
        <w:rPr>
          <w:i/>
        </w:rPr>
        <w:t>Stankiewicz,</w:t>
      </w:r>
      <w:r w:rsidR="00A9185A">
        <w:t xml:space="preserve"> </w:t>
      </w:r>
      <w:r w:rsidR="00A9185A">
        <w:rPr>
          <w:i/>
          <w:iCs/>
        </w:rPr>
        <w:t>op.</w:t>
      </w:r>
      <w:r w:rsidR="00A71CFC">
        <w:rPr>
          <w:i/>
          <w:iCs/>
        </w:rPr>
        <w:t xml:space="preserve"> </w:t>
      </w:r>
      <w:r w:rsidR="00A9185A">
        <w:rPr>
          <w:i/>
          <w:iCs/>
        </w:rPr>
        <w:t>cit.</w:t>
      </w:r>
      <w:r w:rsidR="00A9185A">
        <w:t xml:space="preserve">). Wreszcie Trybunał </w:t>
      </w:r>
      <w:r w:rsidR="00FC1A1E">
        <w:t xml:space="preserve">odnotowuje </w:t>
      </w:r>
      <w:r w:rsidR="00A9185A">
        <w:t xml:space="preserve">istnienie ram prawnych, które przewidują możliwość sądowego obniżenia lub zwolnienia </w:t>
      </w:r>
      <w:r w:rsidR="00023059">
        <w:t>od</w:t>
      </w:r>
      <w:r w:rsidR="00A9185A">
        <w:t xml:space="preserve"> takich kosztów procesu, biorąc pod uwagę zachowanie stron, charakter postępowania lub względy społeczne.</w:t>
      </w:r>
    </w:p>
    <w:p w14:paraId="5DB00FF4" w14:textId="7E5E8114" w:rsidR="00A9185A" w:rsidRPr="00211F57" w:rsidRDefault="00A258CC" w:rsidP="00211F57">
      <w:pPr>
        <w:pStyle w:val="JuPara"/>
      </w:pPr>
      <w:r>
        <w:rPr>
          <w:noProof/>
        </w:rPr>
        <w:t>47</w:t>
      </w:r>
      <w:r w:rsidR="00A9185A">
        <w:t>.</w:t>
      </w:r>
      <w:r w:rsidR="00A71CFC">
        <w:t xml:space="preserve"> </w:t>
      </w:r>
      <w:r w:rsidR="00A9185A">
        <w:t>Ponadto, przechodząc do okoliczności faktycznych niniejszej sprawy, Trybunał nie może kwestionować sposobu, w jaki te ramy prawne zostały zastosowane, a mianowicie wniosku sądu krajowego, zgodnie z którym status materialny skarżącego nie stanowił „</w:t>
      </w:r>
      <w:r w:rsidR="00FC1A1E">
        <w:t>szczególnie uzasadnionego wypadku</w:t>
      </w:r>
      <w:r w:rsidR="00A9185A">
        <w:t>” w rozumieniu art.</w:t>
      </w:r>
      <w:r w:rsidR="00A71CFC">
        <w:t xml:space="preserve"> </w:t>
      </w:r>
      <w:r w:rsidR="00A9185A">
        <w:t xml:space="preserve">102 k.p.c. i nie </w:t>
      </w:r>
      <w:r w:rsidR="00C516FC">
        <w:t xml:space="preserve">pociągał za sobą </w:t>
      </w:r>
      <w:r w:rsidR="00A9185A">
        <w:t>zwolnie</w:t>
      </w:r>
      <w:r w:rsidR="00C516FC">
        <w:t>nia</w:t>
      </w:r>
      <w:r w:rsidR="00A9185A">
        <w:t xml:space="preserve"> z</w:t>
      </w:r>
      <w:r w:rsidR="00C471A9">
        <w:t> </w:t>
      </w:r>
      <w:r w:rsidR="00A9185A">
        <w:t>obowiązku zwrotu kosztów procesu stron</w:t>
      </w:r>
      <w:r w:rsidR="00FC1A1E">
        <w:t>ie</w:t>
      </w:r>
      <w:r w:rsidR="00A9185A">
        <w:t xml:space="preserve"> wygrywającej.</w:t>
      </w:r>
    </w:p>
    <w:p w14:paraId="4660FA1A" w14:textId="251EC002" w:rsidR="00A9185A" w:rsidRPr="00211F57" w:rsidRDefault="00A258CC" w:rsidP="00211F57">
      <w:pPr>
        <w:pStyle w:val="JuPara"/>
        <w:rPr>
          <w:noProof/>
        </w:rPr>
      </w:pPr>
      <w:r>
        <w:rPr>
          <w:noProof/>
        </w:rPr>
        <w:t>48</w:t>
      </w:r>
      <w:r w:rsidR="00A9185A">
        <w:t>.</w:t>
      </w:r>
      <w:r w:rsidR="00A71CFC">
        <w:t xml:space="preserve"> </w:t>
      </w:r>
      <w:r w:rsidR="00A9185A">
        <w:t>Trybunał ma poważne wątpliwości co do tego, czy przedmiotowy spór był „</w:t>
      </w:r>
      <w:r w:rsidR="00023059">
        <w:t xml:space="preserve">realny </w:t>
      </w:r>
      <w:r w:rsidR="00A9185A">
        <w:t xml:space="preserve">i poważny”, ponieważ powództwo skarżącego było </w:t>
      </w:r>
      <w:r w:rsidR="00023059">
        <w:t>bez</w:t>
      </w:r>
      <w:r w:rsidR="00C471A9">
        <w:t> </w:t>
      </w:r>
      <w:r w:rsidR="00023059">
        <w:t xml:space="preserve">wątpienia </w:t>
      </w:r>
      <w:r w:rsidR="00A9185A">
        <w:t>przedawnione. Ponadto opłata nałożona na skarżącego nie</w:t>
      </w:r>
      <w:r w:rsidR="00C471A9">
        <w:t> </w:t>
      </w:r>
      <w:r w:rsidR="00A9185A">
        <w:t>była nieproporcjonalna, ponieważ miała na celu zniechęcenie go do</w:t>
      </w:r>
      <w:r w:rsidR="00C471A9">
        <w:t> </w:t>
      </w:r>
      <w:r w:rsidR="00A9185A">
        <w:t xml:space="preserve">wytoczenia kolejnego </w:t>
      </w:r>
      <w:r w:rsidR="00023059">
        <w:t xml:space="preserve">bezpodstawnego </w:t>
      </w:r>
      <w:r w:rsidR="00A9185A">
        <w:t>powództwa.</w:t>
      </w:r>
    </w:p>
    <w:p w14:paraId="116797F5" w14:textId="0CB78E71" w:rsidR="00A9185A" w:rsidRPr="00211F57" w:rsidRDefault="00A258CC" w:rsidP="00211F57">
      <w:pPr>
        <w:pStyle w:val="JuPara"/>
      </w:pPr>
      <w:r>
        <w:rPr>
          <w:noProof/>
        </w:rPr>
        <w:t>49</w:t>
      </w:r>
      <w:r w:rsidR="00A9185A">
        <w:t>.</w:t>
      </w:r>
      <w:r w:rsidR="00A71CFC">
        <w:t xml:space="preserve"> </w:t>
      </w:r>
      <w:r w:rsidR="00964C6C">
        <w:t xml:space="preserve">W sumie </w:t>
      </w:r>
      <w:r w:rsidR="00A9185A">
        <w:t xml:space="preserve">Trybunał uważa, że chociaż skarżący mógł </w:t>
      </w:r>
      <w:r w:rsidR="0080255F">
        <w:t>w sposób uprawniony</w:t>
      </w:r>
      <w:r w:rsidR="00A9185A">
        <w:t xml:space="preserve"> </w:t>
      </w:r>
      <w:r w:rsidR="00023059">
        <w:t>liczyć na</w:t>
      </w:r>
      <w:r w:rsidR="00314804">
        <w:t xml:space="preserve"> </w:t>
      </w:r>
      <w:r w:rsidR="00023059">
        <w:t xml:space="preserve">zwolnienie od kosztów </w:t>
      </w:r>
      <w:r w:rsidR="00A9185A">
        <w:t>sądow</w:t>
      </w:r>
      <w:r w:rsidR="00023059">
        <w:t>ych</w:t>
      </w:r>
      <w:r w:rsidR="00314804">
        <w:t xml:space="preserve">, przynajmniej częściowe, </w:t>
      </w:r>
      <w:r w:rsidR="00A9185A">
        <w:t xml:space="preserve">w pierwszym </w:t>
      </w:r>
      <w:r w:rsidR="00964C6C">
        <w:t xml:space="preserve">zaskarżonym </w:t>
      </w:r>
      <w:r w:rsidR="00A9185A">
        <w:t>postępowaniu (por.</w:t>
      </w:r>
      <w:r w:rsidR="00A71CFC">
        <w:t xml:space="preserve"> </w:t>
      </w:r>
      <w:r w:rsidR="00A9185A">
        <w:rPr>
          <w:i/>
        </w:rPr>
        <w:t>mutatis mutandis</w:t>
      </w:r>
      <w:r w:rsidR="00A9185A">
        <w:t xml:space="preserve">, </w:t>
      </w:r>
      <w:r w:rsidR="00A9185A">
        <w:rPr>
          <w:i/>
        </w:rPr>
        <w:t>Kupiec</w:t>
      </w:r>
      <w:r w:rsidR="00A9185A">
        <w:t xml:space="preserve">, </w:t>
      </w:r>
      <w:r w:rsidR="00A9185A">
        <w:rPr>
          <w:i/>
          <w:iCs/>
        </w:rPr>
        <w:t>op.</w:t>
      </w:r>
      <w:r w:rsidR="00A71CFC">
        <w:rPr>
          <w:i/>
          <w:iCs/>
        </w:rPr>
        <w:t xml:space="preserve"> </w:t>
      </w:r>
      <w:r w:rsidR="00A9185A">
        <w:rPr>
          <w:i/>
          <w:iCs/>
        </w:rPr>
        <w:t>cit.</w:t>
      </w:r>
      <w:r w:rsidR="00A9185A">
        <w:t>, §</w:t>
      </w:r>
      <w:r w:rsidR="00A71CFC">
        <w:t xml:space="preserve"> </w:t>
      </w:r>
      <w:r w:rsidR="00A9185A">
        <w:t xml:space="preserve">47; </w:t>
      </w:r>
      <w:r w:rsidR="00A9185A">
        <w:rPr>
          <w:i/>
        </w:rPr>
        <w:t>Rylski przeciwko Polsce</w:t>
      </w:r>
      <w:r w:rsidR="00A9185A">
        <w:t>, skarga nr</w:t>
      </w:r>
      <w:r w:rsidR="0015531C">
        <w:t> </w:t>
      </w:r>
      <w:r w:rsidR="00A9185A">
        <w:t>24706/02, §</w:t>
      </w:r>
      <w:r w:rsidR="00A71CFC">
        <w:t xml:space="preserve"> </w:t>
      </w:r>
      <w:r w:rsidR="00A9185A">
        <w:t>84, 4</w:t>
      </w:r>
      <w:r w:rsidR="00C471A9">
        <w:t> </w:t>
      </w:r>
      <w:r w:rsidR="00A9185A">
        <w:t>lipca</w:t>
      </w:r>
      <w:r w:rsidR="00A71CFC">
        <w:t xml:space="preserve"> </w:t>
      </w:r>
      <w:r w:rsidR="00A9185A">
        <w:t>2006</w:t>
      </w:r>
      <w:r w:rsidR="00A71CFC">
        <w:t xml:space="preserve"> </w:t>
      </w:r>
      <w:r w:rsidR="00A9185A">
        <w:t xml:space="preserve">r.; oraz </w:t>
      </w:r>
      <w:r w:rsidR="00A9185A">
        <w:rPr>
          <w:i/>
        </w:rPr>
        <w:t>Kuczera przeciwko Polsce, skarga nr</w:t>
      </w:r>
      <w:r w:rsidR="00A71CFC">
        <w:t xml:space="preserve"> </w:t>
      </w:r>
      <w:r w:rsidR="00A9185A">
        <w:t>275/02, §</w:t>
      </w:r>
      <w:r w:rsidR="00A71CFC">
        <w:t xml:space="preserve"> </w:t>
      </w:r>
      <w:r w:rsidR="00A9185A">
        <w:t>45, 14</w:t>
      </w:r>
      <w:r w:rsidR="00C471A9">
        <w:t> </w:t>
      </w:r>
      <w:r w:rsidR="00A9185A">
        <w:t>września</w:t>
      </w:r>
      <w:r w:rsidR="00A71CFC">
        <w:t xml:space="preserve"> </w:t>
      </w:r>
      <w:r w:rsidR="00A9185A">
        <w:t>2010</w:t>
      </w:r>
      <w:r w:rsidR="00A71CFC">
        <w:t xml:space="preserve"> </w:t>
      </w:r>
      <w:r w:rsidR="00A9185A">
        <w:t>r.)</w:t>
      </w:r>
      <w:r w:rsidR="00023059">
        <w:t>, to</w:t>
      </w:r>
      <w:r w:rsidR="00A9185A">
        <w:t xml:space="preserve"> sytuacja przedstawia się </w:t>
      </w:r>
      <w:r w:rsidR="00023059">
        <w:t xml:space="preserve">zgoła odmiennie </w:t>
      </w:r>
      <w:r w:rsidR="00A9185A">
        <w:t>w</w:t>
      </w:r>
      <w:r w:rsidR="00C471A9">
        <w:t> </w:t>
      </w:r>
      <w:r w:rsidR="00A9185A">
        <w:t>odniesieniu do wymogu zwrotu kosztów procesu stron</w:t>
      </w:r>
      <w:r w:rsidR="00964C6C">
        <w:t>ie</w:t>
      </w:r>
      <w:r w:rsidR="00A9185A">
        <w:t xml:space="preserve"> wygrywającej w</w:t>
      </w:r>
      <w:r w:rsidR="00C471A9">
        <w:t> </w:t>
      </w:r>
      <w:r w:rsidR="00A9185A">
        <w:t xml:space="preserve">drugim </w:t>
      </w:r>
      <w:r w:rsidR="00964C6C">
        <w:t>zaskarżo</w:t>
      </w:r>
      <w:r w:rsidR="00A9185A">
        <w:t>nym postępowaniu. Trybunał uznaje zatem, że</w:t>
      </w:r>
      <w:r w:rsidR="00C471A9">
        <w:t> </w:t>
      </w:r>
      <w:r w:rsidR="00A9185A">
        <w:t>orzeczenie sądu krajowego w pierwszym postępowaniu stanowiło ograniczenie, które naruszało samą istotę prawa dostępu skarżącego do</w:t>
      </w:r>
      <w:r w:rsidR="00C471A9">
        <w:t> </w:t>
      </w:r>
      <w:r w:rsidR="00A9185A">
        <w:t>sądu.</w:t>
      </w:r>
    </w:p>
    <w:p w14:paraId="4E3D43AE" w14:textId="2D063F62" w:rsidR="00A9185A" w:rsidRPr="00211F57" w:rsidRDefault="00A258CC" w:rsidP="00211F57">
      <w:pPr>
        <w:pStyle w:val="JuPara"/>
      </w:pPr>
      <w:r>
        <w:rPr>
          <w:noProof/>
        </w:rPr>
        <w:t>50</w:t>
      </w:r>
      <w:r w:rsidR="00A9185A">
        <w:t>.</w:t>
      </w:r>
      <w:r w:rsidR="00A71CFC">
        <w:t xml:space="preserve"> </w:t>
      </w:r>
      <w:r w:rsidR="00A9185A">
        <w:t>Na tej podstawie doszło zatem do naruszenia art.</w:t>
      </w:r>
      <w:r w:rsidR="00A71CFC">
        <w:t xml:space="preserve"> </w:t>
      </w:r>
      <w:r w:rsidR="00A9185A">
        <w:t>6 Konwencji.</w:t>
      </w:r>
    </w:p>
    <w:p w14:paraId="1F5A5476" w14:textId="63BA4AF2" w:rsidR="00A9185A" w:rsidRPr="00211F57" w:rsidRDefault="00A9185A" w:rsidP="00211F57">
      <w:pPr>
        <w:pStyle w:val="JuHIRoman"/>
      </w:pPr>
      <w:r>
        <w:t>ZASTOSOWANIE ART.</w:t>
      </w:r>
      <w:r w:rsidR="00A71CFC">
        <w:t xml:space="preserve"> </w:t>
      </w:r>
      <w:r>
        <w:t>41 KONWENCJI</w:t>
      </w:r>
    </w:p>
    <w:p w14:paraId="6766FC12" w14:textId="586C972B" w:rsidR="00A9185A" w:rsidRPr="00211F57" w:rsidRDefault="00A258CC" w:rsidP="00211F57">
      <w:pPr>
        <w:pStyle w:val="JuPara"/>
      </w:pPr>
      <w:r>
        <w:rPr>
          <w:noProof/>
        </w:rPr>
        <w:t>51</w:t>
      </w:r>
      <w:r w:rsidR="00A9185A">
        <w:t>.</w:t>
      </w:r>
      <w:r w:rsidR="00A71CFC">
        <w:t xml:space="preserve"> </w:t>
      </w:r>
      <w:r w:rsidR="00A9185A">
        <w:t>Art.</w:t>
      </w:r>
      <w:r w:rsidR="00A71CFC">
        <w:t xml:space="preserve"> </w:t>
      </w:r>
      <w:r w:rsidR="00A9185A">
        <w:t>41 Konwencji stanowi:</w:t>
      </w:r>
    </w:p>
    <w:p w14:paraId="74E12A22" w14:textId="77777777" w:rsidR="00A9185A" w:rsidRPr="00211F57" w:rsidRDefault="00A9185A" w:rsidP="00211F57">
      <w:pPr>
        <w:pStyle w:val="JuQuot"/>
        <w:keepNext/>
        <w:keepLines/>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7D1A5442" w14:textId="77777777" w:rsidR="00A9185A" w:rsidRPr="00211F57" w:rsidRDefault="00A9185A" w:rsidP="00211F57">
      <w:pPr>
        <w:pStyle w:val="JuHA"/>
      </w:pPr>
      <w:r>
        <w:t>Szkoda</w:t>
      </w:r>
    </w:p>
    <w:p w14:paraId="761F5631" w14:textId="50D3010C" w:rsidR="00A9185A" w:rsidRPr="00211F57" w:rsidRDefault="00A258CC" w:rsidP="00211F57">
      <w:pPr>
        <w:pStyle w:val="JuPara"/>
      </w:pPr>
      <w:r>
        <w:rPr>
          <w:noProof/>
        </w:rPr>
        <w:t>52</w:t>
      </w:r>
      <w:r w:rsidR="00A9185A">
        <w:t>.</w:t>
      </w:r>
      <w:r w:rsidR="00A71CFC">
        <w:t xml:space="preserve"> </w:t>
      </w:r>
      <w:r w:rsidR="00A9185A">
        <w:t>Skarżący dochodził kwoty</w:t>
      </w:r>
      <w:r w:rsidR="00A71CFC">
        <w:t xml:space="preserve"> </w:t>
      </w:r>
      <w:r w:rsidR="00A9185A">
        <w:t>22</w:t>
      </w:r>
      <w:r w:rsidR="00A71CFC">
        <w:t xml:space="preserve"> </w:t>
      </w:r>
      <w:r w:rsidR="00A9185A">
        <w:t xml:space="preserve">500 euro (EUR) tytułem zadośćuczynienia </w:t>
      </w:r>
      <w:r w:rsidR="00964C6C">
        <w:t>za szkodę majątkową, obejmującą</w:t>
      </w:r>
      <w:r w:rsidR="00A9185A">
        <w:t xml:space="preserve"> koszty jego leczenia psychologicznego, których nie udokumentował.</w:t>
      </w:r>
    </w:p>
    <w:p w14:paraId="2B3A9D7F" w14:textId="49DC0FDC" w:rsidR="00A9185A" w:rsidRPr="00211F57" w:rsidRDefault="00A258CC" w:rsidP="00211F57">
      <w:pPr>
        <w:pStyle w:val="JuPara"/>
      </w:pPr>
      <w:r>
        <w:rPr>
          <w:noProof/>
        </w:rPr>
        <w:lastRenderedPageBreak/>
        <w:t>53</w:t>
      </w:r>
      <w:r w:rsidR="00A9185A">
        <w:t>.</w:t>
      </w:r>
      <w:r w:rsidR="00A71CFC">
        <w:t xml:space="preserve"> </w:t>
      </w:r>
      <w:r w:rsidR="00A9185A">
        <w:t>Rząd podniósł, że żądania skarżącego o słuszne zadośćuczynienie były nieuzasadnione. W szczególności nie udokumentowano kosztów leczenia psychologicznego.</w:t>
      </w:r>
    </w:p>
    <w:p w14:paraId="02B8E92E" w14:textId="1A4A9DC6" w:rsidR="00A9185A" w:rsidRPr="00211F57" w:rsidRDefault="00A258CC" w:rsidP="00211F57">
      <w:pPr>
        <w:pStyle w:val="JuPara"/>
      </w:pPr>
      <w:r>
        <w:rPr>
          <w:noProof/>
        </w:rPr>
        <w:t>54</w:t>
      </w:r>
      <w:r w:rsidR="00A9185A">
        <w:t>.</w:t>
      </w:r>
      <w:r w:rsidR="00A71CFC">
        <w:t xml:space="preserve"> </w:t>
      </w:r>
      <w:r w:rsidR="00964C6C">
        <w:t>Trybunał zauważa</w:t>
      </w:r>
      <w:r w:rsidR="00A9185A">
        <w:t>, że koszty opieki psychologicznej, których domagał się skarżący, są nieudokumentowane. Wobec tego nie mogą być one brane pod uwagę przy ocenie przez Trybunał w zakresie przyznania zadośćuczynienia za szkodę majątkową. Trybunał od</w:t>
      </w:r>
      <w:r w:rsidR="00964C6C">
        <w:t>dala</w:t>
      </w:r>
      <w:r w:rsidR="00A9185A">
        <w:t xml:space="preserve"> zatem roszczenie skarżącego o zadośćuczynienie za szkodę majątkową. Z drugiej strony przyznaje skarżącemu żądaną kwotę 1250</w:t>
      </w:r>
      <w:r w:rsidR="00A71CFC">
        <w:t xml:space="preserve"> </w:t>
      </w:r>
      <w:r w:rsidR="00A9185A">
        <w:t>EUR tytułem zadośćuczynienia za szkodę niemajątkową powiększoną o podatek należny od tej kwoty.</w:t>
      </w:r>
    </w:p>
    <w:p w14:paraId="0AD64D99" w14:textId="77777777" w:rsidR="00A9185A" w:rsidRPr="00211F57" w:rsidRDefault="00A9185A" w:rsidP="00211F57">
      <w:pPr>
        <w:pStyle w:val="JuHA"/>
      </w:pPr>
      <w:r>
        <w:t>Koszty i wydatki</w:t>
      </w:r>
    </w:p>
    <w:p w14:paraId="5A6BAFCA" w14:textId="3CF513F4" w:rsidR="00A9185A" w:rsidRPr="00211F57" w:rsidRDefault="00A258CC" w:rsidP="00211F57">
      <w:pPr>
        <w:pStyle w:val="JuPara"/>
        <w:rPr>
          <w:noProof/>
        </w:rPr>
      </w:pPr>
      <w:r>
        <w:rPr>
          <w:noProof/>
        </w:rPr>
        <w:t>55</w:t>
      </w:r>
      <w:r w:rsidR="00A9185A">
        <w:t>.</w:t>
      </w:r>
      <w:r w:rsidR="00A71CFC">
        <w:t xml:space="preserve"> </w:t>
      </w:r>
      <w:r w:rsidR="00A9185A">
        <w:t>Skarżący dochodził również kwoty</w:t>
      </w:r>
      <w:r w:rsidR="00A71CFC">
        <w:t xml:space="preserve"> </w:t>
      </w:r>
      <w:r w:rsidR="00A9185A">
        <w:t xml:space="preserve">975 EUR tytułem </w:t>
      </w:r>
      <w:r w:rsidR="00023059">
        <w:t xml:space="preserve">zwrotu </w:t>
      </w:r>
      <w:r w:rsidR="00A9185A">
        <w:t xml:space="preserve">kosztów i wydatków poniesionych w postępowaniu przed Trybunałem, obejmujących koszty tłumaczeń, </w:t>
      </w:r>
      <w:r w:rsidR="00023059">
        <w:t xml:space="preserve">wynagrodzenie </w:t>
      </w:r>
      <w:r w:rsidR="00A9185A">
        <w:t>pełnomocnika skarżącego oraz koszty korespondencji. Do roszczenia załączono: fakturę nr</w:t>
      </w:r>
      <w:r w:rsidR="00C471A9">
        <w:t> </w:t>
      </w:r>
      <w:r w:rsidR="00A9185A">
        <w:t>00001/06/2018 wystawioną przez tłumacza w dniu</w:t>
      </w:r>
      <w:r w:rsidR="00A71CFC">
        <w:t xml:space="preserve"> </w:t>
      </w:r>
      <w:r w:rsidR="00A9185A">
        <w:t>1</w:t>
      </w:r>
      <w:r w:rsidR="00A71CFC">
        <w:t xml:space="preserve"> </w:t>
      </w:r>
      <w:r w:rsidR="00A9185A">
        <w:t>czerwca</w:t>
      </w:r>
      <w:r w:rsidR="00A71CFC">
        <w:t xml:space="preserve"> </w:t>
      </w:r>
      <w:r w:rsidR="00A9185A">
        <w:t>2018</w:t>
      </w:r>
      <w:r w:rsidR="00A71CFC">
        <w:t xml:space="preserve"> </w:t>
      </w:r>
      <w:r w:rsidR="00A9185A">
        <w:t>r. na</w:t>
      </w:r>
      <w:r w:rsidR="00C471A9">
        <w:t> </w:t>
      </w:r>
      <w:r w:rsidR="00A9185A">
        <w:t>kwotę</w:t>
      </w:r>
      <w:r w:rsidR="00A71CFC">
        <w:t xml:space="preserve"> </w:t>
      </w:r>
      <w:r w:rsidR="00A9185A">
        <w:t>450 PLN (</w:t>
      </w:r>
      <w:r w:rsidR="00C03C68">
        <w:t>ok.</w:t>
      </w:r>
      <w:r w:rsidR="00A71CFC">
        <w:t xml:space="preserve"> </w:t>
      </w:r>
      <w:r w:rsidR="00A9185A">
        <w:t>112 EUR) oraz dwie faktury od pełnomocnika skarżącego z dnia</w:t>
      </w:r>
      <w:r w:rsidR="00A71CFC">
        <w:t xml:space="preserve"> </w:t>
      </w:r>
      <w:r w:rsidR="00A9185A">
        <w:t>13 i</w:t>
      </w:r>
      <w:r w:rsidR="00A71CFC">
        <w:t xml:space="preserve"> </w:t>
      </w:r>
      <w:r w:rsidR="00A9185A">
        <w:t>25 czerwca</w:t>
      </w:r>
      <w:r w:rsidR="00A71CFC">
        <w:t xml:space="preserve"> </w:t>
      </w:r>
      <w:r w:rsidR="00A9185A">
        <w:t>2018</w:t>
      </w:r>
      <w:r w:rsidR="00A71CFC">
        <w:t xml:space="preserve"> </w:t>
      </w:r>
      <w:r w:rsidR="00A9185A">
        <w:t>r. na łączną kwotę</w:t>
      </w:r>
      <w:r w:rsidR="00A71CFC">
        <w:t xml:space="preserve"> </w:t>
      </w:r>
      <w:r w:rsidR="00A9185A">
        <w:t>2000,80 PLN (</w:t>
      </w:r>
      <w:r w:rsidR="00C03C68">
        <w:t>ok.</w:t>
      </w:r>
      <w:r w:rsidR="00A71CFC">
        <w:t xml:space="preserve"> </w:t>
      </w:r>
      <w:r w:rsidR="00A9185A">
        <w:t>500 EUR).</w:t>
      </w:r>
    </w:p>
    <w:p w14:paraId="7043B49C" w14:textId="210B5754" w:rsidR="00A9185A" w:rsidRPr="00211F57" w:rsidRDefault="00A258CC" w:rsidP="00211F57">
      <w:pPr>
        <w:pStyle w:val="JuPara"/>
      </w:pPr>
      <w:r>
        <w:rPr>
          <w:noProof/>
        </w:rPr>
        <w:t>56</w:t>
      </w:r>
      <w:r w:rsidR="00A9185A">
        <w:t>.</w:t>
      </w:r>
      <w:r w:rsidR="00A71CFC">
        <w:t xml:space="preserve"> </w:t>
      </w:r>
      <w:r w:rsidR="00A9185A">
        <w:t xml:space="preserve">Rząd wskazał, że skarżący udokumentował, a tym samym uzasadnił, tylko część swojego roszczenia o </w:t>
      </w:r>
      <w:r w:rsidR="00C03C68">
        <w:t xml:space="preserve">zwrot </w:t>
      </w:r>
      <w:r w:rsidR="00A9185A">
        <w:t>kosztów i wydatków.</w:t>
      </w:r>
    </w:p>
    <w:p w14:paraId="7074A63A" w14:textId="63D0BC93" w:rsidR="00A9185A" w:rsidRPr="00211F57" w:rsidRDefault="00A258CC" w:rsidP="00211F57">
      <w:pPr>
        <w:pStyle w:val="JuPara"/>
      </w:pPr>
      <w:r>
        <w:rPr>
          <w:noProof/>
        </w:rPr>
        <w:t>57</w:t>
      </w:r>
      <w:r w:rsidR="00A9185A">
        <w:t>.</w:t>
      </w:r>
      <w:r w:rsidR="00A71CFC">
        <w:t xml:space="preserve"> </w:t>
      </w:r>
      <w:r w:rsidR="00A9185A">
        <w:t xml:space="preserve">Zgodnie z orzecznictwem Trybunału skarżącemu przysługuje prawo do zwrotu poniesionych kosztów i wydatków </w:t>
      </w:r>
      <w:r w:rsidR="00964C6C">
        <w:t xml:space="preserve">jedynie </w:t>
      </w:r>
      <w:r w:rsidR="00A9185A">
        <w:t>wówczas, gdy</w:t>
      </w:r>
      <w:r w:rsidR="00C471A9">
        <w:t> </w:t>
      </w:r>
      <w:r w:rsidR="00A9185A">
        <w:t xml:space="preserve">wykazał, że były one rzeczywiście i </w:t>
      </w:r>
      <w:r w:rsidR="00964C6C">
        <w:t xml:space="preserve">w sposób konieczny </w:t>
      </w:r>
      <w:r w:rsidR="00A9185A">
        <w:t>poniesione oraz że są uzasadnione co do wysokości. W niniejszej sprawie, mając na uwadze fakt, że Trybunał stwierdził naruszenie art.</w:t>
      </w:r>
      <w:r w:rsidR="00A71CFC">
        <w:t xml:space="preserve"> </w:t>
      </w:r>
      <w:r w:rsidR="00A9185A">
        <w:t>6 jedynie w odniesieniu do pierwszego postępowania (zob.</w:t>
      </w:r>
      <w:r w:rsidR="00A71CFC">
        <w:t xml:space="preserve"> </w:t>
      </w:r>
      <w:r w:rsidR="00A9185A">
        <w:t>par.</w:t>
      </w:r>
      <w:r w:rsidR="00A71CFC">
        <w:t xml:space="preserve"> </w:t>
      </w:r>
      <w:r w:rsidR="00A9185A">
        <w:t>51 i</w:t>
      </w:r>
      <w:r w:rsidR="00A71CFC">
        <w:t xml:space="preserve"> </w:t>
      </w:r>
      <w:r w:rsidR="00A9185A">
        <w:t xml:space="preserve">52 powyżej), </w:t>
      </w:r>
      <w:r w:rsidR="00964C6C">
        <w:t xml:space="preserve">a także </w:t>
      </w:r>
      <w:r w:rsidR="00A9185A">
        <w:t>dokumenty będące w posiadaniu Trybunału oraz powyższe kryteria Trybunał uznaje za</w:t>
      </w:r>
      <w:r w:rsidR="00C471A9">
        <w:t> </w:t>
      </w:r>
      <w:r w:rsidR="00A9185A">
        <w:t>rozsądne zasądzenie kwoty</w:t>
      </w:r>
      <w:r w:rsidR="00A71CFC">
        <w:t xml:space="preserve"> </w:t>
      </w:r>
      <w:r w:rsidR="00A9185A">
        <w:t>612 EUR tytułem zwrotu kosztów poniesionych przed Trybunałem, powiększonej o należny od skarżącego podatek.</w:t>
      </w:r>
    </w:p>
    <w:p w14:paraId="4619EC17" w14:textId="77777777" w:rsidR="00A9185A" w:rsidRPr="00211F57" w:rsidRDefault="00A9185A" w:rsidP="00211F57">
      <w:pPr>
        <w:pStyle w:val="JuHA"/>
      </w:pPr>
      <w:r>
        <w:t>Odsetki za zwłokę</w:t>
      </w:r>
    </w:p>
    <w:p w14:paraId="6B831348" w14:textId="67077972" w:rsidR="00A9185A" w:rsidRPr="00211F57" w:rsidRDefault="00A258CC" w:rsidP="00211F57">
      <w:pPr>
        <w:pStyle w:val="JuPara"/>
      </w:pPr>
      <w:r>
        <w:rPr>
          <w:noProof/>
        </w:rPr>
        <w:t>58</w:t>
      </w:r>
      <w:r w:rsidR="00A9185A">
        <w:t>.</w:t>
      </w:r>
      <w:r w:rsidR="00A71CFC">
        <w:t xml:space="preserve"> </w:t>
      </w:r>
      <w:r w:rsidR="00A9185A">
        <w:t>Trybunał za słuszne uznaje wyznaczenie wysokości odsetek za</w:t>
      </w:r>
      <w:r w:rsidR="00C471A9">
        <w:t> </w:t>
      </w:r>
      <w:r w:rsidR="00A9185A">
        <w:t>zwłokę na podstawie marginalnej stopy procentowej Europejskiego Banku Centralnego powiększonej o trzy punkty procentowe.</w:t>
      </w:r>
    </w:p>
    <w:p w14:paraId="1E87A4B3" w14:textId="77777777" w:rsidR="00A9185A" w:rsidRPr="00211F57" w:rsidRDefault="00A9185A" w:rsidP="00211F57">
      <w:pPr>
        <w:pStyle w:val="JuHHead"/>
      </w:pPr>
      <w:r>
        <w:t>Z TYCH PRZYCZYN TRYBUNAŁ JEDNOGŁOŚNIE</w:t>
      </w:r>
    </w:p>
    <w:p w14:paraId="54C61E19" w14:textId="77777777" w:rsidR="00A9185A" w:rsidRPr="00211F57" w:rsidRDefault="00A9185A" w:rsidP="00211F57">
      <w:pPr>
        <w:pStyle w:val="JuList"/>
      </w:pPr>
      <w:r>
        <w:rPr>
          <w:i/>
          <w:iCs/>
        </w:rPr>
        <w:t>uznaje</w:t>
      </w:r>
      <w:r>
        <w:t xml:space="preserve"> skargę za dopuszczalną;</w:t>
      </w:r>
    </w:p>
    <w:p w14:paraId="4F7D9254" w14:textId="24CAF20B" w:rsidR="00A9185A" w:rsidRPr="00211F57" w:rsidRDefault="00A9185A" w:rsidP="00211F57">
      <w:pPr>
        <w:pStyle w:val="JuList"/>
      </w:pPr>
      <w:r>
        <w:rPr>
          <w:i/>
        </w:rPr>
        <w:lastRenderedPageBreak/>
        <w:t xml:space="preserve">orzeka, </w:t>
      </w:r>
      <w:r>
        <w:t>że doszło do naruszenia art.</w:t>
      </w:r>
      <w:r w:rsidR="00A71CFC">
        <w:t xml:space="preserve"> </w:t>
      </w:r>
      <w:r>
        <w:t>6 Konwencji;</w:t>
      </w:r>
    </w:p>
    <w:p w14:paraId="1F6373EA" w14:textId="77777777" w:rsidR="00A9185A" w:rsidRPr="00211F57" w:rsidRDefault="00A9185A" w:rsidP="00211F57">
      <w:pPr>
        <w:pStyle w:val="JuList"/>
        <w:rPr>
          <w:i/>
        </w:rPr>
      </w:pPr>
      <w:r>
        <w:rPr>
          <w:i/>
        </w:rPr>
        <w:t>orzeka</w:t>
      </w:r>
    </w:p>
    <w:p w14:paraId="456291DA" w14:textId="18B44B7E" w:rsidR="00A9185A" w:rsidRPr="00211F57" w:rsidRDefault="00A9185A" w:rsidP="00211F57">
      <w:pPr>
        <w:pStyle w:val="JuLista"/>
        <w:numPr>
          <w:ilvl w:val="1"/>
          <w:numId w:val="2"/>
        </w:numPr>
      </w:pPr>
      <w:r>
        <w:t>że pozwane państwo winno, w terminie trzech miesięcy, uiścić na</w:t>
      </w:r>
      <w:r w:rsidR="00C471A9">
        <w:t> </w:t>
      </w:r>
      <w:r>
        <w:t>rzecz skarżącego następujące kwoty, przeliczone na walutę pozwanego państwa według kursu obowiązującego w dniu płatności:</w:t>
      </w:r>
    </w:p>
    <w:p w14:paraId="71823AB9" w14:textId="57C0DCCA" w:rsidR="00A9185A" w:rsidRPr="00211F57" w:rsidRDefault="00A9185A" w:rsidP="00211F57">
      <w:pPr>
        <w:pStyle w:val="JuListi"/>
        <w:numPr>
          <w:ilvl w:val="2"/>
          <w:numId w:val="2"/>
        </w:numPr>
      </w:pPr>
      <w:r>
        <w:t>1250</w:t>
      </w:r>
      <w:r w:rsidR="00A71CFC">
        <w:t xml:space="preserve"> </w:t>
      </w:r>
      <w:r>
        <w:t>EUR (tysiąc dwieście pięćdziesiąt euro), plus wszelkie należne podatki, tytułem zadośćuczynienia za szkodę niemajątkową;</w:t>
      </w:r>
    </w:p>
    <w:p w14:paraId="2C13C5F1" w14:textId="1CE31E2E" w:rsidR="00A9185A" w:rsidRPr="00211F57" w:rsidRDefault="00A9185A" w:rsidP="00211F57">
      <w:pPr>
        <w:pStyle w:val="JuListi"/>
        <w:numPr>
          <w:ilvl w:val="2"/>
          <w:numId w:val="2"/>
        </w:numPr>
      </w:pPr>
      <w:r>
        <w:t>612</w:t>
      </w:r>
      <w:r w:rsidR="00A71CFC">
        <w:t xml:space="preserve"> </w:t>
      </w:r>
      <w:r>
        <w:t>EUR (sześćset dwanaście euro), plus wszelkie należne podatki, tytułem zwrotu poniesionych kosztów i wydatków;</w:t>
      </w:r>
    </w:p>
    <w:p w14:paraId="0D9D7669" w14:textId="1B7F17F8" w:rsidR="00A9185A" w:rsidRPr="00211F57" w:rsidRDefault="00A9185A" w:rsidP="00211F57">
      <w:pPr>
        <w:pStyle w:val="JuLista"/>
        <w:numPr>
          <w:ilvl w:val="1"/>
          <w:numId w:val="2"/>
        </w:numPr>
      </w:pPr>
      <w:r>
        <w:t>że od upływu wyżej wskazanego terminu trzech miesięcy aż</w:t>
      </w:r>
      <w:r w:rsidR="00C471A9">
        <w:t> </w:t>
      </w:r>
      <w:r>
        <w:t>do</w:t>
      </w:r>
      <w:r w:rsidR="00C471A9">
        <w:t> </w:t>
      </w:r>
      <w:r>
        <w:t>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6CD45509" w14:textId="75C73F03" w:rsidR="004D0EC7" w:rsidRPr="00211F57" w:rsidRDefault="00A9185A" w:rsidP="00211F57">
      <w:pPr>
        <w:pStyle w:val="JuList"/>
      </w:pPr>
      <w:r>
        <w:rPr>
          <w:i/>
        </w:rPr>
        <w:t>Oddala</w:t>
      </w:r>
      <w:r>
        <w:rPr>
          <w:color w:val="000000"/>
        </w:rPr>
        <w:t xml:space="preserve"> </w:t>
      </w:r>
      <w:r>
        <w:t>pozo</w:t>
      </w:r>
      <w:r w:rsidR="00964C6C">
        <w:t>stałą część roszczenia skarżącego dotyczącego</w:t>
      </w:r>
      <w:r>
        <w:t xml:space="preserve"> słusznego zadośćuczynienia.</w:t>
      </w:r>
    </w:p>
    <w:p w14:paraId="28CF31A2" w14:textId="7A364FE1" w:rsidR="008E3A08" w:rsidRPr="00211F57" w:rsidRDefault="007E2C8C" w:rsidP="00211F57">
      <w:pPr>
        <w:pStyle w:val="JuParaLast"/>
      </w:pPr>
      <w:r>
        <w:t>Sporządzono w języku angielskim i obwieszczono pisemnie w dniu 9</w:t>
      </w:r>
      <w:r w:rsidR="00C471A9">
        <w:t> </w:t>
      </w:r>
      <w:r>
        <w:t>lipca</w:t>
      </w:r>
      <w:r w:rsidR="00A71CFC">
        <w:t xml:space="preserve"> </w:t>
      </w:r>
      <w:r>
        <w:t>2020</w:t>
      </w:r>
      <w:r w:rsidR="00A71CFC">
        <w:t xml:space="preserve"> </w:t>
      </w:r>
      <w:r>
        <w:t>r., zgodnie z Regułą</w:t>
      </w:r>
      <w:r w:rsidR="00A71CFC">
        <w:t xml:space="preserve"> </w:t>
      </w:r>
      <w:r>
        <w:t>77 §§</w:t>
      </w:r>
      <w:r w:rsidR="00A71CFC">
        <w:t xml:space="preserve"> </w:t>
      </w:r>
      <w:r>
        <w:t>2 i</w:t>
      </w:r>
      <w:r w:rsidR="00A71CFC">
        <w:t xml:space="preserve"> </w:t>
      </w:r>
      <w:r>
        <w:t>3 Regulaminu Trybunału.</w:t>
      </w:r>
    </w:p>
    <w:p w14:paraId="2FAFD4F7" w14:textId="10A375E2" w:rsidR="00000E8F" w:rsidRPr="00211F57" w:rsidRDefault="00000E8F" w:rsidP="00A71CFC">
      <w:pPr>
        <w:pStyle w:val="JuSigned"/>
        <w:tabs>
          <w:tab w:val="clear" w:pos="6407"/>
          <w:tab w:val="center" w:pos="5954"/>
        </w:tabs>
      </w:pPr>
      <w:r>
        <w:tab/>
        <w:t xml:space="preserve">Renata Degener </w:t>
      </w:r>
      <w:r>
        <w:tab/>
        <w:t>Linos-Alexandre Sicilianos</w:t>
      </w:r>
      <w:r w:rsidR="00A71CFC">
        <w:t xml:space="preserve"> </w:t>
      </w:r>
      <w:r w:rsidR="00A71CFC">
        <w:tab/>
        <w:t>Zastępca Kanclerza Sekcji</w:t>
      </w:r>
      <w:r w:rsidR="00A71CFC">
        <w:tab/>
      </w:r>
      <w:r>
        <w:t>Przewodniczący</w:t>
      </w:r>
    </w:p>
    <w:sectPr w:rsidR="00000E8F" w:rsidRPr="00211F57"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A690A2" w14:textId="77777777" w:rsidR="001E1E9D" w:rsidRPr="009E7A6F" w:rsidRDefault="001E1E9D" w:rsidP="0098410D">
      <w:r w:rsidRPr="009E7A6F">
        <w:separator/>
      </w:r>
    </w:p>
  </w:endnote>
  <w:endnote w:type="continuationSeparator" w:id="0">
    <w:p w14:paraId="7F3F58BA" w14:textId="77777777" w:rsidR="001E1E9D" w:rsidRPr="009E7A6F" w:rsidRDefault="001E1E9D" w:rsidP="0098410D">
      <w:r w:rsidRPr="009E7A6F">
        <w:continuationSeparator/>
      </w:r>
    </w:p>
  </w:endnote>
  <w:endnote w:type="continuationNotice" w:id="1">
    <w:p w14:paraId="5BDD9A9D" w14:textId="77777777" w:rsidR="001E1E9D" w:rsidRDefault="001E1E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8615C6" w14:textId="77777777" w:rsidR="0077574F" w:rsidRPr="00150BFA" w:rsidRDefault="0077574F" w:rsidP="0077574F">
    <w:pPr>
      <w:jc w:val="center"/>
    </w:pPr>
    <w:r>
      <w:rPr>
        <w:noProof/>
        <w:lang w:eastAsia="pl-PL"/>
      </w:rPr>
      <w:drawing>
        <wp:inline distT="0" distB="0" distL="0" distR="0" wp14:anchorId="5A6C3448" wp14:editId="041E9C3B">
          <wp:extent cx="771525" cy="619125"/>
          <wp:effectExtent l="0" t="0" r="9525" b="9525"/>
          <wp:docPr id="77" name="Picture 7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0FE1A08" w14:textId="77777777" w:rsidR="0077574F" w:rsidRPr="009E7A6F" w:rsidRDefault="0077574F" w:rsidP="0077574F">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1C175D" w14:textId="77777777" w:rsidR="0077574F" w:rsidRPr="00150BFA" w:rsidRDefault="0077574F" w:rsidP="0077574F">
    <w:pPr>
      <w:jc w:val="center"/>
    </w:pPr>
    <w:r>
      <w:rPr>
        <w:noProof/>
        <w:lang w:eastAsia="pl-PL"/>
      </w:rPr>
      <w:drawing>
        <wp:inline distT="0" distB="0" distL="0" distR="0" wp14:anchorId="4AAEB254" wp14:editId="2AFC1483">
          <wp:extent cx="771525" cy="619125"/>
          <wp:effectExtent l="0" t="0" r="9525" b="9525"/>
          <wp:docPr id="75" name="Picture 7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8B92718" w14:textId="77777777" w:rsidR="0077574F" w:rsidRPr="009E7A6F" w:rsidRDefault="0077574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ACD24D" w14:textId="77777777" w:rsidR="0077574F" w:rsidRDefault="0077574F" w:rsidP="009A115C">
    <w:pPr>
      <w:pStyle w:val="JuHeader"/>
    </w:pPr>
    <w:r>
      <w:rPr>
        <w:rStyle w:val="Numerstrony"/>
      </w:rPr>
      <w:fldChar w:fldCharType="begin"/>
    </w:r>
    <w:r>
      <w:rPr>
        <w:rStyle w:val="Numerstrony"/>
      </w:rPr>
      <w:instrText xml:space="preserve"> PAGE </w:instrText>
    </w:r>
    <w:r>
      <w:rPr>
        <w:rStyle w:val="Numerstrony"/>
      </w:rPr>
      <w:fldChar w:fldCharType="separate"/>
    </w:r>
    <w:r w:rsidR="008946D0">
      <w:rPr>
        <w:rStyle w:val="Numerstrony"/>
        <w:noProof/>
      </w:rPr>
      <w:t>8</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639703" w14:textId="77777777" w:rsidR="0077574F" w:rsidRPr="000B7195" w:rsidRDefault="0077574F" w:rsidP="007D3701">
    <w:pPr>
      <w:pStyle w:val="JuHeader"/>
    </w:pPr>
    <w:r>
      <w:fldChar w:fldCharType="begin"/>
    </w:r>
    <w:r>
      <w:instrText xml:space="preserve"> PAGE </w:instrText>
    </w:r>
    <w:r>
      <w:fldChar w:fldCharType="separate"/>
    </w:r>
    <w:r w:rsidR="008946D0">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15B996" w14:textId="77777777" w:rsidR="001E1E9D" w:rsidRPr="009E7A6F" w:rsidRDefault="001E1E9D" w:rsidP="0098410D">
      <w:r w:rsidRPr="009E7A6F">
        <w:separator/>
      </w:r>
    </w:p>
  </w:footnote>
  <w:footnote w:type="continuationSeparator" w:id="0">
    <w:p w14:paraId="1B18DE6B" w14:textId="77777777" w:rsidR="001E1E9D" w:rsidRPr="009E7A6F" w:rsidRDefault="001E1E9D" w:rsidP="0098410D">
      <w:r w:rsidRPr="009E7A6F">
        <w:continuationSeparator/>
      </w:r>
    </w:p>
  </w:footnote>
  <w:footnote w:type="continuationNotice" w:id="1">
    <w:p w14:paraId="7CF00139" w14:textId="77777777" w:rsidR="001E1E9D" w:rsidRDefault="001E1E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C581F" w14:textId="77777777" w:rsidR="0077574F" w:rsidRPr="00A45145" w:rsidRDefault="0077574F" w:rsidP="0077574F">
    <w:pPr>
      <w:jc w:val="center"/>
    </w:pPr>
    <w:r>
      <w:rPr>
        <w:noProof/>
        <w:lang w:eastAsia="pl-PL"/>
      </w:rPr>
      <w:drawing>
        <wp:inline distT="0" distB="0" distL="0" distR="0" wp14:anchorId="4FD7D972" wp14:editId="26BDCCF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27D9B98" w14:textId="77777777" w:rsidR="0077574F" w:rsidRPr="009E7A6F" w:rsidRDefault="0077574F" w:rsidP="0077574F">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91D24" w14:textId="77777777" w:rsidR="0077574F" w:rsidRPr="00A45145" w:rsidRDefault="0077574F" w:rsidP="0077574F">
    <w:pPr>
      <w:jc w:val="center"/>
    </w:pPr>
    <w:r>
      <w:rPr>
        <w:noProof/>
        <w:lang w:eastAsia="pl-PL"/>
      </w:rPr>
      <w:drawing>
        <wp:inline distT="0" distB="0" distL="0" distR="0" wp14:anchorId="255C3064" wp14:editId="5CB94591">
          <wp:extent cx="2962275" cy="1219200"/>
          <wp:effectExtent l="0" t="0" r="9525" b="0"/>
          <wp:docPr id="67" name="Picture 6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91FA2F9" w14:textId="77777777" w:rsidR="0077574F" w:rsidRPr="009E7A6F" w:rsidRDefault="0077574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014F6" w14:textId="21570FF7" w:rsidR="0077574F" w:rsidRPr="004D0EC7" w:rsidRDefault="0077574F" w:rsidP="004D0EC7">
    <w:pPr>
      <w:pStyle w:val="JuHeader"/>
    </w:pPr>
    <w:r>
      <w:t>WYROK W SPRAWIE RECHUL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3CA256" w14:textId="1338D157" w:rsidR="0077574F" w:rsidRPr="00882CD5" w:rsidRDefault="0077574F" w:rsidP="007D3701">
    <w:pPr>
      <w:pStyle w:val="JuHeader"/>
    </w:pPr>
    <w:r>
      <w:t>WYROK W SPRAWIE RECHUL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ABAC8FCC"/>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3"/>
  </w:num>
  <w:num w:numId="2">
    <w:abstractNumId w:val="13"/>
  </w:num>
  <w:num w:numId="3">
    <w:abstractNumId w:val="9"/>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A9185A"/>
    <w:rsid w:val="00000E8F"/>
    <w:rsid w:val="000041F8"/>
    <w:rsid w:val="000042A8"/>
    <w:rsid w:val="00004308"/>
    <w:rsid w:val="00005BF0"/>
    <w:rsid w:val="00007154"/>
    <w:rsid w:val="000103AE"/>
    <w:rsid w:val="00011D69"/>
    <w:rsid w:val="00012AD3"/>
    <w:rsid w:val="00015C2D"/>
    <w:rsid w:val="00015F00"/>
    <w:rsid w:val="00022C1D"/>
    <w:rsid w:val="00023059"/>
    <w:rsid w:val="00031428"/>
    <w:rsid w:val="00034987"/>
    <w:rsid w:val="00041560"/>
    <w:rsid w:val="000602DF"/>
    <w:rsid w:val="00061B05"/>
    <w:rsid w:val="000632D5"/>
    <w:rsid w:val="000644EE"/>
    <w:rsid w:val="0007780A"/>
    <w:rsid w:val="00085457"/>
    <w:rsid w:val="000925AD"/>
    <w:rsid w:val="00096FE1"/>
    <w:rsid w:val="00097A62"/>
    <w:rsid w:val="000A054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297"/>
    <w:rsid w:val="00110DA8"/>
    <w:rsid w:val="00111B0C"/>
    <w:rsid w:val="00120D6C"/>
    <w:rsid w:val="001257EC"/>
    <w:rsid w:val="00133D33"/>
    <w:rsid w:val="00134B6A"/>
    <w:rsid w:val="00134D64"/>
    <w:rsid w:val="00135A30"/>
    <w:rsid w:val="0013612C"/>
    <w:rsid w:val="00137FF6"/>
    <w:rsid w:val="00141650"/>
    <w:rsid w:val="0015531C"/>
    <w:rsid w:val="001561B6"/>
    <w:rsid w:val="00162A12"/>
    <w:rsid w:val="00166530"/>
    <w:rsid w:val="00170027"/>
    <w:rsid w:val="0017718B"/>
    <w:rsid w:val="001832BD"/>
    <w:rsid w:val="001943B5"/>
    <w:rsid w:val="00195134"/>
    <w:rsid w:val="001A145B"/>
    <w:rsid w:val="001A3E09"/>
    <w:rsid w:val="001A674C"/>
    <w:rsid w:val="001B3B24"/>
    <w:rsid w:val="001C055B"/>
    <w:rsid w:val="001C0F98"/>
    <w:rsid w:val="001C2A42"/>
    <w:rsid w:val="001C6F79"/>
    <w:rsid w:val="001D4B04"/>
    <w:rsid w:val="001D63ED"/>
    <w:rsid w:val="001D7348"/>
    <w:rsid w:val="001E035B"/>
    <w:rsid w:val="001E0961"/>
    <w:rsid w:val="001E1E9D"/>
    <w:rsid w:val="001E3EAE"/>
    <w:rsid w:val="001E6857"/>
    <w:rsid w:val="001E6F32"/>
    <w:rsid w:val="001F2145"/>
    <w:rsid w:val="001F6262"/>
    <w:rsid w:val="001F67B0"/>
    <w:rsid w:val="001F7B3D"/>
    <w:rsid w:val="00202752"/>
    <w:rsid w:val="0020335A"/>
    <w:rsid w:val="002052BC"/>
    <w:rsid w:val="00205F9F"/>
    <w:rsid w:val="00210338"/>
    <w:rsid w:val="002115FC"/>
    <w:rsid w:val="00211F57"/>
    <w:rsid w:val="00212C9A"/>
    <w:rsid w:val="0021423C"/>
    <w:rsid w:val="002205EC"/>
    <w:rsid w:val="00223BAA"/>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2D4"/>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E6313"/>
    <w:rsid w:val="002F2AF7"/>
    <w:rsid w:val="002F69C4"/>
    <w:rsid w:val="002F7D9E"/>
    <w:rsid w:val="002F7E1C"/>
    <w:rsid w:val="00301A75"/>
    <w:rsid w:val="00302F70"/>
    <w:rsid w:val="0030336F"/>
    <w:rsid w:val="0030375E"/>
    <w:rsid w:val="00312A30"/>
    <w:rsid w:val="00314804"/>
    <w:rsid w:val="003201D8"/>
    <w:rsid w:val="00320F72"/>
    <w:rsid w:val="0032463E"/>
    <w:rsid w:val="00326224"/>
    <w:rsid w:val="00337EE4"/>
    <w:rsid w:val="00340FFD"/>
    <w:rsid w:val="00345C41"/>
    <w:rsid w:val="0034765F"/>
    <w:rsid w:val="003506B1"/>
    <w:rsid w:val="00355877"/>
    <w:rsid w:val="00356AC7"/>
    <w:rsid w:val="003609FA"/>
    <w:rsid w:val="003710C8"/>
    <w:rsid w:val="003750BE"/>
    <w:rsid w:val="00381AB3"/>
    <w:rsid w:val="003849F9"/>
    <w:rsid w:val="00385A36"/>
    <w:rsid w:val="00385F3D"/>
    <w:rsid w:val="00387B9D"/>
    <w:rsid w:val="00387C70"/>
    <w:rsid w:val="00390294"/>
    <w:rsid w:val="0039364F"/>
    <w:rsid w:val="00396686"/>
    <w:rsid w:val="0039778E"/>
    <w:rsid w:val="003A7E23"/>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1531E"/>
    <w:rsid w:val="00420703"/>
    <w:rsid w:val="00425C67"/>
    <w:rsid w:val="00427E7A"/>
    <w:rsid w:val="004355AC"/>
    <w:rsid w:val="00436C49"/>
    <w:rsid w:val="00443D98"/>
    <w:rsid w:val="00445366"/>
    <w:rsid w:val="0044578A"/>
    <w:rsid w:val="00447F5B"/>
    <w:rsid w:val="00454058"/>
    <w:rsid w:val="004556B6"/>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A54E1"/>
    <w:rsid w:val="004B013B"/>
    <w:rsid w:val="004B05F7"/>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2994"/>
    <w:rsid w:val="0059574A"/>
    <w:rsid w:val="005A0FC0"/>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1FC9"/>
    <w:rsid w:val="005F51E1"/>
    <w:rsid w:val="00611C80"/>
    <w:rsid w:val="00620692"/>
    <w:rsid w:val="006242CA"/>
    <w:rsid w:val="00625C86"/>
    <w:rsid w:val="00627507"/>
    <w:rsid w:val="006336F4"/>
    <w:rsid w:val="00633717"/>
    <w:rsid w:val="006344E1"/>
    <w:rsid w:val="00643524"/>
    <w:rsid w:val="0064393B"/>
    <w:rsid w:val="006545C4"/>
    <w:rsid w:val="00661971"/>
    <w:rsid w:val="00661CE8"/>
    <w:rsid w:val="006623D9"/>
    <w:rsid w:val="00662A52"/>
    <w:rsid w:val="006642A5"/>
    <w:rsid w:val="00664C10"/>
    <w:rsid w:val="0066550C"/>
    <w:rsid w:val="00665BD2"/>
    <w:rsid w:val="006716F2"/>
    <w:rsid w:val="006766C9"/>
    <w:rsid w:val="00682BF2"/>
    <w:rsid w:val="0068573E"/>
    <w:rsid w:val="006859CE"/>
    <w:rsid w:val="00691270"/>
    <w:rsid w:val="00694BA8"/>
    <w:rsid w:val="006A037C"/>
    <w:rsid w:val="006A36F4"/>
    <w:rsid w:val="006A406F"/>
    <w:rsid w:val="006A5D3A"/>
    <w:rsid w:val="006C23D4"/>
    <w:rsid w:val="006C7BB0"/>
    <w:rsid w:val="006D0023"/>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1966"/>
    <w:rsid w:val="00763602"/>
    <w:rsid w:val="00764D4E"/>
    <w:rsid w:val="00765A1F"/>
    <w:rsid w:val="0077574F"/>
    <w:rsid w:val="00775B6D"/>
    <w:rsid w:val="00776D68"/>
    <w:rsid w:val="0078323E"/>
    <w:rsid w:val="007850EE"/>
    <w:rsid w:val="00785B95"/>
    <w:rsid w:val="00790E96"/>
    <w:rsid w:val="00793366"/>
    <w:rsid w:val="007A716F"/>
    <w:rsid w:val="007B270A"/>
    <w:rsid w:val="007B3686"/>
    <w:rsid w:val="007B4182"/>
    <w:rsid w:val="007C037E"/>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55F"/>
    <w:rsid w:val="00802C64"/>
    <w:rsid w:val="00805E52"/>
    <w:rsid w:val="008061D0"/>
    <w:rsid w:val="00810B38"/>
    <w:rsid w:val="008204C7"/>
    <w:rsid w:val="00820992"/>
    <w:rsid w:val="00823602"/>
    <w:rsid w:val="008255F5"/>
    <w:rsid w:val="00825EAA"/>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946D0"/>
    <w:rsid w:val="008A117E"/>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64C6C"/>
    <w:rsid w:val="00972B55"/>
    <w:rsid w:val="009743B7"/>
    <w:rsid w:val="0098228B"/>
    <w:rsid w:val="009828DA"/>
    <w:rsid w:val="0098410D"/>
    <w:rsid w:val="00985BAB"/>
    <w:rsid w:val="00986B3C"/>
    <w:rsid w:val="009A115C"/>
    <w:rsid w:val="009B1606"/>
    <w:rsid w:val="009B1B5F"/>
    <w:rsid w:val="009B6673"/>
    <w:rsid w:val="009C191B"/>
    <w:rsid w:val="009C29ED"/>
    <w:rsid w:val="009C2BD6"/>
    <w:rsid w:val="009E1F32"/>
    <w:rsid w:val="009E2CC2"/>
    <w:rsid w:val="009E6813"/>
    <w:rsid w:val="009E776C"/>
    <w:rsid w:val="009E7A6F"/>
    <w:rsid w:val="009F4C8F"/>
    <w:rsid w:val="00A05588"/>
    <w:rsid w:val="00A15601"/>
    <w:rsid w:val="00A1726E"/>
    <w:rsid w:val="00A204CF"/>
    <w:rsid w:val="00A21D2B"/>
    <w:rsid w:val="00A22745"/>
    <w:rsid w:val="00A23D49"/>
    <w:rsid w:val="00A258CC"/>
    <w:rsid w:val="00A27004"/>
    <w:rsid w:val="00A308CE"/>
    <w:rsid w:val="00A30C29"/>
    <w:rsid w:val="00A34DD6"/>
    <w:rsid w:val="00A35683"/>
    <w:rsid w:val="00A36819"/>
    <w:rsid w:val="00A36989"/>
    <w:rsid w:val="00A43628"/>
    <w:rsid w:val="00A51D0F"/>
    <w:rsid w:val="00A51E15"/>
    <w:rsid w:val="00A54192"/>
    <w:rsid w:val="00A57147"/>
    <w:rsid w:val="00A6035E"/>
    <w:rsid w:val="00A6144C"/>
    <w:rsid w:val="00A66617"/>
    <w:rsid w:val="00A671F8"/>
    <w:rsid w:val="00A673A4"/>
    <w:rsid w:val="00A6793C"/>
    <w:rsid w:val="00A71CFC"/>
    <w:rsid w:val="00A724AE"/>
    <w:rsid w:val="00A73329"/>
    <w:rsid w:val="00A82359"/>
    <w:rsid w:val="00A865D2"/>
    <w:rsid w:val="00A90BCD"/>
    <w:rsid w:val="00A9185A"/>
    <w:rsid w:val="00A94C20"/>
    <w:rsid w:val="00AA1B09"/>
    <w:rsid w:val="00AA227F"/>
    <w:rsid w:val="00AA3BC7"/>
    <w:rsid w:val="00AA754A"/>
    <w:rsid w:val="00AB099E"/>
    <w:rsid w:val="00AB4328"/>
    <w:rsid w:val="00AB708A"/>
    <w:rsid w:val="00AC4CD4"/>
    <w:rsid w:val="00AE021E"/>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66615"/>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E45EA"/>
    <w:rsid w:val="00BF118F"/>
    <w:rsid w:val="00BF4109"/>
    <w:rsid w:val="00BF4CC3"/>
    <w:rsid w:val="00C03C68"/>
    <w:rsid w:val="00C054C7"/>
    <w:rsid w:val="00C057B5"/>
    <w:rsid w:val="00C115C3"/>
    <w:rsid w:val="00C15547"/>
    <w:rsid w:val="00C1672D"/>
    <w:rsid w:val="00C22687"/>
    <w:rsid w:val="00C26A92"/>
    <w:rsid w:val="00C26B1C"/>
    <w:rsid w:val="00C32E4D"/>
    <w:rsid w:val="00C333A0"/>
    <w:rsid w:val="00C36A81"/>
    <w:rsid w:val="00C41974"/>
    <w:rsid w:val="00C44A2C"/>
    <w:rsid w:val="00C471A9"/>
    <w:rsid w:val="00C477F7"/>
    <w:rsid w:val="00C509A6"/>
    <w:rsid w:val="00C516FC"/>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CF6959"/>
    <w:rsid w:val="00D00ABB"/>
    <w:rsid w:val="00D02EEC"/>
    <w:rsid w:val="00D03551"/>
    <w:rsid w:val="00D06A63"/>
    <w:rsid w:val="00D07E0E"/>
    <w:rsid w:val="00D10CD6"/>
    <w:rsid w:val="00D11478"/>
    <w:rsid w:val="00D15EA1"/>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87BBD"/>
    <w:rsid w:val="00D908A8"/>
    <w:rsid w:val="00D922A4"/>
    <w:rsid w:val="00D977B6"/>
    <w:rsid w:val="00D97ABD"/>
    <w:rsid w:val="00DA1223"/>
    <w:rsid w:val="00DA4A31"/>
    <w:rsid w:val="00DA7B04"/>
    <w:rsid w:val="00DB1D52"/>
    <w:rsid w:val="00DB36C2"/>
    <w:rsid w:val="00DC169B"/>
    <w:rsid w:val="00DC2AB9"/>
    <w:rsid w:val="00DC63F0"/>
    <w:rsid w:val="00DC6F42"/>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012"/>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7052"/>
    <w:rsid w:val="00F56A6F"/>
    <w:rsid w:val="00F5709C"/>
    <w:rsid w:val="00F60B85"/>
    <w:rsid w:val="00F64EF1"/>
    <w:rsid w:val="00F7349B"/>
    <w:rsid w:val="00F8765F"/>
    <w:rsid w:val="00F90767"/>
    <w:rsid w:val="00F9263C"/>
    <w:rsid w:val="00FA1637"/>
    <w:rsid w:val="00FA5F02"/>
    <w:rsid w:val="00FA685B"/>
    <w:rsid w:val="00FB0C01"/>
    <w:rsid w:val="00FB5934"/>
    <w:rsid w:val="00FC18F2"/>
    <w:rsid w:val="00FC1A1E"/>
    <w:rsid w:val="00FC2A17"/>
    <w:rsid w:val="00FC38CF"/>
    <w:rsid w:val="00FC39E5"/>
    <w:rsid w:val="00FC3A78"/>
    <w:rsid w:val="00FD1005"/>
    <w:rsid w:val="00FD1F7F"/>
    <w:rsid w:val="00FD3112"/>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CAB2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semiHidden="1" w:uiPriority="59" w:unhideWhenUsed="1"/>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211F57"/>
    <w:rPr>
      <w:sz w:val="24"/>
      <w:szCs w:val="24"/>
    </w:rPr>
  </w:style>
  <w:style w:type="paragraph" w:styleId="Nagwek1">
    <w:name w:val="heading 1"/>
    <w:basedOn w:val="Normalny"/>
    <w:next w:val="Normalny"/>
    <w:link w:val="Nagwek1Znak"/>
    <w:uiPriority w:val="98"/>
    <w:semiHidden/>
    <w:rsid w:val="00211F5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11F5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11F57"/>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11F57"/>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11F57"/>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11F5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11F57"/>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11F5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11F5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11F57"/>
    <w:rPr>
      <w:rFonts w:ascii="Tahoma" w:hAnsi="Tahoma" w:cs="Tahoma"/>
      <w:sz w:val="16"/>
      <w:szCs w:val="16"/>
    </w:rPr>
  </w:style>
  <w:style w:type="character" w:customStyle="1" w:styleId="TekstdymkaZnak">
    <w:name w:val="Tekst dymka Znak"/>
    <w:basedOn w:val="Domylnaczcionkaakapitu"/>
    <w:link w:val="Tekstdymka"/>
    <w:uiPriority w:val="98"/>
    <w:semiHidden/>
    <w:rsid w:val="00211F57"/>
    <w:rPr>
      <w:rFonts w:ascii="Tahoma" w:hAnsi="Tahoma" w:cs="Tahoma"/>
      <w:sz w:val="16"/>
      <w:szCs w:val="16"/>
      <w:lang w:val="pl-PL"/>
    </w:rPr>
  </w:style>
  <w:style w:type="character" w:styleId="Tytuksiki">
    <w:name w:val="Book Title"/>
    <w:uiPriority w:val="98"/>
    <w:semiHidden/>
    <w:qFormat/>
    <w:rsid w:val="00211F57"/>
    <w:rPr>
      <w:i/>
      <w:iCs/>
      <w:smallCaps/>
      <w:spacing w:val="5"/>
    </w:rPr>
  </w:style>
  <w:style w:type="paragraph" w:customStyle="1" w:styleId="JuHeader">
    <w:name w:val="Ju_Header"/>
    <w:aliases w:val="_Header"/>
    <w:basedOn w:val="Nagwek"/>
    <w:uiPriority w:val="29"/>
    <w:qFormat/>
    <w:rsid w:val="00211F57"/>
    <w:pPr>
      <w:tabs>
        <w:tab w:val="clear" w:pos="4536"/>
        <w:tab w:val="clear" w:pos="9072"/>
      </w:tabs>
      <w:jc w:val="center"/>
    </w:pPr>
    <w:rPr>
      <w:sz w:val="18"/>
    </w:rPr>
  </w:style>
  <w:style w:type="paragraph" w:customStyle="1" w:styleId="NormalJustified">
    <w:name w:val="Normal_Justified"/>
    <w:basedOn w:val="Normalny"/>
    <w:semiHidden/>
    <w:rsid w:val="00211F57"/>
    <w:pPr>
      <w:jc w:val="both"/>
    </w:pPr>
  </w:style>
  <w:style w:type="character" w:styleId="Pogrubienie">
    <w:name w:val="Strong"/>
    <w:uiPriority w:val="98"/>
    <w:semiHidden/>
    <w:qFormat/>
    <w:rsid w:val="00211F57"/>
    <w:rPr>
      <w:b/>
      <w:bCs/>
    </w:rPr>
  </w:style>
  <w:style w:type="paragraph" w:styleId="Bezodstpw">
    <w:name w:val="No Spacing"/>
    <w:basedOn w:val="Normalny"/>
    <w:link w:val="BezodstpwZnak"/>
    <w:uiPriority w:val="98"/>
    <w:semiHidden/>
    <w:qFormat/>
    <w:rsid w:val="00211F57"/>
  </w:style>
  <w:style w:type="character" w:customStyle="1" w:styleId="BezodstpwZnak">
    <w:name w:val="Bez odstępów Znak"/>
    <w:basedOn w:val="Domylnaczcionkaakapitu"/>
    <w:link w:val="Bezodstpw"/>
    <w:uiPriority w:val="98"/>
    <w:semiHidden/>
    <w:rsid w:val="00211F57"/>
    <w:rPr>
      <w:sz w:val="24"/>
      <w:szCs w:val="24"/>
      <w:lang w:val="pl-PL"/>
    </w:rPr>
  </w:style>
  <w:style w:type="paragraph" w:customStyle="1" w:styleId="JuQuot">
    <w:name w:val="Ju_Quot"/>
    <w:aliases w:val="_Quote"/>
    <w:basedOn w:val="NormalJustified"/>
    <w:uiPriority w:val="20"/>
    <w:qFormat/>
    <w:rsid w:val="00211F57"/>
    <w:pPr>
      <w:spacing w:before="120" w:after="120"/>
      <w:ind w:left="425" w:firstLine="142"/>
    </w:pPr>
    <w:rPr>
      <w:sz w:val="20"/>
    </w:rPr>
  </w:style>
  <w:style w:type="paragraph" w:customStyle="1" w:styleId="DecList">
    <w:name w:val="Dec_List"/>
    <w:aliases w:val="_List"/>
    <w:basedOn w:val="JuList"/>
    <w:uiPriority w:val="22"/>
    <w:rsid w:val="00211F57"/>
    <w:pPr>
      <w:numPr>
        <w:numId w:val="0"/>
      </w:numPr>
      <w:ind w:left="284"/>
    </w:pPr>
  </w:style>
  <w:style w:type="paragraph" w:customStyle="1" w:styleId="JuList">
    <w:name w:val="Ju_List"/>
    <w:aliases w:val="_List_1"/>
    <w:basedOn w:val="NormalJustified"/>
    <w:uiPriority w:val="23"/>
    <w:qFormat/>
    <w:rsid w:val="00211F57"/>
    <w:pPr>
      <w:numPr>
        <w:numId w:val="8"/>
      </w:numPr>
      <w:spacing w:before="280" w:after="60"/>
    </w:pPr>
  </w:style>
  <w:style w:type="paragraph" w:customStyle="1" w:styleId="JuLista">
    <w:name w:val="Ju_List_a"/>
    <w:aliases w:val="_List_2"/>
    <w:basedOn w:val="NormalJustified"/>
    <w:uiPriority w:val="23"/>
    <w:rsid w:val="00211F57"/>
    <w:pPr>
      <w:numPr>
        <w:ilvl w:val="1"/>
        <w:numId w:val="8"/>
      </w:numPr>
    </w:pPr>
  </w:style>
  <w:style w:type="paragraph" w:customStyle="1" w:styleId="JuListi">
    <w:name w:val="Ju_List_i"/>
    <w:aliases w:val="_List_3"/>
    <w:basedOn w:val="NormalJustified"/>
    <w:uiPriority w:val="23"/>
    <w:rsid w:val="00211F57"/>
    <w:pPr>
      <w:numPr>
        <w:ilvl w:val="2"/>
        <w:numId w:val="8"/>
      </w:numPr>
    </w:pPr>
  </w:style>
  <w:style w:type="paragraph" w:customStyle="1" w:styleId="JuHArticle">
    <w:name w:val="Ju_H_Article"/>
    <w:aliases w:val="_Title_Quote"/>
    <w:basedOn w:val="Normalny"/>
    <w:next w:val="JuQuot"/>
    <w:uiPriority w:val="19"/>
    <w:qFormat/>
    <w:rsid w:val="00211F57"/>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11F57"/>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11F57"/>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11F57"/>
    <w:pPr>
      <w:keepNext/>
      <w:keepLines/>
      <w:numPr>
        <w:numId w:val="3"/>
      </w:numPr>
      <w:spacing w:before="100" w:beforeAutospacing="1" w:after="240"/>
      <w:contextualSpacing w:val="0"/>
    </w:pPr>
    <w:rPr>
      <w:b w:val="0"/>
      <w:caps/>
      <w:color w:val="auto"/>
    </w:rPr>
  </w:style>
  <w:style w:type="numbering" w:customStyle="1" w:styleId="ECHRA1StyleBulletedSquare">
    <w:name w:val="ECHR_A1_Style_Bulleted_Square"/>
    <w:basedOn w:val="Bezlisty"/>
    <w:rsid w:val="00211F57"/>
    <w:pPr>
      <w:numPr>
        <w:numId w:val="7"/>
      </w:numPr>
    </w:pPr>
  </w:style>
  <w:style w:type="paragraph" w:customStyle="1" w:styleId="JuSigned">
    <w:name w:val="Ju_Signed"/>
    <w:aliases w:val="_Signature"/>
    <w:basedOn w:val="Normalny"/>
    <w:next w:val="JuPara"/>
    <w:uiPriority w:val="31"/>
    <w:qFormat/>
    <w:rsid w:val="00211F57"/>
    <w:pPr>
      <w:tabs>
        <w:tab w:val="center" w:pos="851"/>
        <w:tab w:val="center" w:pos="6407"/>
      </w:tabs>
      <w:spacing w:before="720"/>
    </w:pPr>
  </w:style>
  <w:style w:type="paragraph" w:styleId="Tytu">
    <w:name w:val="Title"/>
    <w:basedOn w:val="Normalny"/>
    <w:next w:val="Normalny"/>
    <w:link w:val="TytuZnak"/>
    <w:uiPriority w:val="98"/>
    <w:semiHidden/>
    <w:qFormat/>
    <w:rsid w:val="00211F5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11F57"/>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11F57"/>
    <w:pPr>
      <w:numPr>
        <w:numId w:val="8"/>
      </w:numPr>
    </w:pPr>
  </w:style>
  <w:style w:type="numbering" w:customStyle="1" w:styleId="ECHRA1StyleNumberedList">
    <w:name w:val="ECHR_A1_Style_Numbered_List"/>
    <w:basedOn w:val="Bezlisty"/>
    <w:rsid w:val="00211F57"/>
    <w:pPr>
      <w:numPr>
        <w:numId w:val="9"/>
      </w:numPr>
    </w:pPr>
  </w:style>
  <w:style w:type="table" w:customStyle="1" w:styleId="ECHRTable2019">
    <w:name w:val="ECHR_Table_2019"/>
    <w:basedOn w:val="Standardowy"/>
    <w:uiPriority w:val="99"/>
    <w:rsid w:val="00211F5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211F57"/>
    <w:rPr>
      <w:sz w:val="8"/>
    </w:rPr>
  </w:style>
  <w:style w:type="paragraph" w:customStyle="1" w:styleId="JuCourt">
    <w:name w:val="Ju_Court"/>
    <w:aliases w:val="_Court_Names"/>
    <w:basedOn w:val="Normalny"/>
    <w:next w:val="Normalny"/>
    <w:uiPriority w:val="32"/>
    <w:qFormat/>
    <w:rsid w:val="00211F57"/>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11F57"/>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211F57"/>
    <w:pPr>
      <w:keepNext/>
      <w:keepLines/>
      <w:numPr>
        <w:ilvl w:val="2"/>
        <w:numId w:val="3"/>
      </w:numPr>
      <w:spacing w:before="100" w:beforeAutospacing="1" w:after="240" w:line="240" w:lineRule="auto"/>
    </w:pPr>
    <w:rPr>
      <w:color w:val="auto"/>
    </w:rPr>
  </w:style>
  <w:style w:type="paragraph" w:customStyle="1" w:styleId="JuH1">
    <w:name w:val="Ju_H_1."/>
    <w:aliases w:val="_Head_4"/>
    <w:basedOn w:val="Nagwek4"/>
    <w:next w:val="JuPara"/>
    <w:uiPriority w:val="17"/>
    <w:rsid w:val="00211F57"/>
    <w:pPr>
      <w:keepNext/>
      <w:keepLines/>
      <w:numPr>
        <w:ilvl w:val="3"/>
        <w:numId w:val="3"/>
      </w:numPr>
      <w:spacing w:before="100" w:beforeAutospacing="1" w:after="120"/>
    </w:pPr>
    <w:rPr>
      <w:b w:val="0"/>
      <w:color w:val="auto"/>
    </w:rPr>
  </w:style>
  <w:style w:type="paragraph" w:styleId="Nagwek">
    <w:name w:val="header"/>
    <w:basedOn w:val="Normalny"/>
    <w:link w:val="NagwekZnak"/>
    <w:uiPriority w:val="98"/>
    <w:semiHidden/>
    <w:rsid w:val="00211F57"/>
    <w:pPr>
      <w:tabs>
        <w:tab w:val="center" w:pos="4536"/>
        <w:tab w:val="right" w:pos="9072"/>
      </w:tabs>
    </w:pPr>
  </w:style>
  <w:style w:type="character" w:customStyle="1" w:styleId="NagwekZnak">
    <w:name w:val="Nagłówek Znak"/>
    <w:basedOn w:val="Domylnaczcionkaakapitu"/>
    <w:link w:val="Nagwek"/>
    <w:uiPriority w:val="98"/>
    <w:semiHidden/>
    <w:rsid w:val="00211F57"/>
    <w:rPr>
      <w:sz w:val="24"/>
      <w:szCs w:val="24"/>
      <w:lang w:val="pl-PL"/>
    </w:rPr>
  </w:style>
  <w:style w:type="character" w:customStyle="1" w:styleId="Nagwek1Znak">
    <w:name w:val="Nagłówek 1 Znak"/>
    <w:basedOn w:val="Domylnaczcionkaakapitu"/>
    <w:link w:val="Nagwek1"/>
    <w:uiPriority w:val="98"/>
    <w:semiHidden/>
    <w:rsid w:val="00211F57"/>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11F57"/>
    <w:pPr>
      <w:keepNext/>
      <w:keepLines/>
      <w:numPr>
        <w:ilvl w:val="4"/>
        <w:numId w:val="3"/>
      </w:numPr>
      <w:spacing w:before="100" w:beforeAutospacing="1" w:after="120"/>
    </w:pPr>
    <w:rPr>
      <w:color w:val="auto"/>
      <w:sz w:val="20"/>
    </w:rPr>
  </w:style>
  <w:style w:type="paragraph" w:customStyle="1" w:styleId="JuHi">
    <w:name w:val="Ju_H_i"/>
    <w:aliases w:val="_Head_6"/>
    <w:basedOn w:val="Nagwek6"/>
    <w:next w:val="JuPara"/>
    <w:uiPriority w:val="17"/>
    <w:rsid w:val="00211F57"/>
    <w:pPr>
      <w:keepNext/>
      <w:keepLines/>
      <w:numPr>
        <w:ilvl w:val="5"/>
        <w:numId w:val="3"/>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211F57"/>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11F57"/>
    <w:pPr>
      <w:keepNext/>
      <w:keepLines/>
      <w:numPr>
        <w:ilvl w:val="6"/>
        <w:numId w:val="3"/>
      </w:numPr>
      <w:spacing w:before="100" w:beforeAutospacing="1" w:after="120"/>
    </w:pPr>
    <w:rPr>
      <w:i w:val="0"/>
      <w:sz w:val="20"/>
    </w:rPr>
  </w:style>
  <w:style w:type="paragraph" w:customStyle="1" w:styleId="JuH">
    <w:name w:val="Ju_H_–"/>
    <w:aliases w:val="_Head_8"/>
    <w:basedOn w:val="Nagwek8"/>
    <w:next w:val="JuPara"/>
    <w:uiPriority w:val="17"/>
    <w:rsid w:val="00211F57"/>
    <w:pPr>
      <w:keepNext/>
      <w:keepLines/>
      <w:numPr>
        <w:ilvl w:val="7"/>
        <w:numId w:val="3"/>
      </w:numPr>
      <w:spacing w:before="100" w:beforeAutospacing="1" w:after="120"/>
    </w:pPr>
    <w:rPr>
      <w:i/>
    </w:rPr>
  </w:style>
  <w:style w:type="character" w:customStyle="1" w:styleId="Nagwek3Znak">
    <w:name w:val="Nagłówek 3 Znak"/>
    <w:basedOn w:val="Domylnaczcionkaakapitu"/>
    <w:link w:val="Nagwek3"/>
    <w:uiPriority w:val="98"/>
    <w:semiHidden/>
    <w:rsid w:val="00211F57"/>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11F57"/>
    <w:pPr>
      <w:keepNext/>
      <w:keepLines/>
      <w:spacing w:before="240" w:after="240"/>
      <w:ind w:firstLine="284"/>
    </w:pPr>
  </w:style>
  <w:style w:type="paragraph" w:customStyle="1" w:styleId="JuJudges">
    <w:name w:val="Ju_Judges"/>
    <w:aliases w:val="_Judges"/>
    <w:basedOn w:val="Normalny"/>
    <w:uiPriority w:val="32"/>
    <w:qFormat/>
    <w:rsid w:val="00211F57"/>
    <w:pPr>
      <w:tabs>
        <w:tab w:val="left" w:pos="567"/>
        <w:tab w:val="left" w:pos="1134"/>
      </w:tabs>
    </w:pPr>
  </w:style>
  <w:style w:type="character" w:customStyle="1" w:styleId="Nagwek4Znak">
    <w:name w:val="Nagłówek 4 Znak"/>
    <w:basedOn w:val="Domylnaczcionkaakapitu"/>
    <w:link w:val="Nagwek4"/>
    <w:uiPriority w:val="98"/>
    <w:semiHidden/>
    <w:rsid w:val="00211F57"/>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1"/>
    <w:qFormat/>
    <w:rsid w:val="00211F57"/>
    <w:pPr>
      <w:tabs>
        <w:tab w:val="center" w:pos="6407"/>
      </w:tabs>
      <w:spacing w:before="720"/>
      <w:jc w:val="right"/>
    </w:pPr>
  </w:style>
  <w:style w:type="character" w:customStyle="1" w:styleId="Nagwek5Znak">
    <w:name w:val="Nagłówek 5 Znak"/>
    <w:basedOn w:val="Domylnaczcionkaakapitu"/>
    <w:link w:val="Nagwek5"/>
    <w:uiPriority w:val="98"/>
    <w:semiHidden/>
    <w:rsid w:val="00211F57"/>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43"/>
    <w:qFormat/>
    <w:rsid w:val="00211F57"/>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11F57"/>
    <w:rPr>
      <w:caps w:val="0"/>
      <w:smallCaps/>
    </w:rPr>
  </w:style>
  <w:style w:type="character" w:styleId="Wyrnieniedelikatne">
    <w:name w:val="Subtle Emphasis"/>
    <w:uiPriority w:val="98"/>
    <w:semiHidden/>
    <w:qFormat/>
    <w:rsid w:val="00211F57"/>
    <w:rPr>
      <w:i/>
      <w:iCs/>
    </w:rPr>
  </w:style>
  <w:style w:type="table" w:customStyle="1" w:styleId="ECHRTable">
    <w:name w:val="ECHR_Table"/>
    <w:basedOn w:val="Standardowy"/>
    <w:rsid w:val="00211F57"/>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11F57"/>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211F57"/>
    <w:rPr>
      <w:b/>
      <w:bCs/>
      <w:i/>
      <w:iCs/>
      <w:spacing w:val="10"/>
      <w:bdr w:val="none" w:sz="0" w:space="0" w:color="auto"/>
      <w:shd w:val="clear" w:color="auto" w:fill="auto"/>
    </w:rPr>
  </w:style>
  <w:style w:type="paragraph" w:styleId="Stopka">
    <w:name w:val="footer"/>
    <w:basedOn w:val="Normalny"/>
    <w:link w:val="StopkaZnak"/>
    <w:uiPriority w:val="98"/>
    <w:semiHidden/>
    <w:rsid w:val="00211F57"/>
    <w:pPr>
      <w:tabs>
        <w:tab w:val="center" w:pos="3686"/>
        <w:tab w:val="right" w:pos="7371"/>
      </w:tabs>
    </w:pPr>
  </w:style>
  <w:style w:type="character" w:customStyle="1" w:styleId="StopkaZnak">
    <w:name w:val="Stopka Znak"/>
    <w:basedOn w:val="Domylnaczcionkaakapitu"/>
    <w:link w:val="Stopka"/>
    <w:uiPriority w:val="98"/>
    <w:semiHidden/>
    <w:rsid w:val="00211F57"/>
    <w:rPr>
      <w:sz w:val="24"/>
      <w:szCs w:val="24"/>
      <w:lang w:val="pl-PL"/>
    </w:rPr>
  </w:style>
  <w:style w:type="character" w:styleId="Odwoanieprzypisudolnego">
    <w:name w:val="footnote reference"/>
    <w:basedOn w:val="Domylnaczcionkaakapitu"/>
    <w:uiPriority w:val="98"/>
    <w:semiHidden/>
    <w:rsid w:val="00211F57"/>
    <w:rPr>
      <w:vertAlign w:val="superscript"/>
    </w:rPr>
  </w:style>
  <w:style w:type="paragraph" w:styleId="Tekstprzypisudolnego">
    <w:name w:val="footnote text"/>
    <w:basedOn w:val="Normalny"/>
    <w:link w:val="TekstprzypisudolnegoZnak"/>
    <w:uiPriority w:val="98"/>
    <w:semiHidden/>
    <w:rsid w:val="00211F57"/>
    <w:rPr>
      <w:sz w:val="20"/>
      <w:szCs w:val="20"/>
    </w:rPr>
  </w:style>
  <w:style w:type="character" w:customStyle="1" w:styleId="TekstprzypisudolnegoZnak">
    <w:name w:val="Tekst przypisu dolnego Znak"/>
    <w:basedOn w:val="Domylnaczcionkaakapitu"/>
    <w:link w:val="Tekstprzypisudolnego"/>
    <w:uiPriority w:val="98"/>
    <w:semiHidden/>
    <w:rsid w:val="00211F57"/>
    <w:rPr>
      <w:sz w:val="20"/>
      <w:szCs w:val="20"/>
      <w:lang w:val="pl-PL"/>
    </w:rPr>
  </w:style>
  <w:style w:type="character" w:customStyle="1" w:styleId="Nagwek6Znak">
    <w:name w:val="Nagłówek 6 Znak"/>
    <w:basedOn w:val="Domylnaczcionkaakapitu"/>
    <w:link w:val="Nagwek6"/>
    <w:uiPriority w:val="98"/>
    <w:semiHidden/>
    <w:rsid w:val="00211F57"/>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11F57"/>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11F57"/>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11F57"/>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11F57"/>
    <w:rPr>
      <w:color w:val="0072BC" w:themeColor="hyperlink"/>
      <w:u w:val="single"/>
    </w:rPr>
  </w:style>
  <w:style w:type="character" w:styleId="Wyrnienieintensywne">
    <w:name w:val="Intense Emphasis"/>
    <w:uiPriority w:val="98"/>
    <w:semiHidden/>
    <w:qFormat/>
    <w:rsid w:val="00211F57"/>
    <w:rPr>
      <w:b/>
      <w:bCs/>
    </w:rPr>
  </w:style>
  <w:style w:type="paragraph" w:styleId="Cytatintensywny">
    <w:name w:val="Intense Quote"/>
    <w:basedOn w:val="Normalny"/>
    <w:next w:val="Normalny"/>
    <w:link w:val="CytatintensywnyZnak"/>
    <w:uiPriority w:val="98"/>
    <w:semiHidden/>
    <w:qFormat/>
    <w:rsid w:val="00211F5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11F57"/>
    <w:rPr>
      <w:b/>
      <w:bCs/>
      <w:i/>
      <w:iCs/>
      <w:sz w:val="24"/>
      <w:szCs w:val="24"/>
      <w:lang w:val="pl-PL" w:bidi="en-US"/>
    </w:rPr>
  </w:style>
  <w:style w:type="character" w:styleId="Odwoanieintensywne">
    <w:name w:val="Intense Reference"/>
    <w:uiPriority w:val="98"/>
    <w:semiHidden/>
    <w:qFormat/>
    <w:rsid w:val="00211F57"/>
    <w:rPr>
      <w:smallCaps/>
      <w:spacing w:val="5"/>
      <w:u w:val="single"/>
    </w:rPr>
  </w:style>
  <w:style w:type="paragraph" w:styleId="Akapitzlist">
    <w:name w:val="List Paragraph"/>
    <w:basedOn w:val="Normalny"/>
    <w:uiPriority w:val="98"/>
    <w:semiHidden/>
    <w:qFormat/>
    <w:rsid w:val="00211F57"/>
    <w:pPr>
      <w:ind w:left="720"/>
      <w:contextualSpacing/>
    </w:pPr>
  </w:style>
  <w:style w:type="table" w:customStyle="1" w:styleId="LtrTableAddress">
    <w:name w:val="Ltr_Table_Address"/>
    <w:aliases w:val="ECHR_Ltr_Table_Address"/>
    <w:basedOn w:val="Standardowy"/>
    <w:uiPriority w:val="99"/>
    <w:rsid w:val="00211F57"/>
    <w:rPr>
      <w:sz w:val="24"/>
      <w:szCs w:val="24"/>
    </w:rPr>
    <w:tblPr>
      <w:tblInd w:w="5103" w:type="dxa"/>
    </w:tblPr>
  </w:style>
  <w:style w:type="paragraph" w:styleId="Cytat">
    <w:name w:val="Quote"/>
    <w:basedOn w:val="Normalny"/>
    <w:next w:val="Normalny"/>
    <w:link w:val="CytatZnak"/>
    <w:uiPriority w:val="98"/>
    <w:semiHidden/>
    <w:qFormat/>
    <w:rsid w:val="00211F57"/>
    <w:pPr>
      <w:spacing w:before="200"/>
      <w:ind w:left="360" w:right="360"/>
    </w:pPr>
    <w:rPr>
      <w:i/>
      <w:iCs/>
      <w:lang w:bidi="en-US"/>
    </w:rPr>
  </w:style>
  <w:style w:type="character" w:customStyle="1" w:styleId="CytatZnak">
    <w:name w:val="Cytat Znak"/>
    <w:basedOn w:val="Domylnaczcionkaakapitu"/>
    <w:link w:val="Cytat"/>
    <w:uiPriority w:val="98"/>
    <w:semiHidden/>
    <w:rsid w:val="00211F57"/>
    <w:rPr>
      <w:i/>
      <w:iCs/>
      <w:sz w:val="24"/>
      <w:szCs w:val="24"/>
      <w:lang w:val="pl-PL" w:bidi="en-US"/>
    </w:rPr>
  </w:style>
  <w:style w:type="character" w:styleId="Odwoaniedelikatne">
    <w:name w:val="Subtle Reference"/>
    <w:uiPriority w:val="98"/>
    <w:semiHidden/>
    <w:qFormat/>
    <w:rsid w:val="00211F57"/>
    <w:rPr>
      <w:smallCaps/>
    </w:rPr>
  </w:style>
  <w:style w:type="table" w:styleId="Tabela-Siatka">
    <w:name w:val="Table Grid"/>
    <w:basedOn w:val="Standardowy"/>
    <w:uiPriority w:val="59"/>
    <w:semiHidden/>
    <w:rsid w:val="00211F5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11F5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11F5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11F5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11F5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11F5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11F5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11F57"/>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11F57"/>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11F5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11F5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1F5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11F5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11F5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211F57"/>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11F57"/>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11F57"/>
    <w:pPr>
      <w:numPr>
        <w:numId w:val="4"/>
      </w:numPr>
    </w:pPr>
  </w:style>
  <w:style w:type="paragraph" w:customStyle="1" w:styleId="JuPara">
    <w:name w:val="Ju_Para"/>
    <w:aliases w:val="_Para"/>
    <w:basedOn w:val="NormalJustified"/>
    <w:link w:val="JuParaChar"/>
    <w:uiPriority w:val="4"/>
    <w:qFormat/>
    <w:rsid w:val="00211F57"/>
    <w:pPr>
      <w:ind w:firstLine="284"/>
    </w:pPr>
  </w:style>
  <w:style w:type="numbering" w:styleId="1ai">
    <w:name w:val="Outline List 1"/>
    <w:basedOn w:val="Bezlisty"/>
    <w:uiPriority w:val="99"/>
    <w:semiHidden/>
    <w:unhideWhenUsed/>
    <w:rsid w:val="00211F57"/>
    <w:pPr>
      <w:numPr>
        <w:numId w:val="5"/>
      </w:numPr>
    </w:pPr>
  </w:style>
  <w:style w:type="table" w:customStyle="1" w:styleId="ECHRTableSimpleBox">
    <w:name w:val="ECHR_Table_Simple_Box"/>
    <w:basedOn w:val="Standardowy"/>
    <w:uiPriority w:val="99"/>
    <w:rsid w:val="00211F5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11F5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211F57"/>
    <w:pPr>
      <w:numPr>
        <w:numId w:val="6"/>
      </w:numPr>
    </w:pPr>
  </w:style>
  <w:style w:type="table" w:customStyle="1" w:styleId="ECHRTableForInternalUse">
    <w:name w:val="ECHR_Table_For_Internal_Use"/>
    <w:basedOn w:val="Standardowy"/>
    <w:uiPriority w:val="99"/>
    <w:rsid w:val="00211F5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11F5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11F57"/>
  </w:style>
  <w:style w:type="paragraph" w:styleId="Tekstblokowy">
    <w:name w:val="Block Text"/>
    <w:basedOn w:val="Normalny"/>
    <w:uiPriority w:val="98"/>
    <w:semiHidden/>
    <w:rsid w:val="00211F5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11F5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11F57"/>
    <w:pPr>
      <w:spacing w:after="120"/>
    </w:pPr>
  </w:style>
  <w:style w:type="character" w:customStyle="1" w:styleId="TekstpodstawowyZnak">
    <w:name w:val="Tekst podstawowy Znak"/>
    <w:basedOn w:val="Domylnaczcionkaakapitu"/>
    <w:link w:val="Tekstpodstawowy"/>
    <w:uiPriority w:val="98"/>
    <w:semiHidden/>
    <w:rsid w:val="00211F57"/>
    <w:rPr>
      <w:sz w:val="24"/>
      <w:szCs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11F57"/>
    <w:pPr>
      <w:spacing w:after="120" w:line="480" w:lineRule="auto"/>
    </w:pPr>
  </w:style>
  <w:style w:type="table" w:customStyle="1" w:styleId="ECHRHeaderTableReduced">
    <w:name w:val="ECHR_Header_Table_Reduced"/>
    <w:basedOn w:val="Standardowy"/>
    <w:uiPriority w:val="99"/>
    <w:rsid w:val="00211F5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211F57"/>
    <w:pPr>
      <w:ind w:firstLine="284"/>
    </w:pPr>
    <w:rPr>
      <w:b/>
    </w:rPr>
  </w:style>
  <w:style w:type="character" w:styleId="Numerstrony">
    <w:name w:val="page number"/>
    <w:uiPriority w:val="98"/>
    <w:semiHidden/>
    <w:rsid w:val="00211F57"/>
    <w:rPr>
      <w:sz w:val="18"/>
    </w:rPr>
  </w:style>
  <w:style w:type="paragraph" w:styleId="Listapunktowana">
    <w:name w:val="List Bullet"/>
    <w:basedOn w:val="Normalny"/>
    <w:uiPriority w:val="98"/>
    <w:semiHidden/>
    <w:rsid w:val="00211F57"/>
    <w:pPr>
      <w:numPr>
        <w:numId w:val="10"/>
      </w:numPr>
    </w:pPr>
  </w:style>
  <w:style w:type="paragraph" w:styleId="Listapunktowana3">
    <w:name w:val="List Bullet 3"/>
    <w:basedOn w:val="Normalny"/>
    <w:uiPriority w:val="98"/>
    <w:semiHidden/>
    <w:rsid w:val="00211F57"/>
    <w:pPr>
      <w:numPr>
        <w:numId w:val="12"/>
      </w:numPr>
      <w:contextualSpacing/>
    </w:pPr>
  </w:style>
  <w:style w:type="character" w:customStyle="1" w:styleId="Tekstpodstawowy2Znak">
    <w:name w:val="Tekst podstawowy 2 Znak"/>
    <w:basedOn w:val="Domylnaczcionkaakapitu"/>
    <w:link w:val="Tekstpodstawowy2"/>
    <w:uiPriority w:val="98"/>
    <w:semiHidden/>
    <w:rsid w:val="00211F57"/>
    <w:rPr>
      <w:sz w:val="24"/>
      <w:szCs w:val="24"/>
      <w:lang w:val="pl-PL"/>
    </w:rPr>
  </w:style>
  <w:style w:type="paragraph" w:styleId="Tekstpodstawowy3">
    <w:name w:val="Body Text 3"/>
    <w:basedOn w:val="Normalny"/>
    <w:link w:val="Tekstpodstawowy3Znak"/>
    <w:uiPriority w:val="98"/>
    <w:semiHidden/>
    <w:rsid w:val="00211F57"/>
    <w:pPr>
      <w:spacing w:after="120"/>
    </w:pPr>
    <w:rPr>
      <w:sz w:val="16"/>
      <w:szCs w:val="16"/>
    </w:rPr>
  </w:style>
  <w:style w:type="character" w:customStyle="1" w:styleId="Tekstpodstawowy3Znak">
    <w:name w:val="Tekst podstawowy 3 Znak"/>
    <w:basedOn w:val="Domylnaczcionkaakapitu"/>
    <w:link w:val="Tekstpodstawowy3"/>
    <w:uiPriority w:val="98"/>
    <w:semiHidden/>
    <w:rsid w:val="00211F57"/>
    <w:rPr>
      <w:sz w:val="16"/>
      <w:szCs w:val="16"/>
      <w:lang w:val="pl-PL"/>
    </w:rPr>
  </w:style>
  <w:style w:type="paragraph" w:styleId="Tekstpodstawowyzwciciem">
    <w:name w:val="Body Text First Indent"/>
    <w:basedOn w:val="Tekstpodstawowy"/>
    <w:link w:val="TekstpodstawowyzwciciemZnak"/>
    <w:uiPriority w:val="98"/>
    <w:semiHidden/>
    <w:rsid w:val="00211F57"/>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11F57"/>
    <w:rPr>
      <w:sz w:val="24"/>
      <w:szCs w:val="24"/>
      <w:lang w:val="pl-PL"/>
    </w:rPr>
  </w:style>
  <w:style w:type="paragraph" w:styleId="Tekstpodstawowywcity">
    <w:name w:val="Body Text Indent"/>
    <w:basedOn w:val="Normalny"/>
    <w:link w:val="TekstpodstawowywcityZnak"/>
    <w:uiPriority w:val="98"/>
    <w:semiHidden/>
    <w:rsid w:val="00211F57"/>
    <w:pPr>
      <w:spacing w:after="120"/>
      <w:ind w:left="283"/>
    </w:pPr>
  </w:style>
  <w:style w:type="character" w:customStyle="1" w:styleId="TekstpodstawowywcityZnak">
    <w:name w:val="Tekst podstawowy wcięty Znak"/>
    <w:basedOn w:val="Domylnaczcionkaakapitu"/>
    <w:link w:val="Tekstpodstawowywcity"/>
    <w:uiPriority w:val="98"/>
    <w:semiHidden/>
    <w:rsid w:val="00211F57"/>
    <w:rPr>
      <w:sz w:val="24"/>
      <w:szCs w:val="24"/>
      <w:lang w:val="pl-PL"/>
    </w:rPr>
  </w:style>
  <w:style w:type="paragraph" w:styleId="Tekstpodstawowyzwciciem2">
    <w:name w:val="Body Text First Indent 2"/>
    <w:basedOn w:val="Tekstpodstawowywcity"/>
    <w:link w:val="Tekstpodstawowyzwciciem2Znak"/>
    <w:uiPriority w:val="98"/>
    <w:semiHidden/>
    <w:rsid w:val="00211F57"/>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11F57"/>
    <w:rPr>
      <w:sz w:val="24"/>
      <w:szCs w:val="24"/>
      <w:lang w:val="pl-PL"/>
    </w:rPr>
  </w:style>
  <w:style w:type="paragraph" w:styleId="Tekstpodstawowywcity2">
    <w:name w:val="Body Text Indent 2"/>
    <w:basedOn w:val="Normalny"/>
    <w:link w:val="Tekstpodstawowywcity2Znak"/>
    <w:uiPriority w:val="98"/>
    <w:semiHidden/>
    <w:rsid w:val="00211F57"/>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11F57"/>
    <w:rPr>
      <w:sz w:val="24"/>
      <w:szCs w:val="24"/>
      <w:lang w:val="pl-PL"/>
    </w:rPr>
  </w:style>
  <w:style w:type="paragraph" w:styleId="Tekstpodstawowywcity3">
    <w:name w:val="Body Text Indent 3"/>
    <w:basedOn w:val="Normalny"/>
    <w:link w:val="Tekstpodstawowywcity3Znak"/>
    <w:uiPriority w:val="98"/>
    <w:semiHidden/>
    <w:rsid w:val="00211F5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11F57"/>
    <w:rPr>
      <w:sz w:val="16"/>
      <w:szCs w:val="16"/>
      <w:lang w:val="pl-PL"/>
    </w:rPr>
  </w:style>
  <w:style w:type="paragraph" w:styleId="Legenda">
    <w:name w:val="caption"/>
    <w:basedOn w:val="Normalny"/>
    <w:next w:val="Normalny"/>
    <w:uiPriority w:val="98"/>
    <w:semiHidden/>
    <w:qFormat/>
    <w:rsid w:val="00211F57"/>
    <w:pPr>
      <w:spacing w:after="200"/>
    </w:pPr>
    <w:rPr>
      <w:b/>
      <w:bCs/>
      <w:color w:val="0072BC" w:themeColor="accent1"/>
      <w:sz w:val="18"/>
      <w:szCs w:val="18"/>
    </w:rPr>
  </w:style>
  <w:style w:type="paragraph" w:styleId="Zwrotpoegnalny">
    <w:name w:val="Closing"/>
    <w:basedOn w:val="Normalny"/>
    <w:link w:val="ZwrotpoegnalnyZnak"/>
    <w:uiPriority w:val="98"/>
    <w:semiHidden/>
    <w:rsid w:val="00211F57"/>
    <w:pPr>
      <w:ind w:left="4252"/>
    </w:pPr>
  </w:style>
  <w:style w:type="character" w:customStyle="1" w:styleId="ZwrotpoegnalnyZnak">
    <w:name w:val="Zwrot pożegnalny Znak"/>
    <w:basedOn w:val="Domylnaczcionkaakapitu"/>
    <w:link w:val="Zwrotpoegnalny"/>
    <w:uiPriority w:val="98"/>
    <w:semiHidden/>
    <w:rsid w:val="00211F57"/>
    <w:rPr>
      <w:sz w:val="24"/>
      <w:szCs w:val="24"/>
      <w:lang w:val="pl-PL"/>
    </w:rPr>
  </w:style>
  <w:style w:type="table" w:styleId="Kolorowasiatka">
    <w:name w:val="Colorful Grid"/>
    <w:basedOn w:val="Standardowy"/>
    <w:uiPriority w:val="73"/>
    <w:semiHidden/>
    <w:rsid w:val="00211F5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11F5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11F5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11F5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11F5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11F5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11F5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11F5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11F5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11F5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11F5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11F5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11F5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11F5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11F5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11F5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11F5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11F5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11F5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11F5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11F5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11F57"/>
    <w:rPr>
      <w:sz w:val="16"/>
      <w:szCs w:val="16"/>
    </w:rPr>
  </w:style>
  <w:style w:type="paragraph" w:styleId="Tekstkomentarza">
    <w:name w:val="annotation text"/>
    <w:basedOn w:val="Normalny"/>
    <w:link w:val="TekstkomentarzaZnak"/>
    <w:uiPriority w:val="98"/>
    <w:semiHidden/>
    <w:rsid w:val="00211F57"/>
    <w:rPr>
      <w:sz w:val="20"/>
      <w:szCs w:val="20"/>
    </w:rPr>
  </w:style>
  <w:style w:type="character" w:customStyle="1" w:styleId="TekstkomentarzaZnak">
    <w:name w:val="Tekst komentarza Znak"/>
    <w:basedOn w:val="Domylnaczcionkaakapitu"/>
    <w:link w:val="Tekstkomentarza"/>
    <w:uiPriority w:val="98"/>
    <w:semiHidden/>
    <w:rsid w:val="00211F57"/>
    <w:rPr>
      <w:sz w:val="20"/>
      <w:szCs w:val="20"/>
      <w:lang w:val="pl-PL"/>
    </w:rPr>
  </w:style>
  <w:style w:type="paragraph" w:styleId="Tematkomentarza">
    <w:name w:val="annotation subject"/>
    <w:basedOn w:val="Tekstkomentarza"/>
    <w:next w:val="Tekstkomentarza"/>
    <w:link w:val="TematkomentarzaZnak"/>
    <w:uiPriority w:val="98"/>
    <w:semiHidden/>
    <w:rsid w:val="00211F57"/>
    <w:rPr>
      <w:b/>
      <w:bCs/>
    </w:rPr>
  </w:style>
  <w:style w:type="character" w:customStyle="1" w:styleId="TematkomentarzaZnak">
    <w:name w:val="Temat komentarza Znak"/>
    <w:basedOn w:val="TekstkomentarzaZnak"/>
    <w:link w:val="Tematkomentarza"/>
    <w:uiPriority w:val="98"/>
    <w:semiHidden/>
    <w:rsid w:val="00211F57"/>
    <w:rPr>
      <w:b/>
      <w:bCs/>
      <w:sz w:val="20"/>
      <w:szCs w:val="20"/>
      <w:lang w:val="pl-PL"/>
    </w:rPr>
  </w:style>
  <w:style w:type="table" w:styleId="Ciemnalista">
    <w:name w:val="Dark List"/>
    <w:basedOn w:val="Standardowy"/>
    <w:uiPriority w:val="70"/>
    <w:semiHidden/>
    <w:rsid w:val="00211F5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11F5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11F5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11F5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11F5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11F5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11F5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11F57"/>
  </w:style>
  <w:style w:type="character" w:customStyle="1" w:styleId="DataZnak">
    <w:name w:val="Data Znak"/>
    <w:basedOn w:val="Domylnaczcionkaakapitu"/>
    <w:link w:val="Data"/>
    <w:uiPriority w:val="98"/>
    <w:semiHidden/>
    <w:rsid w:val="00211F57"/>
    <w:rPr>
      <w:sz w:val="24"/>
      <w:szCs w:val="24"/>
      <w:lang w:val="pl-PL"/>
    </w:rPr>
  </w:style>
  <w:style w:type="paragraph" w:styleId="Mapadokumentu">
    <w:name w:val="Document Map"/>
    <w:basedOn w:val="Normalny"/>
    <w:link w:val="MapadokumentuZnak"/>
    <w:uiPriority w:val="98"/>
    <w:semiHidden/>
    <w:rsid w:val="00211F57"/>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11F57"/>
    <w:rPr>
      <w:rFonts w:ascii="Tahoma" w:hAnsi="Tahoma" w:cs="Tahoma"/>
      <w:sz w:val="16"/>
      <w:szCs w:val="16"/>
      <w:lang w:val="pl-PL"/>
    </w:rPr>
  </w:style>
  <w:style w:type="paragraph" w:styleId="Podpise-mail">
    <w:name w:val="E-mail Signature"/>
    <w:basedOn w:val="Normalny"/>
    <w:link w:val="Podpise-mailZnak"/>
    <w:uiPriority w:val="98"/>
    <w:semiHidden/>
    <w:rsid w:val="00211F57"/>
  </w:style>
  <w:style w:type="character" w:customStyle="1" w:styleId="Podpise-mailZnak">
    <w:name w:val="Podpis e-mail Znak"/>
    <w:basedOn w:val="Domylnaczcionkaakapitu"/>
    <w:link w:val="Podpise-mail"/>
    <w:uiPriority w:val="98"/>
    <w:semiHidden/>
    <w:rsid w:val="00211F57"/>
    <w:rPr>
      <w:sz w:val="24"/>
      <w:szCs w:val="24"/>
      <w:lang w:val="pl-PL"/>
    </w:rPr>
  </w:style>
  <w:style w:type="character" w:styleId="Odwoanieprzypisukocowego">
    <w:name w:val="endnote reference"/>
    <w:basedOn w:val="Domylnaczcionkaakapitu"/>
    <w:uiPriority w:val="98"/>
    <w:semiHidden/>
    <w:rsid w:val="00211F57"/>
    <w:rPr>
      <w:vertAlign w:val="superscript"/>
    </w:rPr>
  </w:style>
  <w:style w:type="paragraph" w:styleId="Tekstprzypisukocowego">
    <w:name w:val="endnote text"/>
    <w:basedOn w:val="Normalny"/>
    <w:link w:val="TekstprzypisukocowegoZnak"/>
    <w:uiPriority w:val="98"/>
    <w:semiHidden/>
    <w:rsid w:val="00211F57"/>
    <w:rPr>
      <w:sz w:val="20"/>
      <w:szCs w:val="20"/>
    </w:rPr>
  </w:style>
  <w:style w:type="character" w:customStyle="1" w:styleId="TekstprzypisukocowegoZnak">
    <w:name w:val="Tekst przypisu końcowego Znak"/>
    <w:basedOn w:val="Domylnaczcionkaakapitu"/>
    <w:link w:val="Tekstprzypisukocowego"/>
    <w:uiPriority w:val="98"/>
    <w:semiHidden/>
    <w:rsid w:val="00211F57"/>
    <w:rPr>
      <w:sz w:val="20"/>
      <w:szCs w:val="20"/>
      <w:lang w:val="pl-PL"/>
    </w:rPr>
  </w:style>
  <w:style w:type="paragraph" w:styleId="Adresnakopercie">
    <w:name w:val="envelope address"/>
    <w:basedOn w:val="Normalny"/>
    <w:uiPriority w:val="98"/>
    <w:semiHidden/>
    <w:rsid w:val="00211F57"/>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11F57"/>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11F57"/>
    <w:rPr>
      <w:color w:val="7030A0" w:themeColor="followedHyperlink"/>
      <w:u w:val="single"/>
    </w:rPr>
  </w:style>
  <w:style w:type="character" w:styleId="HTML-akronim">
    <w:name w:val="HTML Acronym"/>
    <w:basedOn w:val="Domylnaczcionkaakapitu"/>
    <w:uiPriority w:val="98"/>
    <w:semiHidden/>
    <w:rsid w:val="00211F57"/>
  </w:style>
  <w:style w:type="paragraph" w:styleId="HTML-adres">
    <w:name w:val="HTML Address"/>
    <w:basedOn w:val="Normalny"/>
    <w:link w:val="HTML-adresZnak"/>
    <w:uiPriority w:val="98"/>
    <w:semiHidden/>
    <w:rsid w:val="00211F57"/>
    <w:rPr>
      <w:i/>
      <w:iCs/>
    </w:rPr>
  </w:style>
  <w:style w:type="character" w:customStyle="1" w:styleId="HTML-adresZnak">
    <w:name w:val="HTML - adres Znak"/>
    <w:basedOn w:val="Domylnaczcionkaakapitu"/>
    <w:link w:val="HTML-adres"/>
    <w:uiPriority w:val="98"/>
    <w:semiHidden/>
    <w:rsid w:val="00211F57"/>
    <w:rPr>
      <w:i/>
      <w:iCs/>
      <w:sz w:val="24"/>
      <w:szCs w:val="24"/>
      <w:lang w:val="pl-PL"/>
    </w:rPr>
  </w:style>
  <w:style w:type="character" w:styleId="HTML-cytat">
    <w:name w:val="HTML Cite"/>
    <w:basedOn w:val="Domylnaczcionkaakapitu"/>
    <w:uiPriority w:val="98"/>
    <w:semiHidden/>
    <w:rsid w:val="00211F57"/>
    <w:rPr>
      <w:i/>
      <w:iCs/>
    </w:rPr>
  </w:style>
  <w:style w:type="character" w:styleId="HTML-kod">
    <w:name w:val="HTML Code"/>
    <w:basedOn w:val="Domylnaczcionkaakapitu"/>
    <w:uiPriority w:val="98"/>
    <w:semiHidden/>
    <w:rsid w:val="00211F57"/>
    <w:rPr>
      <w:rFonts w:ascii="Consolas" w:hAnsi="Consolas" w:cs="Consolas"/>
      <w:sz w:val="20"/>
      <w:szCs w:val="20"/>
    </w:rPr>
  </w:style>
  <w:style w:type="character" w:styleId="HTML-definicja">
    <w:name w:val="HTML Definition"/>
    <w:basedOn w:val="Domylnaczcionkaakapitu"/>
    <w:uiPriority w:val="98"/>
    <w:semiHidden/>
    <w:rsid w:val="00211F57"/>
    <w:rPr>
      <w:i/>
      <w:iCs/>
    </w:rPr>
  </w:style>
  <w:style w:type="character" w:styleId="HTML-klawiatura">
    <w:name w:val="HTML Keyboard"/>
    <w:basedOn w:val="Domylnaczcionkaakapitu"/>
    <w:uiPriority w:val="98"/>
    <w:semiHidden/>
    <w:rsid w:val="00211F57"/>
    <w:rPr>
      <w:rFonts w:ascii="Consolas" w:hAnsi="Consolas" w:cs="Consolas"/>
      <w:sz w:val="20"/>
      <w:szCs w:val="20"/>
    </w:rPr>
  </w:style>
  <w:style w:type="paragraph" w:styleId="HTML-wstpniesformatowany">
    <w:name w:val="HTML Preformatted"/>
    <w:basedOn w:val="Normalny"/>
    <w:link w:val="HTML-wstpniesformatowanyZnak"/>
    <w:uiPriority w:val="98"/>
    <w:semiHidden/>
    <w:rsid w:val="00211F5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11F57"/>
    <w:rPr>
      <w:rFonts w:ascii="Consolas" w:hAnsi="Consolas" w:cs="Consolas"/>
      <w:sz w:val="20"/>
      <w:szCs w:val="20"/>
      <w:lang w:val="pl-PL"/>
    </w:rPr>
  </w:style>
  <w:style w:type="character" w:styleId="HTML-przykad">
    <w:name w:val="HTML Sample"/>
    <w:basedOn w:val="Domylnaczcionkaakapitu"/>
    <w:uiPriority w:val="98"/>
    <w:semiHidden/>
    <w:rsid w:val="00211F57"/>
    <w:rPr>
      <w:rFonts w:ascii="Consolas" w:hAnsi="Consolas" w:cs="Consolas"/>
      <w:sz w:val="24"/>
      <w:szCs w:val="24"/>
    </w:rPr>
  </w:style>
  <w:style w:type="character" w:styleId="HTML-staaszeroko">
    <w:name w:val="HTML Typewriter"/>
    <w:basedOn w:val="Domylnaczcionkaakapitu"/>
    <w:uiPriority w:val="98"/>
    <w:semiHidden/>
    <w:rsid w:val="00211F57"/>
    <w:rPr>
      <w:rFonts w:ascii="Consolas" w:hAnsi="Consolas" w:cs="Consolas"/>
      <w:sz w:val="20"/>
      <w:szCs w:val="20"/>
    </w:rPr>
  </w:style>
  <w:style w:type="character" w:styleId="HTML-zmienna">
    <w:name w:val="HTML Variable"/>
    <w:basedOn w:val="Domylnaczcionkaakapitu"/>
    <w:uiPriority w:val="98"/>
    <w:semiHidden/>
    <w:rsid w:val="00211F57"/>
    <w:rPr>
      <w:i/>
      <w:iCs/>
    </w:rPr>
  </w:style>
  <w:style w:type="paragraph" w:styleId="Indeks1">
    <w:name w:val="index 1"/>
    <w:basedOn w:val="Normalny"/>
    <w:next w:val="Normalny"/>
    <w:autoRedefine/>
    <w:uiPriority w:val="98"/>
    <w:semiHidden/>
    <w:rsid w:val="00211F57"/>
    <w:pPr>
      <w:ind w:left="240" w:hanging="240"/>
    </w:pPr>
  </w:style>
  <w:style w:type="paragraph" w:styleId="Indeks2">
    <w:name w:val="index 2"/>
    <w:basedOn w:val="Normalny"/>
    <w:next w:val="Normalny"/>
    <w:autoRedefine/>
    <w:uiPriority w:val="98"/>
    <w:semiHidden/>
    <w:rsid w:val="00211F57"/>
    <w:pPr>
      <w:ind w:left="480" w:hanging="240"/>
    </w:pPr>
  </w:style>
  <w:style w:type="paragraph" w:styleId="Indeks3">
    <w:name w:val="index 3"/>
    <w:basedOn w:val="Normalny"/>
    <w:next w:val="Normalny"/>
    <w:autoRedefine/>
    <w:uiPriority w:val="98"/>
    <w:semiHidden/>
    <w:rsid w:val="00211F57"/>
    <w:pPr>
      <w:ind w:left="720" w:hanging="240"/>
    </w:pPr>
  </w:style>
  <w:style w:type="paragraph" w:styleId="Indeks4">
    <w:name w:val="index 4"/>
    <w:basedOn w:val="Normalny"/>
    <w:next w:val="Normalny"/>
    <w:autoRedefine/>
    <w:uiPriority w:val="98"/>
    <w:semiHidden/>
    <w:rsid w:val="00211F57"/>
    <w:pPr>
      <w:ind w:left="960" w:hanging="240"/>
    </w:pPr>
  </w:style>
  <w:style w:type="paragraph" w:styleId="Indeks5">
    <w:name w:val="index 5"/>
    <w:basedOn w:val="Normalny"/>
    <w:next w:val="Normalny"/>
    <w:autoRedefine/>
    <w:uiPriority w:val="98"/>
    <w:semiHidden/>
    <w:rsid w:val="00211F57"/>
    <w:pPr>
      <w:ind w:left="1200" w:hanging="240"/>
    </w:pPr>
  </w:style>
  <w:style w:type="paragraph" w:styleId="Indeks6">
    <w:name w:val="index 6"/>
    <w:basedOn w:val="Normalny"/>
    <w:next w:val="Normalny"/>
    <w:autoRedefine/>
    <w:uiPriority w:val="98"/>
    <w:semiHidden/>
    <w:rsid w:val="00211F57"/>
    <w:pPr>
      <w:ind w:left="1440" w:hanging="240"/>
    </w:pPr>
  </w:style>
  <w:style w:type="paragraph" w:styleId="Indeks7">
    <w:name w:val="index 7"/>
    <w:basedOn w:val="Normalny"/>
    <w:next w:val="Normalny"/>
    <w:autoRedefine/>
    <w:uiPriority w:val="98"/>
    <w:semiHidden/>
    <w:rsid w:val="00211F57"/>
    <w:pPr>
      <w:ind w:left="1680" w:hanging="240"/>
    </w:pPr>
  </w:style>
  <w:style w:type="paragraph" w:styleId="Indeks8">
    <w:name w:val="index 8"/>
    <w:basedOn w:val="Normalny"/>
    <w:next w:val="Normalny"/>
    <w:autoRedefine/>
    <w:uiPriority w:val="98"/>
    <w:semiHidden/>
    <w:rsid w:val="00211F57"/>
    <w:pPr>
      <w:ind w:left="1920" w:hanging="240"/>
    </w:pPr>
  </w:style>
  <w:style w:type="paragraph" w:styleId="Indeks9">
    <w:name w:val="index 9"/>
    <w:basedOn w:val="Normalny"/>
    <w:next w:val="Normalny"/>
    <w:autoRedefine/>
    <w:uiPriority w:val="98"/>
    <w:semiHidden/>
    <w:rsid w:val="00211F57"/>
    <w:pPr>
      <w:ind w:left="2160" w:hanging="240"/>
    </w:pPr>
  </w:style>
  <w:style w:type="paragraph" w:styleId="Nagwekindeksu">
    <w:name w:val="index heading"/>
    <w:basedOn w:val="Normalny"/>
    <w:next w:val="Indeks1"/>
    <w:uiPriority w:val="98"/>
    <w:semiHidden/>
    <w:rsid w:val="00211F57"/>
    <w:rPr>
      <w:rFonts w:asciiTheme="majorHAnsi" w:eastAsiaTheme="majorEastAsia" w:hAnsiTheme="majorHAnsi" w:cstheme="majorBidi"/>
      <w:b/>
      <w:bCs/>
    </w:rPr>
  </w:style>
  <w:style w:type="table" w:styleId="Jasnasiatka">
    <w:name w:val="Light Grid"/>
    <w:basedOn w:val="Standardowy"/>
    <w:uiPriority w:val="62"/>
    <w:semiHidden/>
    <w:rsid w:val="00211F5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11F5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11F5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11F5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11F5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11F5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11F5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11F5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11F5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11F5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11F5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11F5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11F5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11F5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11F5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11F5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11F5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11F5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11F5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11F5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11F5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11F57"/>
  </w:style>
  <w:style w:type="paragraph" w:styleId="Lista">
    <w:name w:val="List"/>
    <w:basedOn w:val="Normalny"/>
    <w:uiPriority w:val="98"/>
    <w:semiHidden/>
    <w:rsid w:val="00211F57"/>
    <w:pPr>
      <w:ind w:left="283" w:hanging="283"/>
      <w:contextualSpacing/>
    </w:pPr>
  </w:style>
  <w:style w:type="paragraph" w:styleId="Lista2">
    <w:name w:val="List 2"/>
    <w:basedOn w:val="Normalny"/>
    <w:uiPriority w:val="98"/>
    <w:semiHidden/>
    <w:rsid w:val="00211F57"/>
    <w:pPr>
      <w:ind w:left="566" w:hanging="283"/>
      <w:contextualSpacing/>
    </w:pPr>
  </w:style>
  <w:style w:type="paragraph" w:styleId="Lista3">
    <w:name w:val="List 3"/>
    <w:basedOn w:val="Normalny"/>
    <w:uiPriority w:val="98"/>
    <w:semiHidden/>
    <w:rsid w:val="00211F57"/>
    <w:pPr>
      <w:ind w:left="849" w:hanging="283"/>
      <w:contextualSpacing/>
    </w:pPr>
  </w:style>
  <w:style w:type="paragraph" w:styleId="Lista4">
    <w:name w:val="List 4"/>
    <w:basedOn w:val="Normalny"/>
    <w:uiPriority w:val="98"/>
    <w:semiHidden/>
    <w:rsid w:val="00211F57"/>
    <w:pPr>
      <w:ind w:left="1132" w:hanging="283"/>
      <w:contextualSpacing/>
    </w:pPr>
  </w:style>
  <w:style w:type="paragraph" w:styleId="Lista5">
    <w:name w:val="List 5"/>
    <w:basedOn w:val="Normalny"/>
    <w:uiPriority w:val="98"/>
    <w:semiHidden/>
    <w:rsid w:val="00211F57"/>
    <w:pPr>
      <w:ind w:left="1415" w:hanging="283"/>
      <w:contextualSpacing/>
    </w:pPr>
  </w:style>
  <w:style w:type="paragraph" w:styleId="Listapunktowana2">
    <w:name w:val="List Bullet 2"/>
    <w:basedOn w:val="Normalny"/>
    <w:uiPriority w:val="98"/>
    <w:semiHidden/>
    <w:rsid w:val="00211F57"/>
    <w:pPr>
      <w:numPr>
        <w:numId w:val="11"/>
      </w:numPr>
      <w:contextualSpacing/>
    </w:pPr>
  </w:style>
  <w:style w:type="paragraph" w:styleId="Listapunktowana4">
    <w:name w:val="List Bullet 4"/>
    <w:basedOn w:val="Normalny"/>
    <w:uiPriority w:val="98"/>
    <w:semiHidden/>
    <w:rsid w:val="00211F57"/>
    <w:pPr>
      <w:numPr>
        <w:numId w:val="13"/>
      </w:numPr>
      <w:contextualSpacing/>
    </w:pPr>
  </w:style>
  <w:style w:type="paragraph" w:styleId="Listapunktowana5">
    <w:name w:val="List Bullet 5"/>
    <w:basedOn w:val="Normalny"/>
    <w:uiPriority w:val="98"/>
    <w:semiHidden/>
    <w:rsid w:val="00211F57"/>
    <w:pPr>
      <w:numPr>
        <w:numId w:val="14"/>
      </w:numPr>
      <w:contextualSpacing/>
    </w:pPr>
  </w:style>
  <w:style w:type="paragraph" w:styleId="Lista-kontynuacja">
    <w:name w:val="List Continue"/>
    <w:basedOn w:val="Normalny"/>
    <w:uiPriority w:val="98"/>
    <w:semiHidden/>
    <w:rsid w:val="00211F57"/>
    <w:pPr>
      <w:spacing w:after="120"/>
      <w:ind w:left="283"/>
      <w:contextualSpacing/>
    </w:pPr>
  </w:style>
  <w:style w:type="paragraph" w:styleId="Lista-kontynuacja2">
    <w:name w:val="List Continue 2"/>
    <w:basedOn w:val="Normalny"/>
    <w:uiPriority w:val="98"/>
    <w:semiHidden/>
    <w:rsid w:val="00211F57"/>
    <w:pPr>
      <w:spacing w:after="120"/>
      <w:ind w:left="566"/>
      <w:contextualSpacing/>
    </w:pPr>
  </w:style>
  <w:style w:type="paragraph" w:styleId="Lista-kontynuacja3">
    <w:name w:val="List Continue 3"/>
    <w:basedOn w:val="Normalny"/>
    <w:uiPriority w:val="98"/>
    <w:semiHidden/>
    <w:rsid w:val="00211F57"/>
    <w:pPr>
      <w:spacing w:after="120"/>
      <w:ind w:left="849"/>
      <w:contextualSpacing/>
    </w:pPr>
  </w:style>
  <w:style w:type="paragraph" w:styleId="Lista-kontynuacja4">
    <w:name w:val="List Continue 4"/>
    <w:basedOn w:val="Normalny"/>
    <w:uiPriority w:val="98"/>
    <w:semiHidden/>
    <w:rsid w:val="00211F57"/>
    <w:pPr>
      <w:spacing w:after="120"/>
      <w:ind w:left="1132"/>
      <w:contextualSpacing/>
    </w:pPr>
  </w:style>
  <w:style w:type="paragraph" w:styleId="Lista-kontynuacja5">
    <w:name w:val="List Continue 5"/>
    <w:basedOn w:val="Normalny"/>
    <w:uiPriority w:val="98"/>
    <w:semiHidden/>
    <w:rsid w:val="00211F57"/>
    <w:pPr>
      <w:spacing w:after="120"/>
      <w:ind w:left="1415"/>
      <w:contextualSpacing/>
    </w:pPr>
  </w:style>
  <w:style w:type="paragraph" w:styleId="Listanumerowana">
    <w:name w:val="List Number"/>
    <w:basedOn w:val="Normalny"/>
    <w:uiPriority w:val="98"/>
    <w:semiHidden/>
    <w:rsid w:val="00211F57"/>
    <w:pPr>
      <w:numPr>
        <w:numId w:val="15"/>
      </w:numPr>
      <w:contextualSpacing/>
    </w:pPr>
  </w:style>
  <w:style w:type="paragraph" w:styleId="Listanumerowana2">
    <w:name w:val="List Number 2"/>
    <w:basedOn w:val="Normalny"/>
    <w:uiPriority w:val="98"/>
    <w:semiHidden/>
    <w:rsid w:val="00211F57"/>
    <w:pPr>
      <w:numPr>
        <w:numId w:val="16"/>
      </w:numPr>
      <w:contextualSpacing/>
    </w:pPr>
  </w:style>
  <w:style w:type="paragraph" w:styleId="Listanumerowana3">
    <w:name w:val="List Number 3"/>
    <w:basedOn w:val="Normalny"/>
    <w:uiPriority w:val="98"/>
    <w:semiHidden/>
    <w:rsid w:val="00211F57"/>
    <w:pPr>
      <w:numPr>
        <w:numId w:val="17"/>
      </w:numPr>
      <w:contextualSpacing/>
    </w:pPr>
  </w:style>
  <w:style w:type="paragraph" w:styleId="Listanumerowana4">
    <w:name w:val="List Number 4"/>
    <w:basedOn w:val="Normalny"/>
    <w:uiPriority w:val="98"/>
    <w:semiHidden/>
    <w:rsid w:val="00211F57"/>
    <w:pPr>
      <w:numPr>
        <w:numId w:val="18"/>
      </w:numPr>
      <w:contextualSpacing/>
    </w:pPr>
  </w:style>
  <w:style w:type="paragraph" w:styleId="Listanumerowana5">
    <w:name w:val="List Number 5"/>
    <w:basedOn w:val="Normalny"/>
    <w:uiPriority w:val="98"/>
    <w:semiHidden/>
    <w:rsid w:val="00211F57"/>
    <w:pPr>
      <w:numPr>
        <w:numId w:val="19"/>
      </w:numPr>
      <w:contextualSpacing/>
    </w:pPr>
  </w:style>
  <w:style w:type="paragraph" w:styleId="Tekstmakra">
    <w:name w:val="macro"/>
    <w:link w:val="TekstmakraZnak"/>
    <w:uiPriority w:val="98"/>
    <w:semiHidden/>
    <w:rsid w:val="00211F5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11F57"/>
    <w:rPr>
      <w:rFonts w:ascii="Consolas" w:eastAsiaTheme="minorEastAsia" w:hAnsi="Consolas" w:cs="Consolas"/>
      <w:sz w:val="20"/>
      <w:szCs w:val="20"/>
    </w:rPr>
  </w:style>
  <w:style w:type="table" w:styleId="redniasiatka1">
    <w:name w:val="Medium Grid 1"/>
    <w:basedOn w:val="Standardowy"/>
    <w:uiPriority w:val="67"/>
    <w:semiHidden/>
    <w:rsid w:val="00211F5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11F5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11F5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11F5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11F5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11F5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11F5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11F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11F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11F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11F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11F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11F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11F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11F5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11F5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11F5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11F5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11F5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11F5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11F5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11F5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11F5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11F5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11F5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11F5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11F5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11F5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11F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11F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11F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11F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11F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11F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11F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11F5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11F57"/>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11F57"/>
    <w:rPr>
      <w:rFonts w:ascii="Times New Roman" w:hAnsi="Times New Roman" w:cs="Times New Roman"/>
    </w:rPr>
  </w:style>
  <w:style w:type="paragraph" w:styleId="Wcicienormalne">
    <w:name w:val="Normal Indent"/>
    <w:basedOn w:val="Normalny"/>
    <w:uiPriority w:val="98"/>
    <w:semiHidden/>
    <w:rsid w:val="00211F57"/>
    <w:pPr>
      <w:ind w:left="720"/>
    </w:pPr>
  </w:style>
  <w:style w:type="paragraph" w:styleId="Nagweknotatki">
    <w:name w:val="Note Heading"/>
    <w:basedOn w:val="Normalny"/>
    <w:next w:val="Normalny"/>
    <w:link w:val="NagweknotatkiZnak"/>
    <w:uiPriority w:val="98"/>
    <w:semiHidden/>
    <w:rsid w:val="00211F57"/>
  </w:style>
  <w:style w:type="character" w:customStyle="1" w:styleId="NagweknotatkiZnak">
    <w:name w:val="Nagłówek notatki Znak"/>
    <w:basedOn w:val="Domylnaczcionkaakapitu"/>
    <w:link w:val="Nagweknotatki"/>
    <w:uiPriority w:val="98"/>
    <w:semiHidden/>
    <w:rsid w:val="00211F57"/>
    <w:rPr>
      <w:sz w:val="24"/>
      <w:szCs w:val="24"/>
      <w:lang w:val="pl-PL"/>
    </w:rPr>
  </w:style>
  <w:style w:type="character" w:styleId="Tekstzastpczy">
    <w:name w:val="Placeholder Text"/>
    <w:basedOn w:val="Domylnaczcionkaakapitu"/>
    <w:uiPriority w:val="98"/>
    <w:semiHidden/>
    <w:rsid w:val="00211F57"/>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11F57"/>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11F57"/>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11F57"/>
  </w:style>
  <w:style w:type="character" w:customStyle="1" w:styleId="ZwrotgrzecznociowyZnak">
    <w:name w:val="Zwrot grzecznościowy Znak"/>
    <w:basedOn w:val="Domylnaczcionkaakapitu"/>
    <w:link w:val="Zwrotgrzecznociowy"/>
    <w:uiPriority w:val="98"/>
    <w:semiHidden/>
    <w:rsid w:val="00211F57"/>
    <w:rPr>
      <w:sz w:val="24"/>
      <w:szCs w:val="24"/>
      <w:lang w:val="pl-PL"/>
    </w:rPr>
  </w:style>
  <w:style w:type="paragraph" w:styleId="Podpis">
    <w:name w:val="Signature"/>
    <w:basedOn w:val="Normalny"/>
    <w:link w:val="PodpisZnak"/>
    <w:uiPriority w:val="98"/>
    <w:semiHidden/>
    <w:rsid w:val="00211F57"/>
    <w:pPr>
      <w:ind w:left="4252"/>
    </w:pPr>
  </w:style>
  <w:style w:type="character" w:customStyle="1" w:styleId="PodpisZnak">
    <w:name w:val="Podpis Znak"/>
    <w:basedOn w:val="Domylnaczcionkaakapitu"/>
    <w:link w:val="Podpis"/>
    <w:uiPriority w:val="98"/>
    <w:semiHidden/>
    <w:rsid w:val="00211F57"/>
    <w:rPr>
      <w:sz w:val="24"/>
      <w:szCs w:val="24"/>
      <w:lang w:val="pl-PL"/>
    </w:rPr>
  </w:style>
  <w:style w:type="table" w:styleId="Tabela-Efekty3D1">
    <w:name w:val="Table 3D effects 1"/>
    <w:basedOn w:val="Standardowy"/>
    <w:uiPriority w:val="99"/>
    <w:semiHidden/>
    <w:unhideWhenUsed/>
    <w:rsid w:val="00211F5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11F5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11F5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11F5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11F5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11F5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11F5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11F5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11F5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11F5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11F5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11F5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11F5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11F5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11F5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11F5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11F5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11F5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11F5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11F5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11F5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11F5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11F5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11F5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11F5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11F5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11F5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11F5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11F5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11F5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11F5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11F5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11F5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11F57"/>
    <w:pPr>
      <w:ind w:left="240" w:hanging="240"/>
    </w:pPr>
  </w:style>
  <w:style w:type="paragraph" w:styleId="Spisilustracji">
    <w:name w:val="table of figures"/>
    <w:basedOn w:val="Normalny"/>
    <w:next w:val="Normalny"/>
    <w:uiPriority w:val="98"/>
    <w:semiHidden/>
    <w:rsid w:val="00211F57"/>
  </w:style>
  <w:style w:type="table" w:styleId="Tabela-Profesjonalny">
    <w:name w:val="Table Professional"/>
    <w:basedOn w:val="Standardowy"/>
    <w:uiPriority w:val="99"/>
    <w:semiHidden/>
    <w:unhideWhenUsed/>
    <w:rsid w:val="00211F5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11F5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11F5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11F5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11F5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11F5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11F5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11F5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11F5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11F5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11F5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11F5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11F57"/>
    <w:pPr>
      <w:spacing w:after="100"/>
      <w:ind w:left="1680"/>
    </w:pPr>
  </w:style>
  <w:style w:type="paragraph" w:styleId="Spistreci9">
    <w:name w:val="toc 9"/>
    <w:basedOn w:val="Normalny"/>
    <w:next w:val="Normalny"/>
    <w:autoRedefine/>
    <w:uiPriority w:val="98"/>
    <w:semiHidden/>
    <w:rsid w:val="00211F57"/>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211F57"/>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11F57"/>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11F57"/>
    <w:pPr>
      <w:keepNext/>
      <w:keepLines/>
      <w:spacing w:before="1320" w:after="280"/>
      <w:contextualSpacing/>
      <w:jc w:val="center"/>
    </w:pPr>
    <w:rPr>
      <w:b/>
    </w:rPr>
  </w:style>
  <w:style w:type="paragraph" w:customStyle="1" w:styleId="DummyStyle">
    <w:name w:val="Dummy_Style"/>
    <w:aliases w:val="_Dummy"/>
    <w:basedOn w:val="Normalny"/>
    <w:semiHidden/>
    <w:qFormat/>
    <w:rsid w:val="00211F57"/>
    <w:rPr>
      <w:color w:val="00B050"/>
      <w:sz w:val="22"/>
    </w:rPr>
  </w:style>
  <w:style w:type="paragraph" w:customStyle="1" w:styleId="ECHRBullet1">
    <w:name w:val="ECHR_Bullet_1"/>
    <w:aliases w:val="_Bul_1"/>
    <w:basedOn w:val="NormalJustified"/>
    <w:uiPriority w:val="23"/>
    <w:semiHidden/>
    <w:qFormat/>
    <w:rsid w:val="00211F57"/>
    <w:pPr>
      <w:numPr>
        <w:numId w:val="7"/>
      </w:numPr>
      <w:spacing w:before="60" w:after="60"/>
    </w:pPr>
  </w:style>
  <w:style w:type="paragraph" w:customStyle="1" w:styleId="ECHRBullet2">
    <w:name w:val="ECHR_Bullet_2"/>
    <w:aliases w:val="_Bul_2"/>
    <w:basedOn w:val="ECHRBullet1"/>
    <w:uiPriority w:val="23"/>
    <w:semiHidden/>
    <w:rsid w:val="00211F57"/>
    <w:pPr>
      <w:numPr>
        <w:ilvl w:val="1"/>
      </w:numPr>
    </w:pPr>
  </w:style>
  <w:style w:type="paragraph" w:customStyle="1" w:styleId="ECHRBullet3">
    <w:name w:val="ECHR_Bullet_3"/>
    <w:aliases w:val="_Bul_3"/>
    <w:basedOn w:val="ECHRBullet2"/>
    <w:uiPriority w:val="23"/>
    <w:semiHidden/>
    <w:rsid w:val="00211F57"/>
    <w:pPr>
      <w:numPr>
        <w:ilvl w:val="2"/>
      </w:numPr>
    </w:pPr>
  </w:style>
  <w:style w:type="paragraph" w:customStyle="1" w:styleId="ECHRBullet4">
    <w:name w:val="ECHR_Bullet_4"/>
    <w:aliases w:val="_Bul_4"/>
    <w:basedOn w:val="ECHRBullet3"/>
    <w:uiPriority w:val="23"/>
    <w:semiHidden/>
    <w:rsid w:val="00211F57"/>
    <w:pPr>
      <w:numPr>
        <w:ilvl w:val="3"/>
      </w:numPr>
    </w:pPr>
  </w:style>
  <w:style w:type="paragraph" w:customStyle="1" w:styleId="ECHRConfidential">
    <w:name w:val="ECHR_Confidential"/>
    <w:aliases w:val="_Confidential"/>
    <w:basedOn w:val="Normalny"/>
    <w:next w:val="Normalny"/>
    <w:uiPriority w:val="42"/>
    <w:semiHidden/>
    <w:qFormat/>
    <w:rsid w:val="00211F57"/>
    <w:pPr>
      <w:jc w:val="right"/>
    </w:pPr>
    <w:rPr>
      <w:color w:val="C00000"/>
      <w:sz w:val="20"/>
    </w:rPr>
  </w:style>
  <w:style w:type="paragraph" w:customStyle="1" w:styleId="ECHRDecisionBody">
    <w:name w:val="ECHR_Decision_Body"/>
    <w:aliases w:val="_Decision_Body"/>
    <w:basedOn w:val="NormalJustified"/>
    <w:uiPriority w:val="54"/>
    <w:semiHidden/>
    <w:rsid w:val="00211F57"/>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11F57"/>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11F57"/>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11F5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211F57"/>
    <w:pPr>
      <w:jc w:val="right"/>
    </w:pPr>
    <w:rPr>
      <w:sz w:val="20"/>
    </w:rPr>
  </w:style>
  <w:style w:type="paragraph" w:customStyle="1" w:styleId="ECHRHeaderRefIt">
    <w:name w:val="ECHR_Header_Ref_It"/>
    <w:aliases w:val="_Ref_Ital"/>
    <w:basedOn w:val="Normalny"/>
    <w:next w:val="ECHRHeaderDate"/>
    <w:uiPriority w:val="43"/>
    <w:semiHidden/>
    <w:qFormat/>
    <w:rsid w:val="00211F57"/>
    <w:pPr>
      <w:jc w:val="right"/>
    </w:pPr>
    <w:rPr>
      <w:i/>
      <w:sz w:val="20"/>
    </w:rPr>
  </w:style>
  <w:style w:type="paragraph" w:customStyle="1" w:styleId="ECHRHeading9">
    <w:name w:val="ECHR_Heading_9"/>
    <w:aliases w:val="_Head_9"/>
    <w:basedOn w:val="Nagwek9"/>
    <w:uiPriority w:val="17"/>
    <w:semiHidden/>
    <w:rsid w:val="00211F57"/>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211F57"/>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211F57"/>
    <w:pPr>
      <w:numPr>
        <w:numId w:val="9"/>
      </w:numPr>
      <w:spacing w:before="60" w:after="60"/>
    </w:pPr>
  </w:style>
  <w:style w:type="paragraph" w:customStyle="1" w:styleId="ECHRNumberedList2">
    <w:name w:val="ECHR_Numbered_List_2"/>
    <w:aliases w:val="_Num_2"/>
    <w:basedOn w:val="ECHRNumberedList1"/>
    <w:uiPriority w:val="23"/>
    <w:semiHidden/>
    <w:rsid w:val="00211F57"/>
    <w:pPr>
      <w:numPr>
        <w:ilvl w:val="1"/>
      </w:numPr>
    </w:pPr>
  </w:style>
  <w:style w:type="paragraph" w:customStyle="1" w:styleId="ECHRNumberedList3">
    <w:name w:val="ECHR_Numbered_List_3"/>
    <w:aliases w:val="_Num_3"/>
    <w:basedOn w:val="ECHRNumberedList2"/>
    <w:uiPriority w:val="23"/>
    <w:semiHidden/>
    <w:rsid w:val="00211F57"/>
    <w:pPr>
      <w:numPr>
        <w:ilvl w:val="2"/>
      </w:numPr>
    </w:pPr>
  </w:style>
  <w:style w:type="paragraph" w:customStyle="1" w:styleId="ECHRParaHanging">
    <w:name w:val="ECHR_Para_Hanging"/>
    <w:aliases w:val="_Hanging"/>
    <w:basedOn w:val="Normalny"/>
    <w:uiPriority w:val="8"/>
    <w:semiHidden/>
    <w:qFormat/>
    <w:rsid w:val="00211F57"/>
    <w:pPr>
      <w:ind w:left="567" w:hanging="567"/>
      <w:jc w:val="both"/>
    </w:pPr>
  </w:style>
  <w:style w:type="paragraph" w:customStyle="1" w:styleId="ECHRParaIndent">
    <w:name w:val="ECHR_Para_Indent"/>
    <w:aliases w:val="_Indent"/>
    <w:basedOn w:val="Normalny"/>
    <w:uiPriority w:val="7"/>
    <w:semiHidden/>
    <w:qFormat/>
    <w:rsid w:val="00211F57"/>
    <w:pPr>
      <w:spacing w:before="120" w:after="120"/>
      <w:ind w:left="284"/>
      <w:jc w:val="both"/>
    </w:pPr>
  </w:style>
  <w:style w:type="character" w:customStyle="1" w:styleId="ECHRRed">
    <w:name w:val="ECHR_Red"/>
    <w:aliases w:val="_Red"/>
    <w:basedOn w:val="Domylnaczcionkaakapitu"/>
    <w:uiPriority w:val="15"/>
    <w:semiHidden/>
    <w:qFormat/>
    <w:rsid w:val="00211F57"/>
    <w:rPr>
      <w:color w:val="C00000" w:themeColor="accent2"/>
    </w:rPr>
  </w:style>
  <w:style w:type="paragraph" w:customStyle="1" w:styleId="ECHRSpacer">
    <w:name w:val="ECHR_Spacer"/>
    <w:aliases w:val="_Spacer"/>
    <w:basedOn w:val="Normalny"/>
    <w:uiPriority w:val="45"/>
    <w:semiHidden/>
    <w:rsid w:val="00211F57"/>
    <w:rPr>
      <w:sz w:val="4"/>
    </w:rPr>
  </w:style>
  <w:style w:type="table" w:customStyle="1" w:styleId="ECHRTable2">
    <w:name w:val="ECHR_Table_2"/>
    <w:basedOn w:val="Standardowy"/>
    <w:uiPriority w:val="99"/>
    <w:rsid w:val="00211F5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11F5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211F5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11F5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11F57"/>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211F5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11F5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11F5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11F57"/>
    <w:pPr>
      <w:outlineLvl w:val="0"/>
    </w:pPr>
  </w:style>
  <w:style w:type="paragraph" w:customStyle="1" w:styleId="ECHRTitleTOC1">
    <w:name w:val="ECHR_Title_TOC_1"/>
    <w:aliases w:val="_Title_L_TOC"/>
    <w:basedOn w:val="ECHRTitle1"/>
    <w:next w:val="Normalny"/>
    <w:uiPriority w:val="27"/>
    <w:semiHidden/>
    <w:qFormat/>
    <w:rsid w:val="00211F57"/>
    <w:pPr>
      <w:outlineLvl w:val="0"/>
    </w:pPr>
  </w:style>
  <w:style w:type="character" w:customStyle="1" w:styleId="JuParaChar">
    <w:name w:val="Ju_Para Char"/>
    <w:aliases w:val="_Para Char"/>
    <w:link w:val="JuPara"/>
    <w:uiPriority w:val="4"/>
    <w:rsid w:val="00A9185A"/>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E44A51-742B-426A-8CEE-A2DE0849D317}">
  <ds:schemaRefs>
    <ds:schemaRef ds:uri="http://schemas.microsoft.com/sharepoint/v3/contenttype/forms"/>
  </ds:schemaRefs>
</ds:datastoreItem>
</file>

<file path=customXml/itemProps2.xml><?xml version="1.0" encoding="utf-8"?>
<ds:datastoreItem xmlns:ds="http://schemas.openxmlformats.org/officeDocument/2006/customXml" ds:itemID="{E69D0695-9F95-49C3-B112-2AF1300DBD3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4E06B6-4359-4DE7-958A-8FC2C170F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7A2A365-4C25-4070-9AC1-782735AE3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3711</Words>
  <Characters>22269</Characters>
  <Application>Microsoft Office Word</Application>
  <DocSecurity>4</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2020-08-10T12:21:00Z</dcterms:created>
  <dcterms:modified xsi:type="dcterms:W3CDTF">2020-08-10T12:21:00Z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69143/12</vt:lpwstr>
  </property>
  <property fmtid="{D5CDD505-2E9C-101B-9397-08002B2CF9AE}" pid="4" name="CASEID">
    <vt:lpwstr>837781</vt:lpwstr>
  </property>
  <property fmtid="{D5CDD505-2E9C-101B-9397-08002B2CF9AE}" pid="5" name="ContentTypeId">
    <vt:lpwstr>0x010100558EB02BDB9E204AB350EDD385B68E10</vt:lpwstr>
  </property>
</Properties>
</file>