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D5E" w:rsidRDefault="00220D5E" w:rsidP="00220D5E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 w:rsidR="00534421" w:rsidRPr="00F6516D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</w:p>
    <w:p w:rsidR="00220D5E" w:rsidRDefault="00220D5E" w:rsidP="00220D5E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273A87" w:rsidRPr="00C83EEF" w:rsidRDefault="00220D5E" w:rsidP="00220D5E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="00C12971" w:rsidRPr="00C83EEF">
        <w:rPr>
          <w:lang w:val="pl-PL"/>
        </w:rPr>
        <w:t xml:space="preserve"> 228</w:t>
      </w:r>
    </w:p>
    <w:p w:rsidR="00273A87" w:rsidRPr="00C83EEF" w:rsidRDefault="00C83EEF">
      <w:pPr>
        <w:pStyle w:val="ClinEditionMonth"/>
        <w:rPr>
          <w:lang w:val="pl-PL"/>
        </w:rPr>
      </w:pPr>
      <w:r w:rsidRPr="00C83EEF">
        <w:rPr>
          <w:lang w:val="pl-PL"/>
        </w:rPr>
        <w:t xml:space="preserve">Kwiecień </w:t>
      </w:r>
      <w:r w:rsidR="00C12971" w:rsidRPr="00C83EEF">
        <w:rPr>
          <w:lang w:val="pl-PL"/>
        </w:rPr>
        <w:t>2019</w:t>
      </w:r>
      <w:r w:rsidRPr="00C83EEF">
        <w:rPr>
          <w:lang w:val="pl-PL"/>
        </w:rPr>
        <w:t xml:space="preserve"> r.</w:t>
      </w:r>
    </w:p>
    <w:p w:rsidR="00273A87" w:rsidRPr="00C83EEF" w:rsidRDefault="00C83EEF">
      <w:pPr>
        <w:rPr>
          <w:lang w:val="pl-PL"/>
        </w:rPr>
      </w:pPr>
      <w:proofErr w:type="spellStart"/>
      <w:r w:rsidRPr="00C83EEF">
        <w:rPr>
          <w:rStyle w:val="ClinCaseTitle"/>
          <w:lang w:val="pl-PL"/>
        </w:rPr>
        <w:t>Taşdemir</w:t>
      </w:r>
      <w:proofErr w:type="spellEnd"/>
      <w:r w:rsidRPr="00C83EEF">
        <w:rPr>
          <w:rStyle w:val="ClinCaseTitle"/>
          <w:lang w:val="pl-PL"/>
        </w:rPr>
        <w:t xml:space="preserve"> p</w:t>
      </w:r>
      <w:r w:rsidR="00C12971" w:rsidRPr="00C83EEF">
        <w:rPr>
          <w:rStyle w:val="ClinCaseTitle"/>
          <w:lang w:val="pl-PL"/>
        </w:rPr>
        <w:t>. Tur</w:t>
      </w:r>
      <w:r>
        <w:rPr>
          <w:rStyle w:val="ClinCaseTitle"/>
          <w:lang w:val="pl-PL"/>
        </w:rPr>
        <w:t>cji</w:t>
      </w:r>
      <w:r w:rsidR="00C12971" w:rsidRPr="00C83EEF">
        <w:rPr>
          <w:rStyle w:val="ClinCaseTitle"/>
          <w:lang w:val="pl-PL"/>
        </w:rPr>
        <w:t xml:space="preserve"> (dec.)</w:t>
      </w:r>
      <w:r>
        <w:rPr>
          <w:rStyle w:val="ClinCaseTitle"/>
          <w:lang w:val="pl-PL"/>
        </w:rPr>
        <w:t xml:space="preserve">, </w:t>
      </w:r>
      <w:r>
        <w:rPr>
          <w:rStyle w:val="ClinCaseTitle"/>
          <w:i w:val="0"/>
          <w:lang w:val="pl-PL"/>
        </w:rPr>
        <w:t xml:space="preserve">skarga nr </w:t>
      </w:r>
      <w:r w:rsidR="00C12971" w:rsidRPr="00C83EEF">
        <w:rPr>
          <w:rStyle w:val="ClinApplicationNumber"/>
          <w:lang w:val="pl-PL"/>
        </w:rPr>
        <w:t>52538/09</w:t>
      </w:r>
    </w:p>
    <w:p w:rsidR="00273A87" w:rsidRPr="00C83EEF" w:rsidRDefault="00C83EEF">
      <w:pPr>
        <w:rPr>
          <w:lang w:val="pl-PL"/>
        </w:rPr>
      </w:pPr>
      <w:r w:rsidRPr="00C83EEF">
        <w:rPr>
          <w:rStyle w:val="ClinHudocDocumentTitle"/>
          <w:lang w:val="pl-PL"/>
        </w:rPr>
        <w:t xml:space="preserve">Decyzja z </w:t>
      </w:r>
      <w:r w:rsidR="00C12971" w:rsidRPr="00C83EEF">
        <w:rPr>
          <w:rStyle w:val="ClinHudocDocumentTitle"/>
          <w:lang w:val="pl-PL"/>
        </w:rPr>
        <w:t>12.</w:t>
      </w:r>
      <w:r w:rsidRPr="00C83EEF">
        <w:rPr>
          <w:rStyle w:val="ClinHudocDocumentTitle"/>
          <w:lang w:val="pl-PL"/>
        </w:rPr>
        <w:t>0</w:t>
      </w:r>
      <w:r w:rsidR="00C12971" w:rsidRPr="00C83EEF">
        <w:rPr>
          <w:rStyle w:val="ClinHudocDocumentTitle"/>
          <w:lang w:val="pl-PL"/>
        </w:rPr>
        <w:t>3.2019</w:t>
      </w:r>
      <w:r w:rsidR="00C12971" w:rsidRPr="00C83EEF">
        <w:rPr>
          <w:rStyle w:val="ClinSectionName"/>
          <w:lang w:val="pl-PL"/>
        </w:rPr>
        <w:t xml:space="preserve"> </w:t>
      </w:r>
      <w:r w:rsidRPr="00C83EEF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C12971" w:rsidRPr="00C83EEF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Druga Sekcja</w:t>
      </w:r>
      <w:r w:rsidR="00C12971" w:rsidRPr="00C83EEF">
        <w:rPr>
          <w:rStyle w:val="ClinSectionName"/>
          <w:lang w:val="pl-PL"/>
        </w:rPr>
        <w:t>]</w:t>
      </w:r>
    </w:p>
    <w:p w:rsidR="00273A87" w:rsidRPr="00534421" w:rsidRDefault="00C12971">
      <w:pPr>
        <w:pStyle w:val="ClinMainKeywordCode"/>
        <w:rPr>
          <w:lang w:val="pl-PL"/>
        </w:rPr>
      </w:pPr>
      <w:r w:rsidRPr="00534421">
        <w:rPr>
          <w:lang w:val="pl-PL"/>
        </w:rPr>
        <w:t>Art</w:t>
      </w:r>
      <w:r w:rsidR="00C83EEF" w:rsidRPr="00534421">
        <w:rPr>
          <w:lang w:val="pl-PL"/>
        </w:rPr>
        <w:t>.</w:t>
      </w:r>
      <w:r w:rsidRPr="00534421">
        <w:rPr>
          <w:lang w:val="pl-PL"/>
        </w:rPr>
        <w:t xml:space="preserve"> 37</w:t>
      </w:r>
    </w:p>
    <w:p w:rsidR="00273A87" w:rsidRPr="00C83EEF" w:rsidRDefault="00C12971">
      <w:pPr>
        <w:pStyle w:val="ClinChildKeywordCode"/>
        <w:rPr>
          <w:lang w:val="pl-PL"/>
        </w:rPr>
      </w:pPr>
      <w:r w:rsidRPr="00C83EEF">
        <w:rPr>
          <w:lang w:val="pl-PL"/>
        </w:rPr>
        <w:t>Art</w:t>
      </w:r>
      <w:r w:rsidR="00C83EEF" w:rsidRPr="00C83EEF">
        <w:rPr>
          <w:lang w:val="pl-PL"/>
        </w:rPr>
        <w:t>.</w:t>
      </w:r>
      <w:r w:rsidRPr="00C83EEF">
        <w:rPr>
          <w:lang w:val="pl-PL"/>
        </w:rPr>
        <w:t xml:space="preserve"> 37</w:t>
      </w:r>
      <w:r w:rsidR="00C83EEF" w:rsidRPr="00C83EEF">
        <w:rPr>
          <w:lang w:val="pl-PL"/>
        </w:rPr>
        <w:t xml:space="preserve"> ust. </w:t>
      </w:r>
      <w:r w:rsidRPr="00C83EEF">
        <w:rPr>
          <w:lang w:val="pl-PL"/>
        </w:rPr>
        <w:t>1</w:t>
      </w:r>
    </w:p>
    <w:p w:rsidR="00273A87" w:rsidRPr="00C83EEF" w:rsidRDefault="00C83EEF">
      <w:pPr>
        <w:pStyle w:val="ClinKeyword"/>
        <w:rPr>
          <w:lang w:val="pl-PL"/>
        </w:rPr>
      </w:pPr>
      <w:r w:rsidRPr="00C83EEF">
        <w:rPr>
          <w:lang w:val="pl-PL"/>
        </w:rPr>
        <w:t xml:space="preserve">Skreślenie skarg z listy </w:t>
      </w:r>
      <w:r>
        <w:rPr>
          <w:lang w:val="pl-PL"/>
        </w:rPr>
        <w:t>spraw</w:t>
      </w:r>
    </w:p>
    <w:p w:rsidR="00C83EEF" w:rsidRPr="00C83EEF" w:rsidRDefault="00C83EEF" w:rsidP="00534421">
      <w:pPr>
        <w:jc w:val="both"/>
        <w:rPr>
          <w:lang w:val="pl-PL"/>
        </w:rPr>
      </w:pPr>
      <w:r w:rsidRPr="00C83EEF">
        <w:rPr>
          <w:rStyle w:val="ClinConclusions"/>
          <w:i w:val="0"/>
          <w:lang w:val="pl-PL"/>
        </w:rPr>
        <w:t>Deklaracje jednostronne niezawierające zobowiązania do wznowienia śledztwa w</w:t>
      </w:r>
      <w:r w:rsidR="00A128F6">
        <w:rPr>
          <w:rStyle w:val="ClinConclusions"/>
          <w:i w:val="0"/>
          <w:lang w:val="pl-PL"/>
        </w:rPr>
        <w:t> </w:t>
      </w:r>
      <w:r w:rsidRPr="00C83EEF">
        <w:rPr>
          <w:rStyle w:val="ClinConclusions"/>
          <w:i w:val="0"/>
          <w:lang w:val="pl-PL"/>
        </w:rPr>
        <w:t xml:space="preserve">sprawach, w których takie wznowienie jest </w:t>
      </w:r>
      <w:r w:rsidR="00534421" w:rsidRPr="00C83EEF">
        <w:rPr>
          <w:rStyle w:val="ClinConclusions"/>
          <w:lang w:val="pl-PL"/>
        </w:rPr>
        <w:t>de iure</w:t>
      </w:r>
      <w:r w:rsidR="00534421" w:rsidRPr="00C83EEF">
        <w:rPr>
          <w:rStyle w:val="ClinConclusions"/>
          <w:i w:val="0"/>
          <w:lang w:val="pl-PL"/>
        </w:rPr>
        <w:t xml:space="preserve"> lub </w:t>
      </w:r>
      <w:r w:rsidR="00534421" w:rsidRPr="00C83EEF">
        <w:rPr>
          <w:rStyle w:val="ClinConclusions"/>
          <w:lang w:val="pl-PL"/>
        </w:rPr>
        <w:t>de facto</w:t>
      </w:r>
      <w:r w:rsidR="00534421" w:rsidRPr="00C83EEF">
        <w:rPr>
          <w:rStyle w:val="ClinConclusions"/>
          <w:i w:val="0"/>
          <w:lang w:val="pl-PL"/>
        </w:rPr>
        <w:t xml:space="preserve"> </w:t>
      </w:r>
      <w:r w:rsidRPr="00C83EEF">
        <w:rPr>
          <w:rStyle w:val="ClinConclusions"/>
          <w:i w:val="0"/>
          <w:lang w:val="pl-PL"/>
        </w:rPr>
        <w:t xml:space="preserve">niemożliwe: </w:t>
      </w:r>
      <w:r w:rsidRPr="00C83EEF">
        <w:rPr>
          <w:rStyle w:val="ClinConclusions"/>
          <w:lang w:val="pl-PL"/>
        </w:rPr>
        <w:t>skreślenie</w:t>
      </w:r>
      <w:r w:rsidR="00FE0D82">
        <w:rPr>
          <w:rStyle w:val="ClinConclusions"/>
          <w:lang w:val="pl-PL"/>
        </w:rPr>
        <w:t xml:space="preserve">  skarg z listy spraw</w:t>
      </w:r>
    </w:p>
    <w:p w:rsidR="00C83EEF" w:rsidRPr="00C83EEF" w:rsidRDefault="00C83EEF" w:rsidP="00C83EEF">
      <w:pPr>
        <w:pStyle w:val="ClinContent"/>
        <w:rPr>
          <w:lang w:val="pl-PL"/>
        </w:rPr>
      </w:pPr>
      <w:r w:rsidRPr="00C83EEF">
        <w:rPr>
          <w:lang w:val="pl-PL"/>
        </w:rPr>
        <w:t>[Niniejsze streszczenie obejm</w:t>
      </w:r>
      <w:r>
        <w:rPr>
          <w:lang w:val="pl-PL"/>
        </w:rPr>
        <w:t xml:space="preserve">uje także decyzje w sprawach </w:t>
      </w:r>
      <w:proofErr w:type="spellStart"/>
      <w:r w:rsidRPr="00C83EEF">
        <w:rPr>
          <w:i/>
          <w:lang w:val="pl-PL"/>
        </w:rPr>
        <w:t>Kutlu</w:t>
      </w:r>
      <w:proofErr w:type="spellEnd"/>
      <w:r w:rsidRPr="00C83EEF">
        <w:rPr>
          <w:i/>
          <w:lang w:val="pl-PL"/>
        </w:rPr>
        <w:t xml:space="preserve"> i Inni p. Turcji</w:t>
      </w:r>
      <w:r>
        <w:rPr>
          <w:lang w:val="pl-PL"/>
        </w:rPr>
        <w:t>, nr</w:t>
      </w:r>
      <w:r w:rsidR="00A128F6">
        <w:rPr>
          <w:lang w:val="pl-PL"/>
        </w:rPr>
        <w:t> </w:t>
      </w:r>
      <w:r w:rsidRPr="00C83EEF">
        <w:rPr>
          <w:lang w:val="pl-PL"/>
        </w:rPr>
        <w:t xml:space="preserve">18357/11, </w:t>
      </w:r>
      <w:r>
        <w:rPr>
          <w:lang w:val="pl-PL"/>
        </w:rPr>
        <w:t xml:space="preserve">oraz </w:t>
      </w:r>
      <w:proofErr w:type="spellStart"/>
      <w:r>
        <w:rPr>
          <w:i/>
          <w:lang w:val="pl-PL"/>
        </w:rPr>
        <w:t>Karaca</w:t>
      </w:r>
      <w:proofErr w:type="spellEnd"/>
      <w:r>
        <w:rPr>
          <w:i/>
          <w:lang w:val="pl-PL"/>
        </w:rPr>
        <w:t xml:space="preserve"> p</w:t>
      </w:r>
      <w:r w:rsidRPr="00C83EEF">
        <w:rPr>
          <w:i/>
          <w:lang w:val="pl-PL"/>
        </w:rPr>
        <w:t>. Tur</w:t>
      </w:r>
      <w:r>
        <w:rPr>
          <w:i/>
          <w:lang w:val="pl-PL"/>
        </w:rPr>
        <w:t>cji</w:t>
      </w:r>
      <w:r w:rsidRPr="00C83EEF">
        <w:rPr>
          <w:lang w:val="pl-PL"/>
        </w:rPr>
        <w:t xml:space="preserve">, </w:t>
      </w:r>
      <w:r>
        <w:rPr>
          <w:lang w:val="pl-PL"/>
        </w:rPr>
        <w:t xml:space="preserve">nr </w:t>
      </w:r>
      <w:r w:rsidRPr="00C83EEF">
        <w:rPr>
          <w:lang w:val="pl-PL"/>
        </w:rPr>
        <w:t>5809/13, 12 </w:t>
      </w:r>
      <w:r>
        <w:rPr>
          <w:lang w:val="pl-PL"/>
        </w:rPr>
        <w:t>marca</w:t>
      </w:r>
      <w:r w:rsidRPr="00C83EEF">
        <w:rPr>
          <w:lang w:val="pl-PL"/>
        </w:rPr>
        <w:t xml:space="preserve"> 2019</w:t>
      </w:r>
      <w:r>
        <w:rPr>
          <w:lang w:val="pl-PL"/>
        </w:rPr>
        <w:t xml:space="preserve"> r.</w:t>
      </w:r>
      <w:r w:rsidRPr="00C83EEF">
        <w:rPr>
          <w:lang w:val="pl-PL"/>
        </w:rPr>
        <w:t xml:space="preserve">] </w:t>
      </w:r>
    </w:p>
    <w:p w:rsidR="00C83EEF" w:rsidRPr="00C83EEF" w:rsidRDefault="00C83EEF">
      <w:pPr>
        <w:pStyle w:val="ClinContent"/>
        <w:rPr>
          <w:lang w:val="pl-PL"/>
        </w:rPr>
      </w:pPr>
      <w:r w:rsidRPr="00C83EEF">
        <w:rPr>
          <w:lang w:val="pl-PL"/>
        </w:rPr>
        <w:t xml:space="preserve">Fakty – Skarżący zarzucali, że ich krewni zostali bezprawnie zabici przez funkcjonariuszy państwa. </w:t>
      </w:r>
      <w:r>
        <w:rPr>
          <w:lang w:val="pl-PL"/>
        </w:rPr>
        <w:t>W dwóch skargach (</w:t>
      </w:r>
      <w:proofErr w:type="spellStart"/>
      <w:r w:rsidRPr="00C83EEF">
        <w:rPr>
          <w:i/>
          <w:lang w:val="pl-PL"/>
        </w:rPr>
        <w:t>Kutlu</w:t>
      </w:r>
      <w:proofErr w:type="spellEnd"/>
      <w:r w:rsidRPr="00C83EEF">
        <w:rPr>
          <w:i/>
          <w:lang w:val="pl-PL"/>
        </w:rPr>
        <w:t xml:space="preserve"> i Inni</w:t>
      </w:r>
      <w:r>
        <w:rPr>
          <w:lang w:val="pl-PL"/>
        </w:rPr>
        <w:t xml:space="preserve"> oraz </w:t>
      </w:r>
      <w:proofErr w:type="spellStart"/>
      <w:r w:rsidRPr="00C83EEF">
        <w:rPr>
          <w:i/>
          <w:lang w:val="pl-PL"/>
        </w:rPr>
        <w:t>Karaca</w:t>
      </w:r>
      <w:proofErr w:type="spellEnd"/>
      <w:r w:rsidR="00B62A32">
        <w:rPr>
          <w:lang w:val="pl-PL"/>
        </w:rPr>
        <w:t>) oskarżonych uniewinniono –</w:t>
      </w:r>
      <w:r>
        <w:rPr>
          <w:lang w:val="pl-PL"/>
        </w:rPr>
        <w:t xml:space="preserve"> odpowiednio ze względów dowodowych </w:t>
      </w:r>
      <w:r w:rsidR="000C50FB">
        <w:rPr>
          <w:lang w:val="pl-PL"/>
        </w:rPr>
        <w:t xml:space="preserve">i </w:t>
      </w:r>
      <w:r w:rsidR="00BA66DD">
        <w:rPr>
          <w:lang w:val="pl-PL"/>
        </w:rPr>
        <w:t xml:space="preserve">w </w:t>
      </w:r>
      <w:r w:rsidR="00534421">
        <w:rPr>
          <w:lang w:val="pl-PL"/>
        </w:rPr>
        <w:t>oparciu o prawo</w:t>
      </w:r>
      <w:r w:rsidR="000C50FB">
        <w:rPr>
          <w:lang w:val="pl-PL"/>
        </w:rPr>
        <w:t xml:space="preserve"> do obrony koniecznej</w:t>
      </w:r>
      <w:r>
        <w:rPr>
          <w:lang w:val="pl-PL"/>
        </w:rPr>
        <w:t>. W</w:t>
      </w:r>
      <w:r w:rsidR="00A128F6">
        <w:rPr>
          <w:lang w:val="pl-PL"/>
        </w:rPr>
        <w:t> </w:t>
      </w:r>
      <w:r>
        <w:rPr>
          <w:lang w:val="pl-PL"/>
        </w:rPr>
        <w:t xml:space="preserve">sprawie </w:t>
      </w:r>
      <w:proofErr w:type="spellStart"/>
      <w:r w:rsidRPr="00C83EEF">
        <w:rPr>
          <w:i/>
          <w:lang w:val="pl-PL"/>
        </w:rPr>
        <w:t>Taşdemir</w:t>
      </w:r>
      <w:proofErr w:type="spellEnd"/>
      <w:r w:rsidRPr="00C83EEF">
        <w:rPr>
          <w:i/>
          <w:lang w:val="pl-PL"/>
        </w:rPr>
        <w:t xml:space="preserve"> </w:t>
      </w:r>
      <w:r w:rsidRPr="00C83EEF">
        <w:rPr>
          <w:lang w:val="pl-PL"/>
        </w:rPr>
        <w:t>postępowanie umorzono na etapie postępowania apelacyjnego z</w:t>
      </w:r>
      <w:r w:rsidR="00A128F6">
        <w:rPr>
          <w:lang w:val="pl-PL"/>
        </w:rPr>
        <w:t> </w:t>
      </w:r>
      <w:r w:rsidRPr="00C83EEF">
        <w:rPr>
          <w:lang w:val="pl-PL"/>
        </w:rPr>
        <w:t>uwagi na upływ terminu przedawnienia.</w:t>
      </w:r>
    </w:p>
    <w:p w:rsidR="00C83EEF" w:rsidRPr="00C83EEF" w:rsidRDefault="00C83EEF">
      <w:pPr>
        <w:pStyle w:val="ClinContent"/>
        <w:rPr>
          <w:lang w:val="pl-PL"/>
        </w:rPr>
      </w:pPr>
      <w:r w:rsidRPr="00C83EEF">
        <w:rPr>
          <w:lang w:val="pl-PL"/>
        </w:rPr>
        <w:t>We wszystkich trzech sprawach Rząd przedłożył deklaracje jednostronne przyznając</w:t>
      </w:r>
      <w:r>
        <w:rPr>
          <w:lang w:val="pl-PL"/>
        </w:rPr>
        <w:t>e</w:t>
      </w:r>
      <w:r w:rsidRPr="00C83EEF">
        <w:rPr>
          <w:lang w:val="pl-PL"/>
        </w:rPr>
        <w:t>, że</w:t>
      </w:r>
      <w:r w:rsidR="00A128F6">
        <w:rPr>
          <w:lang w:val="pl-PL"/>
        </w:rPr>
        <w:t> </w:t>
      </w:r>
      <w:r w:rsidRPr="00C83EEF">
        <w:rPr>
          <w:lang w:val="pl-PL"/>
        </w:rPr>
        <w:t xml:space="preserve">doszło do naruszenia art. </w:t>
      </w:r>
      <w:r>
        <w:rPr>
          <w:lang w:val="pl-PL"/>
        </w:rPr>
        <w:t>2</w:t>
      </w:r>
      <w:r w:rsidR="008A29E2">
        <w:rPr>
          <w:lang w:val="pl-PL"/>
        </w:rPr>
        <w:t xml:space="preserve"> [</w:t>
      </w:r>
      <w:bookmarkStart w:id="0" w:name="_GoBack"/>
      <w:bookmarkEnd w:id="0"/>
      <w:r w:rsidR="008A29E2">
        <w:rPr>
          <w:lang w:val="pl-PL"/>
        </w:rPr>
        <w:t>Konwencji o ochronie praw człowieka i podstawowych wolności]</w:t>
      </w:r>
      <w:r>
        <w:rPr>
          <w:lang w:val="pl-PL"/>
        </w:rPr>
        <w:t xml:space="preserve"> i proponujące odszkodowanie, ale nie zawierające zobowiązania do wznowienia lub dalszego prowadzenia śledztw. </w:t>
      </w:r>
    </w:p>
    <w:p w:rsidR="0049294F" w:rsidRPr="0049294F" w:rsidRDefault="0049294F">
      <w:pPr>
        <w:pStyle w:val="ClinContent"/>
        <w:rPr>
          <w:lang w:val="pl-PL"/>
        </w:rPr>
      </w:pPr>
      <w:r w:rsidRPr="0049294F">
        <w:rPr>
          <w:i/>
          <w:lang w:val="pl-PL"/>
        </w:rPr>
        <w:t xml:space="preserve">Prawo – </w:t>
      </w:r>
      <w:r w:rsidRPr="0049294F">
        <w:rPr>
          <w:lang w:val="pl-PL"/>
        </w:rPr>
        <w:t xml:space="preserve">Art. 37 ust. 1 lit. c: W sprawie </w:t>
      </w:r>
      <w:proofErr w:type="spellStart"/>
      <w:r w:rsidRPr="0049294F">
        <w:rPr>
          <w:i/>
          <w:lang w:val="pl-PL"/>
        </w:rPr>
        <w:t>Kutlu</w:t>
      </w:r>
      <w:proofErr w:type="spellEnd"/>
      <w:r w:rsidRPr="0049294F">
        <w:rPr>
          <w:i/>
          <w:lang w:val="pl-PL"/>
        </w:rPr>
        <w:t xml:space="preserve"> i Inni</w:t>
      </w:r>
      <w:r>
        <w:rPr>
          <w:i/>
          <w:lang w:val="pl-PL"/>
        </w:rPr>
        <w:t xml:space="preserve"> </w:t>
      </w:r>
      <w:r w:rsidRPr="0049294F">
        <w:rPr>
          <w:lang w:val="pl-PL"/>
        </w:rPr>
        <w:t>sąd karny</w:t>
      </w:r>
      <w:r>
        <w:rPr>
          <w:i/>
          <w:lang w:val="pl-PL"/>
        </w:rPr>
        <w:t xml:space="preserve"> </w:t>
      </w:r>
      <w:r>
        <w:rPr>
          <w:lang w:val="pl-PL"/>
        </w:rPr>
        <w:t xml:space="preserve">nakazał w swym wyroku, by prokurator został powiadomiony o uniewinnieniu funkcjonariuszy policji ze względów dowodowych, tak by mógł podjąć działania w celu odnalezienia prawdziwych sprawców </w:t>
      </w:r>
      <w:r w:rsidR="00B62A32">
        <w:rPr>
          <w:lang w:val="pl-PL"/>
        </w:rPr>
        <w:t>zabójstwa</w:t>
      </w:r>
      <w:r>
        <w:rPr>
          <w:lang w:val="pl-PL"/>
        </w:rPr>
        <w:t xml:space="preserve"> krewnego skarżących. Istni</w:t>
      </w:r>
      <w:r w:rsidR="00F80D99">
        <w:rPr>
          <w:lang w:val="pl-PL"/>
        </w:rPr>
        <w:t>eje</w:t>
      </w:r>
      <w:r>
        <w:rPr>
          <w:lang w:val="pl-PL"/>
        </w:rPr>
        <w:t xml:space="preserve"> zatem możliwość </w:t>
      </w:r>
      <w:r w:rsidR="0017681C">
        <w:rPr>
          <w:lang w:val="pl-PL"/>
        </w:rPr>
        <w:t xml:space="preserve">wnioskowania przez </w:t>
      </w:r>
      <w:r>
        <w:rPr>
          <w:lang w:val="pl-PL"/>
        </w:rPr>
        <w:t>skarżących</w:t>
      </w:r>
      <w:r w:rsidR="00F80D99" w:rsidRPr="00F80D99">
        <w:rPr>
          <w:lang w:val="pl-PL"/>
        </w:rPr>
        <w:t xml:space="preserve"> </w:t>
      </w:r>
      <w:r w:rsidR="00F80D99">
        <w:rPr>
          <w:lang w:val="pl-PL"/>
        </w:rPr>
        <w:t>do prokuratora</w:t>
      </w:r>
      <w:r w:rsidR="0017681C">
        <w:rPr>
          <w:lang w:val="pl-PL"/>
        </w:rPr>
        <w:t>, jeśli sobie tego życzą, o wszczęcie nowego dochodzenia</w:t>
      </w:r>
      <w:r w:rsidR="00FE0D82">
        <w:rPr>
          <w:lang w:val="pl-PL"/>
        </w:rPr>
        <w:t>, co</w:t>
      </w:r>
      <w:r w:rsidR="00A128F6">
        <w:rPr>
          <w:lang w:val="pl-PL"/>
        </w:rPr>
        <w:t> </w:t>
      </w:r>
      <w:r w:rsidR="00FE0D82">
        <w:rPr>
          <w:lang w:val="pl-PL"/>
        </w:rPr>
        <w:t>umożliwia</w:t>
      </w:r>
      <w:r w:rsidR="0017681C">
        <w:rPr>
          <w:lang w:val="pl-PL"/>
        </w:rPr>
        <w:t xml:space="preserve"> </w:t>
      </w:r>
      <w:r w:rsidR="00FE0D82">
        <w:rPr>
          <w:lang w:val="pl-PL"/>
        </w:rPr>
        <w:t>niedawna zmiana ustawodawcza</w:t>
      </w:r>
      <w:r w:rsidR="0017681C">
        <w:rPr>
          <w:lang w:val="pl-PL"/>
        </w:rPr>
        <w:t>, która pozwala na wznowienie śledztwa, w</w:t>
      </w:r>
      <w:r w:rsidR="00A128F6">
        <w:rPr>
          <w:lang w:val="pl-PL"/>
        </w:rPr>
        <w:t> </w:t>
      </w:r>
      <w:r w:rsidR="0017681C">
        <w:rPr>
          <w:lang w:val="pl-PL"/>
        </w:rPr>
        <w:t>tym w sprawach, w których skarga została skreślona przez Trybunał w oparciu o</w:t>
      </w:r>
      <w:r w:rsidR="00A128F6">
        <w:rPr>
          <w:lang w:val="pl-PL"/>
        </w:rPr>
        <w:t> </w:t>
      </w:r>
      <w:r w:rsidR="0017681C">
        <w:rPr>
          <w:lang w:val="pl-PL"/>
        </w:rPr>
        <w:t xml:space="preserve">deklarację jednostronną Rządu. </w:t>
      </w:r>
    </w:p>
    <w:p w:rsidR="0017681C" w:rsidRPr="0017681C" w:rsidRDefault="0017681C">
      <w:pPr>
        <w:pStyle w:val="ClinContent"/>
        <w:rPr>
          <w:lang w:val="pl-PL"/>
        </w:rPr>
      </w:pPr>
      <w:r w:rsidRPr="0017681C">
        <w:rPr>
          <w:lang w:val="pl-PL"/>
        </w:rPr>
        <w:t xml:space="preserve">W sprawach </w:t>
      </w:r>
      <w:proofErr w:type="spellStart"/>
      <w:r w:rsidRPr="0017681C">
        <w:rPr>
          <w:i/>
          <w:lang w:val="pl-PL"/>
        </w:rPr>
        <w:t>Taşdemir</w:t>
      </w:r>
      <w:proofErr w:type="spellEnd"/>
      <w:r w:rsidRPr="0017681C">
        <w:rPr>
          <w:lang w:val="pl-PL"/>
        </w:rPr>
        <w:t xml:space="preserve"> i </w:t>
      </w:r>
      <w:proofErr w:type="spellStart"/>
      <w:r w:rsidRPr="0017681C">
        <w:rPr>
          <w:i/>
          <w:lang w:val="pl-PL"/>
        </w:rPr>
        <w:t>Karaca</w:t>
      </w:r>
      <w:proofErr w:type="spellEnd"/>
      <w:r>
        <w:rPr>
          <w:i/>
          <w:lang w:val="pl-PL"/>
        </w:rPr>
        <w:t xml:space="preserve"> </w:t>
      </w:r>
      <w:r>
        <w:rPr>
          <w:lang w:val="pl-PL"/>
        </w:rPr>
        <w:t>Trybunał odnotował,</w:t>
      </w:r>
      <w:r w:rsidR="008C3C36">
        <w:rPr>
          <w:lang w:val="pl-PL"/>
        </w:rPr>
        <w:t xml:space="preserve"> że wcześniej odmawiał przyjmowania</w:t>
      </w:r>
      <w:r>
        <w:rPr>
          <w:lang w:val="pl-PL"/>
        </w:rPr>
        <w:t xml:space="preserve"> deklaracji jednostronnych bez zobowiązania się przez pozwany Rząd do</w:t>
      </w:r>
      <w:r w:rsidR="00A128F6">
        <w:rPr>
          <w:lang w:val="pl-PL"/>
        </w:rPr>
        <w:t> </w:t>
      </w:r>
      <w:r>
        <w:rPr>
          <w:lang w:val="pl-PL"/>
        </w:rPr>
        <w:t>przeprowadzenia śledztwa spełniającego wymogi art. 2, gdy śledztwo krajowe w</w:t>
      </w:r>
      <w:r w:rsidR="00A128F6">
        <w:rPr>
          <w:lang w:val="pl-PL"/>
        </w:rPr>
        <w:t> </w:t>
      </w:r>
      <w:r>
        <w:rPr>
          <w:lang w:val="pl-PL"/>
        </w:rPr>
        <w:t xml:space="preserve">sprawie zaginięcia lub zabójstwa było </w:t>
      </w:r>
      <w:r w:rsidRPr="0017681C">
        <w:rPr>
          <w:i/>
          <w:lang w:val="pl-PL"/>
        </w:rPr>
        <w:t>prima facie</w:t>
      </w:r>
      <w:r>
        <w:rPr>
          <w:lang w:val="pl-PL"/>
        </w:rPr>
        <w:t xml:space="preserve"> wadliwe. </w:t>
      </w:r>
    </w:p>
    <w:p w:rsidR="0017681C" w:rsidRPr="0017681C" w:rsidRDefault="0017681C">
      <w:pPr>
        <w:pStyle w:val="ClinContent"/>
        <w:rPr>
          <w:lang w:val="pl-PL"/>
        </w:rPr>
      </w:pPr>
      <w:r w:rsidRPr="0017681C">
        <w:rPr>
          <w:lang w:val="pl-PL"/>
        </w:rPr>
        <w:t xml:space="preserve">Mogą jednak zachodzić sytuacje, w których </w:t>
      </w:r>
      <w:r>
        <w:rPr>
          <w:lang w:val="pl-PL"/>
        </w:rPr>
        <w:t xml:space="preserve">wznowienie śledztwa karnego jest </w:t>
      </w:r>
      <w:r w:rsidRPr="0017681C">
        <w:rPr>
          <w:i/>
          <w:lang w:val="pl-PL"/>
        </w:rPr>
        <w:t>de iure</w:t>
      </w:r>
      <w:r w:rsidRPr="0017681C">
        <w:rPr>
          <w:lang w:val="pl-PL"/>
        </w:rPr>
        <w:t xml:space="preserve"> lub</w:t>
      </w:r>
      <w:r w:rsidR="00A128F6">
        <w:rPr>
          <w:lang w:val="pl-PL"/>
        </w:rPr>
        <w:t> </w:t>
      </w:r>
      <w:r w:rsidRPr="0017681C">
        <w:rPr>
          <w:i/>
          <w:lang w:val="pl-PL"/>
        </w:rPr>
        <w:t>de facto</w:t>
      </w:r>
      <w:r w:rsidRPr="0017681C">
        <w:rPr>
          <w:lang w:val="pl-PL"/>
        </w:rPr>
        <w:t xml:space="preserve"> </w:t>
      </w:r>
      <w:r>
        <w:rPr>
          <w:lang w:val="pl-PL"/>
        </w:rPr>
        <w:t xml:space="preserve">niemożliwe. Takie sytuacje mogą wystąpić, na przykład, gdy domniemani sprawcy zostali uniewinnieni i nie mogą podlegać ponownemu sądzeniu za to samo </w:t>
      </w:r>
      <w:r>
        <w:rPr>
          <w:lang w:val="pl-PL"/>
        </w:rPr>
        <w:lastRenderedPageBreak/>
        <w:t xml:space="preserve">przestępstwo lub gdy w postępowaniu karnym doszło do przedawnienia z uwagi na upływ terminów przewidzianych w prawie krajowym. Wznowienie postępowania krajowego, które zakończyło się z uwagi na upływ terminów przedawnienia, może w istocie rodzić kwestie dotyczące </w:t>
      </w:r>
      <w:r w:rsidR="008C3C36">
        <w:rPr>
          <w:lang w:val="pl-PL"/>
        </w:rPr>
        <w:t xml:space="preserve">zasady </w:t>
      </w:r>
      <w:r>
        <w:rPr>
          <w:lang w:val="pl-PL"/>
        </w:rPr>
        <w:t>pewności prawnej i mieć wpływ na prawa oskarżonego na</w:t>
      </w:r>
      <w:r w:rsidR="00A128F6">
        <w:rPr>
          <w:lang w:val="pl-PL"/>
        </w:rPr>
        <w:t> </w:t>
      </w:r>
      <w:r>
        <w:rPr>
          <w:lang w:val="pl-PL"/>
        </w:rPr>
        <w:t>podstawie art. 7. Podobnie też ponowne sądzenie tego samego oskarżonego za</w:t>
      </w:r>
      <w:r w:rsidR="00A128F6">
        <w:rPr>
          <w:lang w:val="pl-PL"/>
        </w:rPr>
        <w:t> </w:t>
      </w:r>
      <w:r>
        <w:rPr>
          <w:lang w:val="pl-PL"/>
        </w:rPr>
        <w:t>przestępstwo, w odniesieniu do którego został już prawomocnie uniewinniony lub</w:t>
      </w:r>
      <w:r w:rsidR="00A128F6">
        <w:rPr>
          <w:lang w:val="pl-PL"/>
        </w:rPr>
        <w:t> </w:t>
      </w:r>
      <w:r>
        <w:rPr>
          <w:lang w:val="pl-PL"/>
        </w:rPr>
        <w:t>skazany</w:t>
      </w:r>
      <w:r w:rsidR="00F80D99">
        <w:rPr>
          <w:lang w:val="pl-PL"/>
        </w:rPr>
        <w:t>,</w:t>
      </w:r>
      <w:r>
        <w:rPr>
          <w:lang w:val="pl-PL"/>
        </w:rPr>
        <w:t xml:space="preserve"> może rodzić kwestie dotyczące praw oskarżonego wynikających z zakazu ponownego sądzenia lub karania w rozumieniu art. 4 Protokołu nr 7. </w:t>
      </w:r>
    </w:p>
    <w:p w:rsidR="0017681C" w:rsidRPr="0017681C" w:rsidRDefault="0017681C">
      <w:pPr>
        <w:pStyle w:val="ClinContent"/>
        <w:rPr>
          <w:lang w:val="pl-PL"/>
        </w:rPr>
      </w:pPr>
      <w:r w:rsidRPr="0017681C">
        <w:rPr>
          <w:lang w:val="pl-PL"/>
        </w:rPr>
        <w:t xml:space="preserve">Oprócz </w:t>
      </w:r>
      <w:r w:rsidR="00534421">
        <w:rPr>
          <w:lang w:val="pl-PL"/>
        </w:rPr>
        <w:t xml:space="preserve">przeszkód </w:t>
      </w:r>
      <w:r w:rsidRPr="0017681C">
        <w:rPr>
          <w:i/>
          <w:lang w:val="pl-PL"/>
        </w:rPr>
        <w:t xml:space="preserve">de iure </w:t>
      </w:r>
      <w:r w:rsidR="00F80D99">
        <w:rPr>
          <w:lang w:val="pl-PL"/>
        </w:rPr>
        <w:t>możliwe</w:t>
      </w:r>
      <w:r w:rsidR="00534421" w:rsidRPr="00534421">
        <w:rPr>
          <w:lang w:val="pl-PL"/>
        </w:rPr>
        <w:t xml:space="preserve"> jest</w:t>
      </w:r>
      <w:r w:rsidR="00534421">
        <w:rPr>
          <w:i/>
          <w:lang w:val="pl-PL"/>
        </w:rPr>
        <w:t xml:space="preserve"> </w:t>
      </w:r>
      <w:r w:rsidR="00534421">
        <w:rPr>
          <w:lang w:val="pl-PL"/>
        </w:rPr>
        <w:t>też</w:t>
      </w:r>
      <w:r w:rsidRPr="0017681C">
        <w:rPr>
          <w:lang w:val="pl-PL"/>
        </w:rPr>
        <w:t>, że w razie upływu długiego czasu od</w:t>
      </w:r>
      <w:r w:rsidR="00A128F6">
        <w:rPr>
          <w:lang w:val="pl-PL"/>
        </w:rPr>
        <w:t> </w:t>
      </w:r>
      <w:r>
        <w:rPr>
          <w:lang w:val="pl-PL"/>
        </w:rPr>
        <w:t>wydarzenia dowody mogły zniknąć</w:t>
      </w:r>
      <w:r w:rsidRPr="0017681C">
        <w:rPr>
          <w:lang w:val="pl-PL"/>
        </w:rPr>
        <w:t xml:space="preserve">, zostać zniszczone lub </w:t>
      </w:r>
      <w:r>
        <w:rPr>
          <w:lang w:val="pl-PL"/>
        </w:rPr>
        <w:t>stać się niemożliwe do</w:t>
      </w:r>
      <w:r w:rsidR="00A128F6">
        <w:rPr>
          <w:lang w:val="pl-PL"/>
        </w:rPr>
        <w:t> </w:t>
      </w:r>
      <w:r>
        <w:rPr>
          <w:lang w:val="pl-PL"/>
        </w:rPr>
        <w:t>znalezienia</w:t>
      </w:r>
      <w:r w:rsidR="00F80D99">
        <w:rPr>
          <w:lang w:val="pl-PL"/>
        </w:rPr>
        <w:t>.</w:t>
      </w:r>
      <w:r>
        <w:rPr>
          <w:lang w:val="pl-PL"/>
        </w:rPr>
        <w:t xml:space="preserve"> </w:t>
      </w:r>
      <w:r w:rsidR="00F80D99">
        <w:rPr>
          <w:lang w:val="pl-PL"/>
        </w:rPr>
        <w:t>W</w:t>
      </w:r>
      <w:r>
        <w:rPr>
          <w:lang w:val="pl-PL"/>
        </w:rPr>
        <w:t xml:space="preserve"> praktyce może </w:t>
      </w:r>
      <w:r w:rsidR="00F80D99">
        <w:rPr>
          <w:lang w:val="pl-PL"/>
        </w:rPr>
        <w:t xml:space="preserve">więc </w:t>
      </w:r>
      <w:r>
        <w:rPr>
          <w:lang w:val="pl-PL"/>
        </w:rPr>
        <w:t>nie być już możliwe wznowienie śledztwa i</w:t>
      </w:r>
      <w:r w:rsidR="00A128F6">
        <w:rPr>
          <w:lang w:val="pl-PL"/>
        </w:rPr>
        <w:t> </w:t>
      </w:r>
      <w:r>
        <w:rPr>
          <w:lang w:val="pl-PL"/>
        </w:rPr>
        <w:t xml:space="preserve">przeprowadzenie go w sposób skuteczny. </w:t>
      </w:r>
    </w:p>
    <w:p w:rsidR="005204DE" w:rsidRPr="005204DE" w:rsidRDefault="005204DE">
      <w:pPr>
        <w:pStyle w:val="ClinContent"/>
        <w:rPr>
          <w:lang w:val="pl-PL"/>
        </w:rPr>
      </w:pPr>
      <w:r w:rsidRPr="005204DE">
        <w:rPr>
          <w:lang w:val="pl-PL"/>
        </w:rPr>
        <w:t>A zatem kwestia, czy pozwane Państwo ma obowiązek wznowić postępowanie karne, a</w:t>
      </w:r>
      <w:r w:rsidR="00A128F6">
        <w:rPr>
          <w:lang w:val="pl-PL"/>
        </w:rPr>
        <w:t> </w:t>
      </w:r>
      <w:r w:rsidRPr="005204DE">
        <w:rPr>
          <w:lang w:val="pl-PL"/>
        </w:rPr>
        <w:t>w</w:t>
      </w:r>
      <w:r w:rsidR="00A128F6">
        <w:rPr>
          <w:lang w:val="pl-PL"/>
        </w:rPr>
        <w:t> </w:t>
      </w:r>
      <w:r w:rsidRPr="005204DE">
        <w:rPr>
          <w:lang w:val="pl-PL"/>
        </w:rPr>
        <w:t>rezultacie, czy deklaracja jednostronna powinna zawierać takie zobowiązanie, zależy od konkretnych okoliczności danej sprawy, w tym charakteru i powagi zarzucanego naruszenia</w:t>
      </w:r>
      <w:r>
        <w:rPr>
          <w:lang w:val="pl-PL"/>
        </w:rPr>
        <w:t xml:space="preserve">, tożsamości domniemanego sprawcy, kwestii, czy inne osoby, nieuczestniczące w postępowaniu, mogły być zamieszane, powodu zakończenia postępowania karnego, wad i </w:t>
      </w:r>
      <w:r w:rsidR="008B19C9">
        <w:rPr>
          <w:lang w:val="pl-PL"/>
        </w:rPr>
        <w:t>braków</w:t>
      </w:r>
      <w:r>
        <w:rPr>
          <w:lang w:val="pl-PL"/>
        </w:rPr>
        <w:t xml:space="preserve"> </w:t>
      </w:r>
      <w:r w:rsidR="00534421">
        <w:rPr>
          <w:lang w:val="pl-PL"/>
        </w:rPr>
        <w:t>postępowania karnego przed</w:t>
      </w:r>
      <w:r>
        <w:rPr>
          <w:lang w:val="pl-PL"/>
        </w:rPr>
        <w:t xml:space="preserve"> decyzją o</w:t>
      </w:r>
      <w:r w:rsidR="00A128F6">
        <w:rPr>
          <w:lang w:val="pl-PL"/>
        </w:rPr>
        <w:t> </w:t>
      </w:r>
      <w:r>
        <w:rPr>
          <w:lang w:val="pl-PL"/>
        </w:rPr>
        <w:t>zakończeniu postępowania karnego, a także od tego, czy domniemany sprawca przyczynił się do wad i</w:t>
      </w:r>
      <w:r w:rsidR="008B19C9">
        <w:rPr>
          <w:lang w:val="pl-PL"/>
        </w:rPr>
        <w:t xml:space="preserve"> braków</w:t>
      </w:r>
      <w:r>
        <w:rPr>
          <w:lang w:val="pl-PL"/>
        </w:rPr>
        <w:t xml:space="preserve">, które doprowadziły do zakończenia postępowania karnego. </w:t>
      </w:r>
    </w:p>
    <w:p w:rsidR="005204DE" w:rsidRPr="005204DE" w:rsidRDefault="005204DE">
      <w:pPr>
        <w:pStyle w:val="ClinContent"/>
        <w:rPr>
          <w:lang w:val="pl-PL"/>
        </w:rPr>
      </w:pPr>
      <w:r w:rsidRPr="005204DE">
        <w:rPr>
          <w:lang w:val="pl-PL"/>
        </w:rPr>
        <w:t xml:space="preserve">W </w:t>
      </w:r>
      <w:r>
        <w:rPr>
          <w:lang w:val="pl-PL"/>
        </w:rPr>
        <w:t xml:space="preserve">sprawie </w:t>
      </w:r>
      <w:proofErr w:type="spellStart"/>
      <w:r w:rsidRPr="005204DE">
        <w:rPr>
          <w:i/>
          <w:lang w:val="pl-PL"/>
        </w:rPr>
        <w:t>Taşdemir</w:t>
      </w:r>
      <w:proofErr w:type="spellEnd"/>
      <w:r w:rsidRPr="005204DE">
        <w:rPr>
          <w:i/>
          <w:lang w:val="pl-PL"/>
        </w:rPr>
        <w:t xml:space="preserve"> </w:t>
      </w:r>
      <w:r w:rsidRPr="005204DE">
        <w:rPr>
          <w:lang w:val="pl-PL"/>
        </w:rPr>
        <w:t>postępowanie karne</w:t>
      </w:r>
      <w:r w:rsidRPr="005204DE">
        <w:rPr>
          <w:i/>
          <w:lang w:val="pl-PL"/>
        </w:rPr>
        <w:t xml:space="preserve"> </w:t>
      </w:r>
      <w:r w:rsidRPr="005204DE">
        <w:rPr>
          <w:lang w:val="pl-PL"/>
        </w:rPr>
        <w:t>przeciwko</w:t>
      </w:r>
      <w:r w:rsidRPr="005204DE">
        <w:rPr>
          <w:i/>
          <w:lang w:val="pl-PL"/>
        </w:rPr>
        <w:t xml:space="preserve"> </w:t>
      </w:r>
      <w:r w:rsidRPr="005204DE">
        <w:rPr>
          <w:lang w:val="pl-PL"/>
        </w:rPr>
        <w:t>funkcjonariuszom policji</w:t>
      </w:r>
      <w:r>
        <w:rPr>
          <w:lang w:val="pl-PL"/>
        </w:rPr>
        <w:t>,</w:t>
      </w:r>
      <w:r w:rsidRPr="005204DE">
        <w:rPr>
          <w:lang w:val="pl-PL"/>
        </w:rPr>
        <w:t xml:space="preserve"> prowadzone w sprawie </w:t>
      </w:r>
      <w:r w:rsidR="00F80D99">
        <w:rPr>
          <w:lang w:val="pl-PL"/>
        </w:rPr>
        <w:t xml:space="preserve">dotyczącej </w:t>
      </w:r>
      <w:r w:rsidRPr="005204DE">
        <w:rPr>
          <w:lang w:val="pl-PL"/>
        </w:rPr>
        <w:t>niepowstrzymania krewnego skarżących od</w:t>
      </w:r>
      <w:r w:rsidR="00A128F6">
        <w:rPr>
          <w:lang w:val="pl-PL"/>
        </w:rPr>
        <w:t> </w:t>
      </w:r>
      <w:r w:rsidRPr="005204DE">
        <w:rPr>
          <w:lang w:val="pl-PL"/>
        </w:rPr>
        <w:t>samobójstwa</w:t>
      </w:r>
      <w:r>
        <w:rPr>
          <w:lang w:val="pl-PL"/>
        </w:rPr>
        <w:t xml:space="preserve">, uległo przedawnieniu. W sprawie </w:t>
      </w:r>
      <w:proofErr w:type="spellStart"/>
      <w:r>
        <w:rPr>
          <w:i/>
          <w:lang w:val="pl-PL"/>
        </w:rPr>
        <w:t>Karaca</w:t>
      </w:r>
      <w:proofErr w:type="spellEnd"/>
      <w:r>
        <w:rPr>
          <w:i/>
          <w:lang w:val="pl-PL"/>
        </w:rPr>
        <w:t xml:space="preserve"> </w:t>
      </w:r>
      <w:r>
        <w:rPr>
          <w:lang w:val="pl-PL"/>
        </w:rPr>
        <w:t xml:space="preserve">strażnicy wiejscy zostali uniewinnieni od zarzutu zabójstwa syna skarżących w oparciu o </w:t>
      </w:r>
      <w:r w:rsidR="00F80D99">
        <w:rPr>
          <w:lang w:val="pl-PL"/>
        </w:rPr>
        <w:t xml:space="preserve">zarzut </w:t>
      </w:r>
      <w:r w:rsidR="000C50FB">
        <w:rPr>
          <w:lang w:val="pl-PL"/>
        </w:rPr>
        <w:t>obrony koniecznej</w:t>
      </w:r>
      <w:r>
        <w:rPr>
          <w:lang w:val="pl-PL"/>
        </w:rPr>
        <w:t>. Ponadto nie twierdzono, że inne osoby były zamieszane w przypadki śmierci</w:t>
      </w:r>
      <w:r w:rsidR="00FE0D82">
        <w:rPr>
          <w:lang w:val="pl-PL"/>
        </w:rPr>
        <w:t xml:space="preserve"> objęte skargami</w:t>
      </w:r>
      <w:r>
        <w:rPr>
          <w:lang w:val="pl-PL"/>
        </w:rPr>
        <w:t xml:space="preserve">. W konsekwencji wznowienie śledztwa w sprawie śmierci krewnych skarżących </w:t>
      </w:r>
      <w:r w:rsidR="00F80D99">
        <w:rPr>
          <w:lang w:val="pl-PL"/>
        </w:rPr>
        <w:t xml:space="preserve">jest </w:t>
      </w:r>
      <w:r>
        <w:rPr>
          <w:lang w:val="pl-PL"/>
        </w:rPr>
        <w:t xml:space="preserve">niemożliwe </w:t>
      </w:r>
      <w:r>
        <w:rPr>
          <w:i/>
          <w:lang w:val="pl-PL"/>
        </w:rPr>
        <w:t xml:space="preserve">de iure. </w:t>
      </w:r>
    </w:p>
    <w:p w:rsidR="000C50FB" w:rsidRPr="000C50FB" w:rsidRDefault="000C50FB">
      <w:pPr>
        <w:pStyle w:val="ClinContent"/>
        <w:rPr>
          <w:lang w:val="pl-PL"/>
        </w:rPr>
      </w:pPr>
      <w:r w:rsidRPr="000C50FB">
        <w:rPr>
          <w:lang w:val="pl-PL"/>
        </w:rPr>
        <w:t>W tym względzie Trybunał odnotował, że w rezolucji dotyczącej wyroku Wielkiej Izby w</w:t>
      </w:r>
      <w:r w:rsidR="00A128F6">
        <w:rPr>
          <w:lang w:val="pl-PL"/>
        </w:rPr>
        <w:t> </w:t>
      </w:r>
      <w:r w:rsidRPr="000C50FB">
        <w:rPr>
          <w:lang w:val="pl-PL"/>
        </w:rPr>
        <w:t xml:space="preserve">sprawie </w:t>
      </w:r>
      <w:proofErr w:type="spellStart"/>
      <w:r w:rsidRPr="000C50FB">
        <w:rPr>
          <w:i/>
          <w:lang w:val="pl-PL"/>
        </w:rPr>
        <w:t>Jeronovičs</w:t>
      </w:r>
      <w:proofErr w:type="spellEnd"/>
      <w:r w:rsidRPr="000C50FB">
        <w:rPr>
          <w:i/>
          <w:lang w:val="pl-PL"/>
        </w:rPr>
        <w:t xml:space="preserve"> </w:t>
      </w:r>
      <w:r>
        <w:rPr>
          <w:i/>
          <w:lang w:val="pl-PL"/>
        </w:rPr>
        <w:t>p</w:t>
      </w:r>
      <w:r w:rsidRPr="000C50FB">
        <w:rPr>
          <w:i/>
          <w:lang w:val="pl-PL"/>
        </w:rPr>
        <w:t xml:space="preserve">. </w:t>
      </w:r>
      <w:r>
        <w:rPr>
          <w:i/>
          <w:lang w:val="pl-PL"/>
        </w:rPr>
        <w:t xml:space="preserve">Łotwie </w:t>
      </w:r>
      <w:r>
        <w:rPr>
          <w:lang w:val="pl-PL"/>
        </w:rPr>
        <w:t>Komitet Ministrów uznał, że wszystkie środki wymagane przez ar</w:t>
      </w:r>
      <w:r w:rsidR="008B19C9">
        <w:rPr>
          <w:lang w:val="pl-PL"/>
        </w:rPr>
        <w:t xml:space="preserve">t. 46 ust. 1 Konwencji zostały </w:t>
      </w:r>
      <w:r w:rsidR="00FE0D82">
        <w:rPr>
          <w:lang w:val="pl-PL"/>
        </w:rPr>
        <w:t xml:space="preserve">przyjęte </w:t>
      </w:r>
      <w:r>
        <w:rPr>
          <w:lang w:val="pl-PL"/>
        </w:rPr>
        <w:t xml:space="preserve">i zdecydował o zamknięciu swego nadzoru, mimo że wniosek skarżącego o wznowienie śledztwa został oddalony przez prokuratora z uwagi na upływ terminu przedawnienia. </w:t>
      </w:r>
    </w:p>
    <w:p w:rsidR="000C50FB" w:rsidRPr="000C50FB" w:rsidRDefault="000C50FB">
      <w:pPr>
        <w:pStyle w:val="ClinContent"/>
        <w:rPr>
          <w:lang w:val="pl-PL"/>
        </w:rPr>
      </w:pPr>
      <w:r w:rsidRPr="000C50FB">
        <w:rPr>
          <w:lang w:val="pl-PL"/>
        </w:rPr>
        <w:t>Procedura deklaracji jednostronnej ma chara</w:t>
      </w:r>
      <w:r>
        <w:rPr>
          <w:lang w:val="pl-PL"/>
        </w:rPr>
        <w:t>k</w:t>
      </w:r>
      <w:r w:rsidRPr="000C50FB">
        <w:rPr>
          <w:lang w:val="pl-PL"/>
        </w:rPr>
        <w:t xml:space="preserve">ter wyjątkowy. </w:t>
      </w:r>
      <w:r>
        <w:rPr>
          <w:lang w:val="pl-PL"/>
        </w:rPr>
        <w:t>W przypadku gdy chodzi o</w:t>
      </w:r>
      <w:r w:rsidR="00A128F6">
        <w:rPr>
          <w:lang w:val="pl-PL"/>
        </w:rPr>
        <w:t> </w:t>
      </w:r>
      <w:r>
        <w:rPr>
          <w:lang w:val="pl-PL"/>
        </w:rPr>
        <w:t xml:space="preserve">naruszenia najbardziej podstawowych praw zawartych w Konwencji, nie ma ona </w:t>
      </w:r>
      <w:r w:rsidR="00B62A32">
        <w:rPr>
          <w:lang w:val="pl-PL"/>
        </w:rPr>
        <w:t xml:space="preserve">jako taka </w:t>
      </w:r>
      <w:r>
        <w:rPr>
          <w:lang w:val="pl-PL"/>
        </w:rPr>
        <w:t>na celu obchodzenia sprzeciwu skarżącego wobec ugody</w:t>
      </w:r>
      <w:r w:rsidR="00FE0D82">
        <w:rPr>
          <w:lang w:val="pl-PL"/>
        </w:rPr>
        <w:t xml:space="preserve">, nie ma też </w:t>
      </w:r>
      <w:r>
        <w:rPr>
          <w:lang w:val="pl-PL"/>
        </w:rPr>
        <w:t>umożliwi</w:t>
      </w:r>
      <w:r w:rsidR="00FE0D82">
        <w:rPr>
          <w:lang w:val="pl-PL"/>
        </w:rPr>
        <w:t>ać</w:t>
      </w:r>
      <w:r>
        <w:rPr>
          <w:lang w:val="pl-PL"/>
        </w:rPr>
        <w:t xml:space="preserve"> uniknięcia odpowiedzialności </w:t>
      </w:r>
      <w:r w:rsidR="00BA66DD">
        <w:rPr>
          <w:lang w:val="pl-PL"/>
        </w:rPr>
        <w:t xml:space="preserve">przez rząd </w:t>
      </w:r>
      <w:r>
        <w:rPr>
          <w:lang w:val="pl-PL"/>
        </w:rPr>
        <w:t xml:space="preserve">za takie naruszenia. </w:t>
      </w:r>
      <w:r w:rsidR="00BE6D37">
        <w:rPr>
          <w:lang w:val="pl-PL"/>
        </w:rPr>
        <w:t>Problemy d</w:t>
      </w:r>
      <w:r>
        <w:rPr>
          <w:lang w:val="pl-PL"/>
        </w:rPr>
        <w:t>ominujące w</w:t>
      </w:r>
      <w:r w:rsidR="00A128F6">
        <w:rPr>
          <w:lang w:val="pl-PL"/>
        </w:rPr>
        <w:t> </w:t>
      </w:r>
      <w:r>
        <w:rPr>
          <w:lang w:val="pl-PL"/>
        </w:rPr>
        <w:t>Turcji w t</w:t>
      </w:r>
      <w:r w:rsidR="00F80D99">
        <w:rPr>
          <w:lang w:val="pl-PL"/>
        </w:rPr>
        <w:t>ego rodzaju</w:t>
      </w:r>
      <w:r>
        <w:rPr>
          <w:lang w:val="pl-PL"/>
        </w:rPr>
        <w:t xml:space="preserve"> spraw</w:t>
      </w:r>
      <w:r w:rsidR="00F80D99">
        <w:rPr>
          <w:lang w:val="pl-PL"/>
        </w:rPr>
        <w:t>ach</w:t>
      </w:r>
      <w:r>
        <w:rPr>
          <w:lang w:val="pl-PL"/>
        </w:rPr>
        <w:t xml:space="preserve"> zostały już </w:t>
      </w:r>
      <w:r w:rsidR="00BA66DD">
        <w:rPr>
          <w:lang w:val="pl-PL"/>
        </w:rPr>
        <w:t xml:space="preserve">jednak </w:t>
      </w:r>
      <w:r>
        <w:rPr>
          <w:lang w:val="pl-PL"/>
        </w:rPr>
        <w:t>zbadane w jasnym i obszernym orzecznictwie Trybunału</w:t>
      </w:r>
      <w:r w:rsidR="00BA66DD">
        <w:rPr>
          <w:lang w:val="pl-PL"/>
        </w:rPr>
        <w:t xml:space="preserve"> i</w:t>
      </w:r>
      <w:r>
        <w:rPr>
          <w:lang w:val="pl-PL"/>
        </w:rPr>
        <w:t xml:space="preserve"> </w:t>
      </w:r>
      <w:r w:rsidR="00BA66DD">
        <w:rPr>
          <w:lang w:val="pl-PL"/>
        </w:rPr>
        <w:t xml:space="preserve">zwrócono na </w:t>
      </w:r>
      <w:r>
        <w:rPr>
          <w:lang w:val="pl-PL"/>
        </w:rPr>
        <w:t xml:space="preserve">nie wystarczająco </w:t>
      </w:r>
      <w:r w:rsidR="00BA66DD">
        <w:rPr>
          <w:lang w:val="pl-PL"/>
        </w:rPr>
        <w:t xml:space="preserve">uwagę </w:t>
      </w:r>
      <w:r>
        <w:rPr>
          <w:lang w:val="pl-PL"/>
        </w:rPr>
        <w:t>Komitetu Ministrów</w:t>
      </w:r>
      <w:r w:rsidR="00FE0D82">
        <w:rPr>
          <w:lang w:val="pl-PL"/>
        </w:rPr>
        <w:t>, a</w:t>
      </w:r>
      <w:r w:rsidR="00A128F6">
        <w:rPr>
          <w:lang w:val="pl-PL"/>
        </w:rPr>
        <w:t> </w:t>
      </w:r>
      <w:r w:rsidR="00FE0D82">
        <w:rPr>
          <w:lang w:val="pl-PL"/>
        </w:rPr>
        <w:t>także</w:t>
      </w:r>
      <w:r>
        <w:rPr>
          <w:lang w:val="pl-PL"/>
        </w:rPr>
        <w:t xml:space="preserve"> podlegają one nadzorowi na podstawie art. 46 ust. 2 Konwencji. </w:t>
      </w:r>
    </w:p>
    <w:p w:rsidR="000C50FB" w:rsidRPr="000C50FB" w:rsidRDefault="000C50FB">
      <w:pPr>
        <w:pStyle w:val="ClinContent"/>
        <w:rPr>
          <w:lang w:val="pl-PL"/>
        </w:rPr>
      </w:pPr>
      <w:r w:rsidRPr="000C50FB">
        <w:rPr>
          <w:lang w:val="pl-PL"/>
        </w:rPr>
        <w:t>Mając na względzie przyznanie</w:t>
      </w:r>
      <w:r w:rsidR="00FE0D82">
        <w:rPr>
          <w:lang w:val="pl-PL"/>
        </w:rPr>
        <w:t xml:space="preserve"> </w:t>
      </w:r>
      <w:r w:rsidR="00053CB2">
        <w:rPr>
          <w:lang w:val="pl-PL"/>
        </w:rPr>
        <w:t xml:space="preserve">się do </w:t>
      </w:r>
      <w:r w:rsidR="00FE0D82">
        <w:rPr>
          <w:lang w:val="pl-PL"/>
        </w:rPr>
        <w:t>naruszenia,</w:t>
      </w:r>
      <w:r w:rsidRPr="000C50FB">
        <w:rPr>
          <w:lang w:val="pl-PL"/>
        </w:rPr>
        <w:t xml:space="preserve"> zawarte w deklaracjach rządu, fakt nałożenia kary dyscyplinarnej na funkcjonariuszy policji w sprawie </w:t>
      </w:r>
      <w:proofErr w:type="spellStart"/>
      <w:r w:rsidRPr="000C50FB">
        <w:rPr>
          <w:i/>
          <w:lang w:val="pl-PL"/>
        </w:rPr>
        <w:t>Taşdemir</w:t>
      </w:r>
      <w:proofErr w:type="spellEnd"/>
      <w:r>
        <w:rPr>
          <w:i/>
          <w:lang w:val="pl-PL"/>
        </w:rPr>
        <w:t xml:space="preserve">, </w:t>
      </w:r>
      <w:r>
        <w:rPr>
          <w:lang w:val="pl-PL"/>
        </w:rPr>
        <w:t>a także kwotę zaproponowanego odszkodowania, która jest zgodna z kwotami zasądzanymi w</w:t>
      </w:r>
      <w:r w:rsidR="00A128F6">
        <w:rPr>
          <w:lang w:val="pl-PL"/>
        </w:rPr>
        <w:t> </w:t>
      </w:r>
      <w:r>
        <w:rPr>
          <w:lang w:val="pl-PL"/>
        </w:rPr>
        <w:t>podobnych sprawach, dalsze rozpatrywanie wszystkich trzech skarg</w:t>
      </w:r>
      <w:r w:rsidR="008B19C9" w:rsidRPr="008B19C9">
        <w:rPr>
          <w:lang w:val="pl-PL"/>
        </w:rPr>
        <w:t xml:space="preserve"> </w:t>
      </w:r>
      <w:r w:rsidR="008B19C9">
        <w:rPr>
          <w:lang w:val="pl-PL"/>
        </w:rPr>
        <w:t>nie jest uzasadnione</w:t>
      </w:r>
      <w:r>
        <w:rPr>
          <w:lang w:val="pl-PL"/>
        </w:rPr>
        <w:t>. Decyzja ta nie narusza możliwości skorzystania przez skarżących z</w:t>
      </w:r>
      <w:r w:rsidR="00A128F6">
        <w:rPr>
          <w:lang w:val="pl-PL"/>
        </w:rPr>
        <w:t> </w:t>
      </w:r>
      <w:r w:rsidR="008B19C9">
        <w:rPr>
          <w:lang w:val="pl-PL"/>
        </w:rPr>
        <w:t>wszelkich</w:t>
      </w:r>
      <w:r>
        <w:rPr>
          <w:lang w:val="pl-PL"/>
        </w:rPr>
        <w:t xml:space="preserve"> innych dostępnych środków odwoławczych celem </w:t>
      </w:r>
      <w:r w:rsidR="008B19C9">
        <w:rPr>
          <w:lang w:val="pl-PL"/>
        </w:rPr>
        <w:t>dochodzenia</w:t>
      </w:r>
      <w:r w:rsidR="00FE0D82">
        <w:rPr>
          <w:lang w:val="pl-PL"/>
        </w:rPr>
        <w:t xml:space="preserve"> sprawiedliwości</w:t>
      </w:r>
      <w:r>
        <w:rPr>
          <w:lang w:val="pl-PL"/>
        </w:rPr>
        <w:t>. Jeśli Rząd nie dotrzyma warunków deklaracji jednostronnych, skargi mogą</w:t>
      </w:r>
      <w:r w:rsidR="00FC1A91">
        <w:rPr>
          <w:lang w:val="pl-PL"/>
        </w:rPr>
        <w:t xml:space="preserve"> zostać ponownie wpisane na listę spraw zgodnie z art. 37 ust. 2. </w:t>
      </w:r>
      <w:r>
        <w:rPr>
          <w:lang w:val="pl-PL"/>
        </w:rPr>
        <w:t xml:space="preserve"> </w:t>
      </w:r>
    </w:p>
    <w:p w:rsidR="00724C42" w:rsidRPr="00724C42" w:rsidRDefault="00724C42">
      <w:pPr>
        <w:pStyle w:val="ClinContent"/>
        <w:rPr>
          <w:lang w:val="pl-PL"/>
        </w:rPr>
      </w:pPr>
      <w:r>
        <w:rPr>
          <w:i/>
          <w:lang w:val="pl-PL"/>
        </w:rPr>
        <w:t xml:space="preserve">Rozstrzygnięcie: </w:t>
      </w:r>
      <w:r>
        <w:rPr>
          <w:lang w:val="pl-PL"/>
        </w:rPr>
        <w:t>skreślenie</w:t>
      </w:r>
      <w:r w:rsidR="00FE0D82">
        <w:rPr>
          <w:lang w:val="pl-PL"/>
        </w:rPr>
        <w:t xml:space="preserve"> skarg z listy spraw</w:t>
      </w:r>
      <w:r>
        <w:rPr>
          <w:lang w:val="pl-PL"/>
        </w:rPr>
        <w:t>.</w:t>
      </w:r>
    </w:p>
    <w:p w:rsidR="00273A87" w:rsidRPr="00724C42" w:rsidRDefault="00C12971">
      <w:pPr>
        <w:pStyle w:val="ClinContent"/>
        <w:rPr>
          <w:lang w:val="pl-PL"/>
        </w:rPr>
      </w:pPr>
      <w:r w:rsidRPr="00724C42">
        <w:rPr>
          <w:lang w:val="pl-PL"/>
        </w:rPr>
        <w:lastRenderedPageBreak/>
        <w:t>(</w:t>
      </w:r>
      <w:r w:rsidR="00724C42" w:rsidRPr="00724C42">
        <w:rPr>
          <w:lang w:val="pl-PL"/>
        </w:rPr>
        <w:t>Zobacz</w:t>
      </w:r>
      <w:r w:rsidRPr="00724C42">
        <w:rPr>
          <w:lang w:val="pl-PL"/>
        </w:rPr>
        <w:t xml:space="preserve"> </w:t>
      </w:r>
      <w:proofErr w:type="spellStart"/>
      <w:r w:rsidRPr="00724C42">
        <w:rPr>
          <w:i/>
          <w:lang w:val="pl-PL"/>
        </w:rPr>
        <w:t>Tahsin</w:t>
      </w:r>
      <w:proofErr w:type="spellEnd"/>
      <w:r w:rsidRPr="00724C42">
        <w:rPr>
          <w:i/>
          <w:lang w:val="pl-PL"/>
        </w:rPr>
        <w:t xml:space="preserve"> </w:t>
      </w:r>
      <w:proofErr w:type="spellStart"/>
      <w:r w:rsidRPr="00724C42">
        <w:rPr>
          <w:i/>
          <w:lang w:val="pl-PL"/>
        </w:rPr>
        <w:t>Acar</w:t>
      </w:r>
      <w:proofErr w:type="spellEnd"/>
      <w:r w:rsidRPr="00724C42">
        <w:rPr>
          <w:i/>
          <w:lang w:val="pl-PL"/>
        </w:rPr>
        <w:t xml:space="preserve"> </w:t>
      </w:r>
      <w:r w:rsidR="00724C42" w:rsidRPr="00724C42">
        <w:rPr>
          <w:i/>
          <w:lang w:val="pl-PL"/>
        </w:rPr>
        <w:t>p</w:t>
      </w:r>
      <w:r w:rsidRPr="00724C42">
        <w:rPr>
          <w:i/>
          <w:lang w:val="pl-PL"/>
        </w:rPr>
        <w:t>. Tur</w:t>
      </w:r>
      <w:r w:rsidR="00724C42" w:rsidRPr="00724C42">
        <w:rPr>
          <w:i/>
          <w:lang w:val="pl-PL"/>
        </w:rPr>
        <w:t>cji</w:t>
      </w:r>
      <w:r w:rsidRPr="00724C42">
        <w:rPr>
          <w:i/>
          <w:lang w:val="pl-PL"/>
        </w:rPr>
        <w:t xml:space="preserve"> (</w:t>
      </w:r>
      <w:r w:rsidR="00724C42" w:rsidRPr="00724C42">
        <w:rPr>
          <w:i/>
          <w:lang w:val="pl-PL"/>
        </w:rPr>
        <w:t>zagadnienie wstępne</w:t>
      </w:r>
      <w:r w:rsidRPr="00724C42">
        <w:rPr>
          <w:i/>
          <w:lang w:val="pl-PL"/>
        </w:rPr>
        <w:t xml:space="preserve">) </w:t>
      </w:r>
      <w:r w:rsidRPr="00724C42">
        <w:rPr>
          <w:lang w:val="pl-PL"/>
        </w:rPr>
        <w:t>[</w:t>
      </w:r>
      <w:r w:rsidR="00724C42" w:rsidRPr="00724C42">
        <w:rPr>
          <w:lang w:val="pl-PL"/>
        </w:rPr>
        <w:t>WI</w:t>
      </w:r>
      <w:r w:rsidRPr="00724C42">
        <w:rPr>
          <w:lang w:val="pl-PL"/>
        </w:rPr>
        <w:t xml:space="preserve">], </w:t>
      </w:r>
      <w:r w:rsidR="00724C42" w:rsidRPr="00724C42">
        <w:rPr>
          <w:lang w:val="pl-PL"/>
        </w:rPr>
        <w:t xml:space="preserve">nr </w:t>
      </w:r>
      <w:r w:rsidRPr="00724C42">
        <w:rPr>
          <w:lang w:val="pl-PL"/>
        </w:rPr>
        <w:t>26307/95, 6 </w:t>
      </w:r>
      <w:r w:rsidR="00724C42" w:rsidRPr="00724C42">
        <w:rPr>
          <w:lang w:val="pl-PL"/>
        </w:rPr>
        <w:t>maja</w:t>
      </w:r>
      <w:r w:rsidRPr="00724C42">
        <w:rPr>
          <w:lang w:val="pl-PL"/>
        </w:rPr>
        <w:t xml:space="preserve"> 2003</w:t>
      </w:r>
      <w:r w:rsidR="00724C42">
        <w:rPr>
          <w:lang w:val="pl-PL"/>
        </w:rPr>
        <w:t xml:space="preserve"> r.</w:t>
      </w:r>
      <w:r w:rsidRPr="00724C42">
        <w:rPr>
          <w:lang w:val="pl-PL"/>
        </w:rPr>
        <w:t xml:space="preserve">, </w:t>
      </w:r>
      <w:hyperlink r:id="rId9" w:history="1">
        <w:r w:rsidR="00724C42">
          <w:rPr>
            <w:rStyle w:val="Hipercze"/>
            <w:lang w:val="pl-PL"/>
          </w:rPr>
          <w:t>Nota informacyjna nr</w:t>
        </w:r>
        <w:r w:rsidRPr="00724C42">
          <w:rPr>
            <w:rStyle w:val="Hipercze"/>
            <w:lang w:val="pl-PL"/>
          </w:rPr>
          <w:t> 53</w:t>
        </w:r>
      </w:hyperlink>
      <w:r w:rsidRPr="00724C42">
        <w:rPr>
          <w:lang w:val="pl-PL"/>
        </w:rPr>
        <w:t xml:space="preserve">; </w:t>
      </w:r>
      <w:r w:rsidR="00724C42">
        <w:rPr>
          <w:lang w:val="pl-PL"/>
        </w:rPr>
        <w:t xml:space="preserve">oraz </w:t>
      </w:r>
      <w:proofErr w:type="spellStart"/>
      <w:r w:rsidR="00724C42">
        <w:rPr>
          <w:i/>
          <w:lang w:val="pl-PL"/>
        </w:rPr>
        <w:t>Jeronovičs</w:t>
      </w:r>
      <w:proofErr w:type="spellEnd"/>
      <w:r w:rsidR="00724C42">
        <w:rPr>
          <w:i/>
          <w:lang w:val="pl-PL"/>
        </w:rPr>
        <w:t xml:space="preserve"> p</w:t>
      </w:r>
      <w:r w:rsidRPr="00724C42">
        <w:rPr>
          <w:i/>
          <w:lang w:val="pl-PL"/>
        </w:rPr>
        <w:t xml:space="preserve">. </w:t>
      </w:r>
      <w:r w:rsidR="00724C42">
        <w:rPr>
          <w:i/>
          <w:lang w:val="pl-PL"/>
        </w:rPr>
        <w:t xml:space="preserve">Łotwie </w:t>
      </w:r>
      <w:r w:rsidRPr="00724C42">
        <w:rPr>
          <w:lang w:val="pl-PL"/>
        </w:rPr>
        <w:t>[</w:t>
      </w:r>
      <w:r w:rsidR="00A57D65">
        <w:rPr>
          <w:lang w:val="pl-PL"/>
        </w:rPr>
        <w:t>WI</w:t>
      </w:r>
      <w:r w:rsidRPr="00724C42">
        <w:rPr>
          <w:lang w:val="pl-PL"/>
        </w:rPr>
        <w:t xml:space="preserve">], </w:t>
      </w:r>
      <w:r w:rsidR="00724C42">
        <w:rPr>
          <w:lang w:val="pl-PL"/>
        </w:rPr>
        <w:t xml:space="preserve">nr </w:t>
      </w:r>
      <w:r w:rsidRPr="00724C42">
        <w:rPr>
          <w:lang w:val="pl-PL"/>
        </w:rPr>
        <w:t>44898/10, 5 </w:t>
      </w:r>
      <w:r w:rsidR="00724C42">
        <w:rPr>
          <w:lang w:val="pl-PL"/>
        </w:rPr>
        <w:t>lipca</w:t>
      </w:r>
      <w:r w:rsidRPr="00724C42">
        <w:rPr>
          <w:lang w:val="pl-PL"/>
        </w:rPr>
        <w:t xml:space="preserve"> 2016</w:t>
      </w:r>
      <w:r w:rsidR="00724C42">
        <w:rPr>
          <w:lang w:val="pl-PL"/>
        </w:rPr>
        <w:t xml:space="preserve"> r.</w:t>
      </w:r>
      <w:r w:rsidR="0081707A">
        <w:rPr>
          <w:rStyle w:val="Odwoanieprzypisudolnego"/>
          <w:lang w:val="pl-PL"/>
        </w:rPr>
        <w:footnoteReference w:id="1"/>
      </w:r>
      <w:r w:rsidRPr="00724C42">
        <w:rPr>
          <w:lang w:val="pl-PL"/>
        </w:rPr>
        <w:t xml:space="preserve">, </w:t>
      </w:r>
      <w:hyperlink r:id="rId10" w:history="1">
        <w:r w:rsidR="00724C42">
          <w:rPr>
            <w:rStyle w:val="Hipercze"/>
            <w:lang w:val="pl-PL"/>
          </w:rPr>
          <w:t>Nota informacyjna nr</w:t>
        </w:r>
        <w:r w:rsidRPr="00724C42">
          <w:rPr>
            <w:rStyle w:val="Hipercze"/>
            <w:lang w:val="pl-PL"/>
          </w:rPr>
          <w:t> 198</w:t>
        </w:r>
      </w:hyperlink>
      <w:r w:rsidRPr="00724C42">
        <w:rPr>
          <w:lang w:val="pl-PL"/>
        </w:rPr>
        <w:t>)</w:t>
      </w:r>
    </w:p>
    <w:p w:rsidR="00273A87" w:rsidRPr="00724C42" w:rsidRDefault="00273A87">
      <w:pPr>
        <w:pBdr>
          <w:bottom w:val="single" w:sz="8" w:space="1" w:color="auto"/>
        </w:pBdr>
        <w:rPr>
          <w:lang w:val="pl-PL"/>
        </w:rPr>
      </w:pPr>
    </w:p>
    <w:p w:rsidR="00220D5E" w:rsidRDefault="00220D5E" w:rsidP="00220D5E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:rsidR="00273A87" w:rsidRDefault="00220D5E" w:rsidP="00220D5E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1" w:history="1">
        <w:r>
          <w:rPr>
            <w:rStyle w:val="Hipercze"/>
            <w:lang w:val="pl-PL"/>
          </w:rPr>
          <w:t>Not informacyjnych nt. orzecznictwa</w:t>
        </w:r>
      </w:hyperlink>
    </w:p>
    <w:p w:rsidR="00BA66DD" w:rsidRPr="00C83EEF" w:rsidRDefault="00BA66DD" w:rsidP="00BA66DD">
      <w:pPr>
        <w:pStyle w:val="ClinFooter"/>
        <w:jc w:val="left"/>
        <w:rPr>
          <w:lang w:val="pl-PL"/>
        </w:rPr>
      </w:pPr>
    </w:p>
    <w:sectPr w:rsidR="00BA66DD" w:rsidRPr="00C83EEF" w:rsidSect="004A5B5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F6C" w:rsidRDefault="00C54F6C" w:rsidP="00C63262">
      <w:r>
        <w:separator/>
      </w:r>
    </w:p>
  </w:endnote>
  <w:endnote w:type="continuationSeparator" w:id="0">
    <w:p w:rsidR="00C54F6C" w:rsidRDefault="00C54F6C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018" w:rsidRDefault="000F20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018" w:rsidRDefault="000F201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logo Rady Europy" title="logo Rady Eur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F6C" w:rsidRDefault="00C54F6C" w:rsidP="00C63262">
      <w:r>
        <w:separator/>
      </w:r>
    </w:p>
  </w:footnote>
  <w:footnote w:type="continuationSeparator" w:id="0">
    <w:p w:rsidR="00C54F6C" w:rsidRDefault="00C54F6C" w:rsidP="00C63262">
      <w:r>
        <w:continuationSeparator/>
      </w:r>
    </w:p>
  </w:footnote>
  <w:footnote w:id="1">
    <w:p w:rsidR="005D4F8C" w:rsidRDefault="0081707A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5D4F8C">
        <w:rPr>
          <w:lang w:val="pl-PL"/>
        </w:rPr>
        <w:t xml:space="preserve"> Tłumaczenie</w:t>
      </w:r>
      <w:r w:rsidR="005D4F8C" w:rsidRPr="005D4F8C">
        <w:rPr>
          <w:lang w:val="pl-PL"/>
        </w:rPr>
        <w:t xml:space="preserve"> </w:t>
      </w:r>
      <w:r w:rsidR="005D4F8C">
        <w:rPr>
          <w:lang w:val="pl-PL"/>
        </w:rPr>
        <w:t xml:space="preserve">wyroku </w:t>
      </w:r>
      <w:r w:rsidR="005D4F8C" w:rsidRPr="005D4F8C">
        <w:rPr>
          <w:lang w:val="pl-PL"/>
        </w:rPr>
        <w:t xml:space="preserve">na język polski </w:t>
      </w:r>
      <w:r w:rsidR="005D4F8C">
        <w:rPr>
          <w:lang w:val="pl-PL"/>
        </w:rPr>
        <w:t>jest dostępne na następującej stronie:</w:t>
      </w:r>
    </w:p>
    <w:p w:rsidR="0081707A" w:rsidRPr="0081707A" w:rsidRDefault="005D4F8C">
      <w:pPr>
        <w:pStyle w:val="Tekstprzypisudolnego"/>
        <w:rPr>
          <w:lang w:val="pl-PL"/>
        </w:rPr>
      </w:pPr>
      <w:hyperlink r:id="rId1" w:history="1">
        <w:r w:rsidRPr="001E6E24">
          <w:rPr>
            <w:rStyle w:val="Hipercze"/>
            <w:lang w:val="pl-PL"/>
          </w:rPr>
          <w:t>http://hudoc.echr.coe.int/eng?i=001-180877</w:t>
        </w:r>
      </w:hyperlink>
      <w:r>
        <w:rPr>
          <w:lang w:val="pl-PL"/>
        </w:rPr>
        <w:t xml:space="preserve"> [przyp. red.]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018" w:rsidRDefault="000F20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8A29E2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logo Europejskiego Trybunału Praw Człowieka" title="logo Europejskiego Trybunału Praw Człowie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53CB2"/>
    <w:rsid w:val="00097888"/>
    <w:rsid w:val="000C50FB"/>
    <w:rsid w:val="000F13B5"/>
    <w:rsid w:val="000F2018"/>
    <w:rsid w:val="00107377"/>
    <w:rsid w:val="00143602"/>
    <w:rsid w:val="001710E1"/>
    <w:rsid w:val="0017681C"/>
    <w:rsid w:val="001769E4"/>
    <w:rsid w:val="00186560"/>
    <w:rsid w:val="00212E83"/>
    <w:rsid w:val="00220D5E"/>
    <w:rsid w:val="002552B9"/>
    <w:rsid w:val="00273A87"/>
    <w:rsid w:val="002966E7"/>
    <w:rsid w:val="002E088D"/>
    <w:rsid w:val="0030264F"/>
    <w:rsid w:val="00305E5B"/>
    <w:rsid w:val="003450B3"/>
    <w:rsid w:val="00386958"/>
    <w:rsid w:val="003A64A6"/>
    <w:rsid w:val="003B2DEF"/>
    <w:rsid w:val="003D7BB3"/>
    <w:rsid w:val="0044347A"/>
    <w:rsid w:val="0046453F"/>
    <w:rsid w:val="0049294F"/>
    <w:rsid w:val="004A5B52"/>
    <w:rsid w:val="004D568D"/>
    <w:rsid w:val="004E1037"/>
    <w:rsid w:val="005204DE"/>
    <w:rsid w:val="0052092D"/>
    <w:rsid w:val="00534421"/>
    <w:rsid w:val="00540D75"/>
    <w:rsid w:val="005514E5"/>
    <w:rsid w:val="005D4F8C"/>
    <w:rsid w:val="006028A1"/>
    <w:rsid w:val="00631A28"/>
    <w:rsid w:val="00683E1C"/>
    <w:rsid w:val="006A36AD"/>
    <w:rsid w:val="006C1D96"/>
    <w:rsid w:val="0071773F"/>
    <w:rsid w:val="00724C42"/>
    <w:rsid w:val="00774515"/>
    <w:rsid w:val="00813626"/>
    <w:rsid w:val="0081707A"/>
    <w:rsid w:val="00855C6D"/>
    <w:rsid w:val="00895EF3"/>
    <w:rsid w:val="008A29E2"/>
    <w:rsid w:val="008B19C9"/>
    <w:rsid w:val="008C3C36"/>
    <w:rsid w:val="008C64D5"/>
    <w:rsid w:val="00903D38"/>
    <w:rsid w:val="009B3B2C"/>
    <w:rsid w:val="009E3EF0"/>
    <w:rsid w:val="00A01052"/>
    <w:rsid w:val="00A04D9C"/>
    <w:rsid w:val="00A128F6"/>
    <w:rsid w:val="00A2426F"/>
    <w:rsid w:val="00A258BB"/>
    <w:rsid w:val="00A33541"/>
    <w:rsid w:val="00A45616"/>
    <w:rsid w:val="00A57D65"/>
    <w:rsid w:val="00AC7726"/>
    <w:rsid w:val="00B23FC2"/>
    <w:rsid w:val="00B62A32"/>
    <w:rsid w:val="00B80CA0"/>
    <w:rsid w:val="00B85770"/>
    <w:rsid w:val="00BA66DD"/>
    <w:rsid w:val="00BE6D37"/>
    <w:rsid w:val="00BF1CD9"/>
    <w:rsid w:val="00C12971"/>
    <w:rsid w:val="00C37433"/>
    <w:rsid w:val="00C54F6C"/>
    <w:rsid w:val="00C63262"/>
    <w:rsid w:val="00C72355"/>
    <w:rsid w:val="00C80BF3"/>
    <w:rsid w:val="00C83EEF"/>
    <w:rsid w:val="00C93CFB"/>
    <w:rsid w:val="00CB1A0A"/>
    <w:rsid w:val="00CF7BA6"/>
    <w:rsid w:val="00D42086"/>
    <w:rsid w:val="00D425B3"/>
    <w:rsid w:val="00D45319"/>
    <w:rsid w:val="00E55491"/>
    <w:rsid w:val="00E83DB6"/>
    <w:rsid w:val="00EA53E7"/>
    <w:rsid w:val="00F508C9"/>
    <w:rsid w:val="00F50CCD"/>
    <w:rsid w:val="00F5247C"/>
    <w:rsid w:val="00F80D99"/>
    <w:rsid w:val="00F8481C"/>
    <w:rsid w:val="00FA29ED"/>
    <w:rsid w:val="00FC1A91"/>
    <w:rsid w:val="00FE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220D5E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220D5E"/>
  </w:style>
  <w:style w:type="character" w:styleId="UyteHipercze">
    <w:name w:val="FollowedHyperlink"/>
    <w:basedOn w:val="Domylnaczcionkaakapitu"/>
    <w:semiHidden/>
    <w:unhideWhenUsed/>
    <w:rsid w:val="005D4F8C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220D5E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220D5E"/>
  </w:style>
  <w:style w:type="character" w:styleId="UyteHipercze">
    <w:name w:val="FollowedHyperlink"/>
    <w:basedOn w:val="Domylnaczcionkaakapitu"/>
    <w:semiHidden/>
    <w:unhideWhenUsed/>
    <w:rsid w:val="005D4F8C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dyplomacja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chr.coe.int/NoteInformation/en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hudoc.echr.coe.int/eng?i=002-1109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4908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hudoc.echr.coe.int/eng?i=001-180877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63BD8-4858-4630-BC69-7CF1FEA91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2020-07-31T15:12:00Z</dcterms:created>
  <dcterms:modified xsi:type="dcterms:W3CDTF">2020-07-31T15:12:00Z</dcterms:modified>
</cp:coreProperties>
</file>