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131" w:rsidRPr="00A21479" w:rsidRDefault="005B4131" w:rsidP="005B4131">
      <w:pPr>
        <w:pStyle w:val="s6e50bd9a"/>
        <w:spacing w:after="120" w:afterAutospacing="0"/>
        <w:jc w:val="both"/>
        <w:rPr>
          <w:rFonts w:ascii="Arial" w:hAnsi="Arial" w:cs="Arial"/>
        </w:rPr>
      </w:pPr>
      <w:r w:rsidRPr="00A21479"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 w:rsidRPr="00A21479"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 w:rsidRPr="00A21479"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 w:rsidRPr="00A21479"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 w:rsidRPr="00A21479"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:rsidR="005B4131" w:rsidRPr="00A21479" w:rsidRDefault="005B4131" w:rsidP="005B4131">
      <w:pPr>
        <w:pStyle w:val="ClinEditionNumber"/>
        <w:jc w:val="center"/>
        <w:rPr>
          <w:lang w:val="pl-PL"/>
        </w:rPr>
      </w:pPr>
      <w:r w:rsidRPr="00A21479">
        <w:rPr>
          <w:lang w:val="pl-PL"/>
        </w:rPr>
        <w:t>EUROPEJSKI TRYBUNAŁ PRAW CZŁOWIEKA</w:t>
      </w:r>
    </w:p>
    <w:p w:rsidR="008846BA" w:rsidRPr="00A21479" w:rsidRDefault="005B4131" w:rsidP="005B4131">
      <w:pPr>
        <w:pStyle w:val="ClinEditionNumber"/>
        <w:rPr>
          <w:lang w:val="pl-PL"/>
        </w:rPr>
      </w:pPr>
      <w:r w:rsidRPr="00A21479">
        <w:rPr>
          <w:lang w:val="pl-PL"/>
        </w:rPr>
        <w:t>Nota informacyjna nt. orzecznictwa Trybunału nr</w:t>
      </w:r>
      <w:r w:rsidR="00B9152F" w:rsidRPr="00A21479">
        <w:rPr>
          <w:lang w:val="pl-PL"/>
        </w:rPr>
        <w:t xml:space="preserve"> 231</w:t>
      </w:r>
    </w:p>
    <w:p w:rsidR="008846BA" w:rsidRPr="00A21479" w:rsidRDefault="00CD1A50">
      <w:pPr>
        <w:pStyle w:val="ClinEditionMonth"/>
        <w:rPr>
          <w:lang w:val="pl-PL"/>
        </w:rPr>
      </w:pPr>
      <w:r w:rsidRPr="00A21479">
        <w:rPr>
          <w:lang w:val="pl-PL"/>
        </w:rPr>
        <w:t>Lipiec</w:t>
      </w:r>
      <w:r w:rsidR="00B9152F" w:rsidRPr="00A21479">
        <w:rPr>
          <w:lang w:val="pl-PL"/>
        </w:rPr>
        <w:t xml:space="preserve"> 2019</w:t>
      </w:r>
      <w:r w:rsidRPr="00A21479">
        <w:rPr>
          <w:lang w:val="pl-PL"/>
        </w:rPr>
        <w:t xml:space="preserve"> r.</w:t>
      </w:r>
    </w:p>
    <w:p w:rsidR="008846BA" w:rsidRPr="00A21479" w:rsidRDefault="00B9152F">
      <w:pPr>
        <w:rPr>
          <w:lang w:val="pl-PL"/>
        </w:rPr>
      </w:pPr>
      <w:proofErr w:type="spellStart"/>
      <w:r w:rsidRPr="00A21479">
        <w:rPr>
          <w:rStyle w:val="ClinCaseTitle"/>
          <w:lang w:val="pl-PL"/>
        </w:rPr>
        <w:t>Mihalache</w:t>
      </w:r>
      <w:proofErr w:type="spellEnd"/>
      <w:r w:rsidRPr="00A21479">
        <w:rPr>
          <w:rStyle w:val="ClinCaseTitle"/>
          <w:lang w:val="pl-PL"/>
        </w:rPr>
        <w:t xml:space="preserve"> </w:t>
      </w:r>
      <w:r w:rsidR="00CD1A50" w:rsidRPr="00A21479">
        <w:rPr>
          <w:rStyle w:val="ClinCaseTitle"/>
          <w:lang w:val="pl-PL"/>
        </w:rPr>
        <w:t>p</w:t>
      </w:r>
      <w:r w:rsidRPr="00A21479">
        <w:rPr>
          <w:rStyle w:val="ClinCaseTitle"/>
          <w:lang w:val="pl-PL"/>
        </w:rPr>
        <w:t>. R</w:t>
      </w:r>
      <w:r w:rsidR="00CD1A50" w:rsidRPr="00A21479">
        <w:rPr>
          <w:rStyle w:val="ClinCaseTitle"/>
          <w:lang w:val="pl-PL"/>
        </w:rPr>
        <w:t>umunii</w:t>
      </w:r>
      <w:r w:rsidRPr="00A21479">
        <w:rPr>
          <w:rStyle w:val="ClinCaseTitle"/>
          <w:lang w:val="pl-PL"/>
        </w:rPr>
        <w:t xml:space="preserve"> [</w:t>
      </w:r>
      <w:r w:rsidR="00CD1A50" w:rsidRPr="00A21479">
        <w:rPr>
          <w:rStyle w:val="ClinCaseTitle"/>
          <w:lang w:val="pl-PL"/>
        </w:rPr>
        <w:t>Wielka Izba</w:t>
      </w:r>
      <w:r w:rsidRPr="00A21479">
        <w:rPr>
          <w:rStyle w:val="ClinCaseTitle"/>
          <w:lang w:val="pl-PL"/>
        </w:rPr>
        <w:t>]</w:t>
      </w:r>
      <w:r w:rsidR="00CD1A50" w:rsidRPr="00A21479">
        <w:rPr>
          <w:rStyle w:val="ClinCaseTitle"/>
          <w:lang w:val="pl-PL"/>
        </w:rPr>
        <w:t>, skarga nr</w:t>
      </w:r>
      <w:r w:rsidRPr="00A21479">
        <w:rPr>
          <w:rStyle w:val="ClinApplicationNumber"/>
          <w:lang w:val="pl-PL"/>
        </w:rPr>
        <w:t xml:space="preserve"> 54012/10</w:t>
      </w:r>
    </w:p>
    <w:p w:rsidR="008846BA" w:rsidRPr="00A21479" w:rsidRDefault="00CD1A50">
      <w:pPr>
        <w:rPr>
          <w:lang w:val="pl-PL"/>
        </w:rPr>
      </w:pPr>
      <w:r w:rsidRPr="00A21479">
        <w:rPr>
          <w:rStyle w:val="ClinHudocDocumentTitle"/>
          <w:lang w:val="pl-PL"/>
        </w:rPr>
        <w:t>Wyrok z 0</w:t>
      </w:r>
      <w:r w:rsidR="00B9152F" w:rsidRPr="00A21479">
        <w:rPr>
          <w:rStyle w:val="ClinHudocDocumentTitle"/>
          <w:lang w:val="pl-PL"/>
        </w:rPr>
        <w:t>8.</w:t>
      </w:r>
      <w:r w:rsidRPr="00A21479">
        <w:rPr>
          <w:rStyle w:val="ClinHudocDocumentTitle"/>
          <w:lang w:val="pl-PL"/>
        </w:rPr>
        <w:t>0</w:t>
      </w:r>
      <w:r w:rsidR="00B9152F" w:rsidRPr="00A21479">
        <w:rPr>
          <w:rStyle w:val="ClinHudocDocumentTitle"/>
          <w:lang w:val="pl-PL"/>
        </w:rPr>
        <w:t>7.2019</w:t>
      </w:r>
      <w:r w:rsidR="00B9152F" w:rsidRPr="00A21479">
        <w:rPr>
          <w:rStyle w:val="ClinSectionName"/>
          <w:lang w:val="pl-PL"/>
        </w:rPr>
        <w:t xml:space="preserve"> </w:t>
      </w:r>
      <w:r w:rsidRPr="00A21479">
        <w:rPr>
          <w:rStyle w:val="ClinSectionName"/>
          <w:lang w:val="pl-PL"/>
        </w:rPr>
        <w:t xml:space="preserve">r. </w:t>
      </w:r>
      <w:r w:rsidR="00B9152F" w:rsidRPr="00A21479">
        <w:rPr>
          <w:rStyle w:val="ClinSectionName"/>
          <w:lang w:val="pl-PL"/>
        </w:rPr>
        <w:t>[</w:t>
      </w:r>
      <w:r w:rsidRPr="00A21479">
        <w:rPr>
          <w:rStyle w:val="ClinSectionName"/>
          <w:lang w:val="pl-PL"/>
        </w:rPr>
        <w:t>WI</w:t>
      </w:r>
      <w:r w:rsidR="00B9152F" w:rsidRPr="00A21479">
        <w:rPr>
          <w:rStyle w:val="ClinSectionName"/>
          <w:lang w:val="pl-PL"/>
        </w:rPr>
        <w:t>]</w:t>
      </w:r>
    </w:p>
    <w:p w:rsidR="008846BA" w:rsidRPr="00A21479" w:rsidRDefault="00B9152F">
      <w:pPr>
        <w:pStyle w:val="ClinMainKeywordCode"/>
        <w:rPr>
          <w:lang w:val="pl-PL"/>
        </w:rPr>
      </w:pPr>
      <w:r w:rsidRPr="00A21479">
        <w:rPr>
          <w:lang w:val="pl-PL"/>
        </w:rPr>
        <w:t>Art</w:t>
      </w:r>
      <w:r w:rsidR="00CD1A50" w:rsidRPr="00A21479">
        <w:rPr>
          <w:lang w:val="pl-PL"/>
        </w:rPr>
        <w:t>.</w:t>
      </w:r>
      <w:r w:rsidRPr="00A21479">
        <w:rPr>
          <w:lang w:val="pl-PL"/>
        </w:rPr>
        <w:t xml:space="preserve"> 4 Proto</w:t>
      </w:r>
      <w:r w:rsidR="00CD1A50" w:rsidRPr="00A21479">
        <w:rPr>
          <w:lang w:val="pl-PL"/>
        </w:rPr>
        <w:t>kołu nr</w:t>
      </w:r>
      <w:r w:rsidRPr="00A21479">
        <w:rPr>
          <w:lang w:val="pl-PL"/>
        </w:rPr>
        <w:t xml:space="preserve"> 7</w:t>
      </w:r>
    </w:p>
    <w:p w:rsidR="008846BA" w:rsidRPr="00A43DA3" w:rsidRDefault="004233E0">
      <w:pPr>
        <w:pStyle w:val="ClinKeyword"/>
        <w:rPr>
          <w:lang w:val="pl-PL"/>
        </w:rPr>
      </w:pPr>
      <w:r w:rsidRPr="00A43DA3">
        <w:rPr>
          <w:lang w:val="pl-PL"/>
        </w:rPr>
        <w:t>Zakaz ponownego sądzenia lub karania</w:t>
      </w:r>
    </w:p>
    <w:p w:rsidR="004233E0" w:rsidRPr="00A21479" w:rsidRDefault="004233E0" w:rsidP="00EA783C">
      <w:pPr>
        <w:jc w:val="both"/>
        <w:rPr>
          <w:i/>
          <w:lang w:val="pl-PL"/>
        </w:rPr>
      </w:pPr>
      <w:r w:rsidRPr="00A21479">
        <w:rPr>
          <w:rStyle w:val="ClinConclusions"/>
          <w:i w:val="0"/>
          <w:lang w:val="pl-PL"/>
        </w:rPr>
        <w:t xml:space="preserve">Wznowienie </w:t>
      </w:r>
      <w:r w:rsidR="00AF3108" w:rsidRPr="00A21479">
        <w:rPr>
          <w:rStyle w:val="ClinConclusions"/>
          <w:i w:val="0"/>
          <w:lang w:val="pl-PL"/>
        </w:rPr>
        <w:t xml:space="preserve">z urzędu </w:t>
      </w:r>
      <w:r w:rsidRPr="00A21479">
        <w:rPr>
          <w:rStyle w:val="ClinConclusions"/>
          <w:i w:val="0"/>
          <w:lang w:val="pl-PL"/>
        </w:rPr>
        <w:t>przez organ wyższe</w:t>
      </w:r>
      <w:r w:rsidR="00AF3108" w:rsidRPr="00A21479">
        <w:rPr>
          <w:rStyle w:val="ClinConclusions"/>
          <w:i w:val="0"/>
          <w:lang w:val="pl-PL"/>
        </w:rPr>
        <w:t>go szczebla</w:t>
      </w:r>
      <w:r w:rsidR="00A520DB" w:rsidRPr="00A21479">
        <w:rPr>
          <w:rStyle w:val="ClinConclusions"/>
          <w:i w:val="0"/>
          <w:lang w:val="pl-PL"/>
        </w:rPr>
        <w:t>,</w:t>
      </w:r>
      <w:r w:rsidRPr="00A21479">
        <w:rPr>
          <w:rStyle w:val="ClinConclusions"/>
          <w:i w:val="0"/>
          <w:lang w:val="pl-PL"/>
        </w:rPr>
        <w:t xml:space="preserve"> bez żadnych nowych okoliczności faktycznych lub fundamentalnych wad wymagających skorygowania, postępowania karnego, które zostało zastąpione grzywną administracyjną: </w:t>
      </w:r>
      <w:r w:rsidRPr="00A21479">
        <w:rPr>
          <w:rStyle w:val="ClinConclusions"/>
          <w:lang w:val="pl-PL"/>
        </w:rPr>
        <w:t>naruszenie</w:t>
      </w:r>
    </w:p>
    <w:p w:rsidR="008E290E" w:rsidRPr="00A21479" w:rsidRDefault="008E290E">
      <w:pPr>
        <w:pStyle w:val="ClinContent"/>
        <w:rPr>
          <w:i/>
          <w:lang w:val="pl-PL"/>
        </w:rPr>
      </w:pPr>
      <w:r w:rsidRPr="00A21479">
        <w:rPr>
          <w:i/>
          <w:lang w:val="pl-PL"/>
        </w:rPr>
        <w:t>Fakty</w:t>
      </w:r>
    </w:p>
    <w:p w:rsidR="008E290E" w:rsidRPr="00A21479" w:rsidRDefault="008E290E">
      <w:pPr>
        <w:pStyle w:val="ClinContent"/>
        <w:rPr>
          <w:lang w:val="pl-PL"/>
        </w:rPr>
      </w:pPr>
      <w:r w:rsidRPr="00A21479">
        <w:rPr>
          <w:i/>
          <w:lang w:val="pl-PL"/>
        </w:rPr>
        <w:t xml:space="preserve">Pierwsze postępowanie: </w:t>
      </w:r>
      <w:r w:rsidRPr="00A21479">
        <w:rPr>
          <w:lang w:val="pl-PL"/>
        </w:rPr>
        <w:t xml:space="preserve">W sierpniu 2008 r., stwierdzając, że popełnione czyny nie były na tyle poważne, by stanowić przestępstwo, prokuratura umorzyła postępowanie karne wszczęte przeciwko skarżącemu za odmowę udostępnienia próbki </w:t>
      </w:r>
      <w:r w:rsidR="00A21479">
        <w:rPr>
          <w:lang w:val="pl-PL"/>
        </w:rPr>
        <w:t xml:space="preserve">jego </w:t>
      </w:r>
      <w:r w:rsidRPr="00A21479">
        <w:rPr>
          <w:lang w:val="pl-PL"/>
        </w:rPr>
        <w:t>materiału biologicznego w celu określenia poziomu zawartości alkoholu w</w:t>
      </w:r>
      <w:r w:rsidR="00A43DA3">
        <w:rPr>
          <w:lang w:val="pl-PL"/>
        </w:rPr>
        <w:t>e</w:t>
      </w:r>
      <w:r w:rsidRPr="00A21479">
        <w:rPr>
          <w:lang w:val="pl-PL"/>
        </w:rPr>
        <w:t xml:space="preserve"> krwi. Zamiast tego nałożono na niego karę administracyjną (250 euro). Skarżący nie odwoł</w:t>
      </w:r>
      <w:r w:rsidR="00A520DB" w:rsidRPr="00A21479">
        <w:rPr>
          <w:lang w:val="pl-PL"/>
        </w:rPr>
        <w:t>yw</w:t>
      </w:r>
      <w:r w:rsidRPr="00A21479">
        <w:rPr>
          <w:lang w:val="pl-PL"/>
        </w:rPr>
        <w:t xml:space="preserve">ał się od tej decyzji </w:t>
      </w:r>
      <w:r w:rsidR="00EA783C">
        <w:rPr>
          <w:lang w:val="pl-PL"/>
        </w:rPr>
        <w:t>przewidzianym w prawie krajowym</w:t>
      </w:r>
      <w:r w:rsidR="00A43DA3" w:rsidRPr="00A21479">
        <w:rPr>
          <w:lang w:val="pl-PL"/>
        </w:rPr>
        <w:t xml:space="preserve"> terminie 20 dni </w:t>
      </w:r>
      <w:r w:rsidRPr="00A21479">
        <w:rPr>
          <w:lang w:val="pl-PL"/>
        </w:rPr>
        <w:t xml:space="preserve">i zapłacił grzywnę. </w:t>
      </w:r>
    </w:p>
    <w:p w:rsidR="008E290E" w:rsidRPr="00A21479" w:rsidRDefault="008E290E">
      <w:pPr>
        <w:pStyle w:val="ClinContent"/>
        <w:rPr>
          <w:lang w:val="pl-PL"/>
        </w:rPr>
      </w:pPr>
      <w:r w:rsidRPr="00A21479">
        <w:rPr>
          <w:i/>
          <w:lang w:val="pl-PL"/>
        </w:rPr>
        <w:t xml:space="preserve">Drugie postępowanie: </w:t>
      </w:r>
      <w:r w:rsidRPr="00A21479">
        <w:rPr>
          <w:lang w:val="pl-PL"/>
        </w:rPr>
        <w:t>W styczniu 200</w:t>
      </w:r>
      <w:r w:rsidR="00A520DB" w:rsidRPr="00A21479">
        <w:rPr>
          <w:lang w:val="pl-PL"/>
        </w:rPr>
        <w:t>9</w:t>
      </w:r>
      <w:r w:rsidRPr="00A21479">
        <w:rPr>
          <w:lang w:val="pl-PL"/>
        </w:rPr>
        <w:t xml:space="preserve"> r.</w:t>
      </w:r>
      <w:r w:rsidR="00A520DB" w:rsidRPr="00A21479">
        <w:rPr>
          <w:lang w:val="pl-PL"/>
        </w:rPr>
        <w:t xml:space="preserve"> prokuratura wyższego szczebla uchyliła postanowienie o umorzeniu i karę grzywny administracyjnej nałożoną w pierwszym postępowaniu, </w:t>
      </w:r>
      <w:r w:rsidRPr="00A21479">
        <w:rPr>
          <w:lang w:val="pl-PL"/>
        </w:rPr>
        <w:t xml:space="preserve">stwierdzając, że okoliczności oraz zagrożenie społeczne czynów skarżącego </w:t>
      </w:r>
      <w:r w:rsidR="00A520DB" w:rsidRPr="00A21479">
        <w:rPr>
          <w:lang w:val="pl-PL"/>
        </w:rPr>
        <w:t>przemawiały za uznaniem</w:t>
      </w:r>
      <w:r w:rsidRPr="00A21479">
        <w:rPr>
          <w:lang w:val="pl-PL"/>
        </w:rPr>
        <w:t>, że sama kara administracyjna była nieodpow</w:t>
      </w:r>
      <w:r w:rsidR="00A520DB" w:rsidRPr="00A21479">
        <w:rPr>
          <w:lang w:val="pl-PL"/>
        </w:rPr>
        <w:t>iednia</w:t>
      </w:r>
      <w:r w:rsidRPr="00A21479">
        <w:rPr>
          <w:lang w:val="pl-PL"/>
        </w:rPr>
        <w:t xml:space="preserve">. </w:t>
      </w:r>
      <w:r w:rsidR="00A43DA3">
        <w:rPr>
          <w:lang w:val="pl-PL"/>
        </w:rPr>
        <w:t>Skarżącemu wymierzono</w:t>
      </w:r>
      <w:r w:rsidRPr="00A21479">
        <w:rPr>
          <w:lang w:val="pl-PL"/>
        </w:rPr>
        <w:t xml:space="preserve"> następnie karę pozbawienia wolności jednego roku w zawieszeniu. Sąd stwierdził, że nie można w sposób </w:t>
      </w:r>
      <w:r w:rsidR="00A520DB" w:rsidRPr="00A21479">
        <w:rPr>
          <w:lang w:val="pl-PL"/>
        </w:rPr>
        <w:t xml:space="preserve">skuteczny </w:t>
      </w:r>
      <w:r w:rsidRPr="00A21479">
        <w:rPr>
          <w:lang w:val="pl-PL"/>
        </w:rPr>
        <w:t>powoływać się na</w:t>
      </w:r>
      <w:r w:rsidR="005D2B50">
        <w:rPr>
          <w:lang w:val="pl-PL"/>
        </w:rPr>
        <w:t> </w:t>
      </w:r>
      <w:r w:rsidRPr="00A21479">
        <w:rPr>
          <w:lang w:val="pl-PL"/>
        </w:rPr>
        <w:t xml:space="preserve">zasadę </w:t>
      </w:r>
      <w:proofErr w:type="spellStart"/>
      <w:r w:rsidRPr="00A21479">
        <w:rPr>
          <w:i/>
          <w:lang w:val="pl-PL"/>
        </w:rPr>
        <w:t>ne</w:t>
      </w:r>
      <w:proofErr w:type="spellEnd"/>
      <w:r w:rsidRPr="00A21479">
        <w:rPr>
          <w:i/>
          <w:lang w:val="pl-PL"/>
        </w:rPr>
        <w:t xml:space="preserve"> bis in idem, </w:t>
      </w:r>
      <w:r w:rsidRPr="00A21479">
        <w:rPr>
          <w:lang w:val="pl-PL"/>
        </w:rPr>
        <w:t>ponieważ postanowienie o umorzeniu nie stanowiło wyroku skazującego lub uniewinniającego. Skarżący nie podjął działań w odniesieniu do</w:t>
      </w:r>
      <w:r w:rsidR="005D2B50">
        <w:rPr>
          <w:lang w:val="pl-PL"/>
        </w:rPr>
        <w:t> </w:t>
      </w:r>
      <w:r w:rsidRPr="00A21479">
        <w:rPr>
          <w:lang w:val="pl-PL"/>
        </w:rPr>
        <w:t xml:space="preserve">zaoferowanej mu możliwości zwrotu zapłaconej grzywny. </w:t>
      </w:r>
    </w:p>
    <w:p w:rsidR="008E290E" w:rsidRPr="00A21479" w:rsidRDefault="008E290E">
      <w:pPr>
        <w:pStyle w:val="ClinContent"/>
        <w:rPr>
          <w:i/>
          <w:lang w:val="pl-PL"/>
        </w:rPr>
      </w:pPr>
      <w:r w:rsidRPr="00A21479">
        <w:rPr>
          <w:i/>
          <w:lang w:val="pl-PL"/>
        </w:rPr>
        <w:t xml:space="preserve">Prawo – </w:t>
      </w:r>
      <w:r w:rsidRPr="00A21479">
        <w:rPr>
          <w:lang w:val="pl-PL"/>
        </w:rPr>
        <w:t>Art. 4 Protokołu nr 7</w:t>
      </w:r>
      <w:r w:rsidR="00EA0CDE">
        <w:rPr>
          <w:lang w:val="pl-PL"/>
        </w:rPr>
        <w:t xml:space="preserve"> [do </w:t>
      </w:r>
      <w:bookmarkStart w:id="0" w:name="_GoBack"/>
      <w:bookmarkEnd w:id="0"/>
      <w:r w:rsidR="00EA0CDE">
        <w:rPr>
          <w:lang w:val="pl-PL"/>
        </w:rPr>
        <w:t>Konwencji o ochronie praw człowieka i podstawowych wolności]</w:t>
      </w:r>
      <w:r w:rsidRPr="00A21479">
        <w:rPr>
          <w:lang w:val="pl-PL"/>
        </w:rPr>
        <w:t>: Nałożona grzywna mo</w:t>
      </w:r>
      <w:r w:rsidR="00A520DB" w:rsidRPr="00A21479">
        <w:rPr>
          <w:lang w:val="pl-PL"/>
        </w:rPr>
        <w:t>że</w:t>
      </w:r>
      <w:r w:rsidRPr="00A21479">
        <w:rPr>
          <w:lang w:val="pl-PL"/>
        </w:rPr>
        <w:t xml:space="preserve"> być uznana za karę w rozumieniu prawa karnego. Fakty, do których odnosiły się oba postępowania, </w:t>
      </w:r>
      <w:r w:rsidR="00A520DB" w:rsidRPr="00A21479">
        <w:rPr>
          <w:lang w:val="pl-PL"/>
        </w:rPr>
        <w:t>były t</w:t>
      </w:r>
      <w:r w:rsidR="00A21479">
        <w:rPr>
          <w:lang w:val="pl-PL"/>
        </w:rPr>
        <w:t>ożsame</w:t>
      </w:r>
      <w:r w:rsidR="00A520DB" w:rsidRPr="00A21479">
        <w:rPr>
          <w:lang w:val="pl-PL"/>
        </w:rPr>
        <w:t xml:space="preserve"> </w:t>
      </w:r>
      <w:r w:rsidRPr="00A21479">
        <w:rPr>
          <w:lang w:val="pl-PL"/>
        </w:rPr>
        <w:t>(„</w:t>
      </w:r>
      <w:r w:rsidRPr="00A21479">
        <w:rPr>
          <w:i/>
          <w:lang w:val="pl-PL"/>
        </w:rPr>
        <w:t>idem</w:t>
      </w:r>
      <w:r w:rsidRPr="00A21479">
        <w:rPr>
          <w:lang w:val="pl-PL"/>
        </w:rPr>
        <w:t>”). Należało ustalić, czy doszło do po</w:t>
      </w:r>
      <w:r w:rsidR="00A43DA3">
        <w:rPr>
          <w:lang w:val="pl-PL"/>
        </w:rPr>
        <w:t>wielenia</w:t>
      </w:r>
      <w:r w:rsidRPr="00A21479">
        <w:rPr>
          <w:lang w:val="pl-PL"/>
        </w:rPr>
        <w:t xml:space="preserve"> postępowania („</w:t>
      </w:r>
      <w:r w:rsidRPr="00A21479">
        <w:rPr>
          <w:i/>
          <w:lang w:val="pl-PL"/>
        </w:rPr>
        <w:t>bis</w:t>
      </w:r>
      <w:r w:rsidRPr="00A21479">
        <w:rPr>
          <w:lang w:val="pl-PL"/>
        </w:rPr>
        <w:t xml:space="preserve">”). </w:t>
      </w:r>
    </w:p>
    <w:p w:rsidR="008E290E" w:rsidRPr="00A21479" w:rsidRDefault="008E290E">
      <w:pPr>
        <w:pStyle w:val="ClinContent"/>
        <w:rPr>
          <w:i/>
          <w:lang w:val="pl-PL"/>
        </w:rPr>
      </w:pPr>
      <w:r w:rsidRPr="00A21479">
        <w:rPr>
          <w:i/>
          <w:lang w:val="pl-PL"/>
        </w:rPr>
        <w:t>a) Uwagi wstępne: czy oba postępowania były komplementarne</w:t>
      </w:r>
    </w:p>
    <w:p w:rsidR="008E290E" w:rsidRPr="00A21479" w:rsidRDefault="008E290E">
      <w:pPr>
        <w:pStyle w:val="ClinContent"/>
        <w:rPr>
          <w:lang w:val="pl-PL"/>
        </w:rPr>
      </w:pPr>
      <w:r w:rsidRPr="00A21479">
        <w:rPr>
          <w:lang w:val="pl-PL"/>
        </w:rPr>
        <w:t>Nie. Oba postępowania dotyczyły jednego przestępstwa podlegającego karze na mocy tego samego przepisu. Oba dążyły do realizacji tego samego ogólnego celu, były prowadzone przez ten sam organ ścigania</w:t>
      </w:r>
      <w:r w:rsidR="00A520DB" w:rsidRPr="00A21479">
        <w:rPr>
          <w:lang w:val="pl-PL"/>
        </w:rPr>
        <w:t>,</w:t>
      </w:r>
      <w:r w:rsidRPr="00A21479">
        <w:rPr>
          <w:lang w:val="pl-PL"/>
        </w:rPr>
        <w:t xml:space="preserve"> </w:t>
      </w:r>
      <w:r w:rsidR="00A520DB" w:rsidRPr="00A21479">
        <w:rPr>
          <w:lang w:val="pl-PL"/>
        </w:rPr>
        <w:t>a</w:t>
      </w:r>
      <w:r w:rsidRPr="00A21479">
        <w:rPr>
          <w:lang w:val="pl-PL"/>
        </w:rPr>
        <w:t xml:space="preserve"> dowody były te same. </w:t>
      </w:r>
      <w:r w:rsidR="007472F5" w:rsidRPr="00A21479">
        <w:rPr>
          <w:lang w:val="pl-PL"/>
        </w:rPr>
        <w:t xml:space="preserve">Miały one miejsce jedno po drugim i </w:t>
      </w:r>
      <w:r w:rsidR="00A21479" w:rsidRPr="00A21479">
        <w:rPr>
          <w:lang w:val="pl-PL"/>
        </w:rPr>
        <w:t xml:space="preserve">w żadnym momencie </w:t>
      </w:r>
      <w:r w:rsidR="007472F5" w:rsidRPr="00A21479">
        <w:rPr>
          <w:lang w:val="pl-PL"/>
        </w:rPr>
        <w:t>nie były prowadzone jednocześnie. Ponadto obie kary nie były łączone: albo jedna, albo druga powinna być nałożona w zależności od</w:t>
      </w:r>
      <w:r w:rsidR="005D2B50">
        <w:rPr>
          <w:lang w:val="pl-PL"/>
        </w:rPr>
        <w:t> </w:t>
      </w:r>
      <w:r w:rsidR="007472F5" w:rsidRPr="00A21479">
        <w:rPr>
          <w:lang w:val="pl-PL"/>
        </w:rPr>
        <w:t>tego, czy organy uznały</w:t>
      </w:r>
      <w:r w:rsidR="00A21479">
        <w:rPr>
          <w:lang w:val="pl-PL"/>
        </w:rPr>
        <w:t>, że</w:t>
      </w:r>
      <w:r w:rsidR="007472F5" w:rsidRPr="00A21479">
        <w:rPr>
          <w:lang w:val="pl-PL"/>
        </w:rPr>
        <w:t xml:space="preserve"> fakty </w:t>
      </w:r>
      <w:r w:rsidR="00A520DB" w:rsidRPr="00A21479">
        <w:rPr>
          <w:lang w:val="pl-PL"/>
        </w:rPr>
        <w:t>wypełnia</w:t>
      </w:r>
      <w:r w:rsidR="00A21479">
        <w:rPr>
          <w:lang w:val="pl-PL"/>
        </w:rPr>
        <w:t>ły</w:t>
      </w:r>
      <w:r w:rsidR="00A520DB" w:rsidRPr="00A21479">
        <w:rPr>
          <w:lang w:val="pl-PL"/>
        </w:rPr>
        <w:t xml:space="preserve"> znamiona przestępstwa</w:t>
      </w:r>
      <w:r w:rsidR="007472F5" w:rsidRPr="00A21479">
        <w:rPr>
          <w:lang w:val="pl-PL"/>
        </w:rPr>
        <w:t xml:space="preserve">.  </w:t>
      </w:r>
    </w:p>
    <w:p w:rsidR="00B37921" w:rsidRPr="00A21479" w:rsidRDefault="00B37921" w:rsidP="00B37921">
      <w:pPr>
        <w:pStyle w:val="ClinContent"/>
        <w:rPr>
          <w:i/>
          <w:lang w:val="pl-PL"/>
        </w:rPr>
      </w:pPr>
      <w:r w:rsidRPr="00A21479">
        <w:rPr>
          <w:i/>
          <w:lang w:val="pl-PL"/>
        </w:rPr>
        <w:lastRenderedPageBreak/>
        <w:t xml:space="preserve">b) Czy postanowienie prokuratora może być uznane za </w:t>
      </w:r>
      <w:r w:rsidR="00A520DB" w:rsidRPr="00A21479">
        <w:rPr>
          <w:i/>
          <w:lang w:val="pl-PL"/>
        </w:rPr>
        <w:t>„</w:t>
      </w:r>
      <w:r w:rsidR="00A43DA3">
        <w:rPr>
          <w:i/>
          <w:lang w:val="pl-PL"/>
        </w:rPr>
        <w:t xml:space="preserve">prawomocne </w:t>
      </w:r>
      <w:r w:rsidRPr="00A21479">
        <w:rPr>
          <w:i/>
          <w:lang w:val="pl-PL"/>
        </w:rPr>
        <w:t>uniewinnienie lub</w:t>
      </w:r>
      <w:r w:rsidR="005D2B50">
        <w:rPr>
          <w:i/>
          <w:lang w:val="pl-PL"/>
        </w:rPr>
        <w:t> </w:t>
      </w:r>
      <w:r w:rsidRPr="00A21479">
        <w:rPr>
          <w:i/>
          <w:lang w:val="pl-PL"/>
        </w:rPr>
        <w:t>skazanie”</w:t>
      </w:r>
    </w:p>
    <w:p w:rsidR="00B37921" w:rsidRPr="00A43DA3" w:rsidRDefault="00B37921" w:rsidP="00B37921">
      <w:pPr>
        <w:pStyle w:val="ClinContent"/>
        <w:rPr>
          <w:i/>
          <w:lang w:val="pl-PL"/>
        </w:rPr>
      </w:pPr>
      <w:r w:rsidRPr="00A43DA3">
        <w:rPr>
          <w:i/>
          <w:lang w:val="pl-PL"/>
        </w:rPr>
        <w:t>i) Pojęcia uniewinnienia i skazania</w:t>
      </w:r>
    </w:p>
    <w:p w:rsidR="00B37921" w:rsidRPr="00A21479" w:rsidRDefault="00B37921">
      <w:pPr>
        <w:pStyle w:val="ClinContent"/>
        <w:rPr>
          <w:lang w:val="pl-PL"/>
        </w:rPr>
      </w:pPr>
      <w:r w:rsidRPr="00A21479">
        <w:rPr>
          <w:lang w:val="pl-PL"/>
        </w:rPr>
        <w:t xml:space="preserve">- </w:t>
      </w:r>
      <w:r w:rsidRPr="00A21479">
        <w:rPr>
          <w:i/>
          <w:lang w:val="pl-PL"/>
        </w:rPr>
        <w:t>Czy konieczna jest interwencja sądowa</w:t>
      </w:r>
      <w:r w:rsidR="0085093E" w:rsidRPr="00A21479">
        <w:rPr>
          <w:i/>
          <w:lang w:val="pl-PL"/>
        </w:rPr>
        <w:t>?</w:t>
      </w:r>
      <w:r w:rsidRPr="00A21479">
        <w:rPr>
          <w:lang w:val="pl-PL"/>
        </w:rPr>
        <w:t xml:space="preserve"> – Aby decyzja była uwzględniona do tych celów, nie jest konieczna interwencja sądu. Liczy się to, czy przedmiotowa decyzja została wydana przez organ uczestniczący w wymiarze sprawiedliwości w danym krajowym systemie prawnym i czy organ ten był właściwy w świetle prawa krajowego do</w:t>
      </w:r>
      <w:r w:rsidR="005D2B50">
        <w:rPr>
          <w:lang w:val="pl-PL"/>
        </w:rPr>
        <w:t> </w:t>
      </w:r>
      <w:r w:rsidR="00A520DB" w:rsidRPr="00A21479">
        <w:rPr>
          <w:lang w:val="pl-PL"/>
        </w:rPr>
        <w:t xml:space="preserve">ustalenia </w:t>
      </w:r>
      <w:r w:rsidRPr="00A21479">
        <w:rPr>
          <w:lang w:val="pl-PL"/>
        </w:rPr>
        <w:t>niezgodnego z prawem zachowania oskarżonej o nie osoby</w:t>
      </w:r>
      <w:r w:rsidR="00A43DA3">
        <w:rPr>
          <w:lang w:val="pl-PL"/>
        </w:rPr>
        <w:t xml:space="preserve"> i do jej ukarania, gdy to stosowne</w:t>
      </w:r>
      <w:r w:rsidRPr="00A21479">
        <w:rPr>
          <w:lang w:val="pl-PL"/>
        </w:rPr>
        <w:t xml:space="preserve">. </w:t>
      </w:r>
      <w:r w:rsidR="00EE3012" w:rsidRPr="00A21479">
        <w:rPr>
          <w:lang w:val="pl-PL"/>
        </w:rPr>
        <w:t xml:space="preserve">Nie ma większego znaczenia to, że przedmiotowa decyzja nie została wydana w formie wyroku, gdyż taki aspekt proceduralny i formalny nie </w:t>
      </w:r>
      <w:r w:rsidR="00A520DB" w:rsidRPr="00A21479">
        <w:rPr>
          <w:lang w:val="pl-PL"/>
        </w:rPr>
        <w:t xml:space="preserve">może mieć </w:t>
      </w:r>
      <w:r w:rsidR="00EE3012" w:rsidRPr="00A21479">
        <w:rPr>
          <w:lang w:val="pl-PL"/>
        </w:rPr>
        <w:t xml:space="preserve">wpływu na jej skutki. </w:t>
      </w:r>
    </w:p>
    <w:p w:rsidR="00A24DB5" w:rsidRPr="00A21479" w:rsidRDefault="00A24DB5">
      <w:pPr>
        <w:pStyle w:val="ClinContent"/>
        <w:rPr>
          <w:lang w:val="pl-PL"/>
        </w:rPr>
      </w:pPr>
      <w:r w:rsidRPr="00A21479">
        <w:rPr>
          <w:lang w:val="pl-PL"/>
        </w:rPr>
        <w:t xml:space="preserve">- </w:t>
      </w:r>
      <w:r w:rsidRPr="00A21479">
        <w:rPr>
          <w:i/>
          <w:lang w:val="pl-PL"/>
        </w:rPr>
        <w:t xml:space="preserve">Kiedy można powiedzieć o osobie oskarżonej, że została </w:t>
      </w:r>
      <w:r w:rsidR="0085093E" w:rsidRPr="00A21479">
        <w:rPr>
          <w:i/>
          <w:lang w:val="pl-PL"/>
        </w:rPr>
        <w:t>„</w:t>
      </w:r>
      <w:r w:rsidRPr="00A21479">
        <w:rPr>
          <w:i/>
          <w:lang w:val="pl-PL"/>
        </w:rPr>
        <w:t xml:space="preserve">uniewinniona” lub </w:t>
      </w:r>
      <w:r w:rsidR="0085093E" w:rsidRPr="00A21479">
        <w:rPr>
          <w:i/>
          <w:lang w:val="pl-PL"/>
        </w:rPr>
        <w:t>„</w:t>
      </w:r>
      <w:r w:rsidRPr="00A21479">
        <w:rPr>
          <w:i/>
          <w:lang w:val="pl-PL"/>
        </w:rPr>
        <w:t>skazana”? –</w:t>
      </w:r>
      <w:r w:rsidRPr="00A21479">
        <w:rPr>
          <w:lang w:val="pl-PL"/>
        </w:rPr>
        <w:t xml:space="preserve"> świadomy wybór słów „skazany […] lub uniewinniony” w tekście Protokołu nr 7 oznacza, że odpowiedzialność „karna” oskarżonego została ustalona po ocenie okoliczności sprawy. Aby taka ocena miała miejsce, kluczowe jest, by organ wydający decyzję miał przyznane prawem krajowym uprawnienie decyzyjne w tym zakresie. </w:t>
      </w:r>
      <w:r w:rsidR="007F61A9" w:rsidRPr="00A21479">
        <w:rPr>
          <w:lang w:val="pl-PL"/>
        </w:rPr>
        <w:t>Ustalenie</w:t>
      </w:r>
      <w:r w:rsidRPr="00A21479">
        <w:rPr>
          <w:lang w:val="pl-PL"/>
        </w:rPr>
        <w:t>, że doszło do oceny istoty sprawy</w:t>
      </w:r>
      <w:r w:rsidR="007F61A9" w:rsidRPr="00A21479">
        <w:rPr>
          <w:lang w:val="pl-PL"/>
        </w:rPr>
        <w:t>,</w:t>
      </w:r>
      <w:r w:rsidRPr="00A21479">
        <w:rPr>
          <w:lang w:val="pl-PL"/>
        </w:rPr>
        <w:t xml:space="preserve"> może </w:t>
      </w:r>
      <w:r w:rsidR="00EA783C">
        <w:rPr>
          <w:lang w:val="pl-PL"/>
        </w:rPr>
        <w:t>opierać się na postępie</w:t>
      </w:r>
      <w:r w:rsidR="007F61A9" w:rsidRPr="00A21479">
        <w:rPr>
          <w:lang w:val="pl-PL"/>
        </w:rPr>
        <w:t xml:space="preserve"> w</w:t>
      </w:r>
      <w:r w:rsidR="005D2B50">
        <w:rPr>
          <w:lang w:val="pl-PL"/>
        </w:rPr>
        <w:t> </w:t>
      </w:r>
      <w:r w:rsidRPr="00A21479">
        <w:rPr>
          <w:lang w:val="pl-PL"/>
        </w:rPr>
        <w:t>postępowani</w:t>
      </w:r>
      <w:r w:rsidR="007F61A9" w:rsidRPr="00A21479">
        <w:rPr>
          <w:lang w:val="pl-PL"/>
        </w:rPr>
        <w:t>u</w:t>
      </w:r>
      <w:r w:rsidRPr="00A21479">
        <w:rPr>
          <w:lang w:val="pl-PL"/>
        </w:rPr>
        <w:t xml:space="preserve">. Ma to zastosowanie, na przykład, gdy i) </w:t>
      </w:r>
      <w:r w:rsidR="00A43DA3">
        <w:rPr>
          <w:lang w:val="pl-PL"/>
        </w:rPr>
        <w:t>wszczęto</w:t>
      </w:r>
      <w:r w:rsidRPr="00A21479">
        <w:rPr>
          <w:lang w:val="pl-PL"/>
        </w:rPr>
        <w:t xml:space="preserve"> śledztwo karne z</w:t>
      </w:r>
      <w:r w:rsidR="005D2B50">
        <w:rPr>
          <w:lang w:val="pl-PL"/>
        </w:rPr>
        <w:t> </w:t>
      </w:r>
      <w:r w:rsidRPr="00A21479">
        <w:rPr>
          <w:lang w:val="pl-PL"/>
        </w:rPr>
        <w:t xml:space="preserve">postawieniem zarzutów oskarżonemu, </w:t>
      </w:r>
      <w:r w:rsidR="00A43DA3">
        <w:rPr>
          <w:lang w:val="pl-PL"/>
        </w:rPr>
        <w:t>przesłuchano ofiarę</w:t>
      </w:r>
      <w:r w:rsidRPr="00A21479">
        <w:rPr>
          <w:lang w:val="pl-PL"/>
        </w:rPr>
        <w:t>, właściwy orga</w:t>
      </w:r>
      <w:r w:rsidR="007F61A9" w:rsidRPr="00A21479">
        <w:rPr>
          <w:lang w:val="pl-PL"/>
        </w:rPr>
        <w:t xml:space="preserve">n </w:t>
      </w:r>
      <w:r w:rsidR="00A43DA3">
        <w:rPr>
          <w:lang w:val="pl-PL"/>
        </w:rPr>
        <w:t>zebrał i</w:t>
      </w:r>
      <w:r w:rsidR="005D2B50">
        <w:rPr>
          <w:lang w:val="pl-PL"/>
        </w:rPr>
        <w:t> </w:t>
      </w:r>
      <w:r w:rsidR="00A43DA3">
        <w:rPr>
          <w:lang w:val="pl-PL"/>
        </w:rPr>
        <w:t xml:space="preserve">zbadał dowody </w:t>
      </w:r>
      <w:r w:rsidR="00A21479">
        <w:rPr>
          <w:lang w:val="pl-PL"/>
        </w:rPr>
        <w:t>oraz</w:t>
      </w:r>
      <w:r w:rsidRPr="00A21479">
        <w:rPr>
          <w:lang w:val="pl-PL"/>
        </w:rPr>
        <w:t xml:space="preserve"> </w:t>
      </w:r>
      <w:r w:rsidR="00A43DA3">
        <w:rPr>
          <w:lang w:val="pl-PL"/>
        </w:rPr>
        <w:t>wydano decyzję</w:t>
      </w:r>
      <w:r w:rsidRPr="00A21479">
        <w:rPr>
          <w:lang w:val="pl-PL"/>
        </w:rPr>
        <w:t xml:space="preserve"> z uzasadnieniem w oparciu o te dowody; lub ii)</w:t>
      </w:r>
      <w:r w:rsidR="005D2B50">
        <w:rPr>
          <w:lang w:val="pl-PL"/>
        </w:rPr>
        <w:t> </w:t>
      </w:r>
      <w:r w:rsidRPr="00A21479">
        <w:rPr>
          <w:lang w:val="pl-PL"/>
        </w:rPr>
        <w:t xml:space="preserve">gdy właściwy organ zarządził karę na skutek zachowania przypisanego oskarżonemu. </w:t>
      </w:r>
    </w:p>
    <w:p w:rsidR="00A24DB5" w:rsidRPr="00A21479" w:rsidRDefault="00A24DB5">
      <w:pPr>
        <w:pStyle w:val="ClinContent"/>
        <w:rPr>
          <w:lang w:val="pl-PL"/>
        </w:rPr>
      </w:pPr>
      <w:r w:rsidRPr="00A21479">
        <w:rPr>
          <w:lang w:val="pl-PL"/>
        </w:rPr>
        <w:t xml:space="preserve">- </w:t>
      </w:r>
      <w:r w:rsidR="007F61A9" w:rsidRPr="00A21479">
        <w:rPr>
          <w:i/>
          <w:lang w:val="pl-PL"/>
        </w:rPr>
        <w:t xml:space="preserve">Szczególne </w:t>
      </w:r>
      <w:r w:rsidRPr="00A21479">
        <w:rPr>
          <w:i/>
          <w:lang w:val="pl-PL"/>
        </w:rPr>
        <w:t>względy w o</w:t>
      </w:r>
      <w:r w:rsidR="009368EB">
        <w:rPr>
          <w:i/>
          <w:lang w:val="pl-PL"/>
        </w:rPr>
        <w:t>mawianej</w:t>
      </w:r>
      <w:r w:rsidRPr="00A21479">
        <w:rPr>
          <w:i/>
          <w:lang w:val="pl-PL"/>
        </w:rPr>
        <w:t xml:space="preserve"> sprawie</w:t>
      </w:r>
      <w:r w:rsidRPr="00A21479">
        <w:rPr>
          <w:lang w:val="pl-PL"/>
        </w:rPr>
        <w:t xml:space="preserve"> – Mając na uwadze śledztwo prowadzone przez prokuratora, uprawnienia przyznane mu na mocy prawa krajowego oraz fakt, że </w:t>
      </w:r>
      <w:r w:rsidR="00A21479" w:rsidRPr="00A21479">
        <w:rPr>
          <w:lang w:val="pl-PL"/>
        </w:rPr>
        <w:t xml:space="preserve">na skarżącego </w:t>
      </w:r>
      <w:r w:rsidR="00A43DA3">
        <w:rPr>
          <w:lang w:val="pl-PL"/>
        </w:rPr>
        <w:t>nałożono</w:t>
      </w:r>
      <w:r w:rsidR="00A21479" w:rsidRPr="00A21479">
        <w:rPr>
          <w:lang w:val="pl-PL"/>
        </w:rPr>
        <w:t xml:space="preserve"> </w:t>
      </w:r>
      <w:r w:rsidR="00A43DA3">
        <w:rPr>
          <w:lang w:val="pl-PL"/>
        </w:rPr>
        <w:t>karę</w:t>
      </w:r>
      <w:r w:rsidRPr="00A21479">
        <w:rPr>
          <w:lang w:val="pl-PL"/>
        </w:rPr>
        <w:t xml:space="preserve"> o charakterze odstraszającym i </w:t>
      </w:r>
      <w:r w:rsidR="007F61A9" w:rsidRPr="00A21479">
        <w:rPr>
          <w:lang w:val="pl-PL"/>
        </w:rPr>
        <w:t>represyjnym</w:t>
      </w:r>
      <w:r w:rsidRPr="00A21479">
        <w:rPr>
          <w:lang w:val="pl-PL"/>
        </w:rPr>
        <w:t xml:space="preserve">, przedmiotowe postanowienie w istocie pociągało za sobą „skazanie” w materialnym znaczeniu tego pojęcia. </w:t>
      </w:r>
    </w:p>
    <w:p w:rsidR="00A24DB5" w:rsidRPr="00A21479" w:rsidRDefault="00A24DB5">
      <w:pPr>
        <w:pStyle w:val="ClinContent"/>
        <w:rPr>
          <w:i/>
          <w:lang w:val="pl-PL"/>
        </w:rPr>
      </w:pPr>
      <w:r w:rsidRPr="00A21479">
        <w:rPr>
          <w:lang w:val="pl-PL"/>
        </w:rPr>
        <w:t xml:space="preserve">ii) </w:t>
      </w:r>
      <w:r w:rsidRPr="00A21479">
        <w:rPr>
          <w:i/>
          <w:lang w:val="pl-PL"/>
        </w:rPr>
        <w:t>Czy pierwotne „skazanie” skarżącego przez prokuratora było „prawomocne”</w:t>
      </w:r>
    </w:p>
    <w:p w:rsidR="00A24DB5" w:rsidRPr="00A21479" w:rsidRDefault="00A24DB5">
      <w:pPr>
        <w:pStyle w:val="ClinContent"/>
        <w:rPr>
          <w:lang w:val="pl-PL"/>
        </w:rPr>
      </w:pPr>
      <w:r w:rsidRPr="00A21479">
        <w:rPr>
          <w:lang w:val="pl-PL"/>
        </w:rPr>
        <w:t>Chociaż tekst art. 4 Protokołu nr 7 zawiera wyraźne odwołanie do prawa państwa, które</w:t>
      </w:r>
      <w:r w:rsidR="005D2B50">
        <w:rPr>
          <w:lang w:val="pl-PL"/>
        </w:rPr>
        <w:t> </w:t>
      </w:r>
      <w:r w:rsidRPr="00A21479">
        <w:rPr>
          <w:lang w:val="pl-PL"/>
        </w:rPr>
        <w:t xml:space="preserve">wydało przedmiotowe orzeczenie, </w:t>
      </w:r>
      <w:r w:rsidR="007F61A9" w:rsidRPr="00A21479">
        <w:rPr>
          <w:lang w:val="pl-PL"/>
        </w:rPr>
        <w:t xml:space="preserve">niemniej jednak </w:t>
      </w:r>
      <w:r w:rsidRPr="00A21479">
        <w:rPr>
          <w:lang w:val="pl-PL"/>
        </w:rPr>
        <w:t xml:space="preserve">orzecznictwo Trybunału sugeruje, że termin „prawomocny” należy interpretować </w:t>
      </w:r>
      <w:r w:rsidR="007F61A9" w:rsidRPr="00A21479">
        <w:rPr>
          <w:lang w:val="pl-PL"/>
        </w:rPr>
        <w:t xml:space="preserve">w sposób </w:t>
      </w:r>
      <w:r w:rsidR="00A21479" w:rsidRPr="00A21479">
        <w:rPr>
          <w:lang w:val="pl-PL"/>
        </w:rPr>
        <w:t xml:space="preserve">do pewnego stopnia </w:t>
      </w:r>
      <w:r w:rsidRPr="00A21479">
        <w:rPr>
          <w:lang w:val="pl-PL"/>
        </w:rPr>
        <w:t xml:space="preserve">autonomiczny, gdy </w:t>
      </w:r>
      <w:r w:rsidR="007F61A9" w:rsidRPr="00A21479">
        <w:rPr>
          <w:lang w:val="pl-PL"/>
        </w:rPr>
        <w:t>uzasadniają to poważne powody</w:t>
      </w:r>
      <w:r w:rsidRPr="00A21479">
        <w:rPr>
          <w:lang w:val="pl-PL"/>
        </w:rPr>
        <w:t xml:space="preserve">.  </w:t>
      </w:r>
    </w:p>
    <w:p w:rsidR="00847395" w:rsidRPr="00A21479" w:rsidRDefault="00847395">
      <w:pPr>
        <w:pStyle w:val="ClinContent"/>
        <w:rPr>
          <w:lang w:val="pl-PL"/>
        </w:rPr>
      </w:pPr>
      <w:r w:rsidRPr="00A21479">
        <w:rPr>
          <w:lang w:val="pl-PL"/>
        </w:rPr>
        <w:t xml:space="preserve">Decyzję należy uważać za </w:t>
      </w:r>
      <w:r w:rsidR="007F61A9" w:rsidRPr="00A21479">
        <w:rPr>
          <w:lang w:val="pl-PL"/>
        </w:rPr>
        <w:t>„</w:t>
      </w:r>
      <w:r w:rsidRPr="00A21479">
        <w:rPr>
          <w:lang w:val="pl-PL"/>
        </w:rPr>
        <w:t xml:space="preserve">prawomocną”, jeśli nie podlega już dłużej </w:t>
      </w:r>
      <w:r w:rsidR="007F61A9" w:rsidRPr="00A21479">
        <w:rPr>
          <w:lang w:val="pl-PL"/>
        </w:rPr>
        <w:t>„</w:t>
      </w:r>
      <w:r w:rsidRPr="00A21479">
        <w:rPr>
          <w:lang w:val="pl-PL"/>
        </w:rPr>
        <w:t xml:space="preserve">zwyczajnym środkom odwoławczym”. Ustalając „zwyczajne” środki odwoławcze w konkretnej sprawie, Trybunał uwzględniał </w:t>
      </w:r>
      <w:r w:rsidR="007F61A9" w:rsidRPr="00A21479">
        <w:rPr>
          <w:lang w:val="pl-PL"/>
        </w:rPr>
        <w:t xml:space="preserve">jako punkt wyjścia </w:t>
      </w:r>
      <w:r w:rsidRPr="00A21479">
        <w:rPr>
          <w:lang w:val="pl-PL"/>
        </w:rPr>
        <w:t>krajowe prawo i procedurę. Zasada pewności prawnej wymaga, po pierwsze, by zakres takiego środka odwoławczego był jasno ograniczony w czasie, a po drugie, by procedura jego wykorzystywania była jasna dla</w:t>
      </w:r>
      <w:r w:rsidR="005D2B50">
        <w:rPr>
          <w:lang w:val="pl-PL"/>
        </w:rPr>
        <w:t> </w:t>
      </w:r>
      <w:r w:rsidRPr="00A21479">
        <w:rPr>
          <w:lang w:val="pl-PL"/>
        </w:rPr>
        <w:t>stron</w:t>
      </w:r>
      <w:r w:rsidR="002B3D39" w:rsidRPr="00A21479">
        <w:rPr>
          <w:lang w:val="pl-PL"/>
        </w:rPr>
        <w:t>, któr</w:t>
      </w:r>
      <w:r w:rsidR="007F61A9" w:rsidRPr="00A21479">
        <w:rPr>
          <w:lang w:val="pl-PL"/>
        </w:rPr>
        <w:t>e są uprawnione do skorzystania z nie</w:t>
      </w:r>
      <w:r w:rsidR="00A21479">
        <w:rPr>
          <w:lang w:val="pl-PL"/>
        </w:rPr>
        <w:t>go</w:t>
      </w:r>
      <w:r w:rsidR="002B3D39" w:rsidRPr="00A21479">
        <w:rPr>
          <w:lang w:val="pl-PL"/>
        </w:rPr>
        <w:t>. Innymi słowy, środek powinien funkcjonować w sposób zapewniający jasność co do terminu, w którym decyzja staje się</w:t>
      </w:r>
      <w:r w:rsidR="005D2B50">
        <w:rPr>
          <w:lang w:val="pl-PL"/>
        </w:rPr>
        <w:t> </w:t>
      </w:r>
      <w:r w:rsidR="002B3D39" w:rsidRPr="00A21479">
        <w:rPr>
          <w:lang w:val="pl-PL"/>
        </w:rPr>
        <w:t xml:space="preserve">ostateczna. </w:t>
      </w:r>
    </w:p>
    <w:p w:rsidR="0080429A" w:rsidRPr="00A21479" w:rsidRDefault="0080429A">
      <w:pPr>
        <w:pStyle w:val="ClinContent"/>
        <w:rPr>
          <w:lang w:val="pl-PL"/>
        </w:rPr>
      </w:pPr>
      <w:r w:rsidRPr="00A21479">
        <w:rPr>
          <w:i/>
          <w:lang w:val="pl-PL"/>
        </w:rPr>
        <w:t>- Zastosowanie powyższych zasad w o</w:t>
      </w:r>
      <w:r w:rsidR="009368EB">
        <w:rPr>
          <w:i/>
          <w:lang w:val="pl-PL"/>
        </w:rPr>
        <w:t>mawianej</w:t>
      </w:r>
      <w:r w:rsidRPr="00A21479">
        <w:rPr>
          <w:i/>
          <w:lang w:val="pl-PL"/>
        </w:rPr>
        <w:t xml:space="preserve"> sprawie – </w:t>
      </w:r>
      <w:r w:rsidR="007F61A9" w:rsidRPr="00A21479">
        <w:rPr>
          <w:lang w:val="pl-PL"/>
        </w:rPr>
        <w:t xml:space="preserve">Możliwość </w:t>
      </w:r>
      <w:r w:rsidRPr="00A21479">
        <w:rPr>
          <w:lang w:val="pl-PL"/>
        </w:rPr>
        <w:t>wznowienia postępowania z urzędu przez prokuraturę w</w:t>
      </w:r>
      <w:r w:rsidR="00AF3108" w:rsidRPr="00A21479">
        <w:rPr>
          <w:lang w:val="pl-PL"/>
        </w:rPr>
        <w:t>yższego szczebla</w:t>
      </w:r>
      <w:r w:rsidRPr="00A21479">
        <w:rPr>
          <w:lang w:val="pl-PL"/>
        </w:rPr>
        <w:t xml:space="preserve"> bez ograniczenia </w:t>
      </w:r>
      <w:r w:rsidR="00AF3108" w:rsidRPr="00A21479">
        <w:rPr>
          <w:lang w:val="pl-PL"/>
        </w:rPr>
        <w:t xml:space="preserve">jakimkolwiek </w:t>
      </w:r>
      <w:r w:rsidRPr="00A21479">
        <w:rPr>
          <w:lang w:val="pl-PL"/>
        </w:rPr>
        <w:t>terminem</w:t>
      </w:r>
      <w:r w:rsidRPr="00A21479">
        <w:rPr>
          <w:i/>
          <w:lang w:val="pl-PL"/>
        </w:rPr>
        <w:t xml:space="preserve"> </w:t>
      </w:r>
      <w:r w:rsidRPr="00A21479">
        <w:rPr>
          <w:lang w:val="pl-PL"/>
        </w:rPr>
        <w:t>nie stanowiła „zwyczajnego środka odwoławczego”. Nie b</w:t>
      </w:r>
      <w:r w:rsidR="00AF3108" w:rsidRPr="00A21479">
        <w:rPr>
          <w:lang w:val="pl-PL"/>
        </w:rPr>
        <w:t>yła</w:t>
      </w:r>
      <w:r w:rsidRPr="00A21479">
        <w:rPr>
          <w:lang w:val="pl-PL"/>
        </w:rPr>
        <w:t xml:space="preserve"> zatem istotna dla ustalenia, czy pierwotne skazanie skarżącego było „prawomocne” w</w:t>
      </w:r>
      <w:r w:rsidR="005D2B50">
        <w:rPr>
          <w:lang w:val="pl-PL"/>
        </w:rPr>
        <w:t> </w:t>
      </w:r>
      <w:r w:rsidRPr="00A21479">
        <w:rPr>
          <w:lang w:val="pl-PL"/>
        </w:rPr>
        <w:t xml:space="preserve">autonomicznym znaczeniu tego pojęcia w art. 4 Protokołu nr 7. </w:t>
      </w:r>
    </w:p>
    <w:p w:rsidR="00AF3108" w:rsidRPr="00A21479" w:rsidRDefault="00AF3108">
      <w:pPr>
        <w:pStyle w:val="ClinContent"/>
        <w:rPr>
          <w:lang w:val="pl-PL"/>
        </w:rPr>
      </w:pPr>
      <w:r w:rsidRPr="00A21479">
        <w:rPr>
          <w:lang w:val="pl-PL"/>
        </w:rPr>
        <w:t xml:space="preserve">Tylko dostępna skarżącemu możliwość zaskarżenia postanowienia o umorzeniu mogła być uznana za „zwyczajny” środek odwoławczy z tego względu, że jego wykorzystanie było ograniczone terminem 20 dni. A zatem z upływem tego terminu, </w:t>
      </w:r>
      <w:r w:rsidR="00A21479">
        <w:rPr>
          <w:lang w:val="pl-PL"/>
        </w:rPr>
        <w:t xml:space="preserve">do </w:t>
      </w:r>
      <w:r w:rsidR="00A43DA3">
        <w:rPr>
          <w:lang w:val="pl-PL"/>
        </w:rPr>
        <w:t xml:space="preserve">czego </w:t>
      </w:r>
      <w:r w:rsidR="00A21479">
        <w:rPr>
          <w:lang w:val="pl-PL"/>
        </w:rPr>
        <w:t xml:space="preserve">dopuścił </w:t>
      </w:r>
      <w:r w:rsidRPr="00A21479">
        <w:rPr>
          <w:lang w:val="pl-PL"/>
        </w:rPr>
        <w:t xml:space="preserve">skarżący, przedmiotowe postanowienie stało się „prawomocne” w autonomicznym </w:t>
      </w:r>
      <w:r w:rsidRPr="00A21479">
        <w:rPr>
          <w:lang w:val="pl-PL"/>
        </w:rPr>
        <w:lastRenderedPageBreak/>
        <w:t xml:space="preserve">znaczeniu tego pojęcia </w:t>
      </w:r>
      <w:r w:rsidR="0087450F">
        <w:rPr>
          <w:lang w:val="pl-PL"/>
        </w:rPr>
        <w:t xml:space="preserve">na podstawie Konwencji </w:t>
      </w:r>
      <w:r w:rsidRPr="00A21479">
        <w:rPr>
          <w:lang w:val="pl-PL"/>
        </w:rPr>
        <w:t xml:space="preserve">– na długo przed </w:t>
      </w:r>
      <w:r w:rsidR="007F61A9" w:rsidRPr="00A21479">
        <w:rPr>
          <w:lang w:val="pl-PL"/>
        </w:rPr>
        <w:t xml:space="preserve">uznaniowym wznowieniem </w:t>
      </w:r>
      <w:r w:rsidRPr="00A21479">
        <w:rPr>
          <w:lang w:val="pl-PL"/>
        </w:rPr>
        <w:t>postępowania karnego</w:t>
      </w:r>
      <w:r w:rsidR="00595D6D" w:rsidRPr="00A21479">
        <w:rPr>
          <w:lang w:val="pl-PL"/>
        </w:rPr>
        <w:t xml:space="preserve"> przez prokuratora wyższego szczebla</w:t>
      </w:r>
      <w:r w:rsidRPr="00A21479">
        <w:rPr>
          <w:lang w:val="pl-PL"/>
        </w:rPr>
        <w:t xml:space="preserve">.   </w:t>
      </w:r>
    </w:p>
    <w:p w:rsidR="00A41E61" w:rsidRPr="00A21479" w:rsidRDefault="00A41E61" w:rsidP="00A41E61">
      <w:pPr>
        <w:pStyle w:val="ClinContent"/>
        <w:rPr>
          <w:i/>
          <w:lang w:val="pl-PL"/>
        </w:rPr>
      </w:pPr>
      <w:r w:rsidRPr="00A21479">
        <w:rPr>
          <w:lang w:val="pl-PL"/>
        </w:rPr>
        <w:t>c)  </w:t>
      </w:r>
      <w:r w:rsidRPr="00A21479">
        <w:rPr>
          <w:i/>
          <w:lang w:val="pl-PL"/>
        </w:rPr>
        <w:t>Czy po</w:t>
      </w:r>
      <w:r w:rsidR="004476AD" w:rsidRPr="00A21479">
        <w:rPr>
          <w:i/>
          <w:lang w:val="pl-PL"/>
        </w:rPr>
        <w:t>nowienie</w:t>
      </w:r>
      <w:r w:rsidRPr="00A21479">
        <w:rPr>
          <w:i/>
          <w:lang w:val="pl-PL"/>
        </w:rPr>
        <w:t xml:space="preserve"> postępowania wchodziło w zakres dozwolonych wyjątków od zasady zakazu</w:t>
      </w:r>
    </w:p>
    <w:p w:rsidR="00A41E61" w:rsidRPr="00A21479" w:rsidRDefault="00A41E61">
      <w:pPr>
        <w:pStyle w:val="ClinContent"/>
        <w:rPr>
          <w:i/>
          <w:lang w:val="pl-PL"/>
        </w:rPr>
      </w:pPr>
      <w:r w:rsidRPr="00A21479">
        <w:rPr>
          <w:lang w:val="pl-PL"/>
        </w:rPr>
        <w:t xml:space="preserve">i) </w:t>
      </w:r>
      <w:r w:rsidRPr="00A21479">
        <w:rPr>
          <w:i/>
          <w:lang w:val="pl-PL"/>
        </w:rPr>
        <w:t xml:space="preserve">Warunki wznowienia sprawy – </w:t>
      </w:r>
      <w:r w:rsidRPr="00A21479">
        <w:rPr>
          <w:lang w:val="pl-PL"/>
        </w:rPr>
        <w:t>W świetle Protokołu nr 7</w:t>
      </w:r>
      <w:r w:rsidRPr="00A21479">
        <w:rPr>
          <w:i/>
          <w:lang w:val="pl-PL"/>
        </w:rPr>
        <w:t xml:space="preserve"> </w:t>
      </w:r>
      <w:r w:rsidR="00153B04" w:rsidRPr="00A21479">
        <w:rPr>
          <w:lang w:val="pl-PL"/>
        </w:rPr>
        <w:t>wznowienie</w:t>
      </w:r>
      <w:r w:rsidRPr="00A21479">
        <w:rPr>
          <w:lang w:val="pl-PL"/>
        </w:rPr>
        <w:t xml:space="preserve"> postępowania </w:t>
      </w:r>
      <w:r w:rsidR="00153B04" w:rsidRPr="00A21479">
        <w:rPr>
          <w:lang w:val="pl-PL"/>
        </w:rPr>
        <w:t xml:space="preserve">jest możliwe, ale </w:t>
      </w:r>
      <w:r w:rsidRPr="00A21479">
        <w:rPr>
          <w:lang w:val="pl-PL"/>
        </w:rPr>
        <w:t xml:space="preserve">podlega ścisłym warunkom: i) </w:t>
      </w:r>
      <w:r w:rsidR="00153B04" w:rsidRPr="00A21479">
        <w:rPr>
          <w:lang w:val="pl-PL"/>
        </w:rPr>
        <w:t xml:space="preserve">pojawienie się </w:t>
      </w:r>
      <w:r w:rsidRPr="00A21479">
        <w:rPr>
          <w:lang w:val="pl-PL"/>
        </w:rPr>
        <w:t xml:space="preserve">nowych lub nowo odkrytych faktów lub ii) wykrycie poważnej </w:t>
      </w:r>
      <w:r w:rsidR="008D2E8A" w:rsidRPr="00A21479">
        <w:rPr>
          <w:lang w:val="pl-PL"/>
        </w:rPr>
        <w:t>pomyłki</w:t>
      </w:r>
      <w:r w:rsidRPr="00A21479">
        <w:rPr>
          <w:lang w:val="pl-PL"/>
        </w:rPr>
        <w:t xml:space="preserve"> w poprzednim postępowaniu</w:t>
      </w:r>
      <w:r w:rsidR="008D2E8A" w:rsidRPr="00A21479">
        <w:rPr>
          <w:lang w:val="pl-PL"/>
        </w:rPr>
        <w:t xml:space="preserve">. Warunki te mają charakter alternatywny, nie są wymagane łącznie. </w:t>
      </w:r>
      <w:r w:rsidR="00153B04" w:rsidRPr="00A21479">
        <w:rPr>
          <w:lang w:val="pl-PL"/>
        </w:rPr>
        <w:t>W</w:t>
      </w:r>
      <w:r w:rsidR="008D2E8A" w:rsidRPr="00A21479">
        <w:rPr>
          <w:lang w:val="pl-PL"/>
        </w:rPr>
        <w:t xml:space="preserve"> obu przypadkach nowo odkryte fakty lub wada muszą być </w:t>
      </w:r>
      <w:r w:rsidR="00153B04" w:rsidRPr="00A21479">
        <w:rPr>
          <w:lang w:val="pl-PL"/>
        </w:rPr>
        <w:t xml:space="preserve">jednak </w:t>
      </w:r>
      <w:r w:rsidR="008D2E8A" w:rsidRPr="00A21479">
        <w:rPr>
          <w:lang w:val="pl-PL"/>
        </w:rPr>
        <w:t>takie, by „mieć wpływ na wynik sprawy” zarówno na</w:t>
      </w:r>
      <w:r w:rsidR="005D2B50">
        <w:rPr>
          <w:lang w:val="pl-PL"/>
        </w:rPr>
        <w:t> </w:t>
      </w:r>
      <w:r w:rsidR="008D2E8A" w:rsidRPr="00A21479">
        <w:rPr>
          <w:lang w:val="pl-PL"/>
        </w:rPr>
        <w:t>korzyść, jak i na niekorzyść zainteresowanej osoby. Trybunał ocenia w</w:t>
      </w:r>
      <w:r w:rsidR="005D2B50">
        <w:rPr>
          <w:lang w:val="pl-PL"/>
        </w:rPr>
        <w:t> </w:t>
      </w:r>
      <w:r w:rsidR="008D2E8A" w:rsidRPr="00A21479">
        <w:rPr>
          <w:lang w:val="pl-PL"/>
        </w:rPr>
        <w:t>poszczególnych sprawach, czy okoliczności, na które powołały się władze wyższej instancji, spełnia</w:t>
      </w:r>
      <w:r w:rsidR="00A43DA3">
        <w:rPr>
          <w:lang w:val="pl-PL"/>
        </w:rPr>
        <w:t>ły</w:t>
      </w:r>
      <w:r w:rsidR="008D2E8A" w:rsidRPr="00A21479">
        <w:rPr>
          <w:lang w:val="pl-PL"/>
        </w:rPr>
        <w:t xml:space="preserve"> te warunki.    </w:t>
      </w:r>
      <w:r w:rsidRPr="00A21479">
        <w:rPr>
          <w:lang w:val="pl-PL"/>
        </w:rPr>
        <w:t xml:space="preserve">  </w:t>
      </w:r>
    </w:p>
    <w:p w:rsidR="008D2E8A" w:rsidRPr="00A21479" w:rsidRDefault="008D2E8A">
      <w:pPr>
        <w:pStyle w:val="ClinContent"/>
        <w:rPr>
          <w:lang w:val="pl-PL"/>
        </w:rPr>
      </w:pPr>
      <w:r w:rsidRPr="00A21479">
        <w:rPr>
          <w:lang w:val="pl-PL"/>
        </w:rPr>
        <w:t xml:space="preserve">Pojęcie </w:t>
      </w:r>
      <w:r w:rsidR="00153B04" w:rsidRPr="00A21479">
        <w:rPr>
          <w:lang w:val="pl-PL"/>
        </w:rPr>
        <w:t>„</w:t>
      </w:r>
      <w:r w:rsidRPr="00A21479">
        <w:rPr>
          <w:lang w:val="pl-PL"/>
        </w:rPr>
        <w:t xml:space="preserve">poważnej pomyłki” zdaje się sugerować, że tylko poważne naruszenie zasady proceduralnej </w:t>
      </w:r>
      <w:r w:rsidR="00A43DA3">
        <w:rPr>
          <w:lang w:val="pl-PL"/>
        </w:rPr>
        <w:t xml:space="preserve">znacząco </w:t>
      </w:r>
      <w:r w:rsidR="00A21479">
        <w:rPr>
          <w:lang w:val="pl-PL"/>
        </w:rPr>
        <w:t>podważające</w:t>
      </w:r>
      <w:r w:rsidRPr="00A21479">
        <w:rPr>
          <w:lang w:val="pl-PL"/>
        </w:rPr>
        <w:t xml:space="preserve"> integralność poprzedniego postępowania może służyć za podstawę </w:t>
      </w:r>
      <w:r w:rsidR="00A21479">
        <w:rPr>
          <w:lang w:val="pl-PL"/>
        </w:rPr>
        <w:t xml:space="preserve">do </w:t>
      </w:r>
      <w:r w:rsidRPr="00A21479">
        <w:rPr>
          <w:lang w:val="pl-PL"/>
        </w:rPr>
        <w:t xml:space="preserve">jego wznowienia na niekorzyść oskarżonego, gdy został </w:t>
      </w:r>
      <w:r w:rsidR="00A21479">
        <w:rPr>
          <w:lang w:val="pl-PL"/>
        </w:rPr>
        <w:t>on</w:t>
      </w:r>
      <w:r w:rsidR="005D2B50">
        <w:rPr>
          <w:lang w:val="pl-PL"/>
        </w:rPr>
        <w:t> </w:t>
      </w:r>
      <w:r w:rsidRPr="00A21479">
        <w:rPr>
          <w:lang w:val="pl-PL"/>
        </w:rPr>
        <w:t>uniewinniony lub ukarany za przestępstwo mniej poważne niż przewidywało prawo mające zastosowanie. Zwykła ponowna ocena dowodów przez prokuratora lub sąd wyższej instancji nie może spełniać tego kryterium. W sprawach, w których zamierzone wznowienie może działać na korzyść oskarżonego, charakter pomyłki należy oceniać głównie z punktu widzenia tego, czy doszło do naruszenia prawa do obrony, a zatem przeszkody dla właściwego wymiaru sprawiedliwości.</w:t>
      </w:r>
    </w:p>
    <w:p w:rsidR="0027460C" w:rsidRPr="00A21479" w:rsidRDefault="0027460C">
      <w:pPr>
        <w:pStyle w:val="ClinContent"/>
        <w:rPr>
          <w:lang w:val="pl-PL"/>
        </w:rPr>
      </w:pPr>
      <w:r w:rsidRPr="00A21479">
        <w:rPr>
          <w:lang w:val="pl-PL"/>
        </w:rPr>
        <w:t xml:space="preserve">ii) </w:t>
      </w:r>
      <w:r w:rsidRPr="00A21479">
        <w:rPr>
          <w:i/>
          <w:lang w:val="pl-PL"/>
        </w:rPr>
        <w:t>Zastosowanie w o</w:t>
      </w:r>
      <w:r w:rsidR="009368EB">
        <w:rPr>
          <w:i/>
          <w:lang w:val="pl-PL"/>
        </w:rPr>
        <w:t>mawian</w:t>
      </w:r>
      <w:r w:rsidRPr="00A21479">
        <w:rPr>
          <w:i/>
          <w:lang w:val="pl-PL"/>
        </w:rPr>
        <w:t xml:space="preserve">ej sprawie – </w:t>
      </w:r>
      <w:r w:rsidRPr="00A21479">
        <w:rPr>
          <w:lang w:val="pl-PL"/>
        </w:rPr>
        <w:t>Prokurator wyższego szczebla dążył do</w:t>
      </w:r>
      <w:r w:rsidR="005D2B50">
        <w:rPr>
          <w:lang w:val="pl-PL"/>
        </w:rPr>
        <w:t> </w:t>
      </w:r>
      <w:r w:rsidRPr="00A21479">
        <w:rPr>
          <w:lang w:val="pl-PL"/>
        </w:rPr>
        <w:t xml:space="preserve">zbadania tych samych faktów. Brak było w aktach „nowych” dowodów ani też nie zachodziła żadna „poważna pomyłka” wymagająca naprawienia. Żadna z tych dwóch przesłanek nie </w:t>
      </w:r>
      <w:r w:rsidR="00153B04" w:rsidRPr="00A21479">
        <w:rPr>
          <w:lang w:val="pl-PL"/>
        </w:rPr>
        <w:t>obejmowała podstaw wskazanych</w:t>
      </w:r>
      <w:r w:rsidRPr="00A21479">
        <w:rPr>
          <w:lang w:val="pl-PL"/>
        </w:rPr>
        <w:t xml:space="preserve"> wyraźnie w postanowieniu o</w:t>
      </w:r>
      <w:r w:rsidR="005D2B50">
        <w:rPr>
          <w:lang w:val="pl-PL"/>
        </w:rPr>
        <w:t> </w:t>
      </w:r>
      <w:r w:rsidRPr="00A21479">
        <w:rPr>
          <w:lang w:val="pl-PL"/>
        </w:rPr>
        <w:t xml:space="preserve">wznowieniu (ponowne zbadanie faktów) ani </w:t>
      </w:r>
      <w:r w:rsidR="00153B04" w:rsidRPr="00A21479">
        <w:rPr>
          <w:lang w:val="pl-PL"/>
        </w:rPr>
        <w:t>chęci</w:t>
      </w:r>
      <w:r w:rsidRPr="00A21479">
        <w:rPr>
          <w:lang w:val="pl-PL"/>
        </w:rPr>
        <w:t xml:space="preserve"> ujednolicenia praktyki prokuratur </w:t>
      </w:r>
      <w:r w:rsidR="00153B04" w:rsidRPr="00A21479">
        <w:rPr>
          <w:lang w:val="pl-PL"/>
        </w:rPr>
        <w:t>w</w:t>
      </w:r>
      <w:r w:rsidR="005D2B50">
        <w:rPr>
          <w:lang w:val="pl-PL"/>
        </w:rPr>
        <w:t> </w:t>
      </w:r>
      <w:r w:rsidR="00153B04" w:rsidRPr="00A21479">
        <w:rPr>
          <w:lang w:val="pl-PL"/>
        </w:rPr>
        <w:t>odniesieniu do oceny</w:t>
      </w:r>
      <w:r w:rsidRPr="00A21479">
        <w:rPr>
          <w:lang w:val="pl-PL"/>
        </w:rPr>
        <w:t xml:space="preserve"> „powagi” pewnych rodzajów zachowania</w:t>
      </w:r>
      <w:r w:rsidR="00153B04" w:rsidRPr="00A21479">
        <w:rPr>
          <w:lang w:val="pl-PL"/>
        </w:rPr>
        <w:t xml:space="preserve">, </w:t>
      </w:r>
      <w:r w:rsidR="00A43DA3">
        <w:rPr>
          <w:lang w:val="pl-PL"/>
        </w:rPr>
        <w:t>która leżała</w:t>
      </w:r>
      <w:r w:rsidR="00153B04" w:rsidRPr="00A21479">
        <w:rPr>
          <w:lang w:val="pl-PL"/>
        </w:rPr>
        <w:t xml:space="preserve"> u podstaw postanowienia prokuratora</w:t>
      </w:r>
      <w:r w:rsidRPr="00A21479">
        <w:rPr>
          <w:lang w:val="pl-PL"/>
        </w:rPr>
        <w:t xml:space="preserve">. </w:t>
      </w:r>
    </w:p>
    <w:p w:rsidR="0027460C" w:rsidRPr="00A21479" w:rsidRDefault="0027460C">
      <w:pPr>
        <w:pStyle w:val="ClinContent"/>
        <w:rPr>
          <w:lang w:val="pl-PL"/>
        </w:rPr>
      </w:pPr>
      <w:r w:rsidRPr="00A21479">
        <w:rPr>
          <w:lang w:val="pl-PL"/>
        </w:rPr>
        <w:t xml:space="preserve">W sumie nie zostały spełnione ścisłe warunki przewidziane w ustępie 2 tego artykułu. </w:t>
      </w:r>
    </w:p>
    <w:p w:rsidR="0027460C" w:rsidRPr="00A21479" w:rsidRDefault="0027460C">
      <w:pPr>
        <w:pStyle w:val="ClinContent"/>
        <w:rPr>
          <w:lang w:val="pl-PL"/>
        </w:rPr>
      </w:pPr>
      <w:r w:rsidRPr="00A21479">
        <w:rPr>
          <w:i/>
          <w:lang w:val="pl-PL"/>
        </w:rPr>
        <w:t xml:space="preserve">Rozstrzygnięcie: </w:t>
      </w:r>
      <w:r w:rsidRPr="00A21479">
        <w:rPr>
          <w:lang w:val="pl-PL"/>
        </w:rPr>
        <w:t>naruszenie (jednogłośnie).</w:t>
      </w:r>
    </w:p>
    <w:p w:rsidR="0027460C" w:rsidRPr="00A21479" w:rsidRDefault="0027460C">
      <w:pPr>
        <w:pStyle w:val="ClinContent"/>
        <w:rPr>
          <w:lang w:val="pl-PL"/>
        </w:rPr>
      </w:pPr>
      <w:r w:rsidRPr="00A21479">
        <w:rPr>
          <w:lang w:val="pl-PL"/>
        </w:rPr>
        <w:t xml:space="preserve">Art. 41: 5000 euro tytułem szkody niemajątkowej. </w:t>
      </w:r>
    </w:p>
    <w:p w:rsidR="008846BA" w:rsidRPr="00A21479" w:rsidRDefault="008846BA">
      <w:pPr>
        <w:pBdr>
          <w:bottom w:val="single" w:sz="8" w:space="1" w:color="auto"/>
        </w:pBdr>
        <w:rPr>
          <w:lang w:val="pl-PL"/>
        </w:rPr>
      </w:pPr>
    </w:p>
    <w:p w:rsidR="00EA3A80" w:rsidRPr="00A21479" w:rsidRDefault="00EA3A80" w:rsidP="00EA3A80">
      <w:pPr>
        <w:pStyle w:val="ClinFooter"/>
        <w:rPr>
          <w:lang w:val="pl-PL"/>
        </w:rPr>
      </w:pPr>
      <w:r w:rsidRPr="00A21479">
        <w:rPr>
          <w:lang w:val="pl-PL"/>
        </w:rPr>
        <w:t xml:space="preserve">© </w:t>
      </w:r>
      <w:proofErr w:type="spellStart"/>
      <w:r w:rsidRPr="00A21479">
        <w:rPr>
          <w:lang w:val="pl-PL"/>
        </w:rPr>
        <w:t>Council</w:t>
      </w:r>
      <w:proofErr w:type="spellEnd"/>
      <w:r w:rsidRPr="00A21479">
        <w:rPr>
          <w:lang w:val="pl-PL"/>
        </w:rPr>
        <w:t xml:space="preserve"> of Europe/European Court of Human Rights</w:t>
      </w:r>
      <w:r w:rsidRPr="00A21479">
        <w:rPr>
          <w:lang w:val="pl-PL"/>
        </w:rPr>
        <w:br/>
        <w:t xml:space="preserve">Niniejsze streszczenie przygotowane przez Kancelarię nie wiąże Trybunału.  </w:t>
      </w:r>
    </w:p>
    <w:p w:rsidR="008846BA" w:rsidRDefault="00EA3A80" w:rsidP="00EA3A80">
      <w:pPr>
        <w:pStyle w:val="ClinFooter"/>
        <w:rPr>
          <w:rStyle w:val="Hipercze"/>
          <w:lang w:val="pl-PL"/>
        </w:rPr>
      </w:pPr>
      <w:r w:rsidRPr="00A21479">
        <w:rPr>
          <w:lang w:val="pl-PL"/>
        </w:rPr>
        <w:t xml:space="preserve">Link do </w:t>
      </w:r>
      <w:hyperlink r:id="rId8" w:history="1">
        <w:r w:rsidRPr="00A21479">
          <w:rPr>
            <w:rStyle w:val="Hipercze"/>
            <w:lang w:val="pl-PL"/>
          </w:rPr>
          <w:t>Not informacyjnych nt. orzecznictwa</w:t>
        </w:r>
      </w:hyperlink>
    </w:p>
    <w:p w:rsidR="0079103C" w:rsidRPr="00CD1A50" w:rsidRDefault="0079103C" w:rsidP="0079103C">
      <w:pPr>
        <w:pStyle w:val="ClinFooter"/>
        <w:jc w:val="left"/>
        <w:rPr>
          <w:lang w:val="pl-PL"/>
        </w:rPr>
      </w:pPr>
    </w:p>
    <w:sectPr w:rsidR="0079103C" w:rsidRPr="00CD1A50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541" w:rsidRDefault="00666541" w:rsidP="00C63262">
      <w:r>
        <w:separator/>
      </w:r>
    </w:p>
  </w:endnote>
  <w:endnote w:type="continuationSeparator" w:id="0">
    <w:p w:rsidR="00666541" w:rsidRDefault="00666541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83C" w:rsidRDefault="00EA78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83C" w:rsidRDefault="00EA783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541" w:rsidRDefault="00666541" w:rsidP="00C63262">
      <w:r>
        <w:separator/>
      </w:r>
    </w:p>
  </w:footnote>
  <w:footnote w:type="continuationSeparator" w:id="0">
    <w:p w:rsidR="00666541" w:rsidRDefault="00666541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83C" w:rsidRDefault="00EA78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EA0CDE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7888"/>
    <w:rsid w:val="000A4CD5"/>
    <w:rsid w:val="000F13B5"/>
    <w:rsid w:val="00107377"/>
    <w:rsid w:val="00143602"/>
    <w:rsid w:val="00153B04"/>
    <w:rsid w:val="001769E4"/>
    <w:rsid w:val="00186560"/>
    <w:rsid w:val="00212E83"/>
    <w:rsid w:val="0027460C"/>
    <w:rsid w:val="002966E7"/>
    <w:rsid w:val="002B3D39"/>
    <w:rsid w:val="002E088D"/>
    <w:rsid w:val="0030264F"/>
    <w:rsid w:val="003450B3"/>
    <w:rsid w:val="00386958"/>
    <w:rsid w:val="003A64A6"/>
    <w:rsid w:val="003D7BB3"/>
    <w:rsid w:val="004233E0"/>
    <w:rsid w:val="004476AD"/>
    <w:rsid w:val="0046453F"/>
    <w:rsid w:val="004A5B52"/>
    <w:rsid w:val="004B4FC3"/>
    <w:rsid w:val="004D568D"/>
    <w:rsid w:val="004E1037"/>
    <w:rsid w:val="0052092D"/>
    <w:rsid w:val="00540D75"/>
    <w:rsid w:val="005514E5"/>
    <w:rsid w:val="00595D6D"/>
    <w:rsid w:val="005B4131"/>
    <w:rsid w:val="005D0794"/>
    <w:rsid w:val="005D2B50"/>
    <w:rsid w:val="006028A1"/>
    <w:rsid w:val="00631A28"/>
    <w:rsid w:val="00666541"/>
    <w:rsid w:val="006A36AD"/>
    <w:rsid w:val="006C1D96"/>
    <w:rsid w:val="0071773F"/>
    <w:rsid w:val="007472F5"/>
    <w:rsid w:val="00755E2F"/>
    <w:rsid w:val="00774515"/>
    <w:rsid w:val="0079103C"/>
    <w:rsid w:val="007F61A9"/>
    <w:rsid w:val="00801AF4"/>
    <w:rsid w:val="0080429A"/>
    <w:rsid w:val="00847395"/>
    <w:rsid w:val="0085093E"/>
    <w:rsid w:val="0087450F"/>
    <w:rsid w:val="008846BA"/>
    <w:rsid w:val="00895EF3"/>
    <w:rsid w:val="008C64D5"/>
    <w:rsid w:val="008D2E8A"/>
    <w:rsid w:val="008E290E"/>
    <w:rsid w:val="00903D38"/>
    <w:rsid w:val="009368EB"/>
    <w:rsid w:val="009A5C3C"/>
    <w:rsid w:val="009B3B2C"/>
    <w:rsid w:val="009E3EF0"/>
    <w:rsid w:val="00A01052"/>
    <w:rsid w:val="00A04D9C"/>
    <w:rsid w:val="00A21479"/>
    <w:rsid w:val="00A24DB5"/>
    <w:rsid w:val="00A258BB"/>
    <w:rsid w:val="00A33541"/>
    <w:rsid w:val="00A41E61"/>
    <w:rsid w:val="00A43DA3"/>
    <w:rsid w:val="00A45616"/>
    <w:rsid w:val="00A520DB"/>
    <w:rsid w:val="00AC7726"/>
    <w:rsid w:val="00AF3108"/>
    <w:rsid w:val="00B37921"/>
    <w:rsid w:val="00B74378"/>
    <w:rsid w:val="00B80CA0"/>
    <w:rsid w:val="00B85770"/>
    <w:rsid w:val="00B9152F"/>
    <w:rsid w:val="00BF1CD9"/>
    <w:rsid w:val="00C37433"/>
    <w:rsid w:val="00C63262"/>
    <w:rsid w:val="00C72355"/>
    <w:rsid w:val="00C93CFB"/>
    <w:rsid w:val="00CA70F8"/>
    <w:rsid w:val="00CD1A50"/>
    <w:rsid w:val="00CE7B26"/>
    <w:rsid w:val="00CF7BA6"/>
    <w:rsid w:val="00D42086"/>
    <w:rsid w:val="00D425B3"/>
    <w:rsid w:val="00DF2BBB"/>
    <w:rsid w:val="00E374B8"/>
    <w:rsid w:val="00E55491"/>
    <w:rsid w:val="00E83DB6"/>
    <w:rsid w:val="00EA0CDE"/>
    <w:rsid w:val="00EA3A80"/>
    <w:rsid w:val="00EA53E7"/>
    <w:rsid w:val="00EA783C"/>
    <w:rsid w:val="00EC483A"/>
    <w:rsid w:val="00EE3012"/>
    <w:rsid w:val="00F508C9"/>
    <w:rsid w:val="00F50CCD"/>
    <w:rsid w:val="00F5247C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5B413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B41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5B413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B41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1222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2020-07-31T10:43:00Z</dcterms:created>
  <dcterms:modified xsi:type="dcterms:W3CDTF">2020-07-31T16:29:00Z</dcterms:modified>
</cp:coreProperties>
</file>