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862" w:rsidRDefault="00087862" w:rsidP="00087862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087862" w:rsidRDefault="00087862" w:rsidP="00087862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05143A" w:rsidRPr="00175F9F" w:rsidRDefault="00087862" w:rsidP="00087862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175F9F">
        <w:rPr>
          <w:lang w:val="pl-PL"/>
        </w:rPr>
        <w:t xml:space="preserve"> </w:t>
      </w:r>
      <w:r w:rsidR="00A77C20" w:rsidRPr="00175F9F">
        <w:rPr>
          <w:lang w:val="pl-PL"/>
        </w:rPr>
        <w:t>230</w:t>
      </w:r>
    </w:p>
    <w:p w:rsidR="0005143A" w:rsidRPr="00412569" w:rsidRDefault="00175F9F">
      <w:pPr>
        <w:pStyle w:val="ClinEditionMonth"/>
        <w:rPr>
          <w:lang w:val="pl-PL"/>
        </w:rPr>
      </w:pPr>
      <w:r w:rsidRPr="00412569">
        <w:rPr>
          <w:lang w:val="pl-PL"/>
        </w:rPr>
        <w:t>Czerwiec</w:t>
      </w:r>
      <w:r w:rsidR="00A77C20" w:rsidRPr="00412569">
        <w:rPr>
          <w:lang w:val="pl-PL"/>
        </w:rPr>
        <w:t xml:space="preserve"> 2019</w:t>
      </w:r>
      <w:r w:rsidRPr="00412569">
        <w:rPr>
          <w:lang w:val="pl-PL"/>
        </w:rPr>
        <w:t xml:space="preserve"> r.</w:t>
      </w:r>
    </w:p>
    <w:p w:rsidR="0005143A" w:rsidRPr="00412569" w:rsidRDefault="00A77C20">
      <w:pPr>
        <w:rPr>
          <w:lang w:val="pl-PL"/>
        </w:rPr>
      </w:pPr>
      <w:r w:rsidRPr="00412569">
        <w:rPr>
          <w:rStyle w:val="ClinCaseTitle"/>
          <w:lang w:val="pl-PL"/>
        </w:rPr>
        <w:t xml:space="preserve">Marcello Viola </w:t>
      </w:r>
      <w:r w:rsidR="00175F9F" w:rsidRPr="00412569">
        <w:rPr>
          <w:rStyle w:val="ClinCaseTitle"/>
          <w:lang w:val="pl-PL"/>
        </w:rPr>
        <w:t>p</w:t>
      </w:r>
      <w:r w:rsidRPr="00412569">
        <w:rPr>
          <w:rStyle w:val="ClinCaseTitle"/>
          <w:lang w:val="pl-PL"/>
        </w:rPr>
        <w:t xml:space="preserve">. </w:t>
      </w:r>
      <w:r w:rsidR="00175F9F" w:rsidRPr="00412569">
        <w:rPr>
          <w:rStyle w:val="ClinCaseTitle"/>
          <w:lang w:val="pl-PL"/>
        </w:rPr>
        <w:t>Włochom</w:t>
      </w:r>
      <w:r w:rsidRPr="00412569">
        <w:rPr>
          <w:rStyle w:val="ClinCaseTitle"/>
          <w:lang w:val="pl-PL"/>
        </w:rPr>
        <w:t xml:space="preserve"> (n</w:t>
      </w:r>
      <w:r w:rsidR="00175F9F" w:rsidRPr="00412569">
        <w:rPr>
          <w:rStyle w:val="ClinCaseTitle"/>
          <w:lang w:val="pl-PL"/>
        </w:rPr>
        <w:t>r</w:t>
      </w:r>
      <w:r w:rsidRPr="00412569">
        <w:rPr>
          <w:rStyle w:val="ClinCaseTitle"/>
          <w:lang w:val="pl-PL"/>
        </w:rPr>
        <w:t xml:space="preserve"> 2)</w:t>
      </w:r>
      <w:r w:rsidR="00175F9F" w:rsidRPr="00412569">
        <w:rPr>
          <w:rStyle w:val="ClinCaseTitle"/>
          <w:lang w:val="pl-PL"/>
        </w:rPr>
        <w:t>, skarga nr</w:t>
      </w:r>
      <w:r w:rsidRPr="00412569">
        <w:rPr>
          <w:rStyle w:val="ClinApplicationNumber"/>
          <w:lang w:val="pl-PL"/>
        </w:rPr>
        <w:t xml:space="preserve"> 77633/16</w:t>
      </w:r>
    </w:p>
    <w:p w:rsidR="0005143A" w:rsidRPr="00175F9F" w:rsidRDefault="00175F9F">
      <w:pPr>
        <w:rPr>
          <w:lang w:val="pl-PL"/>
        </w:rPr>
      </w:pPr>
      <w:r w:rsidRPr="00175F9F">
        <w:rPr>
          <w:rStyle w:val="ClinHudocDocumentTitle"/>
          <w:lang w:val="pl-PL"/>
        </w:rPr>
        <w:t xml:space="preserve">Wyrok z </w:t>
      </w:r>
      <w:r w:rsidR="00A77C20" w:rsidRPr="00175F9F">
        <w:rPr>
          <w:rStyle w:val="ClinHudocDocumentTitle"/>
          <w:lang w:val="pl-PL"/>
        </w:rPr>
        <w:t>13.</w:t>
      </w:r>
      <w:r w:rsidRPr="00175F9F">
        <w:rPr>
          <w:rStyle w:val="ClinHudocDocumentTitle"/>
          <w:lang w:val="pl-PL"/>
        </w:rPr>
        <w:t>0</w:t>
      </w:r>
      <w:r w:rsidR="00A77C20" w:rsidRPr="00175F9F">
        <w:rPr>
          <w:rStyle w:val="ClinHudocDocumentTitle"/>
          <w:lang w:val="pl-PL"/>
        </w:rPr>
        <w:t>6.2019</w:t>
      </w:r>
      <w:r w:rsidR="00A77C20" w:rsidRPr="00175F9F">
        <w:rPr>
          <w:rStyle w:val="ClinSectionName"/>
          <w:lang w:val="pl-PL"/>
        </w:rPr>
        <w:t xml:space="preserve"> </w:t>
      </w:r>
      <w:r w:rsidRPr="00175F9F">
        <w:rPr>
          <w:rStyle w:val="ClinSectionName"/>
          <w:lang w:val="pl-PL"/>
        </w:rPr>
        <w:t xml:space="preserve">r. </w:t>
      </w:r>
      <w:r w:rsidR="00A77C20" w:rsidRPr="00175F9F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Pierwsza Sekcja</w:t>
      </w:r>
      <w:r w:rsidR="00A77C20" w:rsidRPr="00175F9F">
        <w:rPr>
          <w:rStyle w:val="ClinSectionName"/>
          <w:lang w:val="pl-PL"/>
        </w:rPr>
        <w:t>]</w:t>
      </w:r>
    </w:p>
    <w:p w:rsidR="0005143A" w:rsidRPr="008C5BC6" w:rsidRDefault="00A77C20">
      <w:pPr>
        <w:pStyle w:val="ClinMainKeywordCode"/>
        <w:rPr>
          <w:lang w:val="pl-PL"/>
        </w:rPr>
      </w:pPr>
      <w:r w:rsidRPr="008C5BC6">
        <w:rPr>
          <w:lang w:val="pl-PL"/>
        </w:rPr>
        <w:t>Art</w:t>
      </w:r>
      <w:r w:rsidR="00175F9F" w:rsidRPr="008C5BC6">
        <w:rPr>
          <w:lang w:val="pl-PL"/>
        </w:rPr>
        <w:t>.</w:t>
      </w:r>
      <w:r w:rsidRPr="008C5BC6">
        <w:rPr>
          <w:lang w:val="pl-PL"/>
        </w:rPr>
        <w:t xml:space="preserve"> 3</w:t>
      </w:r>
    </w:p>
    <w:p w:rsidR="0005143A" w:rsidRPr="008C5BC6" w:rsidRDefault="00175F9F">
      <w:pPr>
        <w:pStyle w:val="ClinKeyword"/>
        <w:rPr>
          <w:lang w:val="pl-PL"/>
        </w:rPr>
      </w:pPr>
      <w:r w:rsidRPr="008C5BC6">
        <w:rPr>
          <w:lang w:val="pl-PL"/>
        </w:rPr>
        <w:t xml:space="preserve">Poniżające karanie </w:t>
      </w:r>
    </w:p>
    <w:p w:rsidR="0005143A" w:rsidRPr="008C5BC6" w:rsidRDefault="00175F9F">
      <w:pPr>
        <w:pStyle w:val="ClinKeyword"/>
        <w:rPr>
          <w:lang w:val="pl-PL"/>
        </w:rPr>
      </w:pPr>
      <w:r w:rsidRPr="008C5BC6">
        <w:rPr>
          <w:lang w:val="pl-PL"/>
        </w:rPr>
        <w:t xml:space="preserve">Nieludzkie karanie </w:t>
      </w:r>
    </w:p>
    <w:p w:rsidR="00175F9F" w:rsidRPr="00175F9F" w:rsidRDefault="000A21B0" w:rsidP="00175F9F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Uzależnienie możliwości</w:t>
      </w:r>
      <w:r w:rsidR="00175F9F" w:rsidRPr="00175F9F">
        <w:rPr>
          <w:rStyle w:val="ClinConclusions"/>
          <w:i w:val="0"/>
          <w:lang w:val="pl-PL"/>
        </w:rPr>
        <w:t xml:space="preserve"> skrócenia kary dożywotniego pozbawienia wolności nałożonej na</w:t>
      </w:r>
      <w:r w:rsidR="002263F3">
        <w:rPr>
          <w:rStyle w:val="ClinConclusions"/>
          <w:i w:val="0"/>
          <w:lang w:val="pl-PL"/>
        </w:rPr>
        <w:t> </w:t>
      </w:r>
      <w:r w:rsidR="00412569">
        <w:rPr>
          <w:rStyle w:val="ClinConclusions"/>
          <w:i w:val="0"/>
          <w:lang w:val="pl-PL"/>
        </w:rPr>
        <w:t>szefostwo</w:t>
      </w:r>
      <w:r w:rsidR="00175F9F" w:rsidRPr="00175F9F">
        <w:rPr>
          <w:rStyle w:val="ClinConclusions"/>
          <w:i w:val="0"/>
          <w:lang w:val="pl-PL"/>
        </w:rPr>
        <w:t xml:space="preserve"> organizacji mafijnej od współpracy z policją:</w:t>
      </w:r>
      <w:r w:rsidR="00175F9F" w:rsidRPr="00175F9F">
        <w:rPr>
          <w:rStyle w:val="ClinConclusions"/>
          <w:lang w:val="pl-PL"/>
        </w:rPr>
        <w:t xml:space="preserve"> naruszenie</w:t>
      </w:r>
    </w:p>
    <w:p w:rsidR="00120EEA" w:rsidRPr="00120EEA" w:rsidRDefault="00120EEA">
      <w:pPr>
        <w:pStyle w:val="ClinContent"/>
        <w:rPr>
          <w:lang w:val="pl-PL"/>
        </w:rPr>
      </w:pPr>
      <w:r w:rsidRPr="00120EEA">
        <w:rPr>
          <w:i/>
          <w:lang w:val="pl-PL"/>
        </w:rPr>
        <w:t xml:space="preserve">Fakty – </w:t>
      </w:r>
      <w:r w:rsidRPr="00120EEA">
        <w:rPr>
          <w:lang w:val="pl-PL"/>
        </w:rPr>
        <w:t>W 1999 r. i 2002 r. (w postępowaniu apelacyjnym) skarżący został skazany na</w:t>
      </w:r>
      <w:r w:rsidR="002263F3">
        <w:rPr>
          <w:lang w:val="pl-PL"/>
        </w:rPr>
        <w:t> </w:t>
      </w:r>
      <w:r w:rsidRPr="00120EEA">
        <w:rPr>
          <w:lang w:val="pl-PL"/>
        </w:rPr>
        <w:t xml:space="preserve">karę pozbawienia wolności za członkostwo w </w:t>
      </w:r>
      <w:r>
        <w:rPr>
          <w:lang w:val="pl-PL"/>
        </w:rPr>
        <w:t xml:space="preserve">zorganizowanej grupie </w:t>
      </w:r>
      <w:r w:rsidRPr="00120EEA">
        <w:rPr>
          <w:lang w:val="pl-PL"/>
        </w:rPr>
        <w:t xml:space="preserve">przestępczej typu mafijnego. </w:t>
      </w:r>
      <w:r>
        <w:rPr>
          <w:lang w:val="pl-PL"/>
        </w:rPr>
        <w:t>Fakt, że był on przywódcą grupy</w:t>
      </w:r>
      <w:r w:rsidR="00412569">
        <w:rPr>
          <w:lang w:val="pl-PL"/>
        </w:rPr>
        <w:t>,</w:t>
      </w:r>
      <w:r>
        <w:rPr>
          <w:lang w:val="pl-PL"/>
        </w:rPr>
        <w:t xml:space="preserve"> został uznany za okoliczność obciążającą. Zastosowanie miał co do zasady reżim „dożywotniej” kary pozbawienia wolności. W</w:t>
      </w:r>
      <w:r w:rsidR="002263F3">
        <w:rPr>
          <w:lang w:val="pl-PL"/>
        </w:rPr>
        <w:t> </w:t>
      </w:r>
      <w:r>
        <w:rPr>
          <w:lang w:val="pl-PL"/>
        </w:rPr>
        <w:t xml:space="preserve">świetle prawa krajowego jakakolwiek </w:t>
      </w:r>
      <w:r w:rsidR="007A1AA7">
        <w:rPr>
          <w:lang w:val="pl-PL"/>
        </w:rPr>
        <w:t>perspektywa</w:t>
      </w:r>
      <w:r>
        <w:rPr>
          <w:lang w:val="pl-PL"/>
        </w:rPr>
        <w:t xml:space="preserve"> zwolnienia takich więźniów była uzależniona od ich współpracy z policją. Osoba zainteresowana musiała dostarczyć władzom decydujących informacji w celu zapobieżenia dalszym skutkom przestępstwa </w:t>
      </w:r>
      <w:r w:rsidRPr="00D864BB">
        <w:rPr>
          <w:lang w:val="pl-PL"/>
        </w:rPr>
        <w:t>lub umożliwiających ustalenie faktów i zidentyfikowanie sprawców przestępstw (z</w:t>
      </w:r>
      <w:r w:rsidR="002263F3">
        <w:rPr>
          <w:lang w:val="pl-PL"/>
        </w:rPr>
        <w:t> </w:t>
      </w:r>
      <w:r>
        <w:rPr>
          <w:lang w:val="pl-PL"/>
        </w:rPr>
        <w:t>wyjątkiem sytuacji, w których taka współpraca była niemożliwa lub niewykonalna, a</w:t>
      </w:r>
      <w:r w:rsidR="002263F3">
        <w:rPr>
          <w:lang w:val="pl-PL"/>
        </w:rPr>
        <w:t> </w:t>
      </w:r>
      <w:r>
        <w:rPr>
          <w:lang w:val="pl-PL"/>
        </w:rPr>
        <w:t xml:space="preserve">osoba zainteresowana mogła udowodnić, że zerwała wszystkie </w:t>
      </w:r>
      <w:r w:rsidR="000A21B0">
        <w:rPr>
          <w:lang w:val="pl-PL"/>
        </w:rPr>
        <w:t xml:space="preserve">istniejące </w:t>
      </w:r>
      <w:r>
        <w:rPr>
          <w:lang w:val="pl-PL"/>
        </w:rPr>
        <w:t>powiązania z</w:t>
      </w:r>
      <w:r w:rsidR="002263F3">
        <w:rPr>
          <w:lang w:val="pl-PL"/>
        </w:rPr>
        <w:t> </w:t>
      </w:r>
      <w:r>
        <w:rPr>
          <w:lang w:val="pl-PL"/>
        </w:rPr>
        <w:t xml:space="preserve">organizacją o charakterze mafijnym).  </w:t>
      </w:r>
    </w:p>
    <w:p w:rsidR="00120EEA" w:rsidRPr="00120EEA" w:rsidRDefault="00120EEA">
      <w:pPr>
        <w:pStyle w:val="ClinContent"/>
        <w:rPr>
          <w:lang w:val="pl-PL"/>
        </w:rPr>
      </w:pPr>
      <w:r w:rsidRPr="00120EEA">
        <w:rPr>
          <w:lang w:val="pl-PL"/>
        </w:rPr>
        <w:t xml:space="preserve">Skarżący odmówił takiej współpracy, powołując się na </w:t>
      </w:r>
      <w:r w:rsidR="00CE0FEE">
        <w:rPr>
          <w:lang w:val="pl-PL"/>
        </w:rPr>
        <w:t xml:space="preserve">swe szczere przekonanie o swej niewinności i obawę przed odwetem przeciwko niemu lub jego rodzinie. W rezultacie, pomimo że wypracował prawo do potencjalnego </w:t>
      </w:r>
      <w:r w:rsidR="000A1E99">
        <w:rPr>
          <w:lang w:val="pl-PL"/>
        </w:rPr>
        <w:t>obniżenia</w:t>
      </w:r>
      <w:r w:rsidR="00CE0FEE">
        <w:rPr>
          <w:lang w:val="pl-PL"/>
        </w:rPr>
        <w:t xml:space="preserve"> kary</w:t>
      </w:r>
      <w:r w:rsidR="000A21B0">
        <w:rPr>
          <w:lang w:val="pl-PL"/>
        </w:rPr>
        <w:t xml:space="preserve"> o pięć lat</w:t>
      </w:r>
      <w:r w:rsidR="00CE0FEE">
        <w:rPr>
          <w:lang w:val="pl-PL"/>
        </w:rPr>
        <w:t xml:space="preserve"> poprzez udział w programie resocjalizacji, w praktyce był pozbawiony tego </w:t>
      </w:r>
      <w:r w:rsidR="00D864BB">
        <w:rPr>
          <w:lang w:val="pl-PL"/>
        </w:rPr>
        <w:t>obniżenia</w:t>
      </w:r>
      <w:r w:rsidR="00CE0FEE">
        <w:rPr>
          <w:lang w:val="pl-PL"/>
        </w:rPr>
        <w:t xml:space="preserve">.  </w:t>
      </w:r>
    </w:p>
    <w:p w:rsidR="000A1E99" w:rsidRPr="000A1E99" w:rsidRDefault="000A1E99">
      <w:pPr>
        <w:pStyle w:val="ClinContent"/>
        <w:rPr>
          <w:lang w:val="pl-PL"/>
        </w:rPr>
      </w:pPr>
      <w:r w:rsidRPr="000A1E99">
        <w:rPr>
          <w:lang w:val="pl-PL"/>
        </w:rPr>
        <w:t xml:space="preserve">Odmawiając uwzględnienia wniosku skarżącego o zwolnienie </w:t>
      </w:r>
      <w:r w:rsidRPr="00D864BB">
        <w:rPr>
          <w:lang w:val="pl-PL"/>
        </w:rPr>
        <w:t>warunkowe</w:t>
      </w:r>
      <w:r w:rsidR="00412569">
        <w:rPr>
          <w:lang w:val="pl-PL"/>
        </w:rPr>
        <w:t>,</w:t>
      </w:r>
      <w:r>
        <w:rPr>
          <w:lang w:val="pl-PL"/>
        </w:rPr>
        <w:t xml:space="preserve"> s</w:t>
      </w:r>
      <w:r w:rsidR="00412569">
        <w:rPr>
          <w:lang w:val="pl-PL"/>
        </w:rPr>
        <w:t>ąd</w:t>
      </w:r>
      <w:r>
        <w:rPr>
          <w:lang w:val="pl-PL"/>
        </w:rPr>
        <w:t xml:space="preserve"> nadzorujący wykonywanie kar odnotował brak jego współpracy z organami sądowymi, ale nie przeprowadził żadnej oceny postępu, </w:t>
      </w:r>
      <w:r w:rsidR="00DD29A0">
        <w:rPr>
          <w:lang w:val="pl-PL"/>
        </w:rPr>
        <w:t xml:space="preserve">którego </w:t>
      </w:r>
      <w:r>
        <w:rPr>
          <w:lang w:val="pl-PL"/>
        </w:rPr>
        <w:t xml:space="preserve">skarżący </w:t>
      </w:r>
      <w:r w:rsidR="000A21B0">
        <w:rPr>
          <w:lang w:val="pl-PL"/>
        </w:rPr>
        <w:t xml:space="preserve">dokonał, jak </w:t>
      </w:r>
      <w:r>
        <w:rPr>
          <w:lang w:val="pl-PL"/>
        </w:rPr>
        <w:t>twierdził, od</w:t>
      </w:r>
      <w:r w:rsidR="002263F3">
        <w:rPr>
          <w:lang w:val="pl-PL"/>
        </w:rPr>
        <w:t> </w:t>
      </w:r>
      <w:r>
        <w:rPr>
          <w:lang w:val="pl-PL"/>
        </w:rPr>
        <w:t xml:space="preserve">czasu skazania. </w:t>
      </w:r>
      <w:r w:rsidRPr="000A1E99">
        <w:rPr>
          <w:lang w:val="pl-PL"/>
        </w:rPr>
        <w:t xml:space="preserve"> </w:t>
      </w:r>
    </w:p>
    <w:p w:rsidR="000A1E99" w:rsidRPr="00412569" w:rsidRDefault="000A1E99">
      <w:pPr>
        <w:pStyle w:val="ClinContent"/>
        <w:rPr>
          <w:lang w:val="pl-PL"/>
        </w:rPr>
      </w:pPr>
      <w:r w:rsidRPr="00412569">
        <w:rPr>
          <w:i/>
          <w:lang w:val="pl-PL"/>
        </w:rPr>
        <w:t xml:space="preserve">Prawo </w:t>
      </w:r>
      <w:r w:rsidRPr="00412569">
        <w:rPr>
          <w:lang w:val="pl-PL"/>
        </w:rPr>
        <w:t>– Art. 3 (aspekt materialny)</w:t>
      </w:r>
      <w:r w:rsidR="007C524D">
        <w:rPr>
          <w:lang w:val="pl-PL"/>
        </w:rPr>
        <w:t xml:space="preserve"> </w:t>
      </w:r>
      <w:r w:rsidR="007C524D">
        <w:rPr>
          <w:lang w:val="pl-PL"/>
        </w:rPr>
        <w:t>[Konwencji o ochronie praw człowieka i</w:t>
      </w:r>
      <w:r w:rsidR="003B2737">
        <w:rPr>
          <w:lang w:val="pl-PL"/>
        </w:rPr>
        <w:t> </w:t>
      </w:r>
      <w:r w:rsidR="007C524D">
        <w:rPr>
          <w:lang w:val="pl-PL"/>
        </w:rPr>
        <w:t>podstawowych wolności]</w:t>
      </w:r>
    </w:p>
    <w:p w:rsidR="000A1E99" w:rsidRPr="000A1E99" w:rsidRDefault="000A1E99">
      <w:pPr>
        <w:pStyle w:val="ClinContent"/>
        <w:rPr>
          <w:lang w:val="pl-PL"/>
        </w:rPr>
      </w:pPr>
      <w:r w:rsidRPr="00412569">
        <w:rPr>
          <w:lang w:val="pl-PL"/>
        </w:rPr>
        <w:t>i)</w:t>
      </w:r>
      <w:r w:rsidRPr="000A1E99">
        <w:rPr>
          <w:i/>
          <w:lang w:val="pl-PL"/>
        </w:rPr>
        <w:t xml:space="preserve"> </w:t>
      </w:r>
      <w:r w:rsidRPr="00412569">
        <w:rPr>
          <w:i/>
          <w:lang w:val="pl-PL"/>
        </w:rPr>
        <w:t>Perspektywa zwolnienia oraz możliwość ubiegania się o zwolnienie warunkowe</w:t>
      </w:r>
      <w:r w:rsidRPr="00D864BB">
        <w:rPr>
          <w:lang w:val="pl-PL"/>
        </w:rPr>
        <w:t xml:space="preserve"> – W</w:t>
      </w:r>
      <w:r w:rsidR="002263F3">
        <w:rPr>
          <w:lang w:val="pl-PL"/>
        </w:rPr>
        <w:t> </w:t>
      </w:r>
      <w:r w:rsidRPr="00D864BB">
        <w:rPr>
          <w:lang w:val="pl-PL"/>
        </w:rPr>
        <w:t>niniejszej sprawie ustawodawstwo krajowe nie nakładało automatycznego</w:t>
      </w:r>
      <w:r w:rsidR="000A21B0">
        <w:rPr>
          <w:lang w:val="pl-PL"/>
        </w:rPr>
        <w:t xml:space="preserve"> generalnego</w:t>
      </w:r>
      <w:r w:rsidRPr="00D864BB">
        <w:rPr>
          <w:lang w:val="pl-PL"/>
        </w:rPr>
        <w:t xml:space="preserve"> zakazu korzystania ze zwolnienia warunkowego lub</w:t>
      </w:r>
      <w:r>
        <w:rPr>
          <w:lang w:val="pl-PL"/>
        </w:rPr>
        <w:t xml:space="preserve"> innego dostosowania kary, ale uzależniało dostęp do niego od „współpracy z organami sądowymi”. </w:t>
      </w:r>
      <w:r w:rsidR="00412569">
        <w:rPr>
          <w:lang w:val="pl-PL"/>
        </w:rPr>
        <w:t>Z uwagi na</w:t>
      </w:r>
      <w:r w:rsidR="003B2737">
        <w:rPr>
          <w:lang w:val="pl-PL"/>
        </w:rPr>
        <w:t> </w:t>
      </w:r>
      <w:bookmarkStart w:id="0" w:name="_GoBack"/>
      <w:bookmarkEnd w:id="0"/>
      <w:r w:rsidR="00412569">
        <w:rPr>
          <w:lang w:val="pl-PL"/>
        </w:rPr>
        <w:t xml:space="preserve">istnienie okoliczności obciążających, związanych z pełnieniem przez </w:t>
      </w:r>
      <w:r w:rsidR="00A301F3">
        <w:rPr>
          <w:lang w:val="pl-PL"/>
        </w:rPr>
        <w:t>skarżącego</w:t>
      </w:r>
      <w:r w:rsidR="00412569">
        <w:rPr>
          <w:lang w:val="pl-PL"/>
        </w:rPr>
        <w:t xml:space="preserve"> roli szefa grupy o charakterze mafijnym, do której należał, </w:t>
      </w:r>
      <w:r w:rsidR="00A301F3">
        <w:rPr>
          <w:lang w:val="pl-PL"/>
        </w:rPr>
        <w:t xml:space="preserve">jego </w:t>
      </w:r>
      <w:r w:rsidR="00412569">
        <w:rPr>
          <w:lang w:val="pl-PL"/>
        </w:rPr>
        <w:t>współpraca z władzami nie</w:t>
      </w:r>
      <w:r w:rsidR="002263F3">
        <w:rPr>
          <w:lang w:val="pl-PL"/>
        </w:rPr>
        <w:t> </w:t>
      </w:r>
      <w:r w:rsidR="00412569">
        <w:rPr>
          <w:lang w:val="pl-PL"/>
        </w:rPr>
        <w:t xml:space="preserve">zostałaby uznana za „niemożliwą” lub „niewykonalną” na potrzeby prawa krajowego. </w:t>
      </w:r>
    </w:p>
    <w:p w:rsidR="00D864BB" w:rsidRPr="00D864BB" w:rsidRDefault="00D864BB">
      <w:pPr>
        <w:pStyle w:val="ClinContent"/>
        <w:rPr>
          <w:lang w:val="pl-PL"/>
        </w:rPr>
      </w:pPr>
      <w:r w:rsidRPr="00D864BB">
        <w:rPr>
          <w:lang w:val="pl-PL"/>
        </w:rPr>
        <w:lastRenderedPageBreak/>
        <w:t>Cho</w:t>
      </w:r>
      <w:r w:rsidR="000A21B0">
        <w:rPr>
          <w:lang w:val="pl-PL"/>
        </w:rPr>
        <w:t>ciaż</w:t>
      </w:r>
      <w:r w:rsidRPr="00D864BB">
        <w:rPr>
          <w:lang w:val="pl-PL"/>
        </w:rPr>
        <w:t xml:space="preserve"> </w:t>
      </w:r>
      <w:r w:rsidR="00412569">
        <w:rPr>
          <w:lang w:val="pl-PL"/>
        </w:rPr>
        <w:t xml:space="preserve">co prawda </w:t>
      </w:r>
      <w:r w:rsidRPr="00D864BB">
        <w:rPr>
          <w:lang w:val="pl-PL"/>
        </w:rPr>
        <w:t>system krajowy zapewniał skazanym więźniom wybór, czy</w:t>
      </w:r>
      <w:r w:rsidR="002263F3">
        <w:rPr>
          <w:lang w:val="pl-PL"/>
        </w:rPr>
        <w:t> </w:t>
      </w:r>
      <w:r w:rsidRPr="00D864BB">
        <w:rPr>
          <w:lang w:val="pl-PL"/>
        </w:rPr>
        <w:t xml:space="preserve">współpracować z władzami, Trybunał miał wątpliwości co do </w:t>
      </w:r>
      <w:r>
        <w:rPr>
          <w:lang w:val="pl-PL"/>
        </w:rPr>
        <w:t xml:space="preserve">swobody </w:t>
      </w:r>
      <w:r w:rsidRPr="00D864BB">
        <w:rPr>
          <w:lang w:val="pl-PL"/>
        </w:rPr>
        <w:t xml:space="preserve">tego wyboru oraz zasadności zrównywania braku współpracy </w:t>
      </w:r>
      <w:r>
        <w:rPr>
          <w:lang w:val="pl-PL"/>
        </w:rPr>
        <w:t xml:space="preserve">z zagrożeniem </w:t>
      </w:r>
      <w:r w:rsidR="000A21B0">
        <w:rPr>
          <w:lang w:val="pl-PL"/>
        </w:rPr>
        <w:t xml:space="preserve">dla społeczeństwa </w:t>
      </w:r>
      <w:r>
        <w:rPr>
          <w:lang w:val="pl-PL"/>
        </w:rPr>
        <w:t xml:space="preserve">stwarzanym przez więźnia. Brak współpracy nie zawsze </w:t>
      </w:r>
      <w:r w:rsidR="000A21B0">
        <w:rPr>
          <w:lang w:val="pl-PL"/>
        </w:rPr>
        <w:t>wynika z</w:t>
      </w:r>
      <w:r>
        <w:rPr>
          <w:lang w:val="pl-PL"/>
        </w:rPr>
        <w:t xml:space="preserve"> wolnego i świadomego wyboru ani też niekoniecznie odzwierciedla trwające przywiązanie do „wartości przestępczych” lub </w:t>
      </w:r>
      <w:r w:rsidR="00A301F3">
        <w:rPr>
          <w:lang w:val="pl-PL"/>
        </w:rPr>
        <w:t xml:space="preserve">utrzymujące się </w:t>
      </w:r>
      <w:r w:rsidR="005F3650">
        <w:rPr>
          <w:lang w:val="pl-PL"/>
        </w:rPr>
        <w:t>powiązania</w:t>
      </w:r>
      <w:r>
        <w:rPr>
          <w:lang w:val="pl-PL"/>
        </w:rPr>
        <w:t xml:space="preserve"> z przedmiotową organizacją. </w:t>
      </w:r>
    </w:p>
    <w:p w:rsidR="00DA013D" w:rsidRPr="00DA013D" w:rsidRDefault="00DA013D">
      <w:pPr>
        <w:pStyle w:val="ClinContent"/>
        <w:rPr>
          <w:lang w:val="pl-PL"/>
        </w:rPr>
      </w:pPr>
      <w:r w:rsidRPr="00DA013D">
        <w:rPr>
          <w:lang w:val="pl-PL"/>
        </w:rPr>
        <w:t>Odmowa współpracy może wynik</w:t>
      </w:r>
      <w:r w:rsidR="000A21B0">
        <w:rPr>
          <w:lang w:val="pl-PL"/>
        </w:rPr>
        <w:t>ać z</w:t>
      </w:r>
      <w:r w:rsidRPr="00DA013D">
        <w:rPr>
          <w:lang w:val="pl-PL"/>
        </w:rPr>
        <w:t xml:space="preserve"> innych okoliczności lub względów (takich jak obawa przed odwetem przeciwko danej osobie lub jej rodzinie). </w:t>
      </w:r>
      <w:r>
        <w:rPr>
          <w:lang w:val="pl-PL"/>
        </w:rPr>
        <w:t>I odwrotnie, decyzja o</w:t>
      </w:r>
      <w:r w:rsidR="002263F3">
        <w:rPr>
          <w:lang w:val="pl-PL"/>
        </w:rPr>
        <w:t> </w:t>
      </w:r>
      <w:r>
        <w:rPr>
          <w:lang w:val="pl-PL"/>
        </w:rPr>
        <w:t xml:space="preserve">współpracy może wynikać z </w:t>
      </w:r>
      <w:r w:rsidR="00DD29A0">
        <w:rPr>
          <w:lang w:val="pl-PL"/>
        </w:rPr>
        <w:t xml:space="preserve">pobudek </w:t>
      </w:r>
      <w:r>
        <w:rPr>
          <w:lang w:val="pl-PL"/>
        </w:rPr>
        <w:t xml:space="preserve">czysto oportunistycznych. W takich sytuacjach zrównywanie braku współpracy z niemożliwym do obalenia domniemaniem zagrożenia dla społeczeństwa nie odzwierciedla </w:t>
      </w:r>
      <w:r w:rsidR="005F3650">
        <w:rPr>
          <w:lang w:val="pl-PL"/>
        </w:rPr>
        <w:t xml:space="preserve">w ostatecznym rozrachunku </w:t>
      </w:r>
      <w:r>
        <w:rPr>
          <w:lang w:val="pl-PL"/>
        </w:rPr>
        <w:t xml:space="preserve">rzeczywistego postępu danej osoby na drodze ku resocjalizacji. </w:t>
      </w:r>
    </w:p>
    <w:p w:rsidR="00F36543" w:rsidRPr="00F36543" w:rsidRDefault="00F36543">
      <w:pPr>
        <w:pStyle w:val="ClinContent"/>
        <w:rPr>
          <w:lang w:val="pl-PL"/>
        </w:rPr>
      </w:pPr>
      <w:r w:rsidRPr="00F36543">
        <w:rPr>
          <w:lang w:val="pl-PL"/>
        </w:rPr>
        <w:t xml:space="preserve">Trybunał wcześniej stwierdzał na podstawie art. </w:t>
      </w:r>
      <w:r>
        <w:rPr>
          <w:lang w:val="pl-PL"/>
        </w:rPr>
        <w:t xml:space="preserve">5 </w:t>
      </w:r>
      <w:r w:rsidR="005F3650">
        <w:rPr>
          <w:lang w:val="pl-PL"/>
        </w:rPr>
        <w:t>Konwencji</w:t>
      </w:r>
      <w:r>
        <w:rPr>
          <w:lang w:val="pl-PL"/>
        </w:rPr>
        <w:t xml:space="preserve">, że prawne domniemanie zagrożenia [dla społeczeństwa] może być uzasadnione, </w:t>
      </w:r>
      <w:r w:rsidR="005F3650">
        <w:rPr>
          <w:lang w:val="pl-PL"/>
        </w:rPr>
        <w:t xml:space="preserve">zwłaszcza </w:t>
      </w:r>
      <w:r>
        <w:rPr>
          <w:lang w:val="pl-PL"/>
        </w:rPr>
        <w:t>jeśli nie jest ono bezwzględne, a może być obalone dowodem przeciwnym. Ma to szczególnie zastosowanie do art. 3, którego bezwzględny charakter nie dopuszcza żadnych wyjątków. Uważanie współpracy z władzami za jedyną możliwą wskazówkę, że więzień zerwał kontakt z kręgami przestępczymi i uległ resocjalizacji</w:t>
      </w:r>
      <w:r w:rsidR="00013E7D">
        <w:rPr>
          <w:lang w:val="pl-PL"/>
        </w:rPr>
        <w:t>,</w:t>
      </w:r>
      <w:r>
        <w:rPr>
          <w:lang w:val="pl-PL"/>
        </w:rPr>
        <w:t xml:space="preserve"> w żaden sposób nie uwzględnia innych wska</w:t>
      </w:r>
      <w:r w:rsidR="005F3650">
        <w:rPr>
          <w:lang w:val="pl-PL"/>
        </w:rPr>
        <w:t>źników</w:t>
      </w:r>
      <w:r>
        <w:rPr>
          <w:lang w:val="pl-PL"/>
        </w:rPr>
        <w:t xml:space="preserve">, które mogłyby zostać wykorzystane do oceny jego postępu.  </w:t>
      </w:r>
    </w:p>
    <w:p w:rsidR="00104B50" w:rsidRPr="00104B50" w:rsidRDefault="00104B50">
      <w:pPr>
        <w:pStyle w:val="ClinContent"/>
        <w:rPr>
          <w:lang w:val="pl-PL"/>
        </w:rPr>
      </w:pPr>
      <w:r w:rsidRPr="00104B50">
        <w:rPr>
          <w:lang w:val="pl-PL"/>
        </w:rPr>
        <w:t xml:space="preserve">W niniejszej sprawie włoski system </w:t>
      </w:r>
      <w:r w:rsidR="005F3650">
        <w:rPr>
          <w:lang w:val="pl-PL"/>
        </w:rPr>
        <w:t xml:space="preserve">penitencjarny </w:t>
      </w:r>
      <w:r w:rsidRPr="00104B50">
        <w:rPr>
          <w:lang w:val="pl-PL"/>
        </w:rPr>
        <w:t>przewidywał szereg progresywnych możliwości kontaktu ze społeczeństwem</w:t>
      </w:r>
      <w:r w:rsidR="001926F9">
        <w:rPr>
          <w:lang w:val="pl-PL"/>
        </w:rPr>
        <w:t>,</w:t>
      </w:r>
      <w:r w:rsidRPr="00104B50">
        <w:rPr>
          <w:lang w:val="pl-PL"/>
        </w:rPr>
        <w:t xml:space="preserve"> </w:t>
      </w:r>
      <w:r w:rsidR="001926F9">
        <w:rPr>
          <w:lang w:val="pl-PL"/>
        </w:rPr>
        <w:t xml:space="preserve">mających na celu ułatwienie resocjalizacji więźnia </w:t>
      </w:r>
      <w:r>
        <w:rPr>
          <w:lang w:val="pl-PL"/>
        </w:rPr>
        <w:t>– takich jak praca na zewnątrz, przepustka więzienna, półotwarty reżim wi</w:t>
      </w:r>
      <w:r w:rsidR="001926F9">
        <w:rPr>
          <w:lang w:val="pl-PL"/>
        </w:rPr>
        <w:t>ęzienny i zwolnienie warunkowe</w:t>
      </w:r>
      <w:r>
        <w:rPr>
          <w:lang w:val="pl-PL"/>
        </w:rPr>
        <w:t xml:space="preserve">. Jednakże skarżącemu nie dano żadnych z tych możliwości </w:t>
      </w:r>
      <w:r w:rsidR="00484A77">
        <w:rPr>
          <w:lang w:val="pl-PL"/>
        </w:rPr>
        <w:t xml:space="preserve">reintegracji społecznej, pomimo że różne dowody w sprawie krajowej wskazywały na pozytywną zmianę jego osobowości i postęp na drodze ku resocjalizacji. </w:t>
      </w:r>
    </w:p>
    <w:p w:rsidR="00484A77" w:rsidRPr="00484A77" w:rsidRDefault="00484A77">
      <w:pPr>
        <w:pStyle w:val="ClinContent"/>
        <w:rPr>
          <w:lang w:val="pl-PL"/>
        </w:rPr>
      </w:pPr>
      <w:r w:rsidRPr="00484A77">
        <w:rPr>
          <w:lang w:val="pl-PL"/>
        </w:rPr>
        <w:t>Osobowość skazanego więźnia nie pozosta</w:t>
      </w:r>
      <w:r w:rsidR="005F3650">
        <w:rPr>
          <w:lang w:val="pl-PL"/>
        </w:rPr>
        <w:t>je</w:t>
      </w:r>
      <w:r w:rsidRPr="00484A77">
        <w:rPr>
          <w:lang w:val="pl-PL"/>
        </w:rPr>
        <w:t xml:space="preserve"> niezmienna od czasu popełnienia czynu: może </w:t>
      </w:r>
      <w:r>
        <w:rPr>
          <w:lang w:val="pl-PL"/>
        </w:rPr>
        <w:t>ona ewoluować w trakcie odbywania kary, odzwierciedlając proces resocjalizacji. W</w:t>
      </w:r>
      <w:r w:rsidR="002263F3">
        <w:rPr>
          <w:lang w:val="pl-PL"/>
        </w:rPr>
        <w:t> </w:t>
      </w:r>
      <w:r>
        <w:rPr>
          <w:lang w:val="pl-PL"/>
        </w:rPr>
        <w:t>o</w:t>
      </w:r>
      <w:r w:rsidR="001926F9">
        <w:rPr>
          <w:lang w:val="pl-PL"/>
        </w:rPr>
        <w:t>mawianej</w:t>
      </w:r>
      <w:r>
        <w:rPr>
          <w:lang w:val="pl-PL"/>
        </w:rPr>
        <w:t xml:space="preserve"> sprawie brak „współpracy z władzami sądowymi” skutkował niemożliwym do obalenia domniemaniem zagrożenia, które pozbawiało skarżącego jakichkolwiek realnych perspektyw zwolnienia. Skarżący nie mógł wykazać, że jego pozbawienie wolności nie </w:t>
      </w:r>
      <w:r w:rsidR="005F3650">
        <w:rPr>
          <w:lang w:val="pl-PL"/>
        </w:rPr>
        <w:t xml:space="preserve">jest </w:t>
      </w:r>
      <w:r>
        <w:rPr>
          <w:lang w:val="pl-PL"/>
        </w:rPr>
        <w:t>już uzasadnione uprawnionymi względami penologicznymi</w:t>
      </w:r>
      <w:r w:rsidR="00DD29A0">
        <w:rPr>
          <w:lang w:val="pl-PL"/>
        </w:rPr>
        <w:t>.</w:t>
      </w:r>
      <w:r>
        <w:rPr>
          <w:lang w:val="pl-PL"/>
        </w:rPr>
        <w:t xml:space="preserve"> </w:t>
      </w:r>
      <w:r w:rsidR="00DD29A0">
        <w:rPr>
          <w:lang w:val="pl-PL"/>
        </w:rPr>
        <w:t>P</w:t>
      </w:r>
      <w:r>
        <w:rPr>
          <w:lang w:val="pl-PL"/>
        </w:rPr>
        <w:t xml:space="preserve">oprzez ciągłe zrównywanie braku współpracy z niemożliwym do obalenia domniemaniem zagrożenia dla społeczeństwa obowiązujący reżim </w:t>
      </w:r>
      <w:r w:rsidR="001926F9">
        <w:rPr>
          <w:lang w:val="pl-PL"/>
        </w:rPr>
        <w:t xml:space="preserve">prawny </w:t>
      </w:r>
      <w:r>
        <w:rPr>
          <w:lang w:val="pl-PL"/>
        </w:rPr>
        <w:t>w istocie oceniał zagrożenie ze</w:t>
      </w:r>
      <w:r w:rsidR="002263F3">
        <w:rPr>
          <w:lang w:val="pl-PL"/>
        </w:rPr>
        <w:t> </w:t>
      </w:r>
      <w:r>
        <w:rPr>
          <w:lang w:val="pl-PL"/>
        </w:rPr>
        <w:t xml:space="preserve">strony </w:t>
      </w:r>
      <w:r w:rsidR="00DD29A0">
        <w:rPr>
          <w:lang w:val="pl-PL"/>
        </w:rPr>
        <w:t xml:space="preserve">danej </w:t>
      </w:r>
      <w:r>
        <w:rPr>
          <w:lang w:val="pl-PL"/>
        </w:rPr>
        <w:t xml:space="preserve">osoby </w:t>
      </w:r>
      <w:r w:rsidR="005F3650">
        <w:rPr>
          <w:lang w:val="pl-PL"/>
        </w:rPr>
        <w:t xml:space="preserve">w odniesieniu </w:t>
      </w:r>
      <w:r>
        <w:rPr>
          <w:lang w:val="pl-PL"/>
        </w:rPr>
        <w:t>do czasu, gdy zostało popełnione przestępstwo, zamiast uwzględnić proces re</w:t>
      </w:r>
      <w:r w:rsidR="005F3650">
        <w:rPr>
          <w:lang w:val="pl-PL"/>
        </w:rPr>
        <w:t>socjalizacji</w:t>
      </w:r>
      <w:r>
        <w:rPr>
          <w:lang w:val="pl-PL"/>
        </w:rPr>
        <w:t xml:space="preserve"> i ewentualny postęp dokonany przez tę osobę od czasu skazania. </w:t>
      </w:r>
    </w:p>
    <w:p w:rsidR="009129C7" w:rsidRPr="009129C7" w:rsidRDefault="009129C7">
      <w:pPr>
        <w:pStyle w:val="ClinContent"/>
        <w:rPr>
          <w:lang w:val="pl-PL"/>
        </w:rPr>
      </w:pPr>
      <w:r w:rsidRPr="009129C7">
        <w:rPr>
          <w:lang w:val="pl-PL"/>
        </w:rPr>
        <w:t xml:space="preserve">Niemożliwe do obalenia domniemanie w istocie uniemożliwiło zbadanie przez właściwy sąd wniosku o zwolnienie warunkowe i ustalenie, czy dana osoba </w:t>
      </w:r>
      <w:r w:rsidR="005F3650">
        <w:rPr>
          <w:lang w:val="pl-PL"/>
        </w:rPr>
        <w:t>zmienił</w:t>
      </w:r>
      <w:r w:rsidR="005F3650" w:rsidRPr="009129C7">
        <w:rPr>
          <w:lang w:val="pl-PL"/>
        </w:rPr>
        <w:t xml:space="preserve">a się </w:t>
      </w:r>
      <w:r w:rsidRPr="009129C7">
        <w:rPr>
          <w:lang w:val="pl-PL"/>
        </w:rPr>
        <w:t>w trak</w:t>
      </w:r>
      <w:r>
        <w:rPr>
          <w:lang w:val="pl-PL"/>
        </w:rPr>
        <w:t>c</w:t>
      </w:r>
      <w:r w:rsidRPr="009129C7">
        <w:rPr>
          <w:lang w:val="pl-PL"/>
        </w:rPr>
        <w:t xml:space="preserve">ie pozbawienia wolności i </w:t>
      </w:r>
      <w:r w:rsidR="00013E7D">
        <w:rPr>
          <w:lang w:val="pl-PL"/>
        </w:rPr>
        <w:t>poc</w:t>
      </w:r>
      <w:r w:rsidRPr="009129C7">
        <w:rPr>
          <w:lang w:val="pl-PL"/>
        </w:rPr>
        <w:t>zyniła postęp w kierunku resocjalizacji do tego stopnia, że</w:t>
      </w:r>
      <w:r w:rsidR="002263F3">
        <w:rPr>
          <w:lang w:val="pl-PL"/>
        </w:rPr>
        <w:t> </w:t>
      </w:r>
      <w:r w:rsidRPr="009129C7">
        <w:rPr>
          <w:lang w:val="pl-PL"/>
        </w:rPr>
        <w:t>jej</w:t>
      </w:r>
      <w:r w:rsidR="002263F3">
        <w:rPr>
          <w:lang w:val="pl-PL"/>
        </w:rPr>
        <w:t> </w:t>
      </w:r>
      <w:r w:rsidRPr="009129C7">
        <w:rPr>
          <w:lang w:val="pl-PL"/>
        </w:rPr>
        <w:t xml:space="preserve">dalsze pozbawienie wolności nie </w:t>
      </w:r>
      <w:r w:rsidR="005F3650">
        <w:rPr>
          <w:lang w:val="pl-PL"/>
        </w:rPr>
        <w:t xml:space="preserve">jest </w:t>
      </w:r>
      <w:r w:rsidRPr="009129C7">
        <w:rPr>
          <w:lang w:val="pl-PL"/>
        </w:rPr>
        <w:t xml:space="preserve">już uzasadnione względami penologicznymi. </w:t>
      </w:r>
      <w:r>
        <w:rPr>
          <w:lang w:val="pl-PL"/>
        </w:rPr>
        <w:t xml:space="preserve">Udział sądu został ograniczony do stwierdzenia, że nie </w:t>
      </w:r>
      <w:r w:rsidR="000A21B0">
        <w:rPr>
          <w:lang w:val="pl-PL"/>
        </w:rPr>
        <w:t>spełniono warunków</w:t>
      </w:r>
      <w:r>
        <w:rPr>
          <w:lang w:val="pl-PL"/>
        </w:rPr>
        <w:t xml:space="preserve"> </w:t>
      </w:r>
      <w:r w:rsidR="000A21B0">
        <w:rPr>
          <w:lang w:val="pl-PL"/>
        </w:rPr>
        <w:t>dotyczących</w:t>
      </w:r>
      <w:r w:rsidR="005F3650">
        <w:rPr>
          <w:lang w:val="pl-PL"/>
        </w:rPr>
        <w:t xml:space="preserve"> </w:t>
      </w:r>
      <w:r>
        <w:rPr>
          <w:lang w:val="pl-PL"/>
        </w:rPr>
        <w:t>współpracy</w:t>
      </w:r>
      <w:r w:rsidR="00013E7D">
        <w:rPr>
          <w:lang w:val="pl-PL"/>
        </w:rPr>
        <w:t>,</w:t>
      </w:r>
      <w:r>
        <w:rPr>
          <w:lang w:val="pl-PL"/>
        </w:rPr>
        <w:t xml:space="preserve"> i nie mógł on ocenić indywidualnej historii więźnia i jego postępu na drodze do resocjalizacji. </w:t>
      </w:r>
    </w:p>
    <w:p w:rsidR="009129C7" w:rsidRPr="009129C7" w:rsidRDefault="009129C7">
      <w:pPr>
        <w:pStyle w:val="ClinContent"/>
        <w:rPr>
          <w:lang w:val="pl-PL"/>
        </w:rPr>
      </w:pPr>
      <w:r w:rsidRPr="009129C7">
        <w:rPr>
          <w:lang w:val="pl-PL"/>
        </w:rPr>
        <w:t xml:space="preserve">Prawdą jest, że przestępstwa, za które został skazany skarżący, dotyczyły </w:t>
      </w:r>
      <w:r>
        <w:rPr>
          <w:lang w:val="pl-PL"/>
        </w:rPr>
        <w:t xml:space="preserve">zjawiska </w:t>
      </w:r>
      <w:r w:rsidRPr="009129C7">
        <w:rPr>
          <w:lang w:val="pl-PL"/>
        </w:rPr>
        <w:t>szczególnie groźne</w:t>
      </w:r>
      <w:r>
        <w:rPr>
          <w:lang w:val="pl-PL"/>
        </w:rPr>
        <w:t>go dla społeczeństwa. Ponadto reforma więzienna, która doprowadziła do wprowadzenia tego reżimu</w:t>
      </w:r>
      <w:r w:rsidR="001926F9">
        <w:rPr>
          <w:lang w:val="pl-PL"/>
        </w:rPr>
        <w:t xml:space="preserve"> prawnego</w:t>
      </w:r>
      <w:r>
        <w:rPr>
          <w:lang w:val="pl-PL"/>
        </w:rPr>
        <w:t xml:space="preserve">, została przyjęta w 1992 r. w kontekście sytuacji </w:t>
      </w:r>
      <w:r w:rsidRPr="009129C7">
        <w:rPr>
          <w:lang w:val="pl-PL"/>
        </w:rPr>
        <w:t>nadzwyczajnej po</w:t>
      </w:r>
      <w:r>
        <w:rPr>
          <w:lang w:val="pl-PL"/>
        </w:rPr>
        <w:t xml:space="preserve"> wydarzeniu</w:t>
      </w:r>
      <w:r w:rsidRPr="009129C7">
        <w:rPr>
          <w:lang w:val="pl-PL"/>
        </w:rPr>
        <w:t xml:space="preserve">, który głęboko </w:t>
      </w:r>
      <w:r>
        <w:rPr>
          <w:lang w:val="pl-PL"/>
        </w:rPr>
        <w:t>na</w:t>
      </w:r>
      <w:r w:rsidRPr="009129C7">
        <w:rPr>
          <w:lang w:val="pl-PL"/>
        </w:rPr>
        <w:t>znaczył</w:t>
      </w:r>
      <w:r>
        <w:rPr>
          <w:lang w:val="pl-PL"/>
        </w:rPr>
        <w:t>o</w:t>
      </w:r>
      <w:r w:rsidRPr="009129C7">
        <w:rPr>
          <w:lang w:val="pl-PL"/>
        </w:rPr>
        <w:t xml:space="preserve"> Włochy</w:t>
      </w:r>
      <w:r>
        <w:rPr>
          <w:lang w:val="pl-PL"/>
        </w:rPr>
        <w:t xml:space="preserve">. </w:t>
      </w:r>
      <w:r w:rsidR="001926F9">
        <w:rPr>
          <w:lang w:val="pl-PL"/>
        </w:rPr>
        <w:t xml:space="preserve">Niemniej jednak </w:t>
      </w:r>
      <w:r>
        <w:rPr>
          <w:lang w:val="pl-PL"/>
        </w:rPr>
        <w:t xml:space="preserve">wysiłki mające na celu poradzenie sobie z tą plagą nie mogą uzasadniać </w:t>
      </w:r>
      <w:r w:rsidR="00175B8E">
        <w:rPr>
          <w:lang w:val="pl-PL"/>
        </w:rPr>
        <w:t xml:space="preserve">odstępstwa od </w:t>
      </w:r>
      <w:r>
        <w:rPr>
          <w:lang w:val="pl-PL"/>
        </w:rPr>
        <w:t>postanowień art. 3</w:t>
      </w:r>
      <w:r w:rsidR="005F3650">
        <w:rPr>
          <w:lang w:val="pl-PL"/>
        </w:rPr>
        <w:t xml:space="preserve"> Konwencji</w:t>
      </w:r>
      <w:r>
        <w:rPr>
          <w:lang w:val="pl-PL"/>
        </w:rPr>
        <w:t xml:space="preserve">, który w sposób bezwzględny zakazuje nieludzkiego lub poniżającego traktowania. </w:t>
      </w:r>
      <w:r w:rsidR="00175B8E">
        <w:rPr>
          <w:lang w:val="pl-PL"/>
        </w:rPr>
        <w:t>C</w:t>
      </w:r>
      <w:r>
        <w:rPr>
          <w:lang w:val="pl-PL"/>
        </w:rPr>
        <w:t xml:space="preserve">harakter przestępstw, za które został </w:t>
      </w:r>
      <w:r>
        <w:rPr>
          <w:lang w:val="pl-PL"/>
        </w:rPr>
        <w:lastRenderedPageBreak/>
        <w:t xml:space="preserve">skazany skarżący, nie miał </w:t>
      </w:r>
      <w:r w:rsidR="00175B8E">
        <w:rPr>
          <w:lang w:val="pl-PL"/>
        </w:rPr>
        <w:t xml:space="preserve">zatem </w:t>
      </w:r>
      <w:r>
        <w:rPr>
          <w:lang w:val="pl-PL"/>
        </w:rPr>
        <w:t xml:space="preserve">znaczenia w obecnym kontekście. Ponadto ostatecznym celem resocjalizacji jest zapobieganie powrotowi do przestępstwa i ochrona społeczeństwa.  </w:t>
      </w:r>
    </w:p>
    <w:p w:rsidR="009129C7" w:rsidRPr="00083A06" w:rsidRDefault="009129C7">
      <w:pPr>
        <w:pStyle w:val="ClinContent"/>
        <w:rPr>
          <w:lang w:val="pl-PL"/>
        </w:rPr>
      </w:pPr>
      <w:r w:rsidRPr="009129C7">
        <w:rPr>
          <w:lang w:val="pl-PL"/>
        </w:rPr>
        <w:t xml:space="preserve">ii) </w:t>
      </w:r>
      <w:r w:rsidRPr="009129C7">
        <w:rPr>
          <w:i/>
          <w:lang w:val="pl-PL"/>
        </w:rPr>
        <w:t xml:space="preserve">Inne krajowe środki odwoławcze </w:t>
      </w:r>
      <w:r w:rsidR="00DD29A0">
        <w:rPr>
          <w:i/>
          <w:lang w:val="pl-PL"/>
        </w:rPr>
        <w:t xml:space="preserve">służące </w:t>
      </w:r>
      <w:r w:rsidRPr="009129C7">
        <w:rPr>
          <w:i/>
          <w:lang w:val="pl-PL"/>
        </w:rPr>
        <w:t xml:space="preserve">do uzyskania </w:t>
      </w:r>
      <w:r w:rsidR="00F758C6">
        <w:rPr>
          <w:i/>
          <w:lang w:val="pl-PL"/>
        </w:rPr>
        <w:t>ponownego zbadania</w:t>
      </w:r>
      <w:r w:rsidR="000A21B0">
        <w:rPr>
          <w:i/>
          <w:lang w:val="pl-PL"/>
        </w:rPr>
        <w:t xml:space="preserve"> </w:t>
      </w:r>
      <w:r>
        <w:rPr>
          <w:i/>
          <w:lang w:val="pl-PL"/>
        </w:rPr>
        <w:t xml:space="preserve">kary </w:t>
      </w:r>
      <w:r w:rsidR="00083A06">
        <w:rPr>
          <w:i/>
          <w:lang w:val="pl-PL"/>
        </w:rPr>
        <w:t>–</w:t>
      </w:r>
      <w:r>
        <w:rPr>
          <w:i/>
          <w:lang w:val="pl-PL"/>
        </w:rPr>
        <w:t xml:space="preserve"> </w:t>
      </w:r>
      <w:r w:rsidR="00083A06">
        <w:rPr>
          <w:lang w:val="pl-PL"/>
        </w:rPr>
        <w:t>Co</w:t>
      </w:r>
      <w:r w:rsidR="002263F3">
        <w:rPr>
          <w:lang w:val="pl-PL"/>
        </w:rPr>
        <w:t> </w:t>
      </w:r>
      <w:r w:rsidR="00083A06">
        <w:rPr>
          <w:lang w:val="pl-PL"/>
        </w:rPr>
        <w:t xml:space="preserve">się tyczy możliwości uzyskania ułaskawienia lub zwolnienia ze względów humanitarnych (takich jak podeszły wiek lub zły stan zdrowia), Trybunał wcześniej orzekał, że tego typu środek nie oznacza „perspektywy zwolnienia” w rozumieniu tego terminu </w:t>
      </w:r>
      <w:r w:rsidR="00175B8E">
        <w:rPr>
          <w:lang w:val="pl-PL"/>
        </w:rPr>
        <w:t>stosowanym</w:t>
      </w:r>
      <w:r w:rsidR="00083A06">
        <w:rPr>
          <w:lang w:val="pl-PL"/>
        </w:rPr>
        <w:t xml:space="preserve"> od czasu wyroku w sprawie </w:t>
      </w:r>
      <w:proofErr w:type="spellStart"/>
      <w:r w:rsidR="00083A06" w:rsidRPr="00083A06">
        <w:rPr>
          <w:i/>
          <w:lang w:val="pl-PL"/>
        </w:rPr>
        <w:t>Kafkaris</w:t>
      </w:r>
      <w:proofErr w:type="spellEnd"/>
      <w:r w:rsidR="00083A06" w:rsidRPr="00083A06">
        <w:rPr>
          <w:i/>
          <w:lang w:val="pl-PL"/>
        </w:rPr>
        <w:t xml:space="preserve"> p. Cyprowi</w:t>
      </w:r>
      <w:r w:rsidR="00083A06">
        <w:rPr>
          <w:lang w:val="pl-PL"/>
        </w:rPr>
        <w:t xml:space="preserve"> [WI], nr </w:t>
      </w:r>
      <w:r w:rsidR="00083A06" w:rsidRPr="00083A06">
        <w:rPr>
          <w:lang w:val="pl-PL"/>
        </w:rPr>
        <w:t>21906/04, 12 </w:t>
      </w:r>
      <w:r w:rsidR="00083A06">
        <w:rPr>
          <w:lang w:val="pl-PL"/>
        </w:rPr>
        <w:t>lutego</w:t>
      </w:r>
      <w:r w:rsidR="00083A06" w:rsidRPr="00083A06">
        <w:rPr>
          <w:lang w:val="pl-PL"/>
        </w:rPr>
        <w:t xml:space="preserve"> 2008</w:t>
      </w:r>
      <w:r w:rsidR="00083A06">
        <w:rPr>
          <w:lang w:val="pl-PL"/>
        </w:rPr>
        <w:t xml:space="preserve"> r.</w:t>
      </w:r>
      <w:r w:rsidR="00083A06" w:rsidRPr="00083A06">
        <w:rPr>
          <w:lang w:val="pl-PL"/>
        </w:rPr>
        <w:t xml:space="preserve">, </w:t>
      </w:r>
      <w:hyperlink r:id="rId8" w:history="1">
        <w:r w:rsidR="00083A06">
          <w:rPr>
            <w:rStyle w:val="Hipercze"/>
            <w:lang w:val="pl-PL"/>
          </w:rPr>
          <w:t>Nota informacyjna nr</w:t>
        </w:r>
        <w:r w:rsidR="00083A06" w:rsidRPr="00083A06">
          <w:rPr>
            <w:rStyle w:val="Hipercze"/>
            <w:lang w:val="pl-PL"/>
          </w:rPr>
          <w:t xml:space="preserve"> 105</w:t>
        </w:r>
      </w:hyperlink>
      <w:r w:rsidR="00083A06" w:rsidRPr="00083A06">
        <w:rPr>
          <w:lang w:val="pl-PL"/>
        </w:rPr>
        <w:t>).</w:t>
      </w:r>
      <w:r w:rsidR="00083A06">
        <w:rPr>
          <w:lang w:val="pl-PL"/>
        </w:rPr>
        <w:t xml:space="preserve"> Ponadto Rząd nie przedstawił żadnych przykładów, w których skazani więźniowie w podobnej sytuacji uzyskali </w:t>
      </w:r>
      <w:r w:rsidR="00175B8E">
        <w:rPr>
          <w:lang w:val="pl-PL"/>
        </w:rPr>
        <w:t xml:space="preserve">dostosowanie ich kary </w:t>
      </w:r>
      <w:r w:rsidR="00083A06">
        <w:rPr>
          <w:lang w:val="pl-PL"/>
        </w:rPr>
        <w:t xml:space="preserve">w drodze ułaskawienia przez prezydenta. </w:t>
      </w:r>
    </w:p>
    <w:p w:rsidR="00083A06" w:rsidRPr="00083A06" w:rsidRDefault="00083A06">
      <w:pPr>
        <w:pStyle w:val="ClinContent"/>
        <w:rPr>
          <w:lang w:val="pl-PL"/>
        </w:rPr>
      </w:pPr>
      <w:r w:rsidRPr="00083A06">
        <w:rPr>
          <w:lang w:val="pl-PL"/>
        </w:rPr>
        <w:t xml:space="preserve">iii) </w:t>
      </w:r>
      <w:r w:rsidRPr="00083A06">
        <w:rPr>
          <w:i/>
          <w:lang w:val="pl-PL"/>
        </w:rPr>
        <w:t xml:space="preserve">Wniosek – </w:t>
      </w:r>
      <w:r w:rsidRPr="00083A06">
        <w:rPr>
          <w:lang w:val="pl-PL"/>
        </w:rPr>
        <w:t>Reżim</w:t>
      </w:r>
      <w:r w:rsidR="001926F9">
        <w:rPr>
          <w:lang w:val="pl-PL"/>
        </w:rPr>
        <w:t xml:space="preserve"> prawny</w:t>
      </w:r>
      <w:r w:rsidRPr="00083A06">
        <w:rPr>
          <w:lang w:val="pl-PL"/>
        </w:rPr>
        <w:t xml:space="preserve">, który miał zastosowanie wobec skarżącego, </w:t>
      </w:r>
      <w:r>
        <w:rPr>
          <w:lang w:val="pl-PL"/>
        </w:rPr>
        <w:t xml:space="preserve">w nadmiernym stopniu </w:t>
      </w:r>
      <w:r w:rsidRPr="00083A06">
        <w:rPr>
          <w:lang w:val="pl-PL"/>
        </w:rPr>
        <w:t>ograniczał perspektywy jego zwolnien</w:t>
      </w:r>
      <w:r>
        <w:rPr>
          <w:lang w:val="pl-PL"/>
        </w:rPr>
        <w:t xml:space="preserve">ia oraz możliwość </w:t>
      </w:r>
      <w:r w:rsidR="001926F9">
        <w:rPr>
          <w:lang w:val="pl-PL"/>
        </w:rPr>
        <w:t xml:space="preserve">ponownego zbadania </w:t>
      </w:r>
      <w:r w:rsidR="00C257B3">
        <w:rPr>
          <w:lang w:val="pl-PL"/>
        </w:rPr>
        <w:t xml:space="preserve">wymierzonej mu </w:t>
      </w:r>
      <w:r>
        <w:rPr>
          <w:lang w:val="pl-PL"/>
        </w:rPr>
        <w:t>kary</w:t>
      </w:r>
      <w:r w:rsidR="001926F9">
        <w:rPr>
          <w:lang w:val="pl-PL"/>
        </w:rPr>
        <w:t>. W związku z powyższym nałożonej na niego kary</w:t>
      </w:r>
      <w:r>
        <w:rPr>
          <w:lang w:val="pl-PL"/>
        </w:rPr>
        <w:t xml:space="preserve"> dożywotniego pozbawienia wolności nie moż</w:t>
      </w:r>
      <w:r w:rsidR="001926F9">
        <w:rPr>
          <w:lang w:val="pl-PL"/>
        </w:rPr>
        <w:t>na</w:t>
      </w:r>
      <w:r>
        <w:rPr>
          <w:lang w:val="pl-PL"/>
        </w:rPr>
        <w:t xml:space="preserve"> uzna</w:t>
      </w:r>
      <w:r w:rsidR="001926F9">
        <w:rPr>
          <w:lang w:val="pl-PL"/>
        </w:rPr>
        <w:t>ć</w:t>
      </w:r>
      <w:r>
        <w:rPr>
          <w:lang w:val="pl-PL"/>
        </w:rPr>
        <w:t xml:space="preserve"> za możliwą do skrócenia</w:t>
      </w:r>
      <w:r w:rsidR="001926F9">
        <w:rPr>
          <w:lang w:val="pl-PL"/>
        </w:rPr>
        <w:t xml:space="preserve"> (skracalną)</w:t>
      </w:r>
      <w:r>
        <w:rPr>
          <w:lang w:val="pl-PL"/>
        </w:rPr>
        <w:t>,</w:t>
      </w:r>
      <w:r w:rsidR="00175B8E">
        <w:rPr>
          <w:lang w:val="pl-PL"/>
        </w:rPr>
        <w:t xml:space="preserve"> co narusza</w:t>
      </w:r>
      <w:r>
        <w:rPr>
          <w:lang w:val="pl-PL"/>
        </w:rPr>
        <w:t xml:space="preserve"> zasadę poszanowania ludzkiej </w:t>
      </w:r>
      <w:r w:rsidR="00175B8E">
        <w:rPr>
          <w:lang w:val="pl-PL"/>
        </w:rPr>
        <w:t xml:space="preserve">godności </w:t>
      </w:r>
      <w:r w:rsidR="00013E7D">
        <w:rPr>
          <w:lang w:val="pl-PL"/>
        </w:rPr>
        <w:t>zawartą</w:t>
      </w:r>
      <w:r>
        <w:rPr>
          <w:lang w:val="pl-PL"/>
        </w:rPr>
        <w:t xml:space="preserve"> w Konwencji, a w szczególności w </w:t>
      </w:r>
      <w:r w:rsidR="001926F9">
        <w:rPr>
          <w:lang w:val="pl-PL"/>
        </w:rPr>
        <w:t xml:space="preserve">jej </w:t>
      </w:r>
      <w:r>
        <w:rPr>
          <w:lang w:val="pl-PL"/>
        </w:rPr>
        <w:t>art. 3. Trybunał doprecyzował</w:t>
      </w:r>
      <w:r w:rsidR="00013E7D" w:rsidRPr="00013E7D">
        <w:rPr>
          <w:lang w:val="pl-PL"/>
        </w:rPr>
        <w:t xml:space="preserve"> </w:t>
      </w:r>
      <w:r w:rsidR="00013E7D">
        <w:rPr>
          <w:lang w:val="pl-PL"/>
        </w:rPr>
        <w:t>jednak</w:t>
      </w:r>
      <w:r>
        <w:rPr>
          <w:lang w:val="pl-PL"/>
        </w:rPr>
        <w:t xml:space="preserve">, że stwierdzenie </w:t>
      </w:r>
      <w:r w:rsidR="00DD29A0">
        <w:rPr>
          <w:lang w:val="pl-PL"/>
        </w:rPr>
        <w:t xml:space="preserve">to </w:t>
      </w:r>
      <w:r>
        <w:rPr>
          <w:lang w:val="pl-PL"/>
        </w:rPr>
        <w:t xml:space="preserve">nie może być rozumiane jako przyznanie skarżącemu perspektywy natychmiastowego zwolnienia. </w:t>
      </w:r>
    </w:p>
    <w:p w:rsidR="00C257B3" w:rsidRPr="00C257B3" w:rsidRDefault="00C257B3">
      <w:pPr>
        <w:pStyle w:val="ClinContent"/>
        <w:rPr>
          <w:lang w:val="pl-PL"/>
        </w:rPr>
      </w:pPr>
      <w:r w:rsidRPr="00C257B3">
        <w:rPr>
          <w:i/>
          <w:lang w:val="pl-PL"/>
        </w:rPr>
        <w:t xml:space="preserve">Rozstrzygnięcie: </w:t>
      </w:r>
      <w:r w:rsidRPr="00C257B3">
        <w:rPr>
          <w:lang w:val="pl-PL"/>
        </w:rPr>
        <w:t xml:space="preserve">naruszenie (sześcioma głosami do jednego). </w:t>
      </w:r>
    </w:p>
    <w:p w:rsidR="00C257B3" w:rsidRPr="00C257B3" w:rsidRDefault="00C257B3">
      <w:pPr>
        <w:pStyle w:val="ClinContent"/>
        <w:rPr>
          <w:lang w:val="pl-PL"/>
        </w:rPr>
      </w:pPr>
      <w:r w:rsidRPr="00C257B3">
        <w:rPr>
          <w:lang w:val="pl-PL"/>
        </w:rPr>
        <w:t xml:space="preserve">Art. 46: Charakter stwierdzonego naruszenia jest tego rodzaju, że państwo powinno podjąć reformę </w:t>
      </w:r>
      <w:r>
        <w:rPr>
          <w:lang w:val="pl-PL"/>
        </w:rPr>
        <w:t xml:space="preserve">reżimu kary </w:t>
      </w:r>
      <w:r w:rsidR="00F758C6">
        <w:rPr>
          <w:lang w:val="pl-PL"/>
        </w:rPr>
        <w:t xml:space="preserve">dożywotniego </w:t>
      </w:r>
      <w:r>
        <w:rPr>
          <w:lang w:val="pl-PL"/>
        </w:rPr>
        <w:t xml:space="preserve">pozbawienia wolności, najlepiej poprzez wprowadzenie ustawodawstwa, w celu zagwarantowania możliwości </w:t>
      </w:r>
      <w:r w:rsidR="00F758C6">
        <w:rPr>
          <w:lang w:val="pl-PL"/>
        </w:rPr>
        <w:t>ponownego zbadania</w:t>
      </w:r>
      <w:r w:rsidR="000A21B0">
        <w:rPr>
          <w:lang w:val="pl-PL"/>
        </w:rPr>
        <w:t xml:space="preserve"> </w:t>
      </w:r>
      <w:r w:rsidR="00175B8E">
        <w:rPr>
          <w:lang w:val="pl-PL"/>
        </w:rPr>
        <w:t>wymierzonej kary. Powinna ona</w:t>
      </w:r>
      <w:r>
        <w:rPr>
          <w:lang w:val="pl-PL"/>
        </w:rPr>
        <w:t xml:space="preserve"> umożliwi</w:t>
      </w:r>
      <w:r w:rsidR="00DD29A0">
        <w:rPr>
          <w:lang w:val="pl-PL"/>
        </w:rPr>
        <w:t>a</w:t>
      </w:r>
      <w:r>
        <w:rPr>
          <w:lang w:val="pl-PL"/>
        </w:rPr>
        <w:t>ć władzom określ</w:t>
      </w:r>
      <w:r w:rsidR="00DD29A0">
        <w:rPr>
          <w:lang w:val="pl-PL"/>
        </w:rPr>
        <w:t>a</w:t>
      </w:r>
      <w:r>
        <w:rPr>
          <w:lang w:val="pl-PL"/>
        </w:rPr>
        <w:t>nie, czy w trakcie odbywania kary osadzony zmienił się i dokonał postępu na drodze ku resocjalizacji w</w:t>
      </w:r>
      <w:r w:rsidR="009209DF">
        <w:rPr>
          <w:lang w:val="pl-PL"/>
        </w:rPr>
        <w:t> </w:t>
      </w:r>
      <w:r>
        <w:rPr>
          <w:lang w:val="pl-PL"/>
        </w:rPr>
        <w:t xml:space="preserve">takim stopniu, że jego pozbawienie wolności nie jest już dłużej uzasadnione w oparciu o </w:t>
      </w:r>
      <w:r w:rsidR="00F758C6">
        <w:rPr>
          <w:lang w:val="pl-PL"/>
        </w:rPr>
        <w:t>uprawnione względy penologiczne.</w:t>
      </w:r>
      <w:r>
        <w:rPr>
          <w:lang w:val="pl-PL"/>
        </w:rPr>
        <w:t xml:space="preserve"> </w:t>
      </w:r>
      <w:r w:rsidR="00F758C6">
        <w:rPr>
          <w:lang w:val="pl-PL"/>
        </w:rPr>
        <w:t>J</w:t>
      </w:r>
      <w:r>
        <w:rPr>
          <w:lang w:val="pl-PL"/>
        </w:rPr>
        <w:t xml:space="preserve">ednocześnie </w:t>
      </w:r>
      <w:r w:rsidR="00F758C6">
        <w:rPr>
          <w:lang w:val="pl-PL"/>
        </w:rPr>
        <w:t>osadzony skazany</w:t>
      </w:r>
      <w:r>
        <w:rPr>
          <w:lang w:val="pl-PL"/>
        </w:rPr>
        <w:t xml:space="preserve"> powinien </w:t>
      </w:r>
      <w:r w:rsidR="00F758C6">
        <w:rPr>
          <w:lang w:val="pl-PL"/>
        </w:rPr>
        <w:t xml:space="preserve">mieć możliwość dowiedzenia się, co powinien </w:t>
      </w:r>
      <w:r>
        <w:rPr>
          <w:lang w:val="pl-PL"/>
        </w:rPr>
        <w:t>zrobić, by kwalifikować się do zwolnienia i jakie warunki się z tym wiążą. Zerwanie więzów z kręgami mafijnymi może być wyrażone w</w:t>
      </w:r>
      <w:r w:rsidR="009209DF">
        <w:rPr>
          <w:lang w:val="pl-PL"/>
        </w:rPr>
        <w:t> </w:t>
      </w:r>
      <w:r>
        <w:rPr>
          <w:lang w:val="pl-PL"/>
        </w:rPr>
        <w:t xml:space="preserve">inny sposób niż współpraca z władzami sądowymi i automatyczny mechanizm przewidziany </w:t>
      </w:r>
      <w:r w:rsidR="00F758C6">
        <w:rPr>
          <w:lang w:val="pl-PL"/>
        </w:rPr>
        <w:t>zaskarżonym</w:t>
      </w:r>
      <w:r>
        <w:rPr>
          <w:lang w:val="pl-PL"/>
        </w:rPr>
        <w:t xml:space="preserve"> ustawodawstwem. Niemniej jednak Trybunał sprecyzował, że</w:t>
      </w:r>
      <w:r w:rsidR="009209DF">
        <w:rPr>
          <w:lang w:val="pl-PL"/>
        </w:rPr>
        <w:t> </w:t>
      </w:r>
      <w:r>
        <w:rPr>
          <w:lang w:val="pl-PL"/>
        </w:rPr>
        <w:t>możliwość wnioskowania o zwolnienie nie</w:t>
      </w:r>
      <w:r w:rsidR="00F758C6">
        <w:rPr>
          <w:lang w:val="pl-PL"/>
        </w:rPr>
        <w:t xml:space="preserve"> wyklucza możliwości oddalenia </w:t>
      </w:r>
      <w:r w:rsidR="004743DC">
        <w:rPr>
          <w:lang w:val="pl-PL"/>
        </w:rPr>
        <w:t>wniosku przez władze w sytuacji, gdy zainteresowana osoba nadal stanowi zagrożenie dla</w:t>
      </w:r>
      <w:r w:rsidR="009209DF">
        <w:rPr>
          <w:lang w:val="pl-PL"/>
        </w:rPr>
        <w:t> </w:t>
      </w:r>
      <w:r w:rsidR="004743DC">
        <w:rPr>
          <w:lang w:val="pl-PL"/>
        </w:rPr>
        <w:t xml:space="preserve">społeczeństwa. </w:t>
      </w:r>
    </w:p>
    <w:p w:rsidR="004743DC" w:rsidRPr="004743DC" w:rsidRDefault="004743DC">
      <w:pPr>
        <w:pStyle w:val="ClinContent"/>
        <w:rPr>
          <w:lang w:val="pl-PL"/>
        </w:rPr>
      </w:pPr>
      <w:r w:rsidRPr="004743DC">
        <w:rPr>
          <w:lang w:val="pl-PL"/>
        </w:rPr>
        <w:t xml:space="preserve">Art. 41: </w:t>
      </w:r>
      <w:r w:rsidR="00DD29A0" w:rsidRPr="004743DC">
        <w:rPr>
          <w:lang w:val="pl-PL"/>
        </w:rPr>
        <w:t xml:space="preserve">Stwierdzenie </w:t>
      </w:r>
      <w:r w:rsidRPr="004743DC">
        <w:rPr>
          <w:lang w:val="pl-PL"/>
        </w:rPr>
        <w:t>naruszenia stanowi wystarczające słuszne zadośćuczynienie w</w:t>
      </w:r>
      <w:r w:rsidR="009209DF">
        <w:rPr>
          <w:lang w:val="pl-PL"/>
        </w:rPr>
        <w:t> </w:t>
      </w:r>
      <w:r w:rsidRPr="004743DC">
        <w:rPr>
          <w:lang w:val="pl-PL"/>
        </w:rPr>
        <w:t>odniesieniu do szkody niemajątkowej</w:t>
      </w:r>
      <w:r w:rsidR="00DD29A0">
        <w:rPr>
          <w:lang w:val="pl-PL"/>
        </w:rPr>
        <w:t>.</w:t>
      </w:r>
    </w:p>
    <w:p w:rsidR="0005143A" w:rsidRPr="004743DC" w:rsidRDefault="00A77C20">
      <w:pPr>
        <w:pStyle w:val="ClinContent"/>
        <w:rPr>
          <w:lang w:val="pl-PL"/>
        </w:rPr>
      </w:pPr>
      <w:r w:rsidRPr="004743DC">
        <w:rPr>
          <w:lang w:val="pl-PL"/>
        </w:rPr>
        <w:t>(</w:t>
      </w:r>
      <w:r w:rsidR="004743DC" w:rsidRPr="004743DC">
        <w:rPr>
          <w:lang w:val="pl-PL"/>
        </w:rPr>
        <w:t xml:space="preserve">Zobacz również </w:t>
      </w:r>
      <w:r w:rsidR="00175B8E">
        <w:rPr>
          <w:lang w:val="pl-PL"/>
        </w:rPr>
        <w:t>z</w:t>
      </w:r>
      <w:r w:rsidR="004743DC" w:rsidRPr="004743DC">
        <w:rPr>
          <w:lang w:val="pl-PL"/>
        </w:rPr>
        <w:t xml:space="preserve">estawienie tematyczne </w:t>
      </w:r>
      <w:r w:rsidR="00BE15C7">
        <w:rPr>
          <w:lang w:val="pl-PL"/>
        </w:rPr>
        <w:t xml:space="preserve">pt. </w:t>
      </w:r>
      <w:hyperlink r:id="rId9" w:history="1">
        <w:r w:rsidR="00BE15C7">
          <w:rPr>
            <w:rStyle w:val="Hipercze"/>
            <w:lang w:val="pl-PL"/>
          </w:rPr>
          <w:t>Dożywotnie pozbawienie</w:t>
        </w:r>
        <w:r w:rsidR="004743DC">
          <w:rPr>
            <w:rStyle w:val="Hipercze"/>
            <w:lang w:val="pl-PL"/>
          </w:rPr>
          <w:t xml:space="preserve"> wolności</w:t>
        </w:r>
      </w:hyperlink>
      <w:r w:rsidRPr="004743DC">
        <w:rPr>
          <w:lang w:val="pl-PL"/>
        </w:rPr>
        <w:t>)</w:t>
      </w:r>
    </w:p>
    <w:p w:rsidR="0005143A" w:rsidRPr="004743DC" w:rsidRDefault="0005143A">
      <w:pPr>
        <w:pBdr>
          <w:bottom w:val="single" w:sz="8" w:space="1" w:color="auto"/>
        </w:pBdr>
        <w:rPr>
          <w:lang w:val="pl-PL"/>
        </w:rPr>
      </w:pPr>
    </w:p>
    <w:p w:rsidR="00087862" w:rsidRDefault="00087862" w:rsidP="00087862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05143A" w:rsidRDefault="00087862" w:rsidP="00087862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0" w:history="1">
        <w:r>
          <w:rPr>
            <w:rStyle w:val="Hipercze"/>
            <w:lang w:val="pl-PL"/>
          </w:rPr>
          <w:t>Not informacyjnych nt. orzecznictwa</w:t>
        </w:r>
      </w:hyperlink>
    </w:p>
    <w:p w:rsidR="008C5BC6" w:rsidRPr="00175F9F" w:rsidRDefault="008C5BC6" w:rsidP="008C5BC6">
      <w:pPr>
        <w:pStyle w:val="ClinFooter"/>
        <w:jc w:val="left"/>
        <w:rPr>
          <w:lang w:val="pl-PL"/>
        </w:rPr>
      </w:pPr>
    </w:p>
    <w:sectPr w:rsidR="008C5BC6" w:rsidRPr="00175F9F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F33" w:rsidRDefault="007A2F33" w:rsidP="00C63262">
      <w:r>
        <w:separator/>
      </w:r>
    </w:p>
  </w:endnote>
  <w:endnote w:type="continuationSeparator" w:id="0">
    <w:p w:rsidR="007A2F33" w:rsidRDefault="007A2F33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A0" w:rsidRDefault="00DD29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A0" w:rsidRDefault="00DD29A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F33" w:rsidRDefault="007A2F33" w:rsidP="00C63262">
      <w:r>
        <w:separator/>
      </w:r>
    </w:p>
  </w:footnote>
  <w:footnote w:type="continuationSeparator" w:id="0">
    <w:p w:rsidR="007A2F33" w:rsidRDefault="007A2F33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A0" w:rsidRDefault="00DD29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3B2737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3E7D"/>
    <w:rsid w:val="00037CCC"/>
    <w:rsid w:val="0005143A"/>
    <w:rsid w:val="00083A06"/>
    <w:rsid w:val="00087862"/>
    <w:rsid w:val="00097888"/>
    <w:rsid w:val="000A1E99"/>
    <w:rsid w:val="000A21B0"/>
    <w:rsid w:val="000B0339"/>
    <w:rsid w:val="000F13B5"/>
    <w:rsid w:val="00104B50"/>
    <w:rsid w:val="00107377"/>
    <w:rsid w:val="00120EEA"/>
    <w:rsid w:val="00143602"/>
    <w:rsid w:val="00175B8E"/>
    <w:rsid w:val="00175F9F"/>
    <w:rsid w:val="001769E4"/>
    <w:rsid w:val="00186560"/>
    <w:rsid w:val="001926F9"/>
    <w:rsid w:val="00212E83"/>
    <w:rsid w:val="002263F3"/>
    <w:rsid w:val="00264477"/>
    <w:rsid w:val="002966E7"/>
    <w:rsid w:val="002E088D"/>
    <w:rsid w:val="0030264F"/>
    <w:rsid w:val="00326923"/>
    <w:rsid w:val="003450B3"/>
    <w:rsid w:val="00386958"/>
    <w:rsid w:val="003A64A6"/>
    <w:rsid w:val="003B2737"/>
    <w:rsid w:val="003D7BB3"/>
    <w:rsid w:val="00412569"/>
    <w:rsid w:val="00424CB2"/>
    <w:rsid w:val="0046453F"/>
    <w:rsid w:val="004743DC"/>
    <w:rsid w:val="00484A77"/>
    <w:rsid w:val="004A5B52"/>
    <w:rsid w:val="004D568D"/>
    <w:rsid w:val="004E1037"/>
    <w:rsid w:val="0052092D"/>
    <w:rsid w:val="00540D75"/>
    <w:rsid w:val="005514E5"/>
    <w:rsid w:val="005F3650"/>
    <w:rsid w:val="006028A1"/>
    <w:rsid w:val="00620298"/>
    <w:rsid w:val="0062270A"/>
    <w:rsid w:val="00631A28"/>
    <w:rsid w:val="006A140F"/>
    <w:rsid w:val="006A36AD"/>
    <w:rsid w:val="006C1D96"/>
    <w:rsid w:val="0071773F"/>
    <w:rsid w:val="00774515"/>
    <w:rsid w:val="007A1AA7"/>
    <w:rsid w:val="007A2F33"/>
    <w:rsid w:val="007C524D"/>
    <w:rsid w:val="00895EF3"/>
    <w:rsid w:val="008C5BC6"/>
    <w:rsid w:val="008C64D5"/>
    <w:rsid w:val="00903D38"/>
    <w:rsid w:val="009129C7"/>
    <w:rsid w:val="009209DF"/>
    <w:rsid w:val="009B3B2C"/>
    <w:rsid w:val="009E3EF0"/>
    <w:rsid w:val="00A01052"/>
    <w:rsid w:val="00A04D9C"/>
    <w:rsid w:val="00A258BB"/>
    <w:rsid w:val="00A301F3"/>
    <w:rsid w:val="00A33541"/>
    <w:rsid w:val="00A45616"/>
    <w:rsid w:val="00A77C20"/>
    <w:rsid w:val="00AC7726"/>
    <w:rsid w:val="00B80CA0"/>
    <w:rsid w:val="00B85770"/>
    <w:rsid w:val="00BB3D36"/>
    <w:rsid w:val="00BE15C7"/>
    <w:rsid w:val="00BF1CD9"/>
    <w:rsid w:val="00C17B84"/>
    <w:rsid w:val="00C257B3"/>
    <w:rsid w:val="00C37433"/>
    <w:rsid w:val="00C63262"/>
    <w:rsid w:val="00C72355"/>
    <w:rsid w:val="00C93CFB"/>
    <w:rsid w:val="00CE0FEE"/>
    <w:rsid w:val="00CF7BA6"/>
    <w:rsid w:val="00D42086"/>
    <w:rsid w:val="00D425B3"/>
    <w:rsid w:val="00D864BB"/>
    <w:rsid w:val="00DA013D"/>
    <w:rsid w:val="00DD29A0"/>
    <w:rsid w:val="00E55491"/>
    <w:rsid w:val="00E62F0E"/>
    <w:rsid w:val="00E83DB6"/>
    <w:rsid w:val="00EA53E7"/>
    <w:rsid w:val="00F36543"/>
    <w:rsid w:val="00F508C9"/>
    <w:rsid w:val="00F50CCD"/>
    <w:rsid w:val="00F5247C"/>
    <w:rsid w:val="00F758C6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8786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87862"/>
  </w:style>
  <w:style w:type="paragraph" w:styleId="Tekstprzypisukocowego">
    <w:name w:val="endnote text"/>
    <w:basedOn w:val="Normalny"/>
    <w:link w:val="TekstprzypisukocowegoZnak"/>
    <w:semiHidden/>
    <w:unhideWhenUsed/>
    <w:rsid w:val="00F36543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36543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F365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8786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87862"/>
  </w:style>
  <w:style w:type="paragraph" w:styleId="Tekstprzypisukocowego">
    <w:name w:val="endnote text"/>
    <w:basedOn w:val="Normalny"/>
    <w:link w:val="TekstprzypisukocowegoZnak"/>
    <w:semiHidden/>
    <w:unhideWhenUsed/>
    <w:rsid w:val="00F36543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36543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F365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2237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chr.coe.int/Documents/FS_Life_sentences_ENG.pdf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1203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2020-07-31T16:27:00Z</dcterms:created>
  <dcterms:modified xsi:type="dcterms:W3CDTF">2020-07-31T16:27:00Z</dcterms:modified>
</cp:coreProperties>
</file>