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190C0D" w14:textId="77777777" w:rsidR="00DA5DE1" w:rsidRPr="00A5017E" w:rsidRDefault="00DA5DE1" w:rsidP="00A5017E">
      <w:pPr>
        <w:pStyle w:val="DecHCase"/>
      </w:pPr>
    </w:p>
    <w:p w14:paraId="74F041F6" w14:textId="2482822C" w:rsidR="00D51A4A" w:rsidRDefault="00BD42C6" w:rsidP="00A5017E">
      <w:pPr>
        <w:pStyle w:val="DecHCase"/>
      </w:pPr>
      <w:r>
        <w:t xml:space="preserve">EUROPEJSKI TRYBUNAŁ PRAW CZŁOWIEKA </w:t>
      </w:r>
    </w:p>
    <w:p w14:paraId="401F624B" w14:textId="77777777" w:rsidR="00DE61E0" w:rsidRPr="00A5017E" w:rsidRDefault="00BD42C6" w:rsidP="00A5017E">
      <w:pPr>
        <w:pStyle w:val="DecHCase"/>
      </w:pPr>
      <w:r>
        <w:t>SEKCJA PIERWSZA</w:t>
      </w:r>
    </w:p>
    <w:p w14:paraId="0F0AAEB1" w14:textId="77777777" w:rsidR="00864F9E" w:rsidRPr="00A5017E" w:rsidRDefault="00864F9E" w:rsidP="00A5017E">
      <w:pPr>
        <w:pStyle w:val="JuTitle"/>
      </w:pPr>
      <w:r>
        <w:t>SPRAWA ZBOROWSKI przeciwko POLSCE</w:t>
      </w:r>
    </w:p>
    <w:p w14:paraId="27DC6ECE" w14:textId="77777777" w:rsidR="00864F9E" w:rsidRPr="00A5017E" w:rsidRDefault="00864F9E" w:rsidP="00A5017E">
      <w:pPr>
        <w:pStyle w:val="ECHRCoverTitle4"/>
      </w:pPr>
      <w:r>
        <w:t>(Skarga nr </w:t>
      </w:r>
      <w:bookmarkStart w:id="0" w:name="_GoBack"/>
      <w:r>
        <w:t>72950/13</w:t>
      </w:r>
      <w:bookmarkEnd w:id="0"/>
      <w:r>
        <w:t>)</w:t>
      </w:r>
    </w:p>
    <w:p w14:paraId="4E9398A5" w14:textId="77777777" w:rsidR="00864F9E" w:rsidRPr="00A5017E" w:rsidRDefault="00864F9E" w:rsidP="00A5017E">
      <w:pPr>
        <w:pStyle w:val="DecHCase"/>
      </w:pPr>
    </w:p>
    <w:p w14:paraId="0F53DA8B" w14:textId="77777777" w:rsidR="00864F9E" w:rsidRPr="00A5017E" w:rsidRDefault="00864F9E" w:rsidP="00A5017E">
      <w:pPr>
        <w:pStyle w:val="DecHCase"/>
      </w:pPr>
    </w:p>
    <w:p w14:paraId="1EF3CFDA" w14:textId="77777777" w:rsidR="00864F9E" w:rsidRPr="00A5017E" w:rsidRDefault="00864F9E" w:rsidP="00A5017E">
      <w:pPr>
        <w:pStyle w:val="DecHCase"/>
      </w:pPr>
    </w:p>
    <w:p w14:paraId="0A79B15F" w14:textId="77777777" w:rsidR="00864F9E" w:rsidRPr="00A5017E" w:rsidRDefault="00864F9E" w:rsidP="00A5017E">
      <w:pPr>
        <w:pStyle w:val="DecHCase"/>
      </w:pPr>
    </w:p>
    <w:p w14:paraId="79962E73" w14:textId="77777777" w:rsidR="00864F9E" w:rsidRPr="00A5017E" w:rsidRDefault="00864F9E" w:rsidP="00A5017E">
      <w:pPr>
        <w:pStyle w:val="DecHCase"/>
      </w:pPr>
    </w:p>
    <w:p w14:paraId="1180E0AD" w14:textId="77777777" w:rsidR="00864F9E" w:rsidRPr="00A5017E" w:rsidRDefault="00864F9E" w:rsidP="00A5017E">
      <w:pPr>
        <w:pStyle w:val="DecHCase"/>
      </w:pPr>
    </w:p>
    <w:p w14:paraId="1837F9BC" w14:textId="77777777" w:rsidR="00F90739" w:rsidRPr="00A5017E" w:rsidRDefault="005246EB" w:rsidP="00A5017E">
      <w:pPr>
        <w:pStyle w:val="DecHCase"/>
      </w:pPr>
      <w:r>
        <w:t>WYROK</w:t>
      </w:r>
    </w:p>
    <w:p w14:paraId="36744D35" w14:textId="77777777" w:rsidR="005246EB" w:rsidRPr="00A5017E" w:rsidRDefault="005246EB" w:rsidP="00A5017E">
      <w:pPr>
        <w:pStyle w:val="DecHCase"/>
        <w:rPr>
          <w:b/>
        </w:rPr>
      </w:pPr>
      <w:r>
        <w:t>STRASBURG</w:t>
      </w:r>
    </w:p>
    <w:p w14:paraId="26C2AEAA" w14:textId="77777777" w:rsidR="005246EB" w:rsidRPr="00A5017E" w:rsidRDefault="005246EB" w:rsidP="00A5017E">
      <w:pPr>
        <w:pStyle w:val="DecHCase"/>
        <w:rPr>
          <w:b/>
        </w:rPr>
      </w:pPr>
    </w:p>
    <w:p w14:paraId="15B38361" w14:textId="77777777" w:rsidR="005246EB" w:rsidRPr="00A5017E" w:rsidRDefault="00A444BB" w:rsidP="00A5017E">
      <w:pPr>
        <w:pStyle w:val="DecHCase"/>
        <w:rPr>
          <w:b/>
        </w:rPr>
      </w:pPr>
      <w:r>
        <w:t>z dnia 26 marca 2020 r.</w:t>
      </w:r>
    </w:p>
    <w:p w14:paraId="22C3EEFD" w14:textId="77777777" w:rsidR="00A444BB" w:rsidRPr="00A5017E" w:rsidRDefault="00A444BB" w:rsidP="00A5017E">
      <w:pPr>
        <w:pStyle w:val="JuPara"/>
      </w:pPr>
    </w:p>
    <w:p w14:paraId="51B43614" w14:textId="77777777" w:rsidR="005246EB" w:rsidRPr="00A5017E" w:rsidRDefault="005246EB" w:rsidP="00A5017E">
      <w:pPr>
        <w:pStyle w:val="JuCase"/>
        <w:ind w:firstLine="0"/>
        <w:jc w:val="center"/>
        <w:rPr>
          <w:b w:val="0"/>
        </w:rPr>
      </w:pPr>
    </w:p>
    <w:p w14:paraId="098B72C3" w14:textId="77777777" w:rsidR="00864F9E" w:rsidRPr="00A5017E" w:rsidRDefault="00864F9E" w:rsidP="00A5017E">
      <w:pPr>
        <w:pStyle w:val="JuPara"/>
      </w:pPr>
    </w:p>
    <w:p w14:paraId="45BE5FFB" w14:textId="77777777" w:rsidR="005246EB" w:rsidRPr="00A5017E" w:rsidRDefault="005246EB" w:rsidP="00A5017E">
      <w:pPr>
        <w:pStyle w:val="JuCase"/>
        <w:ind w:firstLine="0"/>
        <w:jc w:val="both"/>
        <w:rPr>
          <w:b w:val="0"/>
          <w:i/>
          <w:sz w:val="22"/>
        </w:rPr>
      </w:pPr>
      <w:r>
        <w:rPr>
          <w:b w:val="0"/>
          <w:i/>
          <w:sz w:val="22"/>
        </w:rPr>
        <w:t>Niniejszy wyrok jest ostateczny, ale może podlegać korekcie wydawniczej.</w:t>
      </w:r>
    </w:p>
    <w:p w14:paraId="3375026A" w14:textId="77777777" w:rsidR="00A5017E" w:rsidRPr="00A5017E" w:rsidRDefault="00A5017E" w:rsidP="00A5017E">
      <w:pPr>
        <w:pStyle w:val="JuPara"/>
        <w:sectPr w:rsidR="00A5017E" w:rsidRPr="00A5017E" w:rsidSect="005246EB">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14:paraId="2AEA7B5E" w14:textId="77777777" w:rsidR="00DE61E0" w:rsidRPr="00A5017E" w:rsidRDefault="00DE61E0" w:rsidP="00A5017E">
      <w:pPr>
        <w:pStyle w:val="JuCase"/>
        <w:rPr>
          <w:b w:val="0"/>
          <w:bCs/>
        </w:rPr>
      </w:pPr>
      <w:r>
        <w:lastRenderedPageBreak/>
        <w:t>W sprawie Zborowski przeciwko Polsce</w:t>
      </w:r>
    </w:p>
    <w:p w14:paraId="008B9D58" w14:textId="77777777" w:rsidR="00DE61E0" w:rsidRPr="00A5017E" w:rsidRDefault="00DE61E0" w:rsidP="00A5017E">
      <w:pPr>
        <w:pStyle w:val="JuPara"/>
        <w:rPr>
          <w:b/>
        </w:rPr>
      </w:pPr>
      <w:r>
        <w:t>Europejski Trybunał Praw Człowieka (Sekcja Pierwsza), zasiadając jako Komitet w składzie:</w:t>
      </w:r>
    </w:p>
    <w:p w14:paraId="071FE46E" w14:textId="56CE37E8" w:rsidR="001A1FAB" w:rsidRPr="00A5017E" w:rsidRDefault="00A444BB" w:rsidP="00A5017E">
      <w:pPr>
        <w:pStyle w:val="JuJudges"/>
      </w:pPr>
      <w:r>
        <w:tab/>
      </w:r>
      <w:proofErr w:type="spellStart"/>
      <w:r>
        <w:t>Pere</w:t>
      </w:r>
      <w:proofErr w:type="spellEnd"/>
      <w:r>
        <w:t xml:space="preserve"> Pastor </w:t>
      </w:r>
      <w:proofErr w:type="spellStart"/>
      <w:r>
        <w:t>Vilanova</w:t>
      </w:r>
      <w:proofErr w:type="spellEnd"/>
      <w:r>
        <w:t>,</w:t>
      </w:r>
      <w:r>
        <w:rPr>
          <w:i/>
        </w:rPr>
        <w:t xml:space="preserve"> Przewodnicząc</w:t>
      </w:r>
      <w:r w:rsidR="00C82708">
        <w:rPr>
          <w:i/>
        </w:rPr>
        <w:t>y</w:t>
      </w:r>
      <w:r>
        <w:rPr>
          <w:i/>
        </w:rPr>
        <w:t>,</w:t>
      </w:r>
      <w:r>
        <w:rPr>
          <w:i/>
        </w:rPr>
        <w:br/>
      </w:r>
      <w:r>
        <w:tab/>
        <w:t xml:space="preserve">Krzysztof </w:t>
      </w:r>
      <w:proofErr w:type="spellStart"/>
      <w:r>
        <w:t>Wojtyczek</w:t>
      </w:r>
      <w:proofErr w:type="spellEnd"/>
      <w:r>
        <w:t>,</w:t>
      </w:r>
      <w:r>
        <w:rPr>
          <w:i/>
        </w:rPr>
        <w:br/>
      </w:r>
      <w:r>
        <w:tab/>
      </w:r>
      <w:proofErr w:type="spellStart"/>
      <w:r>
        <w:t>Pauliine</w:t>
      </w:r>
      <w:proofErr w:type="spellEnd"/>
      <w:r>
        <w:t xml:space="preserve"> </w:t>
      </w:r>
      <w:proofErr w:type="spellStart"/>
      <w:r>
        <w:t>Koskelo</w:t>
      </w:r>
      <w:proofErr w:type="spellEnd"/>
      <w:r>
        <w:t>,</w:t>
      </w:r>
      <w:r>
        <w:rPr>
          <w:i/>
        </w:rPr>
        <w:t xml:space="preserve"> sędziowie,</w:t>
      </w:r>
    </w:p>
    <w:p w14:paraId="6D8B10EC" w14:textId="77777777" w:rsidR="00DE61E0" w:rsidRPr="00A5017E" w:rsidRDefault="00DE61E0" w:rsidP="00A5017E">
      <w:pPr>
        <w:pStyle w:val="JuJudges"/>
      </w:pPr>
      <w:r>
        <w:t xml:space="preserve">oraz Renata </w:t>
      </w:r>
      <w:proofErr w:type="spellStart"/>
      <w:r>
        <w:t>Degener</w:t>
      </w:r>
      <w:proofErr w:type="spellEnd"/>
      <w:r>
        <w:t xml:space="preserve">, </w:t>
      </w:r>
      <w:r>
        <w:rPr>
          <w:i/>
          <w:iCs/>
        </w:rPr>
        <w:t>Zastępczyni Kanclerza Sekcji</w:t>
      </w:r>
      <w:r>
        <w:rPr>
          <w:i/>
        </w:rPr>
        <w:t>,</w:t>
      </w:r>
    </w:p>
    <w:p w14:paraId="0B152596" w14:textId="404390F4" w:rsidR="00DE61E0" w:rsidRPr="00A5017E" w:rsidRDefault="00DE61E0" w:rsidP="00A5017E">
      <w:pPr>
        <w:pStyle w:val="JuPara"/>
      </w:pPr>
      <w:r>
        <w:t>obradując na posiedzeniu niejawnym w dniu 3 marca 2020 r.,</w:t>
      </w:r>
    </w:p>
    <w:p w14:paraId="454FA051" w14:textId="77777777" w:rsidR="00DE61E0" w:rsidRPr="00A5017E" w:rsidRDefault="00DE61E0" w:rsidP="00A5017E">
      <w:pPr>
        <w:pStyle w:val="JuPara"/>
      </w:pPr>
      <w:r>
        <w:t>wydaje następujący wyrok, który został przyjęty w tym dniu:</w:t>
      </w:r>
    </w:p>
    <w:p w14:paraId="1AC61F71" w14:textId="77777777" w:rsidR="00DE61E0" w:rsidRPr="00A5017E" w:rsidRDefault="00DE61E0" w:rsidP="00A5017E">
      <w:pPr>
        <w:pStyle w:val="JuHHead"/>
      </w:pPr>
      <w:r>
        <w:t>POSTĘPOWANIE</w:t>
      </w:r>
    </w:p>
    <w:p w14:paraId="3DB0E7A0" w14:textId="77777777" w:rsidR="00C44CB6" w:rsidRPr="00A5017E" w:rsidRDefault="00473C29" w:rsidP="00A5017E">
      <w:pPr>
        <w:pStyle w:val="JuPara"/>
      </w:pPr>
      <w:r>
        <w:fldChar w:fldCharType="begin"/>
      </w:r>
      <w:r>
        <w:instrText xml:space="preserve"> S</w:instrText>
      </w:r>
      <w:r>
        <w:instrText xml:space="preserve">EQ level0 \*arabic </w:instrText>
      </w:r>
      <w:r>
        <w:fldChar w:fldCharType="separate"/>
      </w:r>
      <w:r w:rsidR="00D51A4A">
        <w:rPr>
          <w:noProof/>
        </w:rPr>
        <w:t>1</w:t>
      </w:r>
      <w:r>
        <w:rPr>
          <w:noProof/>
        </w:rPr>
        <w:fldChar w:fldCharType="end"/>
      </w:r>
      <w:r w:rsidR="00BD42C6">
        <w:t>.  Sprawa wywodzi się ze skargi (nr 72950/13) przeciwko Rzeczypospolitej Polskiej, wniesionej do Trybunału w dniu 4 listopada 2013 r. na podstawie art. 34 Konwencji o ochronie praw człowieka i podstawowych wolności („Konwencji”) przez obywatela polskiego p. Mirosława Zborowskiego („skarżącego”).</w:t>
      </w:r>
    </w:p>
    <w:p w14:paraId="46B2BA18" w14:textId="77777777" w:rsidR="00C44CB6" w:rsidRPr="00A5017E" w:rsidRDefault="00473C29" w:rsidP="00A5017E">
      <w:pPr>
        <w:pStyle w:val="JuPara"/>
      </w:pPr>
      <w:r>
        <w:fldChar w:fldCharType="begin"/>
      </w:r>
      <w:r>
        <w:instrText xml:space="preserve"> SEQ level0 \*arabic </w:instrText>
      </w:r>
      <w:r>
        <w:fldChar w:fldCharType="separate"/>
      </w:r>
      <w:r w:rsidR="00D51A4A">
        <w:rPr>
          <w:noProof/>
        </w:rPr>
        <w:t>2</w:t>
      </w:r>
      <w:r>
        <w:rPr>
          <w:noProof/>
        </w:rPr>
        <w:fldChar w:fldCharType="end"/>
      </w:r>
      <w:r w:rsidR="00BD42C6">
        <w:t>.  Rząd polski („Rząd”) reprezentowany był przez swojego pełnomocnika, p. J. Chrzanowską, a następnie przez p. J. Sobczaka z Ministerstwa Spraw Zagranicznych.</w:t>
      </w:r>
    </w:p>
    <w:p w14:paraId="519A03CF" w14:textId="77777777" w:rsidR="00DE61E0" w:rsidRPr="00A5017E" w:rsidRDefault="00473C29" w:rsidP="00A5017E">
      <w:pPr>
        <w:pStyle w:val="JuPara"/>
      </w:pPr>
      <w:r>
        <w:fldChar w:fldCharType="begin"/>
      </w:r>
      <w:r>
        <w:instrText xml:space="preserve"> SEQ lev</w:instrText>
      </w:r>
      <w:r>
        <w:instrText xml:space="preserve">el0 \*arabic </w:instrText>
      </w:r>
      <w:r>
        <w:fldChar w:fldCharType="separate"/>
      </w:r>
      <w:r w:rsidR="00D51A4A">
        <w:rPr>
          <w:noProof/>
        </w:rPr>
        <w:t>3</w:t>
      </w:r>
      <w:r>
        <w:rPr>
          <w:noProof/>
        </w:rPr>
        <w:fldChar w:fldCharType="end"/>
      </w:r>
      <w:r w:rsidR="00BD42C6">
        <w:t>.  W dniu 7 lipca 2015 r. sprawa została zakomunikowana Rządowi.</w:t>
      </w:r>
    </w:p>
    <w:p w14:paraId="1C90F4EB" w14:textId="77777777" w:rsidR="00DE61E0" w:rsidRPr="00A5017E" w:rsidRDefault="00DE61E0" w:rsidP="00A5017E">
      <w:pPr>
        <w:pStyle w:val="JuHHead"/>
      </w:pPr>
      <w:r>
        <w:t>STAN FAKTYCZNY</w:t>
      </w:r>
    </w:p>
    <w:p w14:paraId="00109140" w14:textId="77777777" w:rsidR="00DE61E0" w:rsidRPr="00A5017E" w:rsidRDefault="00DE61E0" w:rsidP="00A5017E">
      <w:pPr>
        <w:pStyle w:val="JuHIRoman"/>
      </w:pPr>
      <w:r>
        <w:t>OKOLICZNOŚCI SPRAWY</w:t>
      </w:r>
    </w:p>
    <w:p w14:paraId="16A0E85E" w14:textId="77777777" w:rsidR="00DE61E0" w:rsidRPr="00A5017E" w:rsidRDefault="00473C29" w:rsidP="00A5017E">
      <w:pPr>
        <w:pStyle w:val="JuPara"/>
      </w:pPr>
      <w:r>
        <w:fldChar w:fldCharType="begin"/>
      </w:r>
      <w:r>
        <w:instrText xml:space="preserve"> SEQ level0 \*arabic </w:instrText>
      </w:r>
      <w:r>
        <w:fldChar w:fldCharType="separate"/>
      </w:r>
      <w:r w:rsidR="00D51A4A">
        <w:rPr>
          <w:noProof/>
        </w:rPr>
        <w:t>4</w:t>
      </w:r>
      <w:r>
        <w:rPr>
          <w:noProof/>
        </w:rPr>
        <w:fldChar w:fldCharType="end"/>
      </w:r>
      <w:r w:rsidR="00BD42C6">
        <w:t>.  Skarżący urodził się w 1958 r. i mieszka w Poznaniu.</w:t>
      </w:r>
    </w:p>
    <w:p w14:paraId="35FF26C2" w14:textId="77777777" w:rsidR="00EB0BDE" w:rsidRPr="00A5017E" w:rsidRDefault="00D86FF6" w:rsidP="00A5017E">
      <w:pPr>
        <w:pStyle w:val="JuHA"/>
      </w:pPr>
      <w:r>
        <w:t>Postępowanie karne prowadzone przeciwko skarżącemu</w:t>
      </w:r>
    </w:p>
    <w:bookmarkStart w:id="1" w:name="startproceedings"/>
    <w:p w14:paraId="187EA1FC" w14:textId="19BD3121" w:rsidR="00C44CB6" w:rsidRPr="00A5017E" w:rsidRDefault="00BD42C6" w:rsidP="00A5017E">
      <w:pPr>
        <w:pStyle w:val="JuPara"/>
      </w:pPr>
      <w:r w:rsidRPr="00A5017E">
        <w:fldChar w:fldCharType="begin"/>
      </w:r>
      <w:r w:rsidRPr="00A5017E">
        <w:instrText xml:space="preserve"> SEQ level0 \*arabic </w:instrText>
      </w:r>
      <w:r w:rsidRPr="00A5017E">
        <w:fldChar w:fldCharType="separate"/>
      </w:r>
      <w:r w:rsidR="00D51A4A">
        <w:rPr>
          <w:noProof/>
        </w:rPr>
        <w:t>5</w:t>
      </w:r>
      <w:r w:rsidRPr="00A5017E">
        <w:fldChar w:fldCharType="end"/>
      </w:r>
      <w:bookmarkEnd w:id="1"/>
      <w:r>
        <w:t xml:space="preserve">.  W dniu 17 stycznia 2001 r. skarżący został </w:t>
      </w:r>
      <w:r w:rsidR="000B7479">
        <w:t xml:space="preserve">zatrzymany </w:t>
      </w:r>
      <w:r>
        <w:t xml:space="preserve">przez </w:t>
      </w:r>
      <w:r w:rsidR="000B7479">
        <w:t>P</w:t>
      </w:r>
      <w:r>
        <w:t xml:space="preserve">olicję i </w:t>
      </w:r>
      <w:r w:rsidR="000B7479">
        <w:t xml:space="preserve">osadzony </w:t>
      </w:r>
      <w:r>
        <w:t>w areszcie</w:t>
      </w:r>
      <w:r w:rsidR="000B7479">
        <w:t xml:space="preserve"> śledczym</w:t>
      </w:r>
      <w:r>
        <w:t xml:space="preserve">. Postawiono mu liczne zarzuty </w:t>
      </w:r>
      <w:r w:rsidR="000B7479">
        <w:t>oszustwa</w:t>
      </w:r>
      <w:r>
        <w:t xml:space="preserve">, </w:t>
      </w:r>
      <w:r w:rsidR="000B7479">
        <w:t xml:space="preserve">którego miał </w:t>
      </w:r>
      <w:r>
        <w:t>dopuści</w:t>
      </w:r>
      <w:r w:rsidR="000B7479">
        <w:t>ć</w:t>
      </w:r>
      <w:r>
        <w:t xml:space="preserve"> się </w:t>
      </w:r>
      <w:r w:rsidR="000B7479">
        <w:t xml:space="preserve">w związku z </w:t>
      </w:r>
      <w:r>
        <w:t>postępowani</w:t>
      </w:r>
      <w:r w:rsidR="000B7479">
        <w:t>em</w:t>
      </w:r>
      <w:r>
        <w:t xml:space="preserve"> </w:t>
      </w:r>
      <w:r w:rsidR="000B7479">
        <w:t>spadkowym</w:t>
      </w:r>
      <w:r>
        <w:t>, fałszowani</w:t>
      </w:r>
      <w:r w:rsidR="000B7479">
        <w:t>em</w:t>
      </w:r>
      <w:r>
        <w:t xml:space="preserve"> testamentów oraz </w:t>
      </w:r>
      <w:r w:rsidR="003D6B61">
        <w:t>składaniem fałszywych zeznań/wyjaśnień</w:t>
      </w:r>
      <w:r>
        <w:t xml:space="preserve">. Skarżący przebywał w areszcie </w:t>
      </w:r>
      <w:r w:rsidR="000B7479">
        <w:t xml:space="preserve">śledczym </w:t>
      </w:r>
      <w:r>
        <w:t xml:space="preserve">przez </w:t>
      </w:r>
      <w:r w:rsidR="000B7479">
        <w:t xml:space="preserve">łączny okres czterech </w:t>
      </w:r>
      <w:r>
        <w:t>lat.</w:t>
      </w:r>
    </w:p>
    <w:p w14:paraId="4D190914" w14:textId="0680F73B" w:rsidR="00C44CB6" w:rsidRPr="00A5017E" w:rsidRDefault="00473C29" w:rsidP="00A5017E">
      <w:pPr>
        <w:pStyle w:val="JuPara"/>
      </w:pPr>
      <w:r>
        <w:fldChar w:fldCharType="begin"/>
      </w:r>
      <w:r>
        <w:instrText xml:space="preserve"> SEQ level0 \*arabic </w:instrText>
      </w:r>
      <w:r>
        <w:fldChar w:fldCharType="separate"/>
      </w:r>
      <w:r w:rsidR="00D51A4A">
        <w:rPr>
          <w:noProof/>
        </w:rPr>
        <w:t>6</w:t>
      </w:r>
      <w:r>
        <w:rPr>
          <w:noProof/>
        </w:rPr>
        <w:fldChar w:fldCharType="end"/>
      </w:r>
      <w:r w:rsidR="00C65375">
        <w:t xml:space="preserve">.  W dniu 5 listopada 2001 r. </w:t>
      </w:r>
      <w:r w:rsidR="000B7479">
        <w:t xml:space="preserve">w sprawie </w:t>
      </w:r>
      <w:r w:rsidR="00C65375">
        <w:t xml:space="preserve">skarżącego </w:t>
      </w:r>
      <w:r w:rsidR="000B7479">
        <w:t xml:space="preserve">do Sądu </w:t>
      </w:r>
      <w:r w:rsidR="00C65375">
        <w:t>Okręgow</w:t>
      </w:r>
      <w:r w:rsidR="000B7479">
        <w:t>ego</w:t>
      </w:r>
      <w:r w:rsidR="00C65375">
        <w:t xml:space="preserve"> w Poznaniu</w:t>
      </w:r>
      <w:r w:rsidR="000B7479">
        <w:t xml:space="preserve"> przesłano akt oskarżenia</w:t>
      </w:r>
      <w:r w:rsidR="00C65375">
        <w:t xml:space="preserve">. Podczas rozprawy sąd </w:t>
      </w:r>
      <w:r w:rsidR="004B7995">
        <w:t xml:space="preserve">przeprowadził </w:t>
      </w:r>
      <w:r w:rsidR="00C65375">
        <w:t xml:space="preserve">dowód z </w:t>
      </w:r>
      <w:r w:rsidR="004B7995">
        <w:t xml:space="preserve">opinii biegłego </w:t>
      </w:r>
      <w:r w:rsidR="00C65375">
        <w:t>psychiatry w odniesieniu do pozostałych oskarżonych. W dniu 23 kwietnia 2004 r. Sąd Rejonowy w Szamotułach, któremu w międzyczasie przekazano sprawę do rozpoznania, wydał wyrok. W dniu 14 stycznia 2005 r. Sąd Okręgowy w Poznaniu uchylił zaskarżony wyrok i przekazał sprawę do ponownego rozpoznania.</w:t>
      </w:r>
    </w:p>
    <w:p w14:paraId="547E1783" w14:textId="7DFC2604" w:rsidR="00C341C8" w:rsidRPr="00A5017E" w:rsidRDefault="00473C29" w:rsidP="00A5017E">
      <w:pPr>
        <w:pStyle w:val="JuPara"/>
      </w:pPr>
      <w:r>
        <w:lastRenderedPageBreak/>
        <w:fldChar w:fldCharType="begin"/>
      </w:r>
      <w:r>
        <w:instrText xml:space="preserve"> SEQ level0 \*arabic </w:instrText>
      </w:r>
      <w:r>
        <w:fldChar w:fldCharType="separate"/>
      </w:r>
      <w:r w:rsidR="00D51A4A">
        <w:rPr>
          <w:noProof/>
        </w:rPr>
        <w:t>7</w:t>
      </w:r>
      <w:r>
        <w:rPr>
          <w:noProof/>
        </w:rPr>
        <w:fldChar w:fldCharType="end"/>
      </w:r>
      <w:r w:rsidR="00C65375">
        <w:t>.  W dniu 26 czerwca 2007 r. Sąd Rejonowy w Szamotułach wydał kolejny wyrok, który w dniu 12 lutego 2009 r</w:t>
      </w:r>
      <w:r w:rsidR="004B7995">
        <w:t>.</w:t>
      </w:r>
      <w:r w:rsidR="00C65375">
        <w:t xml:space="preserve"> Sąd Okręgowy w Poznaniu </w:t>
      </w:r>
      <w:r w:rsidR="004B7995">
        <w:t xml:space="preserve">utrzymał w mocy </w:t>
      </w:r>
      <w:r w:rsidR="00C65375">
        <w:t>wskutek apelacji. Skarżący wniósł skargę kasacyjną.</w:t>
      </w:r>
    </w:p>
    <w:p w14:paraId="0458CEDD" w14:textId="4D4B51C7" w:rsidR="00DE61E0" w:rsidRPr="00A5017E" w:rsidRDefault="00473C29" w:rsidP="00A5017E">
      <w:pPr>
        <w:pStyle w:val="JuPara"/>
      </w:pPr>
      <w:r>
        <w:fldChar w:fldCharType="begin"/>
      </w:r>
      <w:r>
        <w:instrText xml:space="preserve"> SEQ level0 \*arabic </w:instrText>
      </w:r>
      <w:r>
        <w:fldChar w:fldCharType="separate"/>
      </w:r>
      <w:r w:rsidR="00D51A4A">
        <w:rPr>
          <w:noProof/>
        </w:rPr>
        <w:t>8</w:t>
      </w:r>
      <w:r>
        <w:rPr>
          <w:noProof/>
        </w:rPr>
        <w:fldChar w:fldCharType="end"/>
      </w:r>
      <w:r w:rsidR="00C65375">
        <w:t xml:space="preserve">.  W dniu 14 stycznia 2010 r. Sąd Najwyższy uchylił orzeczenie Sądu Okręgowego i </w:t>
      </w:r>
      <w:r w:rsidR="004B7995">
        <w:t xml:space="preserve">przekazał </w:t>
      </w:r>
      <w:r w:rsidR="00C65375">
        <w:t>sprawę do ponownego rozpoznania.</w:t>
      </w:r>
    </w:p>
    <w:p w14:paraId="5E04B8B1" w14:textId="3C547091" w:rsidR="00C341C8" w:rsidRPr="00A5017E" w:rsidRDefault="00473C29" w:rsidP="00A5017E">
      <w:pPr>
        <w:pStyle w:val="JuPara"/>
      </w:pPr>
      <w:r>
        <w:fldChar w:fldCharType="begin"/>
      </w:r>
      <w:r>
        <w:instrText xml:space="preserve"> SEQ level0 </w:instrText>
      </w:r>
      <w:r>
        <w:instrText xml:space="preserve">\*arabic </w:instrText>
      </w:r>
      <w:r>
        <w:fldChar w:fldCharType="separate"/>
      </w:r>
      <w:r w:rsidR="00D51A4A">
        <w:rPr>
          <w:noProof/>
        </w:rPr>
        <w:t>9</w:t>
      </w:r>
      <w:r>
        <w:rPr>
          <w:noProof/>
        </w:rPr>
        <w:fldChar w:fldCharType="end"/>
      </w:r>
      <w:r w:rsidR="00E21A95">
        <w:t>.  W dniu 9 maja 2011 r.</w:t>
      </w:r>
      <w:r w:rsidR="004B7995">
        <w:t>, po</w:t>
      </w:r>
      <w:r w:rsidR="00E21A95">
        <w:t xml:space="preserve"> </w:t>
      </w:r>
      <w:r w:rsidR="004B7995">
        <w:t xml:space="preserve">ponownym </w:t>
      </w:r>
      <w:r w:rsidR="00E21A95">
        <w:t>rozpoznani</w:t>
      </w:r>
      <w:r w:rsidR="004B7995">
        <w:t>u</w:t>
      </w:r>
      <w:r w:rsidR="00E21A95">
        <w:t xml:space="preserve"> sprawy, Sąd Okręgowy wydał orzeczenie w sprawie, częściowo zmieniając swój poprzedni wyrok.</w:t>
      </w:r>
    </w:p>
    <w:p w14:paraId="762E5848" w14:textId="1B6BBD76" w:rsidR="00C341C8" w:rsidRPr="00A5017E" w:rsidRDefault="00473C29" w:rsidP="00A5017E">
      <w:pPr>
        <w:pStyle w:val="JuPara"/>
      </w:pPr>
      <w:r>
        <w:fldChar w:fldCharType="begin"/>
      </w:r>
      <w:r>
        <w:instrText xml:space="preserve"> SEQ level0 \*arabic </w:instrText>
      </w:r>
      <w:r>
        <w:fldChar w:fldCharType="separate"/>
      </w:r>
      <w:r w:rsidR="00D51A4A">
        <w:rPr>
          <w:noProof/>
        </w:rPr>
        <w:t>10</w:t>
      </w:r>
      <w:r>
        <w:rPr>
          <w:noProof/>
        </w:rPr>
        <w:fldChar w:fldCharType="end"/>
      </w:r>
      <w:r w:rsidR="00E21A95">
        <w:t>.  W</w:t>
      </w:r>
      <w:r w:rsidR="004B7995">
        <w:t>skutek</w:t>
      </w:r>
      <w:r w:rsidR="00E21A95">
        <w:t xml:space="preserve"> złożenia przez skarżącego kolejnej skargi kasacyjnej, </w:t>
      </w:r>
      <w:r w:rsidR="004B7995">
        <w:t xml:space="preserve">w </w:t>
      </w:r>
      <w:r w:rsidR="00E21A95">
        <w:t xml:space="preserve">dniu 17 maja 2012 r. Sąd Najwyższy </w:t>
      </w:r>
      <w:r w:rsidR="004B7995">
        <w:t xml:space="preserve">w części </w:t>
      </w:r>
      <w:r w:rsidR="00E21A95">
        <w:t>uchylił</w:t>
      </w:r>
      <w:r w:rsidR="004B7995">
        <w:t xml:space="preserve">, a </w:t>
      </w:r>
      <w:r w:rsidR="00E21A95">
        <w:t>w części utrzymał w mocy orzeczenie Sądu Okręgowego.</w:t>
      </w:r>
    </w:p>
    <w:p w14:paraId="6AFDB744" w14:textId="04D42809" w:rsidR="00C44CB6" w:rsidRPr="00A5017E" w:rsidRDefault="00473C29" w:rsidP="00A5017E">
      <w:pPr>
        <w:pStyle w:val="JuPara"/>
      </w:pPr>
      <w:r>
        <w:fldChar w:fldCharType="begin"/>
      </w:r>
      <w:r>
        <w:instrText xml:space="preserve"> SEQ level0 \*arabic </w:instrText>
      </w:r>
      <w:r>
        <w:fldChar w:fldCharType="separate"/>
      </w:r>
      <w:r w:rsidR="00D51A4A">
        <w:rPr>
          <w:noProof/>
        </w:rPr>
        <w:t>11</w:t>
      </w:r>
      <w:r>
        <w:rPr>
          <w:noProof/>
        </w:rPr>
        <w:fldChar w:fldCharType="end"/>
      </w:r>
      <w:r w:rsidR="00E21A95">
        <w:t xml:space="preserve">.  W dniu 19 grudnia 2012 r. Sąd Okręgowy w Poznaniu wydał czwarty wyrok w sprawie przeciwko skarżącemu. W dniu 19 lutego 2013 r. skarżącemu doręczono odpis orzeczenia z uzasadnieniem. W marcu 2013 r. skarżący a następnie jego </w:t>
      </w:r>
      <w:r w:rsidR="004B7995">
        <w:t xml:space="preserve">obrońca </w:t>
      </w:r>
      <w:r w:rsidR="00E21A95">
        <w:t xml:space="preserve">wnieśli skargi kasacyjne. Sporządzoną przez skarżącego skargę kasacyjną zwrócono, ponieważ nie została podpisana przez </w:t>
      </w:r>
      <w:r w:rsidR="004B7995">
        <w:t>pełnomocnika</w:t>
      </w:r>
      <w:r w:rsidR="00E21A95">
        <w:t>, a następnie ją odrzucono. W dni</w:t>
      </w:r>
      <w:r w:rsidR="004B7995">
        <w:t>ach</w:t>
      </w:r>
      <w:r w:rsidR="00E21A95">
        <w:t xml:space="preserve"> 4 kwietnia i 6 maja 2013 r. </w:t>
      </w:r>
      <w:r w:rsidR="004B7995">
        <w:t xml:space="preserve">sąd oddalił </w:t>
      </w:r>
      <w:r w:rsidR="00E21A95">
        <w:t xml:space="preserve">złożone przez skarżącego wnioski o </w:t>
      </w:r>
      <w:r w:rsidR="004B7995">
        <w:t xml:space="preserve">wyznaczenie obrońcy </w:t>
      </w:r>
      <w:r w:rsidR="00E21A95">
        <w:t xml:space="preserve">z urzędu. Skarga kasacyjna wniesiona przez </w:t>
      </w:r>
      <w:r w:rsidR="004B7995">
        <w:t xml:space="preserve">obrońcę </w:t>
      </w:r>
      <w:r w:rsidR="00E21A95">
        <w:t xml:space="preserve">skarżącego została uwzględniona i </w:t>
      </w:r>
      <w:r w:rsidR="004B7995">
        <w:t>przekazana</w:t>
      </w:r>
      <w:r w:rsidR="00E21A95">
        <w:t xml:space="preserve"> Sąd</w:t>
      </w:r>
      <w:r w:rsidR="004B7995">
        <w:t>owi</w:t>
      </w:r>
      <w:r w:rsidR="00E21A95">
        <w:t xml:space="preserve"> </w:t>
      </w:r>
      <w:r w:rsidR="004B7995">
        <w:t xml:space="preserve">Najwyższemu </w:t>
      </w:r>
      <w:r w:rsidR="00E21A95">
        <w:t>w dniu 7 lipca 2013 r.</w:t>
      </w:r>
    </w:p>
    <w:bookmarkStart w:id="2" w:name="supremecourtjudgment"/>
    <w:p w14:paraId="226CA850" w14:textId="77777777" w:rsidR="002C41A1" w:rsidRPr="00A5017E" w:rsidRDefault="002C41A1" w:rsidP="00A5017E">
      <w:pPr>
        <w:pStyle w:val="JuPara"/>
      </w:pPr>
      <w:r w:rsidRPr="00A5017E">
        <w:fldChar w:fldCharType="begin"/>
      </w:r>
      <w:r w:rsidRPr="00A5017E">
        <w:instrText xml:space="preserve"> SEQ level0 \*arabic </w:instrText>
      </w:r>
      <w:r w:rsidRPr="00A5017E">
        <w:fldChar w:fldCharType="separate"/>
      </w:r>
      <w:r w:rsidR="00D51A4A">
        <w:rPr>
          <w:noProof/>
        </w:rPr>
        <w:t>12</w:t>
      </w:r>
      <w:r w:rsidRPr="00A5017E">
        <w:fldChar w:fldCharType="end"/>
      </w:r>
      <w:bookmarkEnd w:id="2"/>
      <w:r>
        <w:t>.  W dniu 12 grudnia 2013 r. Sąd Najwyższy oddalił skargę kasacyjną.</w:t>
      </w:r>
    </w:p>
    <w:p w14:paraId="3D81BB3C" w14:textId="5A108C21" w:rsidR="008E2773" w:rsidRPr="00A5017E" w:rsidRDefault="008E2773" w:rsidP="00A5017E">
      <w:pPr>
        <w:pStyle w:val="JuHA"/>
      </w:pPr>
      <w:r>
        <w:t xml:space="preserve">Postępowanie </w:t>
      </w:r>
      <w:r w:rsidR="004B7995">
        <w:t>prowadzone</w:t>
      </w:r>
      <w:r>
        <w:t xml:space="preserve"> na gruncie ustawy z 2004 r.</w:t>
      </w:r>
    </w:p>
    <w:p w14:paraId="34F8D326" w14:textId="38D5D846" w:rsidR="00E737A0" w:rsidRPr="00A5017E" w:rsidRDefault="00473C29" w:rsidP="00A5017E">
      <w:pPr>
        <w:pStyle w:val="JuPara"/>
        <w:rPr>
          <w:color w:val="000000"/>
        </w:rPr>
      </w:pPr>
      <w:r>
        <w:fldChar w:fldCharType="begin"/>
      </w:r>
      <w:r>
        <w:instrText xml:space="preserve"> SEQ level0 \*arabic </w:instrText>
      </w:r>
      <w:r>
        <w:fldChar w:fldCharType="separate"/>
      </w:r>
      <w:r w:rsidR="00D51A4A">
        <w:rPr>
          <w:noProof/>
        </w:rPr>
        <w:t>13</w:t>
      </w:r>
      <w:r>
        <w:rPr>
          <w:noProof/>
        </w:rPr>
        <w:fldChar w:fldCharType="end"/>
      </w:r>
      <w:r w:rsidR="008E2773">
        <w:t xml:space="preserve">.  W dniu 3 czerwca 2013 r. skarżący wniósł </w:t>
      </w:r>
      <w:r w:rsidR="004B7995">
        <w:t xml:space="preserve">do Sądu Okręgowego w Gliwicach </w:t>
      </w:r>
      <w:r w:rsidR="008E2773">
        <w:t>skargę na gruncie ustawy z dnia 17 czerwca 2004 r. o skardze na naruszenie prawa strony do rozpoznania sprawy w postępowaniu sądowym bez nieuzasadnionej zwłoki („ustawa z 2004 r.”).</w:t>
      </w:r>
      <w:r w:rsidR="008E2773">
        <w:rPr>
          <w:color w:val="000000"/>
        </w:rPr>
        <w:t xml:space="preserve"> Skarżący zarzucał w szczególności, iż Sąd Okręgowy </w:t>
      </w:r>
      <w:r w:rsidR="004B7995">
        <w:rPr>
          <w:color w:val="000000"/>
        </w:rPr>
        <w:t xml:space="preserve">dopuścił się </w:t>
      </w:r>
      <w:r w:rsidR="008E2773">
        <w:rPr>
          <w:color w:val="000000"/>
        </w:rPr>
        <w:t>zwłok</w:t>
      </w:r>
      <w:r w:rsidR="00C259F8">
        <w:rPr>
          <w:color w:val="000000"/>
        </w:rPr>
        <w:t>i</w:t>
      </w:r>
      <w:r w:rsidR="008E2773">
        <w:rPr>
          <w:color w:val="000000"/>
        </w:rPr>
        <w:t xml:space="preserve"> w przekazaniu skargi kasacyjnej do Sądu Najwyższego. Zarzucał ponadto przewlekłe prowadzenie </w:t>
      </w:r>
      <w:r w:rsidR="00C259F8">
        <w:rPr>
          <w:color w:val="000000"/>
        </w:rPr>
        <w:t xml:space="preserve">wobec </w:t>
      </w:r>
      <w:r w:rsidR="008E2773">
        <w:rPr>
          <w:color w:val="000000"/>
        </w:rPr>
        <w:t>nie</w:t>
      </w:r>
      <w:r w:rsidR="00C259F8">
        <w:rPr>
          <w:color w:val="000000"/>
        </w:rPr>
        <w:t>go</w:t>
      </w:r>
      <w:r w:rsidR="008E2773">
        <w:rPr>
          <w:color w:val="000000"/>
        </w:rPr>
        <w:t xml:space="preserve"> postępowania karnego i domagał się kwoty 20 000 PLN tytułem zadośćuczynienia.</w:t>
      </w:r>
    </w:p>
    <w:p w14:paraId="48C9374A" w14:textId="36A031DD" w:rsidR="00C44CB6" w:rsidRPr="00A5017E" w:rsidRDefault="008E2773" w:rsidP="00A5017E">
      <w:pPr>
        <w:pStyle w:val="JuPara"/>
        <w:rPr>
          <w:color w:val="000000"/>
        </w:rPr>
      </w:pPr>
      <w:r w:rsidRPr="00A5017E">
        <w:rPr>
          <w:color w:val="000000"/>
        </w:rPr>
        <w:fldChar w:fldCharType="begin"/>
      </w:r>
      <w:r w:rsidRPr="00A5017E">
        <w:rPr>
          <w:color w:val="000000"/>
        </w:rPr>
        <w:instrText xml:space="preserve"> SEQ level0 \*arabic </w:instrText>
      </w:r>
      <w:r w:rsidRPr="00A5017E">
        <w:rPr>
          <w:color w:val="000000"/>
        </w:rPr>
        <w:fldChar w:fldCharType="separate"/>
      </w:r>
      <w:r w:rsidR="00D51A4A">
        <w:rPr>
          <w:noProof/>
          <w:color w:val="000000"/>
        </w:rPr>
        <w:t>14</w:t>
      </w:r>
      <w:r w:rsidRPr="00A5017E">
        <w:rPr>
          <w:color w:val="000000"/>
        </w:rPr>
        <w:fldChar w:fldCharType="end"/>
      </w:r>
      <w:r>
        <w:rPr>
          <w:color w:val="000000"/>
        </w:rPr>
        <w:t xml:space="preserve">.  Postanowieniem z dnia 22 sierpnia 2013 r. (sygn. </w:t>
      </w:r>
      <w:r w:rsidR="00C259F8">
        <w:rPr>
          <w:color w:val="000000"/>
        </w:rPr>
        <w:t>a</w:t>
      </w:r>
      <w:r>
        <w:rPr>
          <w:color w:val="000000"/>
        </w:rPr>
        <w:t>kt II</w:t>
      </w:r>
      <w:r w:rsidR="00EC786E">
        <w:rPr>
          <w:color w:val="000000"/>
        </w:rPr>
        <w:t xml:space="preserve"> S</w:t>
      </w:r>
      <w:r>
        <w:rPr>
          <w:color w:val="000000"/>
        </w:rPr>
        <w:t xml:space="preserve"> 19/13) Sąd Apelacyjny w Poznaniu pozostawił skargę bez rozpoznania w części dotyczącej długości postępowania karnego w okresie do dnia 19 grudnia 2012 r., gdy wydano orzeczenie w drugiej instancji. Sąd odniósł się do interpretacji potwierdzonej przez Sąd Najwyższy w przyjętej uchwale („uchwała z 2013 r.”) oraz uznał, iż właściwą skargę wniesioną na gruncie art. 5 ustawy z 2014 r. można było wnieść wyłącznie w toku właściwego postępowania – przed wydaniem orzeczenia przez sąd drugiej instancji. Z tych względów etap postępowania kasacyjnego powinien zostać uznany za odrębne postępowanie. W niniejszej sprawie skarga na gruncie ustawy z 2004 r. w odniesieniu do postępowania głównego została wniesiona zbyt </w:t>
      </w:r>
      <w:r>
        <w:rPr>
          <w:color w:val="000000"/>
        </w:rPr>
        <w:lastRenderedPageBreak/>
        <w:t>późno</w:t>
      </w:r>
      <w:r w:rsidR="00C259F8">
        <w:rPr>
          <w:color w:val="000000"/>
        </w:rPr>
        <w:t xml:space="preserve">, w związku z czym </w:t>
      </w:r>
      <w:r>
        <w:rPr>
          <w:color w:val="000000"/>
        </w:rPr>
        <w:t xml:space="preserve">pozostawiono </w:t>
      </w:r>
      <w:r w:rsidR="00C259F8">
        <w:rPr>
          <w:color w:val="000000"/>
        </w:rPr>
        <w:t xml:space="preserve">ją </w:t>
      </w:r>
      <w:r>
        <w:rPr>
          <w:color w:val="000000"/>
        </w:rPr>
        <w:t xml:space="preserve">bez rozpoznania. Sąd następnie oddalił skargę z powodu </w:t>
      </w:r>
      <w:r w:rsidR="00C259F8">
        <w:rPr>
          <w:color w:val="000000"/>
        </w:rPr>
        <w:t>prowadzonego</w:t>
      </w:r>
      <w:r>
        <w:rPr>
          <w:color w:val="000000"/>
        </w:rPr>
        <w:t xml:space="preserve"> w późniejszym okresie postępowania przed Sądem Najwyższym. Uznał</w:t>
      </w:r>
      <w:r w:rsidR="00C259F8">
        <w:rPr>
          <w:color w:val="000000"/>
        </w:rPr>
        <w:t>, że</w:t>
      </w:r>
      <w:r>
        <w:rPr>
          <w:color w:val="000000"/>
        </w:rPr>
        <w:t xml:space="preserve"> </w:t>
      </w:r>
      <w:r w:rsidR="00C259F8">
        <w:rPr>
          <w:color w:val="000000"/>
        </w:rPr>
        <w:t xml:space="preserve">skarżący ponosił </w:t>
      </w:r>
      <w:r>
        <w:rPr>
          <w:color w:val="000000"/>
        </w:rPr>
        <w:t>odpowiedzialn</w:t>
      </w:r>
      <w:r w:rsidR="00C259F8">
        <w:rPr>
          <w:color w:val="000000"/>
        </w:rPr>
        <w:t>ość</w:t>
      </w:r>
      <w:r>
        <w:rPr>
          <w:color w:val="000000"/>
        </w:rPr>
        <w:t xml:space="preserve"> za zwłokę, ponieważ wielokrotnie wnosił o ustanowienie dla</w:t>
      </w:r>
      <w:r w:rsidR="00C259F8">
        <w:rPr>
          <w:color w:val="000000"/>
        </w:rPr>
        <w:t>ń obrońcy</w:t>
      </w:r>
      <w:r>
        <w:rPr>
          <w:color w:val="000000"/>
        </w:rPr>
        <w:t xml:space="preserve"> z urzędu, mimo iż był już reprezentowany przez </w:t>
      </w:r>
      <w:r w:rsidR="00C259F8">
        <w:rPr>
          <w:color w:val="000000"/>
        </w:rPr>
        <w:t>obrońcę z wyboru</w:t>
      </w:r>
      <w:r>
        <w:rPr>
          <w:color w:val="000000"/>
        </w:rPr>
        <w:t>.</w:t>
      </w:r>
    </w:p>
    <w:p w14:paraId="6A5AED98" w14:textId="77777777" w:rsidR="008E2773" w:rsidRPr="00A5017E" w:rsidRDefault="00AC6065" w:rsidP="00A5017E">
      <w:pPr>
        <w:pStyle w:val="JuHIRoman"/>
      </w:pPr>
      <w:r>
        <w:t>WŁAŚCIWE PRAWO KRAJOWE I PRAKTYKA</w:t>
      </w:r>
    </w:p>
    <w:p w14:paraId="3D59C6A5" w14:textId="570B4477" w:rsidR="008E2773" w:rsidRPr="00A5017E" w:rsidRDefault="00473C29" w:rsidP="00A5017E">
      <w:pPr>
        <w:pStyle w:val="JuPara"/>
      </w:pPr>
      <w:r>
        <w:fldChar w:fldCharType="begin"/>
      </w:r>
      <w:r>
        <w:instrText xml:space="preserve"> SEQ level0 \*arabic </w:instrText>
      </w:r>
      <w:r>
        <w:fldChar w:fldCharType="separate"/>
      </w:r>
      <w:r w:rsidR="00D51A4A">
        <w:rPr>
          <w:noProof/>
        </w:rPr>
        <w:t>15</w:t>
      </w:r>
      <w:r>
        <w:rPr>
          <w:noProof/>
        </w:rPr>
        <w:fldChar w:fldCharType="end"/>
      </w:r>
      <w:r w:rsidR="008E2773">
        <w:t xml:space="preserve">.  Szczegółowy opis właściwego prawa krajowego i praktyki dotyczących środków zaradczych </w:t>
      </w:r>
      <w:r w:rsidR="00C259F8">
        <w:t xml:space="preserve">związanych z </w:t>
      </w:r>
      <w:r w:rsidR="008E2773">
        <w:t>przewlekłości</w:t>
      </w:r>
      <w:r w:rsidR="00C259F8">
        <w:t>ą</w:t>
      </w:r>
      <w:r w:rsidR="008E2773">
        <w:t xml:space="preserve"> postępowania sądowego – w szczególności odpowiednie przepisy ustawy z 2004 r. – znalazł się w wydanych przez Trybunał decyzjach w sprawach </w:t>
      </w:r>
      <w:r w:rsidR="008E2773">
        <w:rPr>
          <w:i/>
        </w:rPr>
        <w:t>Charzyński przeciwko Polsce</w:t>
      </w:r>
      <w:r w:rsidR="008E2773">
        <w:t xml:space="preserve"> ((</w:t>
      </w:r>
      <w:proofErr w:type="spellStart"/>
      <w:r w:rsidR="008E2773">
        <w:t>dec</w:t>
      </w:r>
      <w:proofErr w:type="spellEnd"/>
      <w:r w:rsidR="008E2773">
        <w:t xml:space="preserve">.), skarga nr 15212/03, §§ 12–23, ETPCz 2005-V), </w:t>
      </w:r>
      <w:r w:rsidR="008E2773">
        <w:rPr>
          <w:i/>
        </w:rPr>
        <w:t>Ratajczyk przeciwko Polsce</w:t>
      </w:r>
      <w:r w:rsidR="008E2773">
        <w:t xml:space="preserve"> ((</w:t>
      </w:r>
      <w:proofErr w:type="spellStart"/>
      <w:r w:rsidR="008E2773">
        <w:t>dec</w:t>
      </w:r>
      <w:proofErr w:type="spellEnd"/>
      <w:r w:rsidR="008E2773">
        <w:t xml:space="preserve">.), skarga nr 11215/02, ETPCz 2005-VIII), w wyrokach wydanych w sprawach </w:t>
      </w:r>
      <w:proofErr w:type="spellStart"/>
      <w:r w:rsidR="008E2773">
        <w:rPr>
          <w:i/>
        </w:rPr>
        <w:t>Krasuski</w:t>
      </w:r>
      <w:proofErr w:type="spellEnd"/>
      <w:r w:rsidR="008E2773">
        <w:rPr>
          <w:i/>
        </w:rPr>
        <w:t xml:space="preserve"> przeciwko Polsce</w:t>
      </w:r>
      <w:r w:rsidR="008E2773">
        <w:t xml:space="preserve"> (skarga nr 61444/00, §§ 34–46, ETPCz 2005-V) oraz w ostatnim czasie w sprawach </w:t>
      </w:r>
      <w:r w:rsidR="008E2773">
        <w:rPr>
          <w:i/>
        </w:rPr>
        <w:t xml:space="preserve">Rutkowski </w:t>
      </w:r>
      <w:r w:rsidR="008E2773" w:rsidRPr="002C6F45">
        <w:rPr>
          <w:i/>
          <w:iCs/>
        </w:rPr>
        <w:t>i Inni przeciwko Polsce</w:t>
      </w:r>
      <w:r w:rsidR="008E2773">
        <w:t xml:space="preserve"> (skargi nr  72287/10, 13927/11</w:t>
      </w:r>
      <w:r w:rsidR="00C259F8">
        <w:t xml:space="preserve"> oraz </w:t>
      </w:r>
      <w:r w:rsidR="00C259F8" w:rsidRPr="00A5017E">
        <w:t>46187/11</w:t>
      </w:r>
      <w:r w:rsidR="008E2773">
        <w:t>, §§ 75–107, wyrok z dnia 7 lipca 2015 r.)</w:t>
      </w:r>
    </w:p>
    <w:p w14:paraId="38268D65" w14:textId="77777777" w:rsidR="008E2773" w:rsidRPr="00A5017E" w:rsidRDefault="008E2773" w:rsidP="00A5017E">
      <w:pPr>
        <w:pStyle w:val="JuHHead"/>
      </w:pPr>
      <w:r>
        <w:t>PRAWO</w:t>
      </w:r>
    </w:p>
    <w:p w14:paraId="3A0B3349" w14:textId="77777777" w:rsidR="008E2773" w:rsidRPr="00A5017E" w:rsidRDefault="008E2773" w:rsidP="00A5017E">
      <w:pPr>
        <w:pStyle w:val="JuHIRoman"/>
      </w:pPr>
      <w:r>
        <w:t>ZARZUCANE NARUSZENIE ART. 6 UST. 1 KONWENCJI</w:t>
      </w:r>
    </w:p>
    <w:p w14:paraId="5ABB37F5" w14:textId="77777777" w:rsidR="008E2773" w:rsidRPr="00A5017E" w:rsidRDefault="00473C29" w:rsidP="00A5017E">
      <w:pPr>
        <w:pStyle w:val="JuPara"/>
      </w:pPr>
      <w:r>
        <w:fldChar w:fldCharType="begin"/>
      </w:r>
      <w:r>
        <w:instrText xml:space="preserve"> SEQ level0 \*arabic </w:instrText>
      </w:r>
      <w:r>
        <w:fldChar w:fldCharType="separate"/>
      </w:r>
      <w:r w:rsidR="00D51A4A">
        <w:rPr>
          <w:noProof/>
        </w:rPr>
        <w:t>16</w:t>
      </w:r>
      <w:r>
        <w:rPr>
          <w:noProof/>
        </w:rPr>
        <w:fldChar w:fldCharType="end"/>
      </w:r>
      <w:r w:rsidR="008E2773">
        <w:t>.  Skarżący zarzucił, iż długość prowadzonego postępowania była niezgodna z wymogiem „rozsądnego terminu” przewidzianym w art. 6 ust. 1 Konwencji, który stanowi:</w:t>
      </w:r>
    </w:p>
    <w:p w14:paraId="5B5E93EF" w14:textId="77777777" w:rsidR="00774737" w:rsidRPr="00A5017E" w:rsidRDefault="00774737" w:rsidP="00A5017E">
      <w:pPr>
        <w:pStyle w:val="JuQuot"/>
      </w:pPr>
      <w:r>
        <w:t>„Każdy ma prawo do […] rozpatrzenia jego sprawy w rozsądnym terminie przez […] sąd […] przy rozstrzyganiu o zasadności każdego oskarżenia w wytoczonej przeciwko niemu sprawie karnej […]”.</w:t>
      </w:r>
    </w:p>
    <w:p w14:paraId="565E212C" w14:textId="77777777" w:rsidR="008E2773" w:rsidRPr="00A5017E" w:rsidRDefault="00473C29" w:rsidP="00A5017E">
      <w:pPr>
        <w:pStyle w:val="JuPara"/>
      </w:pPr>
      <w:r>
        <w:fldChar w:fldCharType="begin"/>
      </w:r>
      <w:r>
        <w:instrText xml:space="preserve"> SEQ level0 \*arabic </w:instrText>
      </w:r>
      <w:r>
        <w:fldChar w:fldCharType="separate"/>
      </w:r>
      <w:r w:rsidR="00D51A4A">
        <w:rPr>
          <w:noProof/>
        </w:rPr>
        <w:t>17</w:t>
      </w:r>
      <w:r>
        <w:rPr>
          <w:noProof/>
        </w:rPr>
        <w:fldChar w:fldCharType="end"/>
      </w:r>
      <w:r w:rsidR="008E2773">
        <w:t>.  Rząd zakwestionował ten zarzut.</w:t>
      </w:r>
    </w:p>
    <w:p w14:paraId="742B7DA8" w14:textId="43549EEA" w:rsidR="008E2773" w:rsidRPr="00A5017E" w:rsidRDefault="00473C29" w:rsidP="00A5017E">
      <w:pPr>
        <w:pStyle w:val="JuPara"/>
      </w:pPr>
      <w:r>
        <w:fldChar w:fldCharType="begin"/>
      </w:r>
      <w:r>
        <w:instrText xml:space="preserve"> SEQ level0 \*arabic </w:instrText>
      </w:r>
      <w:r>
        <w:fldChar w:fldCharType="separate"/>
      </w:r>
      <w:r w:rsidR="00D51A4A">
        <w:rPr>
          <w:noProof/>
        </w:rPr>
        <w:t>18</w:t>
      </w:r>
      <w:r>
        <w:rPr>
          <w:noProof/>
        </w:rPr>
        <w:fldChar w:fldCharType="end"/>
      </w:r>
      <w:r w:rsidR="008E2773">
        <w:t>.  Okres, który należy wziąć pod uwagę</w:t>
      </w:r>
      <w:r w:rsidR="00C259F8">
        <w:t>,</w:t>
      </w:r>
      <w:r w:rsidR="008E2773">
        <w:t xml:space="preserve"> </w:t>
      </w:r>
      <w:r w:rsidR="00C259F8">
        <w:t>trwał od</w:t>
      </w:r>
      <w:r w:rsidR="008E2773">
        <w:t xml:space="preserve"> dni</w:t>
      </w:r>
      <w:r w:rsidR="00C259F8">
        <w:t>a</w:t>
      </w:r>
      <w:r w:rsidR="008E2773">
        <w:t xml:space="preserve"> 17 stycznia 2001 r. </w:t>
      </w:r>
      <w:r w:rsidR="00C259F8">
        <w:t>do</w:t>
      </w:r>
      <w:r w:rsidR="008E2773">
        <w:t xml:space="preserve"> dni</w:t>
      </w:r>
      <w:r w:rsidR="00C259F8">
        <w:t>a</w:t>
      </w:r>
      <w:r w:rsidR="008E2773">
        <w:t xml:space="preserve"> 12 grudnia 2013 r. (zob. par. 5 i 12 powyżej). Tym samym </w:t>
      </w:r>
      <w:r w:rsidR="002F386D">
        <w:t>postępowanie w trzech instancjach prowadzono przez okres</w:t>
      </w:r>
      <w:r w:rsidR="008E2773">
        <w:t xml:space="preserve"> niemal 13 lat.</w:t>
      </w:r>
    </w:p>
    <w:p w14:paraId="43808CB8" w14:textId="77777777" w:rsidR="008E2773" w:rsidRPr="00A5017E" w:rsidRDefault="008E2773" w:rsidP="00A5017E">
      <w:pPr>
        <w:pStyle w:val="JuHA"/>
      </w:pPr>
      <w:r>
        <w:t>Dopuszczalność</w:t>
      </w:r>
    </w:p>
    <w:p w14:paraId="35A33DE5" w14:textId="052EE6CD" w:rsidR="008E2773" w:rsidRPr="00A5017E" w:rsidRDefault="00473C29" w:rsidP="00A5017E">
      <w:pPr>
        <w:pStyle w:val="JuPara"/>
      </w:pPr>
      <w:r>
        <w:fldChar w:fldCharType="begin"/>
      </w:r>
      <w:r>
        <w:instrText xml:space="preserve"> SEQ level0 \*arabic </w:instrText>
      </w:r>
      <w:r>
        <w:fldChar w:fldCharType="separate"/>
      </w:r>
      <w:r w:rsidR="00D51A4A">
        <w:rPr>
          <w:noProof/>
        </w:rPr>
        <w:t>19</w:t>
      </w:r>
      <w:r>
        <w:rPr>
          <w:noProof/>
        </w:rPr>
        <w:fldChar w:fldCharType="end"/>
      </w:r>
      <w:r w:rsidR="008E2773">
        <w:t xml:space="preserve">.  Rząd wyraził wstępne zastrzeżenie dotyczące niewyczerpania krajowych środków odwoławczych. </w:t>
      </w:r>
      <w:r w:rsidR="002F386D">
        <w:t>Twierdził</w:t>
      </w:r>
      <w:r w:rsidR="008E2773">
        <w:t xml:space="preserve">, iż skarżący nie wniósł skargi na przewlekłość postępowania na gruncie ustawy z 2004 r. w czasie, gdy przed sądami pierwszej i drugiej instancji toczyły się postępowania w jego sprawie. Rząd </w:t>
      </w:r>
      <w:r w:rsidR="002F386D">
        <w:t>zauważył</w:t>
      </w:r>
      <w:r w:rsidR="008E2773">
        <w:t xml:space="preserve">, iż na gruncie prawa krajowego skargę można było wnieść wyłącznie „w toku postępowania”, a skarżący wniósł skargę po zakończeniu postępowania. Na gruncie polskiego prawa karnego postępowanie zakończone orzeczeniem wydanym w drugiej instancji na </w:t>
      </w:r>
      <w:r w:rsidR="008E2773">
        <w:lastRenderedPageBreak/>
        <w:t>etapie postępowania kasacyjnego stanowi odrębne postępowanie. W związku z powyższym skarżący nie spełnił wymogów formalnych określonych przez prawo krajowe. Ponadto miał możliwość skorzystania z innego środka odwoławczego, po zakończeniu postępowania</w:t>
      </w:r>
      <w:r w:rsidR="002F386D">
        <w:t>, a mianowicie z</w:t>
      </w:r>
      <w:r w:rsidR="008E2773">
        <w:t xml:space="preserve"> wniesienia powództwa cywilnego na gruncie art. 417 </w:t>
      </w:r>
      <w:r w:rsidR="00EC786E">
        <w:t>K</w:t>
      </w:r>
      <w:r w:rsidR="008E2773">
        <w:t>odeksu cywilnego.</w:t>
      </w:r>
    </w:p>
    <w:p w14:paraId="528A45DE" w14:textId="0F5A64C0" w:rsidR="00EB0BDE" w:rsidRPr="00A5017E" w:rsidRDefault="00473C29" w:rsidP="00A5017E">
      <w:pPr>
        <w:pStyle w:val="JuPara"/>
      </w:pPr>
      <w:r>
        <w:fldChar w:fldCharType="begin"/>
      </w:r>
      <w:r>
        <w:instrText xml:space="preserve"> SEQ level0 \*arabic </w:instrText>
      </w:r>
      <w:r>
        <w:fldChar w:fldCharType="separate"/>
      </w:r>
      <w:r w:rsidR="00D51A4A">
        <w:rPr>
          <w:noProof/>
        </w:rPr>
        <w:t>20</w:t>
      </w:r>
      <w:r>
        <w:rPr>
          <w:noProof/>
        </w:rPr>
        <w:fldChar w:fldCharType="end"/>
      </w:r>
      <w:r w:rsidR="008E2773">
        <w:t xml:space="preserve">.  Skarżący zakwestionował zastrzeżenia Rządu. Twierdził, że postępowanie w jego sprawie zakończyło się orzeczeniem wydanym przez Sąd Najwyższy oraz że stanowisko to </w:t>
      </w:r>
      <w:r w:rsidR="002F386D">
        <w:t xml:space="preserve">było </w:t>
      </w:r>
      <w:r w:rsidR="008E2773">
        <w:t>wielokrotnie potwierdz</w:t>
      </w:r>
      <w:r w:rsidR="002F386D">
        <w:t>a</w:t>
      </w:r>
      <w:r w:rsidR="008E2773">
        <w:t>ne przez Trybunał. Mimo, że Trybunał niezmiennie sprzeciwia się fragmentaryzacji postępowań, sprawa skarżącego pokazuje,</w:t>
      </w:r>
      <w:r w:rsidR="00084CB3">
        <w:t xml:space="preserve"> </w:t>
      </w:r>
      <w:r w:rsidR="008E2773">
        <w:t xml:space="preserve">iż polskie sądy nadal stosują tę praktykę. W uchwale Sądu Najwyższego z 2013 r. nie uznano jednoznacznego orzecznictwa Trybunału, w którym wskazano, iż etap postępowania kasacyjnego należy uznać za część </w:t>
      </w:r>
      <w:r w:rsidR="00CD2BB1">
        <w:t xml:space="preserve">całego </w:t>
      </w:r>
      <w:r w:rsidR="008E2773">
        <w:t>postępowania. Odnośnie do możliwości wniesienia powództwa do sądu cywilnego po zakończeniu postępowania, skarżący uznał, że taki środek odwoławczy nie byłby skuteczny w jego sprawie oraz że nie zapewniłby mu wystarczającego zadośćuczynienia.</w:t>
      </w:r>
    </w:p>
    <w:p w14:paraId="1DA74106" w14:textId="1CB617CF" w:rsidR="00774737" w:rsidRPr="00A5017E" w:rsidRDefault="00473C29" w:rsidP="00A5017E">
      <w:pPr>
        <w:pStyle w:val="JuPara"/>
      </w:pPr>
      <w:r>
        <w:fldChar w:fldCharType="begin"/>
      </w:r>
      <w:r>
        <w:instrText xml:space="preserve"> SEQ level0 \*arabic </w:instrText>
      </w:r>
      <w:r>
        <w:fldChar w:fldCharType="separate"/>
      </w:r>
      <w:r w:rsidR="00D51A4A">
        <w:rPr>
          <w:noProof/>
        </w:rPr>
        <w:t>21</w:t>
      </w:r>
      <w:r>
        <w:rPr>
          <w:noProof/>
        </w:rPr>
        <w:fldChar w:fldCharType="end"/>
      </w:r>
      <w:r w:rsidR="00595E46">
        <w:t xml:space="preserve">.  W tym </w:t>
      </w:r>
      <w:r w:rsidR="00CD2BB1">
        <w:t xml:space="preserve">zakresie należy </w:t>
      </w:r>
      <w:r w:rsidR="00595E46">
        <w:t xml:space="preserve">przypomnieć, iż w wyroku pilotażowym w sprawie </w:t>
      </w:r>
      <w:r w:rsidR="00595E46">
        <w:rPr>
          <w:i/>
          <w:iCs/>
        </w:rPr>
        <w:t xml:space="preserve">Rutkowski </w:t>
      </w:r>
      <w:r w:rsidR="00595E46">
        <w:t xml:space="preserve">Trybunał stwierdził, że praktyka krajowa zwana „fragmentaryzacją postępowań” stanowi jeden z problemów natury systemowej środka kompensacyjnego wprowadzonego ustawą z 2004 r. Fragmentaryzacja polega na tym, że sądy nie </w:t>
      </w:r>
      <w:r w:rsidR="00CD2BB1">
        <w:t xml:space="preserve">oceniały </w:t>
      </w:r>
      <w:r w:rsidR="00595E46">
        <w:t xml:space="preserve">postępowań w całości, co miało decydujący wpływ na rozstrzygnięcia w sprawach powództw o zadośćuczynienie, które oddalano w całości uznając je za nieuzasadnione albo </w:t>
      </w:r>
      <w:r w:rsidR="00CD2BB1">
        <w:t xml:space="preserve">uwzględniano </w:t>
      </w:r>
      <w:r w:rsidR="00595E46">
        <w:t xml:space="preserve">jedynie w części (zob. </w:t>
      </w:r>
      <w:r w:rsidR="00595E46">
        <w:rPr>
          <w:i/>
          <w:iCs/>
        </w:rPr>
        <w:t>Rutkowski i Inni</w:t>
      </w:r>
      <w:r w:rsidR="00595E46">
        <w:t xml:space="preserve">, </w:t>
      </w:r>
      <w:r w:rsidR="00595E46" w:rsidRPr="00084CB3">
        <w:rPr>
          <w:i/>
        </w:rPr>
        <w:t>op.</w:t>
      </w:r>
      <w:r w:rsidR="002C6F45">
        <w:rPr>
          <w:i/>
        </w:rPr>
        <w:t xml:space="preserve"> </w:t>
      </w:r>
      <w:r w:rsidR="00595E46" w:rsidRPr="00084CB3">
        <w:rPr>
          <w:i/>
        </w:rPr>
        <w:t>cit</w:t>
      </w:r>
      <w:r w:rsidR="00595E46">
        <w:t>., § 181).</w:t>
      </w:r>
    </w:p>
    <w:p w14:paraId="347641D2" w14:textId="0AE1C7CE" w:rsidR="008E2773" w:rsidRPr="00A5017E" w:rsidRDefault="00473C29" w:rsidP="00A5017E">
      <w:pPr>
        <w:pStyle w:val="JuPara"/>
      </w:pPr>
      <w:r>
        <w:fldChar w:fldCharType="begin"/>
      </w:r>
      <w:r>
        <w:instrText xml:space="preserve"> SEQ level0 \*arabic </w:instrText>
      </w:r>
      <w:r>
        <w:fldChar w:fldCharType="separate"/>
      </w:r>
      <w:r w:rsidR="00D51A4A">
        <w:rPr>
          <w:noProof/>
        </w:rPr>
        <w:t>22</w:t>
      </w:r>
      <w:r>
        <w:rPr>
          <w:noProof/>
        </w:rPr>
        <w:fldChar w:fldCharType="end"/>
      </w:r>
      <w:r w:rsidR="008E2773">
        <w:t xml:space="preserve">.  Trybunał stwierdza, iż niniejsza sprawa dotyczy </w:t>
      </w:r>
      <w:r w:rsidR="00CD2BB1">
        <w:t>głównie kwestii</w:t>
      </w:r>
      <w:r w:rsidR="008E2773">
        <w:t xml:space="preserve">, czy w </w:t>
      </w:r>
      <w:r w:rsidR="00CD2BB1">
        <w:t xml:space="preserve">związku z </w:t>
      </w:r>
      <w:r w:rsidR="008E2773">
        <w:t>postępowani</w:t>
      </w:r>
      <w:r w:rsidR="00CD2BB1">
        <w:t>em</w:t>
      </w:r>
      <w:r w:rsidR="008E2773">
        <w:t xml:space="preserve"> w przedmiocie skargi wniesionej na podstawie ustawy z 2004 r., gdy jednocześnie przed Sądem Najwyższym toczy się postępowanie</w:t>
      </w:r>
      <w:r w:rsidR="00CD2BB1">
        <w:t xml:space="preserve"> główne</w:t>
      </w:r>
      <w:r w:rsidR="008E2773">
        <w:t xml:space="preserve">, należałoby stwierdzić, iż skarżący wyczerpał krajowe środki odwoławcze. Kwestia wyczerpania krajowych środków odwoławczych jest tym samym nierozerwalnie związana z przedmiotem skargi na przewlekłość prowadzonego </w:t>
      </w:r>
      <w:r w:rsidR="00CD2BB1">
        <w:t>wobec skarżącego postępowania karnego</w:t>
      </w:r>
      <w:r w:rsidR="008E2773">
        <w:t xml:space="preserve">. Aby uniknąć przesądzania o powyższym, obie kwestie należy </w:t>
      </w:r>
      <w:r w:rsidR="00CD2BB1">
        <w:t xml:space="preserve">ocenić </w:t>
      </w:r>
      <w:r w:rsidR="008E2773">
        <w:t xml:space="preserve">łącznie. W związku z powyższym Trybunał uznaje, iż kwestię wyczerpania krajowych środków odwoławczych należy </w:t>
      </w:r>
      <w:r w:rsidR="00CD2BB1">
        <w:t>objąć</w:t>
      </w:r>
      <w:r w:rsidR="008E2773">
        <w:t xml:space="preserve"> przedmiot</w:t>
      </w:r>
      <w:r w:rsidR="00CD2BB1">
        <w:t>em</w:t>
      </w:r>
      <w:r w:rsidR="008E2773">
        <w:t xml:space="preserve"> skargi.</w:t>
      </w:r>
    </w:p>
    <w:p w14:paraId="37C7E96F" w14:textId="12BAECAD" w:rsidR="008E2773" w:rsidRPr="00A5017E" w:rsidRDefault="00473C29" w:rsidP="00A5017E">
      <w:pPr>
        <w:pStyle w:val="JuPara"/>
      </w:pPr>
      <w:r>
        <w:fldChar w:fldCharType="begin"/>
      </w:r>
      <w:r>
        <w:instrText xml:space="preserve"> SEQ level0 \*arabic </w:instrText>
      </w:r>
      <w:r>
        <w:fldChar w:fldCharType="separate"/>
      </w:r>
      <w:r w:rsidR="00D51A4A">
        <w:rPr>
          <w:noProof/>
        </w:rPr>
        <w:t>23</w:t>
      </w:r>
      <w:r>
        <w:rPr>
          <w:noProof/>
        </w:rPr>
        <w:fldChar w:fldCharType="end"/>
      </w:r>
      <w:r w:rsidR="008E2773">
        <w:t xml:space="preserve">.  Trybunał zauważa, że skarga ta nie jest w sposób oczywisty nieuzasadniona w rozumieniu art. 35 ust. 3 lit. a Konwencji. Ponadto </w:t>
      </w:r>
      <w:r w:rsidR="00CD2BB1">
        <w:t>zauważa</w:t>
      </w:r>
      <w:r w:rsidR="008E2773">
        <w:t>, że nie jest ona też niedopuszczalna na żadnej innej podstawie. Tym samym należy uznać ją za dopuszczalną.</w:t>
      </w:r>
    </w:p>
    <w:p w14:paraId="0B53207E" w14:textId="77777777" w:rsidR="008E2773" w:rsidRPr="00A5017E" w:rsidRDefault="008E2773" w:rsidP="00A5017E">
      <w:pPr>
        <w:pStyle w:val="JuHA"/>
      </w:pPr>
      <w:r>
        <w:lastRenderedPageBreak/>
        <w:t>Przedmiot skargi</w:t>
      </w:r>
    </w:p>
    <w:p w14:paraId="0F123B19" w14:textId="5BF9D126" w:rsidR="008E2773" w:rsidRPr="00A5017E" w:rsidRDefault="00473C29" w:rsidP="00A5017E">
      <w:pPr>
        <w:pStyle w:val="JuPara"/>
      </w:pPr>
      <w:r>
        <w:fldChar w:fldCharType="begin"/>
      </w:r>
      <w:r>
        <w:instrText xml:space="preserve"> SEQ level0</w:instrText>
      </w:r>
      <w:r>
        <w:instrText xml:space="preserve"> \*arabic </w:instrText>
      </w:r>
      <w:r>
        <w:fldChar w:fldCharType="separate"/>
      </w:r>
      <w:r w:rsidR="00D51A4A">
        <w:rPr>
          <w:noProof/>
        </w:rPr>
        <w:t>24</w:t>
      </w:r>
      <w:r>
        <w:rPr>
          <w:noProof/>
        </w:rPr>
        <w:fldChar w:fldCharType="end"/>
      </w:r>
      <w:r w:rsidR="008E2773">
        <w:t xml:space="preserve">.  Skarżący twierdził, iż długość postępowania, które łącznie </w:t>
      </w:r>
      <w:r w:rsidR="00CD2BB1">
        <w:t xml:space="preserve">trwało </w:t>
      </w:r>
      <w:r w:rsidR="008E2773">
        <w:t xml:space="preserve">13 lat, w sposób oczywisty naruszała zasadę „rozsądnego terminu”. Łączny czas trwania postępowania był wynikiem niedołożenia staranności przez sądy krajowe, które nie wyznaczyły terminów rozpraw w sposób umożliwiający </w:t>
      </w:r>
      <w:r w:rsidR="00513314">
        <w:t xml:space="preserve">przewożenie </w:t>
      </w:r>
      <w:r w:rsidR="008E2773">
        <w:t xml:space="preserve">skarżącego </w:t>
      </w:r>
      <w:r w:rsidR="00513314">
        <w:t>między</w:t>
      </w:r>
      <w:r w:rsidR="008E2773">
        <w:t xml:space="preserve"> </w:t>
      </w:r>
      <w:r w:rsidR="00513314">
        <w:t>jednostkami penitencjarnymi</w:t>
      </w:r>
      <w:r w:rsidR="008E2773">
        <w:t xml:space="preserve"> </w:t>
      </w:r>
      <w:r w:rsidR="00513314">
        <w:t>ani</w:t>
      </w:r>
      <w:r w:rsidR="008E2773">
        <w:t xml:space="preserve"> do</w:t>
      </w:r>
      <w:r w:rsidR="00513314">
        <w:t>chowanie</w:t>
      </w:r>
      <w:r w:rsidR="008E2773">
        <w:t xml:space="preserve"> przez biegłych stosownych terminów. Sądy dopuściły się ponadto różnych uchybień proceduralnych </w:t>
      </w:r>
      <w:r w:rsidR="00513314">
        <w:t xml:space="preserve">i </w:t>
      </w:r>
      <w:r w:rsidR="008E2773">
        <w:t>błędów co do prawa, wskutek czego orzeczenie zostało uchylone a sprawę trzykrotnie przekaz</w:t>
      </w:r>
      <w:r w:rsidR="00513314">
        <w:t>yw</w:t>
      </w:r>
      <w:r w:rsidR="008E2773">
        <w:t xml:space="preserve">ano do ponownego rozpoznania (jednokrotnie przez sąd drugiej instancji i dwukrotnie przez Sąd Najwyższy). Sam skarżący nie miał żadnego wpływu na </w:t>
      </w:r>
      <w:r w:rsidR="00513314">
        <w:t xml:space="preserve">łączną </w:t>
      </w:r>
      <w:r w:rsidR="008E2773">
        <w:t xml:space="preserve">długość </w:t>
      </w:r>
      <w:r w:rsidR="00513314">
        <w:t xml:space="preserve">trwania </w:t>
      </w:r>
      <w:r w:rsidR="008E2773">
        <w:t xml:space="preserve">postępowania; w ciągu </w:t>
      </w:r>
      <w:r w:rsidR="009455F4">
        <w:t xml:space="preserve">tego </w:t>
      </w:r>
      <w:r w:rsidR="008E2773">
        <w:t>13</w:t>
      </w:r>
      <w:r w:rsidR="009455F4">
        <w:t>-</w:t>
      </w:r>
      <w:r w:rsidR="008E2773">
        <w:t>l</w:t>
      </w:r>
      <w:r w:rsidR="009455F4">
        <w:t>etniego okresu</w:t>
      </w:r>
      <w:r w:rsidR="008E2773">
        <w:t xml:space="preserve"> nie przyczynił się też do odroczenia rozprawy, ani do </w:t>
      </w:r>
      <w:r w:rsidR="009455F4">
        <w:t xml:space="preserve">innego rodzaju </w:t>
      </w:r>
      <w:r w:rsidR="008E2773">
        <w:t>zwłoki.</w:t>
      </w:r>
    </w:p>
    <w:p w14:paraId="4971DFD6" w14:textId="19D98FA6" w:rsidR="00C44CB6" w:rsidRPr="00A5017E" w:rsidRDefault="00473C29" w:rsidP="00A5017E">
      <w:pPr>
        <w:pStyle w:val="JuPara"/>
      </w:pPr>
      <w:r>
        <w:fldChar w:fldCharType="begin"/>
      </w:r>
      <w:r>
        <w:instrText xml:space="preserve"> SEQ level0 \*arabic </w:instrText>
      </w:r>
      <w:r>
        <w:fldChar w:fldCharType="separate"/>
      </w:r>
      <w:r w:rsidR="00D51A4A">
        <w:rPr>
          <w:noProof/>
        </w:rPr>
        <w:t>25</w:t>
      </w:r>
      <w:r>
        <w:rPr>
          <w:noProof/>
        </w:rPr>
        <w:fldChar w:fldCharType="end"/>
      </w:r>
      <w:r w:rsidR="008E2773">
        <w:t xml:space="preserve">.  Rząd powstrzymał się od </w:t>
      </w:r>
      <w:r w:rsidR="00513314">
        <w:t>przedstawienia stanowiska</w:t>
      </w:r>
      <w:r w:rsidR="008E2773">
        <w:t xml:space="preserve"> co do przedmiotu skargi.</w:t>
      </w:r>
    </w:p>
    <w:p w14:paraId="30A4DF99" w14:textId="2A3213DC" w:rsidR="00C44CB6" w:rsidRPr="00A5017E" w:rsidRDefault="00473C29" w:rsidP="00A5017E">
      <w:pPr>
        <w:pStyle w:val="JuPara"/>
      </w:pPr>
      <w:r>
        <w:fldChar w:fldCharType="begin"/>
      </w:r>
      <w:r>
        <w:instrText xml:space="preserve"> SEQ level0 \*arabic </w:instrText>
      </w:r>
      <w:r>
        <w:fldChar w:fldCharType="separate"/>
      </w:r>
      <w:r w:rsidR="00D51A4A">
        <w:rPr>
          <w:noProof/>
        </w:rPr>
        <w:t>26</w:t>
      </w:r>
      <w:r>
        <w:rPr>
          <w:noProof/>
        </w:rPr>
        <w:fldChar w:fldCharType="end"/>
      </w:r>
      <w:r w:rsidR="008E2773">
        <w:t>.  Trybunał przypomina, że kwestię rozsądnej długości postępowania należy oceni</w:t>
      </w:r>
      <w:r w:rsidR="00513314">
        <w:t>a</w:t>
      </w:r>
      <w:r w:rsidR="008E2773">
        <w:t xml:space="preserve">ć w świetle konkretnych okoliczności sprawy oraz biorąc pod uwagę kryteria wyznaczone przez orzecznictwo Trybunału, w szczególności </w:t>
      </w:r>
      <w:r w:rsidR="00513314">
        <w:t>zawiłość</w:t>
      </w:r>
      <w:r w:rsidR="008E2773">
        <w:t xml:space="preserve"> sprawy oraz postawę skarżącego i właściwych organów. W tym ostatnim względzie należy również wziąć pod uwagę, jakie były konsekwencje postępowania dla skarżącego</w:t>
      </w:r>
      <w:r w:rsidR="00513314">
        <w:t xml:space="preserve"> </w:t>
      </w:r>
      <w:r w:rsidR="008E2773">
        <w:t xml:space="preserve">(zob. </w:t>
      </w:r>
      <w:r w:rsidR="008E2773">
        <w:rPr>
          <w:i/>
        </w:rPr>
        <w:t>Kudła przeciwko Polsce</w:t>
      </w:r>
      <w:r w:rsidR="008E2773">
        <w:t xml:space="preserve"> [WI], skarga nr 30210/96, § 124, ETPCz 2000</w:t>
      </w:r>
      <w:r w:rsidR="008E2773">
        <w:rPr>
          <w:rFonts w:ascii="MS Mincho" w:hAnsi="MS Mincho"/>
        </w:rPr>
        <w:t>‑</w:t>
      </w:r>
      <w:r w:rsidR="008E2773">
        <w:t xml:space="preserve">XI; dalsze odniesienia do orzecznictwa, zob. </w:t>
      </w:r>
      <w:r w:rsidR="008E2773">
        <w:rPr>
          <w:i/>
        </w:rPr>
        <w:t xml:space="preserve">Rutkowski i Inni przeciwko Polsce, </w:t>
      </w:r>
      <w:r w:rsidR="008E2773" w:rsidRPr="002C6F45">
        <w:rPr>
          <w:iCs/>
        </w:rPr>
        <w:t>skargi</w:t>
      </w:r>
      <w:r w:rsidR="008E2773">
        <w:t xml:space="preserve"> nr 72287/10, 13927/11 oraz 46187/11, §§ 126–28, wyrok z dnia 7 lipca 2015 r.).</w:t>
      </w:r>
    </w:p>
    <w:p w14:paraId="4022B5AB" w14:textId="7BE62265" w:rsidR="008E2773" w:rsidRPr="00A5017E" w:rsidRDefault="00473C29" w:rsidP="00A5017E">
      <w:pPr>
        <w:pStyle w:val="JuPara"/>
      </w:pPr>
      <w:r>
        <w:fldChar w:fldCharType="begin"/>
      </w:r>
      <w:r>
        <w:instrText xml:space="preserve"> SEQ level0 \*arabic </w:instrText>
      </w:r>
      <w:r>
        <w:fldChar w:fldCharType="separate"/>
      </w:r>
      <w:r w:rsidR="00D51A4A">
        <w:rPr>
          <w:noProof/>
        </w:rPr>
        <w:t>27</w:t>
      </w:r>
      <w:r>
        <w:rPr>
          <w:noProof/>
        </w:rPr>
        <w:fldChar w:fldCharType="end"/>
      </w:r>
      <w:r w:rsidR="008E2773">
        <w:t>.  Trybunał nie dysponuje dostatecznymi informacjami, aby stwierdzić</w:t>
      </w:r>
      <w:r w:rsidR="009455F4">
        <w:t>,</w:t>
      </w:r>
      <w:r w:rsidR="008E2773">
        <w:t xml:space="preserve"> czy sprawa była </w:t>
      </w:r>
      <w:r w:rsidR="00513314">
        <w:t>zawiła w stopniu wyższym niż przeciętny</w:t>
      </w:r>
      <w:r w:rsidR="008E2773">
        <w:t>. Wydaje się, że w toku postępowania wymagane było przedłożenie dowodów z opinii biegłych. W tym zakresie Trybunał przypomina, iż w postępowani</w:t>
      </w:r>
      <w:r w:rsidR="00513314">
        <w:t>u</w:t>
      </w:r>
      <w:r w:rsidR="008E2773">
        <w:t xml:space="preserve"> </w:t>
      </w:r>
      <w:r w:rsidR="00513314">
        <w:t>sądowym nad pracą biegłych czuwa</w:t>
      </w:r>
      <w:r w:rsidR="008E2773">
        <w:t xml:space="preserve"> </w:t>
      </w:r>
      <w:r w:rsidR="00513314">
        <w:t>sędzia</w:t>
      </w:r>
      <w:r w:rsidR="008E2773">
        <w:t xml:space="preserve">, który odpowiada za przygotowanie i sprawne prowadzenie postępowania (zob. przykładowo </w:t>
      </w:r>
      <w:proofErr w:type="spellStart"/>
      <w:r w:rsidR="008E2773">
        <w:rPr>
          <w:i/>
        </w:rPr>
        <w:t>Proszak</w:t>
      </w:r>
      <w:proofErr w:type="spellEnd"/>
      <w:r w:rsidR="008E2773">
        <w:rPr>
          <w:i/>
        </w:rPr>
        <w:t xml:space="preserve"> przeciwko Polsce</w:t>
      </w:r>
      <w:r w:rsidR="008E2773">
        <w:t>, wyrok z dnia</w:t>
      </w:r>
      <w:r w:rsidR="00513314">
        <w:t xml:space="preserve"> </w:t>
      </w:r>
      <w:r w:rsidR="008E2773">
        <w:t xml:space="preserve">16 grudnia 1997 r., § 44, </w:t>
      </w:r>
      <w:r w:rsidR="00513314">
        <w:rPr>
          <w:i/>
        </w:rPr>
        <w:t>Zbiór wyroków i decyzji</w:t>
      </w:r>
      <w:r w:rsidR="008E2773">
        <w:t xml:space="preserve"> 1997</w:t>
      </w:r>
      <w:r w:rsidR="008E2773">
        <w:rPr>
          <w:rFonts w:ascii="MS Mincho" w:hAnsi="MS Mincho"/>
        </w:rPr>
        <w:t>‑</w:t>
      </w:r>
      <w:r w:rsidR="008E2773">
        <w:t xml:space="preserve">VIII, oraz </w:t>
      </w:r>
      <w:proofErr w:type="spellStart"/>
      <w:r w:rsidR="008E2773">
        <w:rPr>
          <w:rFonts w:ascii="Times New Roman" w:hAnsi="Times New Roman"/>
          <w:i/>
        </w:rPr>
        <w:t>Ł</w:t>
      </w:r>
      <w:r w:rsidR="008E2773">
        <w:rPr>
          <w:i/>
        </w:rPr>
        <w:t>ukjaniuk</w:t>
      </w:r>
      <w:proofErr w:type="spellEnd"/>
      <w:r w:rsidR="008E2773">
        <w:rPr>
          <w:i/>
        </w:rPr>
        <w:t xml:space="preserve"> przeciwko Polsce</w:t>
      </w:r>
      <w:r w:rsidR="008E2773">
        <w:t xml:space="preserve">, skarga nr 15072/02, </w:t>
      </w:r>
      <w:r w:rsidR="008E2773">
        <w:rPr>
          <w:rFonts w:ascii="Times New Roman" w:hAnsi="Times New Roman"/>
        </w:rPr>
        <w:t>§</w:t>
      </w:r>
      <w:r w:rsidR="008E2773">
        <w:t> 28, wyrok z dnia 7 listopada 2006 r.).</w:t>
      </w:r>
    </w:p>
    <w:p w14:paraId="0EA026BC" w14:textId="66188AF9" w:rsidR="008E2773" w:rsidRPr="00A5017E" w:rsidRDefault="00473C29" w:rsidP="00A5017E">
      <w:pPr>
        <w:pStyle w:val="JuPara"/>
      </w:pPr>
      <w:r>
        <w:fldChar w:fldCharType="begin"/>
      </w:r>
      <w:r>
        <w:instrText xml:space="preserve"> SEQ level0 \*arabic </w:instrText>
      </w:r>
      <w:r>
        <w:fldChar w:fldCharType="separate"/>
      </w:r>
      <w:r w:rsidR="00D51A4A">
        <w:rPr>
          <w:noProof/>
        </w:rPr>
        <w:t>28</w:t>
      </w:r>
      <w:r>
        <w:rPr>
          <w:noProof/>
        </w:rPr>
        <w:fldChar w:fldCharType="end"/>
      </w:r>
      <w:r w:rsidR="008E2773">
        <w:t xml:space="preserve">.  Ponadto należy zwrócić uwagę, iż w następstwie trzykrotnego przekazania przez Sąd Okręgowy i Sąd Najwyższy sprawy do ponownego rozpoznania, sprawa skarżącego była dwukrotnie </w:t>
      </w:r>
      <w:r w:rsidR="002C05B8">
        <w:t xml:space="preserve">rozpoznawana </w:t>
      </w:r>
      <w:r w:rsidR="008E2773">
        <w:t xml:space="preserve">przez sąd pierwszej instancji i czterokrotnie przez sąd drugiej instancji. (zob. par. 6–10 powyżej). Chociaż Trybunał nie jest w stanie przeanalizować jakości orzecznictwa sądów krajowych pod względem prawnym, przekazywanie spraw do ponownego rozpoznania zwykle </w:t>
      </w:r>
      <w:r w:rsidR="002C05B8">
        <w:t>następuje</w:t>
      </w:r>
      <w:r w:rsidR="008E2773">
        <w:t xml:space="preserve"> w </w:t>
      </w:r>
      <w:r w:rsidR="002C05B8">
        <w:t xml:space="preserve">związku z </w:t>
      </w:r>
      <w:r w:rsidR="008E2773">
        <w:t>uchybie</w:t>
      </w:r>
      <w:r w:rsidR="002C05B8">
        <w:t>niami, jakich dopuściły się</w:t>
      </w:r>
      <w:r w:rsidR="008E2773">
        <w:t xml:space="preserve"> </w:t>
      </w:r>
      <w:r w:rsidR="002C05B8">
        <w:t xml:space="preserve">sądy </w:t>
      </w:r>
      <w:r w:rsidR="008E2773">
        <w:t xml:space="preserve">niższej instancji. Ponowne wydanie takich postanowień w </w:t>
      </w:r>
      <w:r w:rsidR="002C05B8">
        <w:t xml:space="preserve">ramach </w:t>
      </w:r>
      <w:r w:rsidR="008E2773">
        <w:t xml:space="preserve">jednego postępowania </w:t>
      </w:r>
      <w:r w:rsidR="002C05B8">
        <w:t>świadczy o</w:t>
      </w:r>
      <w:r w:rsidR="008E2773">
        <w:t xml:space="preserve"> uchybieni</w:t>
      </w:r>
      <w:r w:rsidR="002C05B8">
        <w:t>ach</w:t>
      </w:r>
      <w:r w:rsidR="008E2773">
        <w:t xml:space="preserve"> w systemie sądownictwa. Ponadto </w:t>
      </w:r>
      <w:r w:rsidR="002C05B8">
        <w:t xml:space="preserve">za </w:t>
      </w:r>
      <w:r w:rsidR="008E2773">
        <w:t>uchybieni</w:t>
      </w:r>
      <w:r w:rsidR="002C05B8">
        <w:t>a</w:t>
      </w:r>
      <w:r w:rsidR="008E2773">
        <w:t xml:space="preserve"> t</w:t>
      </w:r>
      <w:r w:rsidR="002C05B8">
        <w:t>e</w:t>
      </w:r>
      <w:r w:rsidR="008E2773">
        <w:t xml:space="preserve"> </w:t>
      </w:r>
      <w:r w:rsidR="002C05B8">
        <w:t xml:space="preserve">obwiniać </w:t>
      </w:r>
      <w:r w:rsidR="008E2773">
        <w:lastRenderedPageBreak/>
        <w:t xml:space="preserve">należy </w:t>
      </w:r>
      <w:r w:rsidR="002C05B8">
        <w:t>organy</w:t>
      </w:r>
      <w:r w:rsidR="008E2773">
        <w:t xml:space="preserve">, </w:t>
      </w:r>
      <w:r w:rsidR="002C05B8">
        <w:t xml:space="preserve">a </w:t>
      </w:r>
      <w:r w:rsidR="008E2773">
        <w:t xml:space="preserve">nie </w:t>
      </w:r>
      <w:r w:rsidR="002C05B8">
        <w:t xml:space="preserve">skarżących </w:t>
      </w:r>
      <w:r w:rsidR="008E2773">
        <w:t xml:space="preserve">(zob. m.in. </w:t>
      </w:r>
      <w:proofErr w:type="spellStart"/>
      <w:r w:rsidR="008E2773">
        <w:rPr>
          <w:i/>
        </w:rPr>
        <w:t>Wierciszewska</w:t>
      </w:r>
      <w:proofErr w:type="spellEnd"/>
      <w:r w:rsidR="008E2773">
        <w:rPr>
          <w:i/>
        </w:rPr>
        <w:t xml:space="preserve"> przeciwko Polsce</w:t>
      </w:r>
      <w:r w:rsidR="008E2773">
        <w:t xml:space="preserve">, skarga nr 41431/98, § 46, wyrok z dnia 25 listopada 2003 r.; </w:t>
      </w:r>
      <w:proofErr w:type="spellStart"/>
      <w:r w:rsidR="008E2773">
        <w:rPr>
          <w:i/>
        </w:rPr>
        <w:t>Matica</w:t>
      </w:r>
      <w:proofErr w:type="spellEnd"/>
      <w:r w:rsidR="008E2773">
        <w:rPr>
          <w:i/>
        </w:rPr>
        <w:t xml:space="preserve"> przeciwko Rumunii</w:t>
      </w:r>
      <w:r w:rsidR="008E2773">
        <w:t xml:space="preserve">, skarga nr 19567/02, § 24, wyrok z dnia 2 listopada 2006 r.; oraz </w:t>
      </w:r>
      <w:proofErr w:type="spellStart"/>
      <w:r w:rsidR="008E2773">
        <w:rPr>
          <w:i/>
        </w:rPr>
        <w:t>Vlad</w:t>
      </w:r>
      <w:proofErr w:type="spellEnd"/>
      <w:r w:rsidR="008E2773">
        <w:rPr>
          <w:i/>
        </w:rPr>
        <w:t xml:space="preserve"> i Inni przeciwko Rumunii</w:t>
      </w:r>
      <w:r w:rsidR="008E2773">
        <w:t>, skargi nr 40756/06, 41508/07 oraz 50806/07, § 133,</w:t>
      </w:r>
      <w:r w:rsidR="002C05B8">
        <w:t xml:space="preserve"> </w:t>
      </w:r>
      <w:r w:rsidR="008E2773">
        <w:t>wyrok z dnia 6 listopada 2013 r.).</w:t>
      </w:r>
    </w:p>
    <w:p w14:paraId="30FAA3F5" w14:textId="59417DA8" w:rsidR="008E2773" w:rsidRPr="00A5017E" w:rsidRDefault="00473C29" w:rsidP="00A5017E">
      <w:pPr>
        <w:pStyle w:val="JuPara"/>
      </w:pPr>
      <w:r>
        <w:fldChar w:fldCharType="begin"/>
      </w:r>
      <w:r>
        <w:instrText xml:space="preserve"> SEQ level0 \*arabic </w:instrText>
      </w:r>
      <w:r>
        <w:fldChar w:fldCharType="separate"/>
      </w:r>
      <w:r w:rsidR="00D51A4A">
        <w:rPr>
          <w:noProof/>
        </w:rPr>
        <w:t>29</w:t>
      </w:r>
      <w:r>
        <w:rPr>
          <w:noProof/>
        </w:rPr>
        <w:fldChar w:fldCharType="end"/>
      </w:r>
      <w:r w:rsidR="008E2773">
        <w:t xml:space="preserve">.  Wreszcie Trybunał zauważa, iż nie wydaje się, aby skarżący miał jakikolwiek wpływ na </w:t>
      </w:r>
      <w:r w:rsidR="002C05B8">
        <w:t xml:space="preserve">łączną </w:t>
      </w:r>
      <w:r w:rsidR="008E2773">
        <w:t>długość postępowania prowadzonego w swojej sprawie. W tych okolicznościach Trybunał nie znajduje żadnego uzasadnienia</w:t>
      </w:r>
      <w:r w:rsidR="002C05B8">
        <w:t xml:space="preserve"> łącznej</w:t>
      </w:r>
      <w:r w:rsidR="008E2773">
        <w:t xml:space="preserve"> długości prowadzonego </w:t>
      </w:r>
      <w:r w:rsidR="002C05B8">
        <w:t xml:space="preserve">wobec </w:t>
      </w:r>
      <w:r w:rsidR="008E2773">
        <w:t>skarżące</w:t>
      </w:r>
      <w:r w:rsidR="002C05B8">
        <w:t>go</w:t>
      </w:r>
      <w:r w:rsidR="008E2773">
        <w:t xml:space="preserve"> postępowania karnego.</w:t>
      </w:r>
    </w:p>
    <w:p w14:paraId="1A70C78C" w14:textId="3458ED80" w:rsidR="00C44CB6" w:rsidRPr="00A5017E" w:rsidRDefault="00473C29" w:rsidP="00A5017E">
      <w:pPr>
        <w:pStyle w:val="JuPara"/>
      </w:pPr>
      <w:r>
        <w:fldChar w:fldCharType="begin"/>
      </w:r>
      <w:r>
        <w:instrText xml:space="preserve"> SEQ level0 \*arabic </w:instrText>
      </w:r>
      <w:r>
        <w:fldChar w:fldCharType="separate"/>
      </w:r>
      <w:r w:rsidR="00D51A4A">
        <w:rPr>
          <w:noProof/>
        </w:rPr>
        <w:t>30</w:t>
      </w:r>
      <w:r>
        <w:rPr>
          <w:noProof/>
        </w:rPr>
        <w:fldChar w:fldCharType="end"/>
      </w:r>
      <w:r w:rsidR="008E2773">
        <w:t xml:space="preserve">.  Powracając do kwestii, czy skarżący prawidłowo skorzystał z prawnych środków krajowych w </w:t>
      </w:r>
      <w:r w:rsidR="002C05B8">
        <w:t>związku ze</w:t>
      </w:r>
      <w:r w:rsidR="008E2773">
        <w:t xml:space="preserve"> skarg</w:t>
      </w:r>
      <w:r w:rsidR="002C05B8">
        <w:t>ą</w:t>
      </w:r>
      <w:r w:rsidR="008E2773">
        <w:t xml:space="preserve"> na przewlekłość postępowania, Trybunał uważa za konieczne powtórzenie niektórych wniosków wywiedzionych z wyroku pilotażowego w sprawie </w:t>
      </w:r>
      <w:r w:rsidR="008E2773">
        <w:rPr>
          <w:i/>
          <w:iCs/>
        </w:rPr>
        <w:t xml:space="preserve">Rutkowski </w:t>
      </w:r>
      <w:r w:rsidR="008E2773">
        <w:t>(</w:t>
      </w:r>
      <w:r w:rsidR="008E2773">
        <w:rPr>
          <w:i/>
          <w:iCs/>
        </w:rPr>
        <w:t>op. ci</w:t>
      </w:r>
      <w:r w:rsidR="008E2773" w:rsidRPr="002C6F45">
        <w:rPr>
          <w:i/>
          <w:iCs/>
        </w:rPr>
        <w:t>t.</w:t>
      </w:r>
      <w:r w:rsidR="008E2773">
        <w:t xml:space="preserve">, §§ 176–86). W wyroku tym Trybunał </w:t>
      </w:r>
      <w:r w:rsidR="002C05B8">
        <w:t xml:space="preserve">ocenił </w:t>
      </w:r>
      <w:r w:rsidR="008E2773">
        <w:t>sposób, w jaki sądy krajowe zastosowały przepisy ustawy z 2004 r., w tym ich wykładnię, przyjętą przez Sąd Najwyższy (</w:t>
      </w:r>
      <w:r w:rsidR="008E2773">
        <w:rPr>
          <w:i/>
          <w:iCs/>
        </w:rPr>
        <w:t>ibidem</w:t>
      </w:r>
      <w:r w:rsidR="002C05B8">
        <w:t>,</w:t>
      </w:r>
      <w:r w:rsidR="008E2773">
        <w:t xml:space="preserve"> §§ 93–106).</w:t>
      </w:r>
    </w:p>
    <w:p w14:paraId="73A3FBA8" w14:textId="68898413" w:rsidR="00E80563" w:rsidRPr="00A5017E" w:rsidRDefault="00473C29" w:rsidP="00A5017E">
      <w:pPr>
        <w:pStyle w:val="JuPara"/>
      </w:pPr>
      <w:r>
        <w:fldChar w:fldCharType="begin"/>
      </w:r>
      <w:r>
        <w:instrText xml:space="preserve"> SEQ level0 \*arabic </w:instrText>
      </w:r>
      <w:r>
        <w:fldChar w:fldCharType="separate"/>
      </w:r>
      <w:r w:rsidR="00D51A4A">
        <w:rPr>
          <w:noProof/>
        </w:rPr>
        <w:t>31</w:t>
      </w:r>
      <w:r>
        <w:rPr>
          <w:noProof/>
        </w:rPr>
        <w:fldChar w:fldCharType="end"/>
      </w:r>
      <w:r w:rsidR="008E2773">
        <w:t xml:space="preserve">.  Trybunał stwierdził w szczególności, iż przypadki </w:t>
      </w:r>
      <w:r w:rsidR="002C05B8">
        <w:t xml:space="preserve">istotnej </w:t>
      </w:r>
      <w:r w:rsidR="008E2773">
        <w:t xml:space="preserve">zwłoki występującej w sprawach skarżących, co okazało się istotne przy ocenie zarzucanego przez nich naruszenia art. 6 ust. 1, nie zostały wzięte pod uwagę przez sądy </w:t>
      </w:r>
      <w:r w:rsidR="002C05B8">
        <w:t xml:space="preserve">rozpoznające </w:t>
      </w:r>
      <w:r w:rsidR="008E2773">
        <w:t xml:space="preserve">ich skargi. </w:t>
      </w:r>
      <w:r w:rsidR="002C05B8">
        <w:t>Wbrew</w:t>
      </w:r>
      <w:r w:rsidR="008E2773">
        <w:t xml:space="preserve"> </w:t>
      </w:r>
      <w:r w:rsidR="002C05B8">
        <w:t xml:space="preserve">ugruntowanemu </w:t>
      </w:r>
      <w:r w:rsidR="008E2773">
        <w:t>orzecznictw</w:t>
      </w:r>
      <w:r w:rsidR="002C05B8">
        <w:t>u</w:t>
      </w:r>
      <w:r w:rsidR="008E2773">
        <w:t xml:space="preserve"> Trybunału w sprawach dotyczących oceny rozsądnej długości postępowania, sądy </w:t>
      </w:r>
      <w:r w:rsidR="00DE7938">
        <w:t>przeprowadziły jedynie wybiórczo</w:t>
      </w:r>
      <w:r w:rsidR="008E2773">
        <w:t xml:space="preserve"> </w:t>
      </w:r>
      <w:r w:rsidR="00DE7938">
        <w:t xml:space="preserve">ocenę </w:t>
      </w:r>
      <w:r w:rsidR="008E2773">
        <w:t xml:space="preserve">długości postępowania. Nawiązując do interpretacji Sądu Najwyższego w sprawie pojęcia „w toku postępowania w sprawie”, o którym mowa w art. 5 ust. 1 ustawy z 2004 r., ocena skargi na przewlekłość postępowania powinna </w:t>
      </w:r>
      <w:r w:rsidR="00DE7938">
        <w:t xml:space="preserve">sprowadzać </w:t>
      </w:r>
      <w:r w:rsidR="008E2773">
        <w:t xml:space="preserve">się do okresu następującego po wejściu w życie ustawy – chyba że dotychczasowa zwłoka nadal trwa w tym dniu – oraz do instancji, przed którą sprawa aktualnie </w:t>
      </w:r>
      <w:r w:rsidR="00DE7938">
        <w:t xml:space="preserve">się </w:t>
      </w:r>
      <w:r w:rsidR="008E2773">
        <w:t>toczy, z pominięciem wcześniejszych instancji.</w:t>
      </w:r>
    </w:p>
    <w:p w14:paraId="74FA45E7" w14:textId="669596C1" w:rsidR="00C44CB6" w:rsidRPr="00A5017E" w:rsidRDefault="00473C29" w:rsidP="00A5017E">
      <w:pPr>
        <w:pStyle w:val="JuPara"/>
      </w:pPr>
      <w:r>
        <w:fldChar w:fldCharType="begin"/>
      </w:r>
      <w:r>
        <w:instrText xml:space="preserve"> SEQ level0 \*arabic </w:instrText>
      </w:r>
      <w:r>
        <w:fldChar w:fldCharType="separate"/>
      </w:r>
      <w:r w:rsidR="00D51A4A">
        <w:rPr>
          <w:noProof/>
        </w:rPr>
        <w:t>32</w:t>
      </w:r>
      <w:r>
        <w:rPr>
          <w:noProof/>
        </w:rPr>
        <w:fldChar w:fldCharType="end"/>
      </w:r>
      <w:r w:rsidR="00FF5757">
        <w:t>.  Praktykę „fragmenta</w:t>
      </w:r>
      <w:r w:rsidR="00DE7938">
        <w:t>ryza</w:t>
      </w:r>
      <w:r w:rsidR="00FF5757">
        <w:t xml:space="preserve">cji postępowania” stosowaną przez sądy krajowe Trybunał </w:t>
      </w:r>
      <w:r w:rsidR="00DE7938">
        <w:t xml:space="preserve">uznał </w:t>
      </w:r>
      <w:r w:rsidR="00FF5757">
        <w:t xml:space="preserve">– na co zwrócił uwagę </w:t>
      </w:r>
      <w:r w:rsidR="00DB7BE8">
        <w:t>P</w:t>
      </w:r>
      <w:r w:rsidR="00FF5757">
        <w:t xml:space="preserve">aństwu polskiemu – </w:t>
      </w:r>
      <w:r w:rsidR="00DE7938">
        <w:t xml:space="preserve">za </w:t>
      </w:r>
      <w:r w:rsidR="00FF5757">
        <w:t>sprzeczną z art. 6 ust. 1 już na wczesnym etapie obowiązywania ustawy z 2004 r. W 2005 r. Trybunał przypomniał polski</w:t>
      </w:r>
      <w:r w:rsidR="00DE7938">
        <w:t>m</w:t>
      </w:r>
      <w:r w:rsidR="00FF5757">
        <w:t xml:space="preserve"> organ</w:t>
      </w:r>
      <w:r w:rsidR="00DE7938">
        <w:t>om</w:t>
      </w:r>
      <w:r w:rsidR="00FF5757">
        <w:t xml:space="preserve">, iż „jak już zostało wielokrotnie wskazane, rozsądna długość postępowania musi być poddana ocenie w świetle konkretnych okoliczności sprawy postrzeganych jako całość. Podejście Trybunału sprowadzało się do zbadania ogólnej długości postępowania i obejmowało wszystkie etapy postępowania” (zob. </w:t>
      </w:r>
      <w:r w:rsidR="00FF5757">
        <w:rPr>
          <w:i/>
          <w:iCs/>
        </w:rPr>
        <w:t>Majewski przeciwko Polsce</w:t>
      </w:r>
      <w:r w:rsidR="00FF5757">
        <w:t xml:space="preserve">, skarga nr 52690/99, § 35, wyrok z dnia 11 października 2005 r.). W świetle powyższego </w:t>
      </w:r>
      <w:r w:rsidR="00DE7938">
        <w:t>wyroku</w:t>
      </w:r>
      <w:r w:rsidR="00FF5757">
        <w:t xml:space="preserve">, dla władz krajowych oczywiste było, że sąd rozpoznający skargę wniesioną na podstawie ustawy z 2004 </w:t>
      </w:r>
      <w:r w:rsidR="00DE7938">
        <w:t xml:space="preserve">r. </w:t>
      </w:r>
      <w:r w:rsidR="00FF5757">
        <w:t xml:space="preserve">musi uwzględnić całość postępowania na wszystkich jego etapach (zob. </w:t>
      </w:r>
      <w:r w:rsidR="00FF5757">
        <w:rPr>
          <w:i/>
          <w:iCs/>
        </w:rPr>
        <w:t>Rutkowski, op.</w:t>
      </w:r>
      <w:r w:rsidR="00DE7938">
        <w:rPr>
          <w:i/>
          <w:iCs/>
        </w:rPr>
        <w:t xml:space="preserve"> </w:t>
      </w:r>
      <w:r w:rsidR="00FF5757">
        <w:rPr>
          <w:i/>
          <w:iCs/>
        </w:rPr>
        <w:t>cit.</w:t>
      </w:r>
      <w:r w:rsidR="00FF5757">
        <w:t xml:space="preserve"> § 213).</w:t>
      </w:r>
    </w:p>
    <w:p w14:paraId="4058A215" w14:textId="52CED752" w:rsidR="009D5937" w:rsidRPr="00A5017E" w:rsidRDefault="00473C29" w:rsidP="00A5017E">
      <w:pPr>
        <w:pStyle w:val="JuPara"/>
      </w:pPr>
      <w:r>
        <w:fldChar w:fldCharType="begin"/>
      </w:r>
      <w:r>
        <w:instrText xml:space="preserve"> SEQ level0 \*arabic </w:instrText>
      </w:r>
      <w:r>
        <w:fldChar w:fldCharType="separate"/>
      </w:r>
      <w:r w:rsidR="00D51A4A">
        <w:rPr>
          <w:noProof/>
        </w:rPr>
        <w:t>33</w:t>
      </w:r>
      <w:r>
        <w:rPr>
          <w:noProof/>
        </w:rPr>
        <w:fldChar w:fldCharType="end"/>
      </w:r>
      <w:r w:rsidR="00FF5757">
        <w:t xml:space="preserve">.  W dniu 20 marca 2013 r. Sąd Najwyższy wydał uchwałę, w której dokonał krytycznej analizy swojego dotychczasowego orzecznictwa w tym </w:t>
      </w:r>
      <w:r w:rsidR="00FF5757">
        <w:lastRenderedPageBreak/>
        <w:t xml:space="preserve">zakresie </w:t>
      </w:r>
      <w:r w:rsidR="00DE7938">
        <w:t xml:space="preserve">i przyjął </w:t>
      </w:r>
      <w:r w:rsidR="00FF5757">
        <w:t>nową interpretację, zgodnie z linią orzeczniczą Trybunału w odniesieniu do oceny rozsądnej długości postępowania (</w:t>
      </w:r>
      <w:r w:rsidR="00FF5757">
        <w:rPr>
          <w:i/>
          <w:iCs/>
        </w:rPr>
        <w:t>ibidem</w:t>
      </w:r>
      <w:r w:rsidR="00DE7938">
        <w:t>,</w:t>
      </w:r>
      <w:r w:rsidR="00FF5757">
        <w:t xml:space="preserve"> § 181). W </w:t>
      </w:r>
      <w:r w:rsidR="00DE7938">
        <w:t>tej samej uchwale</w:t>
      </w:r>
      <w:r w:rsidR="00FF5757">
        <w:t xml:space="preserve"> jednak Sąd Najwyższy odniósł się do znaczenia sformułowania „zakończenia postępowania” i przypomniał, że </w:t>
      </w:r>
      <w:r w:rsidR="00DE7938">
        <w:t xml:space="preserve">zakończenie </w:t>
      </w:r>
      <w:r w:rsidR="00FF5757">
        <w:t>postępowani</w:t>
      </w:r>
      <w:r w:rsidR="00DE7938">
        <w:t>a</w:t>
      </w:r>
      <w:r w:rsidR="00FF5757">
        <w:t xml:space="preserve"> sądowe</w:t>
      </w:r>
      <w:r w:rsidR="00DE7938">
        <w:t>go</w:t>
      </w:r>
      <w:r w:rsidR="00FF5757">
        <w:t xml:space="preserve"> </w:t>
      </w:r>
      <w:r w:rsidR="00DE7938">
        <w:t>następuje</w:t>
      </w:r>
      <w:r w:rsidR="00FF5757">
        <w:t xml:space="preserve"> z chwilą uprawomocnienia się orzeczenia sądu drugiej instancji</w:t>
      </w:r>
      <w:r w:rsidR="00DE7938">
        <w:t>.</w:t>
      </w:r>
      <w:r w:rsidR="00FF5757">
        <w:t xml:space="preserve"> Podkreślił, że Sąd</w:t>
      </w:r>
      <w:r w:rsidR="00DE7938">
        <w:t>u</w:t>
      </w:r>
      <w:r w:rsidR="00FF5757">
        <w:t xml:space="preserve"> Najwyższ</w:t>
      </w:r>
      <w:r w:rsidR="00DE7938">
        <w:t>ego</w:t>
      </w:r>
      <w:r w:rsidR="00FF5757">
        <w:t xml:space="preserve"> nie </w:t>
      </w:r>
      <w:r w:rsidR="00DE7938">
        <w:t>należy uznawać</w:t>
      </w:r>
      <w:r w:rsidR="00FF5757">
        <w:t xml:space="preserve"> </w:t>
      </w:r>
      <w:r w:rsidR="00DE7938">
        <w:t xml:space="preserve">za </w:t>
      </w:r>
      <w:r w:rsidR="00FF5757">
        <w:t>„</w:t>
      </w:r>
      <w:r w:rsidR="00DE7938">
        <w:t>kolejną</w:t>
      </w:r>
      <w:r w:rsidR="00FF5757">
        <w:t xml:space="preserve"> instancj</w:t>
      </w:r>
      <w:r w:rsidR="00DE7938">
        <w:t>ę</w:t>
      </w:r>
      <w:r w:rsidR="00FF5757">
        <w:t xml:space="preserve">”, ponieważ pozostaje poza </w:t>
      </w:r>
      <w:r w:rsidR="00DE7938">
        <w:t xml:space="preserve">ustrojem </w:t>
      </w:r>
      <w:r w:rsidR="00FF5757">
        <w:t>sądownictwa powszechnego</w:t>
      </w:r>
      <w:r w:rsidR="00DE7938">
        <w:t>.</w:t>
      </w:r>
      <w:r w:rsidR="00FF5757">
        <w:t xml:space="preserve"> W konsekwencji, postępowanie kasacyjne przed Sądem Najwyższym nie jest, w jego ocenie, kontynuacją wcześniejszych postępowań i dotyczy nowej sprawy dla celów skargi wniesionej na gruncie art. 5 ust. 1 ustawy z 2004 r. </w:t>
      </w:r>
      <w:r w:rsidR="00DE7938">
        <w:t>P</w:t>
      </w:r>
      <w:r w:rsidR="00FF5757">
        <w:t>ojęci</w:t>
      </w:r>
      <w:r w:rsidR="00DE7938">
        <w:t>e</w:t>
      </w:r>
      <w:r w:rsidR="00FF5757">
        <w:t xml:space="preserve"> „tok postępowania w sprawie”, o którym mowa w tym przepisie nie </w:t>
      </w:r>
      <w:r w:rsidR="00DE7938">
        <w:t>obejmuje</w:t>
      </w:r>
      <w:r w:rsidR="00FF5757">
        <w:t xml:space="preserve"> zatem postępowani</w:t>
      </w:r>
      <w:r w:rsidR="00DE7938">
        <w:t>a</w:t>
      </w:r>
      <w:r w:rsidR="00FF5757">
        <w:t xml:space="preserve"> przed Sądem Najwyższym, chociażby jego wynikiem było uchylenie zaskarżonego wyroku i przekazanie sprawy do ponownego rozpoznania (zob. </w:t>
      </w:r>
      <w:r w:rsidR="00FF5757">
        <w:rPr>
          <w:i/>
          <w:iCs/>
        </w:rPr>
        <w:t>Rutkowski, op. cit</w:t>
      </w:r>
      <w:r w:rsidR="00FF5757">
        <w:t>. § 107).</w:t>
      </w:r>
    </w:p>
    <w:p w14:paraId="234EE083" w14:textId="124E137F" w:rsidR="00C44CB6" w:rsidRPr="00A5017E" w:rsidRDefault="00473C29" w:rsidP="00A5017E">
      <w:pPr>
        <w:pStyle w:val="JuPara"/>
      </w:pPr>
      <w:r>
        <w:fldChar w:fldCharType="begin"/>
      </w:r>
      <w:r>
        <w:instrText xml:space="preserve"> SEQ level0 \*a</w:instrText>
      </w:r>
      <w:r>
        <w:instrText xml:space="preserve">rabic </w:instrText>
      </w:r>
      <w:r>
        <w:fldChar w:fldCharType="separate"/>
      </w:r>
      <w:r w:rsidR="00D51A4A">
        <w:rPr>
          <w:noProof/>
        </w:rPr>
        <w:t>34</w:t>
      </w:r>
      <w:r>
        <w:rPr>
          <w:noProof/>
        </w:rPr>
        <w:fldChar w:fldCharType="end"/>
      </w:r>
      <w:r w:rsidR="00595E46">
        <w:t xml:space="preserve">.  Co więcej, w wyroku w sprawie </w:t>
      </w:r>
      <w:r w:rsidR="00595E46">
        <w:rPr>
          <w:i/>
          <w:iCs/>
        </w:rPr>
        <w:t>Rutkowski</w:t>
      </w:r>
      <w:r w:rsidR="00595E46">
        <w:t xml:space="preserve"> Trybunał przypomniał standardy „odpowiedniego i wystarczającego zadośćuczynienia</w:t>
      </w:r>
      <w:r w:rsidR="00084CB3">
        <w:t xml:space="preserve">” z tytułu </w:t>
      </w:r>
      <w:r w:rsidR="00595E46">
        <w:t>naruszenia obowiązku rozpoznania sprawy w „rozsądnym terminie”</w:t>
      </w:r>
      <w:r w:rsidR="00595E46">
        <w:rPr>
          <w:i/>
          <w:iCs/>
        </w:rPr>
        <w:t xml:space="preserve">, </w:t>
      </w:r>
      <w:r w:rsidR="00595E46">
        <w:t>oraz silne</w:t>
      </w:r>
      <w:r w:rsidR="00DB7BE8">
        <w:t>,</w:t>
      </w:r>
      <w:r w:rsidR="00595E46">
        <w:t xml:space="preserve"> acz wzruszalne</w:t>
      </w:r>
      <w:r w:rsidR="00DB7BE8">
        <w:t>,</w:t>
      </w:r>
      <w:r w:rsidR="00595E46">
        <w:t xml:space="preserve"> domniemanie (łac. </w:t>
      </w:r>
      <w:proofErr w:type="spellStart"/>
      <w:r w:rsidR="00595E46">
        <w:rPr>
          <w:i/>
          <w:iCs/>
        </w:rPr>
        <w:t>praesumptio</w:t>
      </w:r>
      <w:proofErr w:type="spellEnd"/>
      <w:r w:rsidR="00595E46">
        <w:rPr>
          <w:i/>
          <w:iCs/>
        </w:rPr>
        <w:t xml:space="preserve"> iuris tantum</w:t>
      </w:r>
      <w:r w:rsidR="00595E46">
        <w:t xml:space="preserve">) </w:t>
      </w:r>
      <w:r w:rsidR="00B67DC4">
        <w:t>wystąpienia</w:t>
      </w:r>
      <w:r w:rsidR="00595E46">
        <w:t xml:space="preserve"> szkody niemajątkowej w związku z przewlekłością postępowania (</w:t>
      </w:r>
      <w:r w:rsidR="00B67DC4">
        <w:rPr>
          <w:i/>
          <w:iCs/>
        </w:rPr>
        <w:t>i</w:t>
      </w:r>
      <w:r w:rsidR="00595E46">
        <w:rPr>
          <w:i/>
          <w:iCs/>
        </w:rPr>
        <w:t>bidem</w:t>
      </w:r>
      <w:r w:rsidR="00595E46">
        <w:rPr>
          <w:i/>
        </w:rPr>
        <w:t>,</w:t>
      </w:r>
      <w:r w:rsidR="00595E46">
        <w:t xml:space="preserve"> § 182). W związku z powyższym, w swoim wyroku pilotażowym Trybunał uznał, że przepisy ustawy z 2004 r. nie zapewniły skarżącym „odpowiedniego i wystarczającego zadośćuczynienia” w zakresie właściwej </w:t>
      </w:r>
      <w:r w:rsidR="00B67DC4">
        <w:t xml:space="preserve">kompensaty </w:t>
      </w:r>
      <w:r w:rsidR="00595E46">
        <w:t xml:space="preserve">z tytułu przewlekłości prowadzonych w ich sprawach </w:t>
      </w:r>
      <w:r w:rsidR="00B67DC4">
        <w:t xml:space="preserve">postępowań </w:t>
      </w:r>
      <w:r w:rsidR="00595E46">
        <w:t>(</w:t>
      </w:r>
      <w:r w:rsidR="00B67DC4">
        <w:rPr>
          <w:i/>
          <w:iCs/>
        </w:rPr>
        <w:t>i</w:t>
      </w:r>
      <w:r w:rsidR="00595E46">
        <w:rPr>
          <w:i/>
          <w:iCs/>
        </w:rPr>
        <w:t>bidem</w:t>
      </w:r>
      <w:r w:rsidR="00595E46">
        <w:rPr>
          <w:i/>
        </w:rPr>
        <w:t>,</w:t>
      </w:r>
      <w:r w:rsidR="00595E46">
        <w:t xml:space="preserve"> § 183).</w:t>
      </w:r>
    </w:p>
    <w:p w14:paraId="2407D61C" w14:textId="4D1F18B8" w:rsidR="00EB0BDE" w:rsidRPr="00A5017E" w:rsidRDefault="00473C29" w:rsidP="00A5017E">
      <w:pPr>
        <w:pStyle w:val="JuPara"/>
      </w:pPr>
      <w:r>
        <w:fldChar w:fldCharType="begin"/>
      </w:r>
      <w:r>
        <w:instrText xml:space="preserve"> SEQ level0 \*arabic </w:instrText>
      </w:r>
      <w:r>
        <w:fldChar w:fldCharType="separate"/>
      </w:r>
      <w:r w:rsidR="00D51A4A">
        <w:rPr>
          <w:noProof/>
        </w:rPr>
        <w:t>35</w:t>
      </w:r>
      <w:r>
        <w:rPr>
          <w:noProof/>
        </w:rPr>
        <w:fldChar w:fldCharType="end"/>
      </w:r>
      <w:r w:rsidR="008E2773">
        <w:t xml:space="preserve">.  Trybunał stwierdza, iż ustalenia poczynione w wyroku pilotażowym w sprawie </w:t>
      </w:r>
      <w:r w:rsidR="008E2773">
        <w:rPr>
          <w:i/>
          <w:iCs/>
        </w:rPr>
        <w:t xml:space="preserve">Rutkowski, </w:t>
      </w:r>
      <w:r w:rsidR="008E2773">
        <w:t>w odniesieniu do wadliwej praktyki dotyczącej stosowania przepisów ustawy z 2004 r.</w:t>
      </w:r>
      <w:r w:rsidR="00B67DC4">
        <w:t>,</w:t>
      </w:r>
      <w:r w:rsidR="008E2773">
        <w:t xml:space="preserve"> mają znaczenie dla niniejszej sprawy, tym bardziej, że okoliczności faktyczne w sprawie dotyczą tego samego okresu. Trybunał przypomina, że krajowa praktyka fragmentaryzacji postępowań miała bezpośredni</w:t>
      </w:r>
      <w:r w:rsidR="00B67DC4">
        <w:t>e</w:t>
      </w:r>
      <w:r w:rsidR="008E2773">
        <w:t xml:space="preserve"> </w:t>
      </w:r>
      <w:r w:rsidR="00B67DC4">
        <w:t xml:space="preserve">przełożenie </w:t>
      </w:r>
      <w:r w:rsidR="008E2773">
        <w:t xml:space="preserve">na sposób obliczania </w:t>
      </w:r>
      <w:r w:rsidR="00B67DC4">
        <w:t xml:space="preserve">łącznej </w:t>
      </w:r>
      <w:r w:rsidR="008E2773">
        <w:t xml:space="preserve">długości postępowania w sprawach skarżących (zob. </w:t>
      </w:r>
      <w:r w:rsidR="008E2773">
        <w:rPr>
          <w:i/>
          <w:iCs/>
        </w:rPr>
        <w:t xml:space="preserve">Rutkowski, op. </w:t>
      </w:r>
      <w:proofErr w:type="spellStart"/>
      <w:r w:rsidR="008E2773">
        <w:rPr>
          <w:i/>
          <w:iCs/>
        </w:rPr>
        <w:t>cit</w:t>
      </w:r>
      <w:proofErr w:type="spellEnd"/>
      <w:r w:rsidR="008E2773">
        <w:rPr>
          <w:i/>
        </w:rPr>
        <w:t>,</w:t>
      </w:r>
      <w:r w:rsidR="008E2773">
        <w:t xml:space="preserve"> § 181).</w:t>
      </w:r>
    </w:p>
    <w:p w14:paraId="5BADC5D0" w14:textId="47205893" w:rsidR="00D73E6E" w:rsidRPr="00A5017E" w:rsidRDefault="00473C29" w:rsidP="00A5017E">
      <w:pPr>
        <w:pStyle w:val="JuPara"/>
      </w:pPr>
      <w:r>
        <w:fldChar w:fldCharType="begin"/>
      </w:r>
      <w:r>
        <w:instrText xml:space="preserve"> SEQ level0 \*arabic </w:instrText>
      </w:r>
      <w:r>
        <w:fldChar w:fldCharType="separate"/>
      </w:r>
      <w:r w:rsidR="00D51A4A">
        <w:rPr>
          <w:noProof/>
        </w:rPr>
        <w:t>36</w:t>
      </w:r>
      <w:r>
        <w:rPr>
          <w:noProof/>
        </w:rPr>
        <w:fldChar w:fldCharType="end"/>
      </w:r>
      <w:r w:rsidR="007A5440">
        <w:t xml:space="preserve">.  Trybunał zauważa, że postępowanie </w:t>
      </w:r>
      <w:r w:rsidR="00B67DC4">
        <w:t>dotyczące</w:t>
      </w:r>
      <w:r w:rsidR="007A5440">
        <w:t xml:space="preserve"> zasadności </w:t>
      </w:r>
      <w:r w:rsidR="00B67DC4">
        <w:t>skierowanego wobec</w:t>
      </w:r>
      <w:r w:rsidR="007A5440">
        <w:t xml:space="preserve"> </w:t>
      </w:r>
      <w:r w:rsidR="00B67DC4">
        <w:t xml:space="preserve">skarżącego oskarżenia </w:t>
      </w:r>
      <w:r w:rsidR="007A5440">
        <w:t xml:space="preserve">rozpoczęło się w dniu 17 stycznia 2001 r. kiedy </w:t>
      </w:r>
      <w:r w:rsidR="00B67DC4">
        <w:t xml:space="preserve">skarżącego </w:t>
      </w:r>
      <w:r w:rsidR="007A5440">
        <w:t>oskarżon</w:t>
      </w:r>
      <w:r w:rsidR="00B67DC4">
        <w:t>o</w:t>
      </w:r>
      <w:r w:rsidR="007A5440">
        <w:t xml:space="preserve"> o popełnienie przestępstwa. </w:t>
      </w:r>
      <w:r w:rsidR="00B67DC4">
        <w:t xml:space="preserve">Postępowanie </w:t>
      </w:r>
      <w:proofErr w:type="spellStart"/>
      <w:r w:rsidR="00B67DC4">
        <w:t>pierwszoinstancyjne</w:t>
      </w:r>
      <w:proofErr w:type="spellEnd"/>
      <w:r w:rsidR="00B67DC4">
        <w:t xml:space="preserve"> </w:t>
      </w:r>
      <w:r w:rsidR="007A5440">
        <w:t xml:space="preserve">i postępowanie </w:t>
      </w:r>
      <w:r w:rsidR="00B67DC4">
        <w:t xml:space="preserve">odwoławcze </w:t>
      </w:r>
      <w:r w:rsidR="007A5440">
        <w:t xml:space="preserve">przed różnymi sądami, w tym trzykrotnie przed Sądem Najwyższym, trwały 13 lat. Postępowania w przedmiocie wniesionych przez skarżącego skarg kasacyjnych </w:t>
      </w:r>
      <w:r w:rsidR="00B67DC4">
        <w:t xml:space="preserve">dwukrotnie zakończyły się </w:t>
      </w:r>
      <w:r w:rsidR="007A5440">
        <w:t>uchyleniem przez Sąd Najwyższy orzeczeń</w:t>
      </w:r>
      <w:r w:rsidR="00B67DC4">
        <w:t xml:space="preserve"> sądu</w:t>
      </w:r>
      <w:r w:rsidR="007A5440">
        <w:t xml:space="preserve"> drugiej instancji i przekazaniem sprawy do ponownego rozpoznania. Ostateczne </w:t>
      </w:r>
      <w:r w:rsidR="00B67DC4">
        <w:t>rozstrzygnięcie w przedmiocie</w:t>
      </w:r>
      <w:r w:rsidR="007A5440">
        <w:t xml:space="preserve"> zasadności oskarżenia przeciwko skarżącemu również </w:t>
      </w:r>
      <w:r w:rsidR="00B67DC4">
        <w:t>nastąpiło</w:t>
      </w:r>
      <w:r w:rsidR="007A5440">
        <w:t xml:space="preserve"> przed Sądem Najwyższym w dniu 12 grudnia 2013 r. Wykluczenie z całości postępowania, </w:t>
      </w:r>
      <w:r w:rsidR="007A5440">
        <w:lastRenderedPageBreak/>
        <w:t>mającego istotne znaczenie dla sprawy, okres</w:t>
      </w:r>
      <w:r w:rsidR="00B67DC4">
        <w:t>ów</w:t>
      </w:r>
      <w:r w:rsidR="007A5440">
        <w:t>, w których spraw</w:t>
      </w:r>
      <w:r w:rsidR="00B67DC4">
        <w:t>ę</w:t>
      </w:r>
      <w:r w:rsidR="007A5440">
        <w:t xml:space="preserve"> </w:t>
      </w:r>
      <w:r w:rsidR="00B67DC4">
        <w:t>rozpoznawano na najwyższym szczeblu krajowym</w:t>
      </w:r>
      <w:r w:rsidR="007A5440">
        <w:t xml:space="preserve">, byłoby sprzeczne </w:t>
      </w:r>
      <w:r w:rsidR="00B67DC4">
        <w:t>z dotychczas prezentowanym przez</w:t>
      </w:r>
      <w:r w:rsidR="007A5440">
        <w:t xml:space="preserve"> Trybunał </w:t>
      </w:r>
      <w:r w:rsidR="00B67DC4">
        <w:t>dotychczas stanowiskiem w tym zakresie</w:t>
      </w:r>
      <w:r w:rsidR="007A5440">
        <w:t xml:space="preserve"> (zob., m.in.,</w:t>
      </w:r>
      <w:r w:rsidR="007A5440">
        <w:rPr>
          <w:i/>
        </w:rPr>
        <w:t xml:space="preserve"> Gossa przeciwko Polsce</w:t>
      </w:r>
      <w:r w:rsidR="007A5440">
        <w:t xml:space="preserve">, skarga nr 47986/99, §§ 68 oraz 71, wyrok z dnia 9 stycznia 2007 r.; </w:t>
      </w:r>
      <w:r w:rsidR="007A5440">
        <w:rPr>
          <w:i/>
        </w:rPr>
        <w:t>Metzger przeciwko Niemcom</w:t>
      </w:r>
      <w:r w:rsidR="007A5440">
        <w:t xml:space="preserve">, skarga nr 37591/97, § 34, wyrok z dnia 31 maja 2001 r.; oraz </w:t>
      </w:r>
      <w:proofErr w:type="spellStart"/>
      <w:r w:rsidR="007A5440">
        <w:rPr>
          <w:i/>
        </w:rPr>
        <w:t>Zielinski</w:t>
      </w:r>
      <w:proofErr w:type="spellEnd"/>
      <w:r w:rsidR="007A5440">
        <w:rPr>
          <w:i/>
        </w:rPr>
        <w:t>, Pradal, Gonzalez i Inni przeciwko Francji</w:t>
      </w:r>
      <w:r w:rsidR="007A5440">
        <w:t xml:space="preserve"> [WI], skargi nr  24846/94 oraz 34165/96 do 34173/96, § 64, ETPCz 1999</w:t>
      </w:r>
      <w:r w:rsidR="007A5440">
        <w:noBreakHyphen/>
        <w:t>VII).</w:t>
      </w:r>
    </w:p>
    <w:p w14:paraId="348AAE01" w14:textId="04937C10" w:rsidR="00D73E6E" w:rsidRPr="00A5017E" w:rsidRDefault="00473C29" w:rsidP="00A5017E">
      <w:pPr>
        <w:pStyle w:val="JuPara"/>
      </w:pPr>
      <w:r>
        <w:fldChar w:fldCharType="begin"/>
      </w:r>
      <w:r>
        <w:instrText xml:space="preserve"> SEQ level0 \*arabic </w:instrText>
      </w:r>
      <w:r>
        <w:fldChar w:fldCharType="separate"/>
      </w:r>
      <w:r w:rsidR="00D51A4A">
        <w:rPr>
          <w:noProof/>
        </w:rPr>
        <w:t>37</w:t>
      </w:r>
      <w:r>
        <w:rPr>
          <w:noProof/>
        </w:rPr>
        <w:fldChar w:fldCharType="end"/>
      </w:r>
      <w:r w:rsidR="008E2773">
        <w:t xml:space="preserve">.  Skarżący wniósł skargę na gruncie ustawy z 2004 r. </w:t>
      </w:r>
      <w:r w:rsidR="00B67DC4">
        <w:t xml:space="preserve">w dniu 22 sierpnia 2013 r., </w:t>
      </w:r>
      <w:r w:rsidR="008E2773">
        <w:t xml:space="preserve">w toku postępowania prowadzonego na etapie postępowania kasacyjnego. Sąd krajowy pozostawił </w:t>
      </w:r>
      <w:r w:rsidR="00B67DC4">
        <w:t xml:space="preserve">jednak </w:t>
      </w:r>
      <w:r w:rsidR="008E2773">
        <w:t>bez rozpoznania wcześniejsze etapy postępowania, które trwały około 12 lat.</w:t>
      </w:r>
    </w:p>
    <w:p w14:paraId="4742365A" w14:textId="290B25BD" w:rsidR="0066291A" w:rsidRPr="00A5017E" w:rsidRDefault="00473C29" w:rsidP="00A5017E">
      <w:pPr>
        <w:pStyle w:val="JuPara"/>
      </w:pPr>
      <w:r>
        <w:fldChar w:fldCharType="begin"/>
      </w:r>
      <w:r>
        <w:instrText xml:space="preserve"> SEQ level0 \*arabic </w:instrText>
      </w:r>
      <w:r>
        <w:fldChar w:fldCharType="separate"/>
      </w:r>
      <w:r w:rsidR="00D51A4A">
        <w:rPr>
          <w:noProof/>
        </w:rPr>
        <w:t>38</w:t>
      </w:r>
      <w:r>
        <w:rPr>
          <w:noProof/>
        </w:rPr>
        <w:fldChar w:fldCharType="end"/>
      </w:r>
      <w:r w:rsidR="00BE3EE7">
        <w:t xml:space="preserve">.  Uwzględniając powyższe rozważania w przedmiocie krajowej praktyki fragmentaryzacji postępowań oraz orzecznictwo dotyczące obliczania całości postępowania podlegającemu rozpatrzeniu w rozumieniu art. 6 ust. 1 Konwencji, Trybunał stwierdza, że złożenie przez skarżącego skargi na gruncie ustawy z 2004 r. nastąpiło w toku postępowania. W tych okolicznościach, zwrócenie się do niego o podjęcie kolejnej próby skorzystania ze środka odwoławczego </w:t>
      </w:r>
      <w:r w:rsidR="00BE3EE7">
        <w:rPr>
          <w:i/>
          <w:iCs/>
        </w:rPr>
        <w:t xml:space="preserve">ex post facto </w:t>
      </w:r>
      <w:r w:rsidR="00BE3EE7">
        <w:t xml:space="preserve">poprzez wystąpienie z powództwem cywilnym po zakończeniu postępowania stanowiłoby </w:t>
      </w:r>
      <w:r w:rsidR="00B67DC4">
        <w:t>rozszerzenie</w:t>
      </w:r>
      <w:r w:rsidR="00BE3EE7">
        <w:t xml:space="preserve"> jego obowiązków wynikających z art. 35 ust. 1 Konwencji.</w:t>
      </w:r>
    </w:p>
    <w:p w14:paraId="522BFA4E" w14:textId="204EA744" w:rsidR="008E2773" w:rsidRPr="00A5017E" w:rsidRDefault="00473C29" w:rsidP="00A5017E">
      <w:pPr>
        <w:pStyle w:val="JuPara"/>
      </w:pPr>
      <w:r>
        <w:fldChar w:fldCharType="begin"/>
      </w:r>
      <w:r>
        <w:instrText xml:space="preserve"> SEQ level0 \*arabic </w:instrText>
      </w:r>
      <w:r>
        <w:fldChar w:fldCharType="separate"/>
      </w:r>
      <w:r w:rsidR="00D51A4A">
        <w:rPr>
          <w:noProof/>
        </w:rPr>
        <w:t>39</w:t>
      </w:r>
      <w:r>
        <w:rPr>
          <w:noProof/>
        </w:rPr>
        <w:fldChar w:fldCharType="end"/>
      </w:r>
      <w:r w:rsidR="008E2773">
        <w:t xml:space="preserve">.  Podsumowując, Trybunał </w:t>
      </w:r>
      <w:r w:rsidR="00B67DC4">
        <w:t xml:space="preserve">oddala </w:t>
      </w:r>
      <w:r w:rsidR="008E2773">
        <w:t xml:space="preserve">zastrzeżenie Rządu </w:t>
      </w:r>
      <w:r w:rsidR="00B67DC4">
        <w:t>dotyczące</w:t>
      </w:r>
      <w:r w:rsidR="008E2773">
        <w:t xml:space="preserve"> korzystania </w:t>
      </w:r>
      <w:r w:rsidR="00B67DC4">
        <w:t xml:space="preserve">z </w:t>
      </w:r>
      <w:r w:rsidR="008E2773">
        <w:t>krajowych środków odwoławczych i stwierdza, że w niniejszej sprawie doszło do naruszenia art. 6 ust. 1 Konwencji.</w:t>
      </w:r>
    </w:p>
    <w:p w14:paraId="7C2E537B" w14:textId="77777777" w:rsidR="009C4E0F" w:rsidRPr="00A5017E" w:rsidRDefault="009C4E0F" w:rsidP="00A5017E">
      <w:pPr>
        <w:pStyle w:val="JuHIRoman"/>
      </w:pPr>
      <w:r>
        <w:t>W PRZEDMIOCIE ART. 13 KONWENCJI</w:t>
      </w:r>
    </w:p>
    <w:p w14:paraId="18458B06" w14:textId="246B0AE7" w:rsidR="00C44CB6" w:rsidRPr="00A5017E" w:rsidRDefault="009C4E0F" w:rsidP="00A5017E">
      <w:pPr>
        <w:pStyle w:val="JuPara"/>
      </w:pPr>
      <w:r w:rsidRPr="00A5017E">
        <w:rPr>
          <w:color w:val="000000"/>
        </w:rPr>
        <w:fldChar w:fldCharType="begin"/>
      </w:r>
      <w:r w:rsidRPr="00A5017E">
        <w:rPr>
          <w:color w:val="000000"/>
        </w:rPr>
        <w:instrText xml:space="preserve"> SEQ level0 \*arabic </w:instrText>
      </w:r>
      <w:r w:rsidRPr="00A5017E">
        <w:rPr>
          <w:color w:val="000000"/>
        </w:rPr>
        <w:fldChar w:fldCharType="separate"/>
      </w:r>
      <w:r w:rsidR="00D51A4A">
        <w:rPr>
          <w:noProof/>
          <w:color w:val="000000"/>
        </w:rPr>
        <w:t>40</w:t>
      </w:r>
      <w:r w:rsidRPr="00A5017E">
        <w:rPr>
          <w:color w:val="000000"/>
        </w:rPr>
        <w:fldChar w:fldCharType="end"/>
      </w:r>
      <w:r>
        <w:rPr>
          <w:color w:val="000000"/>
        </w:rPr>
        <w:t>.  </w:t>
      </w:r>
      <w:r>
        <w:t xml:space="preserve">Pierwotnie skarżący </w:t>
      </w:r>
      <w:r w:rsidR="00B67DC4">
        <w:t xml:space="preserve">wniósł </w:t>
      </w:r>
      <w:r>
        <w:t xml:space="preserve">skargę na gruncie art. 13 Konwencji, podnosząc zarzut braku skutecznego środka odwoławczego w odniesieniu do </w:t>
      </w:r>
      <w:r w:rsidR="008A7D73">
        <w:t>przewlekłości prowadzonego w jego sprawie</w:t>
      </w:r>
      <w:r>
        <w:t xml:space="preserve"> postępowania. </w:t>
      </w:r>
      <w:r w:rsidR="008A7D73">
        <w:t>Tymczasem nie podtrzymał on tego zarzutu w</w:t>
      </w:r>
      <w:r>
        <w:t xml:space="preserve"> swoich uwagach na piśmie w przedmiocie dopuszczalności i przedmiotu skargi.</w:t>
      </w:r>
    </w:p>
    <w:p w14:paraId="3EF32A0A" w14:textId="398E0467" w:rsidR="009C4E0F" w:rsidRPr="00A5017E" w:rsidRDefault="00473C29" w:rsidP="00A5017E">
      <w:pPr>
        <w:pStyle w:val="JuPara"/>
      </w:pPr>
      <w:r>
        <w:fldChar w:fldCharType="begin"/>
      </w:r>
      <w:r>
        <w:instrText xml:space="preserve"> SEQ level0 \*arabic </w:instrText>
      </w:r>
      <w:r>
        <w:fldChar w:fldCharType="separate"/>
      </w:r>
      <w:r w:rsidR="00D51A4A">
        <w:rPr>
          <w:noProof/>
        </w:rPr>
        <w:t>41</w:t>
      </w:r>
      <w:r>
        <w:rPr>
          <w:noProof/>
        </w:rPr>
        <w:fldChar w:fldCharType="end"/>
      </w:r>
      <w:r w:rsidR="009C4E0F">
        <w:t xml:space="preserve">.  Rząd również nie </w:t>
      </w:r>
      <w:r w:rsidR="008A7D73">
        <w:t>przedstawił stanowiska w tym zakresie</w:t>
      </w:r>
      <w:r w:rsidR="009C4E0F">
        <w:t>.</w:t>
      </w:r>
    </w:p>
    <w:p w14:paraId="11A098B4" w14:textId="4F17A53C" w:rsidR="008E2773" w:rsidRPr="00A5017E" w:rsidRDefault="00473C29" w:rsidP="00A5017E">
      <w:pPr>
        <w:pStyle w:val="JuPara"/>
      </w:pPr>
      <w:r>
        <w:fldChar w:fldCharType="begin"/>
      </w:r>
      <w:r>
        <w:instrText xml:space="preserve"> SEQ level0 \*arabic </w:instrText>
      </w:r>
      <w:r>
        <w:fldChar w:fldCharType="separate"/>
      </w:r>
      <w:r w:rsidR="00D51A4A">
        <w:rPr>
          <w:noProof/>
        </w:rPr>
        <w:t>42</w:t>
      </w:r>
      <w:r>
        <w:rPr>
          <w:noProof/>
        </w:rPr>
        <w:fldChar w:fldCharType="end"/>
      </w:r>
      <w:r w:rsidR="00966CAF">
        <w:t>.  </w:t>
      </w:r>
      <w:r w:rsidR="008A7D73">
        <w:t xml:space="preserve">Ze względu na fakt, że </w:t>
      </w:r>
      <w:r w:rsidR="00966CAF">
        <w:t xml:space="preserve">skarżący nie zamierzał podtrzymywać skargi na gruncie art. 13 Konwencji, Trybunał nie </w:t>
      </w:r>
      <w:r w:rsidR="008A7D73">
        <w:t xml:space="preserve">dostrzega </w:t>
      </w:r>
      <w:r w:rsidR="00966CAF">
        <w:t xml:space="preserve">potrzeby rozpatrywania jej z urzędu (zob. przykładowo </w:t>
      </w:r>
      <w:r w:rsidR="00966CAF">
        <w:rPr>
          <w:i/>
        </w:rPr>
        <w:t>Steel i Inni przeciwko Zjednoczonemu Królestwu,</w:t>
      </w:r>
      <w:r w:rsidR="00966CAF">
        <w:t xml:space="preserve"> wyrok z dnia 23 września 1998 r., </w:t>
      </w:r>
      <w:r w:rsidR="008A7D73">
        <w:rPr>
          <w:i/>
          <w:iCs/>
        </w:rPr>
        <w:t>Zbiór</w:t>
      </w:r>
      <w:r w:rsidR="008A7D73">
        <w:t xml:space="preserve"> </w:t>
      </w:r>
      <w:r w:rsidR="00966CAF">
        <w:t xml:space="preserve">1998-VI, 2733, § 43; oraz </w:t>
      </w:r>
      <w:r w:rsidR="00966CAF">
        <w:rPr>
          <w:i/>
        </w:rPr>
        <w:t xml:space="preserve">H.B. </w:t>
      </w:r>
      <w:r w:rsidR="008A7D73">
        <w:rPr>
          <w:i/>
        </w:rPr>
        <w:t>p</w:t>
      </w:r>
      <w:r w:rsidR="00966CAF">
        <w:rPr>
          <w:i/>
        </w:rPr>
        <w:t>rzeciwko Szwajcarii</w:t>
      </w:r>
      <w:r w:rsidR="00966CAF">
        <w:t>, skarga nr 26899/95, § 67, wyrok z dnia 5 kwietnia 2001 r.).</w:t>
      </w:r>
    </w:p>
    <w:p w14:paraId="590EE76A" w14:textId="77777777" w:rsidR="00DE61E0" w:rsidRPr="00A5017E" w:rsidRDefault="00DE61E0" w:rsidP="00A5017E">
      <w:pPr>
        <w:pStyle w:val="JuHIRoman"/>
      </w:pPr>
      <w:r>
        <w:t>ZASTOSOWANIE ART. 41 KONWENCJI</w:t>
      </w:r>
    </w:p>
    <w:p w14:paraId="2BD0A5ED" w14:textId="77777777" w:rsidR="00DE61E0" w:rsidRPr="00A5017E" w:rsidRDefault="00473C29" w:rsidP="00A5017E">
      <w:pPr>
        <w:pStyle w:val="JuPara"/>
      </w:pPr>
      <w:r>
        <w:fldChar w:fldCharType="begin"/>
      </w:r>
      <w:r>
        <w:instrText xml:space="preserve"> SEQ level0 \*arabic </w:instrText>
      </w:r>
      <w:r>
        <w:fldChar w:fldCharType="separate"/>
      </w:r>
      <w:r w:rsidR="00D51A4A">
        <w:rPr>
          <w:noProof/>
        </w:rPr>
        <w:t>43</w:t>
      </w:r>
      <w:r>
        <w:rPr>
          <w:noProof/>
        </w:rPr>
        <w:fldChar w:fldCharType="end"/>
      </w:r>
      <w:r w:rsidR="00BD42C6">
        <w:t>.  Artykuł 41 Konwencji stanowi:</w:t>
      </w:r>
    </w:p>
    <w:p w14:paraId="7E7A3575" w14:textId="77777777" w:rsidR="00DE61E0" w:rsidRPr="00A5017E" w:rsidRDefault="00DE61E0" w:rsidP="00A5017E">
      <w:pPr>
        <w:pStyle w:val="JuQuot"/>
        <w:keepNext/>
        <w:keepLines/>
      </w:pPr>
      <w:r>
        <w:lastRenderedPageBreak/>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3161CAD5" w14:textId="77777777" w:rsidR="00DE61E0" w:rsidRPr="00A5017E" w:rsidRDefault="00DE61E0" w:rsidP="00A5017E">
      <w:pPr>
        <w:pStyle w:val="JuHA"/>
      </w:pPr>
      <w:r>
        <w:t>Szkoda</w:t>
      </w:r>
    </w:p>
    <w:p w14:paraId="0FAF14A4" w14:textId="4D8B0AF8" w:rsidR="00DE61E0" w:rsidRPr="00A5017E" w:rsidRDefault="00473C29" w:rsidP="00A5017E">
      <w:pPr>
        <w:pStyle w:val="JuPara"/>
      </w:pPr>
      <w:r>
        <w:fldChar w:fldCharType="begin"/>
      </w:r>
      <w:r>
        <w:instrText xml:space="preserve"> SEQ level0 \*arabic </w:instrText>
      </w:r>
      <w:r>
        <w:fldChar w:fldCharType="separate"/>
      </w:r>
      <w:r w:rsidR="00D51A4A">
        <w:rPr>
          <w:noProof/>
        </w:rPr>
        <w:t>44</w:t>
      </w:r>
      <w:r>
        <w:rPr>
          <w:noProof/>
        </w:rPr>
        <w:fldChar w:fldCharType="end"/>
      </w:r>
      <w:r w:rsidR="00BD42C6">
        <w:t xml:space="preserve">.  Skarżący </w:t>
      </w:r>
      <w:r w:rsidR="008A7D73">
        <w:t>domagał się</w:t>
      </w:r>
      <w:r w:rsidR="00BD42C6">
        <w:t xml:space="preserve"> odszkodowania z tytułu poniesionej szkody majątkowej w kwocie 86 000 EUR na pokrycie utraconego </w:t>
      </w:r>
      <w:r w:rsidR="008A7D73">
        <w:t xml:space="preserve">dochodu </w:t>
      </w:r>
      <w:r w:rsidR="00BD42C6">
        <w:t xml:space="preserve">od 2006 r. </w:t>
      </w:r>
      <w:r w:rsidR="008A7D73">
        <w:t xml:space="preserve">Ponadto skarżący domagał się </w:t>
      </w:r>
      <w:r w:rsidR="00BD42C6">
        <w:t>kwoty 15 000 EUR tytułem zadośćuczynienia za szkodę niemajątkową.</w:t>
      </w:r>
    </w:p>
    <w:p w14:paraId="4AB78117" w14:textId="77777777" w:rsidR="00DE61E0" w:rsidRPr="00A5017E" w:rsidRDefault="00473C29" w:rsidP="00A5017E">
      <w:pPr>
        <w:pStyle w:val="JuPara"/>
      </w:pPr>
      <w:r>
        <w:fldChar w:fldCharType="begin"/>
      </w:r>
      <w:r>
        <w:instrText xml:space="preserve"> SEQ level0 \*arabic </w:instrText>
      </w:r>
      <w:r>
        <w:fldChar w:fldCharType="separate"/>
      </w:r>
      <w:r w:rsidR="00D51A4A">
        <w:rPr>
          <w:noProof/>
        </w:rPr>
        <w:t>45</w:t>
      </w:r>
      <w:r>
        <w:rPr>
          <w:noProof/>
        </w:rPr>
        <w:fldChar w:fldCharType="end"/>
      </w:r>
      <w:r w:rsidR="00BD42C6">
        <w:t>.  Rząd zakwestionował te roszczenia.</w:t>
      </w:r>
    </w:p>
    <w:p w14:paraId="7CE01AF4" w14:textId="5E40DDA8" w:rsidR="00C754EE" w:rsidRPr="00A5017E" w:rsidRDefault="00473C29" w:rsidP="00A5017E">
      <w:pPr>
        <w:pStyle w:val="JuPara"/>
      </w:pPr>
      <w:r>
        <w:fldChar w:fldCharType="begin"/>
      </w:r>
      <w:r>
        <w:instrText xml:space="preserve"> SEQ level0 \*arabic </w:instrText>
      </w:r>
      <w:r>
        <w:fldChar w:fldCharType="separate"/>
      </w:r>
      <w:r w:rsidR="00D51A4A">
        <w:rPr>
          <w:noProof/>
        </w:rPr>
        <w:t>46</w:t>
      </w:r>
      <w:r>
        <w:rPr>
          <w:noProof/>
        </w:rPr>
        <w:fldChar w:fldCharType="end"/>
      </w:r>
      <w:r w:rsidR="00BD42C6">
        <w:t xml:space="preserve">.  Trybunał stwierdza, na podstawie przedłożonych dowodów, iż skarżący nie wykazał, jakoby </w:t>
      </w:r>
      <w:r w:rsidR="008A7D73">
        <w:t>poniósł</w:t>
      </w:r>
      <w:r w:rsidR="00BD42C6">
        <w:t xml:space="preserve"> szkod</w:t>
      </w:r>
      <w:r w:rsidR="008A7D73">
        <w:t>ę</w:t>
      </w:r>
      <w:r w:rsidR="00BD42C6">
        <w:t xml:space="preserve"> majątkow</w:t>
      </w:r>
      <w:r w:rsidR="008A7D73">
        <w:t>ą</w:t>
      </w:r>
      <w:r w:rsidR="00BD42C6">
        <w:t xml:space="preserve"> </w:t>
      </w:r>
      <w:r w:rsidR="008A7D73">
        <w:t>w związku z</w:t>
      </w:r>
      <w:r w:rsidR="00BD42C6">
        <w:t xml:space="preserve"> naruszeniem Konwencji. W związku z powyższym, nie znajduje uzasadnienia </w:t>
      </w:r>
      <w:r w:rsidR="008A7D73">
        <w:t xml:space="preserve">dla </w:t>
      </w:r>
      <w:r w:rsidR="00BD42C6">
        <w:t>przyznani</w:t>
      </w:r>
      <w:r w:rsidR="008A7D73">
        <w:t>a</w:t>
      </w:r>
      <w:r w:rsidR="00BD42C6">
        <w:t xml:space="preserve"> </w:t>
      </w:r>
      <w:r w:rsidR="00DB7BE8">
        <w:t>odszkodowania</w:t>
      </w:r>
      <w:r w:rsidR="00BD42C6">
        <w:t xml:space="preserve"> w </w:t>
      </w:r>
      <w:r w:rsidR="008A7D73">
        <w:t>tym zakresie</w:t>
      </w:r>
      <w:r w:rsidR="00BD42C6">
        <w:t xml:space="preserve"> (zob. </w:t>
      </w:r>
      <w:r w:rsidR="00BD42C6">
        <w:rPr>
          <w:i/>
          <w:iCs/>
        </w:rPr>
        <w:t xml:space="preserve">mutatis mutandis, Kudła przeciwko Polsce </w:t>
      </w:r>
      <w:r w:rsidR="00BD42C6">
        <w:t>[WI]</w:t>
      </w:r>
      <w:r w:rsidR="00BD42C6">
        <w:rPr>
          <w:i/>
          <w:iCs/>
        </w:rPr>
        <w:t xml:space="preserve">, </w:t>
      </w:r>
      <w:r w:rsidR="00BD42C6">
        <w:t>skarga nr 30210/96, § 164, ETPCz 2000-XI).</w:t>
      </w:r>
    </w:p>
    <w:p w14:paraId="3C770D69" w14:textId="7A4BA28B" w:rsidR="00C44CB6" w:rsidRPr="00A5017E" w:rsidRDefault="00DE61E0" w:rsidP="00A5017E">
      <w:pPr>
        <w:pStyle w:val="JuPara"/>
      </w:pPr>
      <w:r>
        <w:t xml:space="preserve">Trybunał, działając w oparciu o zasadę słuszności, przyznaje skarżącemu </w:t>
      </w:r>
      <w:r w:rsidR="008A7D73">
        <w:t xml:space="preserve">kwotę </w:t>
      </w:r>
      <w:r>
        <w:t xml:space="preserve">9000 EUR </w:t>
      </w:r>
      <w:r w:rsidR="008A7D73">
        <w:t xml:space="preserve">tytułem </w:t>
      </w:r>
      <w:r>
        <w:t>zadośćuczynienia za szkodę niemajątkową.</w:t>
      </w:r>
    </w:p>
    <w:p w14:paraId="3E4A37E8" w14:textId="77777777" w:rsidR="00DE61E0" w:rsidRPr="00A5017E" w:rsidRDefault="00DE61E0" w:rsidP="00A5017E">
      <w:pPr>
        <w:pStyle w:val="JuHA"/>
      </w:pPr>
      <w:r>
        <w:t>Koszty i wydatki</w:t>
      </w:r>
    </w:p>
    <w:p w14:paraId="404F930D" w14:textId="77777777" w:rsidR="00DE61E0" w:rsidRPr="00A5017E" w:rsidRDefault="00473C29" w:rsidP="00A5017E">
      <w:pPr>
        <w:pStyle w:val="JuPara"/>
      </w:pPr>
      <w:r>
        <w:fldChar w:fldCharType="begin"/>
      </w:r>
      <w:r>
        <w:instrText xml:space="preserve"> SEQ level0 \*arabic </w:instrText>
      </w:r>
      <w:r>
        <w:fldChar w:fldCharType="separate"/>
      </w:r>
      <w:r w:rsidR="00D51A4A">
        <w:rPr>
          <w:noProof/>
        </w:rPr>
        <w:t>47</w:t>
      </w:r>
      <w:r>
        <w:rPr>
          <w:noProof/>
        </w:rPr>
        <w:fldChar w:fldCharType="end"/>
      </w:r>
      <w:r w:rsidR="00BD42C6">
        <w:t>.  Skarżący nie zgłosił żadnego roszczenia z tytułu kosztów i wydatków poniesionych w postępowaniach przed sądami krajowymi bądź przed Trybunałem.</w:t>
      </w:r>
    </w:p>
    <w:p w14:paraId="47C93669" w14:textId="77777777" w:rsidR="00DE61E0" w:rsidRPr="00A5017E" w:rsidRDefault="00DE61E0" w:rsidP="00A5017E">
      <w:pPr>
        <w:pStyle w:val="JuHA"/>
      </w:pPr>
      <w:r>
        <w:t>Odsetki za zwłokę</w:t>
      </w:r>
    </w:p>
    <w:p w14:paraId="0D392813" w14:textId="77777777" w:rsidR="00DE61E0" w:rsidRPr="00A5017E" w:rsidRDefault="00473C29" w:rsidP="00A5017E">
      <w:pPr>
        <w:pStyle w:val="JuPara"/>
      </w:pPr>
      <w:r>
        <w:fldChar w:fldCharType="begin"/>
      </w:r>
      <w:r>
        <w:instrText xml:space="preserve"> SEQ level0 \*arabic </w:instrText>
      </w:r>
      <w:r>
        <w:fldChar w:fldCharType="separate"/>
      </w:r>
      <w:r w:rsidR="00D51A4A">
        <w:rPr>
          <w:noProof/>
        </w:rPr>
        <w:t>48</w:t>
      </w:r>
      <w:r>
        <w:rPr>
          <w:noProof/>
        </w:rPr>
        <w:fldChar w:fldCharType="end"/>
      </w:r>
      <w:r w:rsidR="00BD42C6">
        <w:t>.  Trybunał za słuszne uznaje wyznaczenie wysokości odsetek za zwłokę na podstawie marginalnej stopy procentowej Europejskiego Banku Centralnego powiększonej o trzy punkty procentowe.</w:t>
      </w:r>
    </w:p>
    <w:p w14:paraId="64C310C8" w14:textId="77777777" w:rsidR="00DE61E0" w:rsidRPr="00A5017E" w:rsidRDefault="002E044C" w:rsidP="00A5017E">
      <w:pPr>
        <w:pStyle w:val="JuHHead"/>
      </w:pPr>
      <w:r>
        <w:t>Z POWYŻSZYCH WZGLĘDÓW TRYBUNAŁ JEDNOGŁOŚNIE</w:t>
      </w:r>
    </w:p>
    <w:p w14:paraId="2A67A51F" w14:textId="1AE4B29D" w:rsidR="00E32B35" w:rsidRPr="00A5017E" w:rsidRDefault="008A7D73" w:rsidP="00A5017E">
      <w:pPr>
        <w:pStyle w:val="JuList"/>
      </w:pPr>
      <w:r>
        <w:rPr>
          <w:i/>
          <w:iCs/>
        </w:rPr>
        <w:t>Obejmuje</w:t>
      </w:r>
      <w:r w:rsidR="006E7D6A">
        <w:t xml:space="preserve"> przedmiot</w:t>
      </w:r>
      <w:r>
        <w:t>em</w:t>
      </w:r>
      <w:r w:rsidR="006E7D6A">
        <w:t xml:space="preserve"> skargi zastrzeżenia wstępne Rządu </w:t>
      </w:r>
      <w:r>
        <w:t>dotyczące braku</w:t>
      </w:r>
      <w:r w:rsidR="006E7D6A">
        <w:t xml:space="preserve"> </w:t>
      </w:r>
      <w:r>
        <w:t xml:space="preserve">wyczerpania </w:t>
      </w:r>
      <w:r w:rsidR="006E7D6A">
        <w:t xml:space="preserve">przez skarżącego krajowych środków odwoławczych i w tej części je </w:t>
      </w:r>
      <w:r>
        <w:t>oddala</w:t>
      </w:r>
      <w:r w:rsidR="006E7D6A">
        <w:t>;</w:t>
      </w:r>
    </w:p>
    <w:p w14:paraId="65364F48" w14:textId="52A4FF1C" w:rsidR="006E7D6A" w:rsidRPr="00A5017E" w:rsidRDefault="006E7D6A" w:rsidP="00A5017E">
      <w:pPr>
        <w:pStyle w:val="JuList"/>
      </w:pPr>
      <w:r>
        <w:rPr>
          <w:i/>
          <w:iCs/>
        </w:rPr>
        <w:t>Uznaje</w:t>
      </w:r>
      <w:r>
        <w:t xml:space="preserve"> skargę za dopuszczalną na gruncie art.</w:t>
      </w:r>
      <w:r w:rsidR="008A7D73">
        <w:t xml:space="preserve"> </w:t>
      </w:r>
      <w:r>
        <w:t xml:space="preserve">6 ust. 1 Konwencji; </w:t>
      </w:r>
    </w:p>
    <w:p w14:paraId="6F8C5FC2" w14:textId="1EDBB95A" w:rsidR="00E32B35" w:rsidRPr="00A5017E" w:rsidRDefault="006E7D6A" w:rsidP="00A5017E">
      <w:pPr>
        <w:pStyle w:val="JuList"/>
      </w:pPr>
      <w:r>
        <w:rPr>
          <w:i/>
        </w:rPr>
        <w:t>Orzeka</w:t>
      </w:r>
      <w:r>
        <w:t>, że doszło do naruszenia art. 6 ust. 1 Konwencji;</w:t>
      </w:r>
    </w:p>
    <w:p w14:paraId="7742972D" w14:textId="54B84224" w:rsidR="00E32B35" w:rsidRDefault="00E32B35" w:rsidP="00A5017E">
      <w:pPr>
        <w:pStyle w:val="JuList"/>
      </w:pPr>
      <w:r>
        <w:rPr>
          <w:i/>
        </w:rPr>
        <w:lastRenderedPageBreak/>
        <w:t>Orzeka</w:t>
      </w:r>
      <w:r>
        <w:t xml:space="preserve">, że nie ma potrzeby rozpatrywania skargi na </w:t>
      </w:r>
      <w:r w:rsidR="003D6B61">
        <w:t xml:space="preserve">gruncie </w:t>
      </w:r>
      <w:r>
        <w:t>art. 13 Konwencji;</w:t>
      </w:r>
    </w:p>
    <w:p w14:paraId="50AE835F" w14:textId="77777777" w:rsidR="00B72C0B" w:rsidRPr="00A5017E" w:rsidRDefault="00B72C0B" w:rsidP="00A5017E">
      <w:pPr>
        <w:pStyle w:val="JuList"/>
      </w:pPr>
      <w:r>
        <w:rPr>
          <w:i/>
        </w:rPr>
        <w:t>Orzeka:</w:t>
      </w:r>
    </w:p>
    <w:p w14:paraId="51F2AE40" w14:textId="71AF5DF0" w:rsidR="00DE61E0" w:rsidRPr="00A5017E" w:rsidRDefault="00DE61E0" w:rsidP="00A5017E">
      <w:pPr>
        <w:pStyle w:val="JuLista"/>
      </w:pPr>
      <w:r>
        <w:t xml:space="preserve">że Państwo pozwane ma zapłacić skarżącemu, w terminie trzech miesięcy, kwotę 9000 EUR (dziewięć tysięcy euro) w przeliczeniu na walutę obowiązującą w pozwanym Państwie po kursie obowiązującym w dniu rozliczenia, z tytułu kosztów i wydatków, plus </w:t>
      </w:r>
      <w:r w:rsidR="003D6B61">
        <w:t>wszelkie należne</w:t>
      </w:r>
      <w:r>
        <w:t xml:space="preserve"> podatki;</w:t>
      </w:r>
    </w:p>
    <w:p w14:paraId="6613A5D0" w14:textId="6FB3A9C2" w:rsidR="00DE61E0" w:rsidRPr="00A5017E" w:rsidRDefault="00DE61E0" w:rsidP="00A5017E">
      <w:pPr>
        <w:pStyle w:val="JuLista"/>
      </w:pPr>
      <w:r>
        <w:t xml:space="preserve">że od upływu wyżej wskazanego terminu trzech miesięcy aż do momentu uregulowania należności, należne będą odsetki zwykłe od </w:t>
      </w:r>
      <w:r w:rsidR="003D6B61">
        <w:t xml:space="preserve">określonej </w:t>
      </w:r>
      <w:r>
        <w:t>powyżej kwot</w:t>
      </w:r>
      <w:r w:rsidR="003D6B61">
        <w:t>y</w:t>
      </w:r>
      <w:r>
        <w:t>, naliczone według stopy równej marginalnej stopie procentowej Europejskiego Banku Centralnego obowiązującej w tym okresie, powiększonej o trzy punkty procentowe;</w:t>
      </w:r>
    </w:p>
    <w:p w14:paraId="1ACD113A" w14:textId="77777777" w:rsidR="00DE61E0" w:rsidRPr="00A5017E" w:rsidRDefault="00DE61E0" w:rsidP="00A5017E">
      <w:pPr>
        <w:pStyle w:val="JuList"/>
      </w:pPr>
      <w:r>
        <w:rPr>
          <w:i/>
        </w:rPr>
        <w:t xml:space="preserve">Oddala </w:t>
      </w:r>
      <w:r>
        <w:t>pozostałą część roszczenia skarżącej dotyczącego słusznego zadośćuczynienia.</w:t>
      </w:r>
    </w:p>
    <w:p w14:paraId="481AB0CA" w14:textId="77777777" w:rsidR="00DE61E0" w:rsidRPr="00A5017E" w:rsidRDefault="00DE61E0" w:rsidP="00A5017E">
      <w:pPr>
        <w:pStyle w:val="JuParaLast"/>
      </w:pPr>
      <w:r>
        <w:t>Sporządzono w języku angielskim i obwieszczono pisemnie dnia 26 marca 2020 r. zgodnie z Regułą 77 §§ 2 i 3 Regulaminu Trybunału.</w:t>
      </w:r>
    </w:p>
    <w:p w14:paraId="42FD239A" w14:textId="5A847521" w:rsidR="00EB447C" w:rsidRPr="00A5017E" w:rsidRDefault="00A54809" w:rsidP="00A5017E">
      <w:pPr>
        <w:pStyle w:val="JuSigned"/>
      </w:pPr>
      <w:r>
        <w:tab/>
        <w:t xml:space="preserve">Renata </w:t>
      </w:r>
      <w:proofErr w:type="spellStart"/>
      <w:r>
        <w:t>Degener</w:t>
      </w:r>
      <w:proofErr w:type="spellEnd"/>
      <w:r>
        <w:tab/>
      </w:r>
      <w:proofErr w:type="spellStart"/>
      <w:r>
        <w:t>Pere</w:t>
      </w:r>
      <w:proofErr w:type="spellEnd"/>
      <w:r>
        <w:t xml:space="preserve"> Pastor </w:t>
      </w:r>
      <w:proofErr w:type="spellStart"/>
      <w:r>
        <w:t>Vilanova</w:t>
      </w:r>
      <w:proofErr w:type="spellEnd"/>
      <w:r>
        <w:br/>
      </w:r>
      <w:r>
        <w:tab/>
        <w:t>Zastępczyni Kanclerza</w:t>
      </w:r>
      <w:r>
        <w:tab/>
        <w:t>Przewodnicząc</w:t>
      </w:r>
      <w:r w:rsidR="003D6B61">
        <w:t>y</w:t>
      </w:r>
    </w:p>
    <w:sectPr w:rsidR="00EB447C" w:rsidRPr="00A5017E" w:rsidSect="005246EB">
      <w:headerReference w:type="even" r:id="rId17"/>
      <w:headerReference w:type="default" r:id="rId18"/>
      <w:footerReference w:type="even"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53C3D2" w14:textId="77777777" w:rsidR="009913BD" w:rsidRPr="008E6746" w:rsidRDefault="009913BD" w:rsidP="000055E6">
      <w:r w:rsidRPr="008E6746">
        <w:separator/>
      </w:r>
    </w:p>
  </w:endnote>
  <w:endnote w:type="continuationSeparator" w:id="0">
    <w:p w14:paraId="633C9639" w14:textId="77777777" w:rsidR="009913BD" w:rsidRPr="008E6746" w:rsidRDefault="009913BD" w:rsidP="000055E6">
      <w:r w:rsidRPr="008E67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8483E" w14:textId="77777777" w:rsidR="00DE7938" w:rsidRDefault="00DE7938" w:rsidP="00C71F5A">
    <w:pPr>
      <w:pStyle w:val="Stopka"/>
      <w:tabs>
        <w:tab w:val="clear" w:pos="3686"/>
        <w:tab w:val="clear" w:pos="7371"/>
        <w:tab w:val="left" w:pos="318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2241009"/>
      <w:docPartObj>
        <w:docPartGallery w:val="Page Numbers (Bottom of Page)"/>
        <w:docPartUnique/>
      </w:docPartObj>
    </w:sdtPr>
    <w:sdtEndPr/>
    <w:sdtContent>
      <w:p w14:paraId="3B5031E4" w14:textId="6456F603" w:rsidR="00DE7938" w:rsidRDefault="00DE7938" w:rsidP="00DE7938">
        <w:pPr>
          <w:pStyle w:val="Stopka"/>
        </w:pPr>
        <w:r>
          <w:tab/>
        </w:r>
        <w:r w:rsidRPr="00C71F5A">
          <w:rPr>
            <w:sz w:val="18"/>
            <w:szCs w:val="18"/>
          </w:rPr>
          <w:fldChar w:fldCharType="begin"/>
        </w:r>
        <w:r w:rsidRPr="00C71F5A">
          <w:rPr>
            <w:sz w:val="18"/>
            <w:szCs w:val="18"/>
          </w:rPr>
          <w:instrText xml:space="preserve"> PAGE </w:instrText>
        </w:r>
        <w:r w:rsidRPr="00C71F5A">
          <w:rPr>
            <w:sz w:val="18"/>
            <w:szCs w:val="18"/>
          </w:rPr>
          <w:fldChar w:fldCharType="separate"/>
        </w:r>
        <w:r>
          <w:rPr>
            <w:noProof/>
            <w:sz w:val="18"/>
            <w:szCs w:val="18"/>
          </w:rPr>
          <w:t>1</w:t>
        </w:r>
        <w:r w:rsidRPr="00C71F5A">
          <w:rPr>
            <w:sz w:val="18"/>
            <w:szCs w:val="18"/>
          </w:rPr>
          <w:fldChar w:fldCharType="end"/>
        </w:r>
      </w:p>
    </w:sdtContent>
  </w:sdt>
  <w:p w14:paraId="0E96D02C" w14:textId="77777777" w:rsidR="00DE7938" w:rsidRDefault="00DE793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26A2F" w14:textId="77777777" w:rsidR="00DE7938" w:rsidRPr="00150BFA" w:rsidRDefault="00DE7938" w:rsidP="00DE7938">
    <w:pPr>
      <w:jc w:val="center"/>
    </w:pPr>
    <w:r>
      <w:rPr>
        <w:noProof/>
        <w:lang w:eastAsia="pl-PL"/>
      </w:rPr>
      <w:drawing>
        <wp:inline distT="0" distB="0" distL="0" distR="0" wp14:anchorId="6E3E7B1E" wp14:editId="6E0632D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7206EDB" w14:textId="77777777" w:rsidR="00DE7938" w:rsidRDefault="00DE7938">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60745"/>
      <w:docPartObj>
        <w:docPartGallery w:val="Page Numbers (Bottom of Page)"/>
        <w:docPartUnique/>
      </w:docPartObj>
    </w:sdtPr>
    <w:sdtEndPr/>
    <w:sdtContent>
      <w:p w14:paraId="4B1115AC" w14:textId="6F2F32C0" w:rsidR="00DE7938" w:rsidRDefault="00DE7938" w:rsidP="00DE7938">
        <w:pPr>
          <w:pStyle w:val="Stopka"/>
        </w:pPr>
        <w:r>
          <w:tab/>
        </w:r>
        <w:r w:rsidRPr="00C71F5A">
          <w:rPr>
            <w:sz w:val="18"/>
            <w:szCs w:val="18"/>
          </w:rPr>
          <w:fldChar w:fldCharType="begin"/>
        </w:r>
        <w:r w:rsidRPr="00C71F5A">
          <w:rPr>
            <w:sz w:val="18"/>
            <w:szCs w:val="18"/>
          </w:rPr>
          <w:instrText xml:space="preserve"> PAGE </w:instrText>
        </w:r>
        <w:r w:rsidRPr="00C71F5A">
          <w:rPr>
            <w:sz w:val="18"/>
            <w:szCs w:val="18"/>
          </w:rPr>
          <w:fldChar w:fldCharType="separate"/>
        </w:r>
        <w:r>
          <w:rPr>
            <w:noProof/>
            <w:sz w:val="18"/>
            <w:szCs w:val="18"/>
          </w:rPr>
          <w:t>2</w:t>
        </w:r>
        <w:r w:rsidRPr="00C71F5A">
          <w:rPr>
            <w:sz w:val="18"/>
            <w:szCs w:val="18"/>
          </w:rPr>
          <w:fldChar w:fldCharType="end"/>
        </w:r>
      </w:p>
    </w:sdtContent>
  </w:sdt>
  <w:p w14:paraId="697945D1" w14:textId="77777777" w:rsidR="00DE7938" w:rsidRDefault="00DE7938" w:rsidP="00C71F5A">
    <w:pPr>
      <w:pStyle w:val="Stopka"/>
      <w:tabs>
        <w:tab w:val="clear" w:pos="3686"/>
        <w:tab w:val="clear" w:pos="7371"/>
        <w:tab w:val="left" w:pos="31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79C59" w14:textId="77777777" w:rsidR="009913BD" w:rsidRPr="008E6746" w:rsidRDefault="009913BD" w:rsidP="000055E6">
      <w:r w:rsidRPr="008E6746">
        <w:separator/>
      </w:r>
    </w:p>
  </w:footnote>
  <w:footnote w:type="continuationSeparator" w:id="0">
    <w:p w14:paraId="3B59B62D" w14:textId="77777777" w:rsidR="009913BD" w:rsidRPr="008E6746" w:rsidRDefault="009913BD" w:rsidP="000055E6">
      <w:r w:rsidRPr="008E674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2DDEC" w14:textId="77777777" w:rsidR="00DE7938" w:rsidRDefault="00DE793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F8F0C" w14:textId="77777777" w:rsidR="00DE7938" w:rsidRPr="005246EB" w:rsidRDefault="00DE7938" w:rsidP="005246EB">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F2552" w14:textId="77777777" w:rsidR="00DE7938" w:rsidRPr="00A45145" w:rsidRDefault="00DE7938" w:rsidP="00DE7938">
    <w:pPr>
      <w:jc w:val="center"/>
    </w:pPr>
    <w:r>
      <w:rPr>
        <w:noProof/>
        <w:lang w:eastAsia="pl-PL"/>
      </w:rPr>
      <w:drawing>
        <wp:inline distT="0" distB="0" distL="0" distR="0" wp14:anchorId="21E02677" wp14:editId="2F30627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4E7A7E3" w14:textId="77777777" w:rsidR="00DE7938" w:rsidRPr="008E6746" w:rsidRDefault="00DE7938">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DF504" w14:textId="77777777" w:rsidR="00DE7938" w:rsidRPr="008E6746" w:rsidRDefault="00DE7938" w:rsidP="00D0189E">
    <w:pPr>
      <w:pStyle w:val="JuHeader"/>
    </w:pPr>
    <w:r>
      <w:t>WYROK W SPRAWIE ZBOROWSKI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C86B9" w14:textId="77777777" w:rsidR="00DE7938" w:rsidRPr="008E6746" w:rsidRDefault="00DE7938" w:rsidP="00D0189E">
    <w:pPr>
      <w:pStyle w:val="JuHeader"/>
    </w:pPr>
    <w:r>
      <w:tab/>
      <w:t>WYROK W SPRAWIE ZBOROWSKI przeciwko POLSCE</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xMjKwNDM0NLKwMDJU0lEKTi0uzszPAykwrAUACz79UiwAAAA="/>
    <w:docVar w:name="EMM" w:val="0"/>
    <w:docVar w:name="NBEMMDOC" w:val="0"/>
  </w:docVars>
  <w:rsids>
    <w:rsidRoot w:val="00BD42C6"/>
    <w:rsid w:val="0000006A"/>
    <w:rsid w:val="000041F8"/>
    <w:rsid w:val="000042A8"/>
    <w:rsid w:val="00004308"/>
    <w:rsid w:val="000055E6"/>
    <w:rsid w:val="00005BF0"/>
    <w:rsid w:val="00006FEE"/>
    <w:rsid w:val="00007154"/>
    <w:rsid w:val="000103AE"/>
    <w:rsid w:val="00011D69"/>
    <w:rsid w:val="000122BA"/>
    <w:rsid w:val="00012AD3"/>
    <w:rsid w:val="00015C2D"/>
    <w:rsid w:val="00015F00"/>
    <w:rsid w:val="00020841"/>
    <w:rsid w:val="00022C1D"/>
    <w:rsid w:val="000242AC"/>
    <w:rsid w:val="000312FB"/>
    <w:rsid w:val="00034987"/>
    <w:rsid w:val="00043AC8"/>
    <w:rsid w:val="00056C3D"/>
    <w:rsid w:val="000602DF"/>
    <w:rsid w:val="00061B05"/>
    <w:rsid w:val="000632D5"/>
    <w:rsid w:val="000644EE"/>
    <w:rsid w:val="000724FE"/>
    <w:rsid w:val="0007656C"/>
    <w:rsid w:val="00084CB3"/>
    <w:rsid w:val="000925AD"/>
    <w:rsid w:val="000A24EB"/>
    <w:rsid w:val="000B6923"/>
    <w:rsid w:val="000B7479"/>
    <w:rsid w:val="000C2AA3"/>
    <w:rsid w:val="000C5F3C"/>
    <w:rsid w:val="000C6DCC"/>
    <w:rsid w:val="000D47AA"/>
    <w:rsid w:val="000D721F"/>
    <w:rsid w:val="000E069B"/>
    <w:rsid w:val="000E0E82"/>
    <w:rsid w:val="000E1DC5"/>
    <w:rsid w:val="000E223F"/>
    <w:rsid w:val="000E7D45"/>
    <w:rsid w:val="000F4804"/>
    <w:rsid w:val="000F5781"/>
    <w:rsid w:val="000F7851"/>
    <w:rsid w:val="00104E23"/>
    <w:rsid w:val="00111B0C"/>
    <w:rsid w:val="00120D6C"/>
    <w:rsid w:val="001257EC"/>
    <w:rsid w:val="00131F25"/>
    <w:rsid w:val="00133D33"/>
    <w:rsid w:val="00134D64"/>
    <w:rsid w:val="00135A30"/>
    <w:rsid w:val="0013612C"/>
    <w:rsid w:val="00137FF6"/>
    <w:rsid w:val="00141650"/>
    <w:rsid w:val="00144AFF"/>
    <w:rsid w:val="0016071E"/>
    <w:rsid w:val="00162A12"/>
    <w:rsid w:val="00166530"/>
    <w:rsid w:val="001832BD"/>
    <w:rsid w:val="001913C9"/>
    <w:rsid w:val="001943B5"/>
    <w:rsid w:val="00195134"/>
    <w:rsid w:val="001A145B"/>
    <w:rsid w:val="001A1FAB"/>
    <w:rsid w:val="001A674C"/>
    <w:rsid w:val="001B2CA0"/>
    <w:rsid w:val="001B3B24"/>
    <w:rsid w:val="001B4712"/>
    <w:rsid w:val="001C0F98"/>
    <w:rsid w:val="001C2A42"/>
    <w:rsid w:val="001C41DE"/>
    <w:rsid w:val="001C6731"/>
    <w:rsid w:val="001D5048"/>
    <w:rsid w:val="001D63ED"/>
    <w:rsid w:val="001D7348"/>
    <w:rsid w:val="001E035B"/>
    <w:rsid w:val="001E0961"/>
    <w:rsid w:val="001E3EAE"/>
    <w:rsid w:val="001E6F32"/>
    <w:rsid w:val="001F1526"/>
    <w:rsid w:val="001F2145"/>
    <w:rsid w:val="001F3D06"/>
    <w:rsid w:val="001F4983"/>
    <w:rsid w:val="001F6262"/>
    <w:rsid w:val="001F66FE"/>
    <w:rsid w:val="001F67B0"/>
    <w:rsid w:val="001F7B3D"/>
    <w:rsid w:val="00205F9F"/>
    <w:rsid w:val="0020655F"/>
    <w:rsid w:val="00210338"/>
    <w:rsid w:val="002115FC"/>
    <w:rsid w:val="002126FC"/>
    <w:rsid w:val="0021423C"/>
    <w:rsid w:val="00230D00"/>
    <w:rsid w:val="00231DF7"/>
    <w:rsid w:val="00231FD1"/>
    <w:rsid w:val="002339E0"/>
    <w:rsid w:val="00233CF8"/>
    <w:rsid w:val="00235197"/>
    <w:rsid w:val="0023575D"/>
    <w:rsid w:val="00237148"/>
    <w:rsid w:val="0024222D"/>
    <w:rsid w:val="00244B0E"/>
    <w:rsid w:val="00244F6C"/>
    <w:rsid w:val="00246C51"/>
    <w:rsid w:val="002532C5"/>
    <w:rsid w:val="00260C03"/>
    <w:rsid w:val="00263595"/>
    <w:rsid w:val="0026540E"/>
    <w:rsid w:val="00275123"/>
    <w:rsid w:val="00282240"/>
    <w:rsid w:val="002948AD"/>
    <w:rsid w:val="002A01CC"/>
    <w:rsid w:val="002A2F69"/>
    <w:rsid w:val="002A61B1"/>
    <w:rsid w:val="002A663C"/>
    <w:rsid w:val="002B444B"/>
    <w:rsid w:val="002B5887"/>
    <w:rsid w:val="002C05B8"/>
    <w:rsid w:val="002C0E27"/>
    <w:rsid w:val="002C3040"/>
    <w:rsid w:val="002C41A1"/>
    <w:rsid w:val="002C53C5"/>
    <w:rsid w:val="002C6F45"/>
    <w:rsid w:val="002D022D"/>
    <w:rsid w:val="002D24BB"/>
    <w:rsid w:val="002D6181"/>
    <w:rsid w:val="002E044C"/>
    <w:rsid w:val="002E2EEB"/>
    <w:rsid w:val="002F2AF7"/>
    <w:rsid w:val="002F386D"/>
    <w:rsid w:val="002F6F07"/>
    <w:rsid w:val="002F7E1C"/>
    <w:rsid w:val="0030145C"/>
    <w:rsid w:val="00301A75"/>
    <w:rsid w:val="00302F70"/>
    <w:rsid w:val="0030336F"/>
    <w:rsid w:val="0030375E"/>
    <w:rsid w:val="00307BD0"/>
    <w:rsid w:val="00312A30"/>
    <w:rsid w:val="00320F72"/>
    <w:rsid w:val="0032463E"/>
    <w:rsid w:val="003249B0"/>
    <w:rsid w:val="00326224"/>
    <w:rsid w:val="00337EE4"/>
    <w:rsid w:val="00340FFD"/>
    <w:rsid w:val="00347B85"/>
    <w:rsid w:val="003506B1"/>
    <w:rsid w:val="00356AC7"/>
    <w:rsid w:val="00357778"/>
    <w:rsid w:val="003609FA"/>
    <w:rsid w:val="003619CB"/>
    <w:rsid w:val="00361CB4"/>
    <w:rsid w:val="00370FC6"/>
    <w:rsid w:val="003710C8"/>
    <w:rsid w:val="003726D0"/>
    <w:rsid w:val="003750BE"/>
    <w:rsid w:val="003802D6"/>
    <w:rsid w:val="003834ED"/>
    <w:rsid w:val="00386F3D"/>
    <w:rsid w:val="00387B9D"/>
    <w:rsid w:val="0039364F"/>
    <w:rsid w:val="00394565"/>
    <w:rsid w:val="00396686"/>
    <w:rsid w:val="0039778E"/>
    <w:rsid w:val="003B4941"/>
    <w:rsid w:val="003C3D56"/>
    <w:rsid w:val="003C5714"/>
    <w:rsid w:val="003C6A86"/>
    <w:rsid w:val="003C6B9F"/>
    <w:rsid w:val="003C6E2A"/>
    <w:rsid w:val="003D0299"/>
    <w:rsid w:val="003D6B61"/>
    <w:rsid w:val="003E6D80"/>
    <w:rsid w:val="003F05FA"/>
    <w:rsid w:val="003F244A"/>
    <w:rsid w:val="003F2CE2"/>
    <w:rsid w:val="003F30B8"/>
    <w:rsid w:val="003F321F"/>
    <w:rsid w:val="003F3EE4"/>
    <w:rsid w:val="003F4C45"/>
    <w:rsid w:val="003F5F7B"/>
    <w:rsid w:val="003F7D64"/>
    <w:rsid w:val="00414300"/>
    <w:rsid w:val="00416ECD"/>
    <w:rsid w:val="00425C67"/>
    <w:rsid w:val="00427E7A"/>
    <w:rsid w:val="00436C49"/>
    <w:rsid w:val="00445366"/>
    <w:rsid w:val="00447F5B"/>
    <w:rsid w:val="00452109"/>
    <w:rsid w:val="0045568E"/>
    <w:rsid w:val="00461DB0"/>
    <w:rsid w:val="00463926"/>
    <w:rsid w:val="00463A8F"/>
    <w:rsid w:val="00464C9A"/>
    <w:rsid w:val="00472E8A"/>
    <w:rsid w:val="00473C29"/>
    <w:rsid w:val="00474F3D"/>
    <w:rsid w:val="00477E3A"/>
    <w:rsid w:val="00481B58"/>
    <w:rsid w:val="00481E69"/>
    <w:rsid w:val="00483E5F"/>
    <w:rsid w:val="00485FF9"/>
    <w:rsid w:val="004907F0"/>
    <w:rsid w:val="0049140B"/>
    <w:rsid w:val="004923A5"/>
    <w:rsid w:val="00496BFB"/>
    <w:rsid w:val="004A07BB"/>
    <w:rsid w:val="004A15C7"/>
    <w:rsid w:val="004A3ACF"/>
    <w:rsid w:val="004A5A55"/>
    <w:rsid w:val="004B013B"/>
    <w:rsid w:val="004B112B"/>
    <w:rsid w:val="004B7995"/>
    <w:rsid w:val="004C01E4"/>
    <w:rsid w:val="004C05B9"/>
    <w:rsid w:val="004C086C"/>
    <w:rsid w:val="004C1F56"/>
    <w:rsid w:val="004C27BC"/>
    <w:rsid w:val="004C6C2B"/>
    <w:rsid w:val="004D15F3"/>
    <w:rsid w:val="004D5311"/>
    <w:rsid w:val="004D5DCC"/>
    <w:rsid w:val="004D6984"/>
    <w:rsid w:val="004F10AF"/>
    <w:rsid w:val="004F11A4"/>
    <w:rsid w:val="004F2389"/>
    <w:rsid w:val="004F304D"/>
    <w:rsid w:val="004F61BE"/>
    <w:rsid w:val="004F66B1"/>
    <w:rsid w:val="0050258B"/>
    <w:rsid w:val="00511C07"/>
    <w:rsid w:val="00513314"/>
    <w:rsid w:val="005173A6"/>
    <w:rsid w:val="00520BAA"/>
    <w:rsid w:val="005224A9"/>
    <w:rsid w:val="005246EB"/>
    <w:rsid w:val="00525208"/>
    <w:rsid w:val="005257A5"/>
    <w:rsid w:val="005264C0"/>
    <w:rsid w:val="00526A8A"/>
    <w:rsid w:val="00530C1C"/>
    <w:rsid w:val="00531DF2"/>
    <w:rsid w:val="00531E86"/>
    <w:rsid w:val="005359B5"/>
    <w:rsid w:val="00537E04"/>
    <w:rsid w:val="00541F00"/>
    <w:rsid w:val="005442EE"/>
    <w:rsid w:val="00547353"/>
    <w:rsid w:val="005474E7"/>
    <w:rsid w:val="005512A3"/>
    <w:rsid w:val="005578CE"/>
    <w:rsid w:val="005601CD"/>
    <w:rsid w:val="00562781"/>
    <w:rsid w:val="0057271C"/>
    <w:rsid w:val="00572845"/>
    <w:rsid w:val="00592772"/>
    <w:rsid w:val="005946D5"/>
    <w:rsid w:val="0059574A"/>
    <w:rsid w:val="00595E46"/>
    <w:rsid w:val="005A1B9B"/>
    <w:rsid w:val="005A6751"/>
    <w:rsid w:val="005B092E"/>
    <w:rsid w:val="005B152C"/>
    <w:rsid w:val="005B1EE0"/>
    <w:rsid w:val="005B2B24"/>
    <w:rsid w:val="005B376E"/>
    <w:rsid w:val="005B4425"/>
    <w:rsid w:val="005B4B94"/>
    <w:rsid w:val="005C1C5D"/>
    <w:rsid w:val="005C3EE8"/>
    <w:rsid w:val="005D22AC"/>
    <w:rsid w:val="005D34F9"/>
    <w:rsid w:val="005D4190"/>
    <w:rsid w:val="005D67A3"/>
    <w:rsid w:val="005E2988"/>
    <w:rsid w:val="005E3085"/>
    <w:rsid w:val="005F51E1"/>
    <w:rsid w:val="005F6747"/>
    <w:rsid w:val="00611C80"/>
    <w:rsid w:val="00614E4C"/>
    <w:rsid w:val="00617187"/>
    <w:rsid w:val="00617916"/>
    <w:rsid w:val="00620692"/>
    <w:rsid w:val="006242CA"/>
    <w:rsid w:val="00627507"/>
    <w:rsid w:val="006306C5"/>
    <w:rsid w:val="00631116"/>
    <w:rsid w:val="00633717"/>
    <w:rsid w:val="006344E1"/>
    <w:rsid w:val="00637248"/>
    <w:rsid w:val="00643DD9"/>
    <w:rsid w:val="006538BA"/>
    <w:rsid w:val="00653C66"/>
    <w:rsid w:val="006545C4"/>
    <w:rsid w:val="00661971"/>
    <w:rsid w:val="00661CE8"/>
    <w:rsid w:val="006623D9"/>
    <w:rsid w:val="0066291A"/>
    <w:rsid w:val="00664DF1"/>
    <w:rsid w:val="0066550C"/>
    <w:rsid w:val="006716F2"/>
    <w:rsid w:val="00671DBA"/>
    <w:rsid w:val="00682BF2"/>
    <w:rsid w:val="006859CE"/>
    <w:rsid w:val="006859D3"/>
    <w:rsid w:val="00687F96"/>
    <w:rsid w:val="00691270"/>
    <w:rsid w:val="00694BA8"/>
    <w:rsid w:val="006A037C"/>
    <w:rsid w:val="006A36F4"/>
    <w:rsid w:val="006A406F"/>
    <w:rsid w:val="006A57FA"/>
    <w:rsid w:val="006A5D3A"/>
    <w:rsid w:val="006A79AF"/>
    <w:rsid w:val="006B2013"/>
    <w:rsid w:val="006B2773"/>
    <w:rsid w:val="006C23D4"/>
    <w:rsid w:val="006C7BB0"/>
    <w:rsid w:val="006D028D"/>
    <w:rsid w:val="006D3237"/>
    <w:rsid w:val="006D4B81"/>
    <w:rsid w:val="006E2E37"/>
    <w:rsid w:val="006E3CF1"/>
    <w:rsid w:val="006E5DC3"/>
    <w:rsid w:val="006E7D6A"/>
    <w:rsid w:val="006E7E80"/>
    <w:rsid w:val="006F073C"/>
    <w:rsid w:val="006F3AE4"/>
    <w:rsid w:val="006F48CA"/>
    <w:rsid w:val="006F64DD"/>
    <w:rsid w:val="0070100D"/>
    <w:rsid w:val="0070276A"/>
    <w:rsid w:val="00711340"/>
    <w:rsid w:val="00715127"/>
    <w:rsid w:val="00715E8E"/>
    <w:rsid w:val="00723580"/>
    <w:rsid w:val="00723755"/>
    <w:rsid w:val="0073136C"/>
    <w:rsid w:val="00731F0F"/>
    <w:rsid w:val="00733250"/>
    <w:rsid w:val="007350E0"/>
    <w:rsid w:val="00741404"/>
    <w:rsid w:val="00741B49"/>
    <w:rsid w:val="007449E5"/>
    <w:rsid w:val="00747FF0"/>
    <w:rsid w:val="00764D4E"/>
    <w:rsid w:val="00765A1F"/>
    <w:rsid w:val="00765C04"/>
    <w:rsid w:val="00766487"/>
    <w:rsid w:val="00774737"/>
    <w:rsid w:val="00775B6D"/>
    <w:rsid w:val="00776D68"/>
    <w:rsid w:val="007850EE"/>
    <w:rsid w:val="00785B95"/>
    <w:rsid w:val="00787635"/>
    <w:rsid w:val="00790E96"/>
    <w:rsid w:val="007910FA"/>
    <w:rsid w:val="00793366"/>
    <w:rsid w:val="007A5440"/>
    <w:rsid w:val="007A716F"/>
    <w:rsid w:val="007B270A"/>
    <w:rsid w:val="007B5F07"/>
    <w:rsid w:val="007C0695"/>
    <w:rsid w:val="007C419A"/>
    <w:rsid w:val="007C41F7"/>
    <w:rsid w:val="007C4CC8"/>
    <w:rsid w:val="007C5426"/>
    <w:rsid w:val="007C5798"/>
    <w:rsid w:val="007D4832"/>
    <w:rsid w:val="007D61D9"/>
    <w:rsid w:val="007E21B2"/>
    <w:rsid w:val="007E2C4E"/>
    <w:rsid w:val="007E5E77"/>
    <w:rsid w:val="007F1905"/>
    <w:rsid w:val="00802C64"/>
    <w:rsid w:val="008047BC"/>
    <w:rsid w:val="00805E52"/>
    <w:rsid w:val="008061D0"/>
    <w:rsid w:val="008062C2"/>
    <w:rsid w:val="00810B38"/>
    <w:rsid w:val="00814E8F"/>
    <w:rsid w:val="008204C7"/>
    <w:rsid w:val="00820992"/>
    <w:rsid w:val="00823602"/>
    <w:rsid w:val="008255F5"/>
    <w:rsid w:val="0082561B"/>
    <w:rsid w:val="0083014E"/>
    <w:rsid w:val="0083214A"/>
    <w:rsid w:val="00834220"/>
    <w:rsid w:val="00841B85"/>
    <w:rsid w:val="00842087"/>
    <w:rsid w:val="00845723"/>
    <w:rsid w:val="00851EF9"/>
    <w:rsid w:val="008574C4"/>
    <w:rsid w:val="008577FD"/>
    <w:rsid w:val="00860B03"/>
    <w:rsid w:val="0086497A"/>
    <w:rsid w:val="00864F9E"/>
    <w:rsid w:val="008713A1"/>
    <w:rsid w:val="008754AB"/>
    <w:rsid w:val="0088060C"/>
    <w:rsid w:val="00884EE7"/>
    <w:rsid w:val="00893576"/>
    <w:rsid w:val="00893E73"/>
    <w:rsid w:val="008A7883"/>
    <w:rsid w:val="008A7D73"/>
    <w:rsid w:val="008B02DC"/>
    <w:rsid w:val="008B57CE"/>
    <w:rsid w:val="008B62C5"/>
    <w:rsid w:val="008C19F0"/>
    <w:rsid w:val="008C26DE"/>
    <w:rsid w:val="008D2225"/>
    <w:rsid w:val="008D32DC"/>
    <w:rsid w:val="008D3300"/>
    <w:rsid w:val="008D4752"/>
    <w:rsid w:val="008D78F3"/>
    <w:rsid w:val="008E271C"/>
    <w:rsid w:val="008E2773"/>
    <w:rsid w:val="008E418E"/>
    <w:rsid w:val="008E5BC6"/>
    <w:rsid w:val="008E6746"/>
    <w:rsid w:val="008E6A25"/>
    <w:rsid w:val="008F5193"/>
    <w:rsid w:val="00900BD5"/>
    <w:rsid w:val="009013A7"/>
    <w:rsid w:val="009017FB"/>
    <w:rsid w:val="009017FC"/>
    <w:rsid w:val="0090506B"/>
    <w:rsid w:val="009050C9"/>
    <w:rsid w:val="009066FC"/>
    <w:rsid w:val="00907FD9"/>
    <w:rsid w:val="009140A3"/>
    <w:rsid w:val="009144A2"/>
    <w:rsid w:val="0091510C"/>
    <w:rsid w:val="009259AC"/>
    <w:rsid w:val="009263E6"/>
    <w:rsid w:val="00926F38"/>
    <w:rsid w:val="00934144"/>
    <w:rsid w:val="00934301"/>
    <w:rsid w:val="00936CD1"/>
    <w:rsid w:val="00941747"/>
    <w:rsid w:val="00941EFB"/>
    <w:rsid w:val="00943125"/>
    <w:rsid w:val="00943304"/>
    <w:rsid w:val="009455F4"/>
    <w:rsid w:val="00946E19"/>
    <w:rsid w:val="00947AFB"/>
    <w:rsid w:val="0095148C"/>
    <w:rsid w:val="00951D7D"/>
    <w:rsid w:val="009630C7"/>
    <w:rsid w:val="00966CAF"/>
    <w:rsid w:val="00972B55"/>
    <w:rsid w:val="00973109"/>
    <w:rsid w:val="0097405A"/>
    <w:rsid w:val="009743B7"/>
    <w:rsid w:val="009757A6"/>
    <w:rsid w:val="0098228B"/>
    <w:rsid w:val="009828DA"/>
    <w:rsid w:val="009830DB"/>
    <w:rsid w:val="00985BAB"/>
    <w:rsid w:val="0098725D"/>
    <w:rsid w:val="009913BD"/>
    <w:rsid w:val="00993008"/>
    <w:rsid w:val="009B1B5F"/>
    <w:rsid w:val="009B226C"/>
    <w:rsid w:val="009B6673"/>
    <w:rsid w:val="009C191B"/>
    <w:rsid w:val="009C2BD6"/>
    <w:rsid w:val="009C4E0F"/>
    <w:rsid w:val="009D1AB9"/>
    <w:rsid w:val="009D5937"/>
    <w:rsid w:val="009D65E8"/>
    <w:rsid w:val="009E1F32"/>
    <w:rsid w:val="009E3B25"/>
    <w:rsid w:val="009E46E2"/>
    <w:rsid w:val="009E776C"/>
    <w:rsid w:val="00A01F8B"/>
    <w:rsid w:val="00A02D3B"/>
    <w:rsid w:val="00A1726E"/>
    <w:rsid w:val="00A204CF"/>
    <w:rsid w:val="00A206FD"/>
    <w:rsid w:val="00A23D49"/>
    <w:rsid w:val="00A25B9C"/>
    <w:rsid w:val="00A25E3F"/>
    <w:rsid w:val="00A26026"/>
    <w:rsid w:val="00A27004"/>
    <w:rsid w:val="00A30C29"/>
    <w:rsid w:val="00A34DD6"/>
    <w:rsid w:val="00A3532B"/>
    <w:rsid w:val="00A36819"/>
    <w:rsid w:val="00A36989"/>
    <w:rsid w:val="00A43628"/>
    <w:rsid w:val="00A444BB"/>
    <w:rsid w:val="00A5017E"/>
    <w:rsid w:val="00A54192"/>
    <w:rsid w:val="00A54809"/>
    <w:rsid w:val="00A6035E"/>
    <w:rsid w:val="00A6144C"/>
    <w:rsid w:val="00A63CC6"/>
    <w:rsid w:val="00A66617"/>
    <w:rsid w:val="00A66E12"/>
    <w:rsid w:val="00A671F8"/>
    <w:rsid w:val="00A673A4"/>
    <w:rsid w:val="00A724AE"/>
    <w:rsid w:val="00A73329"/>
    <w:rsid w:val="00A82359"/>
    <w:rsid w:val="00A865D2"/>
    <w:rsid w:val="00A94C20"/>
    <w:rsid w:val="00AA227F"/>
    <w:rsid w:val="00AA3BC7"/>
    <w:rsid w:val="00AA754A"/>
    <w:rsid w:val="00AB099E"/>
    <w:rsid w:val="00AB180F"/>
    <w:rsid w:val="00AB4328"/>
    <w:rsid w:val="00AC3508"/>
    <w:rsid w:val="00AC6065"/>
    <w:rsid w:val="00AC7CC4"/>
    <w:rsid w:val="00AE0A2E"/>
    <w:rsid w:val="00AE354C"/>
    <w:rsid w:val="00AE3905"/>
    <w:rsid w:val="00AF2C8B"/>
    <w:rsid w:val="00AF4B07"/>
    <w:rsid w:val="00AF4EE3"/>
    <w:rsid w:val="00AF6186"/>
    <w:rsid w:val="00AF6511"/>
    <w:rsid w:val="00AF7969"/>
    <w:rsid w:val="00AF7A3A"/>
    <w:rsid w:val="00B07F7B"/>
    <w:rsid w:val="00B13592"/>
    <w:rsid w:val="00B160DB"/>
    <w:rsid w:val="00B20836"/>
    <w:rsid w:val="00B235BB"/>
    <w:rsid w:val="00B27A44"/>
    <w:rsid w:val="00B30BBF"/>
    <w:rsid w:val="00B33C03"/>
    <w:rsid w:val="00B35A81"/>
    <w:rsid w:val="00B44E56"/>
    <w:rsid w:val="00B46543"/>
    <w:rsid w:val="00B47D33"/>
    <w:rsid w:val="00B50C7A"/>
    <w:rsid w:val="00B52BE0"/>
    <w:rsid w:val="00B54133"/>
    <w:rsid w:val="00B64B0D"/>
    <w:rsid w:val="00B6588D"/>
    <w:rsid w:val="00B67DC4"/>
    <w:rsid w:val="00B701ED"/>
    <w:rsid w:val="00B72C0B"/>
    <w:rsid w:val="00B8086C"/>
    <w:rsid w:val="00B861B4"/>
    <w:rsid w:val="00B865E3"/>
    <w:rsid w:val="00B86DFE"/>
    <w:rsid w:val="00B90990"/>
    <w:rsid w:val="00B90BC6"/>
    <w:rsid w:val="00B91E2E"/>
    <w:rsid w:val="00B922FF"/>
    <w:rsid w:val="00B9281E"/>
    <w:rsid w:val="00B931F3"/>
    <w:rsid w:val="00B93925"/>
    <w:rsid w:val="00B95187"/>
    <w:rsid w:val="00BA2D55"/>
    <w:rsid w:val="00BA71B1"/>
    <w:rsid w:val="00BB0637"/>
    <w:rsid w:val="00BB345F"/>
    <w:rsid w:val="00BB68EA"/>
    <w:rsid w:val="00BC1C27"/>
    <w:rsid w:val="00BC30D7"/>
    <w:rsid w:val="00BC460E"/>
    <w:rsid w:val="00BC6BBF"/>
    <w:rsid w:val="00BD1572"/>
    <w:rsid w:val="00BD3880"/>
    <w:rsid w:val="00BD42C6"/>
    <w:rsid w:val="00BE13C9"/>
    <w:rsid w:val="00BE14E3"/>
    <w:rsid w:val="00BE190A"/>
    <w:rsid w:val="00BE29DB"/>
    <w:rsid w:val="00BE3774"/>
    <w:rsid w:val="00BE3EE7"/>
    <w:rsid w:val="00BE41E5"/>
    <w:rsid w:val="00BF043E"/>
    <w:rsid w:val="00BF0A24"/>
    <w:rsid w:val="00BF4109"/>
    <w:rsid w:val="00BF4CC3"/>
    <w:rsid w:val="00C00DEF"/>
    <w:rsid w:val="00C054C7"/>
    <w:rsid w:val="00C057B5"/>
    <w:rsid w:val="00C13AC2"/>
    <w:rsid w:val="00C22687"/>
    <w:rsid w:val="00C259F8"/>
    <w:rsid w:val="00C3194F"/>
    <w:rsid w:val="00C32E4D"/>
    <w:rsid w:val="00C333A0"/>
    <w:rsid w:val="00C341C8"/>
    <w:rsid w:val="00C36A81"/>
    <w:rsid w:val="00C36B26"/>
    <w:rsid w:val="00C41974"/>
    <w:rsid w:val="00C438F3"/>
    <w:rsid w:val="00C44CB6"/>
    <w:rsid w:val="00C46022"/>
    <w:rsid w:val="00C472E4"/>
    <w:rsid w:val="00C51A7B"/>
    <w:rsid w:val="00C53F4A"/>
    <w:rsid w:val="00C54125"/>
    <w:rsid w:val="00C54C02"/>
    <w:rsid w:val="00C55B54"/>
    <w:rsid w:val="00C606B1"/>
    <w:rsid w:val="00C6098E"/>
    <w:rsid w:val="00C6152C"/>
    <w:rsid w:val="00C65375"/>
    <w:rsid w:val="00C71F5A"/>
    <w:rsid w:val="00C71F62"/>
    <w:rsid w:val="00C72A42"/>
    <w:rsid w:val="00C74810"/>
    <w:rsid w:val="00C754EE"/>
    <w:rsid w:val="00C765C4"/>
    <w:rsid w:val="00C80D18"/>
    <w:rsid w:val="00C82708"/>
    <w:rsid w:val="00C90D68"/>
    <w:rsid w:val="00C939FE"/>
    <w:rsid w:val="00CA4BDA"/>
    <w:rsid w:val="00CA4F59"/>
    <w:rsid w:val="00CB1F66"/>
    <w:rsid w:val="00CB2951"/>
    <w:rsid w:val="00CB3933"/>
    <w:rsid w:val="00CB5BD7"/>
    <w:rsid w:val="00CD1615"/>
    <w:rsid w:val="00CD282B"/>
    <w:rsid w:val="00CD2BB1"/>
    <w:rsid w:val="00CD4C35"/>
    <w:rsid w:val="00CD7369"/>
    <w:rsid w:val="00CE0B0E"/>
    <w:rsid w:val="00CE3831"/>
    <w:rsid w:val="00D00ABB"/>
    <w:rsid w:val="00D0189E"/>
    <w:rsid w:val="00D02EEC"/>
    <w:rsid w:val="00D03551"/>
    <w:rsid w:val="00D06A63"/>
    <w:rsid w:val="00D07E0E"/>
    <w:rsid w:val="00D11478"/>
    <w:rsid w:val="00D15ED0"/>
    <w:rsid w:val="00D21B3E"/>
    <w:rsid w:val="00D21FED"/>
    <w:rsid w:val="00D24251"/>
    <w:rsid w:val="00D32DF9"/>
    <w:rsid w:val="00D343E2"/>
    <w:rsid w:val="00D361A2"/>
    <w:rsid w:val="00D44C2E"/>
    <w:rsid w:val="00D45414"/>
    <w:rsid w:val="00D46837"/>
    <w:rsid w:val="00D51A4A"/>
    <w:rsid w:val="00D52ED0"/>
    <w:rsid w:val="00D566BD"/>
    <w:rsid w:val="00D57A4D"/>
    <w:rsid w:val="00D60AA7"/>
    <w:rsid w:val="00D6435F"/>
    <w:rsid w:val="00D66777"/>
    <w:rsid w:val="00D73E6E"/>
    <w:rsid w:val="00D75E28"/>
    <w:rsid w:val="00D772C2"/>
    <w:rsid w:val="00D8008E"/>
    <w:rsid w:val="00D82C45"/>
    <w:rsid w:val="00D86FF6"/>
    <w:rsid w:val="00D908A8"/>
    <w:rsid w:val="00D977B6"/>
    <w:rsid w:val="00DA4A31"/>
    <w:rsid w:val="00DA5DE1"/>
    <w:rsid w:val="00DA7B04"/>
    <w:rsid w:val="00DB36C2"/>
    <w:rsid w:val="00DB7BE8"/>
    <w:rsid w:val="00DC169B"/>
    <w:rsid w:val="00DC2AB9"/>
    <w:rsid w:val="00DC48B4"/>
    <w:rsid w:val="00DC63F0"/>
    <w:rsid w:val="00DD6EE5"/>
    <w:rsid w:val="00DE386C"/>
    <w:rsid w:val="00DE4D35"/>
    <w:rsid w:val="00DE61E0"/>
    <w:rsid w:val="00DE7938"/>
    <w:rsid w:val="00DF098B"/>
    <w:rsid w:val="00DF11C4"/>
    <w:rsid w:val="00DF210C"/>
    <w:rsid w:val="00DF4B6A"/>
    <w:rsid w:val="00E02C09"/>
    <w:rsid w:val="00E04D59"/>
    <w:rsid w:val="00E060E7"/>
    <w:rsid w:val="00E07DA1"/>
    <w:rsid w:val="00E10830"/>
    <w:rsid w:val="00E123CB"/>
    <w:rsid w:val="00E20E13"/>
    <w:rsid w:val="00E21A95"/>
    <w:rsid w:val="00E21DBC"/>
    <w:rsid w:val="00E275D7"/>
    <w:rsid w:val="00E27DBE"/>
    <w:rsid w:val="00E32AB1"/>
    <w:rsid w:val="00E32B35"/>
    <w:rsid w:val="00E36C71"/>
    <w:rsid w:val="00E40404"/>
    <w:rsid w:val="00E43057"/>
    <w:rsid w:val="00E459C6"/>
    <w:rsid w:val="00E47589"/>
    <w:rsid w:val="00E50925"/>
    <w:rsid w:val="00E64915"/>
    <w:rsid w:val="00E661D4"/>
    <w:rsid w:val="00E70091"/>
    <w:rsid w:val="00E720F5"/>
    <w:rsid w:val="00E72705"/>
    <w:rsid w:val="00E737A0"/>
    <w:rsid w:val="00E75400"/>
    <w:rsid w:val="00E760EB"/>
    <w:rsid w:val="00E765F8"/>
    <w:rsid w:val="00E76D47"/>
    <w:rsid w:val="00E80563"/>
    <w:rsid w:val="00E849F7"/>
    <w:rsid w:val="00E90302"/>
    <w:rsid w:val="00E97396"/>
    <w:rsid w:val="00EA185E"/>
    <w:rsid w:val="00EA51B0"/>
    <w:rsid w:val="00EA592A"/>
    <w:rsid w:val="00EB0BDE"/>
    <w:rsid w:val="00EB14E4"/>
    <w:rsid w:val="00EB32A5"/>
    <w:rsid w:val="00EB34ED"/>
    <w:rsid w:val="00EB447C"/>
    <w:rsid w:val="00EB7BE0"/>
    <w:rsid w:val="00EC315E"/>
    <w:rsid w:val="00EC786E"/>
    <w:rsid w:val="00ED077C"/>
    <w:rsid w:val="00ED0B90"/>
    <w:rsid w:val="00ED1190"/>
    <w:rsid w:val="00ED6544"/>
    <w:rsid w:val="00EE0277"/>
    <w:rsid w:val="00EE3E00"/>
    <w:rsid w:val="00EE5DD2"/>
    <w:rsid w:val="00EE78EB"/>
    <w:rsid w:val="00F0049F"/>
    <w:rsid w:val="00F004CB"/>
    <w:rsid w:val="00F00A79"/>
    <w:rsid w:val="00F00E86"/>
    <w:rsid w:val="00F04A5D"/>
    <w:rsid w:val="00F07C1E"/>
    <w:rsid w:val="00F105DB"/>
    <w:rsid w:val="00F132BC"/>
    <w:rsid w:val="00F13D80"/>
    <w:rsid w:val="00F16AAA"/>
    <w:rsid w:val="00F21161"/>
    <w:rsid w:val="00F218EF"/>
    <w:rsid w:val="00F21BC7"/>
    <w:rsid w:val="00F266A2"/>
    <w:rsid w:val="00F32269"/>
    <w:rsid w:val="00F33C4F"/>
    <w:rsid w:val="00F35CA5"/>
    <w:rsid w:val="00F42EC6"/>
    <w:rsid w:val="00F47654"/>
    <w:rsid w:val="00F516EF"/>
    <w:rsid w:val="00F56A6F"/>
    <w:rsid w:val="00F5709C"/>
    <w:rsid w:val="00F64EF1"/>
    <w:rsid w:val="00F74B33"/>
    <w:rsid w:val="00F8765F"/>
    <w:rsid w:val="00F8777E"/>
    <w:rsid w:val="00F90739"/>
    <w:rsid w:val="00F90767"/>
    <w:rsid w:val="00F91520"/>
    <w:rsid w:val="00FA685B"/>
    <w:rsid w:val="00FB0C01"/>
    <w:rsid w:val="00FB0F60"/>
    <w:rsid w:val="00FB2EE0"/>
    <w:rsid w:val="00FB4952"/>
    <w:rsid w:val="00FC11A0"/>
    <w:rsid w:val="00FC18F2"/>
    <w:rsid w:val="00FC39E5"/>
    <w:rsid w:val="00FC3A78"/>
    <w:rsid w:val="00FD1005"/>
    <w:rsid w:val="00FD1E6E"/>
    <w:rsid w:val="00FD6C75"/>
    <w:rsid w:val="00FE71B3"/>
    <w:rsid w:val="00FE733D"/>
    <w:rsid w:val="00FF0BF1"/>
    <w:rsid w:val="00FF42C5"/>
    <w:rsid w:val="00FF575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77C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DA5DE1"/>
    <w:rPr>
      <w:sz w:val="24"/>
      <w:szCs w:val="24"/>
    </w:rPr>
  </w:style>
  <w:style w:type="paragraph" w:styleId="Nagwek1">
    <w:name w:val="heading 1"/>
    <w:basedOn w:val="Normalny"/>
    <w:next w:val="Normalny"/>
    <w:link w:val="Nagwek1Znak"/>
    <w:uiPriority w:val="98"/>
    <w:semiHidden/>
    <w:rsid w:val="00DA5DE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A5DE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A5DE1"/>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A5DE1"/>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A5DE1"/>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A5DE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A5DE1"/>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A5DE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A5DE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A5DE1"/>
    <w:rPr>
      <w:rFonts w:ascii="Tahoma" w:hAnsi="Tahoma" w:cs="Tahoma"/>
      <w:sz w:val="16"/>
      <w:szCs w:val="16"/>
    </w:rPr>
  </w:style>
  <w:style w:type="character" w:customStyle="1" w:styleId="TekstdymkaZnak">
    <w:name w:val="Tekst dymka Znak"/>
    <w:basedOn w:val="Domylnaczcionkaakapitu"/>
    <w:link w:val="Tekstdymka"/>
    <w:uiPriority w:val="98"/>
    <w:semiHidden/>
    <w:rsid w:val="00DA5DE1"/>
    <w:rPr>
      <w:rFonts w:ascii="Tahoma" w:hAnsi="Tahoma" w:cs="Tahoma"/>
      <w:sz w:val="16"/>
      <w:szCs w:val="16"/>
      <w:lang w:val="pl-PL"/>
    </w:rPr>
  </w:style>
  <w:style w:type="character" w:styleId="Tytuksiki">
    <w:name w:val="Book Title"/>
    <w:uiPriority w:val="98"/>
    <w:semiHidden/>
    <w:qFormat/>
    <w:rsid w:val="00DA5DE1"/>
    <w:rPr>
      <w:i/>
      <w:iCs/>
      <w:smallCaps/>
      <w:spacing w:val="5"/>
    </w:rPr>
  </w:style>
  <w:style w:type="paragraph" w:customStyle="1" w:styleId="JuHeader">
    <w:name w:val="Ju_Header"/>
    <w:aliases w:val="_Header"/>
    <w:basedOn w:val="Nagwek"/>
    <w:uiPriority w:val="29"/>
    <w:qFormat/>
    <w:rsid w:val="00DA5DE1"/>
    <w:pPr>
      <w:tabs>
        <w:tab w:val="clear" w:pos="4536"/>
        <w:tab w:val="clear" w:pos="9072"/>
      </w:tabs>
      <w:jc w:val="center"/>
    </w:pPr>
    <w:rPr>
      <w:sz w:val="18"/>
    </w:rPr>
  </w:style>
  <w:style w:type="paragraph" w:customStyle="1" w:styleId="ECHRFooter">
    <w:name w:val="ECHR_Footer"/>
    <w:aliases w:val="Footer_ECHR"/>
    <w:basedOn w:val="Stopka"/>
    <w:uiPriority w:val="57"/>
    <w:semiHidden/>
    <w:rsid w:val="00C44CB6"/>
    <w:rPr>
      <w:sz w:val="8"/>
    </w:rPr>
  </w:style>
  <w:style w:type="character" w:styleId="Pogrubienie">
    <w:name w:val="Strong"/>
    <w:uiPriority w:val="98"/>
    <w:semiHidden/>
    <w:qFormat/>
    <w:rsid w:val="00DA5DE1"/>
    <w:rPr>
      <w:b/>
      <w:bCs/>
    </w:rPr>
  </w:style>
  <w:style w:type="paragraph" w:styleId="Bezodstpw">
    <w:name w:val="No Spacing"/>
    <w:basedOn w:val="Normalny"/>
    <w:link w:val="BezodstpwZnak"/>
    <w:uiPriority w:val="98"/>
    <w:semiHidden/>
    <w:qFormat/>
    <w:rsid w:val="00DA5DE1"/>
  </w:style>
  <w:style w:type="character" w:customStyle="1" w:styleId="BezodstpwZnak">
    <w:name w:val="Bez odstępów Znak"/>
    <w:basedOn w:val="Domylnaczcionkaakapitu"/>
    <w:link w:val="Bezodstpw"/>
    <w:uiPriority w:val="98"/>
    <w:semiHidden/>
    <w:rsid w:val="00DA5DE1"/>
    <w:rPr>
      <w:sz w:val="24"/>
      <w:szCs w:val="24"/>
      <w:lang w:val="pl-PL"/>
    </w:rPr>
  </w:style>
  <w:style w:type="paragraph" w:customStyle="1" w:styleId="FooterLine">
    <w:name w:val="_Footer_Line"/>
    <w:aliases w:val="Footer_Line"/>
    <w:basedOn w:val="Normalny"/>
    <w:next w:val="Footer"/>
    <w:uiPriority w:val="57"/>
    <w:semiHidden/>
    <w:rsid w:val="00DA5DE1"/>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DA5DE1"/>
    <w:pPr>
      <w:keepNext/>
      <w:keepLines/>
      <w:spacing w:after="240"/>
      <w:ind w:firstLine="0"/>
      <w:jc w:val="center"/>
      <w:outlineLvl w:val="0"/>
    </w:pPr>
    <w:rPr>
      <w:rFonts w:asciiTheme="majorHAnsi" w:hAnsiTheme="majorHAnsi"/>
      <w:sz w:val="28"/>
    </w:rPr>
  </w:style>
  <w:style w:type="paragraph" w:customStyle="1" w:styleId="ECHRBullet1">
    <w:name w:val="ECHR_Bullet_1"/>
    <w:aliases w:val="_Bul_1"/>
    <w:basedOn w:val="NormalJustified"/>
    <w:uiPriority w:val="23"/>
    <w:semiHidden/>
    <w:qFormat/>
    <w:rsid w:val="00DA5DE1"/>
    <w:pPr>
      <w:numPr>
        <w:numId w:val="5"/>
      </w:numPr>
      <w:spacing w:before="60" w:after="60"/>
    </w:pPr>
  </w:style>
  <w:style w:type="paragraph" w:customStyle="1" w:styleId="NormalJustified">
    <w:name w:val="Normal_Justified"/>
    <w:basedOn w:val="Normalny"/>
    <w:semiHidden/>
    <w:rsid w:val="00DA5DE1"/>
    <w:pPr>
      <w:jc w:val="both"/>
    </w:pPr>
  </w:style>
  <w:style w:type="paragraph" w:customStyle="1" w:styleId="JuHArticle">
    <w:name w:val="Ju_H_Article"/>
    <w:aliases w:val="_Title_Quote"/>
    <w:basedOn w:val="Normalny"/>
    <w:next w:val="JuQuot"/>
    <w:uiPriority w:val="19"/>
    <w:qFormat/>
    <w:rsid w:val="00DA5DE1"/>
    <w:pPr>
      <w:keepNext/>
      <w:spacing w:before="100" w:beforeAutospacing="1" w:after="120"/>
      <w:contextualSpacing/>
      <w:jc w:val="center"/>
    </w:pPr>
    <w:rPr>
      <w:b/>
      <w:sz w:val="20"/>
    </w:rPr>
  </w:style>
  <w:style w:type="paragraph" w:customStyle="1" w:styleId="ECHRBullet2">
    <w:name w:val="ECHR_Bullet_2"/>
    <w:aliases w:val="_Bul_2"/>
    <w:basedOn w:val="ECHRBullet1"/>
    <w:uiPriority w:val="23"/>
    <w:semiHidden/>
    <w:rsid w:val="00DA5DE1"/>
    <w:pPr>
      <w:numPr>
        <w:ilvl w:val="1"/>
      </w:numPr>
    </w:pPr>
  </w:style>
  <w:style w:type="paragraph" w:customStyle="1" w:styleId="ECHRBullet3">
    <w:name w:val="ECHR_Bullet_3"/>
    <w:aliases w:val="_Bul_3"/>
    <w:basedOn w:val="ECHRBullet2"/>
    <w:uiPriority w:val="23"/>
    <w:semiHidden/>
    <w:rsid w:val="00DA5DE1"/>
    <w:pPr>
      <w:numPr>
        <w:ilvl w:val="2"/>
      </w:numPr>
    </w:pPr>
  </w:style>
  <w:style w:type="paragraph" w:customStyle="1" w:styleId="JuCourt">
    <w:name w:val="Ju_Court"/>
    <w:aliases w:val="_Court_Names"/>
    <w:basedOn w:val="Normalny"/>
    <w:next w:val="Normalny"/>
    <w:uiPriority w:val="32"/>
    <w:qFormat/>
    <w:rsid w:val="00DA5DE1"/>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DA5DE1"/>
    <w:pPr>
      <w:tabs>
        <w:tab w:val="center" w:pos="6407"/>
      </w:tabs>
      <w:spacing w:before="720"/>
      <w:jc w:val="right"/>
    </w:pPr>
  </w:style>
  <w:style w:type="paragraph" w:customStyle="1" w:styleId="DecHCase">
    <w:name w:val="Dec_H_Case"/>
    <w:aliases w:val="_Title_3"/>
    <w:basedOn w:val="JuPara"/>
    <w:next w:val="JuPara"/>
    <w:uiPriority w:val="38"/>
    <w:qFormat/>
    <w:rsid w:val="00DA5DE1"/>
    <w:pPr>
      <w:keepNext/>
      <w:keepLines/>
      <w:spacing w:after="280"/>
      <w:ind w:firstLine="0"/>
      <w:jc w:val="center"/>
    </w:pPr>
    <w:rPr>
      <w:rFonts w:asciiTheme="majorHAnsi" w:hAnsiTheme="majorHAnsi"/>
    </w:rPr>
  </w:style>
  <w:style w:type="paragraph" w:customStyle="1" w:styleId="JuListi">
    <w:name w:val="Ju_List_i"/>
    <w:aliases w:val="_List_3"/>
    <w:basedOn w:val="NormalJustified"/>
    <w:uiPriority w:val="23"/>
    <w:rsid w:val="00DA5DE1"/>
    <w:pPr>
      <w:numPr>
        <w:ilvl w:val="2"/>
        <w:numId w:val="6"/>
      </w:numPr>
    </w:pPr>
  </w:style>
  <w:style w:type="paragraph" w:styleId="Tytu">
    <w:name w:val="Title"/>
    <w:basedOn w:val="Normalny"/>
    <w:next w:val="Normalny"/>
    <w:link w:val="TytuZnak"/>
    <w:uiPriority w:val="98"/>
    <w:semiHidden/>
    <w:qFormat/>
    <w:rsid w:val="00DA5DE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A5DE1"/>
    <w:rPr>
      <w:rFonts w:asciiTheme="majorHAnsi" w:eastAsiaTheme="majorEastAsia" w:hAnsiTheme="majorHAnsi" w:cstheme="majorBidi"/>
      <w:spacing w:val="5"/>
      <w:sz w:val="52"/>
      <w:szCs w:val="52"/>
      <w:lang w:val="pl-PL" w:bidi="en-US"/>
    </w:rPr>
  </w:style>
  <w:style w:type="character" w:customStyle="1" w:styleId="JUNAMES">
    <w:name w:val="JU_NAMES"/>
    <w:aliases w:val="_Ju_Names"/>
    <w:uiPriority w:val="33"/>
    <w:qFormat/>
    <w:rsid w:val="00DA5DE1"/>
    <w:rPr>
      <w:caps w:val="0"/>
      <w:smallCaps/>
    </w:rPr>
  </w:style>
  <w:style w:type="paragraph" w:customStyle="1" w:styleId="JuH1">
    <w:name w:val="Ju_H_1."/>
    <w:aliases w:val="_Head_4"/>
    <w:basedOn w:val="Nagwek4"/>
    <w:next w:val="JuPara"/>
    <w:uiPriority w:val="17"/>
    <w:rsid w:val="00DA5DE1"/>
    <w:pPr>
      <w:keepNext/>
      <w:keepLines/>
      <w:numPr>
        <w:ilvl w:val="3"/>
        <w:numId w:val="1"/>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DA5DE1"/>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DA5DE1"/>
    <w:pPr>
      <w:keepNext/>
      <w:keepLines/>
      <w:numPr>
        <w:ilvl w:val="5"/>
        <w:numId w:val="1"/>
      </w:numPr>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DA5DE1"/>
    <w:pPr>
      <w:keepNext/>
      <w:keepLines/>
      <w:numPr>
        <w:ilvl w:val="6"/>
        <w:numId w:val="1"/>
      </w:numPr>
      <w:spacing w:before="100" w:beforeAutospacing="1" w:after="120"/>
      <w:jc w:val="both"/>
    </w:pPr>
    <w:rPr>
      <w:i w:val="0"/>
      <w:sz w:val="20"/>
    </w:rPr>
  </w:style>
  <w:style w:type="paragraph" w:customStyle="1" w:styleId="JuH">
    <w:name w:val="Ju_H_–"/>
    <w:aliases w:val="_Head_8"/>
    <w:basedOn w:val="Nagwek8"/>
    <w:next w:val="JuPara"/>
    <w:uiPriority w:val="17"/>
    <w:rsid w:val="00DA5DE1"/>
    <w:pPr>
      <w:keepNext/>
      <w:keepLines/>
      <w:numPr>
        <w:ilvl w:val="7"/>
        <w:numId w:val="1"/>
      </w:numPr>
      <w:spacing w:before="100" w:beforeAutospacing="1" w:after="120"/>
    </w:pPr>
    <w:rPr>
      <w:i/>
    </w:rPr>
  </w:style>
  <w:style w:type="paragraph" w:customStyle="1" w:styleId="ECHRBullet4">
    <w:name w:val="ECHR_Bullet_4"/>
    <w:aliases w:val="_Bul_4"/>
    <w:basedOn w:val="ECHRBullet3"/>
    <w:uiPriority w:val="23"/>
    <w:semiHidden/>
    <w:rsid w:val="00DA5DE1"/>
    <w:pPr>
      <w:numPr>
        <w:ilvl w:val="3"/>
      </w:numPr>
    </w:pPr>
  </w:style>
  <w:style w:type="paragraph" w:customStyle="1" w:styleId="ECHRConfidential">
    <w:name w:val="ECHR_Confidential"/>
    <w:aliases w:val="_Confidential"/>
    <w:basedOn w:val="Normalny"/>
    <w:next w:val="Normalny"/>
    <w:uiPriority w:val="42"/>
    <w:semiHidden/>
    <w:qFormat/>
    <w:rsid w:val="00DA5DE1"/>
    <w:pPr>
      <w:jc w:val="right"/>
    </w:pPr>
    <w:rPr>
      <w:color w:val="C00000"/>
      <w:sz w:val="20"/>
    </w:rPr>
  </w:style>
  <w:style w:type="paragraph" w:styleId="Nagwek">
    <w:name w:val="header"/>
    <w:basedOn w:val="Normalny"/>
    <w:link w:val="NagwekZnak"/>
    <w:uiPriority w:val="98"/>
    <w:semiHidden/>
    <w:rsid w:val="00DA5DE1"/>
    <w:pPr>
      <w:tabs>
        <w:tab w:val="center" w:pos="4536"/>
        <w:tab w:val="right" w:pos="9072"/>
      </w:tabs>
    </w:pPr>
  </w:style>
  <w:style w:type="character" w:customStyle="1" w:styleId="NagwekZnak">
    <w:name w:val="Nagłówek Znak"/>
    <w:basedOn w:val="Domylnaczcionkaakapitu"/>
    <w:link w:val="Nagwek"/>
    <w:uiPriority w:val="98"/>
    <w:semiHidden/>
    <w:rsid w:val="00DA5DE1"/>
    <w:rPr>
      <w:sz w:val="24"/>
      <w:szCs w:val="24"/>
      <w:lang w:val="pl-PL"/>
    </w:rPr>
  </w:style>
  <w:style w:type="character" w:customStyle="1" w:styleId="Nagwek1Znak">
    <w:name w:val="Nagłówek 1 Znak"/>
    <w:basedOn w:val="Domylnaczcionkaakapitu"/>
    <w:link w:val="Nagwek1"/>
    <w:uiPriority w:val="98"/>
    <w:semiHidden/>
    <w:rsid w:val="00DA5DE1"/>
    <w:rPr>
      <w:rFonts w:asciiTheme="majorHAnsi" w:eastAsiaTheme="majorEastAsia" w:hAnsiTheme="majorHAnsi" w:cstheme="majorBidi"/>
      <w:b/>
      <w:bCs/>
      <w:color w:val="333333"/>
      <w:sz w:val="28"/>
      <w:szCs w:val="28"/>
      <w:lang w:val="pl-PL"/>
    </w:rPr>
  </w:style>
  <w:style w:type="paragraph" w:customStyle="1" w:styleId="JuHIRoman">
    <w:name w:val="Ju_H_I_Roman"/>
    <w:aliases w:val="_Head_2"/>
    <w:basedOn w:val="Nagwek2"/>
    <w:next w:val="JuPara"/>
    <w:uiPriority w:val="17"/>
    <w:rsid w:val="00DA5DE1"/>
    <w:pPr>
      <w:keepNext/>
      <w:keepLines/>
      <w:numPr>
        <w:ilvl w:val="1"/>
        <w:numId w:val="1"/>
      </w:numPr>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A5DE1"/>
    <w:pPr>
      <w:keepNext/>
      <w:keepLines/>
      <w:numPr>
        <w:ilvl w:val="2"/>
        <w:numId w:val="1"/>
      </w:numPr>
      <w:spacing w:before="100" w:beforeAutospacing="1" w:after="240" w:line="240" w:lineRule="auto"/>
      <w:jc w:val="both"/>
    </w:pPr>
    <w:rPr>
      <w:color w:val="auto"/>
      <w:sz w:val="24"/>
    </w:rPr>
  </w:style>
  <w:style w:type="character" w:customStyle="1" w:styleId="Nagwek2Znak">
    <w:name w:val="Nagłówek 2 Znak"/>
    <w:basedOn w:val="Domylnaczcionkaakapitu"/>
    <w:link w:val="Nagwek2"/>
    <w:uiPriority w:val="98"/>
    <w:semiHidden/>
    <w:rsid w:val="00DA5DE1"/>
    <w:rPr>
      <w:rFonts w:asciiTheme="majorHAnsi" w:eastAsiaTheme="majorEastAsia" w:hAnsiTheme="majorHAnsi" w:cstheme="majorBidi"/>
      <w:b/>
      <w:bCs/>
      <w:color w:val="4D4D4D"/>
      <w:sz w:val="26"/>
      <w:szCs w:val="26"/>
      <w:lang w:val="pl-PL"/>
    </w:rPr>
  </w:style>
  <w:style w:type="paragraph" w:customStyle="1" w:styleId="JuTitle">
    <w:name w:val="Ju_Title"/>
    <w:aliases w:val="_Title_2"/>
    <w:basedOn w:val="Normalny"/>
    <w:next w:val="JuPara"/>
    <w:uiPriority w:val="38"/>
    <w:qFormat/>
    <w:rsid w:val="00DA5DE1"/>
    <w:pPr>
      <w:keepNext/>
      <w:keepLines/>
      <w:spacing w:before="1320" w:after="280"/>
      <w:contextualSpacing/>
      <w:jc w:val="center"/>
    </w:pPr>
    <w:rPr>
      <w:b/>
    </w:rPr>
  </w:style>
  <w:style w:type="paragraph" w:customStyle="1" w:styleId="ECHRDivisionName">
    <w:name w:val="ECHR_DivisionName"/>
    <w:aliases w:val="_Div_Name"/>
    <w:basedOn w:val="Normalny"/>
    <w:link w:val="ECHRDivisionNameChar"/>
    <w:uiPriority w:val="41"/>
    <w:semiHidden/>
    <w:qFormat/>
    <w:rsid w:val="00DA5DE1"/>
    <w:pPr>
      <w:contextualSpacing/>
      <w:jc w:val="center"/>
    </w:pPr>
    <w:rPr>
      <w:rFonts w:ascii="Arial" w:hAnsi="Arial"/>
      <w:i/>
      <w:color w:val="002856"/>
      <w:sz w:val="32"/>
    </w:rPr>
  </w:style>
  <w:style w:type="character" w:customStyle="1" w:styleId="Nagwek3Znak">
    <w:name w:val="Nagłówek 3 Znak"/>
    <w:basedOn w:val="Domylnaczcionkaakapitu"/>
    <w:link w:val="Nagwek3"/>
    <w:uiPriority w:val="98"/>
    <w:semiHidden/>
    <w:rsid w:val="00DA5DE1"/>
    <w:rPr>
      <w:rFonts w:asciiTheme="majorHAnsi" w:eastAsiaTheme="majorEastAsia" w:hAnsiTheme="majorHAnsi" w:cstheme="majorBidi"/>
      <w:b/>
      <w:bCs/>
      <w:color w:val="5F5F5F"/>
      <w:lang w:val="pl-PL"/>
    </w:rPr>
  </w:style>
  <w:style w:type="paragraph" w:customStyle="1" w:styleId="ECHRDecisionBody">
    <w:name w:val="ECHR_Decision_Body"/>
    <w:aliases w:val="_Decision_Body"/>
    <w:basedOn w:val="NormalJustified"/>
    <w:uiPriority w:val="54"/>
    <w:rsid w:val="00DA5DE1"/>
    <w:pPr>
      <w:tabs>
        <w:tab w:val="left" w:pos="567"/>
        <w:tab w:val="left" w:pos="1134"/>
      </w:tabs>
      <w:spacing w:line="240" w:lineRule="exact"/>
      <w:jc w:val="left"/>
    </w:pPr>
  </w:style>
  <w:style w:type="paragraph" w:customStyle="1" w:styleId="JuPara">
    <w:name w:val="Ju_Para"/>
    <w:aliases w:val="_Para"/>
    <w:basedOn w:val="NormalJustified"/>
    <w:link w:val="JuParaChar"/>
    <w:uiPriority w:val="4"/>
    <w:qFormat/>
    <w:rsid w:val="00DA5DE1"/>
    <w:pPr>
      <w:ind w:firstLine="284"/>
    </w:pPr>
  </w:style>
  <w:style w:type="character" w:customStyle="1" w:styleId="Nagwek4Znak">
    <w:name w:val="Nagłówek 4 Znak"/>
    <w:basedOn w:val="Domylnaczcionkaakapitu"/>
    <w:link w:val="Nagwek4"/>
    <w:uiPriority w:val="98"/>
    <w:semiHidden/>
    <w:rsid w:val="00DA5DE1"/>
    <w:rPr>
      <w:rFonts w:asciiTheme="majorHAnsi" w:eastAsiaTheme="majorEastAsia" w:hAnsiTheme="majorHAnsi" w:cstheme="majorBidi"/>
      <w:b/>
      <w:bCs/>
      <w:i/>
      <w:iCs/>
      <w:color w:val="777777"/>
      <w:lang w:val="pl-PL"/>
    </w:rPr>
  </w:style>
  <w:style w:type="paragraph" w:customStyle="1" w:styleId="JuList">
    <w:name w:val="Ju_List"/>
    <w:aliases w:val="_List_1"/>
    <w:basedOn w:val="NormalJustified"/>
    <w:uiPriority w:val="23"/>
    <w:qFormat/>
    <w:rsid w:val="00DA5DE1"/>
    <w:pPr>
      <w:numPr>
        <w:numId w:val="6"/>
      </w:numPr>
      <w:spacing w:before="280" w:after="60"/>
    </w:pPr>
  </w:style>
  <w:style w:type="character" w:customStyle="1" w:styleId="Nagwek5Znak">
    <w:name w:val="Nagłówek 5 Znak"/>
    <w:basedOn w:val="Domylnaczcionkaakapitu"/>
    <w:link w:val="Nagwek5"/>
    <w:uiPriority w:val="98"/>
    <w:semiHidden/>
    <w:rsid w:val="00DA5DE1"/>
    <w:rPr>
      <w:rFonts w:asciiTheme="majorHAnsi" w:eastAsiaTheme="majorEastAsia" w:hAnsiTheme="majorHAnsi" w:cstheme="majorBidi"/>
      <w:b/>
      <w:bCs/>
      <w:color w:val="808080"/>
      <w:lang w:val="pl-PL"/>
    </w:rPr>
  </w:style>
  <w:style w:type="paragraph" w:customStyle="1" w:styleId="JuSigned">
    <w:name w:val="Ju_Signed"/>
    <w:aliases w:val="_Signature"/>
    <w:basedOn w:val="Normalny"/>
    <w:next w:val="JuPara"/>
    <w:uiPriority w:val="31"/>
    <w:qFormat/>
    <w:rsid w:val="00DA5DE1"/>
    <w:pPr>
      <w:tabs>
        <w:tab w:val="center" w:pos="851"/>
        <w:tab w:val="center" w:pos="6407"/>
      </w:tabs>
      <w:spacing w:before="720"/>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8"/>
    <w:semiHidden/>
    <w:qFormat/>
    <w:rsid w:val="00DA5DE1"/>
    <w:rPr>
      <w:i/>
      <w:iCs/>
    </w:rPr>
  </w:style>
  <w:style w:type="table" w:customStyle="1" w:styleId="ECHRTable">
    <w:name w:val="ECHR_Table"/>
    <w:basedOn w:val="Standardowy"/>
    <w:rsid w:val="00DA5DE1"/>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A5DE1"/>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DA5DE1"/>
    <w:pPr>
      <w:keepNext/>
      <w:keepLines/>
      <w:numPr>
        <w:numId w:val="1"/>
      </w:numPr>
      <w:spacing w:before="100" w:beforeAutospacing="1" w:after="240"/>
      <w:contextualSpacing w:val="0"/>
      <w:jc w:val="both"/>
    </w:pPr>
    <w:rPr>
      <w:b w:val="0"/>
      <w:caps/>
      <w:color w:val="auto"/>
    </w:rPr>
  </w:style>
  <w:style w:type="character" w:styleId="Uwydatnienie">
    <w:name w:val="Emphasis"/>
    <w:uiPriority w:val="98"/>
    <w:semiHidden/>
    <w:qFormat/>
    <w:rsid w:val="00DA5DE1"/>
    <w:rPr>
      <w:b/>
      <w:bCs/>
      <w:i/>
      <w:iCs/>
      <w:spacing w:val="10"/>
      <w:bdr w:val="none" w:sz="0" w:space="0" w:color="auto"/>
      <w:shd w:val="clear" w:color="auto" w:fill="auto"/>
    </w:rPr>
  </w:style>
  <w:style w:type="paragraph" w:styleId="Stopka">
    <w:name w:val="footer"/>
    <w:basedOn w:val="Normalny"/>
    <w:link w:val="StopkaZnak"/>
    <w:uiPriority w:val="49"/>
    <w:semiHidden/>
    <w:rsid w:val="00DA5DE1"/>
    <w:pPr>
      <w:tabs>
        <w:tab w:val="center" w:pos="3686"/>
        <w:tab w:val="right" w:pos="7371"/>
      </w:tabs>
    </w:pPr>
  </w:style>
  <w:style w:type="character" w:customStyle="1" w:styleId="StopkaZnak">
    <w:name w:val="Stopka Znak"/>
    <w:basedOn w:val="Domylnaczcionkaakapitu"/>
    <w:link w:val="Stopka"/>
    <w:uiPriority w:val="49"/>
    <w:rsid w:val="00DA5DE1"/>
    <w:rPr>
      <w:sz w:val="24"/>
      <w:szCs w:val="24"/>
      <w:lang w:val="pl-PL"/>
    </w:rPr>
  </w:style>
  <w:style w:type="character" w:styleId="Odwoanieprzypisudolnego">
    <w:name w:val="footnote reference"/>
    <w:basedOn w:val="Domylnaczcionkaakapitu"/>
    <w:uiPriority w:val="98"/>
    <w:semiHidden/>
    <w:rsid w:val="00DA5DE1"/>
    <w:rPr>
      <w:vertAlign w:val="superscript"/>
    </w:rPr>
  </w:style>
  <w:style w:type="paragraph" w:styleId="Tekstprzypisudolnego">
    <w:name w:val="footnote text"/>
    <w:basedOn w:val="Normalny"/>
    <w:link w:val="TekstprzypisudolnegoZnak"/>
    <w:uiPriority w:val="98"/>
    <w:semiHidden/>
    <w:rsid w:val="00DA5DE1"/>
    <w:rPr>
      <w:sz w:val="20"/>
      <w:szCs w:val="20"/>
    </w:rPr>
  </w:style>
  <w:style w:type="character" w:customStyle="1" w:styleId="TekstprzypisudolnegoZnak">
    <w:name w:val="Tekst przypisu dolnego Znak"/>
    <w:basedOn w:val="Domylnaczcionkaakapitu"/>
    <w:link w:val="Tekstprzypisudolnego"/>
    <w:uiPriority w:val="98"/>
    <w:semiHidden/>
    <w:rsid w:val="00DA5DE1"/>
    <w:rPr>
      <w:sz w:val="20"/>
      <w:szCs w:val="20"/>
      <w:lang w:val="pl-PL"/>
    </w:rPr>
  </w:style>
  <w:style w:type="character" w:customStyle="1" w:styleId="Nagwek6Znak">
    <w:name w:val="Nagłówek 6 Znak"/>
    <w:basedOn w:val="Domylnaczcionkaakapitu"/>
    <w:link w:val="Nagwek6"/>
    <w:uiPriority w:val="98"/>
    <w:semiHidden/>
    <w:rsid w:val="00DA5DE1"/>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DA5DE1"/>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DA5DE1"/>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DA5DE1"/>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DA5DE1"/>
    <w:rPr>
      <w:color w:val="0072BC" w:themeColor="hyperlink"/>
      <w:u w:val="single"/>
    </w:rPr>
  </w:style>
  <w:style w:type="character" w:styleId="Wyrnienieintensywne">
    <w:name w:val="Intense Emphasis"/>
    <w:uiPriority w:val="98"/>
    <w:semiHidden/>
    <w:qFormat/>
    <w:rsid w:val="00DA5DE1"/>
    <w:rPr>
      <w:b/>
      <w:bCs/>
    </w:rPr>
  </w:style>
  <w:style w:type="paragraph" w:styleId="Cytatintensywny">
    <w:name w:val="Intense Quote"/>
    <w:basedOn w:val="Normalny"/>
    <w:next w:val="Normalny"/>
    <w:link w:val="CytatintensywnyZnak"/>
    <w:uiPriority w:val="98"/>
    <w:semiHidden/>
    <w:qFormat/>
    <w:rsid w:val="00DA5DE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A5DE1"/>
    <w:rPr>
      <w:b/>
      <w:bCs/>
      <w:i/>
      <w:iCs/>
      <w:sz w:val="24"/>
      <w:szCs w:val="24"/>
      <w:lang w:val="pl-PL" w:bidi="en-US"/>
    </w:rPr>
  </w:style>
  <w:style w:type="character" w:styleId="Odwoanieintensywne">
    <w:name w:val="Intense Reference"/>
    <w:uiPriority w:val="98"/>
    <w:semiHidden/>
    <w:qFormat/>
    <w:rsid w:val="00DA5DE1"/>
    <w:rPr>
      <w:smallCaps/>
      <w:spacing w:val="5"/>
      <w:u w:val="single"/>
    </w:rPr>
  </w:style>
  <w:style w:type="paragraph" w:styleId="Akapitzlist">
    <w:name w:val="List Paragraph"/>
    <w:basedOn w:val="Normalny"/>
    <w:uiPriority w:val="98"/>
    <w:semiHidden/>
    <w:qFormat/>
    <w:rsid w:val="00DA5DE1"/>
    <w:pPr>
      <w:ind w:left="720"/>
      <w:contextualSpacing/>
    </w:pPr>
  </w:style>
  <w:style w:type="table" w:customStyle="1" w:styleId="LtrTableAddress">
    <w:name w:val="Ltr_Table_Address"/>
    <w:aliases w:val="ECHR_Ltr_Table_Address"/>
    <w:basedOn w:val="Standardowy"/>
    <w:uiPriority w:val="99"/>
    <w:rsid w:val="00DA5DE1"/>
    <w:rPr>
      <w:sz w:val="24"/>
      <w:szCs w:val="24"/>
    </w:rPr>
    <w:tblPr>
      <w:tblInd w:w="5103" w:type="dxa"/>
    </w:tblPr>
  </w:style>
  <w:style w:type="paragraph" w:styleId="Cytat">
    <w:name w:val="Quote"/>
    <w:basedOn w:val="Normalny"/>
    <w:next w:val="Normalny"/>
    <w:link w:val="CytatZnak"/>
    <w:uiPriority w:val="98"/>
    <w:semiHidden/>
    <w:qFormat/>
    <w:rsid w:val="00DA5DE1"/>
    <w:pPr>
      <w:spacing w:before="200"/>
      <w:ind w:left="360" w:right="360"/>
    </w:pPr>
    <w:rPr>
      <w:i/>
      <w:iCs/>
      <w:lang w:bidi="en-US"/>
    </w:rPr>
  </w:style>
  <w:style w:type="character" w:customStyle="1" w:styleId="CytatZnak">
    <w:name w:val="Cytat Znak"/>
    <w:basedOn w:val="Domylnaczcionkaakapitu"/>
    <w:link w:val="Cytat"/>
    <w:uiPriority w:val="98"/>
    <w:semiHidden/>
    <w:rsid w:val="00DA5DE1"/>
    <w:rPr>
      <w:i/>
      <w:iCs/>
      <w:sz w:val="24"/>
      <w:szCs w:val="24"/>
      <w:lang w:val="pl-PL" w:bidi="en-US"/>
    </w:rPr>
  </w:style>
  <w:style w:type="character" w:styleId="Odwoaniedelikatne">
    <w:name w:val="Subtle Reference"/>
    <w:uiPriority w:val="98"/>
    <w:semiHidden/>
    <w:qFormat/>
    <w:rsid w:val="00DA5DE1"/>
    <w:rPr>
      <w:smallCaps/>
    </w:rPr>
  </w:style>
  <w:style w:type="table" w:styleId="Tabela-Siatka">
    <w:name w:val="Table Grid"/>
    <w:basedOn w:val="Standardowy"/>
    <w:uiPriority w:val="59"/>
    <w:semiHidden/>
    <w:rsid w:val="00DA5DE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A5DE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A5DE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A5DE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A5DE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A5DE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A5DE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A5DE1"/>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A5DE1"/>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A5DE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A5DE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A5DE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A5DE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A5DE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DA5DE1"/>
    <w:pPr>
      <w:spacing w:before="120" w:after="120"/>
      <w:ind w:left="425" w:firstLine="142"/>
    </w:pPr>
    <w:rPr>
      <w:sz w:val="20"/>
    </w:rPr>
  </w:style>
  <w:style w:type="table" w:customStyle="1" w:styleId="ECHRTableSimpleBox">
    <w:name w:val="ECHR_Table_Simple_Box"/>
    <w:basedOn w:val="Standardowy"/>
    <w:uiPriority w:val="99"/>
    <w:rsid w:val="00DA5DE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A5DE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DA5DE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A5DE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DA5DE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DA5DE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aliases w:val="_Para_Spaced"/>
    <w:basedOn w:val="NormalJustified"/>
    <w:uiPriority w:val="5"/>
    <w:qFormat/>
    <w:rsid w:val="00DA5DE1"/>
    <w:pPr>
      <w:keepNext/>
      <w:keepLines/>
      <w:spacing w:before="240" w:after="240"/>
      <w:ind w:firstLine="284"/>
    </w:pPr>
  </w:style>
  <w:style w:type="paragraph" w:customStyle="1" w:styleId="JuCase">
    <w:name w:val="Ju_Case"/>
    <w:aliases w:val="_Case_Name"/>
    <w:basedOn w:val="Normalny"/>
    <w:next w:val="JuPara"/>
    <w:uiPriority w:val="32"/>
    <w:rsid w:val="00DA5DE1"/>
    <w:pPr>
      <w:ind w:firstLine="284"/>
    </w:pPr>
    <w:rPr>
      <w:b/>
    </w:rPr>
  </w:style>
  <w:style w:type="character" w:styleId="Numerstrony">
    <w:name w:val="page number"/>
    <w:uiPriority w:val="98"/>
    <w:semiHidden/>
    <w:rsid w:val="00DA5DE1"/>
    <w:rPr>
      <w:sz w:val="18"/>
    </w:rPr>
  </w:style>
  <w:style w:type="paragraph" w:customStyle="1" w:styleId="JuLista">
    <w:name w:val="Ju_List_a"/>
    <w:aliases w:val="_List_2"/>
    <w:basedOn w:val="NormalJustified"/>
    <w:uiPriority w:val="23"/>
    <w:rsid w:val="00DA5DE1"/>
    <w:pPr>
      <w:numPr>
        <w:ilvl w:val="1"/>
        <w:numId w:val="6"/>
      </w:numPr>
    </w:pPr>
  </w:style>
  <w:style w:type="character" w:customStyle="1" w:styleId="ECHRDivisionNameChar">
    <w:name w:val="ECHR_DivisionName Char"/>
    <w:aliases w:val="_Div_Name Char"/>
    <w:basedOn w:val="Domylnaczcionkaakapitu"/>
    <w:link w:val="ECHRDivisionName"/>
    <w:uiPriority w:val="41"/>
    <w:semiHidden/>
    <w:rsid w:val="00DA5DE1"/>
    <w:rPr>
      <w:rFonts w:ascii="Arial" w:hAnsi="Arial"/>
      <w:i/>
      <w:color w:val="002856"/>
      <w:sz w:val="32"/>
      <w:szCs w:val="24"/>
      <w:lang w:val="pl-PL"/>
    </w:r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DA5DE1"/>
    <w:rPr>
      <w:sz w:val="20"/>
      <w:szCs w:val="20"/>
      <w:lang w:val="pl-PL"/>
    </w:rPr>
  </w:style>
  <w:style w:type="paragraph" w:styleId="Tematkomentarza">
    <w:name w:val="annotation subject"/>
    <w:basedOn w:val="Tekstkomentarza"/>
    <w:next w:val="Tekstkomentarza"/>
    <w:link w:val="TematkomentarzaZnak"/>
    <w:uiPriority w:val="98"/>
    <w:semiHidden/>
    <w:rsid w:val="00DA5DE1"/>
    <w:rPr>
      <w:b/>
      <w:bCs/>
    </w:rPr>
  </w:style>
  <w:style w:type="character" w:customStyle="1" w:styleId="TematkomentarzaZnak">
    <w:name w:val="Temat komentarza Znak"/>
    <w:basedOn w:val="TekstkomentarzaZnak"/>
    <w:link w:val="Tematkomentarza"/>
    <w:uiPriority w:val="98"/>
    <w:semiHidden/>
    <w:rsid w:val="00DA5DE1"/>
    <w:rPr>
      <w:b/>
      <w:bCs/>
      <w:sz w:val="20"/>
      <w:szCs w:val="20"/>
      <w:lang w:val="pl-PL"/>
    </w:rPr>
  </w:style>
  <w:style w:type="character" w:styleId="Odwoanieprzypisukocowego">
    <w:name w:val="endnote reference"/>
    <w:basedOn w:val="Domylnaczcionkaakapitu"/>
    <w:uiPriority w:val="98"/>
    <w:semiHidden/>
    <w:rsid w:val="00DA5DE1"/>
    <w:rPr>
      <w:vertAlign w:val="superscript"/>
    </w:rPr>
  </w:style>
  <w:style w:type="paragraph" w:styleId="Tekstprzypisukocowego">
    <w:name w:val="endnote text"/>
    <w:basedOn w:val="Normalny"/>
    <w:link w:val="TekstprzypisukocowegoZnak"/>
    <w:uiPriority w:val="98"/>
    <w:semiHidden/>
    <w:rsid w:val="00DA5DE1"/>
    <w:rPr>
      <w:sz w:val="20"/>
      <w:szCs w:val="20"/>
    </w:rPr>
  </w:style>
  <w:style w:type="character" w:customStyle="1" w:styleId="TekstprzypisukocowegoZnak">
    <w:name w:val="Tekst przypisu końcowego Znak"/>
    <w:basedOn w:val="Domylnaczcionkaakapitu"/>
    <w:link w:val="Tekstprzypisukocowego"/>
    <w:uiPriority w:val="98"/>
    <w:semiHidden/>
    <w:rsid w:val="00DA5DE1"/>
    <w:rPr>
      <w:sz w:val="20"/>
      <w:szCs w:val="20"/>
      <w:lang w:val="pl-PL"/>
    </w:rPr>
  </w:style>
  <w:style w:type="character" w:styleId="UyteHipercze">
    <w:name w:val="FollowedHyperlink"/>
    <w:basedOn w:val="Domylnaczcionkaakapitu"/>
    <w:uiPriority w:val="98"/>
    <w:semiHidden/>
    <w:rsid w:val="00DA5DE1"/>
    <w:rPr>
      <w:color w:val="7030A0" w:themeColor="followedHyperlink"/>
      <w:u w:val="single"/>
    </w:rPr>
  </w:style>
  <w:style w:type="paragraph" w:styleId="Mapadokumentu">
    <w:name w:val="Document Map"/>
    <w:basedOn w:val="Normalny"/>
    <w:link w:val="MapadokumentuZnak"/>
    <w:uiPriority w:val="98"/>
    <w:semiHidden/>
    <w:rsid w:val="00DA5DE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A5DE1"/>
    <w:rPr>
      <w:rFonts w:ascii="Tahoma" w:hAnsi="Tahoma" w:cs="Tahoma"/>
      <w:sz w:val="16"/>
      <w:szCs w:val="16"/>
      <w:lang w:val="pl-PL"/>
    </w:rPr>
  </w:style>
  <w:style w:type="paragraph" w:styleId="Listapunktowana">
    <w:name w:val="List Bullet"/>
    <w:basedOn w:val="Normalny"/>
    <w:uiPriority w:val="98"/>
    <w:semiHidden/>
    <w:rsid w:val="00DA5DE1"/>
    <w:pPr>
      <w:numPr>
        <w:numId w:val="8"/>
      </w:numPr>
    </w:pPr>
  </w:style>
  <w:style w:type="character" w:customStyle="1" w:styleId="JuITMark">
    <w:name w:val="Ju_ITMark"/>
    <w:aliases w:val="_ITMark"/>
    <w:basedOn w:val="Domylnaczcionkaakapitu"/>
    <w:uiPriority w:val="43"/>
    <w:qFormat/>
    <w:rsid w:val="00DA5DE1"/>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DA5DE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A5DE1"/>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DA5DE1"/>
    <w:pPr>
      <w:numPr>
        <w:numId w:val="2"/>
      </w:numPr>
    </w:pPr>
  </w:style>
  <w:style w:type="numbering" w:styleId="1ai">
    <w:name w:val="Outline List 1"/>
    <w:basedOn w:val="Bezlisty"/>
    <w:uiPriority w:val="99"/>
    <w:semiHidden/>
    <w:unhideWhenUsed/>
    <w:rsid w:val="00DA5DE1"/>
    <w:pPr>
      <w:numPr>
        <w:numId w:val="3"/>
      </w:numPr>
    </w:pPr>
  </w:style>
  <w:style w:type="numbering" w:styleId="Artykusekcja">
    <w:name w:val="Outline List 3"/>
    <w:basedOn w:val="Bezlisty"/>
    <w:uiPriority w:val="99"/>
    <w:semiHidden/>
    <w:unhideWhenUsed/>
    <w:rsid w:val="00DA5DE1"/>
    <w:pPr>
      <w:numPr>
        <w:numId w:val="4"/>
      </w:numPr>
    </w:pPr>
  </w:style>
  <w:style w:type="paragraph" w:styleId="Bibliografia">
    <w:name w:val="Bibliography"/>
    <w:basedOn w:val="Normalny"/>
    <w:next w:val="Normalny"/>
    <w:uiPriority w:val="98"/>
    <w:semiHidden/>
    <w:rsid w:val="00DA5DE1"/>
  </w:style>
  <w:style w:type="paragraph" w:styleId="Tekstblokowy">
    <w:name w:val="Block Text"/>
    <w:basedOn w:val="Normalny"/>
    <w:uiPriority w:val="98"/>
    <w:semiHidden/>
    <w:rsid w:val="00DA5DE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DA5DE1"/>
    <w:pPr>
      <w:spacing w:after="120"/>
    </w:pPr>
  </w:style>
  <w:style w:type="character" w:customStyle="1" w:styleId="TekstpodstawowyZnak">
    <w:name w:val="Tekst podstawowy Znak"/>
    <w:basedOn w:val="Domylnaczcionkaakapitu"/>
    <w:link w:val="Tekstpodstawowy"/>
    <w:uiPriority w:val="98"/>
    <w:semiHidden/>
    <w:rsid w:val="00DA5DE1"/>
    <w:rPr>
      <w:sz w:val="24"/>
      <w:szCs w:val="24"/>
      <w:lang w:val="pl-PL"/>
    </w:rPr>
  </w:style>
  <w:style w:type="paragraph" w:styleId="Tekstpodstawowy2">
    <w:name w:val="Body Text 2"/>
    <w:basedOn w:val="Normalny"/>
    <w:link w:val="Tekstpodstawowy2Znak"/>
    <w:uiPriority w:val="98"/>
    <w:semiHidden/>
    <w:rsid w:val="00DA5DE1"/>
    <w:pPr>
      <w:spacing w:after="120" w:line="480" w:lineRule="auto"/>
    </w:pPr>
  </w:style>
  <w:style w:type="character" w:customStyle="1" w:styleId="Tekstpodstawowy2Znak">
    <w:name w:val="Tekst podstawowy 2 Znak"/>
    <w:basedOn w:val="Domylnaczcionkaakapitu"/>
    <w:link w:val="Tekstpodstawowy2"/>
    <w:uiPriority w:val="98"/>
    <w:semiHidden/>
    <w:rsid w:val="00DA5DE1"/>
    <w:rPr>
      <w:sz w:val="24"/>
      <w:szCs w:val="24"/>
      <w:lang w:val="pl-PL"/>
    </w:rPr>
  </w:style>
  <w:style w:type="paragraph" w:styleId="Tekstpodstawowy3">
    <w:name w:val="Body Text 3"/>
    <w:basedOn w:val="Normalny"/>
    <w:link w:val="Tekstpodstawowy3Znak"/>
    <w:uiPriority w:val="98"/>
    <w:semiHidden/>
    <w:rsid w:val="00DA5DE1"/>
    <w:pPr>
      <w:spacing w:after="120"/>
    </w:pPr>
    <w:rPr>
      <w:sz w:val="16"/>
      <w:szCs w:val="16"/>
    </w:rPr>
  </w:style>
  <w:style w:type="character" w:customStyle="1" w:styleId="Tekstpodstawowy3Znak">
    <w:name w:val="Tekst podstawowy 3 Znak"/>
    <w:basedOn w:val="Domylnaczcionkaakapitu"/>
    <w:link w:val="Tekstpodstawowy3"/>
    <w:uiPriority w:val="98"/>
    <w:semiHidden/>
    <w:rsid w:val="00DA5DE1"/>
    <w:rPr>
      <w:sz w:val="16"/>
      <w:szCs w:val="16"/>
      <w:lang w:val="pl-PL"/>
    </w:rPr>
  </w:style>
  <w:style w:type="paragraph" w:styleId="Tekstpodstawowyzwciciem">
    <w:name w:val="Body Text First Indent"/>
    <w:basedOn w:val="Tekstpodstawowy"/>
    <w:link w:val="TekstpodstawowyzwciciemZnak"/>
    <w:uiPriority w:val="98"/>
    <w:semiHidden/>
    <w:rsid w:val="00DA5DE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A5DE1"/>
    <w:rPr>
      <w:sz w:val="24"/>
      <w:szCs w:val="24"/>
      <w:lang w:val="pl-PL"/>
    </w:rPr>
  </w:style>
  <w:style w:type="paragraph" w:styleId="Tekstpodstawowywcity">
    <w:name w:val="Body Text Indent"/>
    <w:basedOn w:val="Normalny"/>
    <w:link w:val="TekstpodstawowywcityZnak"/>
    <w:uiPriority w:val="98"/>
    <w:semiHidden/>
    <w:rsid w:val="00DA5DE1"/>
    <w:pPr>
      <w:spacing w:after="120"/>
      <w:ind w:left="283"/>
    </w:pPr>
  </w:style>
  <w:style w:type="character" w:customStyle="1" w:styleId="TekstpodstawowywcityZnak">
    <w:name w:val="Tekst podstawowy wcięty Znak"/>
    <w:basedOn w:val="Domylnaczcionkaakapitu"/>
    <w:link w:val="Tekstpodstawowywcity"/>
    <w:uiPriority w:val="98"/>
    <w:semiHidden/>
    <w:rsid w:val="00DA5DE1"/>
    <w:rPr>
      <w:sz w:val="24"/>
      <w:szCs w:val="24"/>
      <w:lang w:val="pl-PL"/>
    </w:rPr>
  </w:style>
  <w:style w:type="paragraph" w:styleId="Tekstpodstawowyzwciciem2">
    <w:name w:val="Body Text First Indent 2"/>
    <w:basedOn w:val="Tekstpodstawowywcity"/>
    <w:link w:val="Tekstpodstawowyzwciciem2Znak"/>
    <w:uiPriority w:val="98"/>
    <w:semiHidden/>
    <w:rsid w:val="00DA5DE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A5DE1"/>
    <w:rPr>
      <w:sz w:val="24"/>
      <w:szCs w:val="24"/>
      <w:lang w:val="pl-PL"/>
    </w:rPr>
  </w:style>
  <w:style w:type="paragraph" w:styleId="Tekstpodstawowywcity2">
    <w:name w:val="Body Text Indent 2"/>
    <w:basedOn w:val="Normalny"/>
    <w:link w:val="Tekstpodstawowywcity2Znak"/>
    <w:uiPriority w:val="98"/>
    <w:semiHidden/>
    <w:rsid w:val="00DA5DE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A5DE1"/>
    <w:rPr>
      <w:sz w:val="24"/>
      <w:szCs w:val="24"/>
      <w:lang w:val="pl-PL"/>
    </w:rPr>
  </w:style>
  <w:style w:type="paragraph" w:styleId="Tekstpodstawowywcity3">
    <w:name w:val="Body Text Indent 3"/>
    <w:basedOn w:val="Normalny"/>
    <w:link w:val="Tekstpodstawowywcity3Znak"/>
    <w:uiPriority w:val="98"/>
    <w:semiHidden/>
    <w:rsid w:val="00DA5DE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A5DE1"/>
    <w:rPr>
      <w:sz w:val="16"/>
      <w:szCs w:val="16"/>
      <w:lang w:val="pl-PL"/>
    </w:rPr>
  </w:style>
  <w:style w:type="paragraph" w:styleId="Legenda">
    <w:name w:val="caption"/>
    <w:basedOn w:val="Normalny"/>
    <w:next w:val="Normalny"/>
    <w:uiPriority w:val="98"/>
    <w:semiHidden/>
    <w:qFormat/>
    <w:rsid w:val="00DA5DE1"/>
    <w:pPr>
      <w:spacing w:after="200"/>
    </w:pPr>
    <w:rPr>
      <w:b/>
      <w:bCs/>
      <w:color w:val="0072BC" w:themeColor="accent1"/>
      <w:sz w:val="18"/>
      <w:szCs w:val="18"/>
    </w:rPr>
  </w:style>
  <w:style w:type="paragraph" w:styleId="Zwrotpoegnalny">
    <w:name w:val="Closing"/>
    <w:basedOn w:val="Normalny"/>
    <w:link w:val="ZwrotpoegnalnyZnak"/>
    <w:uiPriority w:val="98"/>
    <w:semiHidden/>
    <w:rsid w:val="00DA5DE1"/>
    <w:pPr>
      <w:ind w:left="4252"/>
    </w:pPr>
  </w:style>
  <w:style w:type="character" w:customStyle="1" w:styleId="ZwrotpoegnalnyZnak">
    <w:name w:val="Zwrot pożegnalny Znak"/>
    <w:basedOn w:val="Domylnaczcionkaakapitu"/>
    <w:link w:val="Zwrotpoegnalny"/>
    <w:uiPriority w:val="98"/>
    <w:semiHidden/>
    <w:rsid w:val="00DA5DE1"/>
    <w:rPr>
      <w:sz w:val="24"/>
      <w:szCs w:val="24"/>
      <w:lang w:val="pl-PL"/>
    </w:rPr>
  </w:style>
  <w:style w:type="table" w:styleId="Kolorowasiatka">
    <w:name w:val="Colorful Grid"/>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A5DE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A5DE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A5DE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A5DE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A5DE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A5DE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A5DE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A5DE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A5DE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A5DE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A5DE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A5DE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A5DE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A5DE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DA5DE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A5DE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A5DE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A5DE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A5DE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A5DE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A5DE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A5DE1"/>
  </w:style>
  <w:style w:type="character" w:customStyle="1" w:styleId="DataZnak">
    <w:name w:val="Data Znak"/>
    <w:basedOn w:val="Domylnaczcionkaakapitu"/>
    <w:link w:val="Data"/>
    <w:uiPriority w:val="98"/>
    <w:semiHidden/>
    <w:rsid w:val="00DA5DE1"/>
    <w:rPr>
      <w:sz w:val="24"/>
      <w:szCs w:val="24"/>
      <w:lang w:val="pl-PL"/>
    </w:rPr>
  </w:style>
  <w:style w:type="paragraph" w:styleId="Podpise-mail">
    <w:name w:val="E-mail Signature"/>
    <w:basedOn w:val="Normalny"/>
    <w:link w:val="Podpise-mailZnak"/>
    <w:uiPriority w:val="98"/>
    <w:semiHidden/>
    <w:rsid w:val="00DA5DE1"/>
  </w:style>
  <w:style w:type="character" w:customStyle="1" w:styleId="Podpise-mailZnak">
    <w:name w:val="Podpis e-mail Znak"/>
    <w:basedOn w:val="Domylnaczcionkaakapitu"/>
    <w:link w:val="Podpise-mail"/>
    <w:uiPriority w:val="98"/>
    <w:semiHidden/>
    <w:rsid w:val="00DA5DE1"/>
    <w:rPr>
      <w:sz w:val="24"/>
      <w:szCs w:val="24"/>
      <w:lang w:val="pl-PL"/>
    </w:rPr>
  </w:style>
  <w:style w:type="paragraph" w:styleId="Adresnakopercie">
    <w:name w:val="envelope address"/>
    <w:basedOn w:val="Normalny"/>
    <w:uiPriority w:val="98"/>
    <w:semiHidden/>
    <w:rsid w:val="00DA5DE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A5DE1"/>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DA5DE1"/>
  </w:style>
  <w:style w:type="paragraph" w:styleId="HTML-adres">
    <w:name w:val="HTML Address"/>
    <w:basedOn w:val="Normalny"/>
    <w:link w:val="HTML-adresZnak"/>
    <w:uiPriority w:val="98"/>
    <w:semiHidden/>
    <w:rsid w:val="00DA5DE1"/>
    <w:rPr>
      <w:i/>
      <w:iCs/>
    </w:rPr>
  </w:style>
  <w:style w:type="character" w:customStyle="1" w:styleId="HTML-adresZnak">
    <w:name w:val="HTML - adres Znak"/>
    <w:basedOn w:val="Domylnaczcionkaakapitu"/>
    <w:link w:val="HTML-adres"/>
    <w:uiPriority w:val="98"/>
    <w:semiHidden/>
    <w:rsid w:val="00DA5DE1"/>
    <w:rPr>
      <w:i/>
      <w:iCs/>
      <w:sz w:val="24"/>
      <w:szCs w:val="24"/>
      <w:lang w:val="pl-PL"/>
    </w:rPr>
  </w:style>
  <w:style w:type="character" w:styleId="HTML-cytat">
    <w:name w:val="HTML Cite"/>
    <w:basedOn w:val="Domylnaczcionkaakapitu"/>
    <w:uiPriority w:val="98"/>
    <w:semiHidden/>
    <w:rsid w:val="00DA5DE1"/>
    <w:rPr>
      <w:i/>
      <w:iCs/>
    </w:rPr>
  </w:style>
  <w:style w:type="character" w:styleId="HTML-kod">
    <w:name w:val="HTML Code"/>
    <w:basedOn w:val="Domylnaczcionkaakapitu"/>
    <w:uiPriority w:val="98"/>
    <w:semiHidden/>
    <w:rsid w:val="00DA5DE1"/>
    <w:rPr>
      <w:rFonts w:ascii="Consolas" w:hAnsi="Consolas" w:cs="Consolas"/>
      <w:sz w:val="20"/>
      <w:szCs w:val="20"/>
    </w:rPr>
  </w:style>
  <w:style w:type="character" w:styleId="HTML-definicja">
    <w:name w:val="HTML Definition"/>
    <w:basedOn w:val="Domylnaczcionkaakapitu"/>
    <w:uiPriority w:val="98"/>
    <w:semiHidden/>
    <w:rsid w:val="00DA5DE1"/>
    <w:rPr>
      <w:i/>
      <w:iCs/>
    </w:rPr>
  </w:style>
  <w:style w:type="character" w:styleId="HTML-klawiatura">
    <w:name w:val="HTML Keyboard"/>
    <w:basedOn w:val="Domylnaczcionkaakapitu"/>
    <w:uiPriority w:val="98"/>
    <w:semiHidden/>
    <w:rsid w:val="00DA5DE1"/>
    <w:rPr>
      <w:rFonts w:ascii="Consolas" w:hAnsi="Consolas" w:cs="Consolas"/>
      <w:sz w:val="20"/>
      <w:szCs w:val="20"/>
    </w:rPr>
  </w:style>
  <w:style w:type="paragraph" w:styleId="HTML-wstpniesformatowany">
    <w:name w:val="HTML Preformatted"/>
    <w:basedOn w:val="Normalny"/>
    <w:link w:val="HTML-wstpniesformatowanyZnak"/>
    <w:uiPriority w:val="98"/>
    <w:semiHidden/>
    <w:rsid w:val="00DA5DE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A5DE1"/>
    <w:rPr>
      <w:rFonts w:ascii="Consolas" w:hAnsi="Consolas" w:cs="Consolas"/>
      <w:sz w:val="20"/>
      <w:szCs w:val="20"/>
      <w:lang w:val="pl-PL"/>
    </w:rPr>
  </w:style>
  <w:style w:type="character" w:styleId="HTML-przykad">
    <w:name w:val="HTML Sample"/>
    <w:basedOn w:val="Domylnaczcionkaakapitu"/>
    <w:uiPriority w:val="98"/>
    <w:semiHidden/>
    <w:rsid w:val="00DA5DE1"/>
    <w:rPr>
      <w:rFonts w:ascii="Consolas" w:hAnsi="Consolas" w:cs="Consolas"/>
      <w:sz w:val="24"/>
      <w:szCs w:val="24"/>
    </w:rPr>
  </w:style>
  <w:style w:type="character" w:styleId="HTML-staaszeroko">
    <w:name w:val="HTML Typewriter"/>
    <w:basedOn w:val="Domylnaczcionkaakapitu"/>
    <w:uiPriority w:val="98"/>
    <w:semiHidden/>
    <w:rsid w:val="00DA5DE1"/>
    <w:rPr>
      <w:rFonts w:ascii="Consolas" w:hAnsi="Consolas" w:cs="Consolas"/>
      <w:sz w:val="20"/>
      <w:szCs w:val="20"/>
    </w:rPr>
  </w:style>
  <w:style w:type="character" w:styleId="HTML-zmienna">
    <w:name w:val="HTML Variable"/>
    <w:basedOn w:val="Domylnaczcionkaakapitu"/>
    <w:uiPriority w:val="98"/>
    <w:semiHidden/>
    <w:rsid w:val="00DA5DE1"/>
    <w:rPr>
      <w:i/>
      <w:iCs/>
    </w:rPr>
  </w:style>
  <w:style w:type="paragraph" w:styleId="Indeks1">
    <w:name w:val="index 1"/>
    <w:basedOn w:val="Normalny"/>
    <w:next w:val="Normalny"/>
    <w:autoRedefine/>
    <w:uiPriority w:val="98"/>
    <w:semiHidden/>
    <w:rsid w:val="00DA5DE1"/>
    <w:pPr>
      <w:ind w:left="240" w:hanging="240"/>
    </w:pPr>
  </w:style>
  <w:style w:type="paragraph" w:styleId="Indeks2">
    <w:name w:val="index 2"/>
    <w:basedOn w:val="Normalny"/>
    <w:next w:val="Normalny"/>
    <w:autoRedefine/>
    <w:uiPriority w:val="98"/>
    <w:semiHidden/>
    <w:rsid w:val="00DA5DE1"/>
    <w:pPr>
      <w:ind w:left="480" w:hanging="240"/>
    </w:pPr>
  </w:style>
  <w:style w:type="paragraph" w:styleId="Indeks3">
    <w:name w:val="index 3"/>
    <w:basedOn w:val="Normalny"/>
    <w:next w:val="Normalny"/>
    <w:autoRedefine/>
    <w:uiPriority w:val="98"/>
    <w:semiHidden/>
    <w:rsid w:val="00DA5DE1"/>
    <w:pPr>
      <w:ind w:left="720" w:hanging="240"/>
    </w:pPr>
  </w:style>
  <w:style w:type="paragraph" w:styleId="Indeks4">
    <w:name w:val="index 4"/>
    <w:basedOn w:val="Normalny"/>
    <w:next w:val="Normalny"/>
    <w:autoRedefine/>
    <w:uiPriority w:val="98"/>
    <w:semiHidden/>
    <w:rsid w:val="00DA5DE1"/>
    <w:pPr>
      <w:ind w:left="960" w:hanging="240"/>
    </w:pPr>
  </w:style>
  <w:style w:type="paragraph" w:styleId="Indeks5">
    <w:name w:val="index 5"/>
    <w:basedOn w:val="Normalny"/>
    <w:next w:val="Normalny"/>
    <w:autoRedefine/>
    <w:uiPriority w:val="98"/>
    <w:semiHidden/>
    <w:rsid w:val="00DA5DE1"/>
    <w:pPr>
      <w:ind w:left="1200" w:hanging="240"/>
    </w:pPr>
  </w:style>
  <w:style w:type="paragraph" w:styleId="Indeks6">
    <w:name w:val="index 6"/>
    <w:basedOn w:val="Normalny"/>
    <w:next w:val="Normalny"/>
    <w:autoRedefine/>
    <w:uiPriority w:val="98"/>
    <w:semiHidden/>
    <w:rsid w:val="00DA5DE1"/>
    <w:pPr>
      <w:ind w:left="1440" w:hanging="240"/>
    </w:pPr>
  </w:style>
  <w:style w:type="paragraph" w:styleId="Indeks7">
    <w:name w:val="index 7"/>
    <w:basedOn w:val="Normalny"/>
    <w:next w:val="Normalny"/>
    <w:autoRedefine/>
    <w:uiPriority w:val="98"/>
    <w:semiHidden/>
    <w:rsid w:val="00DA5DE1"/>
    <w:pPr>
      <w:ind w:left="1680" w:hanging="240"/>
    </w:pPr>
  </w:style>
  <w:style w:type="paragraph" w:styleId="Indeks8">
    <w:name w:val="index 8"/>
    <w:basedOn w:val="Normalny"/>
    <w:next w:val="Normalny"/>
    <w:autoRedefine/>
    <w:uiPriority w:val="98"/>
    <w:semiHidden/>
    <w:rsid w:val="00DA5DE1"/>
    <w:pPr>
      <w:ind w:left="1920" w:hanging="240"/>
    </w:pPr>
  </w:style>
  <w:style w:type="paragraph" w:styleId="Indeks9">
    <w:name w:val="index 9"/>
    <w:basedOn w:val="Normalny"/>
    <w:next w:val="Normalny"/>
    <w:autoRedefine/>
    <w:uiPriority w:val="98"/>
    <w:semiHidden/>
    <w:rsid w:val="00DA5DE1"/>
    <w:pPr>
      <w:ind w:left="2160" w:hanging="240"/>
    </w:pPr>
  </w:style>
  <w:style w:type="paragraph" w:styleId="Nagwekindeksu">
    <w:name w:val="index heading"/>
    <w:basedOn w:val="Normalny"/>
    <w:next w:val="Indeks1"/>
    <w:uiPriority w:val="98"/>
    <w:semiHidden/>
    <w:rsid w:val="00DA5DE1"/>
    <w:rPr>
      <w:rFonts w:asciiTheme="majorHAnsi" w:eastAsiaTheme="majorEastAsia" w:hAnsiTheme="majorHAnsi" w:cstheme="majorBidi"/>
      <w:b/>
      <w:bCs/>
    </w:rPr>
  </w:style>
  <w:style w:type="table" w:styleId="Jasnasiatka">
    <w:name w:val="Light Grid"/>
    <w:basedOn w:val="Standardowy"/>
    <w:uiPriority w:val="62"/>
    <w:semiHidden/>
    <w:rsid w:val="00DA5DE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A5DE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A5DE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A5DE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A5DE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A5DE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A5DE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A5DE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A5DE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A5DE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A5DE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A5DE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A5DE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A5DE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A5DE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A5DE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A5DE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A5DE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A5DE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A5DE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A5DE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A5DE1"/>
  </w:style>
  <w:style w:type="paragraph" w:styleId="Lista">
    <w:name w:val="List"/>
    <w:basedOn w:val="Normalny"/>
    <w:uiPriority w:val="98"/>
    <w:semiHidden/>
    <w:rsid w:val="00DA5DE1"/>
    <w:pPr>
      <w:ind w:left="283" w:hanging="283"/>
      <w:contextualSpacing/>
    </w:pPr>
  </w:style>
  <w:style w:type="paragraph" w:styleId="Lista2">
    <w:name w:val="List 2"/>
    <w:basedOn w:val="Normalny"/>
    <w:uiPriority w:val="98"/>
    <w:semiHidden/>
    <w:rsid w:val="00DA5DE1"/>
    <w:pPr>
      <w:ind w:left="566" w:hanging="283"/>
      <w:contextualSpacing/>
    </w:pPr>
  </w:style>
  <w:style w:type="paragraph" w:styleId="Lista3">
    <w:name w:val="List 3"/>
    <w:basedOn w:val="Normalny"/>
    <w:uiPriority w:val="98"/>
    <w:semiHidden/>
    <w:rsid w:val="00DA5DE1"/>
    <w:pPr>
      <w:ind w:left="849" w:hanging="283"/>
      <w:contextualSpacing/>
    </w:pPr>
  </w:style>
  <w:style w:type="paragraph" w:styleId="Lista4">
    <w:name w:val="List 4"/>
    <w:basedOn w:val="Normalny"/>
    <w:uiPriority w:val="98"/>
    <w:semiHidden/>
    <w:rsid w:val="00DA5DE1"/>
    <w:pPr>
      <w:ind w:left="1132" w:hanging="283"/>
      <w:contextualSpacing/>
    </w:pPr>
  </w:style>
  <w:style w:type="paragraph" w:styleId="Lista5">
    <w:name w:val="List 5"/>
    <w:basedOn w:val="Normalny"/>
    <w:uiPriority w:val="98"/>
    <w:semiHidden/>
    <w:rsid w:val="00DA5DE1"/>
    <w:pPr>
      <w:ind w:left="1415" w:hanging="283"/>
      <w:contextualSpacing/>
    </w:pPr>
  </w:style>
  <w:style w:type="paragraph" w:styleId="Listapunktowana2">
    <w:name w:val="List Bullet 2"/>
    <w:basedOn w:val="Normalny"/>
    <w:uiPriority w:val="98"/>
    <w:semiHidden/>
    <w:rsid w:val="00DA5DE1"/>
    <w:pPr>
      <w:numPr>
        <w:numId w:val="9"/>
      </w:numPr>
      <w:contextualSpacing/>
    </w:pPr>
  </w:style>
  <w:style w:type="paragraph" w:styleId="Listapunktowana3">
    <w:name w:val="List Bullet 3"/>
    <w:basedOn w:val="Normalny"/>
    <w:uiPriority w:val="98"/>
    <w:semiHidden/>
    <w:rsid w:val="00DA5DE1"/>
    <w:pPr>
      <w:numPr>
        <w:numId w:val="10"/>
      </w:numPr>
      <w:contextualSpacing/>
    </w:pPr>
  </w:style>
  <w:style w:type="paragraph" w:styleId="Listapunktowana4">
    <w:name w:val="List Bullet 4"/>
    <w:basedOn w:val="Normalny"/>
    <w:uiPriority w:val="98"/>
    <w:semiHidden/>
    <w:rsid w:val="00DA5DE1"/>
    <w:pPr>
      <w:numPr>
        <w:numId w:val="11"/>
      </w:numPr>
      <w:contextualSpacing/>
    </w:pPr>
  </w:style>
  <w:style w:type="paragraph" w:styleId="Listapunktowana5">
    <w:name w:val="List Bullet 5"/>
    <w:basedOn w:val="Normalny"/>
    <w:uiPriority w:val="98"/>
    <w:semiHidden/>
    <w:rsid w:val="00DA5DE1"/>
    <w:pPr>
      <w:numPr>
        <w:numId w:val="12"/>
      </w:numPr>
      <w:contextualSpacing/>
    </w:pPr>
  </w:style>
  <w:style w:type="paragraph" w:styleId="Lista-kontynuacja">
    <w:name w:val="List Continue"/>
    <w:basedOn w:val="Normalny"/>
    <w:uiPriority w:val="98"/>
    <w:semiHidden/>
    <w:rsid w:val="00DA5DE1"/>
    <w:pPr>
      <w:spacing w:after="120"/>
      <w:ind w:left="283"/>
      <w:contextualSpacing/>
    </w:pPr>
  </w:style>
  <w:style w:type="paragraph" w:styleId="Lista-kontynuacja2">
    <w:name w:val="List Continue 2"/>
    <w:basedOn w:val="Normalny"/>
    <w:uiPriority w:val="98"/>
    <w:semiHidden/>
    <w:rsid w:val="00DA5DE1"/>
    <w:pPr>
      <w:spacing w:after="120"/>
      <w:ind w:left="566"/>
      <w:contextualSpacing/>
    </w:pPr>
  </w:style>
  <w:style w:type="paragraph" w:styleId="Lista-kontynuacja3">
    <w:name w:val="List Continue 3"/>
    <w:basedOn w:val="Normalny"/>
    <w:uiPriority w:val="98"/>
    <w:semiHidden/>
    <w:rsid w:val="00DA5DE1"/>
    <w:pPr>
      <w:spacing w:after="120"/>
      <w:ind w:left="849"/>
      <w:contextualSpacing/>
    </w:pPr>
  </w:style>
  <w:style w:type="paragraph" w:styleId="Lista-kontynuacja4">
    <w:name w:val="List Continue 4"/>
    <w:basedOn w:val="Normalny"/>
    <w:uiPriority w:val="98"/>
    <w:semiHidden/>
    <w:rsid w:val="00DA5DE1"/>
    <w:pPr>
      <w:spacing w:after="120"/>
      <w:ind w:left="1132"/>
      <w:contextualSpacing/>
    </w:pPr>
  </w:style>
  <w:style w:type="paragraph" w:styleId="Lista-kontynuacja5">
    <w:name w:val="List Continue 5"/>
    <w:basedOn w:val="Normalny"/>
    <w:uiPriority w:val="98"/>
    <w:semiHidden/>
    <w:rsid w:val="00DA5DE1"/>
    <w:pPr>
      <w:spacing w:after="120"/>
      <w:ind w:left="1415"/>
      <w:contextualSpacing/>
    </w:pPr>
  </w:style>
  <w:style w:type="paragraph" w:styleId="Listanumerowana">
    <w:name w:val="List Number"/>
    <w:basedOn w:val="Normalny"/>
    <w:uiPriority w:val="98"/>
    <w:semiHidden/>
    <w:rsid w:val="00DA5DE1"/>
    <w:pPr>
      <w:numPr>
        <w:numId w:val="13"/>
      </w:numPr>
      <w:contextualSpacing/>
    </w:pPr>
  </w:style>
  <w:style w:type="paragraph" w:styleId="Listanumerowana2">
    <w:name w:val="List Number 2"/>
    <w:basedOn w:val="Normalny"/>
    <w:uiPriority w:val="98"/>
    <w:semiHidden/>
    <w:rsid w:val="00DA5DE1"/>
    <w:pPr>
      <w:numPr>
        <w:numId w:val="14"/>
      </w:numPr>
      <w:contextualSpacing/>
    </w:pPr>
  </w:style>
  <w:style w:type="paragraph" w:styleId="Listanumerowana3">
    <w:name w:val="List Number 3"/>
    <w:basedOn w:val="Normalny"/>
    <w:uiPriority w:val="98"/>
    <w:semiHidden/>
    <w:rsid w:val="00DA5DE1"/>
    <w:pPr>
      <w:numPr>
        <w:numId w:val="15"/>
      </w:numPr>
      <w:contextualSpacing/>
    </w:pPr>
  </w:style>
  <w:style w:type="paragraph" w:styleId="Listanumerowana4">
    <w:name w:val="List Number 4"/>
    <w:basedOn w:val="Normalny"/>
    <w:uiPriority w:val="98"/>
    <w:semiHidden/>
    <w:rsid w:val="00DA5DE1"/>
    <w:pPr>
      <w:numPr>
        <w:numId w:val="16"/>
      </w:numPr>
      <w:contextualSpacing/>
    </w:pPr>
  </w:style>
  <w:style w:type="paragraph" w:styleId="Listanumerowana5">
    <w:name w:val="List Number 5"/>
    <w:basedOn w:val="Normalny"/>
    <w:uiPriority w:val="98"/>
    <w:semiHidden/>
    <w:rsid w:val="00DA5DE1"/>
    <w:pPr>
      <w:numPr>
        <w:numId w:val="17"/>
      </w:numPr>
      <w:contextualSpacing/>
    </w:pPr>
  </w:style>
  <w:style w:type="paragraph" w:styleId="Tekstmakra">
    <w:name w:val="macro"/>
    <w:link w:val="TekstmakraZnak"/>
    <w:uiPriority w:val="98"/>
    <w:semiHidden/>
    <w:rsid w:val="00DA5DE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A5DE1"/>
    <w:rPr>
      <w:rFonts w:ascii="Consolas" w:eastAsiaTheme="minorEastAsia" w:hAnsi="Consolas" w:cs="Consolas"/>
      <w:sz w:val="20"/>
      <w:szCs w:val="20"/>
    </w:rPr>
  </w:style>
  <w:style w:type="table" w:styleId="redniasiatka1">
    <w:name w:val="Medium Grid 1"/>
    <w:basedOn w:val="Standardowy"/>
    <w:uiPriority w:val="67"/>
    <w:semiHidden/>
    <w:rsid w:val="00DA5DE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A5DE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A5DE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A5DE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A5DE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A5DE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A5DE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A5DE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A5DE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A5DE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A5DE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A5DE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A5DE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A5DE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A5DE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A5DE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A5DE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A5DE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A5DE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A5DE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A5DE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A5DE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A5DE1"/>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DA5DE1"/>
    <w:rPr>
      <w:rFonts w:ascii="Times New Roman" w:hAnsi="Times New Roman" w:cs="Times New Roman"/>
    </w:rPr>
  </w:style>
  <w:style w:type="paragraph" w:styleId="Wcicienormalne">
    <w:name w:val="Normal Indent"/>
    <w:basedOn w:val="Normalny"/>
    <w:uiPriority w:val="98"/>
    <w:semiHidden/>
    <w:rsid w:val="00DA5DE1"/>
    <w:pPr>
      <w:ind w:left="720"/>
    </w:pPr>
  </w:style>
  <w:style w:type="paragraph" w:styleId="Nagweknotatki">
    <w:name w:val="Note Heading"/>
    <w:basedOn w:val="Normalny"/>
    <w:next w:val="Normalny"/>
    <w:link w:val="NagweknotatkiZnak"/>
    <w:uiPriority w:val="98"/>
    <w:semiHidden/>
    <w:rsid w:val="00DA5DE1"/>
  </w:style>
  <w:style w:type="character" w:customStyle="1" w:styleId="NagweknotatkiZnak">
    <w:name w:val="Nagłówek notatki Znak"/>
    <w:basedOn w:val="Domylnaczcionkaakapitu"/>
    <w:link w:val="Nagweknotatki"/>
    <w:uiPriority w:val="98"/>
    <w:semiHidden/>
    <w:rsid w:val="00DA5DE1"/>
    <w:rPr>
      <w:sz w:val="24"/>
      <w:szCs w:val="24"/>
      <w:lang w:val="pl-PL"/>
    </w:rPr>
  </w:style>
  <w:style w:type="character" w:styleId="Tekstzastpczy">
    <w:name w:val="Placeholder Text"/>
    <w:basedOn w:val="Domylnaczcionkaakapitu"/>
    <w:uiPriority w:val="98"/>
    <w:semiHidden/>
    <w:rsid w:val="00DA5DE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A5DE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A5DE1"/>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DA5DE1"/>
  </w:style>
  <w:style w:type="character" w:customStyle="1" w:styleId="ZwrotgrzecznociowyZnak">
    <w:name w:val="Zwrot grzecznościowy Znak"/>
    <w:basedOn w:val="Domylnaczcionkaakapitu"/>
    <w:link w:val="Zwrotgrzecznociowy"/>
    <w:uiPriority w:val="98"/>
    <w:semiHidden/>
    <w:rsid w:val="00DA5DE1"/>
    <w:rPr>
      <w:sz w:val="24"/>
      <w:szCs w:val="24"/>
      <w:lang w:val="pl-PL"/>
    </w:rPr>
  </w:style>
  <w:style w:type="paragraph" w:styleId="Podpis">
    <w:name w:val="Signature"/>
    <w:basedOn w:val="Normalny"/>
    <w:link w:val="PodpisZnak"/>
    <w:uiPriority w:val="98"/>
    <w:semiHidden/>
    <w:rsid w:val="00DA5DE1"/>
    <w:pPr>
      <w:ind w:left="4252"/>
    </w:pPr>
  </w:style>
  <w:style w:type="character" w:customStyle="1" w:styleId="PodpisZnak">
    <w:name w:val="Podpis Znak"/>
    <w:basedOn w:val="Domylnaczcionkaakapitu"/>
    <w:link w:val="Podpis"/>
    <w:uiPriority w:val="98"/>
    <w:semiHidden/>
    <w:rsid w:val="00DA5DE1"/>
    <w:rPr>
      <w:sz w:val="24"/>
      <w:szCs w:val="24"/>
      <w:lang w:val="pl-PL"/>
    </w:rPr>
  </w:style>
  <w:style w:type="table" w:styleId="Tabela-Efekty3D1">
    <w:name w:val="Table 3D effects 1"/>
    <w:basedOn w:val="Standardowy"/>
    <w:uiPriority w:val="99"/>
    <w:semiHidden/>
    <w:unhideWhenUsed/>
    <w:rsid w:val="00DA5DE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A5DE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A5DE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A5DE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A5DE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A5DE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A5DE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A5DE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A5DE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A5DE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A5DE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A5DE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A5DE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A5DE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A5DE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A5DE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A5DE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A5D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A5DE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A5DE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A5DE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A5DE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A5DE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A5DE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A5DE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A5DE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A5DE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A5DE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A5DE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A5D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A5DE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A5DE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A5DE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A5DE1"/>
    <w:pPr>
      <w:ind w:left="240" w:hanging="240"/>
    </w:pPr>
  </w:style>
  <w:style w:type="paragraph" w:styleId="Spisilustracji">
    <w:name w:val="table of figures"/>
    <w:basedOn w:val="Normalny"/>
    <w:next w:val="Normalny"/>
    <w:uiPriority w:val="98"/>
    <w:semiHidden/>
    <w:rsid w:val="00DA5DE1"/>
  </w:style>
  <w:style w:type="table" w:styleId="Tabela-Profesjonalny">
    <w:name w:val="Table Professional"/>
    <w:basedOn w:val="Standardowy"/>
    <w:uiPriority w:val="99"/>
    <w:semiHidden/>
    <w:unhideWhenUsed/>
    <w:rsid w:val="00DA5D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A5DE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A5DE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A5DE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A5DE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A5DE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A5DE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A5DE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A5DE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A5DE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A5DE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A5DE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A5DE1"/>
    <w:pPr>
      <w:spacing w:after="100"/>
      <w:ind w:left="1680"/>
    </w:pPr>
  </w:style>
  <w:style w:type="paragraph" w:styleId="Spistreci9">
    <w:name w:val="toc 9"/>
    <w:basedOn w:val="Normalny"/>
    <w:next w:val="Normalny"/>
    <w:autoRedefine/>
    <w:uiPriority w:val="98"/>
    <w:semiHidden/>
    <w:rsid w:val="00DA5DE1"/>
    <w:pPr>
      <w:spacing w:after="100"/>
      <w:ind w:left="1920"/>
    </w:pPr>
  </w:style>
  <w:style w:type="paragraph" w:customStyle="1" w:styleId="ECHRFooterLineLandscape">
    <w:name w:val="ECHR_Footer_Line_Landscape"/>
    <w:aliases w:val="_Footer_Line_Landscape"/>
    <w:basedOn w:val="Normalny"/>
    <w:uiPriority w:val="30"/>
    <w:semiHidden/>
    <w:rsid w:val="00DA5DE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DA5DE1"/>
    <w:pPr>
      <w:ind w:left="567" w:hanging="567"/>
      <w:jc w:val="both"/>
    </w:pPr>
  </w:style>
  <w:style w:type="paragraph" w:customStyle="1" w:styleId="ECHRHeading9">
    <w:name w:val="ECHR_Heading_9"/>
    <w:aliases w:val="_Head_9"/>
    <w:basedOn w:val="Nagwek9"/>
    <w:uiPriority w:val="17"/>
    <w:semiHidden/>
    <w:rsid w:val="00DA5DE1"/>
    <w:pPr>
      <w:keepNext/>
      <w:keepLines/>
      <w:numPr>
        <w:ilvl w:val="8"/>
        <w:numId w:val="1"/>
      </w:numPr>
      <w:spacing w:before="100" w:beforeAutospacing="1"/>
      <w:contextualSpacing/>
    </w:pPr>
    <w:rPr>
      <w:i w:val="0"/>
      <w:sz w:val="18"/>
    </w:rPr>
  </w:style>
  <w:style w:type="paragraph" w:customStyle="1" w:styleId="ECHRParaIndent">
    <w:name w:val="ECHR_Para_Indent"/>
    <w:aliases w:val="_Indent"/>
    <w:basedOn w:val="Normalny"/>
    <w:uiPriority w:val="7"/>
    <w:semiHidden/>
    <w:qFormat/>
    <w:rsid w:val="00DA5DE1"/>
    <w:pPr>
      <w:spacing w:before="120" w:after="120"/>
      <w:ind w:left="284"/>
      <w:jc w:val="both"/>
    </w:pPr>
  </w:style>
  <w:style w:type="paragraph" w:customStyle="1" w:styleId="JuJudges">
    <w:name w:val="Ju_Judges"/>
    <w:aliases w:val="_Judges"/>
    <w:basedOn w:val="Normalny"/>
    <w:uiPriority w:val="32"/>
    <w:qFormat/>
    <w:rsid w:val="00DA5DE1"/>
    <w:pPr>
      <w:tabs>
        <w:tab w:val="left" w:pos="567"/>
        <w:tab w:val="left" w:pos="1134"/>
      </w:tabs>
    </w:pPr>
  </w:style>
  <w:style w:type="paragraph" w:customStyle="1" w:styleId="ECHRLine">
    <w:name w:val="ECHR_Line"/>
    <w:aliases w:val="_Line"/>
    <w:basedOn w:val="NormalJustified"/>
    <w:next w:val="Normalny"/>
    <w:uiPriority w:val="46"/>
    <w:semiHidden/>
    <w:rsid w:val="00DA5DE1"/>
    <w:pPr>
      <w:pBdr>
        <w:bottom w:val="single" w:sz="12" w:space="1" w:color="949494" w:themeColor="text2" w:themeShade="BF"/>
      </w:pBdr>
      <w:spacing w:after="120"/>
    </w:pPr>
    <w:rPr>
      <w:sz w:val="12"/>
    </w:rPr>
  </w:style>
  <w:style w:type="paragraph" w:customStyle="1" w:styleId="JuHeaderLandscape">
    <w:name w:val="Ju_Header_Landscape"/>
    <w:aliases w:val="_Header_Landscape"/>
    <w:basedOn w:val="JuHeader"/>
    <w:uiPriority w:val="29"/>
    <w:qFormat/>
    <w:rsid w:val="00EB0BDE"/>
    <w:pPr>
      <w:tabs>
        <w:tab w:val="center" w:pos="6146"/>
        <w:tab w:val="right" w:pos="12293"/>
      </w:tabs>
    </w:pPr>
  </w:style>
  <w:style w:type="character" w:customStyle="1" w:styleId="JuParaChar">
    <w:name w:val="Ju_Para Char"/>
    <w:aliases w:val="_Para Char"/>
    <w:link w:val="JuPara"/>
    <w:uiPriority w:val="4"/>
    <w:rsid w:val="005359B5"/>
    <w:rPr>
      <w:sz w:val="24"/>
      <w:szCs w:val="24"/>
      <w:lang w:val="pl-PL"/>
    </w:rPr>
  </w:style>
  <w:style w:type="paragraph" w:customStyle="1" w:styleId="ECHRNumberedList1">
    <w:name w:val="ECHR_Numbered_List_1"/>
    <w:aliases w:val="_Num_1"/>
    <w:basedOn w:val="Normalny"/>
    <w:uiPriority w:val="23"/>
    <w:semiHidden/>
    <w:qFormat/>
    <w:rsid w:val="00DA5DE1"/>
    <w:pPr>
      <w:numPr>
        <w:numId w:val="7"/>
      </w:numPr>
      <w:spacing w:before="60" w:after="60"/>
    </w:pPr>
  </w:style>
  <w:style w:type="paragraph" w:customStyle="1" w:styleId="ECHRNumberedList2">
    <w:name w:val="ECHR_Numbered_List_2"/>
    <w:aliases w:val="_Num_2"/>
    <w:basedOn w:val="ECHRNumberedList1"/>
    <w:uiPriority w:val="23"/>
    <w:semiHidden/>
    <w:rsid w:val="00DA5DE1"/>
    <w:pPr>
      <w:numPr>
        <w:ilvl w:val="1"/>
      </w:numPr>
    </w:pPr>
  </w:style>
  <w:style w:type="paragraph" w:customStyle="1" w:styleId="ECHRNumberedList3">
    <w:name w:val="ECHR_Numbered_List_3"/>
    <w:aliases w:val="_Num_3"/>
    <w:basedOn w:val="ECHRNumberedList2"/>
    <w:uiPriority w:val="23"/>
    <w:semiHidden/>
    <w:rsid w:val="00DA5DE1"/>
    <w:pPr>
      <w:numPr>
        <w:ilvl w:val="2"/>
      </w:numPr>
    </w:pPr>
  </w:style>
  <w:style w:type="character" w:customStyle="1" w:styleId="ECHRRed">
    <w:name w:val="ECHR_Red"/>
    <w:aliases w:val="_Red"/>
    <w:basedOn w:val="Domylnaczcionkaakapitu"/>
    <w:uiPriority w:val="15"/>
    <w:semiHidden/>
    <w:qFormat/>
    <w:rsid w:val="00DA5DE1"/>
    <w:rPr>
      <w:color w:val="C00000" w:themeColor="accent2"/>
    </w:rPr>
  </w:style>
  <w:style w:type="paragraph" w:customStyle="1" w:styleId="ECHRHeaderDate">
    <w:name w:val="ECHR_Header_Date"/>
    <w:aliases w:val="_Ref_Date"/>
    <w:basedOn w:val="Normalny"/>
    <w:uiPriority w:val="44"/>
    <w:semiHidden/>
    <w:qFormat/>
    <w:rsid w:val="00DA5DE1"/>
    <w:pPr>
      <w:jc w:val="right"/>
    </w:pPr>
    <w:rPr>
      <w:sz w:val="20"/>
    </w:rPr>
  </w:style>
  <w:style w:type="paragraph" w:customStyle="1" w:styleId="ECHRHeaderRefIt">
    <w:name w:val="ECHR_Header_Ref_It"/>
    <w:aliases w:val="_Ref_Ital"/>
    <w:basedOn w:val="Normalny"/>
    <w:next w:val="ECHRHeaderDate"/>
    <w:uiPriority w:val="43"/>
    <w:semiHidden/>
    <w:qFormat/>
    <w:rsid w:val="00DA5DE1"/>
    <w:pPr>
      <w:jc w:val="right"/>
    </w:pPr>
    <w:rPr>
      <w:i/>
      <w:sz w:val="20"/>
    </w:rPr>
  </w:style>
  <w:style w:type="paragraph" w:customStyle="1" w:styleId="DecList">
    <w:name w:val="Dec_List"/>
    <w:aliases w:val="_List"/>
    <w:basedOn w:val="JuList"/>
    <w:uiPriority w:val="22"/>
    <w:rsid w:val="00DA5DE1"/>
    <w:pPr>
      <w:numPr>
        <w:numId w:val="0"/>
      </w:numPr>
      <w:ind w:left="284"/>
    </w:pPr>
  </w:style>
  <w:style w:type="paragraph" w:customStyle="1" w:styleId="ECHRCoverTitle4">
    <w:name w:val="ECHR_Cover_Title_4"/>
    <w:aliases w:val="_Title_4"/>
    <w:basedOn w:val="JuPara"/>
    <w:next w:val="JuPara"/>
    <w:uiPriority w:val="38"/>
    <w:qFormat/>
    <w:rsid w:val="00DA5DE1"/>
    <w:pPr>
      <w:keepNext/>
      <w:keepLines/>
      <w:tabs>
        <w:tab w:val="right" w:pos="7938"/>
      </w:tabs>
      <w:ind w:firstLine="0"/>
      <w:jc w:val="center"/>
    </w:pPr>
    <w:rPr>
      <w:i/>
    </w:rPr>
  </w:style>
  <w:style w:type="paragraph" w:customStyle="1" w:styleId="ECHRTitleCentre1">
    <w:name w:val="ECHR_Title_Centre_1"/>
    <w:aliases w:val="_Title_C_1"/>
    <w:basedOn w:val="Normalny"/>
    <w:next w:val="Normalny"/>
    <w:uiPriority w:val="26"/>
    <w:semiHidden/>
    <w:qFormat/>
    <w:rsid w:val="00DA5DE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A5DE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A5DE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A5DE1"/>
    <w:pPr>
      <w:outlineLvl w:val="0"/>
    </w:pPr>
  </w:style>
  <w:style w:type="paragraph" w:customStyle="1" w:styleId="ECHRTitle1">
    <w:name w:val="ECHR_Title_1"/>
    <w:aliases w:val="_Title_L_1"/>
    <w:basedOn w:val="Normalny"/>
    <w:next w:val="Normalny"/>
    <w:uiPriority w:val="28"/>
    <w:semiHidden/>
    <w:qFormat/>
    <w:rsid w:val="00DA5DE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A5DE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A5DE1"/>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DA5DE1"/>
    <w:pPr>
      <w:outlineLvl w:val="0"/>
    </w:pPr>
  </w:style>
  <w:style w:type="numbering" w:customStyle="1" w:styleId="ECHRA1StyleBulletedSquare">
    <w:name w:val="ECHR_A1_Style_Bulleted_Square"/>
    <w:basedOn w:val="Bezlisty"/>
    <w:rsid w:val="00DA5DE1"/>
    <w:pPr>
      <w:numPr>
        <w:numId w:val="5"/>
      </w:numPr>
    </w:pPr>
  </w:style>
  <w:style w:type="numbering" w:customStyle="1" w:styleId="ECHRA1StyleList">
    <w:name w:val="ECHR_A1_Style_List"/>
    <w:basedOn w:val="Bezlisty"/>
    <w:uiPriority w:val="99"/>
    <w:rsid w:val="00DA5DE1"/>
    <w:pPr>
      <w:numPr>
        <w:numId w:val="6"/>
      </w:numPr>
    </w:pPr>
  </w:style>
  <w:style w:type="numbering" w:customStyle="1" w:styleId="ECHRA1StyleNumberedList">
    <w:name w:val="ECHR_A1_Style_Numbered_List"/>
    <w:basedOn w:val="Bezlisty"/>
    <w:rsid w:val="00DA5DE1"/>
    <w:pPr>
      <w:numPr>
        <w:numId w:val="7"/>
      </w:numPr>
    </w:pPr>
  </w:style>
  <w:style w:type="table" w:customStyle="1" w:styleId="ECHRTable2">
    <w:name w:val="ECHR_Table_2"/>
    <w:basedOn w:val="Standardowy"/>
    <w:uiPriority w:val="99"/>
    <w:rsid w:val="00DA5DE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A5DE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DA5DE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DA5DE1"/>
    <w:rPr>
      <w:sz w:val="8"/>
    </w:rPr>
  </w:style>
  <w:style w:type="paragraph" w:customStyle="1" w:styleId="ECHRSpacer">
    <w:name w:val="ECHR_Spacer"/>
    <w:aliases w:val="_Spacer"/>
    <w:basedOn w:val="Normalny"/>
    <w:uiPriority w:val="45"/>
    <w:semiHidden/>
    <w:rsid w:val="00DA5DE1"/>
    <w:rPr>
      <w:sz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453406">
      <w:bodyDiv w:val="1"/>
      <w:marLeft w:val="0"/>
      <w:marRight w:val="0"/>
      <w:marTop w:val="0"/>
      <w:marBottom w:val="0"/>
      <w:divBdr>
        <w:top w:val="none" w:sz="0" w:space="0" w:color="auto"/>
        <w:left w:val="none" w:sz="0" w:space="0" w:color="auto"/>
        <w:bottom w:val="none" w:sz="0" w:space="0" w:color="auto"/>
        <w:right w:val="none" w:sz="0" w:space="0" w:color="auto"/>
      </w:divBdr>
    </w:div>
    <w:div w:id="494221093">
      <w:bodyDiv w:val="1"/>
      <w:marLeft w:val="0"/>
      <w:marRight w:val="0"/>
      <w:marTop w:val="0"/>
      <w:marBottom w:val="0"/>
      <w:divBdr>
        <w:top w:val="none" w:sz="0" w:space="0" w:color="auto"/>
        <w:left w:val="none" w:sz="0" w:space="0" w:color="auto"/>
        <w:bottom w:val="none" w:sz="0" w:space="0" w:color="auto"/>
        <w:right w:val="none" w:sz="0" w:space="0" w:color="auto"/>
      </w:divBdr>
    </w:div>
    <w:div w:id="798495464">
      <w:bodyDiv w:val="1"/>
      <w:marLeft w:val="0"/>
      <w:marRight w:val="0"/>
      <w:marTop w:val="0"/>
      <w:marBottom w:val="0"/>
      <w:divBdr>
        <w:top w:val="none" w:sz="0" w:space="0" w:color="auto"/>
        <w:left w:val="none" w:sz="0" w:space="0" w:color="auto"/>
        <w:bottom w:val="none" w:sz="0" w:space="0" w:color="auto"/>
        <w:right w:val="none" w:sz="0" w:space="0" w:color="auto"/>
      </w:divBdr>
    </w:div>
    <w:div w:id="1091703480">
      <w:bodyDiv w:val="1"/>
      <w:marLeft w:val="0"/>
      <w:marRight w:val="0"/>
      <w:marTop w:val="0"/>
      <w:marBottom w:val="0"/>
      <w:divBdr>
        <w:top w:val="none" w:sz="0" w:space="0" w:color="auto"/>
        <w:left w:val="none" w:sz="0" w:space="0" w:color="auto"/>
        <w:bottom w:val="none" w:sz="0" w:space="0" w:color="auto"/>
        <w:right w:val="none" w:sz="0" w:space="0" w:color="auto"/>
      </w:divBdr>
    </w:div>
    <w:div w:id="160996557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78745258">
      <w:bodyDiv w:val="1"/>
      <w:marLeft w:val="0"/>
      <w:marRight w:val="0"/>
      <w:marTop w:val="0"/>
      <w:marBottom w:val="0"/>
      <w:divBdr>
        <w:top w:val="none" w:sz="0" w:space="0" w:color="auto"/>
        <w:left w:val="none" w:sz="0" w:space="0" w:color="auto"/>
        <w:bottom w:val="none" w:sz="0" w:space="0" w:color="auto"/>
        <w:right w:val="none" w:sz="0" w:space="0" w:color="auto"/>
      </w:divBdr>
    </w:div>
    <w:div w:id="211073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27160-FAE9-4BE8-B487-F8D24D74F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24268AF-E3A2-434F-ACB7-FFE2834C5D6D}">
  <ds:schemaRefs>
    <ds:schemaRef ds:uri="http://schemas.microsoft.com/sharepoint/v3/contenttype/forms"/>
  </ds:schemaRefs>
</ds:datastoreItem>
</file>

<file path=customXml/itemProps3.xml><?xml version="1.0" encoding="utf-8"?>
<ds:datastoreItem xmlns:ds="http://schemas.openxmlformats.org/officeDocument/2006/customXml" ds:itemID="{E9A5E81D-5652-4F85-A569-4C03230711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A4FBF0-C1F2-4173-A816-9160052F8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3523</Words>
  <Characters>21139</Characters>
  <Application>Microsoft Office Word</Application>
  <DocSecurity>4</DocSecurity>
  <Lines>176</Lines>
  <Paragraphs>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2020-05-25T09:41:00Z</dcterms:created>
  <dcterms:modified xsi:type="dcterms:W3CDTF">2020-05-25T09:41:00Z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72950/13</vt:lpwstr>
  </property>
  <property fmtid="{D5CDD505-2E9C-101B-9397-08002B2CF9AE}" pid="4" name="CASEID">
    <vt:lpwstr>943685</vt:lpwstr>
  </property>
  <property fmtid="{D5CDD505-2E9C-101B-9397-08002B2CF9AE}" pid="5" name="ContentTypeId">
    <vt:lpwstr>0x010100558EB02BDB9E204AB350EDD385B68E10</vt:lpwstr>
  </property>
</Properties>
</file>