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9396A" w14:textId="77777777" w:rsidR="00115035" w:rsidRDefault="00F10D71" w:rsidP="00CC427D">
      <w:pPr>
        <w:jc w:val="center"/>
      </w:pPr>
      <w:bookmarkStart w:id="0" w:name="_GoBack"/>
      <w:bookmarkEnd w:id="0"/>
      <w:r>
        <w:t>EUROPEJSKI TRYBUNAŁ PRAW CZŁOWIEKA</w:t>
      </w:r>
    </w:p>
    <w:p w14:paraId="6CFC4FA0" w14:textId="77777777" w:rsidR="00F10D71" w:rsidRDefault="00F10D71" w:rsidP="00CC427D">
      <w:pPr>
        <w:jc w:val="center"/>
      </w:pPr>
    </w:p>
    <w:p w14:paraId="7BDEFF17" w14:textId="6012BA1C" w:rsidR="00F10D71" w:rsidRPr="00CC427D" w:rsidRDefault="00F10D71" w:rsidP="00D0096E"/>
    <w:p w14:paraId="34ED1350" w14:textId="77777777" w:rsidR="00E93FC7" w:rsidRPr="00CC427D" w:rsidRDefault="00BA7D9C" w:rsidP="00CC427D">
      <w:pPr>
        <w:jc w:val="center"/>
        <w:rPr>
          <w:sz w:val="4"/>
          <w:szCs w:val="4"/>
        </w:rPr>
      </w:pPr>
    </w:p>
    <w:p w14:paraId="6158844D" w14:textId="4AA65E46" w:rsidR="00F10D71" w:rsidRPr="00F10D71" w:rsidRDefault="00D20E39" w:rsidP="00D0096E">
      <w:pPr>
        <w:pStyle w:val="DecHTitle"/>
      </w:pPr>
      <w:r>
        <w:t>SEKCJA PIERWSZA</w:t>
      </w:r>
    </w:p>
    <w:p w14:paraId="57628493" w14:textId="119FBADA" w:rsidR="00F10D71" w:rsidRPr="00F10D71" w:rsidRDefault="006267D3" w:rsidP="00D0096E">
      <w:pPr>
        <w:pStyle w:val="DecHTitle"/>
      </w:pPr>
      <w:r>
        <w:t>DECYZJA</w:t>
      </w:r>
    </w:p>
    <w:p w14:paraId="772975AD" w14:textId="77777777" w:rsidR="009979BA" w:rsidRDefault="00D20E39" w:rsidP="00CC427D">
      <w:pPr>
        <w:pStyle w:val="DecHCase"/>
        <w:contextualSpacing/>
      </w:pPr>
      <w:r>
        <w:t>Skarga nr 20</w:t>
      </w:r>
      <w:r w:rsidR="00F10D71">
        <w:t>587/13</w:t>
      </w:r>
      <w:r w:rsidR="00F10D71">
        <w:br/>
        <w:t>Monika TRACZ-SMOCZYŃSKA</w:t>
      </w:r>
    </w:p>
    <w:p w14:paraId="7984EE90" w14:textId="5CDC1C7B" w:rsidR="00EE3667" w:rsidRDefault="00D20E39" w:rsidP="00CC427D">
      <w:pPr>
        <w:pStyle w:val="DecHCase"/>
      </w:pPr>
      <w:r>
        <w:t>przeciwko Polsce</w:t>
      </w:r>
    </w:p>
    <w:p w14:paraId="0139BA6D" w14:textId="77777777" w:rsidR="00E93FC7" w:rsidRPr="00E71C4B" w:rsidRDefault="00BA7D9C" w:rsidP="00E71C4B">
      <w:pPr>
        <w:pStyle w:val="DecList"/>
        <w:rPr>
          <w:sz w:val="2"/>
        </w:rPr>
      </w:pPr>
    </w:p>
    <w:p w14:paraId="1EB192E9" w14:textId="4C330C4B" w:rsidR="00D20E39" w:rsidRPr="00CC427D" w:rsidRDefault="00D20E39" w:rsidP="00CC427D">
      <w:pPr>
        <w:pStyle w:val="JuPara"/>
      </w:pPr>
      <w:r>
        <w:t xml:space="preserve">Europejski Trybunał Praw Człowieka </w:t>
      </w:r>
      <w:r w:rsidR="00F10D71">
        <w:t>(</w:t>
      </w:r>
      <w:r w:rsidR="00AC7DA6">
        <w:t>Sekcja Pierwsza</w:t>
      </w:r>
      <w:r w:rsidR="00F10D71">
        <w:t>), zasiadając w</w:t>
      </w:r>
      <w:r w:rsidR="00645032">
        <w:t> </w:t>
      </w:r>
      <w:r>
        <w:t>dniu 4</w:t>
      </w:r>
      <w:r w:rsidR="00AC7DA6">
        <w:t xml:space="preserve"> </w:t>
      </w:r>
      <w:r>
        <w:t>lutego 2020</w:t>
      </w:r>
      <w:r w:rsidR="00AC7DA6">
        <w:t xml:space="preserve"> </w:t>
      </w:r>
      <w:r>
        <w:t xml:space="preserve">r. jako </w:t>
      </w:r>
      <w:r w:rsidR="009979BA">
        <w:t xml:space="preserve">Komitet </w:t>
      </w:r>
      <w:r>
        <w:t>w składzie:</w:t>
      </w:r>
    </w:p>
    <w:p w14:paraId="1D5DA7AD" w14:textId="5D6B6931" w:rsidR="00D20E39" w:rsidRPr="00CC427D" w:rsidRDefault="001E1934" w:rsidP="00CC427D">
      <w:pPr>
        <w:pStyle w:val="JuJudges"/>
      </w:pPr>
      <w:r>
        <w:tab/>
        <w:t>Pere Pastor Vilanova,</w:t>
      </w:r>
      <w:r>
        <w:rPr>
          <w:i/>
        </w:rPr>
        <w:t xml:space="preserve"> Przewodnicząc</w:t>
      </w:r>
      <w:r w:rsidR="00AC7DA6">
        <w:rPr>
          <w:i/>
        </w:rPr>
        <w:t>y</w:t>
      </w:r>
      <w:r w:rsidRPr="00FE763F">
        <w:t>,</w:t>
      </w:r>
      <w:r>
        <w:rPr>
          <w:i/>
        </w:rPr>
        <w:br/>
      </w:r>
      <w:r>
        <w:tab/>
        <w:t>Krzysztof Wojtyczek,</w:t>
      </w:r>
      <w:r>
        <w:rPr>
          <w:i/>
        </w:rPr>
        <w:br/>
      </w:r>
      <w:r>
        <w:tab/>
        <w:t>Pauliine Koskelo,</w:t>
      </w:r>
      <w:r>
        <w:rPr>
          <w:i/>
        </w:rPr>
        <w:t xml:space="preserve"> sędziowie</w:t>
      </w:r>
      <w:r w:rsidRPr="00FE763F">
        <w:t>,</w:t>
      </w:r>
      <w:r>
        <w:rPr>
          <w:i/>
        </w:rPr>
        <w:br/>
      </w:r>
      <w:r>
        <w:t xml:space="preserve">oraz Renata Degener, </w:t>
      </w:r>
      <w:r>
        <w:rPr>
          <w:i/>
        </w:rPr>
        <w:t>Zastępczyni Kanclerza Sekcji</w:t>
      </w:r>
      <w:r w:rsidRPr="00FE763F">
        <w:t>,</w:t>
      </w:r>
    </w:p>
    <w:p w14:paraId="2CF64B36" w14:textId="7CAF75BB" w:rsidR="00D20E39" w:rsidRPr="00CC427D" w:rsidRDefault="009A27A9" w:rsidP="00CC427D">
      <w:pPr>
        <w:pStyle w:val="JuPara"/>
      </w:pPr>
      <w:r>
        <w:t>m</w:t>
      </w:r>
      <w:r w:rsidR="00D20E39">
        <w:t>ając na względzie powyższą skargę wniesioną w dniu 27</w:t>
      </w:r>
      <w:r w:rsidR="00AC7DA6">
        <w:t xml:space="preserve"> </w:t>
      </w:r>
      <w:r w:rsidR="00D20E39">
        <w:t>lutego 2013</w:t>
      </w:r>
      <w:r w:rsidR="00645032">
        <w:t> </w:t>
      </w:r>
      <w:r w:rsidR="00D20E39">
        <w:t>r.,</w:t>
      </w:r>
    </w:p>
    <w:p w14:paraId="7FB03104" w14:textId="5D12221A" w:rsidR="00D20E39" w:rsidRPr="00CC427D" w:rsidRDefault="00D15907" w:rsidP="00CC427D">
      <w:pPr>
        <w:pStyle w:val="JuPara"/>
      </w:pPr>
      <w:r>
        <w:t>m</w:t>
      </w:r>
      <w:r w:rsidR="00D20E39">
        <w:t>ając na względzie uwagi przedstawione przez pozwany Rząd oraz przekazane w odpowiedzi uwagi skarżącej,</w:t>
      </w:r>
    </w:p>
    <w:p w14:paraId="25555935" w14:textId="4195CEEA" w:rsidR="00D20E39" w:rsidRPr="00CC427D" w:rsidRDefault="00D15907" w:rsidP="00CC427D">
      <w:pPr>
        <w:pStyle w:val="JuPara"/>
      </w:pPr>
      <w:r>
        <w:t>p</w:t>
      </w:r>
      <w:r w:rsidR="00D20E39">
        <w:t>o rozpoznaniu postanawia</w:t>
      </w:r>
      <w:r w:rsidR="000547E5">
        <w:t>,</w:t>
      </w:r>
      <w:r w:rsidR="00D20E39">
        <w:t xml:space="preserve"> co następuje:</w:t>
      </w:r>
    </w:p>
    <w:p w14:paraId="564C13F4" w14:textId="77777777" w:rsidR="00D20E39" w:rsidRPr="00CC427D" w:rsidRDefault="00D20E39" w:rsidP="00CC427D">
      <w:pPr>
        <w:pStyle w:val="JuHHead"/>
        <w:numPr>
          <w:ilvl w:val="0"/>
          <w:numId w:val="17"/>
        </w:numPr>
      </w:pPr>
      <w:r>
        <w:t>FAKTY</w:t>
      </w:r>
    </w:p>
    <w:p w14:paraId="3FA65F57" w14:textId="2ADC727C" w:rsidR="00D20E39" w:rsidRPr="00CC427D" w:rsidRDefault="00F10D71" w:rsidP="00CC427D">
      <w:pPr>
        <w:pStyle w:val="JuPara"/>
      </w:pPr>
      <w:r>
        <w:t>1</w:t>
      </w:r>
      <w:r w:rsidR="00D20E39">
        <w:t>.</w:t>
      </w:r>
      <w:r w:rsidR="00AC7DA6">
        <w:t xml:space="preserve"> </w:t>
      </w:r>
      <w:r w:rsidR="00D20E39">
        <w:t>Skarżąca, p.</w:t>
      </w:r>
      <w:r w:rsidR="00AC7DA6">
        <w:t xml:space="preserve"> </w:t>
      </w:r>
      <w:r w:rsidR="00D20E39">
        <w:t>Monika Tracz-Smoczyńska</w:t>
      </w:r>
      <w:r w:rsidR="000547E5">
        <w:t>,</w:t>
      </w:r>
      <w:r w:rsidR="00D20E39">
        <w:t xml:space="preserve"> jest obywatelką </w:t>
      </w:r>
      <w:r w:rsidR="009979BA">
        <w:t>p</w:t>
      </w:r>
      <w:r w:rsidR="000547E5">
        <w:t>olsk</w:t>
      </w:r>
      <w:r w:rsidR="009979BA">
        <w:t>ą</w:t>
      </w:r>
      <w:r w:rsidR="00D20E39">
        <w:t>, która urodziła się w 1959</w:t>
      </w:r>
      <w:r w:rsidR="00AC7DA6">
        <w:t xml:space="preserve"> </w:t>
      </w:r>
      <w:r w:rsidR="00D20E39">
        <w:t>r. i mieszka w Wodzisławiu Śląskim. Przed Trybunałem reprezentowana była przez p. Z. Stęchłego, prawnika praktykującego w</w:t>
      </w:r>
      <w:r w:rsidR="00645032">
        <w:t> </w:t>
      </w:r>
      <w:r w:rsidR="00D20E39">
        <w:t>Rybniku.</w:t>
      </w:r>
    </w:p>
    <w:p w14:paraId="6CA4756E" w14:textId="4AADE920" w:rsidR="00D20E39" w:rsidRPr="00CC427D" w:rsidRDefault="00F10D71" w:rsidP="00CC427D">
      <w:pPr>
        <w:pStyle w:val="JuPara"/>
      </w:pPr>
      <w:r>
        <w:t>2</w:t>
      </w:r>
      <w:r w:rsidR="00D20E39">
        <w:t>.</w:t>
      </w:r>
      <w:r w:rsidR="00AC7DA6">
        <w:t xml:space="preserve"> </w:t>
      </w:r>
      <w:r w:rsidR="00D20E39">
        <w:t xml:space="preserve">Rząd polski („Rząd”) reprezentowany był przez swojego </w:t>
      </w:r>
      <w:r w:rsidR="00EC638D">
        <w:t>p</w:t>
      </w:r>
      <w:r w:rsidR="00D20E39">
        <w:t>ełnomocnika, p.</w:t>
      </w:r>
      <w:r w:rsidR="00AC7DA6">
        <w:t xml:space="preserve"> </w:t>
      </w:r>
      <w:r w:rsidR="00D20E39">
        <w:t>J.</w:t>
      </w:r>
      <w:r w:rsidR="00AC7DA6">
        <w:t xml:space="preserve"> </w:t>
      </w:r>
      <w:r w:rsidR="00D20E39">
        <w:t>Chrzanowską, a n</w:t>
      </w:r>
      <w:r>
        <w:t>astępnie przez p.</w:t>
      </w:r>
      <w:r w:rsidR="00AC7DA6">
        <w:t xml:space="preserve"> </w:t>
      </w:r>
      <w:r>
        <w:t>J.</w:t>
      </w:r>
      <w:r w:rsidR="00AC7DA6">
        <w:t xml:space="preserve"> </w:t>
      </w:r>
      <w:r>
        <w:t>Sobczaka z</w:t>
      </w:r>
      <w:r w:rsidR="00645032">
        <w:t> </w:t>
      </w:r>
      <w:r w:rsidR="00D20E39">
        <w:t xml:space="preserve">Ministerstwa Spraw Zagranicznych. </w:t>
      </w:r>
    </w:p>
    <w:p w14:paraId="7C39DB38" w14:textId="77777777" w:rsidR="00D20E39" w:rsidRPr="00CC427D" w:rsidRDefault="00D20E39" w:rsidP="00CC427D">
      <w:pPr>
        <w:pStyle w:val="JuHA"/>
        <w:numPr>
          <w:ilvl w:val="2"/>
          <w:numId w:val="17"/>
        </w:numPr>
      </w:pPr>
      <w:r>
        <w:t>Okoliczności sprawy</w:t>
      </w:r>
    </w:p>
    <w:p w14:paraId="529BE0AA" w14:textId="0CD55C60" w:rsidR="00D20E39" w:rsidRPr="00CC427D" w:rsidRDefault="00F10D71" w:rsidP="00CC427D">
      <w:pPr>
        <w:pStyle w:val="JuPara"/>
      </w:pPr>
      <w:r>
        <w:t>3</w:t>
      </w:r>
      <w:r w:rsidR="00D20E39">
        <w:t>.</w:t>
      </w:r>
      <w:r w:rsidR="00AC7DA6">
        <w:t xml:space="preserve"> </w:t>
      </w:r>
      <w:r w:rsidR="00D20E39">
        <w:t>Stan faktyczny sprawy, przedstawiony przez strony, można streścić następująco.</w:t>
      </w:r>
    </w:p>
    <w:p w14:paraId="4106B432" w14:textId="77777777" w:rsidR="00D20E39" w:rsidRPr="00CC427D" w:rsidRDefault="00D20E39" w:rsidP="00CC427D">
      <w:pPr>
        <w:pStyle w:val="JuH1"/>
        <w:numPr>
          <w:ilvl w:val="3"/>
          <w:numId w:val="17"/>
        </w:numPr>
      </w:pPr>
      <w:r>
        <w:lastRenderedPageBreak/>
        <w:t>Fakty znane przed zakomunikowaniem skargi</w:t>
      </w:r>
    </w:p>
    <w:p w14:paraId="393BC538" w14:textId="021C8AF3" w:rsidR="00D20E39" w:rsidRPr="00CC427D" w:rsidRDefault="00F10D71" w:rsidP="00CC427D">
      <w:pPr>
        <w:pStyle w:val="JuPara"/>
      </w:pPr>
      <w:r>
        <w:t>4</w:t>
      </w:r>
      <w:r w:rsidR="00D20E39">
        <w:t>.</w:t>
      </w:r>
      <w:r w:rsidR="00AC7DA6">
        <w:t xml:space="preserve"> </w:t>
      </w:r>
      <w:r w:rsidR="00D20E39">
        <w:t>W dniu 11</w:t>
      </w:r>
      <w:r w:rsidR="00AC7DA6">
        <w:t xml:space="preserve"> </w:t>
      </w:r>
      <w:r w:rsidR="00D20E39">
        <w:t>kwietnia 1997</w:t>
      </w:r>
      <w:r w:rsidR="00AC7DA6">
        <w:t xml:space="preserve"> </w:t>
      </w:r>
      <w:r w:rsidR="00D20E39">
        <w:t>r. Parlament przyjął ustawę o ujawnieniu pracy lub służby w organach bezpiecz</w:t>
      </w:r>
      <w:r>
        <w:t>eństwa państwa lub współpracy z</w:t>
      </w:r>
      <w:r w:rsidR="00645032">
        <w:t> </w:t>
      </w:r>
      <w:r w:rsidR="00D20E39">
        <w:t>nimi w latach 1944–1990 osób pełniących funkcje publiczne („ustawa lustracyjna”). Weszła ona w życie w dniu 3</w:t>
      </w:r>
      <w:r w:rsidR="00AC7DA6">
        <w:t xml:space="preserve"> </w:t>
      </w:r>
      <w:r w:rsidR="00D20E39">
        <w:t>sierpnia 1997</w:t>
      </w:r>
      <w:r w:rsidR="00AC7DA6">
        <w:t xml:space="preserve"> </w:t>
      </w:r>
      <w:r w:rsidR="00D20E39">
        <w:t xml:space="preserve">r. Osoby objęte </w:t>
      </w:r>
      <w:r w:rsidR="009979BA">
        <w:t xml:space="preserve">przepisami </w:t>
      </w:r>
      <w:r w:rsidR="00D20E39">
        <w:t>ustawy lustracyjnej z 1997</w:t>
      </w:r>
      <w:r w:rsidR="00AC7DA6">
        <w:t xml:space="preserve"> </w:t>
      </w:r>
      <w:r w:rsidR="00D20E39">
        <w:t>r</w:t>
      </w:r>
      <w:r w:rsidR="003F6531">
        <w:t>.</w:t>
      </w:r>
      <w:r w:rsidR="00D20E39">
        <w:t xml:space="preserve"> – to jest między innymi sędziowie – zobowiązan</w:t>
      </w:r>
      <w:r w:rsidR="00181651">
        <w:t>e</w:t>
      </w:r>
      <w:r w:rsidR="00D20E39">
        <w:t xml:space="preserve"> </w:t>
      </w:r>
      <w:r w:rsidR="00181651">
        <w:t xml:space="preserve">były </w:t>
      </w:r>
      <w:r w:rsidR="00D20E39">
        <w:t>do oświadc</w:t>
      </w:r>
      <w:r>
        <w:t xml:space="preserve">zenia, </w:t>
      </w:r>
      <w:r w:rsidRPr="00FB0D54">
        <w:t xml:space="preserve">czy </w:t>
      </w:r>
      <w:r w:rsidR="00181651" w:rsidRPr="00FB0D54">
        <w:t>pracowały</w:t>
      </w:r>
      <w:r w:rsidR="00FB0D54" w:rsidRPr="00FB0D54">
        <w:t xml:space="preserve"> lub</w:t>
      </w:r>
      <w:r w:rsidRPr="00FB0D54">
        <w:t xml:space="preserve"> </w:t>
      </w:r>
      <w:r w:rsidR="00181651" w:rsidRPr="00FB0D54">
        <w:t>służyły</w:t>
      </w:r>
      <w:r w:rsidR="00181651">
        <w:t xml:space="preserve"> </w:t>
      </w:r>
      <w:r>
        <w:t>w</w:t>
      </w:r>
      <w:r w:rsidR="007E09CC">
        <w:t> </w:t>
      </w:r>
      <w:r w:rsidR="009979BA">
        <w:t xml:space="preserve">organach </w:t>
      </w:r>
      <w:r w:rsidR="00D20E39">
        <w:t xml:space="preserve">bezpieczeństwa lub </w:t>
      </w:r>
      <w:r w:rsidR="00181651">
        <w:t xml:space="preserve">współpracowały </w:t>
      </w:r>
      <w:r w:rsidR="00D20E39">
        <w:t xml:space="preserve">z nimi w czasach </w:t>
      </w:r>
      <w:r w:rsidR="009979BA">
        <w:t xml:space="preserve">reżimu </w:t>
      </w:r>
      <w:r w:rsidR="00D20E39">
        <w:t>komunistyczn</w:t>
      </w:r>
      <w:r w:rsidR="009979BA">
        <w:t>ego</w:t>
      </w:r>
      <w:r w:rsidR="00D20E39">
        <w:t>. Skarżąca złożyła oświadczenie, że nie współpracowała z</w:t>
      </w:r>
      <w:r w:rsidR="00645032">
        <w:t> </w:t>
      </w:r>
      <w:r w:rsidR="009979BA">
        <w:t xml:space="preserve">organami </w:t>
      </w:r>
      <w:r w:rsidR="00D20E39">
        <w:t xml:space="preserve">bezpieczeństwa w czasach </w:t>
      </w:r>
      <w:r w:rsidR="009979BA">
        <w:t>reżimu komunistycznego</w:t>
      </w:r>
      <w:r w:rsidR="00D20E39">
        <w:t>.</w:t>
      </w:r>
    </w:p>
    <w:p w14:paraId="4509D421" w14:textId="3DC6BD61" w:rsidR="00D20E39" w:rsidRPr="00CC427D" w:rsidRDefault="00F10D71" w:rsidP="00CC427D">
      <w:pPr>
        <w:pStyle w:val="JuPara"/>
      </w:pPr>
      <w:r>
        <w:t>5</w:t>
      </w:r>
      <w:r w:rsidR="00D20E39">
        <w:t>.</w:t>
      </w:r>
      <w:r w:rsidR="00AC7DA6">
        <w:t xml:space="preserve"> </w:t>
      </w:r>
      <w:r w:rsidR="00D20E39">
        <w:t>W bliżej nieokreślonym dniu Rzecznik Interesu Publicznego złożył wniosek do Sądu Apelacyjnego w Warszawie o wszczęcie postępowania lustracyjnego wobec skarżącej, na tej podst</w:t>
      </w:r>
      <w:r>
        <w:t>awie, że podała ona nieprawdę w</w:t>
      </w:r>
      <w:r w:rsidR="00645032">
        <w:t> </w:t>
      </w:r>
      <w:r w:rsidR="00D20E39">
        <w:t xml:space="preserve">swoim oświadczeniu lustracyjnym, zaprzeczając jakoby współpracowała z </w:t>
      </w:r>
      <w:r w:rsidR="009979BA">
        <w:t xml:space="preserve">organami </w:t>
      </w:r>
      <w:r w:rsidR="00D20E39">
        <w:t>bezpieczeństwa. W dniu 29</w:t>
      </w:r>
      <w:r w:rsidR="00AC7DA6">
        <w:t xml:space="preserve"> </w:t>
      </w:r>
      <w:r w:rsidR="00D20E39">
        <w:t>lis</w:t>
      </w:r>
      <w:r>
        <w:t>topada 2006</w:t>
      </w:r>
      <w:r w:rsidR="00AC7DA6">
        <w:t xml:space="preserve"> </w:t>
      </w:r>
      <w:r>
        <w:t>r. Sąd Apelacyjny w</w:t>
      </w:r>
      <w:r w:rsidR="00645032">
        <w:t> </w:t>
      </w:r>
      <w:r w:rsidR="00D20E39">
        <w:t xml:space="preserve">Warszawie postanowił </w:t>
      </w:r>
      <w:r w:rsidR="009979BA">
        <w:t>uwzględnić</w:t>
      </w:r>
      <w:r w:rsidR="00D20E39">
        <w:t xml:space="preserve"> </w:t>
      </w:r>
      <w:r w:rsidR="009979BA">
        <w:t xml:space="preserve">wniosek </w:t>
      </w:r>
      <w:r w:rsidR="00D20E39">
        <w:t>Rzecznika i wszczął postępowanie lustracyjne wobec skarżącej.</w:t>
      </w:r>
    </w:p>
    <w:p w14:paraId="251BC736" w14:textId="4A19309D" w:rsidR="00D20E39" w:rsidRPr="00CC427D" w:rsidRDefault="00F10D71" w:rsidP="00CC427D">
      <w:pPr>
        <w:pStyle w:val="JuPara"/>
      </w:pPr>
      <w:r>
        <w:t>6</w:t>
      </w:r>
      <w:r w:rsidR="00D20E39">
        <w:t>.</w:t>
      </w:r>
      <w:r w:rsidR="00AC7DA6">
        <w:t xml:space="preserve"> </w:t>
      </w:r>
      <w:r w:rsidR="00D20E39">
        <w:t>W dniu 13</w:t>
      </w:r>
      <w:r w:rsidR="00AC7DA6">
        <w:t xml:space="preserve"> </w:t>
      </w:r>
      <w:r w:rsidR="00D20E39">
        <w:t>marca 2007</w:t>
      </w:r>
      <w:r w:rsidR="00AC7DA6">
        <w:t xml:space="preserve"> </w:t>
      </w:r>
      <w:r w:rsidR="00D20E39">
        <w:t xml:space="preserve">r. Sąd Apelacyjny w Warszawie, procedując jako </w:t>
      </w:r>
      <w:r w:rsidR="00FB199A">
        <w:t>s</w:t>
      </w:r>
      <w:r w:rsidR="00D20E39">
        <w:t xml:space="preserve">ąd </w:t>
      </w:r>
      <w:r w:rsidR="00FB199A">
        <w:t>l</w:t>
      </w:r>
      <w:r w:rsidR="00D20E39">
        <w:t xml:space="preserve">ustracyjny pierwszej instancji, </w:t>
      </w:r>
      <w:r w:rsidR="009979BA">
        <w:t>uznał</w:t>
      </w:r>
      <w:r w:rsidR="00015ABF">
        <w:t>,</w:t>
      </w:r>
      <w:r w:rsidR="00D20E39">
        <w:t xml:space="preserve"> że skarżąca złożyła niezgodne z prawdą oświadczenie lustracyjne. Skarżąca i jej pełnomocnik wnieśli odwołanie.</w:t>
      </w:r>
    </w:p>
    <w:p w14:paraId="35B63890" w14:textId="5227F5E5" w:rsidR="00D20E39" w:rsidRPr="00CC427D" w:rsidRDefault="00F10D71" w:rsidP="00CC427D">
      <w:pPr>
        <w:pStyle w:val="JuPara"/>
      </w:pPr>
      <w:r>
        <w:t>7</w:t>
      </w:r>
      <w:r w:rsidR="00D20E39">
        <w:t>.</w:t>
      </w:r>
      <w:r w:rsidR="00AC7DA6">
        <w:t xml:space="preserve"> </w:t>
      </w:r>
      <w:r w:rsidR="00D20E39">
        <w:t>W dniu 27</w:t>
      </w:r>
      <w:r w:rsidR="00AC7DA6">
        <w:t xml:space="preserve"> </w:t>
      </w:r>
      <w:r w:rsidR="00D20E39">
        <w:t>września 2007</w:t>
      </w:r>
      <w:r w:rsidR="00AC7DA6">
        <w:t xml:space="preserve"> </w:t>
      </w:r>
      <w:r w:rsidR="00D20E39">
        <w:t xml:space="preserve">r. Sąd Apelacyjny w Katowicach, procedując jako </w:t>
      </w:r>
      <w:r w:rsidR="00D546EC">
        <w:t>s</w:t>
      </w:r>
      <w:r w:rsidR="00D20E39">
        <w:t xml:space="preserve">ąd </w:t>
      </w:r>
      <w:r w:rsidR="00D546EC">
        <w:t>l</w:t>
      </w:r>
      <w:r w:rsidR="00D20E39">
        <w:t xml:space="preserve">ustracyjny drugiej instancji, </w:t>
      </w:r>
      <w:r w:rsidR="00D0096E">
        <w:t>uchylił zaskarżone orzeczenie i</w:t>
      </w:r>
      <w:r w:rsidR="00AC7DA6">
        <w:t xml:space="preserve"> </w:t>
      </w:r>
      <w:r w:rsidR="00D20E39">
        <w:t>przekazał sprawę do ponownego r</w:t>
      </w:r>
      <w:r w:rsidR="00D0096E">
        <w:t>ozpoznania przez Sąd Okręgowy w</w:t>
      </w:r>
      <w:r w:rsidR="00AC7DA6">
        <w:t xml:space="preserve"> </w:t>
      </w:r>
      <w:r w:rsidR="00D20E39">
        <w:t>Katowicach.</w:t>
      </w:r>
    </w:p>
    <w:p w14:paraId="2AA4ACE7" w14:textId="37D285EF" w:rsidR="00D20E39" w:rsidRPr="00CC427D" w:rsidRDefault="00F10D71" w:rsidP="00CC427D">
      <w:pPr>
        <w:pStyle w:val="JuPara"/>
      </w:pPr>
      <w:r>
        <w:t>8</w:t>
      </w:r>
      <w:r w:rsidR="00D20E39">
        <w:t>.</w:t>
      </w:r>
      <w:r w:rsidR="00AC7DA6">
        <w:t xml:space="preserve"> </w:t>
      </w:r>
      <w:r w:rsidR="00D20E39">
        <w:t>W dniu 8</w:t>
      </w:r>
      <w:r w:rsidR="00AC7DA6">
        <w:t xml:space="preserve"> </w:t>
      </w:r>
      <w:r w:rsidR="00D20E39">
        <w:t>października 2008</w:t>
      </w:r>
      <w:r w:rsidR="00AC7DA6">
        <w:t xml:space="preserve"> </w:t>
      </w:r>
      <w:r w:rsidR="00D20E39">
        <w:t>r. Sąd Okręgowy w Katowicach uznał, iż</w:t>
      </w:r>
      <w:r w:rsidR="00645032">
        <w:t> </w:t>
      </w:r>
      <w:r w:rsidR="00D20E39">
        <w:t>skarżąca złożyła niezgodne z prawdą oświadczenie lustracyjne. Zarówno skarżąca, jej pełnomocnik, jak i prokurator wnieśli odwołanie.</w:t>
      </w:r>
    </w:p>
    <w:p w14:paraId="0A89E36D" w14:textId="1FB413A4" w:rsidR="00D20E39" w:rsidRPr="00CC427D" w:rsidRDefault="00F10D71" w:rsidP="00CC427D">
      <w:pPr>
        <w:pStyle w:val="JuPara"/>
      </w:pPr>
      <w:r>
        <w:t>9</w:t>
      </w:r>
      <w:r w:rsidR="00D20E39">
        <w:t>.</w:t>
      </w:r>
      <w:r w:rsidR="00AC7DA6">
        <w:t xml:space="preserve"> </w:t>
      </w:r>
      <w:r w:rsidR="00D20E39">
        <w:t>W dniu 5</w:t>
      </w:r>
      <w:r w:rsidR="00AC7DA6">
        <w:t xml:space="preserve"> </w:t>
      </w:r>
      <w:r w:rsidR="00D20E39">
        <w:t>lutego 2009</w:t>
      </w:r>
      <w:r w:rsidR="00AC7DA6">
        <w:t xml:space="preserve"> </w:t>
      </w:r>
      <w:r w:rsidR="00D20E39">
        <w:t>r. Sąd Apelacyjny w Katowicach uchylił zaskarżone orzeczenie i przekazał sprawę do ponownego rozpoznania przez Sąd Okręgowy w Katowicach.</w:t>
      </w:r>
    </w:p>
    <w:p w14:paraId="66E68757" w14:textId="3243644E" w:rsidR="00D20E39" w:rsidRPr="00CC427D" w:rsidRDefault="00F10D71" w:rsidP="00CC427D">
      <w:pPr>
        <w:pStyle w:val="JuPara"/>
      </w:pPr>
      <w:r>
        <w:t>10</w:t>
      </w:r>
      <w:r w:rsidR="00D20E39">
        <w:t>.</w:t>
      </w:r>
      <w:r w:rsidR="00AC7DA6">
        <w:t xml:space="preserve"> </w:t>
      </w:r>
      <w:r w:rsidR="00D20E39">
        <w:t>W dniu 17</w:t>
      </w:r>
      <w:r w:rsidR="00AC7DA6">
        <w:t xml:space="preserve"> </w:t>
      </w:r>
      <w:r w:rsidR="00D20E39">
        <w:t>sierpnia 2010</w:t>
      </w:r>
      <w:r w:rsidR="00AC7DA6">
        <w:t xml:space="preserve"> </w:t>
      </w:r>
      <w:r w:rsidR="00D20E39">
        <w:t>r. Sąd Okręgowy w Katowicach ponownie uznał, że skarżąca złożyła niezgodne z prawdą oświadczenie lustracyjne.</w:t>
      </w:r>
    </w:p>
    <w:p w14:paraId="34E2FE08" w14:textId="5DFDD457" w:rsidR="00D20E39" w:rsidRPr="00CC427D" w:rsidRDefault="00F10D71" w:rsidP="00CC427D">
      <w:pPr>
        <w:pStyle w:val="JuPara"/>
      </w:pPr>
      <w:r>
        <w:t>11</w:t>
      </w:r>
      <w:r w:rsidR="00D20E39">
        <w:t>.</w:t>
      </w:r>
      <w:r w:rsidR="00AC7DA6">
        <w:t xml:space="preserve"> </w:t>
      </w:r>
      <w:r w:rsidR="00D20E39">
        <w:t>W dniu 20</w:t>
      </w:r>
      <w:r w:rsidR="00AC7DA6">
        <w:t xml:space="preserve"> </w:t>
      </w:r>
      <w:r w:rsidR="00D20E39">
        <w:t>października 2011</w:t>
      </w:r>
      <w:r w:rsidR="00AC7DA6">
        <w:t xml:space="preserve"> </w:t>
      </w:r>
      <w:r w:rsidR="00D20E39">
        <w:t xml:space="preserve">r. Sąd Apelacyjny w Katowicach </w:t>
      </w:r>
      <w:r w:rsidR="0048464E">
        <w:t xml:space="preserve">utrzymał </w:t>
      </w:r>
      <w:r w:rsidR="00D20E39">
        <w:t>zaskarżone orzeczenie</w:t>
      </w:r>
      <w:r w:rsidR="0048464E">
        <w:t xml:space="preserve"> w mocy</w:t>
      </w:r>
      <w:r w:rsidR="00D20E39">
        <w:t>,</w:t>
      </w:r>
      <w:r>
        <w:t xml:space="preserve"> dokonując niewielkiej zmiany w</w:t>
      </w:r>
      <w:r w:rsidR="00645032">
        <w:t> </w:t>
      </w:r>
      <w:r w:rsidR="0048464E">
        <w:t xml:space="preserve">zakresie </w:t>
      </w:r>
      <w:r w:rsidR="00D20E39">
        <w:t>podstawy prawnej tego orzeczenia.</w:t>
      </w:r>
    </w:p>
    <w:p w14:paraId="03384231" w14:textId="700FF409" w:rsidR="00D20E39" w:rsidRPr="00CC427D" w:rsidRDefault="00F10D71" w:rsidP="00CC427D">
      <w:pPr>
        <w:pStyle w:val="JuPara"/>
      </w:pPr>
      <w:r>
        <w:t>12</w:t>
      </w:r>
      <w:r w:rsidR="00D20E39">
        <w:t>.</w:t>
      </w:r>
      <w:r w:rsidR="00AC7DA6">
        <w:t xml:space="preserve"> </w:t>
      </w:r>
      <w:r w:rsidR="00D20E39">
        <w:t>Skarżąca wniosła skargę kasacyjną od tego orzeczenia. W dniu 6</w:t>
      </w:r>
      <w:r w:rsidR="00645032">
        <w:t> </w:t>
      </w:r>
      <w:r w:rsidR="00D20E39">
        <w:t>listopada 2012</w:t>
      </w:r>
      <w:r w:rsidR="00AC7DA6">
        <w:t xml:space="preserve"> </w:t>
      </w:r>
      <w:r w:rsidR="00D20E39">
        <w:t>r. Sąd Najwyższy oddalił s</w:t>
      </w:r>
      <w:r w:rsidR="00D0096E">
        <w:t>kargę kasacyjną</w:t>
      </w:r>
      <w:r w:rsidR="00682379">
        <w:t>,</w:t>
      </w:r>
      <w:r w:rsidR="00D0096E">
        <w:t xml:space="preserve"> uznając ją za</w:t>
      </w:r>
      <w:r w:rsidR="00645032">
        <w:t> </w:t>
      </w:r>
      <w:r w:rsidR="0048464E">
        <w:t>oczywiście</w:t>
      </w:r>
      <w:r w:rsidR="00D20E39">
        <w:t xml:space="preserve"> nieuzasadnioną.</w:t>
      </w:r>
    </w:p>
    <w:p w14:paraId="204FF7A4" w14:textId="612834EC" w:rsidR="00D20E39" w:rsidRPr="00CC427D" w:rsidRDefault="00F10D71" w:rsidP="00CC427D">
      <w:pPr>
        <w:pStyle w:val="JuPara"/>
      </w:pPr>
      <w:bookmarkStart w:id="1" w:name="constcourt"/>
      <w:r>
        <w:t>13</w:t>
      </w:r>
      <w:bookmarkEnd w:id="1"/>
      <w:r w:rsidR="00D20E39">
        <w:t>.</w:t>
      </w:r>
      <w:r w:rsidR="00AC7DA6">
        <w:t xml:space="preserve"> </w:t>
      </w:r>
      <w:r w:rsidR="00D20E39">
        <w:t>Pismem z dnia 12</w:t>
      </w:r>
      <w:r w:rsidR="00AC7DA6">
        <w:t xml:space="preserve"> </w:t>
      </w:r>
      <w:r w:rsidR="00D20E39">
        <w:t>sierpnia 2015</w:t>
      </w:r>
      <w:r w:rsidR="00AC7DA6">
        <w:t xml:space="preserve"> </w:t>
      </w:r>
      <w:r w:rsidR="00D20E39">
        <w:t>r. skarżąca wniosła o wznowienie postępowania lustracyjnego przez Sąd Najwyższy. W swoim wniosku powołała się na wyrok Trybunału Konstytucyjnego z dnia 2</w:t>
      </w:r>
      <w:r w:rsidR="00AC7DA6">
        <w:t xml:space="preserve"> </w:t>
      </w:r>
      <w:r w:rsidR="00D20E39">
        <w:t>kwietnia 2015</w:t>
      </w:r>
      <w:r w:rsidR="00645032">
        <w:t> </w:t>
      </w:r>
      <w:r w:rsidR="00D20E39">
        <w:t>r., który orzekł</w:t>
      </w:r>
      <w:r w:rsidR="00682379">
        <w:t>,</w:t>
      </w:r>
      <w:r w:rsidR="00D20E39">
        <w:t xml:space="preserve"> że </w:t>
      </w:r>
      <w:r w:rsidR="005C6112">
        <w:t xml:space="preserve">przed wszczęciem postępowania lustracyjnego </w:t>
      </w:r>
      <w:r w:rsidR="00D20E39">
        <w:t xml:space="preserve">powinien zostać uchylony </w:t>
      </w:r>
      <w:r w:rsidR="005C6112">
        <w:t xml:space="preserve">immunitet sędziowski </w:t>
      </w:r>
      <w:r w:rsidR="00D20E39">
        <w:t>przez właściwy organ</w:t>
      </w:r>
      <w:r>
        <w:t xml:space="preserve">. </w:t>
      </w:r>
      <w:r>
        <w:lastRenderedPageBreak/>
        <w:t>W</w:t>
      </w:r>
      <w:r w:rsidR="00645032">
        <w:t> </w:t>
      </w:r>
      <w:r w:rsidR="00D20E39">
        <w:t>dniu 19</w:t>
      </w:r>
      <w:r w:rsidR="00AC7DA6">
        <w:t xml:space="preserve"> </w:t>
      </w:r>
      <w:r w:rsidR="00D20E39">
        <w:t>listopada 2015</w:t>
      </w:r>
      <w:r w:rsidR="00AC7DA6">
        <w:t xml:space="preserve"> </w:t>
      </w:r>
      <w:r w:rsidR="00D20E39">
        <w:t xml:space="preserve">r. Sąd Najwyższy </w:t>
      </w:r>
      <w:r w:rsidR="0048464E">
        <w:t xml:space="preserve">odrzucił </w:t>
      </w:r>
      <w:r w:rsidR="00D20E39">
        <w:t xml:space="preserve">ów wniosek, </w:t>
      </w:r>
      <w:r w:rsidR="0048464E">
        <w:t>uznając</w:t>
      </w:r>
      <w:r w:rsidR="00D20E39">
        <w:t xml:space="preserve">, że nie został złożony z </w:t>
      </w:r>
      <w:r w:rsidR="0048464E">
        <w:t xml:space="preserve">zachowaniem wymogów </w:t>
      </w:r>
      <w:r w:rsidR="00D20E39">
        <w:t>formalny</w:t>
      </w:r>
      <w:r w:rsidR="0048464E">
        <w:t>ch</w:t>
      </w:r>
      <w:r w:rsidR="00D20E39">
        <w:t>.</w:t>
      </w:r>
    </w:p>
    <w:p w14:paraId="36DC1E01" w14:textId="77777777" w:rsidR="00D20E39" w:rsidRPr="00CC427D" w:rsidRDefault="00D20E39" w:rsidP="00CC427D">
      <w:pPr>
        <w:pStyle w:val="JuH1"/>
        <w:numPr>
          <w:ilvl w:val="3"/>
          <w:numId w:val="17"/>
        </w:numPr>
      </w:pPr>
      <w:r>
        <w:t xml:space="preserve"> Fakty przedstawione przez Rząd po zakomunikowaniu skargi</w:t>
      </w:r>
    </w:p>
    <w:p w14:paraId="3577EB86" w14:textId="695ACA54" w:rsidR="00D20E39" w:rsidRPr="00CC427D" w:rsidRDefault="00F10D71" w:rsidP="00CC427D">
      <w:pPr>
        <w:pStyle w:val="JuPara"/>
      </w:pPr>
      <w:r>
        <w:t>14</w:t>
      </w:r>
      <w:r w:rsidR="00D20E39">
        <w:t>.</w:t>
      </w:r>
      <w:r w:rsidR="00AC7DA6">
        <w:t xml:space="preserve"> </w:t>
      </w:r>
      <w:r w:rsidR="00D20E39">
        <w:t xml:space="preserve">W bliżej nieokreślonym późniejszym terminie skarżąca, reprezentowana przez </w:t>
      </w:r>
      <w:r w:rsidR="0048464E">
        <w:t xml:space="preserve">pełnomocnika </w:t>
      </w:r>
      <w:r w:rsidR="00D20E39">
        <w:t>z urzędu, skierowała drugi wniosek do</w:t>
      </w:r>
      <w:r w:rsidR="00645032">
        <w:t> </w:t>
      </w:r>
      <w:r w:rsidR="00D20E39">
        <w:t>Sądu Najwyższego o wznowienie postępowania lustracyjnego.</w:t>
      </w:r>
    </w:p>
    <w:p w14:paraId="54934161" w14:textId="47C711BF" w:rsidR="00D20E39" w:rsidRPr="00CC427D" w:rsidRDefault="00F10D71" w:rsidP="00CC427D">
      <w:pPr>
        <w:pStyle w:val="JuPara"/>
      </w:pPr>
      <w:r>
        <w:t>15</w:t>
      </w:r>
      <w:r w:rsidR="00D20E39">
        <w:t>.</w:t>
      </w:r>
      <w:r w:rsidR="00AC7DA6">
        <w:t xml:space="preserve"> </w:t>
      </w:r>
      <w:r w:rsidR="00D20E39">
        <w:t>W dniu 26</w:t>
      </w:r>
      <w:r w:rsidR="00AC7DA6">
        <w:t xml:space="preserve"> </w:t>
      </w:r>
      <w:r w:rsidR="00D20E39">
        <w:t>kwietnia 2016</w:t>
      </w:r>
      <w:r w:rsidR="00AC7DA6">
        <w:t xml:space="preserve"> </w:t>
      </w:r>
      <w:r w:rsidR="00D20E39">
        <w:t xml:space="preserve">r. Sąd Najwyższy wznowił postępowanie, uchylił wszystkie wcześniejsze </w:t>
      </w:r>
      <w:r w:rsidR="005C6112">
        <w:t xml:space="preserve">wyroki </w:t>
      </w:r>
      <w:r w:rsidR="00D20E39">
        <w:t>oraz umorzył postępowanie lustracyjne wobec skarżącej. Sąd Najwyższy odwołał się do wyroku Trybunału Konstytucyjnego z dnia 2</w:t>
      </w:r>
      <w:r w:rsidR="00AC7DA6">
        <w:t xml:space="preserve"> </w:t>
      </w:r>
      <w:r w:rsidR="00D20E39">
        <w:t>kwie</w:t>
      </w:r>
      <w:r w:rsidR="00D0096E">
        <w:t>tnia 2015</w:t>
      </w:r>
      <w:r w:rsidR="00AC7DA6">
        <w:t xml:space="preserve"> </w:t>
      </w:r>
      <w:r w:rsidR="00D0096E">
        <w:t>r.</w:t>
      </w:r>
      <w:r w:rsidR="00352BB2">
        <w:t>,</w:t>
      </w:r>
      <w:r w:rsidR="00D0096E">
        <w:t xml:space="preserve"> </w:t>
      </w:r>
      <w:r w:rsidR="0048464E">
        <w:t>uznając</w:t>
      </w:r>
      <w:r w:rsidR="00D0096E">
        <w:t>, że</w:t>
      </w:r>
      <w:r w:rsidR="00645032">
        <w:t> </w:t>
      </w:r>
      <w:r w:rsidR="00D0096E">
        <w:t>w</w:t>
      </w:r>
      <w:r w:rsidR="00645032">
        <w:t> </w:t>
      </w:r>
      <w:r w:rsidR="00D20E39">
        <w:t>sprawie skarżącej nie wydano zezwolenia na uchylenie jej wyżej wspomnianego immunitetu (zob. par</w:t>
      </w:r>
      <w:r w:rsidR="008B5644">
        <w:t xml:space="preserve">agraf </w:t>
      </w:r>
      <w:r w:rsidRPr="00F10D71">
        <w:rPr>
          <w:rFonts w:ascii="Times New Roman" w:eastAsia="Times New Roman" w:hAnsi="Times New Roman" w:cs="Times New Roman"/>
        </w:rPr>
        <w:t>13</w:t>
      </w:r>
      <w:r w:rsidR="00D20E39">
        <w:t xml:space="preserve"> powyżej).</w:t>
      </w:r>
    </w:p>
    <w:p w14:paraId="30400DF1" w14:textId="77777777" w:rsidR="00D20E39" w:rsidRPr="00CC427D" w:rsidRDefault="00D20E39" w:rsidP="00CC427D">
      <w:pPr>
        <w:pStyle w:val="JuHA"/>
        <w:numPr>
          <w:ilvl w:val="2"/>
          <w:numId w:val="17"/>
        </w:numPr>
      </w:pPr>
      <w:r>
        <w:t>Właściwe prawo krajowe i praktyka</w:t>
      </w:r>
    </w:p>
    <w:p w14:paraId="24639904" w14:textId="252EB449" w:rsidR="00D20E39" w:rsidRPr="00CC427D" w:rsidRDefault="00F10D71" w:rsidP="00CC427D">
      <w:pPr>
        <w:pStyle w:val="JuPara"/>
      </w:pPr>
      <w:r>
        <w:t>16</w:t>
      </w:r>
      <w:r w:rsidR="00D20E39">
        <w:t>.</w:t>
      </w:r>
      <w:r w:rsidR="00AC7DA6">
        <w:t xml:space="preserve"> </w:t>
      </w:r>
      <w:r w:rsidR="00D20E39">
        <w:t>Właściwe prawo i praktyka dotyczą</w:t>
      </w:r>
      <w:r>
        <w:t>ce postępowania lustracyjnego w</w:t>
      </w:r>
      <w:r w:rsidR="00645032">
        <w:t> </w:t>
      </w:r>
      <w:r w:rsidR="00D20E39">
        <w:t>Polsce do dnia 15</w:t>
      </w:r>
      <w:r w:rsidR="00AC7DA6">
        <w:t xml:space="preserve"> </w:t>
      </w:r>
      <w:r w:rsidR="00D20E39">
        <w:t>marca 2007</w:t>
      </w:r>
      <w:r w:rsidR="00AC7DA6">
        <w:t xml:space="preserve"> </w:t>
      </w:r>
      <w:r w:rsidR="00D20E39">
        <w:t xml:space="preserve">r. </w:t>
      </w:r>
      <w:r w:rsidR="005C6112">
        <w:t xml:space="preserve">są wskazane </w:t>
      </w:r>
      <w:r w:rsidR="00D0096E">
        <w:t xml:space="preserve">w </w:t>
      </w:r>
      <w:r w:rsidR="005C6112">
        <w:t xml:space="preserve">wyrokach </w:t>
      </w:r>
      <w:r w:rsidR="00D0096E">
        <w:t>Trybunału w</w:t>
      </w:r>
      <w:r w:rsidR="00645032">
        <w:t> </w:t>
      </w:r>
      <w:r w:rsidR="00D20E39">
        <w:t xml:space="preserve">sprawach </w:t>
      </w:r>
      <w:r w:rsidR="00D20E39">
        <w:rPr>
          <w:i/>
        </w:rPr>
        <w:t>Matyjek przeciwko Polsce</w:t>
      </w:r>
      <w:r w:rsidR="00D20E39">
        <w:t xml:space="preserve">, </w:t>
      </w:r>
      <w:r>
        <w:t>skarga nr</w:t>
      </w:r>
      <w:r w:rsidR="00AC7DA6">
        <w:t xml:space="preserve"> </w:t>
      </w:r>
      <w:r>
        <w:t>38184/03</w:t>
      </w:r>
      <w:r w:rsidR="009612A6">
        <w:t>,</w:t>
      </w:r>
      <w:r>
        <w:t xml:space="preserve"> z</w:t>
      </w:r>
      <w:r w:rsidR="009612A6">
        <w:t xml:space="preserve"> </w:t>
      </w:r>
      <w:r w:rsidR="00D20E39">
        <w:t>dnia 24</w:t>
      </w:r>
      <w:r w:rsidR="00645032">
        <w:t> </w:t>
      </w:r>
      <w:r w:rsidR="00D20E39">
        <w:t>kwietnia 2007</w:t>
      </w:r>
      <w:r w:rsidR="00AC7DA6">
        <w:t xml:space="preserve"> </w:t>
      </w:r>
      <w:r w:rsidR="00D20E39">
        <w:t>r.,</w:t>
      </w:r>
      <w:r w:rsidR="00ED1B36">
        <w:t xml:space="preserve"> §§</w:t>
      </w:r>
      <w:r w:rsidR="00AC7DA6">
        <w:t xml:space="preserve"> </w:t>
      </w:r>
      <w:r w:rsidR="00ED1B36">
        <w:t>27–39,</w:t>
      </w:r>
      <w:r w:rsidR="00D20E39">
        <w:t xml:space="preserve"> </w:t>
      </w:r>
      <w:r w:rsidR="00D20E39">
        <w:rPr>
          <w:i/>
        </w:rPr>
        <w:t>Bobek przeciwko Polsce</w:t>
      </w:r>
      <w:r w:rsidR="00D20E39">
        <w:t>, skarga nr</w:t>
      </w:r>
      <w:r w:rsidR="00645032">
        <w:t> </w:t>
      </w:r>
      <w:r w:rsidR="00D20E39">
        <w:t>68761/01, z dnia 17</w:t>
      </w:r>
      <w:r w:rsidR="00AC7DA6">
        <w:t xml:space="preserve"> </w:t>
      </w:r>
      <w:r w:rsidR="00D20E39">
        <w:t>lipca 2007</w:t>
      </w:r>
      <w:r w:rsidR="00AC7DA6">
        <w:t xml:space="preserve"> </w:t>
      </w:r>
      <w:r w:rsidR="00D20E39">
        <w:t xml:space="preserve">r., </w:t>
      </w:r>
      <w:r w:rsidR="00ED1B36">
        <w:t>§§</w:t>
      </w:r>
      <w:r w:rsidR="00AC7DA6">
        <w:t xml:space="preserve"> </w:t>
      </w:r>
      <w:r w:rsidR="00ED1B36">
        <w:t xml:space="preserve">18–43, </w:t>
      </w:r>
      <w:r w:rsidR="00D20E39">
        <w:t xml:space="preserve">oraz </w:t>
      </w:r>
      <w:r w:rsidR="00D20E39">
        <w:rPr>
          <w:i/>
        </w:rPr>
        <w:t>Luboch przeciwko Polsce</w:t>
      </w:r>
      <w:r w:rsidR="00D20E39">
        <w:t>, skarga nr</w:t>
      </w:r>
      <w:r w:rsidR="00AC7DA6">
        <w:t xml:space="preserve"> </w:t>
      </w:r>
      <w:r w:rsidR="00D20E39">
        <w:t>37469/05, z dnia 15</w:t>
      </w:r>
      <w:r w:rsidR="00AC7DA6">
        <w:t xml:space="preserve"> </w:t>
      </w:r>
      <w:r w:rsidR="00D20E39">
        <w:t>stycznia 2008</w:t>
      </w:r>
      <w:r w:rsidR="00AC7DA6">
        <w:t xml:space="preserve"> </w:t>
      </w:r>
      <w:r w:rsidR="00D20E39">
        <w:t>r.</w:t>
      </w:r>
      <w:r w:rsidR="00ED1B36">
        <w:t>, §§</w:t>
      </w:r>
      <w:r w:rsidR="00AC7DA6">
        <w:t xml:space="preserve"> </w:t>
      </w:r>
      <w:r w:rsidR="00ED1B36">
        <w:t>28–39.</w:t>
      </w:r>
    </w:p>
    <w:p w14:paraId="1BF1E65A" w14:textId="77777777" w:rsidR="00D20E39" w:rsidRPr="00CC427D" w:rsidRDefault="00D20E39" w:rsidP="00CC427D">
      <w:pPr>
        <w:pStyle w:val="JuHHead"/>
        <w:numPr>
          <w:ilvl w:val="0"/>
          <w:numId w:val="17"/>
        </w:numPr>
      </w:pPr>
      <w:r>
        <w:t>SKARGI</w:t>
      </w:r>
    </w:p>
    <w:p w14:paraId="2A1ED181" w14:textId="582FE646" w:rsidR="00D20E39" w:rsidRPr="00CC427D" w:rsidRDefault="00F10D71" w:rsidP="00CC427D">
      <w:pPr>
        <w:pStyle w:val="JuPara"/>
      </w:pPr>
      <w:r>
        <w:t>17</w:t>
      </w:r>
      <w:r w:rsidR="00D20E39">
        <w:t>.</w:t>
      </w:r>
      <w:r w:rsidR="00AC7DA6">
        <w:t xml:space="preserve"> </w:t>
      </w:r>
      <w:r w:rsidR="00D20E39">
        <w:t>Skarżąca podniosła zarzut na gruncie art.</w:t>
      </w:r>
      <w:r w:rsidR="00AC7DA6">
        <w:t xml:space="preserve"> </w:t>
      </w:r>
      <w:r w:rsidR="00D20E39">
        <w:t>6 ust.</w:t>
      </w:r>
      <w:r w:rsidR="00AC7DA6">
        <w:t xml:space="preserve"> </w:t>
      </w:r>
      <w:r w:rsidR="00D20E39">
        <w:t>1 i</w:t>
      </w:r>
      <w:r w:rsidR="00AC7DA6">
        <w:t xml:space="preserve"> </w:t>
      </w:r>
      <w:r w:rsidR="00D20E39">
        <w:t>3 Konwencji</w:t>
      </w:r>
      <w:r w:rsidR="00352BB2">
        <w:t>,</w:t>
      </w:r>
      <w:r w:rsidR="00D20E39">
        <w:t xml:space="preserve"> twierdząc, że postępowanie lustracyjne </w:t>
      </w:r>
      <w:r w:rsidR="00D44F5D">
        <w:t>przeprowadzono w sposób nierzetelny z naruszeniem</w:t>
      </w:r>
      <w:r>
        <w:t xml:space="preserve"> </w:t>
      </w:r>
      <w:r w:rsidR="00D20E39">
        <w:t>przysługujące</w:t>
      </w:r>
      <w:r w:rsidR="00D44F5D">
        <w:t>go</w:t>
      </w:r>
      <w:r w:rsidR="00D20E39">
        <w:t xml:space="preserve"> jej prawa do obrony </w:t>
      </w:r>
      <w:r w:rsidR="00D44F5D">
        <w:t xml:space="preserve">i </w:t>
      </w:r>
      <w:r w:rsidR="00D20E39">
        <w:t>zasad</w:t>
      </w:r>
      <w:r w:rsidR="00D44F5D">
        <w:t>y</w:t>
      </w:r>
      <w:r w:rsidR="00D20E39">
        <w:t xml:space="preserve"> równości stron.</w:t>
      </w:r>
    </w:p>
    <w:p w14:paraId="7B580E49" w14:textId="77777777" w:rsidR="00D20E39" w:rsidRPr="00CC427D" w:rsidRDefault="00D20E39" w:rsidP="00CC427D">
      <w:pPr>
        <w:pStyle w:val="JuHHead"/>
        <w:numPr>
          <w:ilvl w:val="0"/>
          <w:numId w:val="17"/>
        </w:numPr>
      </w:pPr>
      <w:r>
        <w:t>PRAWO</w:t>
      </w:r>
    </w:p>
    <w:p w14:paraId="7C291135" w14:textId="3BDE125E" w:rsidR="00D20E39" w:rsidRPr="00CC427D" w:rsidRDefault="00F10D71" w:rsidP="00CC427D">
      <w:pPr>
        <w:pStyle w:val="JuPara"/>
      </w:pPr>
      <w:r>
        <w:t>18</w:t>
      </w:r>
      <w:r w:rsidR="00D20E39">
        <w:t>.</w:t>
      </w:r>
      <w:r w:rsidR="00AC7DA6">
        <w:t xml:space="preserve"> </w:t>
      </w:r>
      <w:r w:rsidR="00D20E39">
        <w:t>Rząd zgłosił trzy zastrzeżenia wstępne. Po pierwsze, odnosząc się do</w:t>
      </w:r>
      <w:r w:rsidR="00645032">
        <w:t> </w:t>
      </w:r>
      <w:r w:rsidR="00D44F5D">
        <w:t xml:space="preserve">orzeczenia </w:t>
      </w:r>
      <w:r w:rsidR="00D20E39">
        <w:t>Sądu Najwyższego z dnia 26</w:t>
      </w:r>
      <w:r w:rsidR="00AC7DA6">
        <w:t xml:space="preserve"> </w:t>
      </w:r>
      <w:r w:rsidR="00D20E39">
        <w:t>kwietnia 2016</w:t>
      </w:r>
      <w:r w:rsidR="00AC7DA6">
        <w:t xml:space="preserve"> </w:t>
      </w:r>
      <w:r w:rsidR="00D20E39">
        <w:t>r. o umorzeniu postępowania, podniósł</w:t>
      </w:r>
      <w:r w:rsidR="00C6167E">
        <w:t>,</w:t>
      </w:r>
      <w:r w:rsidR="00D20E39">
        <w:t xml:space="preserve"> że skarżąca utraciła status </w:t>
      </w:r>
      <w:r w:rsidR="00D44F5D">
        <w:t>ofiary</w:t>
      </w:r>
      <w:r w:rsidR="00D20E39">
        <w:t>. Po drugie, Rząd</w:t>
      </w:r>
      <w:r w:rsidR="007C133F">
        <w:t> </w:t>
      </w:r>
      <w:r w:rsidR="00D20E39">
        <w:t>stwierdził</w:t>
      </w:r>
      <w:r w:rsidR="00C6167E">
        <w:t>,</w:t>
      </w:r>
      <w:r w:rsidR="00D20E39">
        <w:t xml:space="preserve"> że niepoinformowanie przez skarżącą Trybunału o</w:t>
      </w:r>
      <w:r w:rsidR="00AC7DA6">
        <w:t xml:space="preserve"> </w:t>
      </w:r>
      <w:r w:rsidR="00DD2E16">
        <w:t>tak istotnej</w:t>
      </w:r>
      <w:r w:rsidR="00D20E39">
        <w:t xml:space="preserve"> </w:t>
      </w:r>
      <w:r w:rsidR="00DD2E16">
        <w:t>zmianie</w:t>
      </w:r>
      <w:r w:rsidR="00D20E39">
        <w:t xml:space="preserve"> w jej sprawie </w:t>
      </w:r>
      <w:r w:rsidR="00DD2E16">
        <w:t xml:space="preserve">stanowiło nadużycie </w:t>
      </w:r>
      <w:r w:rsidR="00D20E39">
        <w:t>jej prawa do skargi indywidualnej w rozumieniu art.</w:t>
      </w:r>
      <w:r w:rsidR="00AC7DA6">
        <w:t xml:space="preserve"> </w:t>
      </w:r>
      <w:r w:rsidR="00D20E39">
        <w:t>35 ust.</w:t>
      </w:r>
      <w:r w:rsidR="00AC7DA6">
        <w:t xml:space="preserve"> </w:t>
      </w:r>
      <w:r w:rsidR="00D20E39">
        <w:t>3 Konwencji. Po trzecie, Rząd</w:t>
      </w:r>
      <w:r w:rsidR="007C133F">
        <w:t> </w:t>
      </w:r>
      <w:r w:rsidR="00D20E39">
        <w:t>utrzymywał</w:t>
      </w:r>
      <w:r w:rsidR="00BA4195">
        <w:t>,</w:t>
      </w:r>
      <w:r w:rsidR="00D20E39">
        <w:t xml:space="preserve"> że skarżąca nie zgłosiła w postępowaniach krajowych – </w:t>
      </w:r>
      <w:r w:rsidR="00D44F5D">
        <w:t>chociażby co do meritum</w:t>
      </w:r>
      <w:r w:rsidR="00D20E39">
        <w:t xml:space="preserve"> – zastrzeżeń dotyczących </w:t>
      </w:r>
      <w:r w:rsidR="00D44F5D">
        <w:t xml:space="preserve">zarzutu </w:t>
      </w:r>
      <w:r w:rsidR="00D20E39">
        <w:t>nierzetelnego charakteru postępowania.</w:t>
      </w:r>
    </w:p>
    <w:p w14:paraId="4E8626D9" w14:textId="55CCEDC9" w:rsidR="00D20E39" w:rsidRPr="00CC427D" w:rsidRDefault="00F10D71" w:rsidP="00CC427D">
      <w:pPr>
        <w:pStyle w:val="JuPara"/>
      </w:pPr>
      <w:r>
        <w:t>19</w:t>
      </w:r>
      <w:r w:rsidR="00D20E39">
        <w:t>.</w:t>
      </w:r>
      <w:r w:rsidR="00AC7DA6">
        <w:t xml:space="preserve"> </w:t>
      </w:r>
      <w:r w:rsidR="00D20E39">
        <w:t xml:space="preserve">W odpowiedzi pełnomocnik skarżącej, poza podtrzymaniem skargi co do jej </w:t>
      </w:r>
      <w:r w:rsidR="00D44F5D">
        <w:t>przedmiotu</w:t>
      </w:r>
      <w:r w:rsidR="00D20E39">
        <w:t xml:space="preserve">, </w:t>
      </w:r>
      <w:r w:rsidR="00D44F5D">
        <w:t xml:space="preserve">sformułował zwięzłe stanowisko w przedmiocie </w:t>
      </w:r>
      <w:r w:rsidR="00D20E39">
        <w:t xml:space="preserve">zastrzeżeń dotyczących niewyczerpania krajowych środków odwoławczych </w:t>
      </w:r>
      <w:r w:rsidR="00D20E39">
        <w:lastRenderedPageBreak/>
        <w:t xml:space="preserve">i </w:t>
      </w:r>
      <w:r w:rsidR="00E6646A">
        <w:t>statusu skarżącej</w:t>
      </w:r>
      <w:r w:rsidR="00D44F5D">
        <w:t xml:space="preserve"> jako ofiary</w:t>
      </w:r>
      <w:r w:rsidR="00D20E39">
        <w:t>. Pełnomocnik skarżącej nie odniósł się do</w:t>
      </w:r>
      <w:r w:rsidR="007C133F">
        <w:t> </w:t>
      </w:r>
      <w:r w:rsidR="00D20E39">
        <w:t xml:space="preserve">zgłoszonego przez Rząd zastrzeżenia dotyczącego </w:t>
      </w:r>
      <w:r w:rsidR="00D44F5D">
        <w:t xml:space="preserve">zarzutu </w:t>
      </w:r>
      <w:r w:rsidR="00D0096E">
        <w:t xml:space="preserve">nadużycia </w:t>
      </w:r>
      <w:r w:rsidR="00D44F5D">
        <w:t xml:space="preserve">przez nią </w:t>
      </w:r>
      <w:r w:rsidR="00D0096E">
        <w:t>prawa do skargi, z</w:t>
      </w:r>
      <w:r w:rsidR="00AC7DA6">
        <w:t xml:space="preserve"> </w:t>
      </w:r>
      <w:r w:rsidR="00D20E39">
        <w:t xml:space="preserve">uwagi na niepowiadomienie przez skarżącą Trybunału o </w:t>
      </w:r>
      <w:r w:rsidR="00D44F5D">
        <w:t xml:space="preserve">orzeczenia </w:t>
      </w:r>
      <w:r w:rsidR="00D20E39">
        <w:t xml:space="preserve">Sądu Najwyższego </w:t>
      </w:r>
      <w:r w:rsidR="00D44F5D">
        <w:t xml:space="preserve">w przedmiocie umorzenia </w:t>
      </w:r>
      <w:r w:rsidR="00D20E39">
        <w:t>spraw</w:t>
      </w:r>
      <w:r w:rsidR="00D44F5D">
        <w:t>y</w:t>
      </w:r>
      <w:r w:rsidR="00D20E39">
        <w:t>.</w:t>
      </w:r>
    </w:p>
    <w:p w14:paraId="0B8D31C5" w14:textId="167A7B4D" w:rsidR="00D20E39" w:rsidRPr="00CC427D" w:rsidRDefault="00F10D71" w:rsidP="00CC427D">
      <w:pPr>
        <w:pStyle w:val="JuPara"/>
      </w:pPr>
      <w:r>
        <w:t>20</w:t>
      </w:r>
      <w:r w:rsidR="00D20E39">
        <w:t>.</w:t>
      </w:r>
      <w:r w:rsidR="00AC7DA6">
        <w:t xml:space="preserve"> </w:t>
      </w:r>
      <w:r w:rsidR="00D20E39">
        <w:t xml:space="preserve">Trybunał </w:t>
      </w:r>
      <w:r w:rsidR="00D44F5D">
        <w:t>powtarza</w:t>
      </w:r>
      <w:r w:rsidR="00D20E39">
        <w:t>, iż skargę można oddalić jako stanowiącą nadużycie na podstawie art.</w:t>
      </w:r>
      <w:r w:rsidR="00AC7DA6">
        <w:t xml:space="preserve"> </w:t>
      </w:r>
      <w:r w:rsidR="00D20E39">
        <w:t>35 ust.</w:t>
      </w:r>
      <w:r w:rsidR="00AC7DA6">
        <w:t xml:space="preserve"> </w:t>
      </w:r>
      <w:r w:rsidR="00D20E39">
        <w:t>3 Konwencji, w przypadku gdy została ona sporządzona w oparciu o „nieprawdziwe</w:t>
      </w:r>
      <w:r w:rsidR="00DD2E16" w:rsidRPr="00DD2E16">
        <w:t xml:space="preserve"> </w:t>
      </w:r>
      <w:r w:rsidR="00DD2E16">
        <w:t>fakty</w:t>
      </w:r>
      <w:r w:rsidR="00D20E39">
        <w:t>” (zob.</w:t>
      </w:r>
      <w:r w:rsidR="00D677BE">
        <w:t xml:space="preserve"> </w:t>
      </w:r>
      <w:r w:rsidR="00D20E39">
        <w:t xml:space="preserve">m.in.: sprawa </w:t>
      </w:r>
      <w:r w:rsidR="00D20E39">
        <w:rPr>
          <w:i/>
        </w:rPr>
        <w:t>Jian</w:t>
      </w:r>
      <w:r w:rsidR="007C133F">
        <w:rPr>
          <w:i/>
        </w:rPr>
        <w:t> </w:t>
      </w:r>
      <w:r w:rsidR="00D20E39">
        <w:rPr>
          <w:i/>
        </w:rPr>
        <w:t>przeciwko Rumunii</w:t>
      </w:r>
      <w:r w:rsidR="00933B1D">
        <w:t xml:space="preserve"> </w:t>
      </w:r>
      <w:r w:rsidR="00D20E39">
        <w:t>(dec.), skarga nr</w:t>
      </w:r>
      <w:r w:rsidR="00AC7DA6">
        <w:t xml:space="preserve"> </w:t>
      </w:r>
      <w:r w:rsidR="00D20E39">
        <w:t>46640/99, oraz</w:t>
      </w:r>
      <w:r w:rsidR="00D677BE">
        <w:t xml:space="preserve"> </w:t>
      </w:r>
      <w:r w:rsidR="00D20E39">
        <w:rPr>
          <w:i/>
        </w:rPr>
        <w:t>Keretchashvili przeciwko Gruzji</w:t>
      </w:r>
      <w:r w:rsidR="00933B1D">
        <w:t xml:space="preserve"> </w:t>
      </w:r>
      <w:r w:rsidR="00D20E39">
        <w:t xml:space="preserve">(dec.), </w:t>
      </w:r>
      <w:r w:rsidR="00DD7272">
        <w:t xml:space="preserve">skarga </w:t>
      </w:r>
      <w:r w:rsidR="00D20E39">
        <w:t>nr</w:t>
      </w:r>
      <w:r w:rsidR="00AC7DA6">
        <w:t xml:space="preserve"> </w:t>
      </w:r>
      <w:r w:rsidR="00D20E39">
        <w:t>5667/02, z dnia 2</w:t>
      </w:r>
      <w:r w:rsidR="00AC7DA6">
        <w:t xml:space="preserve"> </w:t>
      </w:r>
      <w:r w:rsidR="00D20E39">
        <w:t>maja 2006</w:t>
      </w:r>
      <w:r w:rsidR="00AC7DA6">
        <w:t xml:space="preserve"> </w:t>
      </w:r>
      <w:r w:rsidR="00D20E39">
        <w:t>r.) lub gdy</w:t>
      </w:r>
      <w:r w:rsidR="007C133F">
        <w:t> </w:t>
      </w:r>
      <w:r w:rsidR="00D44F5D">
        <w:t xml:space="preserve">Trybunałowi przedstawiono </w:t>
      </w:r>
      <w:r w:rsidR="00D20E39">
        <w:t>niekompletne bądź nieprawdziwe informacje (zob. m.in.: sprawa</w:t>
      </w:r>
      <w:r w:rsidR="00AC7DA6">
        <w:t xml:space="preserve"> </w:t>
      </w:r>
      <w:r w:rsidR="00D20E39">
        <w:rPr>
          <w:i/>
        </w:rPr>
        <w:t>Hüttner przeciwko Niemcom</w:t>
      </w:r>
      <w:r w:rsidR="00933B1D">
        <w:t xml:space="preserve"> </w:t>
      </w:r>
      <w:r w:rsidR="00D20E39">
        <w:t>(dec.), skarga nr</w:t>
      </w:r>
      <w:r w:rsidR="00AC7DA6">
        <w:t xml:space="preserve"> </w:t>
      </w:r>
      <w:r w:rsidR="00D20E39">
        <w:t>23130/04, 9</w:t>
      </w:r>
      <w:r w:rsidR="00AC7DA6">
        <w:t xml:space="preserve"> </w:t>
      </w:r>
      <w:r w:rsidR="00D20E39">
        <w:t>czerwca 2006</w:t>
      </w:r>
      <w:r w:rsidR="00AC7DA6">
        <w:t xml:space="preserve"> </w:t>
      </w:r>
      <w:r w:rsidR="00D20E39">
        <w:t>r., oraz</w:t>
      </w:r>
      <w:r w:rsidR="00933B1D">
        <w:t xml:space="preserve"> </w:t>
      </w:r>
      <w:r w:rsidR="00D20E39">
        <w:rPr>
          <w:i/>
        </w:rPr>
        <w:t>Basileo przeciwko Włochom</w:t>
      </w:r>
      <w:r w:rsidR="00ED22C4">
        <w:t xml:space="preserve"> </w:t>
      </w:r>
      <w:r w:rsidR="00D20E39">
        <w:t>(dec.), skarga nr</w:t>
      </w:r>
      <w:r w:rsidR="00AC7DA6">
        <w:t xml:space="preserve"> </w:t>
      </w:r>
      <w:r w:rsidR="00D20E39">
        <w:t>11303/02, z dnia 23</w:t>
      </w:r>
      <w:r w:rsidR="00AC7DA6">
        <w:t xml:space="preserve"> </w:t>
      </w:r>
      <w:r w:rsidR="00D20E39">
        <w:t>sierpnia 2011</w:t>
      </w:r>
      <w:r w:rsidR="00AC7DA6">
        <w:t xml:space="preserve"> </w:t>
      </w:r>
      <w:r w:rsidR="00D20E39">
        <w:t>r.). Podobnie skargę można oddalić jako stanowiącą nadużycie, jeśli skarżący – mimo ciążąc</w:t>
      </w:r>
      <w:r w:rsidR="00ED22C4">
        <w:t>ego</w:t>
      </w:r>
      <w:r w:rsidR="00D20E39">
        <w:t xml:space="preserve"> na nich obowiązku na podstawie art.</w:t>
      </w:r>
      <w:r w:rsidR="00AC7DA6">
        <w:t xml:space="preserve"> </w:t>
      </w:r>
      <w:r w:rsidR="00D20E39">
        <w:t>47 Regulaminu Trybunału – nie poinformują Tr</w:t>
      </w:r>
      <w:r w:rsidR="00D0096E">
        <w:t>ybunału o</w:t>
      </w:r>
      <w:r w:rsidR="00AC7DA6">
        <w:t xml:space="preserve"> </w:t>
      </w:r>
      <w:r w:rsidR="00D20E39">
        <w:t xml:space="preserve">nowych, istotnych </w:t>
      </w:r>
      <w:r w:rsidR="00D44F5D">
        <w:t xml:space="preserve">zmianach w zakresie </w:t>
      </w:r>
      <w:r w:rsidR="00DD2E16">
        <w:t>zawisłych skarg</w:t>
      </w:r>
      <w:r w:rsidR="00DD2E16" w:rsidRPr="00DD2E16">
        <w:t xml:space="preserve"> </w:t>
      </w:r>
      <w:r w:rsidR="00DD2E16">
        <w:t>wniesionych przez nich</w:t>
      </w:r>
      <w:r w:rsidR="00D0096E">
        <w:t>, z</w:t>
      </w:r>
      <w:r w:rsidR="00AC7DA6">
        <w:t xml:space="preserve"> </w:t>
      </w:r>
      <w:r w:rsidR="00D20E39">
        <w:t xml:space="preserve">uwagi na to, że </w:t>
      </w:r>
      <w:r w:rsidR="00380B81">
        <w:t xml:space="preserve">takie postępowanie </w:t>
      </w:r>
      <w:r w:rsidR="00D20E39">
        <w:t>uniemożliwia T</w:t>
      </w:r>
      <w:r w:rsidR="00D0096E">
        <w:t xml:space="preserve">rybunałowi wydanie </w:t>
      </w:r>
      <w:r w:rsidR="00D44F5D">
        <w:t xml:space="preserve">rozstrzygnięcia </w:t>
      </w:r>
      <w:r w:rsidR="00D0096E">
        <w:t>w</w:t>
      </w:r>
      <w:r w:rsidR="00AC7DA6">
        <w:t xml:space="preserve"> </w:t>
      </w:r>
      <w:r w:rsidR="00D44F5D">
        <w:t xml:space="preserve">danej </w:t>
      </w:r>
      <w:r w:rsidR="00D20E39">
        <w:t xml:space="preserve">sprawie </w:t>
      </w:r>
      <w:r w:rsidR="00D44F5D">
        <w:t>w świetle</w:t>
      </w:r>
      <w:r w:rsidR="00D20E39">
        <w:t xml:space="preserve"> </w:t>
      </w:r>
      <w:r w:rsidR="00D44F5D">
        <w:t>całokształtu</w:t>
      </w:r>
      <w:r w:rsidR="00D20E39">
        <w:t xml:space="preserve"> </w:t>
      </w:r>
      <w:r w:rsidR="00D44F5D">
        <w:t xml:space="preserve">okoliczności faktycznych </w:t>
      </w:r>
      <w:r w:rsidR="00D20E39">
        <w:t>(zob.</w:t>
      </w:r>
      <w:r w:rsidR="00316D50">
        <w:t xml:space="preserve"> </w:t>
      </w:r>
      <w:r w:rsidR="00D20E39">
        <w:rPr>
          <w:i/>
        </w:rPr>
        <w:t xml:space="preserve">Pirtskhalaishvili </w:t>
      </w:r>
      <w:r w:rsidR="00D20E39" w:rsidRPr="00FE763F">
        <w:rPr>
          <w:i/>
        </w:rPr>
        <w:t>przeciwko Gruzji</w:t>
      </w:r>
      <w:r w:rsidR="00D20E39">
        <w:t xml:space="preserve"> (de</w:t>
      </w:r>
      <w:r>
        <w:t>c.), skarga nr</w:t>
      </w:r>
      <w:r w:rsidR="00AC7DA6">
        <w:t xml:space="preserve"> </w:t>
      </w:r>
      <w:r w:rsidR="00D20E39">
        <w:t>44328/05, z dnia 29</w:t>
      </w:r>
      <w:r w:rsidR="00AC7DA6">
        <w:t xml:space="preserve"> </w:t>
      </w:r>
      <w:r w:rsidR="00D20E39">
        <w:t>kwietnia 2010</w:t>
      </w:r>
      <w:r w:rsidR="00AC7DA6">
        <w:t xml:space="preserve"> </w:t>
      </w:r>
      <w:r w:rsidR="00D20E39">
        <w:t xml:space="preserve">r., oraz </w:t>
      </w:r>
      <w:r w:rsidR="00D20E39">
        <w:rPr>
          <w:i/>
        </w:rPr>
        <w:t>Bekauri przeciwko Gruzji</w:t>
      </w:r>
      <w:r w:rsidR="00316D50">
        <w:t xml:space="preserve"> </w:t>
      </w:r>
      <w:r>
        <w:t>(dec.), skarga nr</w:t>
      </w:r>
      <w:r w:rsidR="00AC7DA6">
        <w:t xml:space="preserve"> </w:t>
      </w:r>
      <w:r w:rsidR="00D20E39">
        <w:t>14102/02, z dnia 10</w:t>
      </w:r>
      <w:r w:rsidR="00AC7DA6">
        <w:t xml:space="preserve"> </w:t>
      </w:r>
      <w:r w:rsidR="00D20E39">
        <w:t>kwietnia 2012</w:t>
      </w:r>
      <w:r w:rsidR="00AC7DA6">
        <w:t xml:space="preserve"> </w:t>
      </w:r>
      <w:r w:rsidR="00D20E39">
        <w:t>r.</w:t>
      </w:r>
      <w:r w:rsidR="008D7676">
        <w:t>, §§</w:t>
      </w:r>
      <w:r w:rsidR="007C133F">
        <w:t> </w:t>
      </w:r>
      <w:r w:rsidR="008D7676">
        <w:t>21–23</w:t>
      </w:r>
      <w:r w:rsidR="00D20E39">
        <w:t>).</w:t>
      </w:r>
    </w:p>
    <w:p w14:paraId="42BB0B5D" w14:textId="20553C31" w:rsidR="00D20E39" w:rsidRPr="00CC427D" w:rsidRDefault="00F10D71" w:rsidP="00CC427D">
      <w:pPr>
        <w:pStyle w:val="JuPara"/>
      </w:pPr>
      <w:r>
        <w:t>21</w:t>
      </w:r>
      <w:r w:rsidR="00D20E39">
        <w:t>.</w:t>
      </w:r>
      <w:r w:rsidR="00AC7DA6">
        <w:t xml:space="preserve"> </w:t>
      </w:r>
      <w:r w:rsidR="00D20E39">
        <w:t xml:space="preserve">Powracając </w:t>
      </w:r>
      <w:r w:rsidR="00850245">
        <w:t xml:space="preserve">na grunt </w:t>
      </w:r>
      <w:r w:rsidR="00D20E39">
        <w:t>niniejszej sprawy, Trybunał zauważa, iż</w:t>
      </w:r>
      <w:r w:rsidR="007C133F">
        <w:t> </w:t>
      </w:r>
      <w:r w:rsidR="00D20E39">
        <w:t>w</w:t>
      </w:r>
      <w:r w:rsidR="007C133F">
        <w:t> </w:t>
      </w:r>
      <w:r w:rsidR="00D20E39">
        <w:t>skardze wniesionej w dniu 27</w:t>
      </w:r>
      <w:r w:rsidR="00AC7DA6">
        <w:t xml:space="preserve"> </w:t>
      </w:r>
      <w:r w:rsidR="00D20E39">
        <w:t>lutego 2013</w:t>
      </w:r>
      <w:r w:rsidR="00AC7DA6">
        <w:t xml:space="preserve"> </w:t>
      </w:r>
      <w:r w:rsidR="00D20E39">
        <w:t xml:space="preserve">r. skarżąca podniosła zarzut naruszenia jej prawa do rzetelnego procesu w </w:t>
      </w:r>
      <w:r w:rsidR="00850245">
        <w:t>związku z</w:t>
      </w:r>
      <w:r w:rsidR="00D20E39">
        <w:t xml:space="preserve"> postępowani</w:t>
      </w:r>
      <w:r w:rsidR="00850245">
        <w:t>em</w:t>
      </w:r>
      <w:r w:rsidR="00D20E39">
        <w:t xml:space="preserve"> </w:t>
      </w:r>
      <w:r w:rsidR="00850245">
        <w:t>lustracyjnym</w:t>
      </w:r>
      <w:r w:rsidR="00D20E39">
        <w:t>, które zakończyło się w dniu 6</w:t>
      </w:r>
      <w:r w:rsidR="00AC7DA6">
        <w:t xml:space="preserve"> </w:t>
      </w:r>
      <w:r w:rsidR="00D20E39">
        <w:t>listopada 2012</w:t>
      </w:r>
      <w:r w:rsidR="00AC7DA6">
        <w:t xml:space="preserve"> </w:t>
      </w:r>
      <w:r w:rsidR="00D20E39">
        <w:t>r. W dniu 10</w:t>
      </w:r>
      <w:r w:rsidR="007C133F">
        <w:t> </w:t>
      </w:r>
      <w:r w:rsidR="00D20E39">
        <w:t>kwietnia 2018</w:t>
      </w:r>
      <w:r w:rsidR="00AC7DA6">
        <w:t xml:space="preserve"> </w:t>
      </w:r>
      <w:r w:rsidR="00D20E39">
        <w:t>r. Trybunał zakomunikował pozwanemu Rządowi skargę wniesioną przez skarżącą na gruncie art.</w:t>
      </w:r>
      <w:r w:rsidR="00AC7DA6">
        <w:t xml:space="preserve"> </w:t>
      </w:r>
      <w:r w:rsidR="00D20E39">
        <w:t>6 ust.</w:t>
      </w:r>
      <w:r w:rsidR="00AC7DA6">
        <w:t xml:space="preserve"> </w:t>
      </w:r>
      <w:r w:rsidR="00D20E39">
        <w:t>1 i</w:t>
      </w:r>
      <w:r w:rsidR="00AC7DA6">
        <w:t xml:space="preserve"> </w:t>
      </w:r>
      <w:r w:rsidR="00D20E39">
        <w:t>3 Konwencji</w:t>
      </w:r>
      <w:r w:rsidR="00850245">
        <w:t>.</w:t>
      </w:r>
    </w:p>
    <w:p w14:paraId="1CAFBC7D" w14:textId="49E3B1EB" w:rsidR="00D20E39" w:rsidRPr="00CC427D" w:rsidRDefault="00F10D71" w:rsidP="00CC427D">
      <w:pPr>
        <w:pStyle w:val="JuPara"/>
      </w:pPr>
      <w:r>
        <w:t>22</w:t>
      </w:r>
      <w:r w:rsidR="00D20E39">
        <w:t>.</w:t>
      </w:r>
      <w:r w:rsidR="00AC7DA6">
        <w:t xml:space="preserve"> </w:t>
      </w:r>
      <w:r w:rsidR="00D20E39">
        <w:t xml:space="preserve">Trybunał </w:t>
      </w:r>
      <w:r w:rsidR="00850245">
        <w:t>powziął informację</w:t>
      </w:r>
      <w:r w:rsidR="00D20E39">
        <w:t xml:space="preserve"> o wznowieniu postępowania przed Sądem Najwyższym (oraz o </w:t>
      </w:r>
      <w:r w:rsidR="00850245">
        <w:t xml:space="preserve">orzeczeniu </w:t>
      </w:r>
      <w:r w:rsidR="00D20E39">
        <w:t>z dnia 26</w:t>
      </w:r>
      <w:r w:rsidR="00AC7DA6">
        <w:t xml:space="preserve"> </w:t>
      </w:r>
      <w:r w:rsidR="00D20E39">
        <w:t>kwietnia 2016</w:t>
      </w:r>
      <w:r w:rsidR="00AC7DA6">
        <w:t xml:space="preserve"> </w:t>
      </w:r>
      <w:r w:rsidR="00D20E39">
        <w:t xml:space="preserve">r. </w:t>
      </w:r>
      <w:r w:rsidR="00850245">
        <w:t>w</w:t>
      </w:r>
      <w:r w:rsidR="007C133F">
        <w:t> </w:t>
      </w:r>
      <w:r w:rsidR="00850245">
        <w:t>przedmiocie</w:t>
      </w:r>
      <w:r w:rsidR="00D20E39">
        <w:t xml:space="preserve"> umorzeni</w:t>
      </w:r>
      <w:r w:rsidR="00850245">
        <w:t>a</w:t>
      </w:r>
      <w:r w:rsidR="00D20E39">
        <w:t xml:space="preserve"> postępowania lustracyjnego w sprawie skarżącej) wyłącznie z uwag </w:t>
      </w:r>
      <w:r w:rsidR="00850245">
        <w:t xml:space="preserve">przedstawionych </w:t>
      </w:r>
      <w:r w:rsidR="00D20E39">
        <w:t>przez Rząd.</w:t>
      </w:r>
    </w:p>
    <w:p w14:paraId="1CDEC8C0" w14:textId="5CF8CA94" w:rsidR="00D20E39" w:rsidRPr="00CC427D" w:rsidRDefault="00F10D71" w:rsidP="00CC427D">
      <w:pPr>
        <w:pStyle w:val="JuPara"/>
      </w:pPr>
      <w:r>
        <w:t>23</w:t>
      </w:r>
      <w:r w:rsidR="00D20E39">
        <w:t>.</w:t>
      </w:r>
      <w:r w:rsidR="00AC7DA6">
        <w:t xml:space="preserve"> </w:t>
      </w:r>
      <w:r w:rsidR="00D20E39">
        <w:t xml:space="preserve">Trybunał stwierdza, że informacja ta dotyczy </w:t>
      </w:r>
      <w:r w:rsidR="00850245">
        <w:t>samego przedmiotu</w:t>
      </w:r>
      <w:r w:rsidR="00D20E39">
        <w:t xml:space="preserve"> skargi wniesionej przez skarżącą (zob. sprawa </w:t>
      </w:r>
      <w:r w:rsidR="00D20E39">
        <w:rPr>
          <w:i/>
        </w:rPr>
        <w:t xml:space="preserve">Predescu </w:t>
      </w:r>
      <w:r w:rsidR="00D20E39">
        <w:rPr>
          <w:i/>
          <w:iCs/>
        </w:rPr>
        <w:t>przeciwko Rumunii</w:t>
      </w:r>
      <w:r w:rsidR="00D20E39">
        <w:t>, skarga nr 21447/03, z dnia 2</w:t>
      </w:r>
      <w:r w:rsidR="00AC7DA6">
        <w:t xml:space="preserve"> </w:t>
      </w:r>
      <w:r w:rsidR="00D20E39">
        <w:t>grudnia 2008</w:t>
      </w:r>
      <w:r w:rsidR="00AC7DA6">
        <w:t xml:space="preserve"> </w:t>
      </w:r>
      <w:r w:rsidR="00D20E39">
        <w:t xml:space="preserve">r., </w:t>
      </w:r>
      <w:r w:rsidR="006B0E5F">
        <w:t>§§</w:t>
      </w:r>
      <w:r w:rsidR="00AC7DA6">
        <w:t xml:space="preserve"> </w:t>
      </w:r>
      <w:r w:rsidR="006B0E5F">
        <w:t xml:space="preserve">25–27, </w:t>
      </w:r>
      <w:r w:rsidR="00D20E39">
        <w:t xml:space="preserve">oraz </w:t>
      </w:r>
      <w:r>
        <w:rPr>
          <w:i/>
        </w:rPr>
        <w:t>Tatalović i</w:t>
      </w:r>
      <w:r w:rsidR="007C133F">
        <w:rPr>
          <w:i/>
        </w:rPr>
        <w:t> </w:t>
      </w:r>
      <w:r w:rsidR="00D20E39">
        <w:rPr>
          <w:i/>
        </w:rPr>
        <w:t>Dekić przeciwko Serbii</w:t>
      </w:r>
      <w:r w:rsidR="00D20E39">
        <w:t xml:space="preserve"> (dec.), skarga nr</w:t>
      </w:r>
      <w:r w:rsidR="00AC7DA6">
        <w:t xml:space="preserve"> </w:t>
      </w:r>
      <w:r w:rsidR="00D20E39">
        <w:t>15433/07, z dnia 29</w:t>
      </w:r>
      <w:r w:rsidR="00AC7DA6">
        <w:t xml:space="preserve"> </w:t>
      </w:r>
      <w:r w:rsidR="00D20E39">
        <w:t>maja 2012</w:t>
      </w:r>
      <w:r w:rsidR="00AC7DA6">
        <w:t xml:space="preserve"> </w:t>
      </w:r>
      <w:r w:rsidR="00D20E39">
        <w:t xml:space="preserve">r.). </w:t>
      </w:r>
      <w:r w:rsidR="00850245">
        <w:t>W zakresie</w:t>
      </w:r>
      <w:r w:rsidR="00D20E39">
        <w:t xml:space="preserve"> postępowania lustracyjnego prowadzonego w</w:t>
      </w:r>
      <w:r w:rsidR="00AC7DA6">
        <w:t xml:space="preserve"> </w:t>
      </w:r>
      <w:r w:rsidR="00D20E39">
        <w:t>Polsce</w:t>
      </w:r>
      <w:r w:rsidR="00850245">
        <w:t xml:space="preserve"> Trybunał uznał</w:t>
      </w:r>
      <w:r w:rsidR="00D20E39">
        <w:t xml:space="preserve">, iż „wszelkie niedociągnięcia, które mogły istnieć w czasie </w:t>
      </w:r>
      <w:r w:rsidR="00850245">
        <w:t>prowadzonego</w:t>
      </w:r>
      <w:r w:rsidR="00D20E39">
        <w:t xml:space="preserve"> wobec skarżące</w:t>
      </w:r>
      <w:r w:rsidR="00380B81">
        <w:t>go</w:t>
      </w:r>
      <w:r w:rsidR="00850245">
        <w:t xml:space="preserve"> postępowania</w:t>
      </w:r>
      <w:r w:rsidR="00130A64">
        <w:t>,</w:t>
      </w:r>
      <w:r w:rsidR="00D20E39">
        <w:t xml:space="preserve"> należy uznać za usunięte </w:t>
      </w:r>
      <w:r w:rsidR="00850245">
        <w:t xml:space="preserve">wskutek </w:t>
      </w:r>
      <w:r w:rsidR="00D20E39">
        <w:t>umorzeni</w:t>
      </w:r>
      <w:r w:rsidR="00850245">
        <w:t>a</w:t>
      </w:r>
      <w:r w:rsidR="00D20E39">
        <w:t xml:space="preserve"> postępowania lustracyjnego” (zob. </w:t>
      </w:r>
      <w:r w:rsidR="00D20E39">
        <w:rPr>
          <w:i/>
        </w:rPr>
        <w:t xml:space="preserve">Józef Oleksy </w:t>
      </w:r>
      <w:r w:rsidR="00D20E39">
        <w:rPr>
          <w:i/>
          <w:iCs/>
        </w:rPr>
        <w:t>przeciwko Polsce</w:t>
      </w:r>
      <w:r w:rsidR="00D20E39">
        <w:t xml:space="preserve"> (dec.), skarga nr</w:t>
      </w:r>
      <w:r w:rsidR="00AC7DA6">
        <w:t xml:space="preserve"> </w:t>
      </w:r>
      <w:r w:rsidR="00D20E39">
        <w:t>1379/06, z dnia 16</w:t>
      </w:r>
      <w:r w:rsidR="00AC7DA6">
        <w:t xml:space="preserve"> </w:t>
      </w:r>
      <w:r w:rsidR="00D20E39">
        <w:t>czerwca 2009</w:t>
      </w:r>
      <w:r w:rsidR="00AC7DA6">
        <w:t xml:space="preserve"> </w:t>
      </w:r>
      <w:r w:rsidR="00D20E39">
        <w:t xml:space="preserve">r.). Ponadto pełnomocnik skarżącej przez </w:t>
      </w:r>
      <w:r w:rsidR="00D00E4B">
        <w:t>dwa lata</w:t>
      </w:r>
      <w:r w:rsidR="00D20E39">
        <w:t xml:space="preserve">, które upłynęły </w:t>
      </w:r>
      <w:r w:rsidR="00850245">
        <w:t xml:space="preserve">od dnia wydania </w:t>
      </w:r>
      <w:r w:rsidR="00D20E39">
        <w:t xml:space="preserve">przedmiotowego wyroku </w:t>
      </w:r>
      <w:r w:rsidR="00850245">
        <w:t>do dnia</w:t>
      </w:r>
      <w:r w:rsidR="00D20E39">
        <w:t xml:space="preserve"> </w:t>
      </w:r>
      <w:r w:rsidR="00850245">
        <w:t xml:space="preserve">zakomunikowania </w:t>
      </w:r>
      <w:r w:rsidR="00D20E39">
        <w:t xml:space="preserve">sprawy, </w:t>
      </w:r>
      <w:r w:rsidR="00D20E39">
        <w:lastRenderedPageBreak/>
        <w:t>nie</w:t>
      </w:r>
      <w:r w:rsidR="007C133F">
        <w:t> </w:t>
      </w:r>
      <w:r w:rsidR="00D20E39">
        <w:t xml:space="preserve">przedstawił </w:t>
      </w:r>
      <w:r w:rsidR="002E22A1">
        <w:t xml:space="preserve">żadnego </w:t>
      </w:r>
      <w:r w:rsidR="00D20E39">
        <w:t xml:space="preserve">wyjaśnienia w przedmiocie niepoinformowania Trybunału o </w:t>
      </w:r>
      <w:r w:rsidR="00850245">
        <w:t>zmianach</w:t>
      </w:r>
      <w:r w:rsidR="00D20E39">
        <w:t xml:space="preserve"> w sprawie. Mając zatem na uwadze znaczenie</w:t>
      </w:r>
      <w:r w:rsidR="00380B81">
        <w:t>, jakie</w:t>
      </w:r>
      <w:r w:rsidR="007C133F">
        <w:t> </w:t>
      </w:r>
      <w:r w:rsidR="00380B81">
        <w:t>ma niedopełnienie</w:t>
      </w:r>
      <w:r w:rsidR="00E71C4B">
        <w:t xml:space="preserve"> tego</w:t>
      </w:r>
      <w:r w:rsidR="00D20E39">
        <w:t xml:space="preserve"> obowiązku </w:t>
      </w:r>
      <w:r w:rsidR="00380B81">
        <w:t>leżącego po stronie skarżącej dla</w:t>
      </w:r>
      <w:r w:rsidR="007C133F">
        <w:t> </w:t>
      </w:r>
      <w:r w:rsidR="00380B81">
        <w:t>prawidłowego rozpatrzenia niniejszej sprawy</w:t>
      </w:r>
      <w:r w:rsidR="00914F2F">
        <w:t>,</w:t>
      </w:r>
      <w:r w:rsidR="00E84C75">
        <w:t xml:space="preserve"> oraz w</w:t>
      </w:r>
      <w:r w:rsidR="00AC024E">
        <w:t>obec</w:t>
      </w:r>
      <w:r w:rsidR="00E84C75">
        <w:t xml:space="preserve"> braku z</w:t>
      </w:r>
      <w:r w:rsidR="00AC7DA6">
        <w:t xml:space="preserve"> </w:t>
      </w:r>
      <w:r w:rsidR="00D20E39">
        <w:t>jej strony jakichkolwiek uwag dotyczących</w:t>
      </w:r>
      <w:r w:rsidR="00380B81">
        <w:t xml:space="preserve"> tej kwestii</w:t>
      </w:r>
      <w:r w:rsidR="00D20E39">
        <w:t>, Trybunał stwierdza, iż</w:t>
      </w:r>
      <w:r w:rsidR="007C133F">
        <w:t> </w:t>
      </w:r>
      <w:r w:rsidR="00380B81">
        <w:t xml:space="preserve">takie postępowanie </w:t>
      </w:r>
      <w:r w:rsidR="00D20E39">
        <w:t>stał</w:t>
      </w:r>
      <w:r w:rsidR="00380B81">
        <w:t>o</w:t>
      </w:r>
      <w:r w:rsidR="00D20E39">
        <w:t xml:space="preserve"> w sprzeczności z celem prawa do skargi indywidu</w:t>
      </w:r>
      <w:r w:rsidR="00D0096E">
        <w:t xml:space="preserve">alnej, </w:t>
      </w:r>
      <w:r w:rsidR="00380B81">
        <w:t>przewidzianego w</w:t>
      </w:r>
      <w:r w:rsidR="00AC7DA6">
        <w:t xml:space="preserve"> </w:t>
      </w:r>
      <w:r w:rsidR="00D20E39">
        <w:t>art.</w:t>
      </w:r>
      <w:r w:rsidR="00AC7DA6">
        <w:t xml:space="preserve"> </w:t>
      </w:r>
      <w:r w:rsidR="00D20E39">
        <w:t>34 Konwencji.</w:t>
      </w:r>
    </w:p>
    <w:p w14:paraId="29C83037" w14:textId="77777777" w:rsidR="00D20E39" w:rsidRPr="00CC427D" w:rsidRDefault="00D20E39" w:rsidP="00CC427D">
      <w:pPr>
        <w:pStyle w:val="JuParaLast"/>
      </w:pPr>
      <w:r>
        <w:t>Z powyższych względów Trybunał jednogłośnie:</w:t>
      </w:r>
    </w:p>
    <w:p w14:paraId="7FEE65E0" w14:textId="77777777" w:rsidR="00D20E39" w:rsidRPr="00CC427D" w:rsidRDefault="00D20E39" w:rsidP="00CC427D">
      <w:pPr>
        <w:pStyle w:val="DecList"/>
        <w:keepNext/>
        <w:keepLines/>
      </w:pPr>
      <w:r>
        <w:rPr>
          <w:i/>
          <w:iCs/>
        </w:rPr>
        <w:t>uznaje</w:t>
      </w:r>
      <w:r>
        <w:t xml:space="preserve"> skargę za niedopuszczalną.</w:t>
      </w:r>
    </w:p>
    <w:p w14:paraId="77C72F8B" w14:textId="4F806AF4" w:rsidR="009912DE" w:rsidRPr="00CC427D" w:rsidRDefault="006267D3" w:rsidP="00CC427D">
      <w:pPr>
        <w:pStyle w:val="JuParaLast"/>
      </w:pPr>
      <w:r>
        <w:t>Sporządzono w języku angielskim i obwieszczono w dniu 27</w:t>
      </w:r>
      <w:r w:rsidR="00AC7DA6">
        <w:t xml:space="preserve"> </w:t>
      </w:r>
      <w:r>
        <w:t>lutego 2020</w:t>
      </w:r>
      <w:r w:rsidR="007C133F">
        <w:t> </w:t>
      </w:r>
      <w:r>
        <w:t>r.</w:t>
      </w:r>
    </w:p>
    <w:p w14:paraId="2F77DA5D" w14:textId="2237589B" w:rsidR="00206A52" w:rsidRPr="00CC427D" w:rsidRDefault="006267D3" w:rsidP="00CC427D">
      <w:pPr>
        <w:pStyle w:val="JuSigned"/>
        <w:keepNext/>
        <w:keepLines/>
        <w:tabs>
          <w:tab w:val="clear" w:pos="851"/>
          <w:tab w:val="clear" w:pos="6407"/>
          <w:tab w:val="center" w:pos="1276"/>
          <w:tab w:val="center" w:pos="5812"/>
        </w:tabs>
      </w:pPr>
      <w:r>
        <w:tab/>
        <w:t>Renata Degener</w:t>
      </w:r>
      <w:r>
        <w:tab/>
        <w:t>Pere Pastor Vilanova</w:t>
      </w:r>
      <w:r>
        <w:br/>
      </w:r>
      <w:r>
        <w:tab/>
        <w:t>Zastępczyni Kanclerza</w:t>
      </w:r>
      <w:r>
        <w:tab/>
        <w:t>Przewodnicząc</w:t>
      </w:r>
      <w:r w:rsidR="00E71C4B">
        <w:t>y</w:t>
      </w:r>
    </w:p>
    <w:sectPr w:rsidR="00206A52" w:rsidRPr="00CC427D" w:rsidSect="0076040F">
      <w:headerReference w:type="even" r:id="rId11"/>
      <w:head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D3A9A" w14:textId="77777777" w:rsidR="00634D44" w:rsidRDefault="00634D44">
      <w:r>
        <w:separator/>
      </w:r>
    </w:p>
  </w:endnote>
  <w:endnote w:type="continuationSeparator" w:id="0">
    <w:p w14:paraId="3A1461F9" w14:textId="77777777" w:rsidR="00634D44" w:rsidRDefault="00634D44">
      <w:r>
        <w:continuationSeparator/>
      </w:r>
    </w:p>
  </w:endnote>
  <w:endnote w:type="continuationNotice" w:id="1">
    <w:p w14:paraId="74BD0E2C" w14:textId="77777777" w:rsidR="00634D44" w:rsidRDefault="00634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A0A6E" w14:textId="77777777" w:rsidR="00D20E39" w:rsidRPr="00150BFA" w:rsidRDefault="00D20E39" w:rsidP="0020718E">
    <w:pPr>
      <w:jc w:val="center"/>
    </w:pPr>
    <w:r>
      <w:rPr>
        <w:noProof/>
        <w:lang w:eastAsia="pl-PL"/>
      </w:rPr>
      <w:drawing>
        <wp:inline distT="0" distB="0" distL="0" distR="0" wp14:anchorId="69D31ED1" wp14:editId="63521522">
          <wp:extent cx="771525" cy="619125"/>
          <wp:effectExtent l="0" t="0" r="9525" b="9525"/>
          <wp:docPr id="21" name="Picture 2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6F298D" w14:textId="77777777" w:rsidR="00F05C7B" w:rsidRPr="00700638" w:rsidRDefault="00BA7D9C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8AD83" w14:textId="77777777" w:rsidR="00634D44" w:rsidRDefault="00634D44">
      <w:r>
        <w:separator/>
      </w:r>
    </w:p>
  </w:footnote>
  <w:footnote w:type="continuationSeparator" w:id="0">
    <w:p w14:paraId="4ED15446" w14:textId="77777777" w:rsidR="00634D44" w:rsidRDefault="00634D44">
      <w:r>
        <w:continuationSeparator/>
      </w:r>
    </w:p>
  </w:footnote>
  <w:footnote w:type="continuationNotice" w:id="1">
    <w:p w14:paraId="0652EFC8" w14:textId="77777777" w:rsidR="00634D44" w:rsidRDefault="00634D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8DA67" w14:textId="2DA9792C" w:rsidR="00F05C7B" w:rsidRPr="00700638" w:rsidRDefault="00D20E39" w:rsidP="0076040F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75AE7">
      <w:rPr>
        <w:rStyle w:val="Numerstrony"/>
        <w:noProof/>
      </w:rPr>
      <w:t>4</w:t>
    </w:r>
    <w:r>
      <w:rPr>
        <w:rStyle w:val="Numerstrony"/>
      </w:rPr>
      <w:fldChar w:fldCharType="end"/>
    </w:r>
    <w:r>
      <w:tab/>
      <w:t>DECYZJA W SPRAWIE TRACZ-SMOCZYŃSKA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514B5" w14:textId="11A71281" w:rsidR="00F05C7B" w:rsidRPr="00700638" w:rsidRDefault="006267D3" w:rsidP="0076040F">
    <w:pPr>
      <w:pStyle w:val="JuHeader"/>
    </w:pPr>
    <w:r>
      <w:tab/>
      <w:t>DECYZJA W SP</w:t>
    </w:r>
    <w:r w:rsidR="00F10D71">
      <w:t>RAWIE TRACZ-SMOCZYŃSKA PRZECIWKO</w:t>
    </w:r>
    <w:r>
      <w:t xml:space="preserve"> POLSCE</w:t>
    </w:r>
    <w:r>
      <w:tab/>
    </w:r>
    <w:r w:rsidR="00D20E39">
      <w:rPr>
        <w:rStyle w:val="Numerstrony"/>
      </w:rPr>
      <w:fldChar w:fldCharType="begin"/>
    </w:r>
    <w:r w:rsidR="00D20E39">
      <w:rPr>
        <w:rStyle w:val="Numerstrony"/>
      </w:rPr>
      <w:instrText xml:space="preserve"> PAGE </w:instrText>
    </w:r>
    <w:r w:rsidR="00D20E39">
      <w:rPr>
        <w:rStyle w:val="Numerstrony"/>
      </w:rPr>
      <w:fldChar w:fldCharType="separate"/>
    </w:r>
    <w:r w:rsidR="00875AE7">
      <w:rPr>
        <w:rStyle w:val="Numerstrony"/>
        <w:noProof/>
      </w:rPr>
      <w:t>5</w:t>
    </w:r>
    <w:r w:rsidR="00D20E39"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56142" w14:textId="77777777" w:rsidR="00D20E39" w:rsidRPr="00A45145" w:rsidRDefault="00D20E39" w:rsidP="00A45145">
    <w:pPr>
      <w:jc w:val="center"/>
    </w:pPr>
    <w:r>
      <w:rPr>
        <w:noProof/>
        <w:lang w:eastAsia="pl-PL"/>
      </w:rPr>
      <w:drawing>
        <wp:inline distT="0" distB="0" distL="0" distR="0" wp14:anchorId="591DAB48" wp14:editId="6240C50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0D161" w14:textId="77777777" w:rsidR="00F05C7B" w:rsidRPr="00700638" w:rsidRDefault="00BA7D9C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BB25E0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9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0" w15:restartNumberingAfterBreak="0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21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2"/>
  </w:num>
  <w:num w:numId="2">
    <w:abstractNumId w:val="22"/>
  </w:num>
  <w:num w:numId="3">
    <w:abstractNumId w:val="16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2"/>
  </w:num>
  <w:num w:numId="17">
    <w:abstractNumId w:val="20"/>
  </w:num>
  <w:num w:numId="18">
    <w:abstractNumId w:val="20"/>
  </w:num>
  <w:num w:numId="19">
    <w:abstractNumId w:val="20"/>
  </w:num>
  <w:num w:numId="20">
    <w:abstractNumId w:val="20"/>
  </w:num>
  <w:num w:numId="21">
    <w:abstractNumId w:val="20"/>
  </w:num>
  <w:num w:numId="22">
    <w:abstractNumId w:val="20"/>
  </w:num>
  <w:num w:numId="23">
    <w:abstractNumId w:val="20"/>
  </w:num>
  <w:num w:numId="24">
    <w:abstractNumId w:val="20"/>
  </w:num>
  <w:num w:numId="25">
    <w:abstractNumId w:val="15"/>
  </w:num>
  <w:num w:numId="26">
    <w:abstractNumId w:val="15"/>
  </w:num>
  <w:num w:numId="27">
    <w:abstractNumId w:val="15"/>
  </w:num>
  <w:num w:numId="28">
    <w:abstractNumId w:val="17"/>
  </w:num>
  <w:num w:numId="29">
    <w:abstractNumId w:val="13"/>
  </w:num>
  <w:num w:numId="30">
    <w:abstractNumId w:val="12"/>
  </w:num>
  <w:num w:numId="31">
    <w:abstractNumId w:val="18"/>
  </w:num>
  <w:num w:numId="32">
    <w:abstractNumId w:val="14"/>
  </w:num>
  <w:num w:numId="33">
    <w:abstractNumId w:val="19"/>
  </w:num>
  <w:num w:numId="34">
    <w:abstractNumId w:val="21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Q3NLUwN7UwMTEwMzBQ0lEKTi0uzszPAykwrAUAk2TjjiwAAAA="/>
    <w:docVar w:name="ApplicationsApp" w:val="1"/>
    <w:docVar w:name="EMM" w:val="0"/>
    <w:docVar w:name="NBEMMDOC" w:val="0"/>
  </w:docVars>
  <w:rsids>
    <w:rsidRoot w:val="00D20E39"/>
    <w:rsid w:val="000130E4"/>
    <w:rsid w:val="00015ABF"/>
    <w:rsid w:val="000547E5"/>
    <w:rsid w:val="000B19EF"/>
    <w:rsid w:val="000E3A89"/>
    <w:rsid w:val="000F7BE3"/>
    <w:rsid w:val="00126AF0"/>
    <w:rsid w:val="00130A64"/>
    <w:rsid w:val="00181651"/>
    <w:rsid w:val="001E1934"/>
    <w:rsid w:val="001F5054"/>
    <w:rsid w:val="001F5312"/>
    <w:rsid w:val="00221BE2"/>
    <w:rsid w:val="002E22A1"/>
    <w:rsid w:val="002F22DF"/>
    <w:rsid w:val="00316D50"/>
    <w:rsid w:val="00352BB2"/>
    <w:rsid w:val="0037512D"/>
    <w:rsid w:val="00380B81"/>
    <w:rsid w:val="003E3C60"/>
    <w:rsid w:val="003F6531"/>
    <w:rsid w:val="0048464E"/>
    <w:rsid w:val="004A247E"/>
    <w:rsid w:val="004B4E73"/>
    <w:rsid w:val="00544942"/>
    <w:rsid w:val="005478EF"/>
    <w:rsid w:val="0056620C"/>
    <w:rsid w:val="005A4640"/>
    <w:rsid w:val="005C6112"/>
    <w:rsid w:val="005E56C2"/>
    <w:rsid w:val="006267D3"/>
    <w:rsid w:val="00634D44"/>
    <w:rsid w:val="00645032"/>
    <w:rsid w:val="00682379"/>
    <w:rsid w:val="006B0E5F"/>
    <w:rsid w:val="006B5047"/>
    <w:rsid w:val="006E123B"/>
    <w:rsid w:val="007515B5"/>
    <w:rsid w:val="007675EB"/>
    <w:rsid w:val="00771F0F"/>
    <w:rsid w:val="0078010D"/>
    <w:rsid w:val="007C133F"/>
    <w:rsid w:val="007E09CC"/>
    <w:rsid w:val="00827B12"/>
    <w:rsid w:val="00850245"/>
    <w:rsid w:val="00871576"/>
    <w:rsid w:val="00875AE7"/>
    <w:rsid w:val="008A1A4B"/>
    <w:rsid w:val="008B5644"/>
    <w:rsid w:val="008C502D"/>
    <w:rsid w:val="008D7676"/>
    <w:rsid w:val="00914F2F"/>
    <w:rsid w:val="00933B1D"/>
    <w:rsid w:val="009612A6"/>
    <w:rsid w:val="009979BA"/>
    <w:rsid w:val="009A27A9"/>
    <w:rsid w:val="009A3B2A"/>
    <w:rsid w:val="009C21E8"/>
    <w:rsid w:val="009E01FB"/>
    <w:rsid w:val="00A22513"/>
    <w:rsid w:val="00A43C72"/>
    <w:rsid w:val="00A83EE4"/>
    <w:rsid w:val="00AA5AEE"/>
    <w:rsid w:val="00AC024E"/>
    <w:rsid w:val="00AC7DA6"/>
    <w:rsid w:val="00B65E94"/>
    <w:rsid w:val="00B674C2"/>
    <w:rsid w:val="00BA2101"/>
    <w:rsid w:val="00BA4195"/>
    <w:rsid w:val="00BA7D9C"/>
    <w:rsid w:val="00C42C12"/>
    <w:rsid w:val="00C6167E"/>
    <w:rsid w:val="00CC427D"/>
    <w:rsid w:val="00D0096E"/>
    <w:rsid w:val="00D00E4B"/>
    <w:rsid w:val="00D15907"/>
    <w:rsid w:val="00D20E39"/>
    <w:rsid w:val="00D312DE"/>
    <w:rsid w:val="00D32CA9"/>
    <w:rsid w:val="00D44F5D"/>
    <w:rsid w:val="00D546EC"/>
    <w:rsid w:val="00D677BE"/>
    <w:rsid w:val="00D758A6"/>
    <w:rsid w:val="00D84C7B"/>
    <w:rsid w:val="00DB116D"/>
    <w:rsid w:val="00DD2E16"/>
    <w:rsid w:val="00DD7272"/>
    <w:rsid w:val="00E14801"/>
    <w:rsid w:val="00E6646A"/>
    <w:rsid w:val="00E71C4B"/>
    <w:rsid w:val="00E822B5"/>
    <w:rsid w:val="00E84C75"/>
    <w:rsid w:val="00EC638D"/>
    <w:rsid w:val="00ED1B36"/>
    <w:rsid w:val="00ED22C4"/>
    <w:rsid w:val="00EF10CA"/>
    <w:rsid w:val="00EF1E92"/>
    <w:rsid w:val="00F10D71"/>
    <w:rsid w:val="00F13F79"/>
    <w:rsid w:val="00FB0D54"/>
    <w:rsid w:val="00FB199A"/>
    <w:rsid w:val="00FB4DE8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FFED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semiHidden/>
    <w:rsid w:val="009E01FB"/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E01F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E01F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E01F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E01F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E01F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E01F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E01FB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E01F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E01F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9E01FB"/>
    <w:pPr>
      <w:tabs>
        <w:tab w:val="center" w:pos="851"/>
        <w:tab w:val="center" w:pos="6407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9E01FB"/>
    <w:pPr>
      <w:ind w:firstLine="284"/>
    </w:pPr>
  </w:style>
  <w:style w:type="character" w:styleId="Numerstrony">
    <w:name w:val="page number"/>
    <w:uiPriority w:val="99"/>
    <w:semiHidden/>
    <w:rsid w:val="009E01FB"/>
    <w:rPr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E01FB"/>
    <w:rPr>
      <w:rFonts w:eastAsiaTheme="minorEastAsia"/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9E01F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9E01F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5"/>
    <w:qFormat/>
    <w:rsid w:val="009E01FB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customStyle="1" w:styleId="JuHeader">
    <w:name w:val="Ju_Header"/>
    <w:aliases w:val="_Header"/>
    <w:basedOn w:val="Nagwek"/>
    <w:uiPriority w:val="29"/>
    <w:qFormat/>
    <w:rsid w:val="009E01FB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9E01FB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E01FB"/>
    <w:rPr>
      <w:sz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rsid w:val="009E0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1FB"/>
    <w:rPr>
      <w:rFonts w:ascii="Tahoma" w:eastAsiaTheme="minorEastAsia" w:hAnsi="Tahoma" w:cs="Tahoma"/>
      <w:sz w:val="16"/>
      <w:szCs w:val="16"/>
      <w:lang w:val="pl-PL"/>
    </w:rPr>
  </w:style>
  <w:style w:type="paragraph" w:customStyle="1" w:styleId="DecList">
    <w:name w:val="Dec_List"/>
    <w:aliases w:val="_List"/>
    <w:basedOn w:val="Normalny"/>
    <w:uiPriority w:val="22"/>
    <w:rsid w:val="009C21E8"/>
    <w:pPr>
      <w:spacing w:before="280" w:after="60"/>
      <w:ind w:left="284"/>
    </w:pPr>
    <w:rPr>
      <w:rFonts w:eastAsiaTheme="minorHAnsi"/>
    </w:rPr>
  </w:style>
  <w:style w:type="paragraph" w:customStyle="1" w:styleId="NormalJustified">
    <w:name w:val="Normal_Justified"/>
    <w:basedOn w:val="Normalny"/>
    <w:semiHidden/>
    <w:rsid w:val="009E01FB"/>
    <w:pPr>
      <w:jc w:val="both"/>
    </w:pPr>
  </w:style>
  <w:style w:type="paragraph" w:customStyle="1" w:styleId="JuQuot">
    <w:name w:val="Ju_Quot"/>
    <w:aliases w:val="_Quote"/>
    <w:basedOn w:val="NormalJustified"/>
    <w:uiPriority w:val="21"/>
    <w:qFormat/>
    <w:rsid w:val="009E01FB"/>
    <w:pPr>
      <w:spacing w:before="120" w:after="120"/>
      <w:ind w:left="425" w:firstLine="142"/>
    </w:pPr>
    <w:rPr>
      <w:sz w:val="20"/>
    </w:rPr>
  </w:style>
  <w:style w:type="paragraph" w:customStyle="1" w:styleId="Title4">
    <w:name w:val="_Title_4"/>
    <w:basedOn w:val="JuPara"/>
    <w:next w:val="JuPara"/>
    <w:uiPriority w:val="35"/>
    <w:qFormat/>
    <w:rsid w:val="009E01FB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table" w:customStyle="1" w:styleId="ECHRDNTable">
    <w:name w:val="ECHR_DN_Table"/>
    <w:aliases w:val="DN_Table"/>
    <w:basedOn w:val="Standardowy"/>
    <w:uiPriority w:val="99"/>
    <w:rsid w:val="009E01F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9E01FB"/>
    <w:pPr>
      <w:numPr>
        <w:numId w:val="31"/>
      </w:numPr>
    </w:pPr>
  </w:style>
  <w:style w:type="numbering" w:customStyle="1" w:styleId="ECHRA1StyleList">
    <w:name w:val="ECHR_A1_Style_List"/>
    <w:basedOn w:val="Bezlisty"/>
    <w:uiPriority w:val="99"/>
    <w:rsid w:val="009E01FB"/>
    <w:pPr>
      <w:numPr>
        <w:numId w:val="32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20"/>
    <w:qFormat/>
    <w:rsid w:val="009E01FB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NumberedList">
    <w:name w:val="ECHR_A1_Style_Numbered_List"/>
    <w:basedOn w:val="Bezlisty"/>
    <w:rsid w:val="009E01FB"/>
    <w:pPr>
      <w:numPr>
        <w:numId w:val="33"/>
      </w:numPr>
    </w:pPr>
  </w:style>
  <w:style w:type="table" w:customStyle="1" w:styleId="ECHRHeaderTable">
    <w:name w:val="ECHR_Header_Table"/>
    <w:basedOn w:val="Standardowy"/>
    <w:uiPriority w:val="99"/>
    <w:rsid w:val="009E01FB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9E01FB"/>
    <w:pPr>
      <w:keepNext/>
      <w:keepLines/>
      <w:numPr>
        <w:numId w:val="24"/>
      </w:numPr>
      <w:spacing w:before="100" w:beforeAutospacing="1" w:after="240"/>
      <w:jc w:val="both"/>
      <w:outlineLvl w:val="0"/>
    </w:pPr>
    <w:rPr>
      <w:caps/>
      <w:sz w:val="28"/>
    </w:rPr>
  </w:style>
  <w:style w:type="paragraph" w:customStyle="1" w:styleId="JuInitialled">
    <w:name w:val="Ju_Initialled"/>
    <w:aliases w:val="_Right"/>
    <w:basedOn w:val="Normalny"/>
    <w:uiPriority w:val="30"/>
    <w:qFormat/>
    <w:rsid w:val="009E01FB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9E01FB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uiPriority w:val="34"/>
    <w:qFormat/>
    <w:rsid w:val="009E01FB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9E01F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table" w:customStyle="1" w:styleId="ECHRTable2019">
    <w:name w:val="ECHR_Table_2019"/>
    <w:basedOn w:val="Standardowy"/>
    <w:uiPriority w:val="99"/>
    <w:rsid w:val="009E01FB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JuCourt">
    <w:name w:val="Ju_Court"/>
    <w:basedOn w:val="Normalny"/>
    <w:next w:val="Normalny"/>
    <w:uiPriority w:val="31"/>
    <w:qFormat/>
    <w:rsid w:val="009E01F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9E01FB"/>
    <w:pPr>
      <w:keepNext/>
      <w:keepLines/>
      <w:numPr>
        <w:ilvl w:val="1"/>
        <w:numId w:val="24"/>
      </w:numPr>
      <w:spacing w:before="100" w:beforeAutospacing="1" w:after="240"/>
      <w:jc w:val="both"/>
      <w:outlineLvl w:val="1"/>
    </w:pPr>
    <w:rPr>
      <w:caps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E01FB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9E01FB"/>
    <w:pPr>
      <w:keepNext/>
      <w:keepLines/>
      <w:numPr>
        <w:ilvl w:val="2"/>
        <w:numId w:val="24"/>
      </w:numPr>
      <w:spacing w:before="100" w:beforeAutospacing="1" w:after="240"/>
      <w:jc w:val="both"/>
      <w:outlineLvl w:val="2"/>
    </w:pPr>
    <w:rPr>
      <w:b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E01FB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1">
    <w:name w:val="Ju_H_1."/>
    <w:aliases w:val="_Head_4"/>
    <w:basedOn w:val="Normalny"/>
    <w:next w:val="JuPara"/>
    <w:uiPriority w:val="19"/>
    <w:rsid w:val="009E01FB"/>
    <w:pPr>
      <w:keepNext/>
      <w:keepLines/>
      <w:numPr>
        <w:ilvl w:val="3"/>
        <w:numId w:val="24"/>
      </w:numPr>
      <w:spacing w:before="100" w:beforeAutospacing="1" w:after="120"/>
      <w:jc w:val="both"/>
      <w:outlineLvl w:val="3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E01FB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paragraph" w:customStyle="1" w:styleId="JuHa0">
    <w:name w:val="Ju_H_a"/>
    <w:aliases w:val="_Head_5"/>
    <w:basedOn w:val="Normalny"/>
    <w:next w:val="JuPara"/>
    <w:uiPriority w:val="19"/>
    <w:rsid w:val="009E01FB"/>
    <w:pPr>
      <w:keepNext/>
      <w:keepLines/>
      <w:numPr>
        <w:ilvl w:val="4"/>
        <w:numId w:val="24"/>
      </w:numPr>
      <w:spacing w:before="100" w:beforeAutospacing="1" w:after="120"/>
      <w:jc w:val="both"/>
      <w:outlineLvl w:val="4"/>
    </w:pPr>
    <w:rPr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E01FB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paragraph" w:customStyle="1" w:styleId="JuHi">
    <w:name w:val="Ju_H_i"/>
    <w:aliases w:val="_Head_6"/>
    <w:basedOn w:val="Normalny"/>
    <w:next w:val="JuPara"/>
    <w:uiPriority w:val="19"/>
    <w:rsid w:val="009E01FB"/>
    <w:pPr>
      <w:keepNext/>
      <w:keepLines/>
      <w:numPr>
        <w:ilvl w:val="5"/>
        <w:numId w:val="24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E01FB"/>
    <w:rPr>
      <w:rFonts w:asciiTheme="majorHAnsi" w:eastAsiaTheme="majorEastAsia" w:hAnsiTheme="majorHAnsi" w:cstheme="majorBidi"/>
      <w:b/>
      <w:bCs/>
      <w:color w:val="808080"/>
      <w:sz w:val="24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9E01FB"/>
    <w:pPr>
      <w:keepNext/>
      <w:keepLines/>
      <w:numPr>
        <w:ilvl w:val="6"/>
        <w:numId w:val="24"/>
      </w:numPr>
      <w:spacing w:before="100" w:beforeAutospacing="1" w:after="120"/>
      <w:jc w:val="both"/>
      <w:outlineLvl w:val="6"/>
    </w:pPr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E01F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paragraph" w:customStyle="1" w:styleId="JuH">
    <w:name w:val="Ju_H_–"/>
    <w:aliases w:val="_Head_8"/>
    <w:basedOn w:val="Normalny"/>
    <w:next w:val="JuPara"/>
    <w:uiPriority w:val="19"/>
    <w:rsid w:val="009E01FB"/>
    <w:pPr>
      <w:keepNext/>
      <w:keepLines/>
      <w:numPr>
        <w:ilvl w:val="7"/>
        <w:numId w:val="24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E01FB"/>
    <w:rPr>
      <w:rFonts w:asciiTheme="majorHAnsi" w:eastAsiaTheme="majorEastAsia" w:hAnsiTheme="majorHAnsi" w:cstheme="majorBidi"/>
      <w:i/>
      <w:iCs/>
      <w:sz w:val="24"/>
      <w:lang w:val="pl-PL" w:bidi="en-US"/>
    </w:rPr>
  </w:style>
  <w:style w:type="paragraph" w:customStyle="1" w:styleId="JuParaLast">
    <w:name w:val="Ju_Para_Last"/>
    <w:aliases w:val="_Para_Spaced"/>
    <w:basedOn w:val="NormalJustified"/>
    <w:uiPriority w:val="9"/>
    <w:qFormat/>
    <w:rsid w:val="009E01FB"/>
    <w:pPr>
      <w:keepNext/>
      <w:keepLines/>
      <w:spacing w:before="240" w:after="240"/>
      <w:ind w:firstLine="284"/>
    </w:pPr>
    <w:rPr>
      <w:rFonts w:eastAsiaTheme="minorHAnsi"/>
    </w:rPr>
  </w:style>
  <w:style w:type="table" w:customStyle="1" w:styleId="ECHRTableBoxHeader">
    <w:name w:val="ECHR_Table_Box_Header"/>
    <w:basedOn w:val="Standardowy"/>
    <w:rsid w:val="009E01FB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Judges">
    <w:name w:val="Ju_Judges"/>
    <w:basedOn w:val="Normalny"/>
    <w:uiPriority w:val="31"/>
    <w:qFormat/>
    <w:rsid w:val="009E01FB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9E01FB"/>
    <w:pPr>
      <w:numPr>
        <w:numId w:val="27"/>
      </w:numPr>
      <w:spacing w:before="280" w:after="60"/>
    </w:pPr>
    <w:rPr>
      <w:rFonts w:eastAsiaTheme="minorHAnsi"/>
    </w:rPr>
  </w:style>
  <w:style w:type="paragraph" w:customStyle="1" w:styleId="JuLista">
    <w:name w:val="Ju_List_a"/>
    <w:aliases w:val="_List_2"/>
    <w:basedOn w:val="NormalJustified"/>
    <w:uiPriority w:val="23"/>
    <w:rsid w:val="009E01FB"/>
    <w:pPr>
      <w:numPr>
        <w:ilvl w:val="1"/>
        <w:numId w:val="27"/>
      </w:numPr>
    </w:pPr>
  </w:style>
  <w:style w:type="paragraph" w:customStyle="1" w:styleId="JuListi">
    <w:name w:val="Ju_List_i"/>
    <w:aliases w:val="_List_3"/>
    <w:basedOn w:val="NormalJustified"/>
    <w:uiPriority w:val="23"/>
    <w:rsid w:val="009E01FB"/>
    <w:pPr>
      <w:numPr>
        <w:ilvl w:val="2"/>
        <w:numId w:val="27"/>
      </w:numPr>
    </w:pPr>
  </w:style>
  <w:style w:type="table" w:customStyle="1" w:styleId="ECHRTableFax">
    <w:name w:val="ECHR_Table_Fax"/>
    <w:basedOn w:val="Standardowy"/>
    <w:uiPriority w:val="99"/>
    <w:rsid w:val="009E01FB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9E01FB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9E01FB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E01FB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E01FB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E01F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E01FB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E01FB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E01FB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character" w:styleId="Pogrubienie">
    <w:name w:val="Strong"/>
    <w:uiPriority w:val="99"/>
    <w:semiHidden/>
    <w:qFormat/>
    <w:rsid w:val="009E01FB"/>
    <w:rPr>
      <w:b/>
      <w:bCs/>
    </w:rPr>
  </w:style>
  <w:style w:type="character" w:styleId="Uwydatnienie">
    <w:name w:val="Emphasis"/>
    <w:uiPriority w:val="99"/>
    <w:semiHidden/>
    <w:qFormat/>
    <w:rsid w:val="009E01F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9E01FB"/>
  </w:style>
  <w:style w:type="character" w:customStyle="1" w:styleId="BezodstpwZnak">
    <w:name w:val="Bez odstępów Znak"/>
    <w:basedOn w:val="Domylnaczcionkaakapitu"/>
    <w:link w:val="Bezodstpw"/>
    <w:semiHidden/>
    <w:rsid w:val="009E01FB"/>
    <w:rPr>
      <w:rFonts w:eastAsiaTheme="minorEastAsia"/>
      <w:sz w:val="24"/>
      <w:lang w:val="pl-PL"/>
    </w:rPr>
  </w:style>
  <w:style w:type="paragraph" w:styleId="Akapitzlist">
    <w:name w:val="List Paragraph"/>
    <w:basedOn w:val="Normalny"/>
    <w:uiPriority w:val="99"/>
    <w:semiHidden/>
    <w:qFormat/>
    <w:rsid w:val="009E01F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E01F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E01FB"/>
    <w:rPr>
      <w:rFonts w:eastAsiaTheme="minorEastAsia"/>
      <w:i/>
      <w:iCs/>
      <w:sz w:val="24"/>
      <w:lang w:val="pl-PL"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E01F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E01FB"/>
    <w:rPr>
      <w:rFonts w:eastAsiaTheme="minorEastAsia"/>
      <w:b/>
      <w:bCs/>
      <w:i/>
      <w:iCs/>
      <w:sz w:val="24"/>
      <w:lang w:val="pl-PL" w:bidi="en-US"/>
    </w:rPr>
  </w:style>
  <w:style w:type="character" w:styleId="Wyrnieniedelikatne">
    <w:name w:val="Subtle Emphasis"/>
    <w:uiPriority w:val="99"/>
    <w:semiHidden/>
    <w:qFormat/>
    <w:rsid w:val="009E01FB"/>
    <w:rPr>
      <w:i/>
      <w:iCs/>
    </w:rPr>
  </w:style>
  <w:style w:type="character" w:styleId="Wyrnienieintensywne">
    <w:name w:val="Intense Emphasis"/>
    <w:uiPriority w:val="99"/>
    <w:semiHidden/>
    <w:qFormat/>
    <w:rsid w:val="009E01FB"/>
    <w:rPr>
      <w:b/>
      <w:bCs/>
    </w:rPr>
  </w:style>
  <w:style w:type="character" w:styleId="Odwoaniedelikatne">
    <w:name w:val="Subtle Reference"/>
    <w:uiPriority w:val="99"/>
    <w:semiHidden/>
    <w:qFormat/>
    <w:rsid w:val="009E01FB"/>
    <w:rPr>
      <w:smallCaps/>
    </w:rPr>
  </w:style>
  <w:style w:type="character" w:styleId="Odwoanieintensywne">
    <w:name w:val="Intense Reference"/>
    <w:uiPriority w:val="99"/>
    <w:semiHidden/>
    <w:qFormat/>
    <w:rsid w:val="009E01FB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9E01FB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9"/>
    <w:semiHidden/>
    <w:qFormat/>
    <w:rsid w:val="009E01FB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9E01FB"/>
    <w:pPr>
      <w:numPr>
        <w:numId w:val="28"/>
      </w:numPr>
    </w:pPr>
  </w:style>
  <w:style w:type="numbering" w:styleId="1ai">
    <w:name w:val="Outline List 1"/>
    <w:basedOn w:val="Bezlisty"/>
    <w:uiPriority w:val="99"/>
    <w:semiHidden/>
    <w:unhideWhenUsed/>
    <w:rsid w:val="009E01FB"/>
    <w:pPr>
      <w:numPr>
        <w:numId w:val="29"/>
      </w:numPr>
    </w:pPr>
  </w:style>
  <w:style w:type="numbering" w:styleId="Artykusekcja">
    <w:name w:val="Outline List 3"/>
    <w:basedOn w:val="Bezlisty"/>
    <w:uiPriority w:val="99"/>
    <w:semiHidden/>
    <w:unhideWhenUsed/>
    <w:rsid w:val="009E01FB"/>
    <w:pPr>
      <w:numPr>
        <w:numId w:val="30"/>
      </w:numPr>
    </w:pPr>
  </w:style>
  <w:style w:type="paragraph" w:styleId="Bibliografia">
    <w:name w:val="Bibliography"/>
    <w:basedOn w:val="Normalny"/>
    <w:next w:val="Normalny"/>
    <w:uiPriority w:val="99"/>
    <w:semiHidden/>
    <w:rsid w:val="009E01FB"/>
  </w:style>
  <w:style w:type="paragraph" w:styleId="Tekstblokowy">
    <w:name w:val="Block Text"/>
    <w:basedOn w:val="Normalny"/>
    <w:uiPriority w:val="99"/>
    <w:semiHidden/>
    <w:rsid w:val="009E01F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9E01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E01F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9E01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E01FB"/>
    <w:rPr>
      <w:rFonts w:eastAsiaTheme="minorEastAsia"/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E01F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E01F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E01F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E01F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E01FB"/>
    <w:rPr>
      <w:rFonts w:eastAsiaTheme="minorEastAsia"/>
      <w:sz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E01F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E01FB"/>
    <w:rPr>
      <w:rFonts w:eastAsiaTheme="minorEastAsia"/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9"/>
    <w:semiHidden/>
    <w:qFormat/>
    <w:rsid w:val="009E01F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E01F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9E01FB"/>
    <w:rPr>
      <w:rFonts w:eastAsiaTheme="minorEastAsia"/>
      <w:sz w:val="24"/>
      <w:lang w:val="pl-PL"/>
    </w:rPr>
  </w:style>
  <w:style w:type="table" w:styleId="Kolorowasiatka">
    <w:name w:val="Colorful Grid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E01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1FB"/>
    <w:rPr>
      <w:rFonts w:eastAsiaTheme="minorEastAsia"/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E01FB"/>
  </w:style>
  <w:style w:type="character" w:customStyle="1" w:styleId="DataZnak">
    <w:name w:val="Data Znak"/>
    <w:basedOn w:val="Domylnaczcionkaakapitu"/>
    <w:link w:val="Data"/>
    <w:uiPriority w:val="99"/>
    <w:semiHidden/>
    <w:rsid w:val="009E01FB"/>
    <w:rPr>
      <w:rFonts w:eastAsiaTheme="minorEastAsia"/>
      <w:sz w:val="24"/>
      <w:lang w:val="pl-PL"/>
    </w:rPr>
  </w:style>
  <w:style w:type="paragraph" w:styleId="Mapadokumentu">
    <w:name w:val="Document Map"/>
    <w:basedOn w:val="Normalny"/>
    <w:link w:val="MapadokumentuZnak"/>
    <w:uiPriority w:val="99"/>
    <w:semiHidden/>
    <w:rsid w:val="009E01F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E01FB"/>
    <w:rPr>
      <w:rFonts w:ascii="Tahoma" w:eastAsiaTheme="minorEastAsi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9"/>
    <w:semiHidden/>
    <w:rsid w:val="009E01FB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9E01FB"/>
    <w:rPr>
      <w:rFonts w:eastAsiaTheme="minorEastAsia"/>
      <w:sz w:val="24"/>
      <w:lang w:val="pl-PL"/>
    </w:rPr>
  </w:style>
  <w:style w:type="character" w:styleId="Odwoanieprzypisukocowego">
    <w:name w:val="endnote reference"/>
    <w:basedOn w:val="Domylnaczcionkaakapitu"/>
    <w:uiPriority w:val="99"/>
    <w:semiHidden/>
    <w:rsid w:val="009E01F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E01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01FB"/>
    <w:rPr>
      <w:rFonts w:eastAsiaTheme="minorEastAsia"/>
      <w:sz w:val="20"/>
      <w:szCs w:val="20"/>
      <w:lang w:val="pl-PL"/>
    </w:rPr>
  </w:style>
  <w:style w:type="paragraph" w:styleId="Adresnakopercie">
    <w:name w:val="envelope address"/>
    <w:basedOn w:val="Normalny"/>
    <w:uiPriority w:val="99"/>
    <w:semiHidden/>
    <w:rsid w:val="009E01F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9E01F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E01FB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9E01F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E01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01FB"/>
    <w:rPr>
      <w:rFonts w:eastAsiaTheme="minorEastAsia"/>
      <w:sz w:val="20"/>
      <w:szCs w:val="20"/>
      <w:lang w:val="pl-PL"/>
    </w:rPr>
  </w:style>
  <w:style w:type="character" w:styleId="HTML-akronim">
    <w:name w:val="HTML Acronym"/>
    <w:basedOn w:val="Domylnaczcionkaakapitu"/>
    <w:uiPriority w:val="99"/>
    <w:semiHidden/>
    <w:rsid w:val="009E01FB"/>
  </w:style>
  <w:style w:type="paragraph" w:styleId="HTML-adres">
    <w:name w:val="HTML Address"/>
    <w:basedOn w:val="Normalny"/>
    <w:link w:val="HTML-adresZnak"/>
    <w:uiPriority w:val="99"/>
    <w:semiHidden/>
    <w:rsid w:val="009E01F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E01FB"/>
    <w:rPr>
      <w:rFonts w:eastAsiaTheme="minorEastAsia"/>
      <w:i/>
      <w:iCs/>
      <w:sz w:val="24"/>
      <w:lang w:val="pl-PL"/>
    </w:rPr>
  </w:style>
  <w:style w:type="character" w:styleId="HTML-cytat">
    <w:name w:val="HTML Cite"/>
    <w:basedOn w:val="Domylnaczcionkaakapitu"/>
    <w:uiPriority w:val="99"/>
    <w:semiHidden/>
    <w:rsid w:val="009E01FB"/>
    <w:rPr>
      <w:i/>
      <w:iCs/>
    </w:rPr>
  </w:style>
  <w:style w:type="character" w:styleId="HTML-kod">
    <w:name w:val="HTML Code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E01FB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E01FB"/>
    <w:rPr>
      <w:rFonts w:ascii="Consolas" w:eastAsiaTheme="minorEastAsia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9"/>
    <w:semiHidden/>
    <w:rsid w:val="009E01F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E01FB"/>
    <w:rPr>
      <w:i/>
      <w:iCs/>
    </w:rPr>
  </w:style>
  <w:style w:type="character" w:styleId="Hipercze">
    <w:name w:val="Hyperlink"/>
    <w:basedOn w:val="Domylnaczcionkaakapitu"/>
    <w:uiPriority w:val="99"/>
    <w:semiHidden/>
    <w:rsid w:val="009E01FB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rsid w:val="009E01F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9E01F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E01F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E01F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E01F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E01F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E01F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E01F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E01FB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E01F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E01F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E01FB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E01FB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E01FB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E01FB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E01FB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E01FB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E01FB"/>
  </w:style>
  <w:style w:type="paragraph" w:styleId="Lista">
    <w:name w:val="List"/>
    <w:basedOn w:val="Normalny"/>
    <w:uiPriority w:val="99"/>
    <w:semiHidden/>
    <w:rsid w:val="009E01FB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9E01FB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E01FB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E01FB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E01FB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9E01FB"/>
    <w:pPr>
      <w:numPr>
        <w:numId w:val="34"/>
      </w:numPr>
    </w:pPr>
  </w:style>
  <w:style w:type="paragraph" w:styleId="Listapunktowana2">
    <w:name w:val="List Bullet 2"/>
    <w:basedOn w:val="Normalny"/>
    <w:uiPriority w:val="99"/>
    <w:semiHidden/>
    <w:rsid w:val="009E01FB"/>
    <w:pPr>
      <w:numPr>
        <w:numId w:val="35"/>
      </w:numPr>
      <w:contextualSpacing/>
    </w:pPr>
  </w:style>
  <w:style w:type="paragraph" w:styleId="Listapunktowana3">
    <w:name w:val="List Bullet 3"/>
    <w:basedOn w:val="Normalny"/>
    <w:uiPriority w:val="99"/>
    <w:semiHidden/>
    <w:rsid w:val="009E01FB"/>
    <w:pPr>
      <w:numPr>
        <w:numId w:val="36"/>
      </w:numPr>
      <w:contextualSpacing/>
    </w:pPr>
  </w:style>
  <w:style w:type="paragraph" w:styleId="Listapunktowana4">
    <w:name w:val="List Bullet 4"/>
    <w:basedOn w:val="Normalny"/>
    <w:uiPriority w:val="99"/>
    <w:semiHidden/>
    <w:rsid w:val="009E01FB"/>
    <w:pPr>
      <w:numPr>
        <w:numId w:val="37"/>
      </w:numPr>
      <w:contextualSpacing/>
    </w:pPr>
  </w:style>
  <w:style w:type="paragraph" w:styleId="Listapunktowana5">
    <w:name w:val="List Bullet 5"/>
    <w:basedOn w:val="Normalny"/>
    <w:uiPriority w:val="99"/>
    <w:semiHidden/>
    <w:rsid w:val="009E01FB"/>
    <w:pPr>
      <w:numPr>
        <w:numId w:val="3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E01F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E01F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E01F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E01F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E01F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E01FB"/>
    <w:pPr>
      <w:numPr>
        <w:numId w:val="39"/>
      </w:numPr>
      <w:contextualSpacing/>
    </w:pPr>
  </w:style>
  <w:style w:type="paragraph" w:styleId="Listanumerowana2">
    <w:name w:val="List Number 2"/>
    <w:basedOn w:val="Normalny"/>
    <w:uiPriority w:val="99"/>
    <w:semiHidden/>
    <w:rsid w:val="009E01FB"/>
    <w:pPr>
      <w:numPr>
        <w:numId w:val="40"/>
      </w:numPr>
      <w:contextualSpacing/>
    </w:pPr>
  </w:style>
  <w:style w:type="paragraph" w:styleId="Listanumerowana3">
    <w:name w:val="List Number 3"/>
    <w:basedOn w:val="Normalny"/>
    <w:uiPriority w:val="99"/>
    <w:semiHidden/>
    <w:rsid w:val="009E01FB"/>
    <w:pPr>
      <w:numPr>
        <w:numId w:val="41"/>
      </w:numPr>
      <w:contextualSpacing/>
    </w:pPr>
  </w:style>
  <w:style w:type="paragraph" w:styleId="Listanumerowana4">
    <w:name w:val="List Number 4"/>
    <w:basedOn w:val="Normalny"/>
    <w:uiPriority w:val="99"/>
    <w:semiHidden/>
    <w:rsid w:val="009E01FB"/>
    <w:pPr>
      <w:numPr>
        <w:numId w:val="42"/>
      </w:numPr>
      <w:contextualSpacing/>
    </w:pPr>
  </w:style>
  <w:style w:type="paragraph" w:styleId="Listanumerowana5">
    <w:name w:val="List Number 5"/>
    <w:basedOn w:val="Normalny"/>
    <w:uiPriority w:val="99"/>
    <w:semiHidden/>
    <w:rsid w:val="009E01FB"/>
    <w:pPr>
      <w:numPr>
        <w:numId w:val="43"/>
      </w:numPr>
      <w:contextualSpacing/>
    </w:pPr>
  </w:style>
  <w:style w:type="paragraph" w:styleId="Tekstmakra">
    <w:name w:val="macro"/>
    <w:link w:val="TekstmakraZnak"/>
    <w:uiPriority w:val="99"/>
    <w:semiHidden/>
    <w:rsid w:val="009E01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9E01F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E01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9E01FB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9"/>
    <w:semiHidden/>
    <w:rsid w:val="009E01FB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9E01FB"/>
    <w:pPr>
      <w:ind w:left="720"/>
    </w:pPr>
  </w:style>
  <w:style w:type="table" w:customStyle="1" w:styleId="ECHRTableNoLines">
    <w:name w:val="ECHR_Table_No_Lines"/>
    <w:basedOn w:val="Standardowy"/>
    <w:uiPriority w:val="99"/>
    <w:rsid w:val="009E01FB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9E01FB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9E01F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9E01F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01FB"/>
    <w:rPr>
      <w:rFonts w:ascii="Consolas" w:eastAsiaTheme="minorEastAsia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E01FB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9E01FB"/>
    <w:rPr>
      <w:rFonts w:eastAsiaTheme="minorEastAsia"/>
      <w:sz w:val="24"/>
      <w:lang w:val="pl-PL"/>
    </w:rPr>
  </w:style>
  <w:style w:type="paragraph" w:styleId="Podpis">
    <w:name w:val="Signature"/>
    <w:basedOn w:val="Normalny"/>
    <w:link w:val="PodpisZnak"/>
    <w:uiPriority w:val="99"/>
    <w:semiHidden/>
    <w:rsid w:val="009E01F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9E01FB"/>
    <w:rPr>
      <w:rFonts w:eastAsiaTheme="minorEastAsia"/>
      <w:sz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9E01FB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E01FB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E01FB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E01FB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E01FB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E01FB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E01FB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E01FB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E01FB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E01FB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9E01FB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E01FB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E01FB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E01FB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E01FB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E01FB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E01FB"/>
  </w:style>
  <w:style w:type="table" w:styleId="Tabela-Profesjonalny">
    <w:name w:val="Table Professional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E01FB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E01FB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E01FB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E01F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E01F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9E01F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E01F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9E01FB"/>
    <w:rPr>
      <w:sz w:val="8"/>
    </w:rPr>
  </w:style>
  <w:style w:type="paragraph" w:styleId="Stopka">
    <w:name w:val="footer"/>
    <w:basedOn w:val="Normalny"/>
    <w:link w:val="StopkaZnak"/>
    <w:uiPriority w:val="57"/>
    <w:semiHidden/>
    <w:rsid w:val="009E01F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E01FB"/>
    <w:rPr>
      <w:sz w:val="24"/>
      <w:lang w:val="pl-PL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9E01F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987A6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basedOn w:val="Normalny"/>
    <w:next w:val="JuPara"/>
    <w:uiPriority w:val="31"/>
    <w:rsid w:val="009E01FB"/>
    <w:pPr>
      <w:ind w:firstLine="284"/>
    </w:pPr>
    <w:rPr>
      <w:b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9E01FB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E01FB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9E01FB"/>
    <w:rPr>
      <w:rFonts w:eastAsiaTheme="minorEastAsia"/>
      <w:sz w:val="24"/>
      <w:lang w:val="pl-PL"/>
    </w:rPr>
  </w:style>
  <w:style w:type="character" w:customStyle="1" w:styleId="JuParaChar">
    <w:name w:val="Ju_Para Char"/>
    <w:aliases w:val="_Para Char"/>
    <w:link w:val="JuPara"/>
    <w:uiPriority w:val="8"/>
    <w:rsid w:val="00D20E39"/>
    <w:rPr>
      <w:rFonts w:eastAsiaTheme="minorEastAsia"/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C9BAE-C436-496D-86C3-139C06454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7A967D-B29C-4AB1-826B-E5C4DF4A27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123D92-7423-42E4-B8A7-CAE703B1AC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A15E62-FCE1-4B8B-B54F-1DC37F61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8227</Characters>
  <Application>Microsoft Office Word</Application>
  <DocSecurity>4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2020-05-25T09:40:00Z</dcterms:created>
  <dcterms:modified xsi:type="dcterms:W3CDTF">2020-05-25T09:40:00Z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20587/13</vt:lpwstr>
  </property>
  <property fmtid="{D5CDD505-2E9C-101B-9397-08002B2CF9AE}" pid="4" name="CASEID">
    <vt:lpwstr>871099</vt:lpwstr>
  </property>
  <property fmtid="{D5CDD505-2E9C-101B-9397-08002B2CF9AE}" pid="5" name="ContentTypeId">
    <vt:lpwstr>0x010100558EB02BDB9E204AB350EDD385B68E10</vt:lpwstr>
  </property>
</Properties>
</file>