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D4293" w14:textId="77777777" w:rsidR="00115035" w:rsidRPr="00CC427D" w:rsidRDefault="00C56210" w:rsidP="00CC427D">
      <w:pPr>
        <w:jc w:val="center"/>
      </w:pPr>
      <w:bookmarkStart w:id="0" w:name="_GoBack"/>
      <w:bookmarkEnd w:id="0"/>
    </w:p>
    <w:p w14:paraId="608FCD74" w14:textId="77777777" w:rsidR="00E93FC7" w:rsidRPr="00CC427D" w:rsidRDefault="00C56210" w:rsidP="00CC427D">
      <w:pPr>
        <w:jc w:val="center"/>
        <w:rPr>
          <w:sz w:val="4"/>
          <w:szCs w:val="4"/>
        </w:rPr>
      </w:pPr>
    </w:p>
    <w:p w14:paraId="07C9C2FF" w14:textId="77777777" w:rsidR="00E93FC7" w:rsidRPr="00CC427D" w:rsidRDefault="00D20E39" w:rsidP="00CC427D">
      <w:pPr>
        <w:pStyle w:val="DecHTitle"/>
      </w:pPr>
      <w:r w:rsidRPr="00CC427D">
        <w:rPr>
          <w:szCs w:val="24"/>
        </w:rPr>
        <w:t>FIRST SECTION</w:t>
      </w:r>
    </w:p>
    <w:p w14:paraId="624A5AAB" w14:textId="77777777" w:rsidR="00E93FC7" w:rsidRPr="00CC427D" w:rsidRDefault="006267D3" w:rsidP="00CC427D">
      <w:pPr>
        <w:pStyle w:val="DecHTitle"/>
      </w:pPr>
      <w:r w:rsidRPr="00CC427D">
        <w:t>DECISION</w:t>
      </w:r>
    </w:p>
    <w:p w14:paraId="59854E80" w14:textId="77777777" w:rsidR="00EE3667" w:rsidRPr="00CC427D" w:rsidRDefault="00D20E39" w:rsidP="00CC427D">
      <w:pPr>
        <w:pStyle w:val="DecHCase"/>
        <w:rPr>
          <w:i/>
        </w:rPr>
      </w:pPr>
      <w:r w:rsidRPr="00CC427D">
        <w:t>Application no.</w:t>
      </w:r>
      <w:r w:rsidR="006267D3" w:rsidRPr="00CC427D">
        <w:t xml:space="preserve"> </w:t>
      </w:r>
      <w:r w:rsidRPr="00CC427D">
        <w:t>20587/13</w:t>
      </w:r>
      <w:r w:rsidR="006267D3" w:rsidRPr="00CC427D">
        <w:br/>
      </w:r>
      <w:r w:rsidRPr="00CC427D">
        <w:t>Monika TRACZ-SMOCZYŃSKA</w:t>
      </w:r>
      <w:r w:rsidRPr="00CC427D">
        <w:br/>
      </w:r>
      <w:r w:rsidR="006267D3" w:rsidRPr="00CC427D">
        <w:t xml:space="preserve">against </w:t>
      </w:r>
      <w:r w:rsidRPr="00CC427D">
        <w:t>Poland</w:t>
      </w:r>
    </w:p>
    <w:p w14:paraId="6A21726B" w14:textId="77777777" w:rsidR="00E93FC7" w:rsidRPr="00CC427D" w:rsidRDefault="00C56210" w:rsidP="00CC427D">
      <w:pPr>
        <w:pStyle w:val="DecList"/>
        <w:rPr>
          <w:sz w:val="2"/>
          <w:szCs w:val="2"/>
        </w:rPr>
      </w:pPr>
    </w:p>
    <w:p w14:paraId="202F5E9F" w14:textId="77777777" w:rsidR="00D20E39" w:rsidRPr="00CC427D" w:rsidRDefault="00D20E39" w:rsidP="00CC427D">
      <w:pPr>
        <w:pStyle w:val="JuPara"/>
      </w:pPr>
      <w:r w:rsidRPr="00CC427D">
        <w:t xml:space="preserve">The European Court of Human Rights (First Section), sitting on </w:t>
      </w:r>
      <w:r w:rsidR="00A43C72" w:rsidRPr="00CC427D">
        <w:t>4</w:t>
      </w:r>
      <w:r w:rsidR="001E1934" w:rsidRPr="00CC427D">
        <w:t> February 2020</w:t>
      </w:r>
      <w:r w:rsidRPr="00CC427D">
        <w:t xml:space="preserve"> as a Committee composed of:</w:t>
      </w:r>
    </w:p>
    <w:p w14:paraId="544DB4E1" w14:textId="77777777" w:rsidR="00D20E39" w:rsidRPr="00CC427D" w:rsidRDefault="001E1934" w:rsidP="00CC427D">
      <w:pPr>
        <w:pStyle w:val="JuJudges"/>
      </w:pPr>
      <w:r w:rsidRPr="00CC427D">
        <w:tab/>
        <w:t>Pere Pastor Vilanova,</w:t>
      </w:r>
      <w:r w:rsidRPr="00CC427D">
        <w:rPr>
          <w:i/>
        </w:rPr>
        <w:t xml:space="preserve"> President,</w:t>
      </w:r>
      <w:r w:rsidRPr="00CC427D">
        <w:rPr>
          <w:i/>
        </w:rPr>
        <w:br/>
      </w:r>
      <w:r w:rsidRPr="00CC427D">
        <w:tab/>
        <w:t>Krzysztof Wojtyczek,</w:t>
      </w:r>
      <w:r w:rsidRPr="00CC427D">
        <w:rPr>
          <w:i/>
        </w:rPr>
        <w:br/>
      </w:r>
      <w:r w:rsidRPr="00CC427D">
        <w:tab/>
        <w:t>Pauliine Koskelo,</w:t>
      </w:r>
      <w:r w:rsidRPr="00CC427D">
        <w:rPr>
          <w:i/>
        </w:rPr>
        <w:t xml:space="preserve"> judges,</w:t>
      </w:r>
      <w:r w:rsidRPr="00CC427D">
        <w:rPr>
          <w:i/>
        </w:rPr>
        <w:br/>
      </w:r>
      <w:r w:rsidR="00D20E39" w:rsidRPr="00CC427D">
        <w:t xml:space="preserve">and Renata Degener, </w:t>
      </w:r>
      <w:r w:rsidR="00D20E39" w:rsidRPr="00CC427D">
        <w:rPr>
          <w:i/>
        </w:rPr>
        <w:t xml:space="preserve">Deputy </w:t>
      </w:r>
      <w:r w:rsidR="00D20E39" w:rsidRPr="00CC427D">
        <w:rPr>
          <w:i/>
          <w:iCs/>
        </w:rPr>
        <w:t>Section Registrar</w:t>
      </w:r>
      <w:r w:rsidR="00D20E39" w:rsidRPr="00CC427D">
        <w:rPr>
          <w:i/>
        </w:rPr>
        <w:t>,</w:t>
      </w:r>
    </w:p>
    <w:p w14:paraId="442101A4" w14:textId="77777777" w:rsidR="00D20E39" w:rsidRPr="00CC427D" w:rsidRDefault="00D20E39" w:rsidP="00CC427D">
      <w:pPr>
        <w:pStyle w:val="JuPara"/>
      </w:pPr>
      <w:r w:rsidRPr="00CC427D">
        <w:t>Having regard to the above application lodged on 27 February 2013,</w:t>
      </w:r>
    </w:p>
    <w:p w14:paraId="4148CB9E" w14:textId="77777777" w:rsidR="00D20E39" w:rsidRPr="00CC427D" w:rsidRDefault="00D20E39" w:rsidP="00CC427D">
      <w:pPr>
        <w:pStyle w:val="JuPara"/>
      </w:pPr>
      <w:r w:rsidRPr="00CC427D">
        <w:t>Having regard to the observations submitted by the respondent Government and the observations in reply submitted by the applicant,</w:t>
      </w:r>
    </w:p>
    <w:p w14:paraId="20B83A7A" w14:textId="77777777" w:rsidR="00D20E39" w:rsidRPr="00CC427D" w:rsidRDefault="00D20E39" w:rsidP="00CC427D">
      <w:pPr>
        <w:pStyle w:val="JuPara"/>
      </w:pPr>
      <w:r w:rsidRPr="00CC427D">
        <w:t>Having deliberated, decides as follows:</w:t>
      </w:r>
    </w:p>
    <w:p w14:paraId="56A81823" w14:textId="77777777" w:rsidR="00D20E39" w:rsidRPr="00CC427D" w:rsidRDefault="00D20E39" w:rsidP="00CC427D">
      <w:pPr>
        <w:pStyle w:val="JuHHead"/>
        <w:numPr>
          <w:ilvl w:val="0"/>
          <w:numId w:val="17"/>
        </w:numPr>
      </w:pPr>
      <w:r w:rsidRPr="00CC427D">
        <w:t>THE FACTS</w:t>
      </w:r>
    </w:p>
    <w:p w14:paraId="09B2CAF0" w14:textId="77777777" w:rsidR="00D20E39" w:rsidRPr="00CC427D" w:rsidRDefault="00D20E39" w:rsidP="00CC427D">
      <w:pPr>
        <w:pStyle w:val="JuPara"/>
      </w:pPr>
      <w:r w:rsidRPr="00CC427D">
        <w:fldChar w:fldCharType="begin"/>
      </w:r>
      <w:r w:rsidRPr="00CC427D">
        <w:instrText xml:space="preserve"> SEQ level0 \*arabic </w:instrText>
      </w:r>
      <w:r w:rsidRPr="00CC427D">
        <w:fldChar w:fldCharType="separate"/>
      </w:r>
      <w:r w:rsidR="00CC427D" w:rsidRPr="00CC427D">
        <w:rPr>
          <w:noProof/>
        </w:rPr>
        <w:t>1</w:t>
      </w:r>
      <w:r w:rsidRPr="00CC427D">
        <w:fldChar w:fldCharType="end"/>
      </w:r>
      <w:r w:rsidRPr="00CC427D">
        <w:t xml:space="preserve">.  The applicant, Ms Monika </w:t>
      </w:r>
      <w:proofErr w:type="spellStart"/>
      <w:r w:rsidRPr="00CC427D">
        <w:t>Tracz-Smoczyńska</w:t>
      </w:r>
      <w:proofErr w:type="spellEnd"/>
      <w:r w:rsidRPr="00CC427D">
        <w:t xml:space="preserve">, is a Polish national, who was born in 1959 and lives in </w:t>
      </w:r>
      <w:proofErr w:type="spellStart"/>
      <w:r w:rsidRPr="00CC427D">
        <w:t>Wodzisław</w:t>
      </w:r>
      <w:proofErr w:type="spellEnd"/>
      <w:r w:rsidRPr="00CC427D">
        <w:t xml:space="preserve"> </w:t>
      </w:r>
      <w:proofErr w:type="spellStart"/>
      <w:r w:rsidRPr="00CC427D">
        <w:t>Śląski</w:t>
      </w:r>
      <w:proofErr w:type="spellEnd"/>
      <w:r w:rsidRPr="00CC427D">
        <w:t xml:space="preserve">. She was represented before the Court by Mr Z. </w:t>
      </w:r>
      <w:proofErr w:type="spellStart"/>
      <w:r w:rsidRPr="00CC427D">
        <w:t>Stęchły</w:t>
      </w:r>
      <w:proofErr w:type="spellEnd"/>
      <w:r w:rsidRPr="00CC427D">
        <w:t>, a lawyer practising in Rybnik.</w:t>
      </w:r>
    </w:p>
    <w:p w14:paraId="2B2012F5" w14:textId="77777777" w:rsidR="00D20E39" w:rsidRPr="00CC427D" w:rsidRDefault="00D20E39" w:rsidP="00CC427D">
      <w:pPr>
        <w:pStyle w:val="JuPara"/>
      </w:pPr>
      <w:r w:rsidRPr="00CC427D">
        <w:fldChar w:fldCharType="begin"/>
      </w:r>
      <w:r w:rsidRPr="00CC427D">
        <w:instrText xml:space="preserve"> SEQ level0 \*arabic </w:instrText>
      </w:r>
      <w:r w:rsidRPr="00CC427D">
        <w:fldChar w:fldCharType="separate"/>
      </w:r>
      <w:r w:rsidR="00CC427D" w:rsidRPr="00CC427D">
        <w:rPr>
          <w:noProof/>
        </w:rPr>
        <w:t>2</w:t>
      </w:r>
      <w:r w:rsidRPr="00CC427D">
        <w:fldChar w:fldCharType="end"/>
      </w:r>
      <w:r w:rsidRPr="00CC427D">
        <w:t>.  The Polish Government (“the Government”) were represented by their Agent, Ms J. Chrzanowska, and subsequently by Mr J. Sobczak, of the Ministry of Foreign Affairs.</w:t>
      </w:r>
    </w:p>
    <w:p w14:paraId="08841C92" w14:textId="77777777" w:rsidR="00D20E39" w:rsidRPr="00CC427D" w:rsidRDefault="00D20E39" w:rsidP="00CC427D">
      <w:pPr>
        <w:pStyle w:val="JuHA"/>
        <w:numPr>
          <w:ilvl w:val="2"/>
          <w:numId w:val="17"/>
        </w:numPr>
      </w:pPr>
      <w:r w:rsidRPr="00CC427D">
        <w:t>The circumstances of the case</w:t>
      </w:r>
    </w:p>
    <w:p w14:paraId="4F48BF2A" w14:textId="77777777" w:rsidR="00D20E39" w:rsidRPr="00CC427D" w:rsidRDefault="00D20E39" w:rsidP="00CC427D">
      <w:pPr>
        <w:pStyle w:val="JuPara"/>
      </w:pPr>
      <w:r w:rsidRPr="00CC427D">
        <w:fldChar w:fldCharType="begin"/>
      </w:r>
      <w:r w:rsidRPr="00CC427D">
        <w:instrText xml:space="preserve"> SEQ level0 \*arabic </w:instrText>
      </w:r>
      <w:r w:rsidRPr="00CC427D">
        <w:fldChar w:fldCharType="separate"/>
      </w:r>
      <w:r w:rsidR="00CC427D" w:rsidRPr="00CC427D">
        <w:rPr>
          <w:noProof/>
        </w:rPr>
        <w:t>3</w:t>
      </w:r>
      <w:r w:rsidRPr="00CC427D">
        <w:fldChar w:fldCharType="end"/>
      </w:r>
      <w:r w:rsidRPr="00CC427D">
        <w:t>.  The facts of the case, as submitted by the parties, may be summarised as follows.</w:t>
      </w:r>
    </w:p>
    <w:p w14:paraId="34DA9BF4" w14:textId="77777777" w:rsidR="00D20E39" w:rsidRPr="00CC427D" w:rsidRDefault="00D20E39" w:rsidP="00CC427D">
      <w:pPr>
        <w:pStyle w:val="JuH1"/>
        <w:numPr>
          <w:ilvl w:val="3"/>
          <w:numId w:val="17"/>
        </w:numPr>
      </w:pPr>
      <w:r w:rsidRPr="00CC427D">
        <w:t>Facts known prior to communication</w:t>
      </w:r>
    </w:p>
    <w:p w14:paraId="419DB67C"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4</w:t>
      </w:r>
      <w:r w:rsidRPr="00CC427D">
        <w:rPr>
          <w:lang w:eastAsia="en-GB"/>
        </w:rPr>
        <w:fldChar w:fldCharType="end"/>
      </w:r>
      <w:r w:rsidRPr="00CC427D">
        <w:rPr>
          <w:lang w:eastAsia="en-GB"/>
        </w:rPr>
        <w:t>.  On 11 April 1997 Parliament passed the Law on disclosing work for, or service in, the State</w:t>
      </w:r>
      <w:r w:rsidR="00CC427D" w:rsidRPr="00CC427D">
        <w:rPr>
          <w:lang w:eastAsia="en-GB"/>
        </w:rPr>
        <w:t>’</w:t>
      </w:r>
      <w:r w:rsidRPr="00CC427D">
        <w:rPr>
          <w:lang w:eastAsia="en-GB"/>
        </w:rPr>
        <w:t xml:space="preserve">s security services, or collaboration with them, </w:t>
      </w:r>
      <w:r w:rsidRPr="00CC427D">
        <w:rPr>
          <w:lang w:eastAsia="en-GB"/>
        </w:rPr>
        <w:lastRenderedPageBreak/>
        <w:t xml:space="preserve">between 1944 and 1990 by persons exercising public functions </w:t>
      </w:r>
      <w:r w:rsidRPr="00CC427D">
        <w:rPr>
          <w:i/>
          <w:lang w:eastAsia="en-GB"/>
        </w:rPr>
        <w:t>(</w:t>
      </w:r>
      <w:proofErr w:type="spellStart"/>
      <w:r w:rsidRPr="00CC427D">
        <w:rPr>
          <w:i/>
          <w:lang w:eastAsia="en-GB"/>
        </w:rPr>
        <w:t>ustawa</w:t>
      </w:r>
      <w:proofErr w:type="spellEnd"/>
      <w:r w:rsidRPr="00CC427D">
        <w:rPr>
          <w:i/>
          <w:lang w:eastAsia="en-GB"/>
        </w:rPr>
        <w:t xml:space="preserve"> o </w:t>
      </w:r>
      <w:proofErr w:type="spellStart"/>
      <w:r w:rsidRPr="00CC427D">
        <w:rPr>
          <w:i/>
          <w:lang w:eastAsia="en-GB"/>
        </w:rPr>
        <w:t>ujawnieniu</w:t>
      </w:r>
      <w:proofErr w:type="spellEnd"/>
      <w:r w:rsidRPr="00CC427D">
        <w:rPr>
          <w:i/>
          <w:lang w:eastAsia="en-GB"/>
        </w:rPr>
        <w:t xml:space="preserve"> </w:t>
      </w:r>
      <w:proofErr w:type="spellStart"/>
      <w:r w:rsidRPr="00CC427D">
        <w:rPr>
          <w:i/>
          <w:lang w:eastAsia="en-GB"/>
        </w:rPr>
        <w:t>pracy</w:t>
      </w:r>
      <w:proofErr w:type="spellEnd"/>
      <w:r w:rsidRPr="00CC427D">
        <w:rPr>
          <w:i/>
          <w:lang w:eastAsia="en-GB"/>
        </w:rPr>
        <w:t xml:space="preserve"> </w:t>
      </w:r>
      <w:proofErr w:type="spellStart"/>
      <w:r w:rsidRPr="00CC427D">
        <w:rPr>
          <w:i/>
          <w:lang w:eastAsia="en-GB"/>
        </w:rPr>
        <w:t>lub</w:t>
      </w:r>
      <w:proofErr w:type="spellEnd"/>
      <w:r w:rsidRPr="00CC427D">
        <w:rPr>
          <w:i/>
          <w:lang w:eastAsia="en-GB"/>
        </w:rPr>
        <w:t xml:space="preserve"> </w:t>
      </w:r>
      <w:proofErr w:type="spellStart"/>
      <w:r w:rsidRPr="00CC427D">
        <w:rPr>
          <w:i/>
          <w:lang w:eastAsia="en-GB"/>
        </w:rPr>
        <w:t>służby</w:t>
      </w:r>
      <w:proofErr w:type="spellEnd"/>
      <w:r w:rsidRPr="00CC427D">
        <w:rPr>
          <w:i/>
          <w:lang w:eastAsia="en-GB"/>
        </w:rPr>
        <w:t xml:space="preserve"> w </w:t>
      </w:r>
      <w:proofErr w:type="spellStart"/>
      <w:r w:rsidRPr="00CC427D">
        <w:rPr>
          <w:i/>
          <w:lang w:eastAsia="en-GB"/>
        </w:rPr>
        <w:t>organach</w:t>
      </w:r>
      <w:proofErr w:type="spellEnd"/>
      <w:r w:rsidRPr="00CC427D">
        <w:rPr>
          <w:i/>
          <w:lang w:eastAsia="en-GB"/>
        </w:rPr>
        <w:t xml:space="preserve"> </w:t>
      </w:r>
      <w:proofErr w:type="spellStart"/>
      <w:r w:rsidRPr="00CC427D">
        <w:rPr>
          <w:i/>
          <w:lang w:eastAsia="en-GB"/>
        </w:rPr>
        <w:t>bezpieczeństwa</w:t>
      </w:r>
      <w:proofErr w:type="spellEnd"/>
      <w:r w:rsidRPr="00CC427D">
        <w:rPr>
          <w:i/>
          <w:lang w:eastAsia="en-GB"/>
        </w:rPr>
        <w:t xml:space="preserve"> </w:t>
      </w:r>
      <w:proofErr w:type="spellStart"/>
      <w:r w:rsidRPr="00CC427D">
        <w:rPr>
          <w:i/>
          <w:lang w:eastAsia="en-GB"/>
        </w:rPr>
        <w:t>państwa</w:t>
      </w:r>
      <w:proofErr w:type="spellEnd"/>
      <w:r w:rsidRPr="00CC427D">
        <w:rPr>
          <w:i/>
          <w:lang w:eastAsia="en-GB"/>
        </w:rPr>
        <w:t xml:space="preserve"> </w:t>
      </w:r>
      <w:proofErr w:type="spellStart"/>
      <w:r w:rsidRPr="00CC427D">
        <w:rPr>
          <w:i/>
          <w:lang w:eastAsia="en-GB"/>
        </w:rPr>
        <w:t>lub</w:t>
      </w:r>
      <w:proofErr w:type="spellEnd"/>
      <w:r w:rsidRPr="00CC427D">
        <w:rPr>
          <w:i/>
          <w:lang w:eastAsia="en-GB"/>
        </w:rPr>
        <w:t xml:space="preserve"> </w:t>
      </w:r>
      <w:proofErr w:type="spellStart"/>
      <w:r w:rsidRPr="00CC427D">
        <w:rPr>
          <w:i/>
          <w:lang w:eastAsia="en-GB"/>
        </w:rPr>
        <w:t>współpracy</w:t>
      </w:r>
      <w:proofErr w:type="spellEnd"/>
      <w:r w:rsidRPr="00CC427D">
        <w:rPr>
          <w:i/>
          <w:lang w:eastAsia="en-GB"/>
        </w:rPr>
        <w:t xml:space="preserve"> z </w:t>
      </w:r>
      <w:proofErr w:type="spellStart"/>
      <w:r w:rsidRPr="00CC427D">
        <w:rPr>
          <w:i/>
          <w:lang w:eastAsia="en-GB"/>
        </w:rPr>
        <w:t>nimi</w:t>
      </w:r>
      <w:proofErr w:type="spellEnd"/>
      <w:r w:rsidRPr="00CC427D">
        <w:rPr>
          <w:i/>
          <w:lang w:eastAsia="en-GB"/>
        </w:rPr>
        <w:t xml:space="preserve"> w </w:t>
      </w:r>
      <w:proofErr w:type="spellStart"/>
      <w:r w:rsidRPr="00CC427D">
        <w:rPr>
          <w:i/>
          <w:lang w:eastAsia="en-GB"/>
        </w:rPr>
        <w:t>latach</w:t>
      </w:r>
      <w:proofErr w:type="spellEnd"/>
      <w:r w:rsidRPr="00CC427D">
        <w:rPr>
          <w:i/>
          <w:lang w:eastAsia="en-GB"/>
        </w:rPr>
        <w:t xml:space="preserve"> 1944-1990 </w:t>
      </w:r>
      <w:proofErr w:type="spellStart"/>
      <w:r w:rsidRPr="00CC427D">
        <w:rPr>
          <w:i/>
          <w:lang w:eastAsia="en-GB"/>
        </w:rPr>
        <w:t>osób</w:t>
      </w:r>
      <w:proofErr w:type="spellEnd"/>
      <w:r w:rsidRPr="00CC427D">
        <w:rPr>
          <w:i/>
          <w:lang w:eastAsia="en-GB"/>
        </w:rPr>
        <w:t xml:space="preserve"> </w:t>
      </w:r>
      <w:proofErr w:type="spellStart"/>
      <w:r w:rsidRPr="00CC427D">
        <w:rPr>
          <w:i/>
          <w:lang w:eastAsia="en-GB"/>
        </w:rPr>
        <w:t>pełniących</w:t>
      </w:r>
      <w:proofErr w:type="spellEnd"/>
      <w:r w:rsidRPr="00CC427D">
        <w:rPr>
          <w:i/>
          <w:lang w:eastAsia="en-GB"/>
        </w:rPr>
        <w:t xml:space="preserve"> </w:t>
      </w:r>
      <w:proofErr w:type="spellStart"/>
      <w:r w:rsidRPr="00CC427D">
        <w:rPr>
          <w:i/>
          <w:lang w:eastAsia="en-GB"/>
        </w:rPr>
        <w:t>funkcje</w:t>
      </w:r>
      <w:proofErr w:type="spellEnd"/>
      <w:r w:rsidRPr="00CC427D">
        <w:rPr>
          <w:i/>
          <w:lang w:eastAsia="en-GB"/>
        </w:rPr>
        <w:t xml:space="preserve"> </w:t>
      </w:r>
      <w:proofErr w:type="spellStart"/>
      <w:r w:rsidRPr="00CC427D">
        <w:rPr>
          <w:i/>
          <w:lang w:eastAsia="en-GB"/>
        </w:rPr>
        <w:t>publiczne</w:t>
      </w:r>
      <w:proofErr w:type="spellEnd"/>
      <w:r w:rsidR="001E1934" w:rsidRPr="00CC427D">
        <w:rPr>
          <w:lang w:eastAsia="en-GB"/>
        </w:rPr>
        <w:t xml:space="preserve">  </w:t>
      </w:r>
      <w:r w:rsidR="001E1934" w:rsidRPr="00CC427D">
        <w:rPr>
          <w:lang w:eastAsia="en-GB"/>
        </w:rPr>
        <w:noBreakHyphen/>
        <w:t> </w:t>
      </w:r>
      <w:r w:rsidRPr="00CC427D">
        <w:rPr>
          <w:lang w:eastAsia="en-GB"/>
        </w:rPr>
        <w:t>“the 1997 Lustration Act”). It entered into force on 3 August 1997. Persons falling under the provisions of the 1997 Lustration Act – that is to say judges, among others – were required to declare whether or not they had worked for or collaborated with the security services during the communist regime. The applicant made a declaration that she had not collaborated with the security services during the communist regime.</w:t>
      </w:r>
    </w:p>
    <w:p w14:paraId="5A6E7A87"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5</w:t>
      </w:r>
      <w:r w:rsidRPr="00CC427D">
        <w:rPr>
          <w:lang w:eastAsia="en-GB"/>
        </w:rPr>
        <w:fldChar w:fldCharType="end"/>
      </w:r>
      <w:r w:rsidRPr="00CC427D">
        <w:rPr>
          <w:lang w:eastAsia="en-GB"/>
        </w:rPr>
        <w:t>.  On an unspecified date the Commissioner of the Public Interest (</w:t>
      </w:r>
      <w:proofErr w:type="spellStart"/>
      <w:r w:rsidRPr="00CC427D">
        <w:rPr>
          <w:i/>
          <w:lang w:eastAsia="en-GB"/>
        </w:rPr>
        <w:t>Rzecznik</w:t>
      </w:r>
      <w:proofErr w:type="spellEnd"/>
      <w:r w:rsidRPr="00CC427D">
        <w:rPr>
          <w:i/>
          <w:lang w:eastAsia="en-GB"/>
        </w:rPr>
        <w:t xml:space="preserve"> </w:t>
      </w:r>
      <w:proofErr w:type="spellStart"/>
      <w:r w:rsidRPr="00CC427D">
        <w:rPr>
          <w:i/>
          <w:lang w:eastAsia="en-GB"/>
        </w:rPr>
        <w:t>Interesu</w:t>
      </w:r>
      <w:proofErr w:type="spellEnd"/>
      <w:r w:rsidRPr="00CC427D">
        <w:rPr>
          <w:i/>
          <w:lang w:eastAsia="en-GB"/>
        </w:rPr>
        <w:t xml:space="preserve"> </w:t>
      </w:r>
      <w:proofErr w:type="spellStart"/>
      <w:r w:rsidRPr="00CC427D">
        <w:rPr>
          <w:i/>
          <w:lang w:eastAsia="en-GB"/>
        </w:rPr>
        <w:t>Publicznego</w:t>
      </w:r>
      <w:proofErr w:type="spellEnd"/>
      <w:r w:rsidRPr="00CC427D">
        <w:rPr>
          <w:lang w:eastAsia="en-GB"/>
        </w:rPr>
        <w:t>) applied to the Warsaw Court of Appeal (</w:t>
      </w:r>
      <w:proofErr w:type="spellStart"/>
      <w:r w:rsidRPr="00CC427D">
        <w:rPr>
          <w:i/>
          <w:lang w:eastAsia="en-GB"/>
        </w:rPr>
        <w:t>Sąd</w:t>
      </w:r>
      <w:proofErr w:type="spellEnd"/>
      <w:r w:rsidRPr="00CC427D">
        <w:rPr>
          <w:i/>
          <w:lang w:eastAsia="en-GB"/>
        </w:rPr>
        <w:t xml:space="preserve"> </w:t>
      </w:r>
      <w:proofErr w:type="spellStart"/>
      <w:r w:rsidRPr="00CC427D">
        <w:rPr>
          <w:i/>
          <w:lang w:eastAsia="en-GB"/>
        </w:rPr>
        <w:t>Apelacyjny</w:t>
      </w:r>
      <w:proofErr w:type="spellEnd"/>
      <w:r w:rsidRPr="00CC427D">
        <w:rPr>
          <w:lang w:eastAsia="en-GB"/>
        </w:rPr>
        <w:t>) to institute lustration proceedings against the applicant on the grounds that she had lied in her lustration declaration by denying that she had collaborated with the secret services. On 29 November 2006 the Warsaw Court of Appeal decided to allow the Commissioner</w:t>
      </w:r>
      <w:r w:rsidR="00CC427D" w:rsidRPr="00CC427D">
        <w:rPr>
          <w:lang w:eastAsia="en-GB"/>
        </w:rPr>
        <w:t>’</w:t>
      </w:r>
      <w:r w:rsidRPr="00CC427D">
        <w:rPr>
          <w:lang w:eastAsia="en-GB"/>
        </w:rPr>
        <w:t>s application and instituted lustration proceedings against the applicant.</w:t>
      </w:r>
    </w:p>
    <w:p w14:paraId="5B5F71D2"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6</w:t>
      </w:r>
      <w:r w:rsidRPr="00CC427D">
        <w:rPr>
          <w:lang w:eastAsia="en-GB"/>
        </w:rPr>
        <w:fldChar w:fldCharType="end"/>
      </w:r>
      <w:r w:rsidRPr="00CC427D">
        <w:rPr>
          <w:lang w:eastAsia="en-GB"/>
        </w:rPr>
        <w:t>.  On 13 March 2007 the Warsaw Court of Appeal, acting as the first</w:t>
      </w:r>
      <w:r w:rsidRPr="00CC427D">
        <w:rPr>
          <w:lang w:eastAsia="en-GB"/>
        </w:rPr>
        <w:noBreakHyphen/>
        <w:t>instance lustration court, found that the applicant had submitted an untrue lustration declaration. The applicant and her lawyer appealed.</w:t>
      </w:r>
    </w:p>
    <w:p w14:paraId="779E6AE4"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7</w:t>
      </w:r>
      <w:r w:rsidRPr="00CC427D">
        <w:rPr>
          <w:lang w:eastAsia="en-GB"/>
        </w:rPr>
        <w:fldChar w:fldCharType="end"/>
      </w:r>
      <w:r w:rsidRPr="00CC427D">
        <w:rPr>
          <w:lang w:eastAsia="en-GB"/>
        </w:rPr>
        <w:t>.  On 27 September 2007 the Katowice Court of Appeal, acting as the second-instance lustration court, quashed the challenged judgment and remitted the case to the Katowice Regional Court (</w:t>
      </w:r>
      <w:proofErr w:type="spellStart"/>
      <w:r w:rsidRPr="00CC427D">
        <w:rPr>
          <w:i/>
          <w:lang w:eastAsia="en-GB"/>
        </w:rPr>
        <w:t>Sąd</w:t>
      </w:r>
      <w:proofErr w:type="spellEnd"/>
      <w:r w:rsidRPr="00CC427D">
        <w:rPr>
          <w:i/>
          <w:lang w:eastAsia="en-GB"/>
        </w:rPr>
        <w:t xml:space="preserve"> </w:t>
      </w:r>
      <w:proofErr w:type="spellStart"/>
      <w:r w:rsidRPr="00CC427D">
        <w:rPr>
          <w:i/>
          <w:lang w:eastAsia="en-GB"/>
        </w:rPr>
        <w:t>Okręgowy</w:t>
      </w:r>
      <w:proofErr w:type="spellEnd"/>
      <w:r w:rsidRPr="00CC427D">
        <w:rPr>
          <w:lang w:eastAsia="en-GB"/>
        </w:rPr>
        <w:t>).</w:t>
      </w:r>
    </w:p>
    <w:p w14:paraId="1377925C"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8</w:t>
      </w:r>
      <w:r w:rsidRPr="00CC427D">
        <w:rPr>
          <w:lang w:eastAsia="en-GB"/>
        </w:rPr>
        <w:fldChar w:fldCharType="end"/>
      </w:r>
      <w:r w:rsidRPr="00CC427D">
        <w:rPr>
          <w:lang w:eastAsia="en-GB"/>
        </w:rPr>
        <w:t>.  On 8 October 2008 the Katowice Regional Court found that the applicant had submitted an untrue lustration declaration. The applicant, her lawyer and the prosecutor all appealed.</w:t>
      </w:r>
    </w:p>
    <w:p w14:paraId="6D368BB1"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9</w:t>
      </w:r>
      <w:r w:rsidRPr="00CC427D">
        <w:rPr>
          <w:lang w:eastAsia="en-GB"/>
        </w:rPr>
        <w:fldChar w:fldCharType="end"/>
      </w:r>
      <w:r w:rsidRPr="00CC427D">
        <w:rPr>
          <w:lang w:eastAsia="en-GB"/>
        </w:rPr>
        <w:t>.  On 5 February 2009 the Katowice Court of Appeal quashed the challenged judgment and remitted the case to the Katowice Regional Court.</w:t>
      </w:r>
    </w:p>
    <w:p w14:paraId="6099EEF3"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10</w:t>
      </w:r>
      <w:r w:rsidRPr="00CC427D">
        <w:rPr>
          <w:lang w:eastAsia="en-GB"/>
        </w:rPr>
        <w:fldChar w:fldCharType="end"/>
      </w:r>
      <w:r w:rsidRPr="00CC427D">
        <w:rPr>
          <w:lang w:eastAsia="en-GB"/>
        </w:rPr>
        <w:t>.  On 17 August 2010 the Katowice Regional Court again found that the applicant had submitted an untrue lustration declaration.</w:t>
      </w:r>
    </w:p>
    <w:p w14:paraId="0C70BE9E"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11</w:t>
      </w:r>
      <w:r w:rsidRPr="00CC427D">
        <w:rPr>
          <w:lang w:eastAsia="en-GB"/>
        </w:rPr>
        <w:fldChar w:fldCharType="end"/>
      </w:r>
      <w:r w:rsidRPr="00CC427D">
        <w:rPr>
          <w:lang w:eastAsia="en-GB"/>
        </w:rPr>
        <w:t>.  On 20 October 2011 the Katowice Court of Appeal upheld the impugned judgment, with a minor amendment regarding the legal basis of that judgment.</w:t>
      </w:r>
    </w:p>
    <w:p w14:paraId="5C4D5ACF"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12</w:t>
      </w:r>
      <w:r w:rsidRPr="00CC427D">
        <w:rPr>
          <w:lang w:eastAsia="en-GB"/>
        </w:rPr>
        <w:fldChar w:fldCharType="end"/>
      </w:r>
      <w:r w:rsidRPr="00CC427D">
        <w:rPr>
          <w:lang w:eastAsia="en-GB"/>
        </w:rPr>
        <w:t>.  The applicant lodged a cassation appeal against the judgment. On 6 November 2012 the Supreme Court (</w:t>
      </w:r>
      <w:proofErr w:type="spellStart"/>
      <w:r w:rsidRPr="00CC427D">
        <w:rPr>
          <w:i/>
          <w:lang w:eastAsia="en-GB"/>
        </w:rPr>
        <w:t>Sąd</w:t>
      </w:r>
      <w:proofErr w:type="spellEnd"/>
      <w:r w:rsidRPr="00CC427D">
        <w:rPr>
          <w:i/>
          <w:lang w:eastAsia="en-GB"/>
        </w:rPr>
        <w:t xml:space="preserve"> </w:t>
      </w:r>
      <w:proofErr w:type="spellStart"/>
      <w:r w:rsidRPr="00CC427D">
        <w:rPr>
          <w:i/>
          <w:lang w:eastAsia="en-GB"/>
        </w:rPr>
        <w:t>Najwyższy</w:t>
      </w:r>
      <w:proofErr w:type="spellEnd"/>
      <w:r w:rsidRPr="00CC427D">
        <w:rPr>
          <w:lang w:eastAsia="en-GB"/>
        </w:rPr>
        <w:t>) dismissed her cassation appeal as manifestly ill-founded.</w:t>
      </w:r>
    </w:p>
    <w:bookmarkStart w:id="1" w:name="constcourt"/>
    <w:p w14:paraId="1EA1A5DF"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13</w:t>
      </w:r>
      <w:r w:rsidRPr="00CC427D">
        <w:rPr>
          <w:lang w:eastAsia="en-GB"/>
        </w:rPr>
        <w:fldChar w:fldCharType="end"/>
      </w:r>
      <w:bookmarkEnd w:id="1"/>
      <w:r w:rsidRPr="00CC427D">
        <w:rPr>
          <w:lang w:eastAsia="en-GB"/>
        </w:rPr>
        <w:t xml:space="preserve">.  By a letter of 12 August 2015 the applicant lodged a request with the Supreme Court for the reopening of the lustration proceedings. She relied on a Constitutional Court judgment of 2 April 2015, which had ruled that </w:t>
      </w:r>
      <w:r w:rsidRPr="00CC427D">
        <w:rPr>
          <w:lang w:val="en-US" w:eastAsia="en-GB"/>
        </w:rPr>
        <w:t>a judge</w:t>
      </w:r>
      <w:r w:rsidR="00CC427D" w:rsidRPr="00CC427D">
        <w:rPr>
          <w:lang w:val="en-US" w:eastAsia="en-GB"/>
        </w:rPr>
        <w:t>’</w:t>
      </w:r>
      <w:r w:rsidRPr="00CC427D">
        <w:rPr>
          <w:lang w:val="en-US" w:eastAsia="en-GB"/>
        </w:rPr>
        <w:t>s immunity had to be waived by the relevant authority before the institution of lustration proceedings</w:t>
      </w:r>
      <w:r w:rsidRPr="00CC427D">
        <w:rPr>
          <w:lang w:eastAsia="en-GB"/>
        </w:rPr>
        <w:t>. On 19 November 2015 the Supreme Court refused that request, ruling that it had not been lodged in a manner in accordance with formal requirements.</w:t>
      </w:r>
    </w:p>
    <w:p w14:paraId="3A651A5A" w14:textId="77777777" w:rsidR="00D20E39" w:rsidRPr="00CC427D" w:rsidRDefault="00D20E39" w:rsidP="00CC427D">
      <w:pPr>
        <w:pStyle w:val="JuH1"/>
        <w:numPr>
          <w:ilvl w:val="3"/>
          <w:numId w:val="17"/>
        </w:numPr>
      </w:pPr>
      <w:r w:rsidRPr="00CC427D">
        <w:lastRenderedPageBreak/>
        <w:t xml:space="preserve"> Facts submitted by the Government after the communication</w:t>
      </w:r>
    </w:p>
    <w:p w14:paraId="53B0CD54" w14:textId="77777777" w:rsidR="00D20E39" w:rsidRPr="00CC427D" w:rsidRDefault="00D20E39" w:rsidP="00CC427D">
      <w:pPr>
        <w:pStyle w:val="JuPara"/>
      </w:pPr>
      <w:r w:rsidRPr="00CC427D">
        <w:fldChar w:fldCharType="begin"/>
      </w:r>
      <w:r w:rsidRPr="00CC427D">
        <w:instrText xml:space="preserve"> SEQ level0 \*arabic </w:instrText>
      </w:r>
      <w:r w:rsidRPr="00CC427D">
        <w:fldChar w:fldCharType="separate"/>
      </w:r>
      <w:r w:rsidR="00CC427D" w:rsidRPr="00CC427D">
        <w:rPr>
          <w:noProof/>
        </w:rPr>
        <w:t>14</w:t>
      </w:r>
      <w:r w:rsidRPr="00CC427D">
        <w:fldChar w:fldCharType="end"/>
      </w:r>
      <w:r w:rsidRPr="00CC427D">
        <w:t>.  On an unspecified later date the applicant, represented by a court-appointed lawyer, lodged a second request with the Supreme Court for the reopening of the lustration proceedings.</w:t>
      </w:r>
    </w:p>
    <w:p w14:paraId="40C1F92A" w14:textId="77777777" w:rsidR="00D20E39" w:rsidRPr="00CC427D" w:rsidRDefault="00D20E39" w:rsidP="00CC427D">
      <w:pPr>
        <w:pStyle w:val="JuPara"/>
      </w:pPr>
      <w:r w:rsidRPr="00CC427D">
        <w:fldChar w:fldCharType="begin"/>
      </w:r>
      <w:r w:rsidRPr="00CC427D">
        <w:instrText xml:space="preserve"> SEQ level0 \*arabic </w:instrText>
      </w:r>
      <w:r w:rsidRPr="00CC427D">
        <w:fldChar w:fldCharType="separate"/>
      </w:r>
      <w:r w:rsidR="00CC427D" w:rsidRPr="00CC427D">
        <w:rPr>
          <w:noProof/>
        </w:rPr>
        <w:t>15</w:t>
      </w:r>
      <w:r w:rsidRPr="00CC427D">
        <w:fldChar w:fldCharType="end"/>
      </w:r>
      <w:r w:rsidRPr="00CC427D">
        <w:t>.  On 26 April 2016 the Supreme Court reopened the proceedings, quashed all the previous judgments, and discontinued the lustration proceedings against the applicant. The Supreme Court cited the Constitutional Court</w:t>
      </w:r>
      <w:r w:rsidR="00CC427D" w:rsidRPr="00CC427D">
        <w:t>’</w:t>
      </w:r>
      <w:r w:rsidRPr="00CC427D">
        <w:t>s judgment of 2 April 2015 and found that in the applicant</w:t>
      </w:r>
      <w:r w:rsidR="00CC427D" w:rsidRPr="00CC427D">
        <w:t>’</w:t>
      </w:r>
      <w:r w:rsidRPr="00CC427D">
        <w:t xml:space="preserve">s case the required waiver of her above-mentioned immunity had not been issued (see paragraph </w:t>
      </w:r>
      <w:r w:rsidRPr="00CC427D">
        <w:fldChar w:fldCharType="begin"/>
      </w:r>
      <w:r w:rsidRPr="00CC427D">
        <w:instrText xml:space="preserve"> REF constcourt \h  \* MERGEFORMAT </w:instrText>
      </w:r>
      <w:r w:rsidRPr="00CC427D">
        <w:fldChar w:fldCharType="separate"/>
      </w:r>
      <w:r w:rsidR="00CC427D" w:rsidRPr="00CC427D">
        <w:rPr>
          <w:rFonts w:ascii="Times New Roman" w:eastAsia="Times New Roman" w:hAnsi="Times New Roman" w:cs="Times New Roman"/>
          <w:lang w:eastAsia="en-GB"/>
        </w:rPr>
        <w:t>13</w:t>
      </w:r>
      <w:r w:rsidRPr="00CC427D">
        <w:fldChar w:fldCharType="end"/>
      </w:r>
      <w:r w:rsidRPr="00CC427D">
        <w:t xml:space="preserve"> above).</w:t>
      </w:r>
    </w:p>
    <w:p w14:paraId="6C809E71" w14:textId="77777777" w:rsidR="00D20E39" w:rsidRPr="00CC427D" w:rsidRDefault="00D20E39" w:rsidP="00CC427D">
      <w:pPr>
        <w:pStyle w:val="JuHA"/>
        <w:numPr>
          <w:ilvl w:val="2"/>
          <w:numId w:val="17"/>
        </w:numPr>
      </w:pPr>
      <w:r w:rsidRPr="00CC427D">
        <w:t>Relevant domestic law and practice</w:t>
      </w:r>
    </w:p>
    <w:p w14:paraId="1D4B3B41" w14:textId="77777777" w:rsidR="00D20E39" w:rsidRPr="00CC427D" w:rsidRDefault="00D20E39" w:rsidP="00CC427D">
      <w:pPr>
        <w:pStyle w:val="JuPara"/>
      </w:pPr>
      <w:r w:rsidRPr="00CC427D">
        <w:rPr>
          <w:lang w:val="en-US"/>
        </w:rPr>
        <w:fldChar w:fldCharType="begin"/>
      </w:r>
      <w:r w:rsidRPr="00CC427D">
        <w:rPr>
          <w:lang w:val="en-US"/>
        </w:rPr>
        <w:instrText xml:space="preserve"> SEQ level0 \*arabic </w:instrText>
      </w:r>
      <w:r w:rsidRPr="00CC427D">
        <w:rPr>
          <w:lang w:val="en-US"/>
        </w:rPr>
        <w:fldChar w:fldCharType="separate"/>
      </w:r>
      <w:r w:rsidR="00CC427D" w:rsidRPr="00CC427D">
        <w:rPr>
          <w:noProof/>
          <w:lang w:val="en-US"/>
        </w:rPr>
        <w:t>16</w:t>
      </w:r>
      <w:r w:rsidRPr="00CC427D">
        <w:rPr>
          <w:lang w:val="en-US"/>
        </w:rPr>
        <w:fldChar w:fldCharType="end"/>
      </w:r>
      <w:r w:rsidRPr="00CC427D">
        <w:rPr>
          <w:lang w:val="en-US"/>
        </w:rPr>
        <w:t>.  The relevant law and practice concerning lustration proceedings in Poland until 15 March 2007 is set out in the Court</w:t>
      </w:r>
      <w:r w:rsidR="00CC427D" w:rsidRPr="00CC427D">
        <w:rPr>
          <w:lang w:val="en-US"/>
        </w:rPr>
        <w:t>’</w:t>
      </w:r>
      <w:r w:rsidRPr="00CC427D">
        <w:rPr>
          <w:lang w:val="en-US"/>
        </w:rPr>
        <w:t>s judgments in the cases of</w:t>
      </w:r>
      <w:r w:rsidRPr="00CC427D">
        <w:rPr>
          <w:i/>
        </w:rPr>
        <w:t xml:space="preserve"> </w:t>
      </w:r>
      <w:proofErr w:type="spellStart"/>
      <w:r w:rsidRPr="00CC427D">
        <w:rPr>
          <w:i/>
        </w:rPr>
        <w:t>Matyjek</w:t>
      </w:r>
      <w:proofErr w:type="spellEnd"/>
      <w:r w:rsidRPr="00CC427D">
        <w:rPr>
          <w:i/>
        </w:rPr>
        <w:t xml:space="preserve"> v. Poland</w:t>
      </w:r>
      <w:r w:rsidRPr="00CC427D">
        <w:t xml:space="preserve">, no. 38184/03, </w:t>
      </w:r>
      <w:r w:rsidRPr="00CC427D">
        <w:rPr>
          <w:lang w:val="en-US"/>
        </w:rPr>
        <w:t>§§ 27-39</w:t>
      </w:r>
      <w:r w:rsidRPr="00CC427D">
        <w:t>, 24 April 2007</w:t>
      </w:r>
      <w:r w:rsidRPr="00CC427D">
        <w:rPr>
          <w:lang w:val="en-US"/>
        </w:rPr>
        <w:t xml:space="preserve">, </w:t>
      </w:r>
      <w:proofErr w:type="spellStart"/>
      <w:r w:rsidR="00A43C72" w:rsidRPr="00CC427D">
        <w:rPr>
          <w:i/>
          <w:lang w:val="en-US"/>
        </w:rPr>
        <w:t>Bobek</w:t>
      </w:r>
      <w:proofErr w:type="spellEnd"/>
      <w:r w:rsidR="00A43C72" w:rsidRPr="00CC427D">
        <w:rPr>
          <w:i/>
          <w:lang w:val="en-US"/>
        </w:rPr>
        <w:t xml:space="preserve"> v. </w:t>
      </w:r>
      <w:r w:rsidRPr="00CC427D">
        <w:rPr>
          <w:i/>
          <w:lang w:val="en-US"/>
        </w:rPr>
        <w:t>Poland</w:t>
      </w:r>
      <w:r w:rsidR="00A43C72" w:rsidRPr="00CC427D">
        <w:rPr>
          <w:lang w:val="en-US"/>
        </w:rPr>
        <w:t xml:space="preserve">, no. </w:t>
      </w:r>
      <w:r w:rsidRPr="00CC427D">
        <w:rPr>
          <w:lang w:val="en-US"/>
        </w:rPr>
        <w:t>68761/01, §§ 18-43, 17 July 2007</w:t>
      </w:r>
      <w:r w:rsidR="00A43C72" w:rsidRPr="00CC427D">
        <w:rPr>
          <w:lang w:val="en-US"/>
        </w:rPr>
        <w:t>,</w:t>
      </w:r>
      <w:r w:rsidRPr="00CC427D">
        <w:rPr>
          <w:lang w:val="en-US"/>
        </w:rPr>
        <w:t xml:space="preserve"> and </w:t>
      </w:r>
      <w:proofErr w:type="spellStart"/>
      <w:r w:rsidRPr="00CC427D">
        <w:rPr>
          <w:i/>
          <w:lang w:val="en-US"/>
        </w:rPr>
        <w:t>Luboch</w:t>
      </w:r>
      <w:proofErr w:type="spellEnd"/>
      <w:r w:rsidRPr="00CC427D">
        <w:rPr>
          <w:i/>
          <w:lang w:val="en-US"/>
        </w:rPr>
        <w:t xml:space="preserve"> v. Poland</w:t>
      </w:r>
      <w:r w:rsidRPr="00CC427D">
        <w:rPr>
          <w:lang w:val="en-US"/>
        </w:rPr>
        <w:t>, no. 37469/05, §§ 28-39, 15 January 2008.</w:t>
      </w:r>
    </w:p>
    <w:p w14:paraId="6A2CFD29" w14:textId="77777777" w:rsidR="00D20E39" w:rsidRPr="00CC427D" w:rsidRDefault="00D20E39" w:rsidP="00CC427D">
      <w:pPr>
        <w:pStyle w:val="JuHHead"/>
        <w:numPr>
          <w:ilvl w:val="0"/>
          <w:numId w:val="17"/>
        </w:numPr>
      </w:pPr>
      <w:r w:rsidRPr="00CC427D">
        <w:t>COMPLAINTS</w:t>
      </w:r>
    </w:p>
    <w:p w14:paraId="5AF8F1D9" w14:textId="77777777" w:rsidR="00D20E39" w:rsidRPr="00CC427D" w:rsidRDefault="00D20E39" w:rsidP="00CC427D">
      <w:pPr>
        <w:pStyle w:val="JuPara"/>
      </w:pPr>
      <w:r w:rsidRPr="00CC427D">
        <w:fldChar w:fldCharType="begin"/>
      </w:r>
      <w:r w:rsidRPr="00CC427D">
        <w:instrText xml:space="preserve"> SEQ level0 \*arabic </w:instrText>
      </w:r>
      <w:r w:rsidRPr="00CC427D">
        <w:fldChar w:fldCharType="separate"/>
      </w:r>
      <w:r w:rsidR="00CC427D" w:rsidRPr="00CC427D">
        <w:rPr>
          <w:noProof/>
        </w:rPr>
        <w:t>17</w:t>
      </w:r>
      <w:r w:rsidRPr="00CC427D">
        <w:fldChar w:fldCharType="end"/>
      </w:r>
      <w:r w:rsidRPr="00CC427D">
        <w:t>.  The applicant complained under Article 6 §§ 1 and 3 of the Convention of the unfairness of the lustration proceedings, the infringement of her defence rights and the lack of equality of arms.</w:t>
      </w:r>
    </w:p>
    <w:p w14:paraId="1B62F783" w14:textId="77777777" w:rsidR="00D20E39" w:rsidRPr="00CC427D" w:rsidRDefault="00D20E39" w:rsidP="00CC427D">
      <w:pPr>
        <w:pStyle w:val="JuHHead"/>
        <w:numPr>
          <w:ilvl w:val="0"/>
          <w:numId w:val="17"/>
        </w:numPr>
      </w:pPr>
      <w:r w:rsidRPr="00CC427D">
        <w:t>THE LAW</w:t>
      </w:r>
    </w:p>
    <w:p w14:paraId="3EBE22B9" w14:textId="77777777" w:rsidR="00D20E39" w:rsidRPr="00CC427D" w:rsidRDefault="00D20E39" w:rsidP="00CC427D">
      <w:pPr>
        <w:pStyle w:val="JuPara"/>
      </w:pPr>
      <w:r w:rsidRPr="00CC427D">
        <w:fldChar w:fldCharType="begin"/>
      </w:r>
      <w:r w:rsidRPr="00CC427D">
        <w:instrText xml:space="preserve"> SEQ level0 \*arabic </w:instrText>
      </w:r>
      <w:r w:rsidRPr="00CC427D">
        <w:fldChar w:fldCharType="separate"/>
      </w:r>
      <w:r w:rsidR="00CC427D" w:rsidRPr="00CC427D">
        <w:rPr>
          <w:noProof/>
        </w:rPr>
        <w:t>18</w:t>
      </w:r>
      <w:r w:rsidRPr="00CC427D">
        <w:fldChar w:fldCharType="end"/>
      </w:r>
      <w:r w:rsidRPr="00CC427D">
        <w:t>.  The Government raised three preliminary objections. Firstly, referring to the final discontinuation of the proceedings ordered by the Supreme Court on 26 April 2016, they submitted that the applicant had lost her victim status. Secondly, the Government stated that the applicant</w:t>
      </w:r>
      <w:r w:rsidR="00CC427D" w:rsidRPr="00CC427D">
        <w:t>’</w:t>
      </w:r>
      <w:r w:rsidRPr="00CC427D">
        <w:t>s failure to inform the Court of such a crucial development in her case had amounted to an abuse of the right of individual petition, within the meaning of Article 35 § 3 of the Convention. Thirdly, the Government maintained that the applicant had failed to raise in the domestic proceedings – even in substance – her complaints about the alleged unfairness of the proceedings.</w:t>
      </w:r>
    </w:p>
    <w:p w14:paraId="1F46EDA6" w14:textId="77777777" w:rsidR="00D20E39" w:rsidRPr="00CC427D" w:rsidRDefault="00D20E39" w:rsidP="00CC427D">
      <w:pPr>
        <w:pStyle w:val="JuPara"/>
      </w:pPr>
      <w:r w:rsidRPr="00CC427D">
        <w:fldChar w:fldCharType="begin"/>
      </w:r>
      <w:r w:rsidRPr="00CC427D">
        <w:instrText xml:space="preserve"> SEQ level0 \*arabic </w:instrText>
      </w:r>
      <w:r w:rsidRPr="00CC427D">
        <w:fldChar w:fldCharType="separate"/>
      </w:r>
      <w:r w:rsidR="00CC427D" w:rsidRPr="00CC427D">
        <w:rPr>
          <w:noProof/>
        </w:rPr>
        <w:t>19</w:t>
      </w:r>
      <w:r w:rsidRPr="00CC427D">
        <w:fldChar w:fldCharType="end"/>
      </w:r>
      <w:r w:rsidRPr="00CC427D">
        <w:t>.  In reply, the applicant</w:t>
      </w:r>
      <w:r w:rsidR="00CC427D" w:rsidRPr="00CC427D">
        <w:t>’</w:t>
      </w:r>
      <w:r w:rsidRPr="00CC427D">
        <w:t>s representative, apart from maintaining the complaint on the merits, briefly commented on the objections regarding non-exhaustion of the domestic remedies and the applicant</w:t>
      </w:r>
      <w:r w:rsidR="00CC427D" w:rsidRPr="00CC427D">
        <w:t>’</w:t>
      </w:r>
      <w:r w:rsidRPr="00CC427D">
        <w:t>s victim status. The applicant</w:t>
      </w:r>
      <w:r w:rsidR="00CC427D" w:rsidRPr="00CC427D">
        <w:t>’</w:t>
      </w:r>
      <w:r w:rsidRPr="00CC427D">
        <w:t>s representative did not comment on the Government</w:t>
      </w:r>
      <w:r w:rsidR="00CC427D" w:rsidRPr="00CC427D">
        <w:t>’</w:t>
      </w:r>
      <w:r w:rsidRPr="00CC427D">
        <w:t>s objection regarding her having allegedly abused the right of petition due to the applicant</w:t>
      </w:r>
      <w:r w:rsidR="00CC427D" w:rsidRPr="00CC427D">
        <w:t>’</w:t>
      </w:r>
      <w:r w:rsidRPr="00CC427D">
        <w:t>s failure to inform the Court of the Supreme Court</w:t>
      </w:r>
      <w:r w:rsidR="00CC427D" w:rsidRPr="00CC427D">
        <w:t>’</w:t>
      </w:r>
      <w:r w:rsidRPr="00CC427D">
        <w:t>s judgment discontinuing the case.</w:t>
      </w:r>
    </w:p>
    <w:p w14:paraId="7F17B5FE" w14:textId="77777777" w:rsidR="00D20E39" w:rsidRPr="00CC427D" w:rsidRDefault="00D20E39" w:rsidP="00CC427D">
      <w:pPr>
        <w:pStyle w:val="JuPara"/>
        <w:rPr>
          <w:lang w:eastAsia="en-GB"/>
        </w:rPr>
      </w:pPr>
      <w:r w:rsidRPr="00CC427D">
        <w:rPr>
          <w:lang w:eastAsia="en-GB"/>
        </w:rPr>
        <w:lastRenderedPageBreak/>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20</w:t>
      </w:r>
      <w:r w:rsidRPr="00CC427D">
        <w:rPr>
          <w:lang w:eastAsia="en-GB"/>
        </w:rPr>
        <w:fldChar w:fldCharType="end"/>
      </w:r>
      <w:r w:rsidRPr="00CC427D">
        <w:rPr>
          <w:lang w:eastAsia="en-GB"/>
        </w:rPr>
        <w:t>.  The Court reiterates that an application may be rejected as abusive under Article 35 § 3 of the Convention if it was knowingly based on “untrue facts” (see, among other authorities, </w:t>
      </w:r>
      <w:r w:rsidRPr="00CC427D">
        <w:rPr>
          <w:i/>
          <w:lang w:eastAsia="en-GB"/>
        </w:rPr>
        <w:t>Jian v. Romania</w:t>
      </w:r>
      <w:r w:rsidRPr="00CC427D">
        <w:rPr>
          <w:lang w:eastAsia="en-GB"/>
        </w:rPr>
        <w:t> (</w:t>
      </w:r>
      <w:proofErr w:type="spellStart"/>
      <w:r w:rsidRPr="00CC427D">
        <w:rPr>
          <w:lang w:eastAsia="en-GB"/>
        </w:rPr>
        <w:t>dec.</w:t>
      </w:r>
      <w:proofErr w:type="spellEnd"/>
      <w:r w:rsidRPr="00CC427D">
        <w:rPr>
          <w:lang w:eastAsia="en-GB"/>
        </w:rPr>
        <w:t>), no. 46640/99, and </w:t>
      </w:r>
      <w:proofErr w:type="spellStart"/>
      <w:r w:rsidRPr="00CC427D">
        <w:rPr>
          <w:i/>
          <w:lang w:eastAsia="en-GB"/>
        </w:rPr>
        <w:t>Keretchashvili</w:t>
      </w:r>
      <w:proofErr w:type="spellEnd"/>
      <w:r w:rsidRPr="00CC427D">
        <w:rPr>
          <w:i/>
          <w:lang w:eastAsia="en-GB"/>
        </w:rPr>
        <w:t xml:space="preserve"> v. Georgia</w:t>
      </w:r>
      <w:r w:rsidRPr="00CC427D">
        <w:rPr>
          <w:lang w:eastAsia="en-GB"/>
        </w:rPr>
        <w:t> (</w:t>
      </w:r>
      <w:proofErr w:type="spellStart"/>
      <w:r w:rsidRPr="00CC427D">
        <w:rPr>
          <w:lang w:eastAsia="en-GB"/>
        </w:rPr>
        <w:t>dec.</w:t>
      </w:r>
      <w:proofErr w:type="spellEnd"/>
      <w:r w:rsidRPr="00CC427D">
        <w:rPr>
          <w:lang w:eastAsia="en-GB"/>
        </w:rPr>
        <w:t>), no. 5667/02, 2 May 2006) or if incomplete and therefore misleading information was submitted to the Court (see, among other authorities, </w:t>
      </w:r>
      <w:proofErr w:type="spellStart"/>
      <w:r w:rsidRPr="00CC427D">
        <w:rPr>
          <w:i/>
          <w:lang w:eastAsia="en-GB"/>
        </w:rPr>
        <w:t>Hüttner</w:t>
      </w:r>
      <w:proofErr w:type="spellEnd"/>
      <w:r w:rsidRPr="00CC427D">
        <w:rPr>
          <w:i/>
          <w:lang w:eastAsia="en-GB"/>
        </w:rPr>
        <w:t xml:space="preserve"> v. Germany</w:t>
      </w:r>
      <w:r w:rsidRPr="00CC427D">
        <w:rPr>
          <w:lang w:eastAsia="en-GB"/>
        </w:rPr>
        <w:t> (</w:t>
      </w:r>
      <w:proofErr w:type="spellStart"/>
      <w:r w:rsidRPr="00CC427D">
        <w:rPr>
          <w:lang w:eastAsia="en-GB"/>
        </w:rPr>
        <w:t>dec.</w:t>
      </w:r>
      <w:proofErr w:type="spellEnd"/>
      <w:r w:rsidRPr="00CC427D">
        <w:rPr>
          <w:lang w:eastAsia="en-GB"/>
        </w:rPr>
        <w:t>), no. 23130/04, 9 June 2006, and </w:t>
      </w:r>
      <w:proofErr w:type="spellStart"/>
      <w:r w:rsidRPr="00CC427D">
        <w:rPr>
          <w:i/>
          <w:lang w:eastAsia="en-GB"/>
        </w:rPr>
        <w:t>Basileo</w:t>
      </w:r>
      <w:proofErr w:type="spellEnd"/>
      <w:r w:rsidRPr="00CC427D">
        <w:rPr>
          <w:i/>
          <w:lang w:eastAsia="en-GB"/>
        </w:rPr>
        <w:t xml:space="preserve"> v. Italy</w:t>
      </w:r>
      <w:r w:rsidRPr="00CC427D">
        <w:rPr>
          <w:lang w:eastAsia="en-GB"/>
        </w:rPr>
        <w:t> (</w:t>
      </w:r>
      <w:proofErr w:type="spellStart"/>
      <w:r w:rsidRPr="00CC427D">
        <w:rPr>
          <w:lang w:eastAsia="en-GB"/>
        </w:rPr>
        <w:t>dec.</w:t>
      </w:r>
      <w:proofErr w:type="spellEnd"/>
      <w:r w:rsidRPr="00CC427D">
        <w:rPr>
          <w:lang w:eastAsia="en-GB"/>
        </w:rPr>
        <w:t>), no. 11303/02, 23 August 2011). Similarly, an application can be rejected as abusive if applicants – despite their obligation under Article 47 of the Rules of Court – fail to inform the Court about new, important developments regarding their pending applications, given that such conduct prevents the Court from ruling on the matter in question with full knowledge of the facts (see </w:t>
      </w:r>
      <w:proofErr w:type="spellStart"/>
      <w:r w:rsidRPr="00CC427D">
        <w:rPr>
          <w:i/>
          <w:lang w:eastAsia="en-GB"/>
        </w:rPr>
        <w:t>Pirtskhalaishvili</w:t>
      </w:r>
      <w:proofErr w:type="spellEnd"/>
      <w:r w:rsidRPr="00CC427D">
        <w:rPr>
          <w:i/>
          <w:lang w:eastAsia="en-GB"/>
        </w:rPr>
        <w:t xml:space="preserve"> v. Georgia</w:t>
      </w:r>
      <w:r w:rsidRPr="00CC427D">
        <w:rPr>
          <w:lang w:eastAsia="en-GB"/>
        </w:rPr>
        <w:t xml:space="preserve"> (</w:t>
      </w:r>
      <w:proofErr w:type="spellStart"/>
      <w:r w:rsidRPr="00CC427D">
        <w:rPr>
          <w:lang w:eastAsia="en-GB"/>
        </w:rPr>
        <w:t>dec.</w:t>
      </w:r>
      <w:proofErr w:type="spellEnd"/>
      <w:r w:rsidRPr="00CC427D">
        <w:rPr>
          <w:lang w:eastAsia="en-GB"/>
        </w:rPr>
        <w:t xml:space="preserve">), no. 44328/05, 29 April 2010, and </w:t>
      </w:r>
      <w:proofErr w:type="spellStart"/>
      <w:r w:rsidRPr="00CC427D">
        <w:rPr>
          <w:i/>
          <w:lang w:eastAsia="en-GB"/>
        </w:rPr>
        <w:t>Bekauri</w:t>
      </w:r>
      <w:proofErr w:type="spellEnd"/>
      <w:r w:rsidRPr="00CC427D">
        <w:rPr>
          <w:i/>
          <w:lang w:eastAsia="en-GB"/>
        </w:rPr>
        <w:t xml:space="preserve"> v. Georgia</w:t>
      </w:r>
      <w:r w:rsidRPr="00CC427D">
        <w:rPr>
          <w:lang w:eastAsia="en-GB"/>
        </w:rPr>
        <w:t> (</w:t>
      </w:r>
      <w:proofErr w:type="spellStart"/>
      <w:r w:rsidRPr="00CC427D">
        <w:rPr>
          <w:lang w:eastAsia="en-GB"/>
        </w:rPr>
        <w:t>dec.</w:t>
      </w:r>
      <w:proofErr w:type="spellEnd"/>
      <w:r w:rsidRPr="00CC427D">
        <w:rPr>
          <w:lang w:eastAsia="en-GB"/>
        </w:rPr>
        <w:t>), no. 14102/02, §§ 21</w:t>
      </w:r>
      <w:r w:rsidR="00A43C72" w:rsidRPr="00CC427D">
        <w:rPr>
          <w:lang w:eastAsia="en-GB"/>
        </w:rPr>
        <w:t>-</w:t>
      </w:r>
      <w:r w:rsidRPr="00CC427D">
        <w:rPr>
          <w:lang w:eastAsia="en-GB"/>
        </w:rPr>
        <w:t>23, 10 April 2012).</w:t>
      </w:r>
    </w:p>
    <w:p w14:paraId="4BADD66C"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21</w:t>
      </w:r>
      <w:r w:rsidRPr="00CC427D">
        <w:rPr>
          <w:lang w:eastAsia="en-GB"/>
        </w:rPr>
        <w:fldChar w:fldCharType="end"/>
      </w:r>
      <w:r w:rsidRPr="00CC427D">
        <w:rPr>
          <w:lang w:eastAsia="en-GB"/>
        </w:rPr>
        <w:t>.  Turning to the present case, the Court notes that in her application, which was lodged on 27 February 2013, the applicant complained of a violation of her right to a fair trial in the lustration proceedings that ended on 6 November 2012. On 10 April 2018 the Court communicated the applicant</w:t>
      </w:r>
      <w:r w:rsidR="00CC427D" w:rsidRPr="00CC427D">
        <w:rPr>
          <w:lang w:eastAsia="en-GB"/>
        </w:rPr>
        <w:t>’</w:t>
      </w:r>
      <w:r w:rsidRPr="00CC427D">
        <w:rPr>
          <w:lang w:eastAsia="en-GB"/>
        </w:rPr>
        <w:t>s complaint under Article 6 §§ 1 and 3 of the Convention to the respondent Government.</w:t>
      </w:r>
    </w:p>
    <w:p w14:paraId="6707BE88"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22</w:t>
      </w:r>
      <w:r w:rsidRPr="00CC427D">
        <w:rPr>
          <w:lang w:eastAsia="en-GB"/>
        </w:rPr>
        <w:fldChar w:fldCharType="end"/>
      </w:r>
      <w:r w:rsidRPr="00CC427D">
        <w:rPr>
          <w:lang w:eastAsia="en-GB"/>
        </w:rPr>
        <w:t>.  The Court learned of the reopening of the proceedings before the Supreme Court (and the decision of 26 April 2016 discontinuing the lustration proceedings in the applicant</w:t>
      </w:r>
      <w:r w:rsidR="00CC427D" w:rsidRPr="00CC427D">
        <w:rPr>
          <w:lang w:eastAsia="en-GB"/>
        </w:rPr>
        <w:t>’</w:t>
      </w:r>
      <w:r w:rsidRPr="00CC427D">
        <w:rPr>
          <w:lang w:eastAsia="en-GB"/>
        </w:rPr>
        <w:t>s case) only from the Government</w:t>
      </w:r>
      <w:r w:rsidR="00CC427D" w:rsidRPr="00CC427D">
        <w:rPr>
          <w:lang w:eastAsia="en-GB"/>
        </w:rPr>
        <w:t>’</w:t>
      </w:r>
      <w:r w:rsidRPr="00CC427D">
        <w:rPr>
          <w:lang w:eastAsia="en-GB"/>
        </w:rPr>
        <w:t>s observations.</w:t>
      </w:r>
    </w:p>
    <w:p w14:paraId="2F254452" w14:textId="77777777" w:rsidR="00D20E39" w:rsidRPr="00CC427D" w:rsidRDefault="00D20E39" w:rsidP="00CC427D">
      <w:pPr>
        <w:pStyle w:val="JuPara"/>
        <w:rPr>
          <w:lang w:eastAsia="en-GB"/>
        </w:rPr>
      </w:pPr>
      <w:r w:rsidRPr="00CC427D">
        <w:rPr>
          <w:lang w:eastAsia="en-GB"/>
        </w:rPr>
        <w:fldChar w:fldCharType="begin"/>
      </w:r>
      <w:r w:rsidRPr="00CC427D">
        <w:rPr>
          <w:lang w:eastAsia="en-GB"/>
        </w:rPr>
        <w:instrText xml:space="preserve"> SEQ level0 \*arabic </w:instrText>
      </w:r>
      <w:r w:rsidRPr="00CC427D">
        <w:rPr>
          <w:lang w:eastAsia="en-GB"/>
        </w:rPr>
        <w:fldChar w:fldCharType="separate"/>
      </w:r>
      <w:r w:rsidR="00CC427D" w:rsidRPr="00CC427D">
        <w:rPr>
          <w:noProof/>
          <w:lang w:eastAsia="en-GB"/>
        </w:rPr>
        <w:t>23</w:t>
      </w:r>
      <w:r w:rsidRPr="00CC427D">
        <w:rPr>
          <w:lang w:eastAsia="en-GB"/>
        </w:rPr>
        <w:fldChar w:fldCharType="end"/>
      </w:r>
      <w:r w:rsidRPr="00CC427D">
        <w:rPr>
          <w:lang w:eastAsia="en-GB"/>
        </w:rPr>
        <w:t>.  The Court considers that this information concerns the very essence of the applicant</w:t>
      </w:r>
      <w:r w:rsidR="00CC427D" w:rsidRPr="00CC427D">
        <w:rPr>
          <w:lang w:eastAsia="en-GB"/>
        </w:rPr>
        <w:t>’</w:t>
      </w:r>
      <w:r w:rsidRPr="00CC427D">
        <w:rPr>
          <w:lang w:eastAsia="en-GB"/>
        </w:rPr>
        <w:t xml:space="preserve">s complaint (see </w:t>
      </w:r>
      <w:proofErr w:type="spellStart"/>
      <w:r w:rsidRPr="00CC427D">
        <w:rPr>
          <w:i/>
          <w:lang w:eastAsia="en-GB"/>
        </w:rPr>
        <w:t>Predescu</w:t>
      </w:r>
      <w:proofErr w:type="spellEnd"/>
      <w:r w:rsidRPr="00CC427D">
        <w:rPr>
          <w:i/>
          <w:lang w:eastAsia="en-GB"/>
        </w:rPr>
        <w:t xml:space="preserve"> v. Romania</w:t>
      </w:r>
      <w:r w:rsidRPr="00CC427D">
        <w:rPr>
          <w:lang w:eastAsia="en-GB"/>
        </w:rPr>
        <w:t xml:space="preserve">, no. 21447/03, §§ 25-27, 2 December 2008, and </w:t>
      </w:r>
      <w:proofErr w:type="spellStart"/>
      <w:r w:rsidRPr="00CC427D">
        <w:rPr>
          <w:i/>
          <w:lang w:eastAsia="en-GB"/>
        </w:rPr>
        <w:t>Tatalović</w:t>
      </w:r>
      <w:proofErr w:type="spellEnd"/>
      <w:r w:rsidRPr="00CC427D">
        <w:rPr>
          <w:i/>
          <w:lang w:eastAsia="en-GB"/>
        </w:rPr>
        <w:t xml:space="preserve"> and </w:t>
      </w:r>
      <w:proofErr w:type="spellStart"/>
      <w:r w:rsidRPr="00CC427D">
        <w:rPr>
          <w:i/>
          <w:lang w:eastAsia="en-GB"/>
        </w:rPr>
        <w:t>Dekić</w:t>
      </w:r>
      <w:proofErr w:type="spellEnd"/>
      <w:r w:rsidRPr="00CC427D">
        <w:rPr>
          <w:i/>
          <w:lang w:eastAsia="en-GB"/>
        </w:rPr>
        <w:t xml:space="preserve"> v. Serbia</w:t>
      </w:r>
      <w:r w:rsidRPr="00CC427D">
        <w:rPr>
          <w:lang w:eastAsia="en-GB"/>
        </w:rPr>
        <w:t xml:space="preserve"> (</w:t>
      </w:r>
      <w:proofErr w:type="spellStart"/>
      <w:r w:rsidRPr="00CC427D">
        <w:rPr>
          <w:lang w:eastAsia="en-GB"/>
        </w:rPr>
        <w:t>dec.</w:t>
      </w:r>
      <w:proofErr w:type="spellEnd"/>
      <w:r w:rsidRPr="00CC427D">
        <w:rPr>
          <w:lang w:eastAsia="en-GB"/>
        </w:rPr>
        <w:t>), no. 15433/07, 29 May 2012). The Court has held within the context of lustration proceedings in Poland that “any defects which may have existed at the time of the applicant</w:t>
      </w:r>
      <w:r w:rsidR="00CC427D" w:rsidRPr="00CC427D">
        <w:rPr>
          <w:lang w:eastAsia="en-GB"/>
        </w:rPr>
        <w:t>’</w:t>
      </w:r>
      <w:r w:rsidRPr="00CC427D">
        <w:rPr>
          <w:lang w:eastAsia="en-GB"/>
        </w:rPr>
        <w:t xml:space="preserve">s trial must be considered to have been rectified by the discontinuation of the lustration proceedings” (see </w:t>
      </w:r>
      <w:r w:rsidRPr="00CC427D">
        <w:rPr>
          <w:i/>
          <w:lang w:eastAsia="en-GB"/>
        </w:rPr>
        <w:t xml:space="preserve">Józef </w:t>
      </w:r>
      <w:proofErr w:type="spellStart"/>
      <w:r w:rsidRPr="00CC427D">
        <w:rPr>
          <w:i/>
          <w:lang w:eastAsia="en-GB"/>
        </w:rPr>
        <w:t>Oleksy</w:t>
      </w:r>
      <w:proofErr w:type="spellEnd"/>
      <w:r w:rsidRPr="00CC427D">
        <w:rPr>
          <w:i/>
          <w:lang w:eastAsia="en-GB"/>
        </w:rPr>
        <w:t xml:space="preserve"> v. Poland</w:t>
      </w:r>
      <w:r w:rsidRPr="00CC427D">
        <w:rPr>
          <w:lang w:eastAsia="en-GB"/>
        </w:rPr>
        <w:t xml:space="preserve"> (</w:t>
      </w:r>
      <w:proofErr w:type="spellStart"/>
      <w:r w:rsidRPr="00CC427D">
        <w:rPr>
          <w:lang w:eastAsia="en-GB"/>
        </w:rPr>
        <w:t>dec.</w:t>
      </w:r>
      <w:proofErr w:type="spellEnd"/>
      <w:r w:rsidRPr="00CC427D">
        <w:rPr>
          <w:lang w:eastAsia="en-GB"/>
        </w:rPr>
        <w:t>), no. 1379/06, 16 June 2009). Moreover, the applicant</w:t>
      </w:r>
      <w:r w:rsidR="00CC427D" w:rsidRPr="00CC427D">
        <w:rPr>
          <w:lang w:eastAsia="en-GB"/>
        </w:rPr>
        <w:t>’</w:t>
      </w:r>
      <w:r w:rsidRPr="00CC427D">
        <w:rPr>
          <w:lang w:eastAsia="en-GB"/>
        </w:rPr>
        <w:t>s representative did not furnish any explanation whatsoever for her failure to inform the Court of new developments in the case for the period of two years which elapsed between the judgment in question and the communication of the case. Therefore, having regard to the importance of that failure on the part of the applicant for the proper determination of the present case, and in the absence of any comment by her on the matter, the Court finds that such conduct was contrary to the purpose of the right of individual petition, as provided in Article 34 of the Convention.</w:t>
      </w:r>
    </w:p>
    <w:p w14:paraId="43BABA42" w14:textId="77777777" w:rsidR="00D20E39" w:rsidRPr="00CC427D" w:rsidRDefault="00D20E39" w:rsidP="00CC427D">
      <w:pPr>
        <w:pStyle w:val="JuParaLast"/>
      </w:pPr>
      <w:r w:rsidRPr="00CC427D">
        <w:lastRenderedPageBreak/>
        <w:t>For these reasons, the Court, unanimously,</w:t>
      </w:r>
    </w:p>
    <w:p w14:paraId="6D883FDA" w14:textId="77777777" w:rsidR="00D20E39" w:rsidRPr="00CC427D" w:rsidRDefault="00D20E39" w:rsidP="00CC427D">
      <w:pPr>
        <w:pStyle w:val="DecList"/>
        <w:keepNext/>
        <w:keepLines/>
      </w:pPr>
      <w:r w:rsidRPr="00CC427D">
        <w:rPr>
          <w:i/>
        </w:rPr>
        <w:t>Declares</w:t>
      </w:r>
      <w:r w:rsidRPr="00CC427D">
        <w:t xml:space="preserve"> the application inadmissible.</w:t>
      </w:r>
    </w:p>
    <w:p w14:paraId="1F069225" w14:textId="77777777" w:rsidR="009912DE" w:rsidRPr="00CC427D" w:rsidRDefault="006267D3" w:rsidP="00CC427D">
      <w:pPr>
        <w:pStyle w:val="JuParaLast"/>
      </w:pPr>
      <w:r w:rsidRPr="00CC427D">
        <w:t xml:space="preserve">Done in English and notified in writing on </w:t>
      </w:r>
      <w:r w:rsidR="00D20E39" w:rsidRPr="00CC427D">
        <w:rPr>
          <w:szCs w:val="24"/>
        </w:rPr>
        <w:t>27 February 2020</w:t>
      </w:r>
      <w:r w:rsidRPr="00CC427D">
        <w:t>.</w:t>
      </w:r>
    </w:p>
    <w:p w14:paraId="5A216A55" w14:textId="77777777" w:rsidR="00206A52" w:rsidRPr="00CC427D" w:rsidRDefault="006267D3" w:rsidP="00CC427D">
      <w:pPr>
        <w:pStyle w:val="JuSigned"/>
        <w:keepNext/>
        <w:keepLines/>
        <w:tabs>
          <w:tab w:val="clear" w:pos="851"/>
          <w:tab w:val="clear" w:pos="6407"/>
          <w:tab w:val="center" w:pos="1276"/>
          <w:tab w:val="center" w:pos="5812"/>
        </w:tabs>
        <w:rPr>
          <w:lang w:val="it-IT"/>
        </w:rPr>
      </w:pPr>
      <w:r w:rsidRPr="00CC427D">
        <w:tab/>
      </w:r>
      <w:r w:rsidR="001E1934" w:rsidRPr="00CC427D">
        <w:rPr>
          <w:lang w:val="it-IT"/>
        </w:rPr>
        <w:t>Renata Degener</w:t>
      </w:r>
      <w:r w:rsidR="005E56C2" w:rsidRPr="00CC427D">
        <w:rPr>
          <w:lang w:val="it-IT"/>
        </w:rPr>
        <w:tab/>
      </w:r>
      <w:r w:rsidR="00D20E39" w:rsidRPr="00CC427D">
        <w:rPr>
          <w:lang w:val="it-IT"/>
        </w:rPr>
        <w:t>Pere Pastor Vilanova</w:t>
      </w:r>
      <w:r w:rsidR="005E56C2" w:rsidRPr="00CC427D">
        <w:rPr>
          <w:lang w:val="it-IT"/>
        </w:rPr>
        <w:br/>
      </w:r>
      <w:r w:rsidR="005E56C2" w:rsidRPr="00CC427D">
        <w:rPr>
          <w:lang w:val="it-IT"/>
        </w:rPr>
        <w:tab/>
      </w:r>
      <w:r w:rsidR="001E1934" w:rsidRPr="00CC427D">
        <w:rPr>
          <w:lang w:val="it-IT"/>
        </w:rPr>
        <w:t xml:space="preserve">Deputy </w:t>
      </w:r>
      <w:r w:rsidR="00D20E39" w:rsidRPr="00CC427D">
        <w:rPr>
          <w:lang w:val="it-IT"/>
        </w:rPr>
        <w:t>Registrar</w:t>
      </w:r>
      <w:r w:rsidRPr="00CC427D">
        <w:rPr>
          <w:lang w:val="it-IT"/>
        </w:rPr>
        <w:tab/>
        <w:t>President</w:t>
      </w:r>
    </w:p>
    <w:sectPr w:rsidR="00206A52" w:rsidRPr="00CC427D" w:rsidSect="0076040F">
      <w:headerReference w:type="even" r:id="rId11"/>
      <w:headerReference w:type="default" r:id="rId12"/>
      <w:headerReference w:type="first" r:id="rId13"/>
      <w:footerReference w:type="first" r:id="rId14"/>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B9AEA" w14:textId="77777777" w:rsidR="00D20E39" w:rsidRDefault="00D20E39">
      <w:r>
        <w:separator/>
      </w:r>
    </w:p>
  </w:endnote>
  <w:endnote w:type="continuationSeparator" w:id="0">
    <w:p w14:paraId="50415B47" w14:textId="77777777" w:rsidR="00D20E39" w:rsidRDefault="00D20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DCD15" w14:textId="77777777" w:rsidR="00D20E39" w:rsidRPr="00150BFA" w:rsidRDefault="00D20E39" w:rsidP="0020718E">
    <w:pPr>
      <w:jc w:val="center"/>
    </w:pPr>
    <w:r w:rsidRPr="00D20E39">
      <w:rPr>
        <w:noProof/>
        <w:lang w:val="en-US" w:eastAsia="ja-JP"/>
      </w:rPr>
      <w:drawing>
        <wp:inline distT="0" distB="0" distL="0" distR="0" wp14:anchorId="569EB37C" wp14:editId="215883C0">
          <wp:extent cx="771525" cy="619125"/>
          <wp:effectExtent l="0" t="0" r="9525" b="9525"/>
          <wp:docPr id="21" name="Picture 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BE164C3" w14:textId="77777777" w:rsidR="00F05C7B" w:rsidRPr="00700638" w:rsidRDefault="00C56210"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F9375D" w14:textId="77777777" w:rsidR="00D20E39" w:rsidRDefault="00D20E39">
      <w:r>
        <w:separator/>
      </w:r>
    </w:p>
  </w:footnote>
  <w:footnote w:type="continuationSeparator" w:id="0">
    <w:p w14:paraId="766FFA9F" w14:textId="77777777" w:rsidR="00D20E39" w:rsidRDefault="00D20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28AD4" w14:textId="77777777" w:rsidR="00F05C7B" w:rsidRPr="00700638" w:rsidRDefault="00D20E39" w:rsidP="0076040F">
    <w:pPr>
      <w:pStyle w:val="JuHeader"/>
    </w:pPr>
    <w:r>
      <w:rPr>
        <w:rStyle w:val="Numerstrony"/>
      </w:rPr>
      <w:fldChar w:fldCharType="begin"/>
    </w:r>
    <w:r>
      <w:rPr>
        <w:rStyle w:val="Numerstrony"/>
      </w:rPr>
      <w:instrText xml:space="preserve"> PAGE </w:instrText>
    </w:r>
    <w:r>
      <w:rPr>
        <w:rStyle w:val="Numerstrony"/>
      </w:rPr>
      <w:fldChar w:fldCharType="separate"/>
    </w:r>
    <w:r w:rsidR="00CC427D">
      <w:rPr>
        <w:rStyle w:val="Numerstrony"/>
        <w:noProof/>
      </w:rPr>
      <w:t>2</w:t>
    </w:r>
    <w:r>
      <w:rPr>
        <w:rStyle w:val="Numerstrony"/>
      </w:rPr>
      <w:fldChar w:fldCharType="end"/>
    </w:r>
    <w:r w:rsidR="006267D3" w:rsidRPr="00700638">
      <w:tab/>
    </w:r>
    <w:r>
      <w:t>TRACZ-SMOCZYŃSKA v. POLAND</w:t>
    </w:r>
    <w:r w:rsidR="006267D3" w:rsidRPr="00700638">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A5E9D9" w14:textId="77777777" w:rsidR="00F05C7B" w:rsidRPr="00700638" w:rsidRDefault="006267D3" w:rsidP="0076040F">
    <w:pPr>
      <w:pStyle w:val="JuHeader"/>
    </w:pPr>
    <w:r w:rsidRPr="00700638">
      <w:tab/>
    </w:r>
    <w:r w:rsidR="00D20E39">
      <w:t>TRACZ-SMOCZYŃSKA v. POLAND</w:t>
    </w:r>
    <w:r w:rsidRPr="00700638">
      <w:t xml:space="preserve"> DECISION</w:t>
    </w:r>
    <w:r w:rsidRPr="00700638">
      <w:tab/>
    </w:r>
    <w:r w:rsidR="00D20E39">
      <w:rPr>
        <w:rStyle w:val="Numerstrony"/>
      </w:rPr>
      <w:fldChar w:fldCharType="begin"/>
    </w:r>
    <w:r w:rsidR="00D20E39">
      <w:rPr>
        <w:rStyle w:val="Numerstrony"/>
      </w:rPr>
      <w:instrText xml:space="preserve"> PAGE </w:instrText>
    </w:r>
    <w:r w:rsidR="00D20E39">
      <w:rPr>
        <w:rStyle w:val="Numerstrony"/>
      </w:rPr>
      <w:fldChar w:fldCharType="separate"/>
    </w:r>
    <w:r w:rsidR="00CC427D">
      <w:rPr>
        <w:rStyle w:val="Numerstrony"/>
        <w:noProof/>
      </w:rPr>
      <w:t>5</w:t>
    </w:r>
    <w:r w:rsidR="00D20E39">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E092B" w14:textId="77777777" w:rsidR="00D20E39" w:rsidRPr="00A45145" w:rsidRDefault="00D20E39" w:rsidP="00A45145">
    <w:pPr>
      <w:jc w:val="center"/>
    </w:pPr>
    <w:r>
      <w:rPr>
        <w:noProof/>
        <w:lang w:val="en-US" w:eastAsia="ja-JP"/>
      </w:rPr>
      <w:drawing>
        <wp:inline distT="0" distB="0" distL="0" distR="0" wp14:anchorId="4F33F0C4" wp14:editId="16A86E5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A82872C" w14:textId="77777777" w:rsidR="00F05C7B" w:rsidRPr="00700638" w:rsidRDefault="00C56210"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BB25E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2"/>
  </w:num>
  <w:num w:numId="2">
    <w:abstractNumId w:val="22"/>
  </w:num>
  <w:num w:numId="3">
    <w:abstractNumId w:val="16"/>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20"/>
  </w:num>
  <w:num w:numId="18">
    <w:abstractNumId w:val="20"/>
  </w:num>
  <w:num w:numId="19">
    <w:abstractNumId w:val="20"/>
  </w:num>
  <w:num w:numId="20">
    <w:abstractNumId w:val="20"/>
  </w:num>
  <w:num w:numId="21">
    <w:abstractNumId w:val="20"/>
  </w:num>
  <w:num w:numId="22">
    <w:abstractNumId w:val="20"/>
  </w:num>
  <w:num w:numId="23">
    <w:abstractNumId w:val="20"/>
  </w:num>
  <w:num w:numId="24">
    <w:abstractNumId w:val="20"/>
  </w:num>
  <w:num w:numId="25">
    <w:abstractNumId w:val="15"/>
  </w:num>
  <w:num w:numId="26">
    <w:abstractNumId w:val="15"/>
  </w:num>
  <w:num w:numId="27">
    <w:abstractNumId w:val="15"/>
  </w:num>
  <w:num w:numId="28">
    <w:abstractNumId w:val="17"/>
  </w:num>
  <w:num w:numId="29">
    <w:abstractNumId w:val="13"/>
  </w:num>
  <w:num w:numId="30">
    <w:abstractNumId w:val="12"/>
  </w:num>
  <w:num w:numId="31">
    <w:abstractNumId w:val="18"/>
  </w:num>
  <w:num w:numId="32">
    <w:abstractNumId w:val="14"/>
  </w:num>
  <w:num w:numId="33">
    <w:abstractNumId w:val="19"/>
  </w:num>
  <w:num w:numId="34">
    <w:abstractNumId w:val="21"/>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D20E39"/>
    <w:rsid w:val="000E3A89"/>
    <w:rsid w:val="001E1934"/>
    <w:rsid w:val="003E3C60"/>
    <w:rsid w:val="004B4E73"/>
    <w:rsid w:val="00544942"/>
    <w:rsid w:val="005E56C2"/>
    <w:rsid w:val="006267D3"/>
    <w:rsid w:val="006E123B"/>
    <w:rsid w:val="007675EB"/>
    <w:rsid w:val="009C21E8"/>
    <w:rsid w:val="009E01FB"/>
    <w:rsid w:val="00A43C72"/>
    <w:rsid w:val="00AA5AEE"/>
    <w:rsid w:val="00C42C12"/>
    <w:rsid w:val="00C56210"/>
    <w:rsid w:val="00CC427D"/>
    <w:rsid w:val="00D20E39"/>
    <w:rsid w:val="00D84C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913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E01FB"/>
    <w:rPr>
      <w:rFonts w:eastAsiaTheme="minorEastAsia"/>
      <w:sz w:val="24"/>
      <w:lang w:val="en-GB"/>
    </w:rPr>
  </w:style>
  <w:style w:type="paragraph" w:styleId="Nagwek1">
    <w:name w:val="heading 1"/>
    <w:basedOn w:val="Normalny"/>
    <w:next w:val="Normalny"/>
    <w:link w:val="Nagwek1Znak"/>
    <w:uiPriority w:val="99"/>
    <w:semiHidden/>
    <w:rsid w:val="009E01F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E01F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E01F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E01F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E01F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E01F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E01F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E01F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E01F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aliases w:val="_Signature"/>
    <w:basedOn w:val="Normalny"/>
    <w:next w:val="JuPara"/>
    <w:uiPriority w:val="30"/>
    <w:qFormat/>
    <w:rsid w:val="009E01FB"/>
    <w:pPr>
      <w:tabs>
        <w:tab w:val="center" w:pos="851"/>
        <w:tab w:val="center" w:pos="6407"/>
      </w:tabs>
      <w:spacing w:before="720"/>
    </w:pPr>
  </w:style>
  <w:style w:type="paragraph" w:customStyle="1" w:styleId="JuPara">
    <w:name w:val="Ju_Para"/>
    <w:aliases w:val="_Para"/>
    <w:basedOn w:val="NormalJustified"/>
    <w:link w:val="JuParaChar"/>
    <w:uiPriority w:val="8"/>
    <w:qFormat/>
    <w:rsid w:val="009E01FB"/>
    <w:pPr>
      <w:ind w:firstLine="284"/>
    </w:pPr>
  </w:style>
  <w:style w:type="character" w:styleId="Numerstrony">
    <w:name w:val="page number"/>
    <w:uiPriority w:val="99"/>
    <w:semiHidden/>
    <w:rsid w:val="009E01FB"/>
    <w:rPr>
      <w:sz w:val="18"/>
    </w:rPr>
  </w:style>
  <w:style w:type="character" w:styleId="Odwoaniedokomentarza">
    <w:name w:val="annotation reference"/>
    <w:basedOn w:val="Domylnaczcionkaakapitu"/>
    <w:uiPriority w:val="99"/>
    <w:semiHidden/>
    <w:rsid w:val="009E01FB"/>
    <w:rPr>
      <w:sz w:val="16"/>
      <w:szCs w:val="16"/>
    </w:rPr>
  </w:style>
  <w:style w:type="paragraph" w:styleId="Tekstkomentarza">
    <w:name w:val="annotation text"/>
    <w:basedOn w:val="Normalny"/>
    <w:link w:val="TekstkomentarzaZnak"/>
    <w:semiHidden/>
    <w:rsid w:val="009E01FB"/>
    <w:rPr>
      <w:sz w:val="20"/>
      <w:szCs w:val="20"/>
    </w:rPr>
  </w:style>
  <w:style w:type="character" w:customStyle="1" w:styleId="TekstkomentarzaZnak">
    <w:name w:val="Tekst komentarza Znak"/>
    <w:basedOn w:val="Domylnaczcionkaakapitu"/>
    <w:link w:val="Tekstkomentarza"/>
    <w:semiHidden/>
    <w:rsid w:val="009E01FB"/>
    <w:rPr>
      <w:rFonts w:eastAsiaTheme="minorEastAsia"/>
      <w:sz w:val="20"/>
      <w:szCs w:val="20"/>
      <w:lang w:val="en-GB"/>
    </w:rPr>
  </w:style>
  <w:style w:type="paragraph" w:customStyle="1" w:styleId="DecHTitle">
    <w:name w:val="Dec_H_Title"/>
    <w:aliases w:val="_Title_1"/>
    <w:basedOn w:val="JuPara"/>
    <w:next w:val="JuPara"/>
    <w:uiPriority w:val="35"/>
    <w:qFormat/>
    <w:rsid w:val="009E01FB"/>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5"/>
    <w:qFormat/>
    <w:rsid w:val="009E01F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9E01FB"/>
    <w:pPr>
      <w:keepNext/>
      <w:keepLines/>
      <w:spacing w:before="1320" w:after="280"/>
      <w:contextualSpacing/>
      <w:jc w:val="center"/>
    </w:pPr>
    <w:rPr>
      <w:rFonts w:eastAsiaTheme="minorHAnsi"/>
      <w:b/>
    </w:rPr>
  </w:style>
  <w:style w:type="paragraph" w:customStyle="1" w:styleId="JuHeader">
    <w:name w:val="Ju_Header"/>
    <w:aliases w:val="_Header"/>
    <w:basedOn w:val="Nagwek"/>
    <w:uiPriority w:val="29"/>
    <w:qFormat/>
    <w:rsid w:val="009E01FB"/>
    <w:pPr>
      <w:tabs>
        <w:tab w:val="clear" w:pos="4536"/>
        <w:tab w:val="clear" w:pos="9072"/>
        <w:tab w:val="center" w:pos="3686"/>
        <w:tab w:val="right" w:pos="7371"/>
      </w:tabs>
    </w:pPr>
    <w:rPr>
      <w:sz w:val="18"/>
    </w:rPr>
  </w:style>
  <w:style w:type="paragraph" w:styleId="Nagwek">
    <w:name w:val="header"/>
    <w:basedOn w:val="Normalny"/>
    <w:link w:val="NagwekZnak"/>
    <w:uiPriority w:val="57"/>
    <w:semiHidden/>
    <w:rsid w:val="009E01F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E01FB"/>
    <w:rPr>
      <w:sz w:val="24"/>
      <w:lang w:val="en-GB"/>
    </w:rPr>
  </w:style>
  <w:style w:type="paragraph" w:styleId="Tekstdymka">
    <w:name w:val="Balloon Text"/>
    <w:basedOn w:val="Normalny"/>
    <w:link w:val="TekstdymkaZnak"/>
    <w:uiPriority w:val="99"/>
    <w:semiHidden/>
    <w:rsid w:val="009E01FB"/>
    <w:rPr>
      <w:rFonts w:ascii="Tahoma" w:hAnsi="Tahoma" w:cs="Tahoma"/>
      <w:sz w:val="16"/>
      <w:szCs w:val="16"/>
    </w:rPr>
  </w:style>
  <w:style w:type="character" w:customStyle="1" w:styleId="TekstdymkaZnak">
    <w:name w:val="Tekst dymka Znak"/>
    <w:basedOn w:val="Domylnaczcionkaakapitu"/>
    <w:link w:val="Tekstdymka"/>
    <w:uiPriority w:val="99"/>
    <w:semiHidden/>
    <w:rsid w:val="009E01FB"/>
    <w:rPr>
      <w:rFonts w:ascii="Tahoma" w:eastAsiaTheme="minorEastAsia" w:hAnsi="Tahoma" w:cs="Tahoma"/>
      <w:sz w:val="16"/>
      <w:szCs w:val="16"/>
      <w:lang w:val="en-GB"/>
    </w:rPr>
  </w:style>
  <w:style w:type="paragraph" w:customStyle="1" w:styleId="DecList">
    <w:name w:val="Dec_List"/>
    <w:aliases w:val="_List"/>
    <w:basedOn w:val="Normalny"/>
    <w:uiPriority w:val="22"/>
    <w:rsid w:val="009C21E8"/>
    <w:pPr>
      <w:spacing w:before="280" w:after="60"/>
      <w:ind w:left="284"/>
    </w:pPr>
    <w:rPr>
      <w:rFonts w:eastAsiaTheme="minorHAnsi"/>
    </w:rPr>
  </w:style>
  <w:style w:type="paragraph" w:customStyle="1" w:styleId="NormalJustified">
    <w:name w:val="Normal_Justified"/>
    <w:basedOn w:val="Normalny"/>
    <w:semiHidden/>
    <w:rsid w:val="009E01FB"/>
    <w:pPr>
      <w:jc w:val="both"/>
    </w:pPr>
  </w:style>
  <w:style w:type="paragraph" w:customStyle="1" w:styleId="JuQuot">
    <w:name w:val="Ju_Quot"/>
    <w:aliases w:val="_Quote"/>
    <w:basedOn w:val="NormalJustified"/>
    <w:uiPriority w:val="21"/>
    <w:qFormat/>
    <w:rsid w:val="009E01FB"/>
    <w:pPr>
      <w:spacing w:before="120" w:after="120"/>
      <w:ind w:left="425" w:firstLine="142"/>
    </w:pPr>
    <w:rPr>
      <w:sz w:val="20"/>
    </w:rPr>
  </w:style>
  <w:style w:type="paragraph" w:customStyle="1" w:styleId="Title4">
    <w:name w:val="_Title_4"/>
    <w:basedOn w:val="JuPara"/>
    <w:next w:val="JuPara"/>
    <w:uiPriority w:val="35"/>
    <w:qFormat/>
    <w:rsid w:val="009E01FB"/>
    <w:pPr>
      <w:keepNext/>
      <w:keepLines/>
      <w:tabs>
        <w:tab w:val="right" w:pos="7938"/>
      </w:tabs>
      <w:ind w:firstLine="0"/>
      <w:jc w:val="center"/>
    </w:pPr>
    <w:rPr>
      <w:rFonts w:eastAsiaTheme="minorHAnsi"/>
      <w:i/>
    </w:rPr>
  </w:style>
  <w:style w:type="table" w:customStyle="1" w:styleId="ECHRDNTable">
    <w:name w:val="ECHR_DN_Table"/>
    <w:aliases w:val="DN_Table"/>
    <w:basedOn w:val="Standardowy"/>
    <w:uiPriority w:val="99"/>
    <w:rsid w:val="009E01F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Bezlisty"/>
    <w:rsid w:val="009E01FB"/>
    <w:pPr>
      <w:numPr>
        <w:numId w:val="31"/>
      </w:numPr>
    </w:pPr>
  </w:style>
  <w:style w:type="numbering" w:customStyle="1" w:styleId="ECHRA1StyleList">
    <w:name w:val="ECHR_A1_Style_List"/>
    <w:basedOn w:val="Bezlisty"/>
    <w:uiPriority w:val="99"/>
    <w:rsid w:val="009E01FB"/>
    <w:pPr>
      <w:numPr>
        <w:numId w:val="32"/>
      </w:numPr>
    </w:pPr>
  </w:style>
  <w:style w:type="paragraph" w:customStyle="1" w:styleId="JuHArticle">
    <w:name w:val="Ju_H_Article"/>
    <w:aliases w:val="_Title_Quote"/>
    <w:basedOn w:val="Normalny"/>
    <w:next w:val="JuQuot"/>
    <w:uiPriority w:val="20"/>
    <w:qFormat/>
    <w:rsid w:val="009E01FB"/>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Bezlisty"/>
    <w:rsid w:val="009E01FB"/>
    <w:pPr>
      <w:numPr>
        <w:numId w:val="33"/>
      </w:numPr>
    </w:pPr>
  </w:style>
  <w:style w:type="table" w:customStyle="1" w:styleId="ECHRHeaderTable">
    <w:name w:val="ECHR_Header_Table"/>
    <w:basedOn w:val="Standardowy"/>
    <w:uiPriority w:val="99"/>
    <w:rsid w:val="009E01FB"/>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Normalny"/>
    <w:next w:val="JuPara"/>
    <w:uiPriority w:val="19"/>
    <w:qFormat/>
    <w:rsid w:val="009E01FB"/>
    <w:pPr>
      <w:keepNext/>
      <w:keepLines/>
      <w:numPr>
        <w:numId w:val="24"/>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9E01FB"/>
    <w:pPr>
      <w:tabs>
        <w:tab w:val="center" w:pos="6407"/>
      </w:tabs>
      <w:spacing w:before="720"/>
      <w:jc w:val="right"/>
    </w:pPr>
  </w:style>
  <w:style w:type="table" w:customStyle="1" w:styleId="ECHRHeaderTableReduced">
    <w:name w:val="ECHR_Header_Table_Reduced"/>
    <w:basedOn w:val="Standardowy"/>
    <w:uiPriority w:val="99"/>
    <w:rsid w:val="009E01FB"/>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uiPriority w:val="34"/>
    <w:qFormat/>
    <w:rsid w:val="009E01FB"/>
    <w:rPr>
      <w:caps w:val="0"/>
      <w:smallCaps/>
    </w:rPr>
  </w:style>
  <w:style w:type="character" w:customStyle="1" w:styleId="JuITMark">
    <w:name w:val="Ju_ITMark"/>
    <w:basedOn w:val="Domylnaczcionkaakapitu"/>
    <w:uiPriority w:val="38"/>
    <w:qFormat/>
    <w:rsid w:val="009E01FB"/>
    <w:rPr>
      <w:vanish w:val="0"/>
      <w:color w:val="auto"/>
      <w:sz w:val="14"/>
      <w:bdr w:val="none" w:sz="0" w:space="0" w:color="auto"/>
      <w:shd w:val="clear" w:color="auto" w:fill="BEE5FF" w:themeFill="background1" w:themeFillTint="33"/>
    </w:rPr>
  </w:style>
  <w:style w:type="table" w:customStyle="1" w:styleId="ECHRTable2019">
    <w:name w:val="ECHR_Table_2019"/>
    <w:basedOn w:val="Standardowy"/>
    <w:uiPriority w:val="99"/>
    <w:rsid w:val="009E01FB"/>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Court">
    <w:name w:val="Ju_Court"/>
    <w:basedOn w:val="Normalny"/>
    <w:next w:val="Normalny"/>
    <w:uiPriority w:val="31"/>
    <w:qFormat/>
    <w:rsid w:val="009E01F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9E01FB"/>
    <w:pPr>
      <w:keepNext/>
      <w:keepLines/>
      <w:numPr>
        <w:ilvl w:val="1"/>
        <w:numId w:val="24"/>
      </w:numPr>
      <w:spacing w:before="100" w:beforeAutospacing="1" w:after="240"/>
      <w:jc w:val="both"/>
      <w:outlineLvl w:val="1"/>
    </w:pPr>
    <w:rPr>
      <w:caps/>
    </w:rPr>
  </w:style>
  <w:style w:type="character" w:customStyle="1" w:styleId="Nagwek1Znak">
    <w:name w:val="Nagłówek 1 Znak"/>
    <w:basedOn w:val="Domylnaczcionkaakapitu"/>
    <w:link w:val="Nagwek1"/>
    <w:uiPriority w:val="99"/>
    <w:semiHidden/>
    <w:rsid w:val="009E01FB"/>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Normalny"/>
    <w:next w:val="JuPara"/>
    <w:uiPriority w:val="19"/>
    <w:qFormat/>
    <w:rsid w:val="009E01FB"/>
    <w:pPr>
      <w:keepNext/>
      <w:keepLines/>
      <w:numPr>
        <w:ilvl w:val="2"/>
        <w:numId w:val="24"/>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9E01FB"/>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Normalny"/>
    <w:next w:val="JuPara"/>
    <w:uiPriority w:val="19"/>
    <w:rsid w:val="009E01FB"/>
    <w:pPr>
      <w:keepNext/>
      <w:keepLines/>
      <w:numPr>
        <w:ilvl w:val="3"/>
        <w:numId w:val="24"/>
      </w:numPr>
      <w:spacing w:before="100" w:beforeAutospacing="1" w:after="120"/>
      <w:jc w:val="both"/>
      <w:outlineLvl w:val="3"/>
    </w:pPr>
    <w:rPr>
      <w:i/>
    </w:rPr>
  </w:style>
  <w:style w:type="character" w:customStyle="1" w:styleId="Nagwek3Znak">
    <w:name w:val="Nagłówek 3 Znak"/>
    <w:basedOn w:val="Domylnaczcionkaakapitu"/>
    <w:link w:val="Nagwek3"/>
    <w:uiPriority w:val="99"/>
    <w:semiHidden/>
    <w:rsid w:val="009E01FB"/>
    <w:rPr>
      <w:rFonts w:asciiTheme="majorHAnsi" w:eastAsiaTheme="majorEastAsia" w:hAnsiTheme="majorHAnsi" w:cstheme="majorBidi"/>
      <w:b/>
      <w:bCs/>
      <w:color w:val="5F5F5F"/>
      <w:sz w:val="24"/>
      <w:lang w:val="en-GB"/>
    </w:rPr>
  </w:style>
  <w:style w:type="paragraph" w:customStyle="1" w:styleId="JuHa0">
    <w:name w:val="Ju_H_a"/>
    <w:aliases w:val="_Head_5"/>
    <w:basedOn w:val="Normalny"/>
    <w:next w:val="JuPara"/>
    <w:uiPriority w:val="19"/>
    <w:rsid w:val="009E01FB"/>
    <w:pPr>
      <w:keepNext/>
      <w:keepLines/>
      <w:numPr>
        <w:ilvl w:val="4"/>
        <w:numId w:val="24"/>
      </w:numPr>
      <w:spacing w:before="100" w:beforeAutospacing="1" w:after="120"/>
      <w:jc w:val="both"/>
      <w:outlineLvl w:val="4"/>
    </w:pPr>
    <w:rPr>
      <w:b/>
      <w:sz w:val="20"/>
    </w:rPr>
  </w:style>
  <w:style w:type="character" w:customStyle="1" w:styleId="Nagwek4Znak">
    <w:name w:val="Nagłówek 4 Znak"/>
    <w:basedOn w:val="Domylnaczcionkaakapitu"/>
    <w:link w:val="Nagwek4"/>
    <w:uiPriority w:val="99"/>
    <w:semiHidden/>
    <w:rsid w:val="009E01FB"/>
    <w:rPr>
      <w:rFonts w:asciiTheme="majorHAnsi" w:eastAsiaTheme="majorEastAsia" w:hAnsiTheme="majorHAnsi" w:cstheme="majorBidi"/>
      <w:b/>
      <w:bCs/>
      <w:i/>
      <w:iCs/>
      <w:color w:val="777777"/>
      <w:sz w:val="24"/>
      <w:lang w:val="en-GB"/>
    </w:rPr>
  </w:style>
  <w:style w:type="paragraph" w:customStyle="1" w:styleId="JuHi">
    <w:name w:val="Ju_H_i"/>
    <w:aliases w:val="_Head_6"/>
    <w:basedOn w:val="Normalny"/>
    <w:next w:val="JuPara"/>
    <w:uiPriority w:val="19"/>
    <w:rsid w:val="009E01FB"/>
    <w:pPr>
      <w:keepNext/>
      <w:keepLines/>
      <w:numPr>
        <w:ilvl w:val="5"/>
        <w:numId w:val="24"/>
      </w:numPr>
      <w:spacing w:before="100" w:beforeAutospacing="1" w:after="120"/>
      <w:jc w:val="both"/>
      <w:outlineLvl w:val="5"/>
    </w:pPr>
    <w:rPr>
      <w:i/>
      <w:sz w:val="20"/>
    </w:rPr>
  </w:style>
  <w:style w:type="character" w:customStyle="1" w:styleId="Nagwek5Znak">
    <w:name w:val="Nagłówek 5 Znak"/>
    <w:basedOn w:val="Domylnaczcionkaakapitu"/>
    <w:link w:val="Nagwek5"/>
    <w:uiPriority w:val="99"/>
    <w:semiHidden/>
    <w:rsid w:val="009E01FB"/>
    <w:rPr>
      <w:rFonts w:asciiTheme="majorHAnsi" w:eastAsiaTheme="majorEastAsia" w:hAnsiTheme="majorHAnsi" w:cstheme="majorBidi"/>
      <w:b/>
      <w:bCs/>
      <w:color w:val="808080"/>
      <w:sz w:val="24"/>
      <w:lang w:val="en-GB"/>
    </w:rPr>
  </w:style>
  <w:style w:type="paragraph" w:customStyle="1" w:styleId="JuHalpha">
    <w:name w:val="Ju_H_alpha"/>
    <w:aliases w:val="_Head_7"/>
    <w:basedOn w:val="Normalny"/>
    <w:next w:val="JuPara"/>
    <w:uiPriority w:val="19"/>
    <w:rsid w:val="009E01FB"/>
    <w:pPr>
      <w:keepNext/>
      <w:keepLines/>
      <w:numPr>
        <w:ilvl w:val="6"/>
        <w:numId w:val="24"/>
      </w:numPr>
      <w:spacing w:before="100" w:beforeAutospacing="1" w:after="120"/>
      <w:jc w:val="both"/>
      <w:outlineLvl w:val="6"/>
    </w:pPr>
    <w:rPr>
      <w:sz w:val="20"/>
    </w:rPr>
  </w:style>
  <w:style w:type="character" w:customStyle="1" w:styleId="Nagwek6Znak">
    <w:name w:val="Nagłówek 6 Znak"/>
    <w:basedOn w:val="Domylnaczcionkaakapitu"/>
    <w:link w:val="Nagwek6"/>
    <w:uiPriority w:val="99"/>
    <w:semiHidden/>
    <w:rsid w:val="009E01FB"/>
    <w:rPr>
      <w:rFonts w:asciiTheme="majorHAnsi" w:eastAsiaTheme="majorEastAsia" w:hAnsiTheme="majorHAnsi" w:cstheme="majorBidi"/>
      <w:b/>
      <w:bCs/>
      <w:i/>
      <w:iCs/>
      <w:color w:val="7F7F7F" w:themeColor="text1" w:themeTint="80"/>
      <w:sz w:val="24"/>
      <w:lang w:val="en-GB" w:bidi="en-US"/>
    </w:rPr>
  </w:style>
  <w:style w:type="paragraph" w:customStyle="1" w:styleId="JuH">
    <w:name w:val="Ju_H_–"/>
    <w:aliases w:val="_Head_8"/>
    <w:basedOn w:val="Normalny"/>
    <w:next w:val="JuPara"/>
    <w:uiPriority w:val="19"/>
    <w:rsid w:val="009E01FB"/>
    <w:pPr>
      <w:keepNext/>
      <w:keepLines/>
      <w:numPr>
        <w:ilvl w:val="7"/>
        <w:numId w:val="24"/>
      </w:numPr>
      <w:spacing w:before="100" w:beforeAutospacing="1" w:after="120"/>
      <w:jc w:val="both"/>
      <w:outlineLvl w:val="7"/>
    </w:pPr>
    <w:rPr>
      <w:i/>
      <w:sz w:val="20"/>
    </w:rPr>
  </w:style>
  <w:style w:type="character" w:customStyle="1" w:styleId="Nagwek7Znak">
    <w:name w:val="Nagłówek 7 Znak"/>
    <w:basedOn w:val="Domylnaczcionkaakapitu"/>
    <w:link w:val="Nagwek7"/>
    <w:uiPriority w:val="99"/>
    <w:semiHidden/>
    <w:rsid w:val="009E01FB"/>
    <w:rPr>
      <w:rFonts w:asciiTheme="majorHAnsi" w:eastAsiaTheme="majorEastAsia" w:hAnsiTheme="majorHAnsi" w:cstheme="majorBidi"/>
      <w:i/>
      <w:iCs/>
      <w:sz w:val="24"/>
      <w:lang w:val="en-GB" w:bidi="en-US"/>
    </w:rPr>
  </w:style>
  <w:style w:type="paragraph" w:customStyle="1" w:styleId="JuParaLast">
    <w:name w:val="Ju_Para_Last"/>
    <w:aliases w:val="_Para_Spaced"/>
    <w:basedOn w:val="NormalJustified"/>
    <w:uiPriority w:val="9"/>
    <w:qFormat/>
    <w:rsid w:val="009E01FB"/>
    <w:pPr>
      <w:keepNext/>
      <w:keepLines/>
      <w:spacing w:before="240" w:after="240"/>
      <w:ind w:firstLine="284"/>
    </w:pPr>
    <w:rPr>
      <w:rFonts w:eastAsiaTheme="minorHAnsi"/>
    </w:rPr>
  </w:style>
  <w:style w:type="table" w:customStyle="1" w:styleId="ECHRTableBoxHeader">
    <w:name w:val="ECHR_Table_Box_Header"/>
    <w:basedOn w:val="Standardowy"/>
    <w:rsid w:val="009E01F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basedOn w:val="Normalny"/>
    <w:uiPriority w:val="31"/>
    <w:qFormat/>
    <w:rsid w:val="009E01FB"/>
    <w:pPr>
      <w:tabs>
        <w:tab w:val="left" w:pos="567"/>
        <w:tab w:val="left" w:pos="1134"/>
      </w:tabs>
    </w:pPr>
  </w:style>
  <w:style w:type="paragraph" w:customStyle="1" w:styleId="JuList">
    <w:name w:val="Ju_List"/>
    <w:aliases w:val="_List_1"/>
    <w:basedOn w:val="NormalJustified"/>
    <w:uiPriority w:val="23"/>
    <w:qFormat/>
    <w:rsid w:val="009E01FB"/>
    <w:pPr>
      <w:numPr>
        <w:numId w:val="27"/>
      </w:numPr>
      <w:spacing w:before="280" w:after="60"/>
    </w:pPr>
    <w:rPr>
      <w:rFonts w:eastAsiaTheme="minorHAnsi"/>
    </w:rPr>
  </w:style>
  <w:style w:type="paragraph" w:customStyle="1" w:styleId="JuLista">
    <w:name w:val="Ju_List_a"/>
    <w:aliases w:val="_List_2"/>
    <w:basedOn w:val="NormalJustified"/>
    <w:uiPriority w:val="23"/>
    <w:rsid w:val="009E01FB"/>
    <w:pPr>
      <w:numPr>
        <w:ilvl w:val="1"/>
        <w:numId w:val="27"/>
      </w:numPr>
    </w:pPr>
  </w:style>
  <w:style w:type="paragraph" w:customStyle="1" w:styleId="JuListi">
    <w:name w:val="Ju_List_i"/>
    <w:aliases w:val="_List_3"/>
    <w:basedOn w:val="NormalJustified"/>
    <w:uiPriority w:val="23"/>
    <w:rsid w:val="009E01FB"/>
    <w:pPr>
      <w:numPr>
        <w:ilvl w:val="2"/>
        <w:numId w:val="27"/>
      </w:numPr>
    </w:pPr>
  </w:style>
  <w:style w:type="table" w:customStyle="1" w:styleId="ECHRTableFax">
    <w:name w:val="ECHR_Table_Fax"/>
    <w:basedOn w:val="Standardowy"/>
    <w:uiPriority w:val="99"/>
    <w:rsid w:val="009E01FB"/>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Standardowy"/>
    <w:uiPriority w:val="99"/>
    <w:rsid w:val="009E01FB"/>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Standardowy"/>
    <w:uiPriority w:val="99"/>
    <w:rsid w:val="009E01FB"/>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Nagwek8Znak">
    <w:name w:val="Nagłówek 8 Znak"/>
    <w:basedOn w:val="Domylnaczcionkaakapitu"/>
    <w:link w:val="Nagwek8"/>
    <w:uiPriority w:val="99"/>
    <w:semiHidden/>
    <w:rsid w:val="009E01FB"/>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9E01FB"/>
    <w:rPr>
      <w:rFonts w:asciiTheme="majorHAnsi" w:eastAsiaTheme="majorEastAsia" w:hAnsiTheme="majorHAnsi" w:cstheme="majorBidi"/>
      <w:i/>
      <w:iCs/>
      <w:spacing w:val="5"/>
      <w:sz w:val="20"/>
      <w:szCs w:val="20"/>
      <w:lang w:val="en-GB" w:bidi="en-US"/>
    </w:rPr>
  </w:style>
  <w:style w:type="paragraph" w:styleId="Tytu">
    <w:name w:val="Title"/>
    <w:basedOn w:val="Normalny"/>
    <w:next w:val="Normalny"/>
    <w:link w:val="TytuZnak"/>
    <w:uiPriority w:val="99"/>
    <w:semiHidden/>
    <w:qFormat/>
    <w:rsid w:val="009E01F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E01FB"/>
    <w:rPr>
      <w:rFonts w:asciiTheme="majorHAnsi" w:eastAsiaTheme="majorEastAsia" w:hAnsiTheme="majorHAnsi" w:cstheme="majorBidi"/>
      <w:spacing w:val="5"/>
      <w:sz w:val="52"/>
      <w:szCs w:val="52"/>
      <w:lang w:val="en-GB" w:bidi="en-US"/>
    </w:rPr>
  </w:style>
  <w:style w:type="paragraph" w:styleId="Podtytu">
    <w:name w:val="Subtitle"/>
    <w:basedOn w:val="Normalny"/>
    <w:next w:val="Normalny"/>
    <w:link w:val="PodtytuZnak"/>
    <w:uiPriority w:val="99"/>
    <w:semiHidden/>
    <w:qFormat/>
    <w:rsid w:val="009E01F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E01FB"/>
    <w:rPr>
      <w:rFonts w:asciiTheme="majorHAnsi" w:eastAsiaTheme="majorEastAsia" w:hAnsiTheme="majorHAnsi" w:cstheme="majorBidi"/>
      <w:i/>
      <w:iCs/>
      <w:spacing w:val="13"/>
      <w:sz w:val="24"/>
      <w:szCs w:val="24"/>
      <w:lang w:val="en-GB" w:bidi="en-US"/>
    </w:rPr>
  </w:style>
  <w:style w:type="character" w:styleId="Pogrubienie">
    <w:name w:val="Strong"/>
    <w:uiPriority w:val="99"/>
    <w:semiHidden/>
    <w:qFormat/>
    <w:rsid w:val="009E01FB"/>
    <w:rPr>
      <w:b/>
      <w:bCs/>
    </w:rPr>
  </w:style>
  <w:style w:type="character" w:styleId="Uwydatnienie">
    <w:name w:val="Emphasis"/>
    <w:uiPriority w:val="99"/>
    <w:semiHidden/>
    <w:qFormat/>
    <w:rsid w:val="009E01FB"/>
    <w:rPr>
      <w:b/>
      <w:bCs/>
      <w:i/>
      <w:iCs/>
      <w:spacing w:val="10"/>
      <w:bdr w:val="none" w:sz="0" w:space="0" w:color="auto"/>
      <w:shd w:val="clear" w:color="auto" w:fill="auto"/>
    </w:rPr>
  </w:style>
  <w:style w:type="paragraph" w:styleId="Bezodstpw">
    <w:name w:val="No Spacing"/>
    <w:basedOn w:val="Normalny"/>
    <w:link w:val="BezodstpwZnak"/>
    <w:semiHidden/>
    <w:qFormat/>
    <w:rsid w:val="009E01FB"/>
  </w:style>
  <w:style w:type="character" w:customStyle="1" w:styleId="BezodstpwZnak">
    <w:name w:val="Bez odstępów Znak"/>
    <w:basedOn w:val="Domylnaczcionkaakapitu"/>
    <w:link w:val="Bezodstpw"/>
    <w:semiHidden/>
    <w:rsid w:val="009E01FB"/>
    <w:rPr>
      <w:rFonts w:eastAsiaTheme="minorEastAsia"/>
      <w:sz w:val="24"/>
      <w:lang w:val="en-GB"/>
    </w:rPr>
  </w:style>
  <w:style w:type="paragraph" w:styleId="Akapitzlist">
    <w:name w:val="List Paragraph"/>
    <w:basedOn w:val="Normalny"/>
    <w:uiPriority w:val="99"/>
    <w:semiHidden/>
    <w:qFormat/>
    <w:rsid w:val="009E01FB"/>
    <w:pPr>
      <w:ind w:left="720"/>
      <w:contextualSpacing/>
    </w:pPr>
  </w:style>
  <w:style w:type="paragraph" w:styleId="Cytat">
    <w:name w:val="Quote"/>
    <w:basedOn w:val="Normalny"/>
    <w:next w:val="Normalny"/>
    <w:link w:val="CytatZnak"/>
    <w:uiPriority w:val="99"/>
    <w:semiHidden/>
    <w:qFormat/>
    <w:rsid w:val="009E01FB"/>
    <w:pPr>
      <w:spacing w:before="200"/>
      <w:ind w:left="360" w:right="360"/>
    </w:pPr>
    <w:rPr>
      <w:i/>
      <w:iCs/>
      <w:lang w:bidi="en-US"/>
    </w:rPr>
  </w:style>
  <w:style w:type="character" w:customStyle="1" w:styleId="CytatZnak">
    <w:name w:val="Cytat Znak"/>
    <w:basedOn w:val="Domylnaczcionkaakapitu"/>
    <w:link w:val="Cytat"/>
    <w:uiPriority w:val="99"/>
    <w:semiHidden/>
    <w:rsid w:val="009E01FB"/>
    <w:rPr>
      <w:rFonts w:eastAsiaTheme="minorEastAsia"/>
      <w:i/>
      <w:iCs/>
      <w:sz w:val="24"/>
      <w:lang w:val="en-GB" w:bidi="en-US"/>
    </w:rPr>
  </w:style>
  <w:style w:type="paragraph" w:styleId="Cytatintensywny">
    <w:name w:val="Intense Quote"/>
    <w:basedOn w:val="Normalny"/>
    <w:next w:val="Normalny"/>
    <w:link w:val="CytatintensywnyZnak"/>
    <w:uiPriority w:val="99"/>
    <w:semiHidden/>
    <w:qFormat/>
    <w:rsid w:val="009E01F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E01FB"/>
    <w:rPr>
      <w:rFonts w:eastAsiaTheme="minorEastAsia"/>
      <w:b/>
      <w:bCs/>
      <w:i/>
      <w:iCs/>
      <w:sz w:val="24"/>
      <w:lang w:val="en-GB" w:bidi="en-US"/>
    </w:rPr>
  </w:style>
  <w:style w:type="character" w:styleId="Wyrnieniedelikatne">
    <w:name w:val="Subtle Emphasis"/>
    <w:uiPriority w:val="99"/>
    <w:semiHidden/>
    <w:qFormat/>
    <w:rsid w:val="009E01FB"/>
    <w:rPr>
      <w:i/>
      <w:iCs/>
    </w:rPr>
  </w:style>
  <w:style w:type="character" w:styleId="Wyrnienieintensywne">
    <w:name w:val="Intense Emphasis"/>
    <w:uiPriority w:val="99"/>
    <w:semiHidden/>
    <w:qFormat/>
    <w:rsid w:val="009E01FB"/>
    <w:rPr>
      <w:b/>
      <w:bCs/>
    </w:rPr>
  </w:style>
  <w:style w:type="character" w:styleId="Odwoaniedelikatne">
    <w:name w:val="Subtle Reference"/>
    <w:uiPriority w:val="99"/>
    <w:semiHidden/>
    <w:qFormat/>
    <w:rsid w:val="009E01FB"/>
    <w:rPr>
      <w:smallCaps/>
    </w:rPr>
  </w:style>
  <w:style w:type="character" w:styleId="Odwoanieintensywne">
    <w:name w:val="Intense Reference"/>
    <w:uiPriority w:val="99"/>
    <w:semiHidden/>
    <w:qFormat/>
    <w:rsid w:val="009E01FB"/>
    <w:rPr>
      <w:smallCaps/>
      <w:spacing w:val="5"/>
      <w:u w:val="single"/>
    </w:rPr>
  </w:style>
  <w:style w:type="character" w:styleId="Tytuksiki">
    <w:name w:val="Book Title"/>
    <w:uiPriority w:val="99"/>
    <w:semiHidden/>
    <w:qFormat/>
    <w:rsid w:val="009E01FB"/>
    <w:rPr>
      <w:i/>
      <w:iCs/>
      <w:smallCaps/>
      <w:spacing w:val="5"/>
    </w:rPr>
  </w:style>
  <w:style w:type="paragraph" w:styleId="Nagwekspisutreci">
    <w:name w:val="TOC Heading"/>
    <w:basedOn w:val="Normalny"/>
    <w:next w:val="Normalny"/>
    <w:uiPriority w:val="99"/>
    <w:semiHidden/>
    <w:qFormat/>
    <w:rsid w:val="009E01FB"/>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9E01FB"/>
    <w:pPr>
      <w:numPr>
        <w:numId w:val="28"/>
      </w:numPr>
    </w:pPr>
  </w:style>
  <w:style w:type="numbering" w:styleId="1ai">
    <w:name w:val="Outline List 1"/>
    <w:basedOn w:val="Bezlisty"/>
    <w:uiPriority w:val="99"/>
    <w:semiHidden/>
    <w:unhideWhenUsed/>
    <w:rsid w:val="009E01FB"/>
    <w:pPr>
      <w:numPr>
        <w:numId w:val="29"/>
      </w:numPr>
    </w:pPr>
  </w:style>
  <w:style w:type="numbering" w:styleId="Artykusekcja">
    <w:name w:val="Outline List 3"/>
    <w:basedOn w:val="Bezlisty"/>
    <w:uiPriority w:val="99"/>
    <w:semiHidden/>
    <w:unhideWhenUsed/>
    <w:rsid w:val="009E01FB"/>
    <w:pPr>
      <w:numPr>
        <w:numId w:val="30"/>
      </w:numPr>
    </w:pPr>
  </w:style>
  <w:style w:type="paragraph" w:styleId="Bibliografia">
    <w:name w:val="Bibliography"/>
    <w:basedOn w:val="Normalny"/>
    <w:next w:val="Normalny"/>
    <w:uiPriority w:val="99"/>
    <w:semiHidden/>
    <w:rsid w:val="009E01FB"/>
  </w:style>
  <w:style w:type="paragraph" w:styleId="Tekstblokowy">
    <w:name w:val="Block Text"/>
    <w:basedOn w:val="Normalny"/>
    <w:uiPriority w:val="99"/>
    <w:semiHidden/>
    <w:rsid w:val="009E01F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9E01FB"/>
    <w:pPr>
      <w:spacing w:after="120"/>
    </w:pPr>
  </w:style>
  <w:style w:type="character" w:customStyle="1" w:styleId="TekstpodstawowyZnak">
    <w:name w:val="Tekst podstawowy Znak"/>
    <w:basedOn w:val="Domylnaczcionkaakapitu"/>
    <w:link w:val="Tekstpodstawowy"/>
    <w:uiPriority w:val="99"/>
    <w:semiHidden/>
    <w:rsid w:val="009E01FB"/>
    <w:rPr>
      <w:rFonts w:eastAsiaTheme="minorEastAsia"/>
      <w:sz w:val="24"/>
      <w:lang w:val="en-GB"/>
    </w:rPr>
  </w:style>
  <w:style w:type="paragraph" w:styleId="Tekstpodstawowy2">
    <w:name w:val="Body Text 2"/>
    <w:basedOn w:val="Normalny"/>
    <w:link w:val="Tekstpodstawowy2Znak"/>
    <w:uiPriority w:val="99"/>
    <w:semiHidden/>
    <w:rsid w:val="009E01FB"/>
    <w:pPr>
      <w:spacing w:after="120" w:line="480" w:lineRule="auto"/>
    </w:pPr>
  </w:style>
  <w:style w:type="character" w:customStyle="1" w:styleId="Tekstpodstawowy2Znak">
    <w:name w:val="Tekst podstawowy 2 Znak"/>
    <w:basedOn w:val="Domylnaczcionkaakapitu"/>
    <w:link w:val="Tekstpodstawowy2"/>
    <w:uiPriority w:val="99"/>
    <w:semiHidden/>
    <w:rsid w:val="009E01FB"/>
    <w:rPr>
      <w:rFonts w:eastAsiaTheme="minorEastAsia"/>
      <w:sz w:val="24"/>
      <w:lang w:val="en-GB"/>
    </w:rPr>
  </w:style>
  <w:style w:type="paragraph" w:styleId="Tekstpodstawowy3">
    <w:name w:val="Body Text 3"/>
    <w:basedOn w:val="Normalny"/>
    <w:link w:val="Tekstpodstawowy3Znak"/>
    <w:uiPriority w:val="99"/>
    <w:semiHidden/>
    <w:rsid w:val="009E01FB"/>
    <w:pPr>
      <w:spacing w:after="120"/>
    </w:pPr>
    <w:rPr>
      <w:sz w:val="16"/>
      <w:szCs w:val="16"/>
    </w:rPr>
  </w:style>
  <w:style w:type="character" w:customStyle="1" w:styleId="Tekstpodstawowy3Znak">
    <w:name w:val="Tekst podstawowy 3 Znak"/>
    <w:basedOn w:val="Domylnaczcionkaakapitu"/>
    <w:link w:val="Tekstpodstawowy3"/>
    <w:uiPriority w:val="99"/>
    <w:semiHidden/>
    <w:rsid w:val="009E01FB"/>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9E01F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E01FB"/>
    <w:rPr>
      <w:rFonts w:eastAsiaTheme="minorEastAsia"/>
      <w:sz w:val="24"/>
      <w:lang w:val="en-GB"/>
    </w:rPr>
  </w:style>
  <w:style w:type="paragraph" w:styleId="Tekstpodstawowywcity">
    <w:name w:val="Body Text Indent"/>
    <w:basedOn w:val="Normalny"/>
    <w:link w:val="TekstpodstawowywcityZnak"/>
    <w:uiPriority w:val="99"/>
    <w:semiHidden/>
    <w:rsid w:val="009E01FB"/>
    <w:pPr>
      <w:spacing w:after="120"/>
      <w:ind w:left="283"/>
    </w:pPr>
  </w:style>
  <w:style w:type="character" w:customStyle="1" w:styleId="TekstpodstawowywcityZnak">
    <w:name w:val="Tekst podstawowy wcięty Znak"/>
    <w:basedOn w:val="Domylnaczcionkaakapitu"/>
    <w:link w:val="Tekstpodstawowywcity"/>
    <w:uiPriority w:val="99"/>
    <w:semiHidden/>
    <w:rsid w:val="009E01FB"/>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9E01F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E01FB"/>
    <w:rPr>
      <w:rFonts w:eastAsiaTheme="minorEastAsia"/>
      <w:sz w:val="24"/>
      <w:lang w:val="en-GB"/>
    </w:rPr>
  </w:style>
  <w:style w:type="paragraph" w:styleId="Tekstpodstawowywcity2">
    <w:name w:val="Body Text Indent 2"/>
    <w:basedOn w:val="Normalny"/>
    <w:link w:val="Tekstpodstawowywcity2Znak"/>
    <w:uiPriority w:val="99"/>
    <w:semiHidden/>
    <w:rsid w:val="009E01F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E01FB"/>
    <w:rPr>
      <w:rFonts w:eastAsiaTheme="minorEastAsia"/>
      <w:sz w:val="24"/>
      <w:lang w:val="en-GB"/>
    </w:rPr>
  </w:style>
  <w:style w:type="paragraph" w:styleId="Tekstpodstawowywcity3">
    <w:name w:val="Body Text Indent 3"/>
    <w:basedOn w:val="Normalny"/>
    <w:link w:val="Tekstpodstawowywcity3Znak"/>
    <w:uiPriority w:val="99"/>
    <w:semiHidden/>
    <w:rsid w:val="009E01F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E01FB"/>
    <w:rPr>
      <w:rFonts w:eastAsiaTheme="minorEastAsia"/>
      <w:sz w:val="16"/>
      <w:szCs w:val="16"/>
      <w:lang w:val="en-GB"/>
    </w:rPr>
  </w:style>
  <w:style w:type="paragraph" w:styleId="Legenda">
    <w:name w:val="caption"/>
    <w:basedOn w:val="Normalny"/>
    <w:next w:val="Normalny"/>
    <w:uiPriority w:val="99"/>
    <w:semiHidden/>
    <w:qFormat/>
    <w:rsid w:val="009E01FB"/>
    <w:pPr>
      <w:spacing w:after="200"/>
    </w:pPr>
    <w:rPr>
      <w:b/>
      <w:bCs/>
      <w:color w:val="0072BC" w:themeColor="accent1"/>
      <w:sz w:val="18"/>
      <w:szCs w:val="18"/>
    </w:rPr>
  </w:style>
  <w:style w:type="paragraph" w:styleId="Zwrotpoegnalny">
    <w:name w:val="Closing"/>
    <w:basedOn w:val="Normalny"/>
    <w:link w:val="ZwrotpoegnalnyZnak"/>
    <w:uiPriority w:val="99"/>
    <w:semiHidden/>
    <w:rsid w:val="009E01FB"/>
    <w:pPr>
      <w:ind w:left="4252"/>
    </w:pPr>
  </w:style>
  <w:style w:type="character" w:customStyle="1" w:styleId="ZwrotpoegnalnyZnak">
    <w:name w:val="Zwrot pożegnalny Znak"/>
    <w:basedOn w:val="Domylnaczcionkaakapitu"/>
    <w:link w:val="Zwrotpoegnalny"/>
    <w:uiPriority w:val="99"/>
    <w:semiHidden/>
    <w:rsid w:val="009E01FB"/>
    <w:rPr>
      <w:rFonts w:eastAsiaTheme="minorEastAsia"/>
      <w:sz w:val="24"/>
      <w:lang w:val="en-GB"/>
    </w:rPr>
  </w:style>
  <w:style w:type="table" w:styleId="Kolorowasiatka">
    <w:name w:val="Colorful Grid"/>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E01FB"/>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E01FB"/>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E01FB"/>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E01FB"/>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E01FB"/>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E01FB"/>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E01FB"/>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E01FB"/>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E01FB"/>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E01FB"/>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E01FB"/>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E01FB"/>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E01FB"/>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E01FB"/>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9E01FB"/>
    <w:rPr>
      <w:b/>
      <w:bCs/>
    </w:rPr>
  </w:style>
  <w:style w:type="character" w:customStyle="1" w:styleId="TematkomentarzaZnak">
    <w:name w:val="Temat komentarza Znak"/>
    <w:basedOn w:val="TekstkomentarzaZnak"/>
    <w:link w:val="Tematkomentarza"/>
    <w:uiPriority w:val="99"/>
    <w:semiHidden/>
    <w:rsid w:val="009E01FB"/>
    <w:rPr>
      <w:rFonts w:eastAsiaTheme="minorEastAsia"/>
      <w:b/>
      <w:bCs/>
      <w:sz w:val="20"/>
      <w:szCs w:val="20"/>
      <w:lang w:val="en-GB"/>
    </w:rPr>
  </w:style>
  <w:style w:type="table" w:styleId="Ciemnalista">
    <w:name w:val="Dark List"/>
    <w:basedOn w:val="Standardowy"/>
    <w:uiPriority w:val="70"/>
    <w:semiHidden/>
    <w:rsid w:val="009E01FB"/>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E01FB"/>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E01FB"/>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E01FB"/>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E01FB"/>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E01FB"/>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E01FB"/>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E01FB"/>
  </w:style>
  <w:style w:type="character" w:customStyle="1" w:styleId="DataZnak">
    <w:name w:val="Data Znak"/>
    <w:basedOn w:val="Domylnaczcionkaakapitu"/>
    <w:link w:val="Data"/>
    <w:uiPriority w:val="99"/>
    <w:semiHidden/>
    <w:rsid w:val="009E01FB"/>
    <w:rPr>
      <w:rFonts w:eastAsiaTheme="minorEastAsia"/>
      <w:sz w:val="24"/>
      <w:lang w:val="en-GB"/>
    </w:rPr>
  </w:style>
  <w:style w:type="paragraph" w:styleId="Mapadokumentu">
    <w:name w:val="Document Map"/>
    <w:basedOn w:val="Normalny"/>
    <w:link w:val="MapadokumentuZnak"/>
    <w:uiPriority w:val="99"/>
    <w:semiHidden/>
    <w:rsid w:val="009E01FB"/>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E01FB"/>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9E01FB"/>
  </w:style>
  <w:style w:type="character" w:customStyle="1" w:styleId="Podpise-mailZnak">
    <w:name w:val="Podpis e-mail Znak"/>
    <w:basedOn w:val="Domylnaczcionkaakapitu"/>
    <w:link w:val="Podpise-mail"/>
    <w:uiPriority w:val="99"/>
    <w:semiHidden/>
    <w:rsid w:val="009E01FB"/>
    <w:rPr>
      <w:rFonts w:eastAsiaTheme="minorEastAsia"/>
      <w:sz w:val="24"/>
      <w:lang w:val="en-GB"/>
    </w:rPr>
  </w:style>
  <w:style w:type="character" w:styleId="Odwoanieprzypisukocowego">
    <w:name w:val="endnote reference"/>
    <w:basedOn w:val="Domylnaczcionkaakapitu"/>
    <w:uiPriority w:val="99"/>
    <w:semiHidden/>
    <w:rsid w:val="009E01FB"/>
    <w:rPr>
      <w:vertAlign w:val="superscript"/>
    </w:rPr>
  </w:style>
  <w:style w:type="paragraph" w:styleId="Tekstprzypisukocowego">
    <w:name w:val="endnote text"/>
    <w:basedOn w:val="Normalny"/>
    <w:link w:val="TekstprzypisukocowegoZnak"/>
    <w:uiPriority w:val="99"/>
    <w:semiHidden/>
    <w:rsid w:val="009E01FB"/>
    <w:rPr>
      <w:sz w:val="20"/>
      <w:szCs w:val="20"/>
    </w:rPr>
  </w:style>
  <w:style w:type="character" w:customStyle="1" w:styleId="TekstprzypisukocowegoZnak">
    <w:name w:val="Tekst przypisu końcowego Znak"/>
    <w:basedOn w:val="Domylnaczcionkaakapitu"/>
    <w:link w:val="Tekstprzypisukocowego"/>
    <w:uiPriority w:val="99"/>
    <w:semiHidden/>
    <w:rsid w:val="009E01FB"/>
    <w:rPr>
      <w:rFonts w:eastAsiaTheme="minorEastAsia"/>
      <w:sz w:val="20"/>
      <w:szCs w:val="20"/>
      <w:lang w:val="en-GB"/>
    </w:rPr>
  </w:style>
  <w:style w:type="paragraph" w:styleId="Adresnakopercie">
    <w:name w:val="envelope address"/>
    <w:basedOn w:val="Normalny"/>
    <w:uiPriority w:val="99"/>
    <w:semiHidden/>
    <w:rsid w:val="009E01F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E01FB"/>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E01FB"/>
    <w:rPr>
      <w:color w:val="7030A0" w:themeColor="followedHyperlink"/>
      <w:u w:val="single"/>
    </w:rPr>
  </w:style>
  <w:style w:type="character" w:styleId="Odwoanieprzypisudolnego">
    <w:name w:val="footnote reference"/>
    <w:basedOn w:val="Domylnaczcionkaakapitu"/>
    <w:uiPriority w:val="99"/>
    <w:semiHidden/>
    <w:rsid w:val="009E01FB"/>
    <w:rPr>
      <w:vertAlign w:val="superscript"/>
    </w:rPr>
  </w:style>
  <w:style w:type="paragraph" w:styleId="Tekstprzypisudolnego">
    <w:name w:val="footnote text"/>
    <w:basedOn w:val="Normalny"/>
    <w:link w:val="TekstprzypisudolnegoZnak"/>
    <w:uiPriority w:val="99"/>
    <w:semiHidden/>
    <w:rsid w:val="009E01FB"/>
    <w:rPr>
      <w:sz w:val="20"/>
      <w:szCs w:val="20"/>
    </w:rPr>
  </w:style>
  <w:style w:type="character" w:customStyle="1" w:styleId="TekstprzypisudolnegoZnak">
    <w:name w:val="Tekst przypisu dolnego Znak"/>
    <w:basedOn w:val="Domylnaczcionkaakapitu"/>
    <w:link w:val="Tekstprzypisudolnego"/>
    <w:uiPriority w:val="99"/>
    <w:semiHidden/>
    <w:rsid w:val="009E01FB"/>
    <w:rPr>
      <w:rFonts w:eastAsiaTheme="minorEastAsia"/>
      <w:sz w:val="20"/>
      <w:szCs w:val="20"/>
      <w:lang w:val="en-GB"/>
    </w:rPr>
  </w:style>
  <w:style w:type="character" w:styleId="HTML-akronim">
    <w:name w:val="HTML Acronym"/>
    <w:basedOn w:val="Domylnaczcionkaakapitu"/>
    <w:uiPriority w:val="99"/>
    <w:semiHidden/>
    <w:rsid w:val="009E01FB"/>
  </w:style>
  <w:style w:type="paragraph" w:styleId="HTML-adres">
    <w:name w:val="HTML Address"/>
    <w:basedOn w:val="Normalny"/>
    <w:link w:val="HTML-adresZnak"/>
    <w:uiPriority w:val="99"/>
    <w:semiHidden/>
    <w:rsid w:val="009E01FB"/>
    <w:rPr>
      <w:i/>
      <w:iCs/>
    </w:rPr>
  </w:style>
  <w:style w:type="character" w:customStyle="1" w:styleId="HTML-adresZnak">
    <w:name w:val="HTML - adres Znak"/>
    <w:basedOn w:val="Domylnaczcionkaakapitu"/>
    <w:link w:val="HTML-adres"/>
    <w:uiPriority w:val="99"/>
    <w:semiHidden/>
    <w:rsid w:val="009E01FB"/>
    <w:rPr>
      <w:rFonts w:eastAsiaTheme="minorEastAsia"/>
      <w:i/>
      <w:iCs/>
      <w:sz w:val="24"/>
      <w:lang w:val="en-GB"/>
    </w:rPr>
  </w:style>
  <w:style w:type="character" w:styleId="HTML-cytat">
    <w:name w:val="HTML Cite"/>
    <w:basedOn w:val="Domylnaczcionkaakapitu"/>
    <w:uiPriority w:val="99"/>
    <w:semiHidden/>
    <w:rsid w:val="009E01FB"/>
    <w:rPr>
      <w:i/>
      <w:iCs/>
    </w:rPr>
  </w:style>
  <w:style w:type="character" w:styleId="HTML-kod">
    <w:name w:val="HTML Code"/>
    <w:basedOn w:val="Domylnaczcionkaakapitu"/>
    <w:uiPriority w:val="99"/>
    <w:semiHidden/>
    <w:rsid w:val="009E01FB"/>
    <w:rPr>
      <w:rFonts w:ascii="Consolas" w:hAnsi="Consolas" w:cs="Consolas"/>
      <w:sz w:val="20"/>
      <w:szCs w:val="20"/>
    </w:rPr>
  </w:style>
  <w:style w:type="character" w:styleId="HTML-definicja">
    <w:name w:val="HTML Definition"/>
    <w:basedOn w:val="Domylnaczcionkaakapitu"/>
    <w:uiPriority w:val="99"/>
    <w:semiHidden/>
    <w:rsid w:val="009E01FB"/>
    <w:rPr>
      <w:i/>
      <w:iCs/>
    </w:rPr>
  </w:style>
  <w:style w:type="character" w:styleId="HTML-klawiatura">
    <w:name w:val="HTML Keyboard"/>
    <w:basedOn w:val="Domylnaczcionkaakapitu"/>
    <w:uiPriority w:val="99"/>
    <w:semiHidden/>
    <w:rsid w:val="009E01FB"/>
    <w:rPr>
      <w:rFonts w:ascii="Consolas" w:hAnsi="Consolas" w:cs="Consolas"/>
      <w:sz w:val="20"/>
      <w:szCs w:val="20"/>
    </w:rPr>
  </w:style>
  <w:style w:type="paragraph" w:styleId="HTML-wstpniesformatowany">
    <w:name w:val="HTML Preformatted"/>
    <w:basedOn w:val="Normalny"/>
    <w:link w:val="HTML-wstpniesformatowanyZnak"/>
    <w:uiPriority w:val="99"/>
    <w:semiHidden/>
    <w:rsid w:val="009E01F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E01FB"/>
    <w:rPr>
      <w:rFonts w:ascii="Consolas" w:eastAsiaTheme="minorEastAsia" w:hAnsi="Consolas" w:cs="Consolas"/>
      <w:sz w:val="20"/>
      <w:szCs w:val="20"/>
      <w:lang w:val="en-GB"/>
    </w:rPr>
  </w:style>
  <w:style w:type="character" w:styleId="HTML-przykad">
    <w:name w:val="HTML Sample"/>
    <w:basedOn w:val="Domylnaczcionkaakapitu"/>
    <w:uiPriority w:val="99"/>
    <w:semiHidden/>
    <w:rsid w:val="009E01FB"/>
    <w:rPr>
      <w:rFonts w:ascii="Consolas" w:hAnsi="Consolas" w:cs="Consolas"/>
      <w:sz w:val="24"/>
      <w:szCs w:val="24"/>
    </w:rPr>
  </w:style>
  <w:style w:type="character" w:styleId="HTML-staaszeroko">
    <w:name w:val="HTML Typewriter"/>
    <w:basedOn w:val="Domylnaczcionkaakapitu"/>
    <w:uiPriority w:val="99"/>
    <w:semiHidden/>
    <w:rsid w:val="009E01FB"/>
    <w:rPr>
      <w:rFonts w:ascii="Consolas" w:hAnsi="Consolas" w:cs="Consolas"/>
      <w:sz w:val="20"/>
      <w:szCs w:val="20"/>
    </w:rPr>
  </w:style>
  <w:style w:type="character" w:styleId="HTML-zmienna">
    <w:name w:val="HTML Variable"/>
    <w:basedOn w:val="Domylnaczcionkaakapitu"/>
    <w:uiPriority w:val="99"/>
    <w:semiHidden/>
    <w:rsid w:val="009E01FB"/>
    <w:rPr>
      <w:i/>
      <w:iCs/>
    </w:rPr>
  </w:style>
  <w:style w:type="character" w:styleId="Hipercze">
    <w:name w:val="Hyperlink"/>
    <w:basedOn w:val="Domylnaczcionkaakapitu"/>
    <w:uiPriority w:val="99"/>
    <w:semiHidden/>
    <w:rsid w:val="009E01FB"/>
    <w:rPr>
      <w:color w:val="0072BC" w:themeColor="hyperlink"/>
      <w:u w:val="single"/>
    </w:rPr>
  </w:style>
  <w:style w:type="paragraph" w:styleId="Indeks1">
    <w:name w:val="index 1"/>
    <w:basedOn w:val="Normalny"/>
    <w:next w:val="Normalny"/>
    <w:autoRedefine/>
    <w:uiPriority w:val="99"/>
    <w:semiHidden/>
    <w:rsid w:val="009E01FB"/>
    <w:pPr>
      <w:ind w:left="240" w:hanging="240"/>
    </w:pPr>
  </w:style>
  <w:style w:type="paragraph" w:styleId="Indeks2">
    <w:name w:val="index 2"/>
    <w:basedOn w:val="Normalny"/>
    <w:next w:val="Normalny"/>
    <w:autoRedefine/>
    <w:uiPriority w:val="99"/>
    <w:semiHidden/>
    <w:rsid w:val="009E01FB"/>
    <w:pPr>
      <w:ind w:left="480" w:hanging="240"/>
    </w:pPr>
  </w:style>
  <w:style w:type="paragraph" w:styleId="Indeks3">
    <w:name w:val="index 3"/>
    <w:basedOn w:val="Normalny"/>
    <w:next w:val="Normalny"/>
    <w:autoRedefine/>
    <w:uiPriority w:val="99"/>
    <w:semiHidden/>
    <w:rsid w:val="009E01FB"/>
    <w:pPr>
      <w:ind w:left="720" w:hanging="240"/>
    </w:pPr>
  </w:style>
  <w:style w:type="paragraph" w:styleId="Indeks4">
    <w:name w:val="index 4"/>
    <w:basedOn w:val="Normalny"/>
    <w:next w:val="Normalny"/>
    <w:autoRedefine/>
    <w:uiPriority w:val="99"/>
    <w:semiHidden/>
    <w:rsid w:val="009E01FB"/>
    <w:pPr>
      <w:ind w:left="960" w:hanging="240"/>
    </w:pPr>
  </w:style>
  <w:style w:type="paragraph" w:styleId="Indeks5">
    <w:name w:val="index 5"/>
    <w:basedOn w:val="Normalny"/>
    <w:next w:val="Normalny"/>
    <w:autoRedefine/>
    <w:uiPriority w:val="99"/>
    <w:semiHidden/>
    <w:rsid w:val="009E01FB"/>
    <w:pPr>
      <w:ind w:left="1200" w:hanging="240"/>
    </w:pPr>
  </w:style>
  <w:style w:type="paragraph" w:styleId="Indeks6">
    <w:name w:val="index 6"/>
    <w:basedOn w:val="Normalny"/>
    <w:next w:val="Normalny"/>
    <w:autoRedefine/>
    <w:uiPriority w:val="99"/>
    <w:semiHidden/>
    <w:rsid w:val="009E01FB"/>
    <w:pPr>
      <w:ind w:left="1440" w:hanging="240"/>
    </w:pPr>
  </w:style>
  <w:style w:type="paragraph" w:styleId="Indeks7">
    <w:name w:val="index 7"/>
    <w:basedOn w:val="Normalny"/>
    <w:next w:val="Normalny"/>
    <w:autoRedefine/>
    <w:uiPriority w:val="99"/>
    <w:semiHidden/>
    <w:rsid w:val="009E01FB"/>
    <w:pPr>
      <w:ind w:left="1680" w:hanging="240"/>
    </w:pPr>
  </w:style>
  <w:style w:type="paragraph" w:styleId="Indeks8">
    <w:name w:val="index 8"/>
    <w:basedOn w:val="Normalny"/>
    <w:next w:val="Normalny"/>
    <w:autoRedefine/>
    <w:uiPriority w:val="99"/>
    <w:semiHidden/>
    <w:rsid w:val="009E01FB"/>
    <w:pPr>
      <w:ind w:left="1920" w:hanging="240"/>
    </w:pPr>
  </w:style>
  <w:style w:type="paragraph" w:styleId="Indeks9">
    <w:name w:val="index 9"/>
    <w:basedOn w:val="Normalny"/>
    <w:next w:val="Normalny"/>
    <w:autoRedefine/>
    <w:uiPriority w:val="99"/>
    <w:semiHidden/>
    <w:rsid w:val="009E01FB"/>
    <w:pPr>
      <w:ind w:left="2160" w:hanging="240"/>
    </w:pPr>
  </w:style>
  <w:style w:type="paragraph" w:styleId="Nagwekindeksu">
    <w:name w:val="index heading"/>
    <w:basedOn w:val="Normalny"/>
    <w:next w:val="Indeks1"/>
    <w:uiPriority w:val="99"/>
    <w:semiHidden/>
    <w:rsid w:val="009E01FB"/>
    <w:rPr>
      <w:rFonts w:asciiTheme="majorHAnsi" w:eastAsiaTheme="majorEastAsia" w:hAnsiTheme="majorHAnsi" w:cstheme="majorBidi"/>
      <w:b/>
      <w:bCs/>
    </w:rPr>
  </w:style>
  <w:style w:type="table" w:styleId="Jasnasiatka">
    <w:name w:val="Light Grid"/>
    <w:basedOn w:val="Standardowy"/>
    <w:uiPriority w:val="62"/>
    <w:semiHidden/>
    <w:rsid w:val="009E01F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E01F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E01FB"/>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E01FB"/>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E01FB"/>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E01FB"/>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E01FB"/>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E01F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E01F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E01FB"/>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E01FB"/>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E01FB"/>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E01FB"/>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E01FB"/>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E01F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E01FB"/>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E01FB"/>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E01FB"/>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E01FB"/>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E01FB"/>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E01FB"/>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E01FB"/>
  </w:style>
  <w:style w:type="paragraph" w:styleId="Lista">
    <w:name w:val="List"/>
    <w:basedOn w:val="Normalny"/>
    <w:uiPriority w:val="99"/>
    <w:semiHidden/>
    <w:rsid w:val="009E01FB"/>
    <w:pPr>
      <w:ind w:left="283" w:hanging="283"/>
      <w:contextualSpacing/>
    </w:pPr>
  </w:style>
  <w:style w:type="paragraph" w:styleId="Lista2">
    <w:name w:val="List 2"/>
    <w:basedOn w:val="Normalny"/>
    <w:uiPriority w:val="99"/>
    <w:semiHidden/>
    <w:rsid w:val="009E01FB"/>
    <w:pPr>
      <w:ind w:left="566" w:hanging="283"/>
      <w:contextualSpacing/>
    </w:pPr>
  </w:style>
  <w:style w:type="paragraph" w:styleId="Lista3">
    <w:name w:val="List 3"/>
    <w:basedOn w:val="Normalny"/>
    <w:uiPriority w:val="99"/>
    <w:semiHidden/>
    <w:rsid w:val="009E01FB"/>
    <w:pPr>
      <w:ind w:left="849" w:hanging="283"/>
      <w:contextualSpacing/>
    </w:pPr>
  </w:style>
  <w:style w:type="paragraph" w:styleId="Lista4">
    <w:name w:val="List 4"/>
    <w:basedOn w:val="Normalny"/>
    <w:uiPriority w:val="99"/>
    <w:semiHidden/>
    <w:rsid w:val="009E01FB"/>
    <w:pPr>
      <w:ind w:left="1132" w:hanging="283"/>
      <w:contextualSpacing/>
    </w:pPr>
  </w:style>
  <w:style w:type="paragraph" w:styleId="Lista5">
    <w:name w:val="List 5"/>
    <w:basedOn w:val="Normalny"/>
    <w:uiPriority w:val="99"/>
    <w:semiHidden/>
    <w:rsid w:val="009E01FB"/>
    <w:pPr>
      <w:ind w:left="1415" w:hanging="283"/>
      <w:contextualSpacing/>
    </w:pPr>
  </w:style>
  <w:style w:type="paragraph" w:styleId="Listapunktowana">
    <w:name w:val="List Bullet"/>
    <w:basedOn w:val="Normalny"/>
    <w:uiPriority w:val="99"/>
    <w:semiHidden/>
    <w:rsid w:val="009E01FB"/>
    <w:pPr>
      <w:numPr>
        <w:numId w:val="34"/>
      </w:numPr>
    </w:pPr>
  </w:style>
  <w:style w:type="paragraph" w:styleId="Listapunktowana2">
    <w:name w:val="List Bullet 2"/>
    <w:basedOn w:val="Normalny"/>
    <w:uiPriority w:val="99"/>
    <w:semiHidden/>
    <w:rsid w:val="009E01FB"/>
    <w:pPr>
      <w:numPr>
        <w:numId w:val="35"/>
      </w:numPr>
      <w:contextualSpacing/>
    </w:pPr>
  </w:style>
  <w:style w:type="paragraph" w:styleId="Listapunktowana3">
    <w:name w:val="List Bullet 3"/>
    <w:basedOn w:val="Normalny"/>
    <w:uiPriority w:val="99"/>
    <w:semiHidden/>
    <w:rsid w:val="009E01FB"/>
    <w:pPr>
      <w:numPr>
        <w:numId w:val="36"/>
      </w:numPr>
      <w:contextualSpacing/>
    </w:pPr>
  </w:style>
  <w:style w:type="paragraph" w:styleId="Listapunktowana4">
    <w:name w:val="List Bullet 4"/>
    <w:basedOn w:val="Normalny"/>
    <w:uiPriority w:val="99"/>
    <w:semiHidden/>
    <w:rsid w:val="009E01FB"/>
    <w:pPr>
      <w:numPr>
        <w:numId w:val="37"/>
      </w:numPr>
      <w:contextualSpacing/>
    </w:pPr>
  </w:style>
  <w:style w:type="paragraph" w:styleId="Listapunktowana5">
    <w:name w:val="List Bullet 5"/>
    <w:basedOn w:val="Normalny"/>
    <w:uiPriority w:val="99"/>
    <w:semiHidden/>
    <w:rsid w:val="009E01FB"/>
    <w:pPr>
      <w:numPr>
        <w:numId w:val="38"/>
      </w:numPr>
      <w:contextualSpacing/>
    </w:pPr>
  </w:style>
  <w:style w:type="paragraph" w:styleId="Lista-kontynuacja">
    <w:name w:val="List Continue"/>
    <w:basedOn w:val="Normalny"/>
    <w:uiPriority w:val="99"/>
    <w:semiHidden/>
    <w:rsid w:val="009E01FB"/>
    <w:pPr>
      <w:spacing w:after="120"/>
      <w:ind w:left="283"/>
      <w:contextualSpacing/>
    </w:pPr>
  </w:style>
  <w:style w:type="paragraph" w:styleId="Lista-kontynuacja2">
    <w:name w:val="List Continue 2"/>
    <w:basedOn w:val="Normalny"/>
    <w:uiPriority w:val="99"/>
    <w:semiHidden/>
    <w:rsid w:val="009E01FB"/>
    <w:pPr>
      <w:spacing w:after="120"/>
      <w:ind w:left="566"/>
      <w:contextualSpacing/>
    </w:pPr>
  </w:style>
  <w:style w:type="paragraph" w:styleId="Lista-kontynuacja3">
    <w:name w:val="List Continue 3"/>
    <w:basedOn w:val="Normalny"/>
    <w:uiPriority w:val="99"/>
    <w:semiHidden/>
    <w:rsid w:val="009E01FB"/>
    <w:pPr>
      <w:spacing w:after="120"/>
      <w:ind w:left="849"/>
      <w:contextualSpacing/>
    </w:pPr>
  </w:style>
  <w:style w:type="paragraph" w:styleId="Lista-kontynuacja4">
    <w:name w:val="List Continue 4"/>
    <w:basedOn w:val="Normalny"/>
    <w:uiPriority w:val="99"/>
    <w:semiHidden/>
    <w:rsid w:val="009E01FB"/>
    <w:pPr>
      <w:spacing w:after="120"/>
      <w:ind w:left="1132"/>
      <w:contextualSpacing/>
    </w:pPr>
  </w:style>
  <w:style w:type="paragraph" w:styleId="Lista-kontynuacja5">
    <w:name w:val="List Continue 5"/>
    <w:basedOn w:val="Normalny"/>
    <w:uiPriority w:val="99"/>
    <w:semiHidden/>
    <w:rsid w:val="009E01FB"/>
    <w:pPr>
      <w:spacing w:after="120"/>
      <w:ind w:left="1415"/>
      <w:contextualSpacing/>
    </w:pPr>
  </w:style>
  <w:style w:type="paragraph" w:styleId="Listanumerowana">
    <w:name w:val="List Number"/>
    <w:basedOn w:val="Normalny"/>
    <w:uiPriority w:val="99"/>
    <w:semiHidden/>
    <w:rsid w:val="009E01FB"/>
    <w:pPr>
      <w:numPr>
        <w:numId w:val="39"/>
      </w:numPr>
      <w:contextualSpacing/>
    </w:pPr>
  </w:style>
  <w:style w:type="paragraph" w:styleId="Listanumerowana2">
    <w:name w:val="List Number 2"/>
    <w:basedOn w:val="Normalny"/>
    <w:uiPriority w:val="99"/>
    <w:semiHidden/>
    <w:rsid w:val="009E01FB"/>
    <w:pPr>
      <w:numPr>
        <w:numId w:val="40"/>
      </w:numPr>
      <w:contextualSpacing/>
    </w:pPr>
  </w:style>
  <w:style w:type="paragraph" w:styleId="Listanumerowana3">
    <w:name w:val="List Number 3"/>
    <w:basedOn w:val="Normalny"/>
    <w:uiPriority w:val="99"/>
    <w:semiHidden/>
    <w:rsid w:val="009E01FB"/>
    <w:pPr>
      <w:numPr>
        <w:numId w:val="41"/>
      </w:numPr>
      <w:contextualSpacing/>
    </w:pPr>
  </w:style>
  <w:style w:type="paragraph" w:styleId="Listanumerowana4">
    <w:name w:val="List Number 4"/>
    <w:basedOn w:val="Normalny"/>
    <w:uiPriority w:val="99"/>
    <w:semiHidden/>
    <w:rsid w:val="009E01FB"/>
    <w:pPr>
      <w:numPr>
        <w:numId w:val="42"/>
      </w:numPr>
      <w:contextualSpacing/>
    </w:pPr>
  </w:style>
  <w:style w:type="paragraph" w:styleId="Listanumerowana5">
    <w:name w:val="List Number 5"/>
    <w:basedOn w:val="Normalny"/>
    <w:uiPriority w:val="99"/>
    <w:semiHidden/>
    <w:rsid w:val="009E01FB"/>
    <w:pPr>
      <w:numPr>
        <w:numId w:val="43"/>
      </w:numPr>
      <w:contextualSpacing/>
    </w:pPr>
  </w:style>
  <w:style w:type="paragraph" w:styleId="Tekstmakra">
    <w:name w:val="macro"/>
    <w:link w:val="TekstmakraZnak"/>
    <w:uiPriority w:val="99"/>
    <w:semiHidden/>
    <w:rsid w:val="009E01F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E01FB"/>
    <w:rPr>
      <w:rFonts w:ascii="Consolas" w:eastAsiaTheme="minorEastAsia" w:hAnsi="Consolas" w:cs="Consolas"/>
      <w:sz w:val="20"/>
      <w:szCs w:val="20"/>
    </w:rPr>
  </w:style>
  <w:style w:type="table" w:styleId="redniasiatka1">
    <w:name w:val="Medium Grid 1"/>
    <w:basedOn w:val="Standardowy"/>
    <w:uiPriority w:val="67"/>
    <w:semiHidden/>
    <w:rsid w:val="009E01F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E01FB"/>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E01FB"/>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E01FB"/>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E01FB"/>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E01FB"/>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E01FB"/>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E01F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E01FB"/>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E01FB"/>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E01FB"/>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E01FB"/>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E01FB"/>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E01FB"/>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E01F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E01FB"/>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E01FB"/>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E01FB"/>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E01FB"/>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E01FB"/>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E01FB"/>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E01F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E01FB"/>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9E01FB"/>
    <w:rPr>
      <w:rFonts w:ascii="Times New Roman" w:hAnsi="Times New Roman" w:cs="Times New Roman"/>
      <w:szCs w:val="24"/>
    </w:rPr>
  </w:style>
  <w:style w:type="paragraph" w:styleId="Wcicienormalne">
    <w:name w:val="Normal Indent"/>
    <w:basedOn w:val="Normalny"/>
    <w:uiPriority w:val="99"/>
    <w:semiHidden/>
    <w:rsid w:val="009E01FB"/>
    <w:pPr>
      <w:ind w:left="720"/>
    </w:pPr>
  </w:style>
  <w:style w:type="table" w:customStyle="1" w:styleId="ECHRTableNoLines">
    <w:name w:val="ECHR_Table_No_Lines"/>
    <w:basedOn w:val="Standardowy"/>
    <w:uiPriority w:val="99"/>
    <w:rsid w:val="009E01FB"/>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Standardowy"/>
    <w:uiPriority w:val="99"/>
    <w:rsid w:val="009E01FB"/>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Tekstzastpczy">
    <w:name w:val="Placeholder Text"/>
    <w:basedOn w:val="Domylnaczcionkaakapitu"/>
    <w:uiPriority w:val="99"/>
    <w:semiHidden/>
    <w:rsid w:val="009E01F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E01F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E01FB"/>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9E01FB"/>
  </w:style>
  <w:style w:type="character" w:customStyle="1" w:styleId="ZwrotgrzecznociowyZnak">
    <w:name w:val="Zwrot grzecznościowy Znak"/>
    <w:basedOn w:val="Domylnaczcionkaakapitu"/>
    <w:link w:val="Zwrotgrzecznociowy"/>
    <w:uiPriority w:val="99"/>
    <w:semiHidden/>
    <w:rsid w:val="009E01FB"/>
    <w:rPr>
      <w:rFonts w:eastAsiaTheme="minorEastAsia"/>
      <w:sz w:val="24"/>
      <w:lang w:val="en-GB"/>
    </w:rPr>
  </w:style>
  <w:style w:type="paragraph" w:styleId="Podpis">
    <w:name w:val="Signature"/>
    <w:basedOn w:val="Normalny"/>
    <w:link w:val="PodpisZnak"/>
    <w:uiPriority w:val="99"/>
    <w:semiHidden/>
    <w:rsid w:val="009E01FB"/>
    <w:pPr>
      <w:ind w:left="4252"/>
    </w:pPr>
  </w:style>
  <w:style w:type="character" w:customStyle="1" w:styleId="PodpisZnak">
    <w:name w:val="Podpis Znak"/>
    <w:basedOn w:val="Domylnaczcionkaakapitu"/>
    <w:link w:val="Podpis"/>
    <w:uiPriority w:val="99"/>
    <w:semiHidden/>
    <w:rsid w:val="009E01FB"/>
    <w:rPr>
      <w:rFonts w:eastAsiaTheme="minorEastAsia"/>
      <w:sz w:val="24"/>
      <w:lang w:val="en-GB"/>
    </w:rPr>
  </w:style>
  <w:style w:type="table" w:styleId="Tabela-Efekty3D1">
    <w:name w:val="Table 3D effects 1"/>
    <w:basedOn w:val="Standardowy"/>
    <w:uiPriority w:val="99"/>
    <w:semiHidden/>
    <w:unhideWhenUsed/>
    <w:rsid w:val="009E01FB"/>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E01FB"/>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E01FB"/>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E01FB"/>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E01FB"/>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E01FB"/>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E01F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E01FB"/>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E01FB"/>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E01FB"/>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E01FB"/>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E01FB"/>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E01FB"/>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E01FB"/>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E01FB"/>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E01FB"/>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E01FB"/>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9E01F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9E01F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E01FB"/>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E01FB"/>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E01FB"/>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E01FB"/>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E01FB"/>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E01FB"/>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E01FB"/>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E01FB"/>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E01FB"/>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E01FB"/>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E01FB"/>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E01FB"/>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E01FB"/>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E01FB"/>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E01FB"/>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E01FB"/>
    <w:pPr>
      <w:ind w:left="240" w:hanging="240"/>
    </w:pPr>
  </w:style>
  <w:style w:type="paragraph" w:styleId="Spisilustracji">
    <w:name w:val="table of figures"/>
    <w:basedOn w:val="Normalny"/>
    <w:next w:val="Normalny"/>
    <w:uiPriority w:val="99"/>
    <w:semiHidden/>
    <w:rsid w:val="009E01FB"/>
  </w:style>
  <w:style w:type="table" w:styleId="Tabela-Profesjonalny">
    <w:name w:val="Table Professional"/>
    <w:basedOn w:val="Standardowy"/>
    <w:uiPriority w:val="99"/>
    <w:semiHidden/>
    <w:unhideWhenUsed/>
    <w:rsid w:val="009E01F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E01FB"/>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E01FB"/>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E01FB"/>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E01FB"/>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E01FB"/>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E01F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E01FB"/>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E01FB"/>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E01FB"/>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E01F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9E01F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E01F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E01F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E01F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E01FB"/>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E01F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E01F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E01FB"/>
    <w:pPr>
      <w:spacing w:after="100"/>
      <w:ind w:left="1680"/>
    </w:pPr>
  </w:style>
  <w:style w:type="paragraph" w:styleId="Spistreci9">
    <w:name w:val="toc 9"/>
    <w:basedOn w:val="Normalny"/>
    <w:next w:val="Normalny"/>
    <w:autoRedefine/>
    <w:uiPriority w:val="99"/>
    <w:semiHidden/>
    <w:rsid w:val="009E01FB"/>
    <w:pPr>
      <w:spacing w:after="100"/>
      <w:ind w:left="1920"/>
    </w:pPr>
  </w:style>
  <w:style w:type="paragraph" w:customStyle="1" w:styleId="ECHRFooter">
    <w:name w:val="ECHR_Footer"/>
    <w:aliases w:val="Footer_ECHR"/>
    <w:basedOn w:val="Stopka"/>
    <w:uiPriority w:val="57"/>
    <w:semiHidden/>
    <w:rsid w:val="00987A64"/>
    <w:rPr>
      <w:sz w:val="8"/>
    </w:rPr>
  </w:style>
  <w:style w:type="paragraph" w:customStyle="1" w:styleId="Footer">
    <w:name w:val="_Footer"/>
    <w:aliases w:val="Footer_"/>
    <w:basedOn w:val="Stopka"/>
    <w:uiPriority w:val="57"/>
    <w:semiHidden/>
    <w:rsid w:val="009E01FB"/>
    <w:rPr>
      <w:sz w:val="8"/>
    </w:rPr>
  </w:style>
  <w:style w:type="paragraph" w:styleId="Stopka">
    <w:name w:val="footer"/>
    <w:basedOn w:val="Normalny"/>
    <w:link w:val="StopkaZnak"/>
    <w:uiPriority w:val="57"/>
    <w:semiHidden/>
    <w:rsid w:val="009E01F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E01FB"/>
    <w:rPr>
      <w:sz w:val="24"/>
      <w:lang w:val="en-GB"/>
    </w:rPr>
  </w:style>
  <w:style w:type="paragraph" w:customStyle="1" w:styleId="FooterLine">
    <w:name w:val="_Footer_Line"/>
    <w:aliases w:val="Footer_Line"/>
    <w:basedOn w:val="Normalny"/>
    <w:next w:val="Footer"/>
    <w:uiPriority w:val="57"/>
    <w:semiHidden/>
    <w:rsid w:val="009E01FB"/>
    <w:pPr>
      <w:pBdr>
        <w:top w:val="single" w:sz="6" w:space="1" w:color="5F5F5F"/>
      </w:pBdr>
      <w:tabs>
        <w:tab w:val="center" w:pos="4536"/>
        <w:tab w:val="right" w:pos="9696"/>
      </w:tabs>
      <w:ind w:left="-680" w:right="-680"/>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ny"/>
    <w:next w:val="JuPara"/>
    <w:uiPriority w:val="31"/>
    <w:rsid w:val="009E01FB"/>
    <w:pPr>
      <w:ind w:firstLine="284"/>
    </w:pPr>
    <w:rPr>
      <w:b/>
    </w:rPr>
  </w:style>
  <w:style w:type="paragraph" w:customStyle="1" w:styleId="JuHeaderLandscape">
    <w:name w:val="Ju_Header_Landscape"/>
    <w:aliases w:val="_Header_Landscape"/>
    <w:basedOn w:val="JuHeader"/>
    <w:uiPriority w:val="30"/>
    <w:qFormat/>
    <w:rsid w:val="009E01FB"/>
    <w:pPr>
      <w:tabs>
        <w:tab w:val="clear" w:pos="3686"/>
        <w:tab w:val="clear" w:pos="7371"/>
        <w:tab w:val="center" w:pos="6146"/>
        <w:tab w:val="right" w:pos="12293"/>
      </w:tabs>
    </w:pPr>
  </w:style>
  <w:style w:type="paragraph" w:styleId="Nagweknotatki">
    <w:name w:val="Note Heading"/>
    <w:basedOn w:val="Normalny"/>
    <w:next w:val="Normalny"/>
    <w:link w:val="NagweknotatkiZnak"/>
    <w:uiPriority w:val="99"/>
    <w:semiHidden/>
    <w:rsid w:val="009E01FB"/>
  </w:style>
  <w:style w:type="character" w:customStyle="1" w:styleId="NagweknotatkiZnak">
    <w:name w:val="Nagłówek notatki Znak"/>
    <w:basedOn w:val="Domylnaczcionkaakapitu"/>
    <w:link w:val="Nagweknotatki"/>
    <w:uiPriority w:val="99"/>
    <w:semiHidden/>
    <w:rsid w:val="009E01FB"/>
    <w:rPr>
      <w:rFonts w:eastAsiaTheme="minorEastAsia"/>
      <w:sz w:val="24"/>
      <w:lang w:val="en-GB"/>
    </w:rPr>
  </w:style>
  <w:style w:type="character" w:customStyle="1" w:styleId="JuParaChar">
    <w:name w:val="Ju_Para Char"/>
    <w:aliases w:val="_Para Char"/>
    <w:link w:val="JuPara"/>
    <w:uiPriority w:val="8"/>
    <w:rsid w:val="00D20E39"/>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A967D-B29C-4AB1-826B-E5C4DF4A27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BC9BAE-C436-496D-86C3-139C06454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1123D92-7423-42E4-B8A7-CAE703B1AC19}">
  <ds:schemaRefs>
    <ds:schemaRef ds:uri="http://schemas.microsoft.com/sharepoint/v3/contenttype/forms"/>
  </ds:schemaRefs>
</ds:datastoreItem>
</file>

<file path=customXml/itemProps4.xml><?xml version="1.0" encoding="utf-8"?>
<ds:datastoreItem xmlns:ds="http://schemas.openxmlformats.org/officeDocument/2006/customXml" ds:itemID="{5F9D3047-2F27-474B-9EBB-1EC8EFCDF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1419</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Decision</vt:lpstr>
    </vt:vector>
  </TitlesOfParts>
  <Manager/>
  <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2020-05-18T10:10:00Z</dcterms:created>
  <dcterms:modified xsi:type="dcterms:W3CDTF">2020-05-18T10:10:00Z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20587/13</vt:lpwstr>
  </property>
  <property fmtid="{D5CDD505-2E9C-101B-9397-08002B2CF9AE}" pid="4" name="CASEID">
    <vt:lpwstr>871099</vt:lpwstr>
  </property>
  <property fmtid="{D5CDD505-2E9C-101B-9397-08002B2CF9AE}" pid="5" name="ContentTypeId">
    <vt:lpwstr>0x010100558EB02BDB9E204AB350EDD385B68E10</vt:lpwstr>
  </property>
</Properties>
</file>