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1AA5B1" w14:textId="27C4B0EF" w:rsidR="00426D64" w:rsidRPr="00FB00FE" w:rsidRDefault="00FB00FE" w:rsidP="00B4318F">
      <w:pPr>
        <w:pStyle w:val="DecHCase"/>
      </w:pPr>
      <w:bookmarkStart w:id="0" w:name="_GoBack"/>
      <w:bookmarkEnd w:id="0"/>
      <w:r>
        <w:t>EUROPEJSKI TRYBUNAŁ PRAW CZŁOWIEKA</w:t>
      </w:r>
    </w:p>
    <w:p w14:paraId="155336C5" w14:textId="77777777" w:rsidR="00CC07BF" w:rsidRPr="00FB00FE" w:rsidRDefault="00CC07BF" w:rsidP="00B4318F">
      <w:pPr>
        <w:pStyle w:val="DecHCase"/>
      </w:pPr>
      <w:r w:rsidRPr="00FB00FE">
        <w:t>SEKCJA PIERWSZA</w:t>
      </w:r>
    </w:p>
    <w:p w14:paraId="34313CA1" w14:textId="77777777" w:rsidR="00AD61DB" w:rsidRPr="00FB00FE" w:rsidRDefault="00AD61DB" w:rsidP="00EB56A9">
      <w:pPr>
        <w:pStyle w:val="JuPara"/>
        <w:ind w:firstLine="0"/>
      </w:pPr>
    </w:p>
    <w:p w14:paraId="5FEFA9EE" w14:textId="77777777" w:rsidR="00CC07BF" w:rsidRPr="00FB00FE" w:rsidRDefault="00CC07BF" w:rsidP="00B4318F">
      <w:pPr>
        <w:pStyle w:val="JuTitle"/>
      </w:pPr>
      <w:r w:rsidRPr="00FB00FE">
        <w:t>SPRAWA BILALOVA I INNI przeciwko POLSCE</w:t>
      </w:r>
    </w:p>
    <w:p w14:paraId="0856E735" w14:textId="77777777" w:rsidR="00CC07BF" w:rsidRPr="00FB00FE" w:rsidRDefault="00CC07BF" w:rsidP="00B4318F">
      <w:pPr>
        <w:pStyle w:val="DecHCase"/>
      </w:pPr>
      <w:r w:rsidRPr="00FB00FE">
        <w:t>(Skarga nr 23685/14)</w:t>
      </w:r>
    </w:p>
    <w:p w14:paraId="08F08445" w14:textId="77777777" w:rsidR="00CC07BF" w:rsidRPr="00FB00FE" w:rsidRDefault="00CC07BF" w:rsidP="00B4318F">
      <w:pPr>
        <w:pStyle w:val="DecHCase"/>
      </w:pPr>
    </w:p>
    <w:p w14:paraId="0E0EFE65" w14:textId="77777777" w:rsidR="00CC07BF" w:rsidRPr="00FB00FE" w:rsidRDefault="00CC07BF" w:rsidP="00B4318F">
      <w:pPr>
        <w:pStyle w:val="DecHCase"/>
      </w:pPr>
    </w:p>
    <w:p w14:paraId="70422C6D" w14:textId="77777777" w:rsidR="00CC07BF" w:rsidRPr="00FB00FE" w:rsidRDefault="00CC07BF" w:rsidP="00EB56A9">
      <w:pPr>
        <w:pStyle w:val="DecHCase"/>
        <w:jc w:val="left"/>
      </w:pPr>
    </w:p>
    <w:p w14:paraId="35AF333B" w14:textId="77777777" w:rsidR="00CC07BF" w:rsidRPr="00FB00FE" w:rsidRDefault="00CC07BF" w:rsidP="00B4318F">
      <w:pPr>
        <w:pStyle w:val="DecHCase"/>
      </w:pPr>
      <w:r w:rsidRPr="00FB00FE">
        <w:t>WYROK</w:t>
      </w:r>
    </w:p>
    <w:p w14:paraId="1D4D2BFD" w14:textId="2EC6229D" w:rsidR="00CC07BF" w:rsidRPr="00FB00FE" w:rsidRDefault="00AD61DB" w:rsidP="00B4318F">
      <w:pPr>
        <w:pStyle w:val="DecHCase"/>
        <w:pBdr>
          <w:top w:val="single" w:sz="4" w:space="1" w:color="auto"/>
          <w:left w:val="single" w:sz="4" w:space="4" w:color="auto"/>
          <w:bottom w:val="single" w:sz="4" w:space="1" w:color="auto"/>
          <w:right w:val="single" w:sz="4" w:space="4" w:color="auto"/>
        </w:pBdr>
        <w:jc w:val="both"/>
      </w:pPr>
      <w:r w:rsidRPr="00FB00FE">
        <w:t>Art. 5 ust. 1 lit. F) – Wydalenie – Bezpodstawne przedłużenie okresu stosowania środka detencyjnego wobec dzieci po odmowie nadania statusu uchodźcy wraz z postanowieniem o wydaleniu – Umieszczenie w placówce o funkcji podobnej do zakładu karnego – Brak rozważenia przez władze środków alternatywnych – Brak należytej staranności ze strony władz w</w:t>
      </w:r>
      <w:r w:rsidR="00B6245D">
        <w:t> </w:t>
      </w:r>
      <w:r w:rsidRPr="00FB00FE">
        <w:t>ograniczeniu do ścisłego minimum okresu stosowania środka detencyjnego wobec dzieci</w:t>
      </w:r>
    </w:p>
    <w:p w14:paraId="349D3C50" w14:textId="77777777" w:rsidR="00AD61DB" w:rsidRPr="00FB00FE" w:rsidRDefault="00AD61DB" w:rsidP="00B4318F">
      <w:pPr>
        <w:pStyle w:val="JuPara"/>
      </w:pPr>
    </w:p>
    <w:p w14:paraId="0F1F93C5" w14:textId="77777777" w:rsidR="00CC07BF" w:rsidRPr="00FB00FE" w:rsidRDefault="00CC07BF" w:rsidP="00B4318F">
      <w:pPr>
        <w:pStyle w:val="DecHCase"/>
      </w:pPr>
      <w:r w:rsidRPr="00FB00FE">
        <w:t>STRASBURG</w:t>
      </w:r>
    </w:p>
    <w:p w14:paraId="4974A3B7" w14:textId="3595617A" w:rsidR="00CC07BF" w:rsidRPr="00FB00FE" w:rsidRDefault="008712F0" w:rsidP="00B4318F">
      <w:pPr>
        <w:pStyle w:val="DecHCase"/>
      </w:pPr>
      <w:r>
        <w:t xml:space="preserve">z dnia </w:t>
      </w:r>
      <w:r w:rsidR="00CC07BF" w:rsidRPr="00FB00FE">
        <w:t>26 marca 2020</w:t>
      </w:r>
      <w:r>
        <w:t> </w:t>
      </w:r>
      <w:r w:rsidR="00CC07BF" w:rsidRPr="00FB00FE">
        <w:t>r.</w:t>
      </w:r>
    </w:p>
    <w:p w14:paraId="1AB97155" w14:textId="77777777" w:rsidR="00CC07BF" w:rsidRPr="00FB00FE" w:rsidRDefault="00CC07BF" w:rsidP="00B4318F">
      <w:pPr>
        <w:jc w:val="center"/>
      </w:pPr>
    </w:p>
    <w:p w14:paraId="573D9927" w14:textId="38DF5A38" w:rsidR="00AD06D6" w:rsidRPr="00FB00FE" w:rsidRDefault="00CC07BF" w:rsidP="00B4318F">
      <w:pPr>
        <w:pStyle w:val="JuPara"/>
        <w:ind w:firstLine="0"/>
      </w:pPr>
      <w:r w:rsidRPr="00FB00FE">
        <w:rPr>
          <w:i/>
          <w:sz w:val="22"/>
        </w:rPr>
        <w:t>Wyrok ten stanie się ostateczny zgodnie z warunkami określonymi w art.</w:t>
      </w:r>
      <w:r w:rsidR="008712F0">
        <w:rPr>
          <w:i/>
          <w:sz w:val="22"/>
        </w:rPr>
        <w:t> </w:t>
      </w:r>
      <w:r w:rsidRPr="00FB00FE">
        <w:rPr>
          <w:i/>
          <w:sz w:val="22"/>
        </w:rPr>
        <w:t xml:space="preserve">44 </w:t>
      </w:r>
      <w:r w:rsidR="00EB56A9" w:rsidRPr="00FB00FE">
        <w:rPr>
          <w:i/>
          <w:sz w:val="22"/>
        </w:rPr>
        <w:t>ust</w:t>
      </w:r>
      <w:r w:rsidR="00EB56A9">
        <w:rPr>
          <w:i/>
          <w:sz w:val="22"/>
        </w:rPr>
        <w:t> </w:t>
      </w:r>
      <w:r w:rsidR="00EB56A9" w:rsidRPr="00FB00FE">
        <w:rPr>
          <w:i/>
          <w:sz w:val="22"/>
        </w:rPr>
        <w:t>2</w:t>
      </w:r>
      <w:r w:rsidRPr="00FB00FE">
        <w:rPr>
          <w:i/>
          <w:sz w:val="22"/>
        </w:rPr>
        <w:t xml:space="preserve"> Konwencji. Może on podlegać korekcie wydawniczej.</w:t>
      </w:r>
    </w:p>
    <w:p w14:paraId="71294DBF" w14:textId="77777777" w:rsidR="00763885" w:rsidRPr="00FB00FE" w:rsidRDefault="00763885" w:rsidP="00B4318F">
      <w:pPr>
        <w:pStyle w:val="JuCase"/>
        <w:sectPr w:rsidR="00763885" w:rsidRPr="00FB00FE" w:rsidSect="00763885">
          <w:headerReference w:type="default" r:id="rId11"/>
          <w:footerReference w:type="even" r:id="rId12"/>
          <w:footerReference w:type="default" r:id="rId13"/>
          <w:headerReference w:type="first" r:id="rId14"/>
          <w:footerReference w:type="first" r:id="rId15"/>
          <w:footnotePr>
            <w:numRestart w:val="eachSect"/>
          </w:footnotePr>
          <w:pgSz w:w="11906" w:h="16838" w:code="9"/>
          <w:pgMar w:top="2274" w:right="2274" w:bottom="2274" w:left="2274" w:header="1701" w:footer="720" w:gutter="0"/>
          <w:pgNumType w:start="1"/>
          <w:cols w:space="720"/>
          <w:titlePg/>
          <w:docGrid w:linePitch="326"/>
        </w:sectPr>
      </w:pPr>
    </w:p>
    <w:p w14:paraId="58989DC2" w14:textId="77777777" w:rsidR="00E77CB3" w:rsidRPr="00FB00FE" w:rsidRDefault="00E77CB3" w:rsidP="00B4318F">
      <w:pPr>
        <w:pStyle w:val="JuCase"/>
      </w:pPr>
      <w:r w:rsidRPr="00FB00FE">
        <w:lastRenderedPageBreak/>
        <w:t>W sprawie Bilalova i Inni przeciwko Polsce,</w:t>
      </w:r>
    </w:p>
    <w:p w14:paraId="71E9019A" w14:textId="77777777" w:rsidR="00E77CB3" w:rsidRPr="00FB00FE" w:rsidRDefault="00E77CB3" w:rsidP="00B4318F">
      <w:pPr>
        <w:pStyle w:val="JuPara"/>
      </w:pPr>
      <w:r w:rsidRPr="00FB00FE">
        <w:t>Europejski Trybunał Praw Człowieka (sekcja pierwsza), zasiadając jako Izba w składzie:</w:t>
      </w:r>
    </w:p>
    <w:p w14:paraId="12EF60E4" w14:textId="77777777" w:rsidR="00E77CB3" w:rsidRPr="00FB00FE" w:rsidRDefault="009B3D34" w:rsidP="00B4318F">
      <w:pPr>
        <w:pStyle w:val="JuJudges"/>
      </w:pPr>
      <w:r w:rsidRPr="00FB00FE">
        <w:tab/>
        <w:t>Ksenija Turković,</w:t>
      </w:r>
      <w:r w:rsidRPr="00FB00FE">
        <w:rPr>
          <w:i/>
        </w:rPr>
        <w:t xml:space="preserve"> przewodnicząca,</w:t>
      </w:r>
      <w:r w:rsidRPr="00FB00FE">
        <w:rPr>
          <w:i/>
        </w:rPr>
        <w:br/>
      </w:r>
      <w:r w:rsidRPr="00FB00FE">
        <w:tab/>
        <w:t>Krzysztof Wojtyczek,</w:t>
      </w:r>
      <w:r w:rsidRPr="00FB00FE">
        <w:rPr>
          <w:i/>
        </w:rPr>
        <w:br/>
      </w:r>
      <w:r w:rsidRPr="00FB00FE">
        <w:tab/>
        <w:t>Armen Harutyunyan,</w:t>
      </w:r>
      <w:r w:rsidRPr="00FB00FE">
        <w:rPr>
          <w:i/>
        </w:rPr>
        <w:br/>
      </w:r>
      <w:r w:rsidRPr="00FB00FE">
        <w:tab/>
        <w:t>Pere Pastor Vilanova,</w:t>
      </w:r>
      <w:r w:rsidRPr="00FB00FE">
        <w:rPr>
          <w:i/>
        </w:rPr>
        <w:br/>
      </w:r>
      <w:r w:rsidRPr="00FB00FE">
        <w:tab/>
        <w:t>Pauliine Koskelo,</w:t>
      </w:r>
      <w:r w:rsidRPr="00FB00FE">
        <w:rPr>
          <w:i/>
        </w:rPr>
        <w:br/>
      </w:r>
      <w:r w:rsidRPr="00FB00FE">
        <w:tab/>
        <w:t>Jovan Ilievski,</w:t>
      </w:r>
      <w:r w:rsidRPr="00FB00FE">
        <w:rPr>
          <w:i/>
        </w:rPr>
        <w:br/>
      </w:r>
      <w:r w:rsidRPr="00FB00FE">
        <w:tab/>
        <w:t>Raffaele Sabato,</w:t>
      </w:r>
      <w:r w:rsidRPr="00FB00FE">
        <w:rPr>
          <w:i/>
        </w:rPr>
        <w:t xml:space="preserve"> sędziowie,</w:t>
      </w:r>
      <w:r w:rsidRPr="00FB00FE">
        <w:rPr>
          <w:i/>
        </w:rPr>
        <w:br/>
      </w:r>
      <w:r w:rsidRPr="00FB00FE">
        <w:t xml:space="preserve">oraz Renata Degener, </w:t>
      </w:r>
      <w:r w:rsidRPr="00EB56A9">
        <w:rPr>
          <w:i/>
        </w:rPr>
        <w:t>zastępca kanclerza sekcji</w:t>
      </w:r>
      <w:r w:rsidRPr="00FB00FE">
        <w:t>,</w:t>
      </w:r>
    </w:p>
    <w:p w14:paraId="0464CCB2" w14:textId="3AE9786F" w:rsidR="00E77CB3" w:rsidRPr="00FB00FE" w:rsidRDefault="00E77CB3" w:rsidP="00B4318F">
      <w:pPr>
        <w:pStyle w:val="JuPara"/>
      </w:pPr>
      <w:r w:rsidRPr="00FB00FE">
        <w:t>obradując na posiedzeniu niejawnym w dniu 3 marca 2020</w:t>
      </w:r>
      <w:r w:rsidR="008712F0">
        <w:t> </w:t>
      </w:r>
      <w:r w:rsidRPr="00FB00FE">
        <w:t>r.,</w:t>
      </w:r>
    </w:p>
    <w:p w14:paraId="2A0D6F2E" w14:textId="77777777" w:rsidR="00E77CB3" w:rsidRPr="00FB00FE" w:rsidRDefault="00E77CB3" w:rsidP="00B4318F">
      <w:pPr>
        <w:pStyle w:val="JuPara"/>
      </w:pPr>
      <w:r w:rsidRPr="00FB00FE">
        <w:t>wydaje następujący wyrok, który został przyjęty w tym dniu:</w:t>
      </w:r>
    </w:p>
    <w:p w14:paraId="606EF91F" w14:textId="77777777" w:rsidR="00E77CB3" w:rsidRPr="00FB00FE" w:rsidRDefault="00E77CB3" w:rsidP="00B4318F">
      <w:pPr>
        <w:pStyle w:val="JuHHead"/>
      </w:pPr>
      <w:r w:rsidRPr="00FB00FE">
        <w:t>POSTĘPOWANIE</w:t>
      </w:r>
    </w:p>
    <w:p w14:paraId="1C580A0F" w14:textId="559107C7" w:rsidR="00E77CB3" w:rsidRPr="00FB00FE" w:rsidRDefault="00124942" w:rsidP="00B4318F">
      <w:pPr>
        <w:pStyle w:val="JuPara"/>
      </w:pPr>
      <w:fldSimple w:instr=" SEQ level0 \*arabic ">
        <w:r w:rsidR="00FB00FE" w:rsidRPr="00FB00FE">
          <w:rPr>
            <w:noProof/>
          </w:rPr>
          <w:t>1</w:t>
        </w:r>
      </w:fldSimple>
      <w:r w:rsidR="00D772BD" w:rsidRPr="00FB00FE">
        <w:t>.</w:t>
      </w:r>
      <w:r w:rsidR="00EB56A9">
        <w:t xml:space="preserve"> </w:t>
      </w:r>
      <w:r w:rsidR="00D772BD" w:rsidRPr="00FB00FE">
        <w:t>Sprawa wywodzi się ze skargi (nr</w:t>
      </w:r>
      <w:r w:rsidR="008712F0">
        <w:t> </w:t>
      </w:r>
      <w:r w:rsidR="00D772BD" w:rsidRPr="00FB00FE">
        <w:t>23685/14) przeciwko Rzeczypospolitej Polskiej, wniesionej do Trybunału w dniu 25 marca 2014</w:t>
      </w:r>
      <w:r w:rsidR="008712F0">
        <w:t> </w:t>
      </w:r>
      <w:r w:rsidR="00D772BD" w:rsidRPr="00FB00FE">
        <w:t>r. na podstawie art.</w:t>
      </w:r>
      <w:r w:rsidR="008712F0">
        <w:t> </w:t>
      </w:r>
      <w:r w:rsidR="00D772BD" w:rsidRPr="00FB00FE">
        <w:t>34 Konwencji o ochronie praw człowieka i podstawowych wolności („Konwencja”) przez obywateli rosyjskich p. Dagmarę Bilalovą i</w:t>
      </w:r>
      <w:r w:rsidR="008712F0">
        <w:t> </w:t>
      </w:r>
      <w:r w:rsidR="00D772BD" w:rsidRPr="00FB00FE">
        <w:t>jej dzieci (zob. załącznik) („skarżący”).</w:t>
      </w:r>
    </w:p>
    <w:p w14:paraId="78869539" w14:textId="4D00B889" w:rsidR="00763885" w:rsidRPr="00FB00FE" w:rsidRDefault="00124942" w:rsidP="00B4318F">
      <w:pPr>
        <w:pStyle w:val="JuPara"/>
      </w:pPr>
      <w:fldSimple w:instr=" SEQ level0 \*arabic ">
        <w:r w:rsidR="00FB00FE" w:rsidRPr="00FB00FE">
          <w:rPr>
            <w:noProof/>
          </w:rPr>
          <w:t>2</w:t>
        </w:r>
      </w:fldSimple>
      <w:r w:rsidR="00D772BD" w:rsidRPr="00FB00FE">
        <w:t>.</w:t>
      </w:r>
      <w:r w:rsidR="00EB56A9">
        <w:t xml:space="preserve"> </w:t>
      </w:r>
      <w:r w:rsidR="00D772BD" w:rsidRPr="00FB00FE">
        <w:t>Skarżących reprezentował p. J. Białas, prawnik z Helsińskiej Fundacji Praw Człowieka w Warszawie („Helsińska Fundacja”). Rząd polski („Rząd”) reprezentowany był przez swoich pełnomocników, początkowo przez p. J. Chrzanowską, którą później zastąpił J. Sobczak z Ministerstwa Spraw Zagranicznych. Rząd rosyjski nie skorzystał z przysługującego mu prawa do wystąpienia z interwencją (art.</w:t>
      </w:r>
      <w:r w:rsidR="008712F0">
        <w:t> </w:t>
      </w:r>
      <w:r w:rsidR="00D772BD" w:rsidRPr="00FB00FE">
        <w:t>36 ust.</w:t>
      </w:r>
      <w:r w:rsidR="008712F0">
        <w:t> </w:t>
      </w:r>
      <w:r w:rsidR="00D772BD" w:rsidRPr="00FB00FE">
        <w:t>1 Konwencji).</w:t>
      </w:r>
    </w:p>
    <w:p w14:paraId="5E179940" w14:textId="021178BF" w:rsidR="00AC3CA1" w:rsidRPr="00FB00FE" w:rsidRDefault="00124942" w:rsidP="00B4318F">
      <w:pPr>
        <w:pStyle w:val="JuPara"/>
      </w:pPr>
      <w:fldSimple w:instr=" SEQ level0 \*arabic ">
        <w:r w:rsidR="00FB00FE" w:rsidRPr="00FB00FE">
          <w:rPr>
            <w:noProof/>
          </w:rPr>
          <w:t>3</w:t>
        </w:r>
      </w:fldSimple>
      <w:r w:rsidR="00AC3CA1" w:rsidRPr="00FB00FE">
        <w:t>.</w:t>
      </w:r>
      <w:r w:rsidR="00EB56A9">
        <w:t xml:space="preserve"> </w:t>
      </w:r>
      <w:r w:rsidR="00AC3CA1" w:rsidRPr="00FB00FE">
        <w:t>Sprawa została zakomunikowana Rządowi w dniu 13</w:t>
      </w:r>
      <w:r w:rsidR="00B6245D">
        <w:t> </w:t>
      </w:r>
      <w:r w:rsidR="00AC3CA1" w:rsidRPr="00FB00FE">
        <w:t>października</w:t>
      </w:r>
      <w:r w:rsidR="00B6245D">
        <w:t> </w:t>
      </w:r>
      <w:r w:rsidR="00AC3CA1" w:rsidRPr="00FB00FE">
        <w:t>2014</w:t>
      </w:r>
      <w:r w:rsidR="00B6245D">
        <w:t> </w:t>
      </w:r>
      <w:r w:rsidR="00AC3CA1" w:rsidRPr="00FB00FE">
        <w:t>r.</w:t>
      </w:r>
    </w:p>
    <w:p w14:paraId="4A5F1BAB" w14:textId="18A5DF4D" w:rsidR="00626381" w:rsidRPr="00FB00FE" w:rsidRDefault="00124942" w:rsidP="00B4318F">
      <w:pPr>
        <w:pStyle w:val="JuPara"/>
      </w:pPr>
      <w:fldSimple w:instr=" SEQ level0 \*arabic ">
        <w:r w:rsidR="00FB00FE" w:rsidRPr="00FB00FE">
          <w:rPr>
            <w:noProof/>
          </w:rPr>
          <w:t>4</w:t>
        </w:r>
      </w:fldSimple>
      <w:r w:rsidR="00AC3CA1" w:rsidRPr="00FB00FE">
        <w:t>.</w:t>
      </w:r>
      <w:r w:rsidR="00EB56A9">
        <w:t xml:space="preserve"> </w:t>
      </w:r>
      <w:r w:rsidR="00AC3CA1" w:rsidRPr="00FB00FE">
        <w:t>Organizacje pozarządowe, tj. Centrum AIRE (Centrum Doradztwa w</w:t>
      </w:r>
      <w:r w:rsidR="00764263">
        <w:t> </w:t>
      </w:r>
      <w:r w:rsidR="00AC3CA1" w:rsidRPr="00FB00FE">
        <w:t>zakresie Praw Indywidualnych w Europie), ECRE (Europejska Rada ds.</w:t>
      </w:r>
      <w:r w:rsidR="00764263">
        <w:t> </w:t>
      </w:r>
      <w:r w:rsidR="00AC3CA1" w:rsidRPr="00FB00FE">
        <w:t>Uchodźców i Wypędzonych) oraz MTS (Międzynarodowa Komisja Prawników) („interwenienci zewnętrzni”), uzyskały zgodę przewodniczącego na udział w procedurze pisemnej (art.</w:t>
      </w:r>
      <w:r w:rsidR="00764263">
        <w:t> </w:t>
      </w:r>
      <w:r w:rsidR="00AC3CA1" w:rsidRPr="00FB00FE">
        <w:t>36 ust.</w:t>
      </w:r>
      <w:r w:rsidR="00764263">
        <w:t> </w:t>
      </w:r>
      <w:r w:rsidR="00AC3CA1" w:rsidRPr="00FB00FE">
        <w:t>2 Konwencji i 44</w:t>
      </w:r>
      <w:r w:rsidR="00764263">
        <w:t> </w:t>
      </w:r>
      <w:r w:rsidR="00AC3CA1" w:rsidRPr="00FB00FE">
        <w:t>§ 2 Regulaminu). Podmioty te wspólnie przedstawiły swoje uwagi na piśmie.</w:t>
      </w:r>
    </w:p>
    <w:p w14:paraId="3DB54CC8" w14:textId="77777777" w:rsidR="00E77CB3" w:rsidRPr="00FB00FE" w:rsidRDefault="00E77CB3" w:rsidP="00B4318F">
      <w:pPr>
        <w:pStyle w:val="JuHHead"/>
        <w:tabs>
          <w:tab w:val="left" w:pos="5387"/>
        </w:tabs>
      </w:pPr>
      <w:r w:rsidRPr="00FB00FE">
        <w:t>FAKTY</w:t>
      </w:r>
    </w:p>
    <w:p w14:paraId="6F4F7071" w14:textId="338ACC97" w:rsidR="00E77CB3" w:rsidRPr="00FB00FE" w:rsidRDefault="00764263" w:rsidP="00B4318F">
      <w:pPr>
        <w:pStyle w:val="JuHIRoman"/>
      </w:pPr>
      <w:r>
        <w:t> </w:t>
      </w:r>
      <w:r w:rsidR="00E77CB3" w:rsidRPr="00FB00FE">
        <w:t>OKOLICZNOŚCI SPRAWY</w:t>
      </w:r>
    </w:p>
    <w:p w14:paraId="55998C72" w14:textId="3CBC8EBE" w:rsidR="00626381" w:rsidRPr="00FB00FE" w:rsidRDefault="00124942" w:rsidP="00B4318F">
      <w:pPr>
        <w:pStyle w:val="JuPara"/>
      </w:pPr>
      <w:fldSimple w:instr=" SEQ level0 \*arabic ">
        <w:r w:rsidR="00FB00FE" w:rsidRPr="00FB00FE">
          <w:rPr>
            <w:noProof/>
          </w:rPr>
          <w:t>5</w:t>
        </w:r>
      </w:fldSimple>
      <w:r w:rsidR="00CF2503" w:rsidRPr="00FB00FE">
        <w:t>.</w:t>
      </w:r>
      <w:r w:rsidR="00EB56A9">
        <w:t xml:space="preserve"> </w:t>
      </w:r>
      <w:r w:rsidR="00CF2503" w:rsidRPr="00FB00FE">
        <w:t>Skarżący, p. Dagmara Bilalova („skarżąca”), urodzona w 1982</w:t>
      </w:r>
      <w:r w:rsidR="00764263">
        <w:t> </w:t>
      </w:r>
      <w:r w:rsidR="00CF2503" w:rsidRPr="00FB00FE">
        <w:t xml:space="preserve">r., i jej pięcioro dzieci („skarżące dzieci”), urodzone odpowiednio w latach 2004, 2006, 2008, 2009 i 2010, są obywatelami rosyjskimi pochodzenia </w:t>
      </w:r>
      <w:r w:rsidR="00CF2503" w:rsidRPr="00FB00FE">
        <w:lastRenderedPageBreak/>
        <w:t>czeczeńskiego. Obecnie mieszkają oni w Kurchaloi, w Republice Czeczeńskiej.</w:t>
      </w:r>
    </w:p>
    <w:p w14:paraId="7EADD2BE" w14:textId="77777777" w:rsidR="0096560F" w:rsidRPr="00FB00FE" w:rsidRDefault="002817EE" w:rsidP="00B4318F">
      <w:pPr>
        <w:pStyle w:val="JuHA"/>
      </w:pPr>
      <w:r w:rsidRPr="00FB00FE">
        <w:t>Pierwszy wniosek o nadanie statusu uchodźcy</w:t>
      </w:r>
    </w:p>
    <w:p w14:paraId="6D7AC15A" w14:textId="296C894C" w:rsidR="00626381" w:rsidRPr="00FB00FE" w:rsidRDefault="00124942" w:rsidP="00B4318F">
      <w:pPr>
        <w:pStyle w:val="JuPara"/>
      </w:pPr>
      <w:fldSimple w:instr=" SEQ level0 \*arabic ">
        <w:r w:rsidR="00FB00FE" w:rsidRPr="00FB00FE">
          <w:rPr>
            <w:noProof/>
          </w:rPr>
          <w:t>6</w:t>
        </w:r>
      </w:fldSimple>
      <w:r w:rsidR="0096560F" w:rsidRPr="00FB00FE">
        <w:t>.</w:t>
      </w:r>
      <w:r w:rsidR="00EB56A9">
        <w:t xml:space="preserve"> </w:t>
      </w:r>
      <w:r w:rsidR="0096560F" w:rsidRPr="00FB00FE">
        <w:t>W czerwcu 2013</w:t>
      </w:r>
      <w:r w:rsidR="00764263">
        <w:t> </w:t>
      </w:r>
      <w:r w:rsidR="0096560F" w:rsidRPr="00FB00FE">
        <w:t>r. mąż skarżącej i ojciec skarżących dzieci złożył do Urzędu do Spraw Cudzoziemców wniosek o nadanie statusu uchodźcy całej rodzinie, która w tym czasie przebywała na terytorium Polski. Po zawieszeniu w lipcu 2013</w:t>
      </w:r>
      <w:r w:rsidR="00764263">
        <w:t> </w:t>
      </w:r>
      <w:r w:rsidR="0096560F" w:rsidRPr="00FB00FE">
        <w:t>r. w związku z wyjazdem rodziny do Niemiec, postępowanie w</w:t>
      </w:r>
      <w:r w:rsidR="00B6245D">
        <w:t> </w:t>
      </w:r>
      <w:r w:rsidR="0096560F" w:rsidRPr="00FB00FE">
        <w:t>sprawie tego wniosku wznowiono w sierpniu 2013</w:t>
      </w:r>
      <w:r w:rsidR="00764263">
        <w:t> </w:t>
      </w:r>
      <w:r w:rsidR="0096560F" w:rsidRPr="00FB00FE">
        <w:t>r. po powrocie do Polski samego męża skarżącej.</w:t>
      </w:r>
    </w:p>
    <w:p w14:paraId="19587D21" w14:textId="6B7B767A" w:rsidR="00626381" w:rsidRPr="00FB00FE" w:rsidRDefault="00124942" w:rsidP="00B4318F">
      <w:pPr>
        <w:pStyle w:val="JuPara"/>
      </w:pPr>
      <w:fldSimple w:instr=" SEQ level0 \*arabic ">
        <w:r w:rsidR="00FB00FE" w:rsidRPr="00FB00FE">
          <w:rPr>
            <w:noProof/>
          </w:rPr>
          <w:t>7</w:t>
        </w:r>
      </w:fldSimple>
      <w:r w:rsidR="0096560F" w:rsidRPr="00FB00FE">
        <w:t>.</w:t>
      </w:r>
      <w:r w:rsidR="00EB56A9">
        <w:t xml:space="preserve"> </w:t>
      </w:r>
      <w:r w:rsidR="0096560F" w:rsidRPr="00FB00FE">
        <w:t>W dniu 21 stycznia 2014</w:t>
      </w:r>
      <w:r w:rsidR="00764263">
        <w:t> </w:t>
      </w:r>
      <w:r w:rsidR="0096560F" w:rsidRPr="00FB00FE">
        <w:t>r. Szef Urzędu do Spraw Cudzoziemców oddalił ww. wniosek, odmówił udzielenia rodzinie ochrony uzupełniającej i</w:t>
      </w:r>
      <w:r w:rsidR="00FB00FE">
        <w:t> </w:t>
      </w:r>
      <w:r w:rsidR="0096560F" w:rsidRPr="00FB00FE">
        <w:t>z</w:t>
      </w:r>
      <w:r w:rsidR="00764263">
        <w:t>a</w:t>
      </w:r>
      <w:r w:rsidR="0096560F" w:rsidRPr="00FB00FE">
        <w:t>decydował o jej wydaleniu. Decyzją z dnia 5 marca 2014</w:t>
      </w:r>
      <w:r w:rsidR="00764263">
        <w:t> </w:t>
      </w:r>
      <w:r w:rsidR="0096560F" w:rsidRPr="00FB00FE">
        <w:t xml:space="preserve">r., doręczoną skarżącej pięć dni później, odwołanie wniesione przez jej męża zostało oddalone, w związku z </w:t>
      </w:r>
      <w:r w:rsidR="00EB56A9" w:rsidRPr="00FB00FE">
        <w:t>czym wyjechał</w:t>
      </w:r>
      <w:r w:rsidR="0096560F" w:rsidRPr="00FB00FE">
        <w:t xml:space="preserve"> z Polski, najprawdopodobniej do Czeczenii.</w:t>
      </w:r>
    </w:p>
    <w:p w14:paraId="72C50FF6" w14:textId="2108C3B8" w:rsidR="0096560F" w:rsidRPr="00FB00FE" w:rsidRDefault="002817EE" w:rsidP="00B4318F">
      <w:pPr>
        <w:pStyle w:val="JuHA"/>
      </w:pPr>
      <w:r w:rsidRPr="00FB00FE">
        <w:t>Umieszczenie skarżących w strzeżonym ośrodku dla cudzoziemców i</w:t>
      </w:r>
      <w:r w:rsidR="00FB00FE">
        <w:t> </w:t>
      </w:r>
      <w:r w:rsidRPr="00FB00FE">
        <w:t>drugi wniosek o nadanie statusu uchodźcy</w:t>
      </w:r>
    </w:p>
    <w:p w14:paraId="0D023A52" w14:textId="2D869C80" w:rsidR="00626381" w:rsidRPr="00FB00FE" w:rsidRDefault="00124942" w:rsidP="00B4318F">
      <w:pPr>
        <w:pStyle w:val="JuPara"/>
      </w:pPr>
      <w:fldSimple w:instr=" SEQ level0 \*arabic ">
        <w:r w:rsidR="00FB00FE" w:rsidRPr="00FB00FE">
          <w:rPr>
            <w:noProof/>
          </w:rPr>
          <w:t>8</w:t>
        </w:r>
      </w:fldSimple>
      <w:r w:rsidR="0096560F" w:rsidRPr="00FB00FE">
        <w:t>.</w:t>
      </w:r>
      <w:r w:rsidR="00EB56A9">
        <w:t xml:space="preserve"> </w:t>
      </w:r>
      <w:r w:rsidR="0096560F" w:rsidRPr="00FB00FE">
        <w:t>W dniu 26 listopada 2013</w:t>
      </w:r>
      <w:r w:rsidR="001D1C7C">
        <w:t> </w:t>
      </w:r>
      <w:r w:rsidR="0096560F" w:rsidRPr="00FB00FE">
        <w:t>r. władze niemieckie przekazały skarżących władzom polskim zgodnie z procedurą określoną w rozporządzeniu Rady (WE) nr</w:t>
      </w:r>
      <w:r w:rsidR="001D1C7C">
        <w:t> </w:t>
      </w:r>
      <w:r w:rsidR="0096560F" w:rsidRPr="00FB00FE">
        <w:t>343/2003 z dnia 18 lutego 2003</w:t>
      </w:r>
      <w:r w:rsidR="001D1C7C">
        <w:t> </w:t>
      </w:r>
      <w:r w:rsidR="0096560F" w:rsidRPr="00FB00FE">
        <w:t>r. ustanawiającym kryteria i</w:t>
      </w:r>
      <w:r w:rsidR="00FB00FE">
        <w:t> </w:t>
      </w:r>
      <w:r w:rsidR="0096560F" w:rsidRPr="00FB00FE">
        <w:t>mechanizmy określania Państwa Członkowskiego właściwego dla rozpatrywania wniosku o azyl, wniesionego w jednym z Państw Członkowskich przez obywatela państwa trzeciego („rozporządzenie Dublin II”).</w:t>
      </w:r>
    </w:p>
    <w:p w14:paraId="29840946" w14:textId="01C36E27" w:rsidR="00626381" w:rsidRPr="00FB00FE" w:rsidRDefault="00124942" w:rsidP="00B4318F">
      <w:pPr>
        <w:pStyle w:val="JuPara"/>
      </w:pPr>
      <w:fldSimple w:instr=" SEQ level0 \*arabic ">
        <w:r w:rsidR="00FB00FE" w:rsidRPr="00FB00FE">
          <w:rPr>
            <w:noProof/>
          </w:rPr>
          <w:t>9</w:t>
        </w:r>
      </w:fldSimple>
      <w:r w:rsidR="007B6676" w:rsidRPr="00FB00FE">
        <w:t>.</w:t>
      </w:r>
      <w:r w:rsidR="00EB56A9">
        <w:t xml:space="preserve"> </w:t>
      </w:r>
      <w:r w:rsidR="007B6676" w:rsidRPr="00FB00FE">
        <w:t>W dniu 27 listopada 2013</w:t>
      </w:r>
      <w:r w:rsidR="00793556">
        <w:t> </w:t>
      </w:r>
      <w:r w:rsidR="007B6676" w:rsidRPr="00FB00FE">
        <w:t xml:space="preserve">r., na </w:t>
      </w:r>
      <w:r w:rsidR="004E3AED">
        <w:t>posiedzeniu</w:t>
      </w:r>
      <w:r w:rsidR="007B6676" w:rsidRPr="00FB00FE">
        <w:t>, na któr</w:t>
      </w:r>
      <w:r w:rsidR="004E3AED">
        <w:t>ym</w:t>
      </w:r>
      <w:r w:rsidR="007B6676" w:rsidRPr="00FB00FE">
        <w:t xml:space="preserve"> skarżąca stawiła się wraz z tłumaczem ustnym, Sąd Rejonowy w Zgorzelcu postanowił o</w:t>
      </w:r>
      <w:r w:rsidR="00FB00FE">
        <w:t> </w:t>
      </w:r>
      <w:r w:rsidR="007B6676" w:rsidRPr="00FB00FE">
        <w:t>umieszczeniu skarżących w strzeżonym ośrodku dla cudzoziemców na okres 60 dni, tj. do 24 stycznia 2014</w:t>
      </w:r>
      <w:r w:rsidR="00793556">
        <w:t> </w:t>
      </w:r>
      <w:r w:rsidR="007B6676" w:rsidRPr="00FB00FE">
        <w:t>r. Za podstawę swojego rozstrzygnięcia sąd ten przyjął art.</w:t>
      </w:r>
      <w:r w:rsidR="001A1885">
        <w:t> </w:t>
      </w:r>
      <w:r w:rsidR="007B6676" w:rsidRPr="00FB00FE">
        <w:t>88 ust.</w:t>
      </w:r>
      <w:r w:rsidR="001A1885">
        <w:t> </w:t>
      </w:r>
      <w:r w:rsidR="007B6676" w:rsidRPr="00FB00FE">
        <w:t>1 ustawy o udzielaniu cudzoziemcom ochrony na terytorium Rzeczypospolitej Polskiej („ustawa o</w:t>
      </w:r>
      <w:r w:rsidR="00B6245D">
        <w:t> </w:t>
      </w:r>
      <w:r w:rsidR="007B6676" w:rsidRPr="00FB00FE">
        <w:t>ochronie cudzoziemców”) w związku z art.</w:t>
      </w:r>
      <w:r w:rsidR="001A1885">
        <w:t> </w:t>
      </w:r>
      <w:r w:rsidR="007B6676" w:rsidRPr="00FB00FE">
        <w:t>89 ust.</w:t>
      </w:r>
      <w:r w:rsidR="001A1885">
        <w:t> </w:t>
      </w:r>
      <w:r w:rsidR="007B6676" w:rsidRPr="00FB00FE">
        <w:t>1 i art.</w:t>
      </w:r>
      <w:r w:rsidR="001A1885">
        <w:t> </w:t>
      </w:r>
      <w:r w:rsidR="007B6676" w:rsidRPr="00FB00FE">
        <w:t>87 ust.</w:t>
      </w:r>
      <w:r w:rsidR="001A1885">
        <w:t> </w:t>
      </w:r>
      <w:r w:rsidR="007B6676" w:rsidRPr="00FB00FE">
        <w:t>2 pkt</w:t>
      </w:r>
      <w:r w:rsidR="001A1885">
        <w:t> </w:t>
      </w:r>
      <w:r w:rsidR="007B6676" w:rsidRPr="00FB00FE">
        <w:t>1 tejże ustawy (par. 29</w:t>
      </w:r>
      <w:r w:rsidR="001A1885">
        <w:rPr>
          <w:rFonts w:cstheme="minorHAnsi"/>
        </w:rPr>
        <w:t>‒</w:t>
      </w:r>
      <w:r w:rsidR="007B6676" w:rsidRPr="00FB00FE">
        <w:t>31 poniżej).</w:t>
      </w:r>
    </w:p>
    <w:p w14:paraId="49647FB9" w14:textId="4BEF5B6B" w:rsidR="00626381" w:rsidRPr="00FB00FE" w:rsidRDefault="00C04A00" w:rsidP="00B4318F">
      <w:pPr>
        <w:pStyle w:val="JuPara"/>
      </w:pPr>
      <w:r w:rsidRPr="00FB00FE">
        <w:t>Biorąc pod uwagę fakt, że skarżący odbyli nielegalną podróż do Niemiec, że nie mieli miejsca zamieszkania</w:t>
      </w:r>
      <w:r w:rsidR="007C773A">
        <w:t>,</w:t>
      </w:r>
      <w:r w:rsidRPr="00FB00FE">
        <w:t xml:space="preserve"> </w:t>
      </w:r>
      <w:r w:rsidR="001A1885">
        <w:t>oraz</w:t>
      </w:r>
      <w:r w:rsidRPr="00FB00FE">
        <w:t xml:space="preserve"> że żaden z ich krewnych nie mógł ich przyjąć, sąd uznał że skarżąca nie dała gwarancji, że stawi się przed organami</w:t>
      </w:r>
      <w:r w:rsidR="007C773A">
        <w:t>,</w:t>
      </w:r>
      <w:r w:rsidRPr="00FB00FE">
        <w:t xml:space="preserve"> i że tym samym</w:t>
      </w:r>
      <w:r w:rsidR="007C773A">
        <w:t xml:space="preserve"> </w:t>
      </w:r>
      <w:r w:rsidRPr="00FB00FE">
        <w:t>jedynie zatrzymanie skarżących mogło zapewnić prawidłowy przebieg postępowania związanego z ich wnioskiem o nadanie statusu uchodźcy. Ponadto sąd uznał, że w niniejszej sprawie nie zostały spełnione przesłanki określone w art.</w:t>
      </w:r>
      <w:r w:rsidR="001A1885">
        <w:t> </w:t>
      </w:r>
      <w:r w:rsidRPr="00FB00FE">
        <w:t>88 ust.</w:t>
      </w:r>
      <w:r w:rsidR="001A1885">
        <w:t> </w:t>
      </w:r>
      <w:r w:rsidRPr="00FB00FE">
        <w:t>2 ustawy o ochronie cudzoziemców (zob. par.</w:t>
      </w:r>
      <w:r w:rsidR="001A1885">
        <w:t> </w:t>
      </w:r>
      <w:r w:rsidRPr="00FB00FE">
        <w:t>30 poniżej).</w:t>
      </w:r>
    </w:p>
    <w:p w14:paraId="2F84A603" w14:textId="12B8E029" w:rsidR="00626381" w:rsidRPr="00FB00FE" w:rsidRDefault="00124942" w:rsidP="00B4318F">
      <w:pPr>
        <w:pStyle w:val="JuPara"/>
      </w:pPr>
      <w:fldSimple w:instr=" SEQ level0 \*arabic ">
        <w:r w:rsidR="00FB00FE" w:rsidRPr="00FB00FE">
          <w:rPr>
            <w:noProof/>
          </w:rPr>
          <w:t>10</w:t>
        </w:r>
      </w:fldSimple>
      <w:r w:rsidR="00E96544" w:rsidRPr="00FB00FE">
        <w:t>.</w:t>
      </w:r>
      <w:r w:rsidR="00EB56A9">
        <w:t xml:space="preserve"> </w:t>
      </w:r>
      <w:r w:rsidR="00E96544" w:rsidRPr="00FB00FE">
        <w:t>Na koniec tej samej rozprawy sąd pouczył skarżącą o przysługujących jej środkach odwoławczych i terminach ich wnoszenia.</w:t>
      </w:r>
    </w:p>
    <w:p w14:paraId="0EE197B6" w14:textId="0DA26527" w:rsidR="00626381" w:rsidRPr="00FB00FE" w:rsidRDefault="00124942" w:rsidP="00B4318F">
      <w:pPr>
        <w:pStyle w:val="JuPara"/>
      </w:pPr>
      <w:fldSimple w:instr=" SEQ level0 \*arabic ">
        <w:r w:rsidR="00FB00FE" w:rsidRPr="00FB00FE">
          <w:rPr>
            <w:noProof/>
          </w:rPr>
          <w:t>11</w:t>
        </w:r>
      </w:fldSimple>
      <w:r w:rsidR="00AC5821" w:rsidRPr="00FB00FE">
        <w:t>.</w:t>
      </w:r>
      <w:r w:rsidR="00EB56A9">
        <w:t xml:space="preserve"> </w:t>
      </w:r>
      <w:r w:rsidR="00AC5821" w:rsidRPr="00FB00FE">
        <w:t>W dniu, który nie został wskazany w skardze, skarżących umieszczono w strzeżonym ośrodku dla cudzoziemców w Kętrzynie.</w:t>
      </w:r>
    </w:p>
    <w:p w14:paraId="7F85D3B1" w14:textId="3CEDE02D" w:rsidR="00626381" w:rsidRPr="00FB00FE" w:rsidRDefault="00124942" w:rsidP="00B4318F">
      <w:pPr>
        <w:pStyle w:val="JuPara"/>
      </w:pPr>
      <w:fldSimple w:instr=" SEQ level0 \*arabic ">
        <w:r w:rsidR="00FB00FE" w:rsidRPr="00FB00FE">
          <w:rPr>
            <w:noProof/>
          </w:rPr>
          <w:t>12</w:t>
        </w:r>
      </w:fldSimple>
      <w:r w:rsidR="0062688A" w:rsidRPr="00FB00FE">
        <w:t>.</w:t>
      </w:r>
      <w:r w:rsidR="00EB56A9">
        <w:t xml:space="preserve"> </w:t>
      </w:r>
      <w:r w:rsidR="0062688A" w:rsidRPr="00FB00FE">
        <w:t>W dniu 23 stycznia 2014</w:t>
      </w:r>
      <w:r w:rsidR="003A2DCB">
        <w:t> </w:t>
      </w:r>
      <w:r w:rsidR="0062688A" w:rsidRPr="00FB00FE">
        <w:t>r. Sąd Rejonowy w Kętrzynie, orzekając na podstawie art.</w:t>
      </w:r>
      <w:r w:rsidR="003A2DCB">
        <w:t> </w:t>
      </w:r>
      <w:r w:rsidR="0062688A" w:rsidRPr="00FB00FE">
        <w:t>89 ust.</w:t>
      </w:r>
      <w:r w:rsidR="003A2DCB">
        <w:t> </w:t>
      </w:r>
      <w:r w:rsidR="0062688A" w:rsidRPr="00FB00FE">
        <w:t>3 ustawy o ochronie cudzoziemców (par.</w:t>
      </w:r>
      <w:r w:rsidR="003A2DCB">
        <w:t> </w:t>
      </w:r>
      <w:r w:rsidR="0062688A" w:rsidRPr="00FB00FE">
        <w:t>31 poniżej), przedłużył stosowani</w:t>
      </w:r>
      <w:r w:rsidR="007C773A">
        <w:t>e</w:t>
      </w:r>
      <w:r w:rsidR="0062688A" w:rsidRPr="00FB00FE">
        <w:t xml:space="preserve"> środka detencyjnego wobec skarżących do 24 kwietnia 2014</w:t>
      </w:r>
      <w:r w:rsidR="003A2DCB">
        <w:t> </w:t>
      </w:r>
      <w:r w:rsidR="0062688A" w:rsidRPr="00FB00FE">
        <w:t>r. uznając, że ten dodatkowy okres jest niezbędny do wykonania decyzji o ich wydaleniu.</w:t>
      </w:r>
    </w:p>
    <w:p w14:paraId="4C171E71" w14:textId="17CBD023" w:rsidR="00626381" w:rsidRPr="00FB00FE" w:rsidRDefault="00124942" w:rsidP="00B4318F">
      <w:pPr>
        <w:pStyle w:val="JuPara"/>
      </w:pPr>
      <w:fldSimple w:instr=" SEQ level0 \*arabic ">
        <w:r w:rsidR="00FB00FE" w:rsidRPr="00FB00FE">
          <w:rPr>
            <w:noProof/>
          </w:rPr>
          <w:t>13</w:t>
        </w:r>
      </w:fldSimple>
      <w:r w:rsidR="00512CF2" w:rsidRPr="00FB00FE">
        <w:t>.</w:t>
      </w:r>
      <w:r w:rsidR="00EB56A9">
        <w:t xml:space="preserve"> </w:t>
      </w:r>
      <w:r w:rsidR="00512CF2" w:rsidRPr="00FB00FE">
        <w:t>W dniu 28 stycznia 2014</w:t>
      </w:r>
      <w:r w:rsidR="003A2DCB">
        <w:t> </w:t>
      </w:r>
      <w:r w:rsidR="00512CF2" w:rsidRPr="00FB00FE">
        <w:t>r. skarżąca zaskarżyła przedmiotowe postanowienie. Zarzuciła w szczególności, że postanawiając o przedłużeniu okresu zastosowania wobec niej środka detencyjnego Sąd Rejonowy nie wziął pod uwagę faktu, że towarzyszyły jej małe dzieci i nie rozważył czy za przedłużeniem okresu pobytu małoletnich w ośrodku przemawia ich dobro, czym dopuścił się naruszenia odpowiednich przepisów Konwencji o</w:t>
      </w:r>
      <w:r w:rsidR="003A2DCB">
        <w:t> </w:t>
      </w:r>
      <w:r w:rsidR="00512CF2" w:rsidRPr="00FB00FE">
        <w:t>Prawach Dziecka, art.</w:t>
      </w:r>
      <w:r w:rsidR="003A2DCB">
        <w:t> </w:t>
      </w:r>
      <w:r w:rsidR="00512CF2" w:rsidRPr="00FB00FE">
        <w:t xml:space="preserve">3 Konwencji oraz ustawy o cudzoziemcach. Przytaczając m.in. orzecznictwo w sprawie </w:t>
      </w:r>
      <w:r w:rsidR="00512CF2" w:rsidRPr="00FB00FE">
        <w:rPr>
          <w:i/>
          <w:iCs/>
        </w:rPr>
        <w:t>Kanagaratnam przeciwko Belgii</w:t>
      </w:r>
      <w:r w:rsidR="00512CF2" w:rsidRPr="00FB00FE">
        <w:t xml:space="preserve"> (skarga nr</w:t>
      </w:r>
      <w:r w:rsidR="003A2DCB">
        <w:t> </w:t>
      </w:r>
      <w:r w:rsidR="00512CF2" w:rsidRPr="00FB00FE">
        <w:t>15297/09, §</w:t>
      </w:r>
      <w:r w:rsidR="003A2DCB">
        <w:t> </w:t>
      </w:r>
      <w:r w:rsidR="00512CF2" w:rsidRPr="00FB00FE">
        <w:t xml:space="preserve">84, </w:t>
      </w:r>
      <w:r w:rsidR="00C167B8">
        <w:t xml:space="preserve">z dnia </w:t>
      </w:r>
      <w:r w:rsidR="00512CF2" w:rsidRPr="00FB00FE">
        <w:t>13 grudnia 2011</w:t>
      </w:r>
      <w:r w:rsidR="003A2DCB">
        <w:t> </w:t>
      </w:r>
      <w:r w:rsidR="00512CF2" w:rsidRPr="00FB00FE">
        <w:t>r.)skarżąca twierdziła, że pobyt dzieci w tego typu placówce sam w sobie</w:t>
      </w:r>
      <w:r w:rsidR="003A2DCB">
        <w:t xml:space="preserve"> jest</w:t>
      </w:r>
      <w:r w:rsidR="00512CF2" w:rsidRPr="00FB00FE">
        <w:t xml:space="preserve"> dla nich szkodliwy</w:t>
      </w:r>
      <w:r w:rsidR="005602B3">
        <w:t>,</w:t>
      </w:r>
      <w:r w:rsidR="00512CF2" w:rsidRPr="00FB00FE">
        <w:t xml:space="preserve"> i że przesądzające w tym zakresie, również w kontekście wydalenia, powinno być ich najlepiej pojęte dobro. Ponadto skarżąca skarżyła się na rozłąkę z mężem, którego umieszczono w ośrodku otwartym dla cudzoziemców w Dębaku k.</w:t>
      </w:r>
      <w:r w:rsidR="00FB00FE">
        <w:t> </w:t>
      </w:r>
      <w:r w:rsidR="00512CF2" w:rsidRPr="00FB00FE">
        <w:t>Warszawy.</w:t>
      </w:r>
    </w:p>
    <w:p w14:paraId="2DF7B9AE" w14:textId="00FC8065" w:rsidR="00F20EDF" w:rsidRPr="00FB00FE" w:rsidRDefault="00124942" w:rsidP="00B4318F">
      <w:pPr>
        <w:pStyle w:val="JuPara"/>
      </w:pPr>
      <w:fldSimple w:instr=" SEQ level0 \*arabic ">
        <w:r w:rsidR="00FB00FE" w:rsidRPr="00FB00FE">
          <w:rPr>
            <w:noProof/>
          </w:rPr>
          <w:t>14</w:t>
        </w:r>
      </w:fldSimple>
      <w:r w:rsidR="00BF37AD" w:rsidRPr="00FB00FE">
        <w:t>.</w:t>
      </w:r>
      <w:r w:rsidR="00EB56A9">
        <w:t xml:space="preserve"> </w:t>
      </w:r>
      <w:r w:rsidR="00BF37AD" w:rsidRPr="00FB00FE">
        <w:t>W piśmie uzupełniającym zażalenie skarżąca wskazała, że sama była pod opieką psychologa i psychiatry z powodu stresu, jaki miał wiązać się z</w:t>
      </w:r>
      <w:r w:rsidR="000C70E7">
        <w:t> </w:t>
      </w:r>
      <w:r w:rsidR="00BF37AD" w:rsidRPr="00FB00FE">
        <w:t>pozbawieniem jej wolności. W załączonym do tego dokumentu zaświadczeniu</w:t>
      </w:r>
      <w:r w:rsidR="000C70E7">
        <w:t>,</w:t>
      </w:r>
      <w:r w:rsidR="00BF37AD" w:rsidRPr="00FB00FE">
        <w:t xml:space="preserve"> sporządzonym 31 stycznia 2014</w:t>
      </w:r>
      <w:r w:rsidR="000C70E7">
        <w:t> </w:t>
      </w:r>
      <w:r w:rsidR="00BF37AD" w:rsidRPr="00FB00FE">
        <w:t>r. przez psychiatrę, stwierdzono, że skarżąca cierpiała na typowe zaburzenia lękowe (</w:t>
      </w:r>
      <w:r w:rsidR="000C70E7">
        <w:t>lecz</w:t>
      </w:r>
      <w:r w:rsidR="00BF37AD" w:rsidRPr="00FB00FE">
        <w:t xml:space="preserve"> nie o</w:t>
      </w:r>
      <w:r w:rsidR="00FB00FE">
        <w:t> </w:t>
      </w:r>
      <w:r w:rsidR="00BF37AD" w:rsidRPr="00FB00FE">
        <w:t>charakterze psychotycznym), że zaburzenia te mogły wynikać z</w:t>
      </w:r>
      <w:r w:rsidR="00FB00FE">
        <w:t> </w:t>
      </w:r>
      <w:r w:rsidR="00BF37AD" w:rsidRPr="00FB00FE">
        <w:t>odczuwanego przez skarżącą leku</w:t>
      </w:r>
      <w:r w:rsidR="005F3A58">
        <w:t>,</w:t>
      </w:r>
      <w:r w:rsidR="00BF37AD" w:rsidRPr="00FB00FE">
        <w:t xml:space="preserve"> oraz że zalecono jej kontrolę i leczenie farmakologiczne.</w:t>
      </w:r>
    </w:p>
    <w:p w14:paraId="139B1FE1" w14:textId="71D66693" w:rsidR="00626381" w:rsidRPr="00FB00FE" w:rsidRDefault="00124942" w:rsidP="00B4318F">
      <w:pPr>
        <w:pStyle w:val="JuPara"/>
      </w:pPr>
      <w:fldSimple w:instr=" SEQ level0 \*arabic ">
        <w:r w:rsidR="00FB00FE" w:rsidRPr="00FB00FE">
          <w:rPr>
            <w:noProof/>
          </w:rPr>
          <w:t>15</w:t>
        </w:r>
      </w:fldSimple>
      <w:r w:rsidR="00512CF2" w:rsidRPr="00FB00FE">
        <w:t>.</w:t>
      </w:r>
      <w:r w:rsidR="00EB56A9">
        <w:t xml:space="preserve"> </w:t>
      </w:r>
      <w:r w:rsidR="00512CF2" w:rsidRPr="00FB00FE">
        <w:t>W dniu 21 lutego 2014</w:t>
      </w:r>
      <w:r w:rsidR="000C70E7">
        <w:t> </w:t>
      </w:r>
      <w:r w:rsidR="00512CF2" w:rsidRPr="00FB00FE">
        <w:t>r. Sąd Okręgowy w Olsztynie oddalił zażalenie skarżącej. W uzasadnieniu swojego rozstrzygnięcia sąd ten wskazał, że przedmiotowy środek jest zgodny z dyspozycją art.</w:t>
      </w:r>
      <w:r w:rsidR="000C70E7">
        <w:t> </w:t>
      </w:r>
      <w:r w:rsidR="00512CF2" w:rsidRPr="00FB00FE">
        <w:t>89 ust.</w:t>
      </w:r>
      <w:r w:rsidR="000C70E7">
        <w:t> </w:t>
      </w:r>
      <w:r w:rsidR="00512CF2" w:rsidRPr="00FB00FE">
        <w:t>3 ustawy o</w:t>
      </w:r>
      <w:r w:rsidR="00B6245D">
        <w:t> </w:t>
      </w:r>
      <w:r w:rsidR="00512CF2" w:rsidRPr="00FB00FE">
        <w:t>ochronie cudzoziemców (par.</w:t>
      </w:r>
      <w:r w:rsidR="000C70E7">
        <w:t> </w:t>
      </w:r>
      <w:r w:rsidR="00512CF2" w:rsidRPr="00FB00FE">
        <w:t>31 poniżej) i jest uzasadniony w</w:t>
      </w:r>
      <w:r w:rsidR="000C70E7">
        <w:t> </w:t>
      </w:r>
      <w:r w:rsidR="00512CF2" w:rsidRPr="00FB00FE">
        <w:t>świetle okoliczności sprawy. Przypominając, że skarżący nielegalnie przekroczyli granice Niemiec, sąd uznał że przedłużenie okresu stosowania wobec nich środka detencyjnego jest konieczne dla zapewnienia sprawnego przebiegu postępowania w sprawie ich wniosku o</w:t>
      </w:r>
      <w:r w:rsidR="00AB605B">
        <w:t> </w:t>
      </w:r>
      <w:r w:rsidR="00512CF2" w:rsidRPr="00FB00FE">
        <w:t>nadanie statusu uchodźcy oraz prawidłowego wykonania decyzji o ich wydaleniu.</w:t>
      </w:r>
    </w:p>
    <w:p w14:paraId="4122C225" w14:textId="2883ACD8" w:rsidR="00626381" w:rsidRPr="00FB00FE" w:rsidRDefault="00390208" w:rsidP="00B4318F">
      <w:pPr>
        <w:pStyle w:val="JuPara"/>
      </w:pPr>
      <w:r w:rsidRPr="00FB00FE">
        <w:t>Sąd uznał również, że pobyt skarżących dzieci w ośrodku strzeżonym nie jest sprzeczny z ich dobrem, ponieważ nie zostały on</w:t>
      </w:r>
      <w:r w:rsidR="00AB605B">
        <w:t>e</w:t>
      </w:r>
      <w:r w:rsidRPr="00FB00FE">
        <w:t xml:space="preserve"> rozdzielone z matką, a z udostępnionych sądowi zaświadczeń lekarskich nie wynikało żadne przeciwwskazanie do zastosowania tego środka.</w:t>
      </w:r>
    </w:p>
    <w:p w14:paraId="6D7EE340" w14:textId="48F4E6E7" w:rsidR="00626381" w:rsidRPr="00FB00FE" w:rsidRDefault="00124942" w:rsidP="00B4318F">
      <w:pPr>
        <w:pStyle w:val="JuPara"/>
      </w:pPr>
      <w:fldSimple w:instr=" SEQ level0 \*arabic ">
        <w:r w:rsidR="00FB00FE" w:rsidRPr="00FB00FE">
          <w:rPr>
            <w:noProof/>
          </w:rPr>
          <w:t>16</w:t>
        </w:r>
      </w:fldSimple>
      <w:r w:rsidR="00512CF2" w:rsidRPr="00FB00FE">
        <w:t>.</w:t>
      </w:r>
      <w:r w:rsidR="00EB56A9">
        <w:t xml:space="preserve"> </w:t>
      </w:r>
      <w:r w:rsidR="00512CF2" w:rsidRPr="00FB00FE">
        <w:t>W dniu 13 marca 2014</w:t>
      </w:r>
      <w:r w:rsidR="00AB605B">
        <w:t> </w:t>
      </w:r>
      <w:r w:rsidR="00512CF2" w:rsidRPr="00FB00FE">
        <w:t>r. skarżąca złożyła nowy wniosek o nadanie statusu uchodźcy.</w:t>
      </w:r>
    </w:p>
    <w:p w14:paraId="37E0F7FA" w14:textId="50AB6B77" w:rsidR="00626381" w:rsidRPr="00FB00FE" w:rsidRDefault="00124942" w:rsidP="00B4318F">
      <w:pPr>
        <w:pStyle w:val="JuPara"/>
      </w:pPr>
      <w:fldSimple w:instr=" SEQ level0 \*arabic ">
        <w:r w:rsidR="00FB00FE" w:rsidRPr="00FB00FE">
          <w:rPr>
            <w:noProof/>
          </w:rPr>
          <w:t>17</w:t>
        </w:r>
      </w:fldSimple>
      <w:r w:rsidR="00512CF2" w:rsidRPr="00FB00FE">
        <w:t>.</w:t>
      </w:r>
      <w:r w:rsidR="00EB56A9">
        <w:t xml:space="preserve"> </w:t>
      </w:r>
      <w:r w:rsidR="00512CF2" w:rsidRPr="00FB00FE">
        <w:t>W dniu, który nie został wskazany w skardze, skarżąca przedłożyła władzom zaświadczenie sporządzone w dniu 24 marca 2014</w:t>
      </w:r>
      <w:r w:rsidR="009273CD">
        <w:t> </w:t>
      </w:r>
      <w:r w:rsidR="00512CF2" w:rsidRPr="00FB00FE">
        <w:t xml:space="preserve">r. przez psychologa </w:t>
      </w:r>
      <w:r w:rsidR="009273CD">
        <w:t xml:space="preserve">ze </w:t>
      </w:r>
      <w:r w:rsidR="00512CF2" w:rsidRPr="00FB00FE">
        <w:t xml:space="preserve">stowarzyszenia udzielającego wsparcia psychologicznego migrantom. </w:t>
      </w:r>
      <w:r w:rsidR="009273CD">
        <w:t>W dokumencie tym zawarto</w:t>
      </w:r>
      <w:r w:rsidR="00512CF2" w:rsidRPr="00FB00FE">
        <w:t xml:space="preserve"> opis trudnych doświadczeń i</w:t>
      </w:r>
      <w:r w:rsidR="00FB00FE">
        <w:t> </w:t>
      </w:r>
      <w:r w:rsidR="00512CF2" w:rsidRPr="00FB00FE">
        <w:t xml:space="preserve">niestabilności psychologicznej skarżących, a także wzmiankę o przemocy domowej, której skarżąca </w:t>
      </w:r>
      <w:r w:rsidR="009273CD">
        <w:t>padła</w:t>
      </w:r>
      <w:r w:rsidR="00512CF2" w:rsidRPr="00FB00FE">
        <w:t xml:space="preserve"> ofiarą. Zauważono ponadto, że przedłużenie okresu pobytu skarżących dzieci w strzeżonym ośrodku mogło być dla nich szkodliwe</w:t>
      </w:r>
      <w:r w:rsidR="004F580E">
        <w:t>,</w:t>
      </w:r>
      <w:r w:rsidR="00512CF2" w:rsidRPr="00FB00FE">
        <w:t xml:space="preserve"> oraz że nie zbadano wpływu zastosowania tego środka na ich stan psychiczny. W zaświadczeniu zalecono, by skarżące dzieci zostały umieszczone w placówce bez stałego nadzoru ze strony umundurowanego personelu oraz by zapewniono im terapię odpowiednią do ich szczególnej sytuacji.</w:t>
      </w:r>
    </w:p>
    <w:p w14:paraId="4C95F0AF" w14:textId="4418138F" w:rsidR="00626381" w:rsidRPr="00FB00FE" w:rsidRDefault="00124942" w:rsidP="00B4318F">
      <w:pPr>
        <w:pStyle w:val="JuPara"/>
      </w:pPr>
      <w:fldSimple w:instr=" SEQ level0 \*arabic ">
        <w:r w:rsidR="00FB00FE" w:rsidRPr="00FB00FE">
          <w:rPr>
            <w:noProof/>
          </w:rPr>
          <w:t>18</w:t>
        </w:r>
      </w:fldSimple>
      <w:r w:rsidR="00356080" w:rsidRPr="00FB00FE">
        <w:t>.</w:t>
      </w:r>
      <w:r w:rsidR="00EB56A9">
        <w:t xml:space="preserve"> </w:t>
      </w:r>
      <w:r w:rsidR="00356080" w:rsidRPr="00FB00FE">
        <w:t>W dniu 25 marca 2014</w:t>
      </w:r>
      <w:r w:rsidR="009273CD">
        <w:t> </w:t>
      </w:r>
      <w:r w:rsidR="00356080" w:rsidRPr="00FB00FE">
        <w:t>r. skarżąca zwróciła się do Trybunału, na podstawie art.</w:t>
      </w:r>
      <w:r w:rsidR="009273CD">
        <w:t> </w:t>
      </w:r>
      <w:r w:rsidR="00356080" w:rsidRPr="00FB00FE">
        <w:t>39 Regulaminu Trybunału, z wnioskiem o wstrzymanie wykonania decyzji o wydaleniu do Federacji Rosyjskiej. W dniu 27 marca 2014</w:t>
      </w:r>
      <w:r w:rsidR="009273CD">
        <w:t> </w:t>
      </w:r>
      <w:r w:rsidR="00356080" w:rsidRPr="00FB00FE">
        <w:t xml:space="preserve">r. Trybunał postanowił </w:t>
      </w:r>
      <w:r w:rsidR="00EB56A9">
        <w:t xml:space="preserve">o </w:t>
      </w:r>
      <w:r w:rsidR="00EB56A9" w:rsidRPr="00FB00FE">
        <w:t>nieuwzględnieniu</w:t>
      </w:r>
      <w:r w:rsidR="00356080" w:rsidRPr="00FB00FE">
        <w:t xml:space="preserve"> tego wniosku.</w:t>
      </w:r>
    </w:p>
    <w:p w14:paraId="2F3F52A0" w14:textId="6C0D954D" w:rsidR="00626381" w:rsidRPr="00FB00FE" w:rsidRDefault="00124942" w:rsidP="00B4318F">
      <w:pPr>
        <w:pStyle w:val="JuPara"/>
      </w:pPr>
      <w:fldSimple w:instr=" SEQ level0 \*arabic ">
        <w:r w:rsidR="00FB00FE" w:rsidRPr="00FB00FE">
          <w:rPr>
            <w:noProof/>
          </w:rPr>
          <w:t>19</w:t>
        </w:r>
      </w:fldSimple>
      <w:r w:rsidR="00512CF2" w:rsidRPr="00FB00FE">
        <w:t>.</w:t>
      </w:r>
      <w:r w:rsidR="00EB56A9">
        <w:t xml:space="preserve"> </w:t>
      </w:r>
      <w:r w:rsidR="00512CF2" w:rsidRPr="00FB00FE">
        <w:t>W międzyczasie, 26 marca 2014</w:t>
      </w:r>
      <w:r w:rsidR="009273CD">
        <w:t> </w:t>
      </w:r>
      <w:r w:rsidR="00512CF2" w:rsidRPr="00FB00FE">
        <w:t>r., Fundacja Helsińska zwróciła się do Komendanta Głównego Straży Granicznej z prośbą o</w:t>
      </w:r>
      <w:r w:rsidR="00FB00FE">
        <w:t> </w:t>
      </w:r>
      <w:r w:rsidR="00512CF2" w:rsidRPr="00FB00FE">
        <w:t>niewydalanie skarżących przed upływem terminu na zaskarżenie decyzji z</w:t>
      </w:r>
      <w:r w:rsidR="009273CD">
        <w:t> </w:t>
      </w:r>
      <w:r w:rsidR="00512CF2" w:rsidRPr="00FB00FE">
        <w:t>5 marca 2014</w:t>
      </w:r>
      <w:r w:rsidR="009273CD">
        <w:t> </w:t>
      </w:r>
      <w:r w:rsidR="00512CF2" w:rsidRPr="00FB00FE">
        <w:t>r. (par.</w:t>
      </w:r>
      <w:r w:rsidR="009273CD">
        <w:t> </w:t>
      </w:r>
      <w:r w:rsidR="00512CF2" w:rsidRPr="00FB00FE">
        <w:t xml:space="preserve">7 powyżej) </w:t>
      </w:r>
      <w:r w:rsidR="00FB00FE">
        <w:t>–</w:t>
      </w:r>
      <w:r w:rsidR="00512CF2" w:rsidRPr="00FB00FE">
        <w:t xml:space="preserve"> miało to miejsce na etapie sporządzania pisma.</w:t>
      </w:r>
    </w:p>
    <w:p w14:paraId="2B5190EE" w14:textId="5E2F8438" w:rsidR="00626381" w:rsidRPr="00FB00FE" w:rsidRDefault="00124942" w:rsidP="00B4318F">
      <w:pPr>
        <w:pStyle w:val="JuPara"/>
      </w:pPr>
      <w:fldSimple w:instr=" SEQ level0 \*arabic ">
        <w:r w:rsidR="00FB00FE" w:rsidRPr="00FB00FE">
          <w:rPr>
            <w:noProof/>
          </w:rPr>
          <w:t>20</w:t>
        </w:r>
      </w:fldSimple>
      <w:r w:rsidR="00512CF2" w:rsidRPr="00FB00FE">
        <w:t>.</w:t>
      </w:r>
      <w:r w:rsidR="00EB56A9">
        <w:t xml:space="preserve"> </w:t>
      </w:r>
      <w:r w:rsidR="00512CF2" w:rsidRPr="00FB00FE">
        <w:t>W dniu 28 marca 2014</w:t>
      </w:r>
      <w:r w:rsidR="009273CD">
        <w:t> </w:t>
      </w:r>
      <w:r w:rsidR="00512CF2" w:rsidRPr="00FB00FE">
        <w:t>r. Fundacja Helsińska została poinformowana przez władze, że skarżących wydalono dzień wcześniej.</w:t>
      </w:r>
    </w:p>
    <w:p w14:paraId="7331B4E7" w14:textId="6025AACC" w:rsidR="00626381" w:rsidRPr="00FB00FE" w:rsidRDefault="00124942" w:rsidP="00B4318F">
      <w:pPr>
        <w:pStyle w:val="JuPara"/>
      </w:pPr>
      <w:fldSimple w:instr=" SEQ level0 \*arabic ">
        <w:r w:rsidR="00FB00FE" w:rsidRPr="00FB00FE">
          <w:rPr>
            <w:noProof/>
          </w:rPr>
          <w:t>21</w:t>
        </w:r>
      </w:fldSimple>
      <w:r w:rsidR="00512CF2" w:rsidRPr="00FB00FE">
        <w:t>.</w:t>
      </w:r>
      <w:r w:rsidR="00EB56A9">
        <w:t xml:space="preserve"> </w:t>
      </w:r>
      <w:r w:rsidR="00512CF2" w:rsidRPr="00FB00FE">
        <w:t>W dniu 4 kwietnia 2014</w:t>
      </w:r>
      <w:r w:rsidR="009273CD">
        <w:t> </w:t>
      </w:r>
      <w:r w:rsidR="00512CF2" w:rsidRPr="00FB00FE">
        <w:t>r. pełnomocnik skarżącej zaskarżył decyzję z</w:t>
      </w:r>
      <w:r w:rsidR="00B6245D">
        <w:t> </w:t>
      </w:r>
      <w:r w:rsidR="00512CF2" w:rsidRPr="00FB00FE">
        <w:t>5 marca 2014</w:t>
      </w:r>
      <w:r w:rsidR="009273CD">
        <w:t> </w:t>
      </w:r>
      <w:r w:rsidR="00512CF2" w:rsidRPr="00FB00FE">
        <w:t>r. do Sądu Administracyjnego w Warszawie.</w:t>
      </w:r>
    </w:p>
    <w:p w14:paraId="54F5F5D5" w14:textId="481CD3CF" w:rsidR="00626381" w:rsidRPr="00FB00FE" w:rsidRDefault="00124942" w:rsidP="00B4318F">
      <w:pPr>
        <w:pStyle w:val="JuPara"/>
      </w:pPr>
      <w:fldSimple w:instr=" SEQ level0 \*arabic ">
        <w:r w:rsidR="00FB00FE" w:rsidRPr="00FB00FE">
          <w:rPr>
            <w:noProof/>
          </w:rPr>
          <w:t>22</w:t>
        </w:r>
      </w:fldSimple>
      <w:r w:rsidR="00A7640C" w:rsidRPr="00FB00FE">
        <w:t>.</w:t>
      </w:r>
      <w:r w:rsidR="00EB56A9">
        <w:t xml:space="preserve"> </w:t>
      </w:r>
      <w:r w:rsidR="00A7640C" w:rsidRPr="00FB00FE">
        <w:t>W dniu 1 listopada 2014</w:t>
      </w:r>
      <w:r w:rsidR="009273CD">
        <w:t> </w:t>
      </w:r>
      <w:r w:rsidR="00A7640C" w:rsidRPr="00FB00FE">
        <w:t>r. Szef Urzędu do Spraw Cudzoziemców umorzył postępowanie w sprawie drugiego wniosku o nadanie statusu uchodźcy, uzasadniając to wydaleniem skarżących, do którego doszło w</w:t>
      </w:r>
      <w:r w:rsidR="009273CD">
        <w:t> </w:t>
      </w:r>
      <w:r w:rsidR="00A7640C" w:rsidRPr="00FB00FE">
        <w:t>międzyczasie.</w:t>
      </w:r>
    </w:p>
    <w:p w14:paraId="7AE4C637" w14:textId="1300DA7F" w:rsidR="00626381" w:rsidRPr="00FB00FE" w:rsidRDefault="00124942" w:rsidP="00B4318F">
      <w:pPr>
        <w:pStyle w:val="JuPara"/>
      </w:pPr>
      <w:fldSimple w:instr=" SEQ level0 \*arabic ">
        <w:r w:rsidR="00FB00FE" w:rsidRPr="00FB00FE">
          <w:rPr>
            <w:noProof/>
          </w:rPr>
          <w:t>23</w:t>
        </w:r>
      </w:fldSimple>
      <w:r w:rsidR="00C11523" w:rsidRPr="00FB00FE">
        <w:t>.</w:t>
      </w:r>
      <w:r w:rsidR="00EB56A9">
        <w:t xml:space="preserve"> </w:t>
      </w:r>
      <w:r w:rsidR="00C11523" w:rsidRPr="00FB00FE">
        <w:t>W dniu 16 marca 2015</w:t>
      </w:r>
      <w:r w:rsidR="009273CD">
        <w:t> </w:t>
      </w:r>
      <w:r w:rsidR="00C11523" w:rsidRPr="00FB00FE">
        <w:t>r. Wojewódzki Sąd Administracyjny w</w:t>
      </w:r>
      <w:r w:rsidR="009273CD">
        <w:t> </w:t>
      </w:r>
      <w:r w:rsidR="00C11523" w:rsidRPr="00FB00FE">
        <w:t>Warszawie oddalił skargę z 4 kwietnia 2014</w:t>
      </w:r>
      <w:r w:rsidR="009273CD">
        <w:t> </w:t>
      </w:r>
      <w:r w:rsidR="00C11523" w:rsidRPr="00FB00FE">
        <w:t>r., a 17 lutego 2017</w:t>
      </w:r>
      <w:r w:rsidR="009273CD">
        <w:t> </w:t>
      </w:r>
      <w:r w:rsidR="00C11523" w:rsidRPr="00FB00FE">
        <w:t>r. Naczelny Sąd Administracyjny oddalił skargę kasacyjną skarżącej.</w:t>
      </w:r>
    </w:p>
    <w:p w14:paraId="35952404" w14:textId="28ED0282" w:rsidR="0062688A" w:rsidRPr="00FB00FE" w:rsidRDefault="002817EE" w:rsidP="00B4318F">
      <w:pPr>
        <w:pStyle w:val="JuHA"/>
      </w:pPr>
      <w:r w:rsidRPr="00FB00FE">
        <w:t>Warunki pobytu skarżących w strzeżonym ośrodku dla cudzoziemców w</w:t>
      </w:r>
      <w:r w:rsidR="00FB00FE">
        <w:t> </w:t>
      </w:r>
      <w:r w:rsidRPr="00FB00FE">
        <w:t>Kętrzynie</w:t>
      </w:r>
    </w:p>
    <w:p w14:paraId="359386FE" w14:textId="400EB930" w:rsidR="00626381" w:rsidRPr="00FB00FE" w:rsidRDefault="00124942" w:rsidP="00B4318F">
      <w:pPr>
        <w:pStyle w:val="JuPara"/>
      </w:pPr>
      <w:fldSimple w:instr=" SEQ level0 \*arabic ">
        <w:r w:rsidR="00FB00FE" w:rsidRPr="00FB00FE">
          <w:rPr>
            <w:noProof/>
          </w:rPr>
          <w:t>24</w:t>
        </w:r>
      </w:fldSimple>
      <w:r w:rsidR="0062688A" w:rsidRPr="00FB00FE">
        <w:t>.</w:t>
      </w:r>
      <w:r w:rsidR="00EB56A9">
        <w:t xml:space="preserve"> </w:t>
      </w:r>
      <w:r w:rsidR="0062688A" w:rsidRPr="00FB00FE">
        <w:t>Zgodnie z informacjami przekazanymi Trybunałowi przez Rząd, po przyjęciu do strzeżonego ośrodka w Kętrzynie, skarżących poddano badaniu lekarskiemu. Podczas późniejszego pobytu w ośrodku skarżąca kilkakrotnie odbyła konsultacje medyczne i spotkanie z psychologiem, a skarżące dzieci zostały zbadane przez pediatrę.</w:t>
      </w:r>
    </w:p>
    <w:p w14:paraId="77AE9A6F" w14:textId="1B9E9B8C" w:rsidR="00626381" w:rsidRPr="00FB00FE" w:rsidRDefault="00124942" w:rsidP="00B4318F">
      <w:pPr>
        <w:pStyle w:val="JuPara"/>
      </w:pPr>
      <w:fldSimple w:instr=" SEQ level0 \*arabic ">
        <w:r w:rsidR="00FB00FE" w:rsidRPr="00FB00FE">
          <w:rPr>
            <w:noProof/>
          </w:rPr>
          <w:t>25</w:t>
        </w:r>
      </w:fldSimple>
      <w:r w:rsidR="0062688A" w:rsidRPr="00FB00FE">
        <w:t>.</w:t>
      </w:r>
      <w:r w:rsidR="00EB56A9">
        <w:t xml:space="preserve"> </w:t>
      </w:r>
      <w:r w:rsidR="0062688A" w:rsidRPr="00FB00FE">
        <w:t>Pracownicy ośrodka kilkakrotnie zaopatrywali skarżących w odzież.</w:t>
      </w:r>
    </w:p>
    <w:p w14:paraId="00677E34" w14:textId="63573B74" w:rsidR="00626381" w:rsidRPr="00FB00FE" w:rsidRDefault="00124942" w:rsidP="00B4318F">
      <w:pPr>
        <w:pStyle w:val="JuPara"/>
      </w:pPr>
      <w:fldSimple w:instr=" SEQ level0 \*arabic ">
        <w:r w:rsidR="00FB00FE" w:rsidRPr="00FB00FE">
          <w:rPr>
            <w:noProof/>
          </w:rPr>
          <w:t>26</w:t>
        </w:r>
      </w:fldSimple>
      <w:r w:rsidR="003244F6" w:rsidRPr="00FB00FE">
        <w:t>.</w:t>
      </w:r>
      <w:r w:rsidR="00EB56A9">
        <w:t xml:space="preserve"> </w:t>
      </w:r>
      <w:r w:rsidR="003244F6" w:rsidRPr="00FB00FE">
        <w:t>Dwoje najstarszych skarżących dzieci uczęszczało na zajęcia dydaktyczne na poziomie odpowiadającym poziomowi szkoły podstawowej, a jedno z trzech pozostałych skarżących dzieci nie uczęszczało na te zajęcia, mimo że miało do tego prawo. Wszystkie skarżące dzieci uczestniczyły w</w:t>
      </w:r>
      <w:r w:rsidR="002518DE">
        <w:t> </w:t>
      </w:r>
      <w:r w:rsidR="003244F6" w:rsidRPr="00FB00FE">
        <w:t>zajęciach rekreacyjnych oraz warsztatach muzycznych i teatralnych oferowanych przez ośrodek detencyjny. Miały do dyspozycji zabawki i</w:t>
      </w:r>
      <w:r w:rsidR="00FB00FE">
        <w:t> </w:t>
      </w:r>
      <w:r w:rsidR="003244F6" w:rsidRPr="00FB00FE">
        <w:t>książki dostosowane do ich wieku.</w:t>
      </w:r>
    </w:p>
    <w:p w14:paraId="1D613755" w14:textId="626E5221" w:rsidR="00763885" w:rsidRPr="00FB00FE" w:rsidRDefault="00124942" w:rsidP="00B4318F">
      <w:pPr>
        <w:pStyle w:val="JuPara"/>
      </w:pPr>
      <w:fldSimple w:instr=" SEQ level0 \*arabic ">
        <w:r w:rsidR="00FB00FE" w:rsidRPr="00FB00FE">
          <w:rPr>
            <w:noProof/>
          </w:rPr>
          <w:t>27</w:t>
        </w:r>
      </w:fldSimple>
      <w:r w:rsidR="000C7694" w:rsidRPr="00FB00FE">
        <w:t>.</w:t>
      </w:r>
      <w:r w:rsidR="00EB56A9">
        <w:t xml:space="preserve"> </w:t>
      </w:r>
      <w:r w:rsidR="000C7694" w:rsidRPr="00FB00FE">
        <w:t>Skarżący mieli możliwość przebywania poza zamkniętymi pomieszczeniami ośrodka, ale w jego obrębie, w godzinach od 9.00 do 21.00.</w:t>
      </w:r>
    </w:p>
    <w:p w14:paraId="35947253" w14:textId="03099CD9" w:rsidR="00626381" w:rsidRPr="00FB00FE" w:rsidRDefault="00124942" w:rsidP="00B4318F">
      <w:pPr>
        <w:pStyle w:val="JuPara"/>
      </w:pPr>
      <w:fldSimple w:instr=" SEQ level0 \*arabic ">
        <w:r w:rsidR="00FB00FE" w:rsidRPr="00FB00FE">
          <w:rPr>
            <w:noProof/>
          </w:rPr>
          <w:t>28</w:t>
        </w:r>
      </w:fldSimple>
      <w:r w:rsidR="00AE4D07" w:rsidRPr="00FB00FE">
        <w:t>.</w:t>
      </w:r>
      <w:r w:rsidR="00EB56A9">
        <w:t xml:space="preserve"> </w:t>
      </w:r>
      <w:r w:rsidR="00AE4D07" w:rsidRPr="00FB00FE">
        <w:t>Z zeznań pracowników ośrodka wynika, że po przybyciu do niego skarżące dzieci były przerażone i niechętne do nawiązania kontaktu z innymi osobami przebywającymi w ośrodku. Jednak w późniejszym czasie ich zachowanie uległo poprawie.</w:t>
      </w:r>
    </w:p>
    <w:p w14:paraId="1AF2B618" w14:textId="77777777" w:rsidR="00E77CB3" w:rsidRPr="00FB00FE" w:rsidRDefault="00E77CB3" w:rsidP="00B4318F">
      <w:pPr>
        <w:pStyle w:val="JuHIRoman"/>
      </w:pPr>
      <w:r w:rsidRPr="00FB00FE">
        <w:t>WŁAŚCIWE PRAWO KRAJOWE I PRAKTYKA</w:t>
      </w:r>
    </w:p>
    <w:p w14:paraId="6C406552" w14:textId="77777777" w:rsidR="00A433D3" w:rsidRPr="00FB00FE" w:rsidRDefault="009D2031" w:rsidP="00B4318F">
      <w:pPr>
        <w:pStyle w:val="JuHA"/>
      </w:pPr>
      <w:r w:rsidRPr="00FB00FE">
        <w:t>Właściwe prawo krajowe i praktyka</w:t>
      </w:r>
    </w:p>
    <w:p w14:paraId="7D7BFA3D" w14:textId="76DD659A" w:rsidR="004F5D17" w:rsidRPr="00FB00FE" w:rsidRDefault="008D1AA5" w:rsidP="00B4318F">
      <w:pPr>
        <w:pStyle w:val="JuH1"/>
      </w:pPr>
      <w:r w:rsidRPr="00FB00FE">
        <w:t>Ustawa o ochronie cudzoziemców w brzmieniu obowiązującym w</w:t>
      </w:r>
      <w:r w:rsidR="00FB00FE">
        <w:t> </w:t>
      </w:r>
      <w:r w:rsidRPr="00FB00FE">
        <w:t>opisywanym stanie faktycznym</w:t>
      </w:r>
    </w:p>
    <w:p w14:paraId="183BF551" w14:textId="50F351BD" w:rsidR="008D1AA5" w:rsidRPr="00FB00FE" w:rsidRDefault="00124942" w:rsidP="00B4318F">
      <w:pPr>
        <w:pStyle w:val="JuPara"/>
      </w:pPr>
      <w:fldSimple w:instr=" SEQ level0 \*arabic ">
        <w:r w:rsidR="00FB00FE" w:rsidRPr="00FB00FE">
          <w:rPr>
            <w:noProof/>
          </w:rPr>
          <w:t>29</w:t>
        </w:r>
      </w:fldSimple>
      <w:r w:rsidR="00AE64C4" w:rsidRPr="00FB00FE">
        <w:t>.</w:t>
      </w:r>
      <w:r w:rsidR="00EB56A9">
        <w:t xml:space="preserve"> </w:t>
      </w:r>
      <w:r w:rsidR="00AE64C4" w:rsidRPr="00FB00FE">
        <w:t>Artykuł 87</w:t>
      </w:r>
      <w:r w:rsidR="002518DE">
        <w:t> </w:t>
      </w:r>
      <w:r w:rsidR="00AE64C4" w:rsidRPr="00FB00FE">
        <w:t>ust.</w:t>
      </w:r>
      <w:r w:rsidR="002518DE">
        <w:t> </w:t>
      </w:r>
      <w:r w:rsidR="00AE64C4" w:rsidRPr="00FB00FE">
        <w:t>2 pkt</w:t>
      </w:r>
      <w:r w:rsidR="002518DE">
        <w:t> </w:t>
      </w:r>
      <w:r w:rsidR="00AE64C4" w:rsidRPr="00FB00FE">
        <w:t>1 ustawy o ochronie cudzoziemców umożliwia zatrzymanie cudzoziemca m.in. w przypadku nielegalnego przekroczenia lub usiłowania przekroczenia granicy, chyba że przybył on bezpośrednio z</w:t>
      </w:r>
      <w:r w:rsidR="00FB00FE">
        <w:t> </w:t>
      </w:r>
      <w:r w:rsidR="00AE64C4" w:rsidRPr="00FB00FE">
        <w:t>terytorium, na którym jego życiu lub wolności zagrażało</w:t>
      </w:r>
      <w:r w:rsidR="00EB56A9">
        <w:t xml:space="preserve"> </w:t>
      </w:r>
      <w:r w:rsidR="00AE64C4" w:rsidRPr="00FB00FE">
        <w:t>niebezpieczeństwo prześladowania lub ryzyko wyrządzenia poważnej krzywdy, oraz</w:t>
      </w:r>
      <w:r w:rsidR="002518DE">
        <w:t xml:space="preserve"> że</w:t>
      </w:r>
      <w:r w:rsidR="00AE64C4" w:rsidRPr="00FB00FE">
        <w:t xml:space="preserve"> jest w</w:t>
      </w:r>
      <w:r w:rsidR="00B6245D">
        <w:t> </w:t>
      </w:r>
      <w:r w:rsidR="00AE64C4" w:rsidRPr="00FB00FE">
        <w:t>stanie przedstawić wiarygodne przyczyny nielegalnego wjazdu na terytorium Rzeczypospolitej Polskiej i niezwłocznie złożył wniosek o</w:t>
      </w:r>
      <w:r w:rsidR="00B6245D">
        <w:t> </w:t>
      </w:r>
      <w:r w:rsidR="00AE64C4" w:rsidRPr="00FB00FE">
        <w:t>nadanie statusu uchodźcy.</w:t>
      </w:r>
    </w:p>
    <w:p w14:paraId="4F3EE158" w14:textId="4A3E6A0F" w:rsidR="00626381" w:rsidRPr="00FB00FE" w:rsidRDefault="00124942" w:rsidP="00B4318F">
      <w:pPr>
        <w:pStyle w:val="JuPara"/>
      </w:pPr>
      <w:fldSimple w:instr=" SEQ level0 \*arabic ">
        <w:r w:rsidR="00FB00FE" w:rsidRPr="00FB00FE">
          <w:rPr>
            <w:noProof/>
          </w:rPr>
          <w:t>30</w:t>
        </w:r>
      </w:fldSimple>
      <w:r w:rsidR="00686318" w:rsidRPr="00FB00FE">
        <w:t>.</w:t>
      </w:r>
      <w:r w:rsidR="00EB56A9">
        <w:t xml:space="preserve"> </w:t>
      </w:r>
      <w:r w:rsidR="00686318" w:rsidRPr="00FB00FE">
        <w:t>Zgodnie z art.</w:t>
      </w:r>
      <w:r w:rsidR="002518DE">
        <w:t> </w:t>
      </w:r>
      <w:r w:rsidR="00686318" w:rsidRPr="00FB00FE">
        <w:t>88 ust.</w:t>
      </w:r>
      <w:r w:rsidR="002518DE">
        <w:t> </w:t>
      </w:r>
      <w:r w:rsidR="00686318" w:rsidRPr="00FB00FE">
        <w:t>1 i 2 wspomnianej ustawy, w sytuacjach wskazanych w art.</w:t>
      </w:r>
      <w:r w:rsidR="002518DE">
        <w:t> </w:t>
      </w:r>
      <w:r w:rsidR="00686318" w:rsidRPr="00FB00FE">
        <w:t>87, wnioskodawcę lub osobę, w imieniu której wnioskodawca występuje, umieszcza się w strzeżonym ośrodku dla cudzoziemców lub w areszcie w celu ich wydalenia, jeżeli właściwy organ Straży Granicznej uzna, że zastosowania tego środka wymagają względy obronności, bezpieczeństwa państwa lub porządku publicznego. Przepisu tego nie stosuje się do małoletnich przebywających bez opieki ani do cudzoziemców niepełnosprawnych lub do cudzoziemców, których stan zdrowia wskazuje na to, że byli oni poddani przemocy, chyba że ich zachowanie grozi bezpieczeństwu, zdrowiu lub życiu innych zatrzymanych lub pracowników placówki, w której osoby te zostały umieszczone.</w:t>
      </w:r>
    </w:p>
    <w:p w14:paraId="3A57BA4C" w14:textId="215105C8" w:rsidR="00626381" w:rsidRPr="00FB00FE" w:rsidRDefault="00124942" w:rsidP="00B4318F">
      <w:pPr>
        <w:pStyle w:val="JuPara"/>
      </w:pPr>
      <w:fldSimple w:instr=" SEQ level0 \*arabic ">
        <w:r w:rsidR="00FB00FE" w:rsidRPr="00FB00FE">
          <w:rPr>
            <w:noProof/>
          </w:rPr>
          <w:t>31</w:t>
        </w:r>
      </w:fldSimple>
      <w:r w:rsidR="00686318" w:rsidRPr="00FB00FE">
        <w:t>.</w:t>
      </w:r>
      <w:r w:rsidR="00EB56A9">
        <w:t xml:space="preserve"> </w:t>
      </w:r>
      <w:r w:rsidR="00686318" w:rsidRPr="00FB00FE">
        <w:t>Zgodnie z art.</w:t>
      </w:r>
      <w:r w:rsidR="002518DE">
        <w:t> </w:t>
      </w:r>
      <w:r w:rsidR="00686318" w:rsidRPr="00FB00FE">
        <w:t>89 ust.</w:t>
      </w:r>
      <w:r w:rsidR="002518DE">
        <w:t> </w:t>
      </w:r>
      <w:r w:rsidR="00686318" w:rsidRPr="00FB00FE">
        <w:t>1 i 3 tej samej ustawy postanowienie o</w:t>
      </w:r>
      <w:r w:rsidR="002518DE">
        <w:t> </w:t>
      </w:r>
      <w:r w:rsidR="00686318" w:rsidRPr="00FB00FE">
        <w:t xml:space="preserve">umieszczeniu w strzeżonym ośrodku lub areszcie w celu wydalenia wydaje się na okres od 30 do 60 dni. W przypadku gdy cudzoziemiec otrzyma decyzję o oddaleniu jego wniosku o nadanie statusu uchodźcy wraz z decyzją o wydaleniu przed upływem okresu pobytu w ośrodku, jego pobyt może </w:t>
      </w:r>
      <w:r w:rsidR="00686318" w:rsidRPr="00FB00FE">
        <w:lastRenderedPageBreak/>
        <w:t>zostać przedłużony na czas określony, tj. na okres uznany za niezbędny do wydania ostatecznej decyzji w sprawie i wykonania decyzji o wydaleniu. Całkowity okres stosowania środka polegającego na umieszczeniu w</w:t>
      </w:r>
      <w:r w:rsidR="002518DE">
        <w:t> </w:t>
      </w:r>
      <w:r w:rsidR="00686318" w:rsidRPr="00FB00FE">
        <w:t>strzeżonym ośrodku lub areszcie w celu wydalenia nie może przekroczyć jednego roku.</w:t>
      </w:r>
    </w:p>
    <w:p w14:paraId="5292BA78" w14:textId="35B96260" w:rsidR="00626381" w:rsidRPr="00FB00FE" w:rsidRDefault="0002351A" w:rsidP="00B4318F">
      <w:pPr>
        <w:pStyle w:val="JuH1"/>
      </w:pPr>
      <w:r w:rsidRPr="00FB00FE">
        <w:t>Ustawa o cudzoziemcach z dnia 13 czerwca 2003</w:t>
      </w:r>
      <w:r w:rsidR="002518DE">
        <w:t> </w:t>
      </w:r>
      <w:r w:rsidRPr="00FB00FE">
        <w:t>r. w brzmieniu obowiązującym w opisywanym stanie faktycznym</w:t>
      </w:r>
    </w:p>
    <w:p w14:paraId="620864A9" w14:textId="08089DBF" w:rsidR="00626381" w:rsidRPr="00FB00FE" w:rsidRDefault="00124942" w:rsidP="00B4318F">
      <w:pPr>
        <w:pStyle w:val="JuPara"/>
      </w:pPr>
      <w:fldSimple w:instr=" SEQ level0 \*arabic ">
        <w:r w:rsidR="00FB00FE" w:rsidRPr="00FB00FE">
          <w:rPr>
            <w:noProof/>
          </w:rPr>
          <w:t>32</w:t>
        </w:r>
      </w:fldSimple>
      <w:r w:rsidR="00C878A6" w:rsidRPr="00FB00FE">
        <w:t>.</w:t>
      </w:r>
      <w:r w:rsidR="00EB56A9">
        <w:t xml:space="preserve"> </w:t>
      </w:r>
      <w:r w:rsidR="00C878A6" w:rsidRPr="00FB00FE">
        <w:t>Artykuł 108 ust.</w:t>
      </w:r>
      <w:r w:rsidR="002518DE">
        <w:t> </w:t>
      </w:r>
      <w:r w:rsidR="00C878A6" w:rsidRPr="00FB00FE">
        <w:t>1 ustawy o cudzoziemcach stanowi, że cudzoziemcowi, wobec którego zastosowano oczywiście nieuzasadniony środek polegający na zatrzymaniu lub umieszczeniu w strzeżonym ośrodku w celu wydalenia, przysługuje prawo do odszkodowania.</w:t>
      </w:r>
    </w:p>
    <w:p w14:paraId="770A83C7" w14:textId="77777777" w:rsidR="00A433D3" w:rsidRPr="00FB00FE" w:rsidRDefault="00010874" w:rsidP="00B4318F">
      <w:pPr>
        <w:pStyle w:val="JuH1"/>
        <w:rPr>
          <w:i w:val="0"/>
        </w:rPr>
      </w:pPr>
      <w:r w:rsidRPr="00FB00FE">
        <w:t>Warunki przyjęcia do strzeżonego ośrodka dla cudzoziemców w Kętrzynie</w:t>
      </w:r>
    </w:p>
    <w:p w14:paraId="696E6812" w14:textId="677C50CD" w:rsidR="00626381" w:rsidRPr="00FB00FE" w:rsidRDefault="00124942" w:rsidP="00B4318F">
      <w:pPr>
        <w:pStyle w:val="JuPara"/>
        <w:rPr>
          <w:i/>
        </w:rPr>
      </w:pPr>
      <w:fldSimple w:instr=" SEQ level0 \*arabic ">
        <w:r w:rsidR="00FB00FE" w:rsidRPr="00FB00FE">
          <w:rPr>
            <w:noProof/>
          </w:rPr>
          <w:t>33</w:t>
        </w:r>
      </w:fldSimple>
      <w:r w:rsidR="009E18D0" w:rsidRPr="00FB00FE">
        <w:t>.</w:t>
      </w:r>
      <w:r w:rsidR="00EB56A9">
        <w:t xml:space="preserve"> </w:t>
      </w:r>
      <w:r w:rsidR="009E18D0" w:rsidRPr="00FB00FE">
        <w:t>W odniesieniu do warunków przyjęcia do strzeżonego ośrodka w</w:t>
      </w:r>
      <w:r w:rsidR="00C167B8">
        <w:t> </w:t>
      </w:r>
      <w:r w:rsidR="009E18D0" w:rsidRPr="00FB00FE">
        <w:t>Kętrzynie w momencie zaistnienia okoliczności faktycznych należy zapoznać się z par. 11</w:t>
      </w:r>
      <w:r w:rsidR="00C167B8">
        <w:rPr>
          <w:rFonts w:cstheme="minorHAnsi"/>
        </w:rPr>
        <w:t>‒</w:t>
      </w:r>
      <w:r w:rsidR="009E18D0" w:rsidRPr="00FB00FE">
        <w:t xml:space="preserve">16 wyroku w sprawie </w:t>
      </w:r>
      <w:r w:rsidR="009E18D0" w:rsidRPr="00FB00FE">
        <w:rPr>
          <w:i/>
          <w:iCs/>
        </w:rPr>
        <w:t>Bistieva przeciwko Polsce</w:t>
      </w:r>
      <w:r w:rsidR="009E18D0" w:rsidRPr="00FB00FE">
        <w:t xml:space="preserve"> (skarga nr</w:t>
      </w:r>
      <w:r w:rsidR="00C167B8">
        <w:t> </w:t>
      </w:r>
      <w:r w:rsidR="009E18D0" w:rsidRPr="00FB00FE">
        <w:t>75157/14 z dnia 10 kwietnia 2018</w:t>
      </w:r>
      <w:r w:rsidR="00C167B8">
        <w:t> </w:t>
      </w:r>
      <w:r w:rsidR="009E18D0" w:rsidRPr="00FB00FE">
        <w:t>r.).</w:t>
      </w:r>
    </w:p>
    <w:p w14:paraId="4B9B6144" w14:textId="77777777" w:rsidR="007C3BF1" w:rsidRPr="00FB00FE" w:rsidRDefault="00010874" w:rsidP="00B4318F">
      <w:pPr>
        <w:pStyle w:val="JuHA"/>
      </w:pPr>
      <w:r w:rsidRPr="00FB00FE">
        <w:t>Właściwe prawo krajowe</w:t>
      </w:r>
    </w:p>
    <w:p w14:paraId="22EF48AB" w14:textId="389C7C58" w:rsidR="00763885" w:rsidRPr="00FB00FE" w:rsidRDefault="00124942" w:rsidP="00B4318F">
      <w:pPr>
        <w:pStyle w:val="JuPara"/>
      </w:pPr>
      <w:fldSimple w:instr=" SEQ level0 \*arabic ">
        <w:r w:rsidR="00FB00FE" w:rsidRPr="00FB00FE">
          <w:rPr>
            <w:noProof/>
          </w:rPr>
          <w:t>34</w:t>
        </w:r>
      </w:fldSimple>
      <w:r w:rsidR="007C3BF1" w:rsidRPr="00FB00FE">
        <w:t>.</w:t>
      </w:r>
      <w:r w:rsidR="00EB56A9">
        <w:t xml:space="preserve"> </w:t>
      </w:r>
      <w:r w:rsidR="007C3BF1" w:rsidRPr="00FB00FE">
        <w:t xml:space="preserve">Właściwe prawo międzynarodowe w niniejszej sprawie </w:t>
      </w:r>
      <w:r w:rsidR="00FB00FE">
        <w:t>wynika z</w:t>
      </w:r>
      <w:r w:rsidR="00B6245D">
        <w:t> </w:t>
      </w:r>
      <w:r w:rsidR="007C3BF1" w:rsidRPr="00FB00FE">
        <w:t>par.</w:t>
      </w:r>
      <w:r w:rsidR="00C167B8">
        <w:t> </w:t>
      </w:r>
      <w:r w:rsidR="007C3BF1" w:rsidRPr="00FB00FE">
        <w:t>60</w:t>
      </w:r>
      <w:r w:rsidR="00C167B8">
        <w:rPr>
          <w:rFonts w:cstheme="minorHAnsi"/>
        </w:rPr>
        <w:t>‒</w:t>
      </w:r>
      <w:r w:rsidR="007C3BF1" w:rsidRPr="00FB00FE">
        <w:t xml:space="preserve">91 wyroku w sprawie </w:t>
      </w:r>
      <w:r w:rsidR="007C3BF1" w:rsidRPr="00FB00FE">
        <w:rPr>
          <w:i/>
          <w:iCs/>
        </w:rPr>
        <w:t>A.B. i Inni przeciwko Francji</w:t>
      </w:r>
      <w:r w:rsidR="007C3BF1" w:rsidRPr="00FB00FE">
        <w:t xml:space="preserve"> (skarga nr</w:t>
      </w:r>
      <w:r w:rsidR="00C167B8">
        <w:t> </w:t>
      </w:r>
      <w:r w:rsidR="007C3BF1" w:rsidRPr="00FB00FE">
        <w:t>11593/12 z dnia 12 lipca 2016 r.) oraz w par.</w:t>
      </w:r>
      <w:r w:rsidR="00C167B8">
        <w:t> </w:t>
      </w:r>
      <w:r w:rsidR="007C3BF1" w:rsidRPr="00FB00FE">
        <w:t xml:space="preserve">72 i 79 wyroku w sprawie </w:t>
      </w:r>
      <w:r w:rsidR="007C3BF1" w:rsidRPr="00FB00FE">
        <w:rPr>
          <w:i/>
          <w:iCs/>
        </w:rPr>
        <w:t>G.B. i Inni przeciwko Turcji</w:t>
      </w:r>
      <w:r w:rsidR="007C3BF1" w:rsidRPr="00FB00FE">
        <w:t xml:space="preserve"> (skarga nr</w:t>
      </w:r>
      <w:r w:rsidR="00C167B8">
        <w:t> </w:t>
      </w:r>
      <w:r w:rsidR="007C3BF1" w:rsidRPr="00FB00FE">
        <w:t>4633/15 z dnia 17 października 2019</w:t>
      </w:r>
      <w:r w:rsidR="00C167B8">
        <w:t> </w:t>
      </w:r>
      <w:r w:rsidR="007C3BF1" w:rsidRPr="00FB00FE">
        <w:t>r.).</w:t>
      </w:r>
    </w:p>
    <w:p w14:paraId="50C38F3A" w14:textId="77777777" w:rsidR="00D446FF" w:rsidRPr="00FB00FE" w:rsidRDefault="00E77CB3" w:rsidP="00B4318F">
      <w:pPr>
        <w:pStyle w:val="JuHHead"/>
      </w:pPr>
      <w:r w:rsidRPr="00FB00FE">
        <w:t>PRAWO</w:t>
      </w:r>
    </w:p>
    <w:p w14:paraId="795A8C5E" w14:textId="58474C2B" w:rsidR="00205BDF" w:rsidRPr="00FB00FE" w:rsidRDefault="00205BDF" w:rsidP="00B4318F">
      <w:pPr>
        <w:pStyle w:val="JuHIRoman"/>
      </w:pPr>
      <w:r w:rsidRPr="00FB00FE">
        <w:t>W SPRAWIE SKREŚLENIA Z LISTY SPRAW CZĘŚCI SKARGI DOTYCZĄCEJ ZARZUTU NA PODSTAWIE ART.</w:t>
      </w:r>
      <w:r w:rsidR="00C167B8">
        <w:t> </w:t>
      </w:r>
      <w:r w:rsidRPr="00FB00FE">
        <w:t>8 KONWENCJI</w:t>
      </w:r>
    </w:p>
    <w:p w14:paraId="21C7EC5C" w14:textId="1CF53B84" w:rsidR="00626381" w:rsidRPr="00FB00FE" w:rsidRDefault="00124942" w:rsidP="00B4318F">
      <w:pPr>
        <w:pStyle w:val="JuPara"/>
      </w:pPr>
      <w:fldSimple w:instr=" SEQ level0 \*arabic ">
        <w:r w:rsidR="00FB00FE" w:rsidRPr="00FB00FE">
          <w:rPr>
            <w:noProof/>
          </w:rPr>
          <w:t>35</w:t>
        </w:r>
      </w:fldSimple>
      <w:r w:rsidR="00B152A3" w:rsidRPr="00FB00FE">
        <w:t>.</w:t>
      </w:r>
      <w:r w:rsidR="00EB56A9">
        <w:rPr>
          <w:b/>
        </w:rPr>
        <w:t xml:space="preserve"> </w:t>
      </w:r>
      <w:r w:rsidR="00B152A3" w:rsidRPr="00FB00FE">
        <w:t>Skarżący zarzucali, że ich umieszczenie w strzeżonym ośrodku dla cudzoziemców i przedłużenie okresu pobytu w nim stanowiło naruszenie art.</w:t>
      </w:r>
      <w:r w:rsidR="00FB00FE">
        <w:t> </w:t>
      </w:r>
      <w:r w:rsidR="00B152A3" w:rsidRPr="00FB00FE">
        <w:t>8 Konwencji, ponieważ władze krajowe nie rozważyły</w:t>
      </w:r>
      <w:r w:rsidR="00C167B8">
        <w:t xml:space="preserve"> zastosowania</w:t>
      </w:r>
      <w:r w:rsidR="00B152A3" w:rsidRPr="00FB00FE">
        <w:t xml:space="preserve"> środków alternatywnych.</w:t>
      </w:r>
    </w:p>
    <w:p w14:paraId="0DC342CB" w14:textId="18D5B226" w:rsidR="009E72A0" w:rsidRPr="00FB00FE" w:rsidRDefault="00124942" w:rsidP="00B4318F">
      <w:pPr>
        <w:pStyle w:val="JuPara"/>
        <w:rPr>
          <w:rFonts w:eastAsiaTheme="majorEastAsia"/>
        </w:rPr>
      </w:pPr>
      <w:fldSimple w:instr=" SEQ level0 \*arabic ">
        <w:r w:rsidR="00FB00FE" w:rsidRPr="00FB00FE">
          <w:rPr>
            <w:noProof/>
          </w:rPr>
          <w:t>36</w:t>
        </w:r>
      </w:fldSimple>
      <w:r w:rsidR="00A82B02" w:rsidRPr="00FB00FE">
        <w:t>.</w:t>
      </w:r>
      <w:r w:rsidR="00EB56A9">
        <w:t xml:space="preserve"> </w:t>
      </w:r>
      <w:r w:rsidR="00A82B02" w:rsidRPr="00FB00FE">
        <w:t>W dniu 5 września 2018</w:t>
      </w:r>
      <w:r w:rsidR="00C167B8">
        <w:t> </w:t>
      </w:r>
      <w:r w:rsidR="00A82B02" w:rsidRPr="00FB00FE">
        <w:t>r. Rząd skierował do Trybunału pismo zawierające propozycję rozwiązania kwestii przytoczonych w części skargi dotyczącej zarzutu na podstawie art.</w:t>
      </w:r>
      <w:r w:rsidR="00C167B8">
        <w:t> </w:t>
      </w:r>
      <w:r w:rsidR="00A82B02" w:rsidRPr="00FB00FE">
        <w:t>8 Konwencji, wraz z</w:t>
      </w:r>
      <w:r w:rsidR="00C167B8">
        <w:t> </w:t>
      </w:r>
      <w:r w:rsidR="00A82B02" w:rsidRPr="00FB00FE">
        <w:t>jednostronną deklaracją dotyczącą tego zarzutu.</w:t>
      </w:r>
    </w:p>
    <w:p w14:paraId="16E61029" w14:textId="332BF638" w:rsidR="009E72A0" w:rsidRPr="00FB00FE" w:rsidRDefault="00B152A3" w:rsidP="00B4318F">
      <w:pPr>
        <w:pStyle w:val="JuPara"/>
        <w:rPr>
          <w:rFonts w:eastAsiaTheme="majorEastAsia"/>
        </w:rPr>
      </w:pPr>
      <w:r w:rsidRPr="00FB00FE">
        <w:rPr>
          <w:rFonts w:eastAsiaTheme="majorEastAsia"/>
        </w:rPr>
        <w:fldChar w:fldCharType="begin"/>
      </w:r>
      <w:r w:rsidRPr="00FB00FE">
        <w:rPr>
          <w:rFonts w:eastAsiaTheme="majorEastAsia"/>
        </w:rPr>
        <w:instrText xml:space="preserve"> SEQ level0 \*arabic </w:instrText>
      </w:r>
      <w:r w:rsidRPr="00FB00FE">
        <w:rPr>
          <w:rFonts w:eastAsiaTheme="majorEastAsia"/>
        </w:rPr>
        <w:fldChar w:fldCharType="separate"/>
      </w:r>
      <w:r w:rsidR="00FB00FE" w:rsidRPr="00FB00FE">
        <w:rPr>
          <w:rFonts w:eastAsiaTheme="majorEastAsia"/>
          <w:noProof/>
        </w:rPr>
        <w:t>37</w:t>
      </w:r>
      <w:r w:rsidRPr="00FB00FE">
        <w:rPr>
          <w:rFonts w:eastAsiaTheme="majorEastAsia"/>
        </w:rPr>
        <w:fldChar w:fldCharType="end"/>
      </w:r>
      <w:r w:rsidRPr="00FB00FE">
        <w:t>.</w:t>
      </w:r>
      <w:r w:rsidR="00EB56A9">
        <w:t xml:space="preserve"> </w:t>
      </w:r>
      <w:r w:rsidRPr="00FB00FE">
        <w:t>W piśmie tym Rząd przyznał, że naruszone zostały prawa skarżących wynikające z art.</w:t>
      </w:r>
      <w:r w:rsidR="00C167B8">
        <w:t> </w:t>
      </w:r>
      <w:r w:rsidRPr="00FB00FE">
        <w:t xml:space="preserve">8 Konwencji i zobowiązał się do </w:t>
      </w:r>
      <w:r w:rsidR="00C167B8">
        <w:t>wy</w:t>
      </w:r>
      <w:r w:rsidRPr="00FB00FE">
        <w:t>płaty skarżącym kwoty 40</w:t>
      </w:r>
      <w:r w:rsidR="00C167B8">
        <w:t> </w:t>
      </w:r>
      <w:r w:rsidRPr="00FB00FE">
        <w:t xml:space="preserve">000 złotych polskich ((PLN), tj. około 9300 euro (EUR)). Zgodnie z tym dokumentem wspomniana kwota, przeznaczona na pokrycie wszelkich szkód </w:t>
      </w:r>
      <w:r w:rsidRPr="00FB00FE">
        <w:lastRenderedPageBreak/>
        <w:t>majątkowych i niemajątkowych, jak również kosztów i wydatków, będzie zwolniona z wszelkich obowiązujących podatków i zostanie wypłacona w</w:t>
      </w:r>
      <w:r w:rsidR="00B6245D">
        <w:t> </w:t>
      </w:r>
      <w:r w:rsidRPr="00FB00FE">
        <w:t>terminie trzech miesięcy od dnia doręczenia decyzji Trybunału. W</w:t>
      </w:r>
      <w:r w:rsidR="00B6245D">
        <w:t> </w:t>
      </w:r>
      <w:r w:rsidRPr="00FB00FE">
        <w:t>przypadku braku zapłaty we wskazanym terminie Rząd zobowiązał się wypłacić odsetki zwykłe naliczone na podstawie marginalnej stopy procentowej Europejskiego Banku Centralnego, powiększonej o trzy punkty procentowe, licząc od dnia upływu wyżej wskazanego terminu do momentu uregulowania należności. Ponadto Rząd zwrócił się do Trybunału o</w:t>
      </w:r>
      <w:r w:rsidR="00C167B8">
        <w:t> </w:t>
      </w:r>
      <w:r w:rsidRPr="00FB00FE">
        <w:t>skreślenie z listy spraw tej części skargi, która dotyczy wyżej wymienionego zarzutu.</w:t>
      </w:r>
    </w:p>
    <w:p w14:paraId="1306A108" w14:textId="5DCD5B82" w:rsidR="00626381" w:rsidRPr="00FB00FE" w:rsidRDefault="00124942" w:rsidP="00B4318F">
      <w:pPr>
        <w:pStyle w:val="JuPara"/>
      </w:pPr>
      <w:fldSimple w:instr=" SEQ level0 \*arabic ">
        <w:r w:rsidR="00FB00FE" w:rsidRPr="00FB00FE">
          <w:rPr>
            <w:noProof/>
          </w:rPr>
          <w:t>38</w:t>
        </w:r>
      </w:fldSimple>
      <w:r w:rsidR="00B152A3" w:rsidRPr="00FB00FE">
        <w:t>.</w:t>
      </w:r>
      <w:r w:rsidR="00EB56A9">
        <w:t xml:space="preserve"> </w:t>
      </w:r>
      <w:r w:rsidR="00B152A3" w:rsidRPr="00FB00FE">
        <w:t>W dniu 10 października 2018</w:t>
      </w:r>
      <w:r w:rsidR="00C167B8">
        <w:t> </w:t>
      </w:r>
      <w:r w:rsidR="00B152A3" w:rsidRPr="00FB00FE">
        <w:t>r. Trybunał otrzymał od strony skarżącej pismo, w którym poinformowano go o</w:t>
      </w:r>
      <w:r w:rsidR="002E5ACE">
        <w:t> </w:t>
      </w:r>
      <w:r w:rsidR="00B152A3" w:rsidRPr="00FB00FE">
        <w:t>zaakceptowaniu przez skarżącą warunków deklaracji Rządu.</w:t>
      </w:r>
    </w:p>
    <w:p w14:paraId="005C62DD" w14:textId="6BA95CE5" w:rsidR="00B152A3" w:rsidRPr="00FB00FE" w:rsidRDefault="00124942" w:rsidP="00B4318F">
      <w:pPr>
        <w:pStyle w:val="JuPara"/>
      </w:pPr>
      <w:fldSimple w:instr=" SEQ level0 \*arabic ">
        <w:r w:rsidR="00FB00FE" w:rsidRPr="00FB00FE">
          <w:rPr>
            <w:noProof/>
          </w:rPr>
          <w:t>39</w:t>
        </w:r>
      </w:fldSimple>
      <w:r w:rsidR="00B152A3" w:rsidRPr="00FB00FE">
        <w:t>.</w:t>
      </w:r>
      <w:r w:rsidR="00EB56A9">
        <w:t xml:space="preserve"> </w:t>
      </w:r>
      <w:r w:rsidR="00B152A3" w:rsidRPr="00FB00FE">
        <w:t>W zakresie zarzutu sformułowanego na podstawie art.</w:t>
      </w:r>
      <w:r w:rsidR="002E5ACE">
        <w:t> </w:t>
      </w:r>
      <w:r w:rsidR="00B152A3" w:rsidRPr="00FB00FE">
        <w:t>8 Konwencji Trybunał uważa, że ze względu na wyraźne zatwierdzenie przez stronę skarżącą warunków deklaracji złożonej przez Rząd, należy uznać, że strony zawarły ugodę.</w:t>
      </w:r>
    </w:p>
    <w:p w14:paraId="7349592D" w14:textId="41F6ED37" w:rsidR="00B152A3" w:rsidRPr="00FB00FE" w:rsidRDefault="00124942" w:rsidP="00B4318F">
      <w:pPr>
        <w:pStyle w:val="JuPara"/>
      </w:pPr>
      <w:fldSimple w:instr=" SEQ level0 \*arabic ">
        <w:r w:rsidR="00FB00FE" w:rsidRPr="00FB00FE">
          <w:rPr>
            <w:noProof/>
          </w:rPr>
          <w:t>40</w:t>
        </w:r>
      </w:fldSimple>
      <w:r w:rsidR="00B152A3" w:rsidRPr="00FB00FE">
        <w:t>.</w:t>
      </w:r>
      <w:r w:rsidR="00EB56A9">
        <w:t xml:space="preserve"> </w:t>
      </w:r>
      <w:r w:rsidR="00B152A3" w:rsidRPr="00FB00FE">
        <w:t>W związku z powyższym Trybunał przyjmuje do wiadomości ugodę zawartą przez strony w zakresie wyżej wymienionego zarzutu. Zdaniem Trybunału ugoda ta została zawarta z poszanowaniem praw człowieka w</w:t>
      </w:r>
      <w:r w:rsidR="00B6245D">
        <w:t> </w:t>
      </w:r>
      <w:r w:rsidR="00B152A3" w:rsidRPr="00FB00FE">
        <w:t>rozumieniu Konwencji i jej protokołów. Ponadto Trybunał nie dostrzega żadnego powodu, który przemawiałby za dalszym prowadzeniem postępowania w odniesieniu do tej części skargi.</w:t>
      </w:r>
    </w:p>
    <w:p w14:paraId="5FEF0996" w14:textId="644BD57A" w:rsidR="00B152A3" w:rsidRPr="00FB00FE" w:rsidRDefault="00124942" w:rsidP="00B4318F">
      <w:pPr>
        <w:pStyle w:val="JuPara"/>
      </w:pPr>
      <w:fldSimple w:instr=" SEQ level0 \*arabic ">
        <w:r w:rsidR="00FB00FE" w:rsidRPr="00FB00FE">
          <w:rPr>
            <w:noProof/>
          </w:rPr>
          <w:t>41</w:t>
        </w:r>
      </w:fldSimple>
      <w:r w:rsidR="00B152A3" w:rsidRPr="00FB00FE">
        <w:t>.</w:t>
      </w:r>
      <w:r w:rsidR="00EB56A9">
        <w:t xml:space="preserve"> </w:t>
      </w:r>
      <w:r w:rsidR="00B152A3" w:rsidRPr="00FB00FE">
        <w:t>Tym samym sprawa powinna zostać wykreślona zgodnie z art.</w:t>
      </w:r>
      <w:r w:rsidR="004C433C">
        <w:t> </w:t>
      </w:r>
      <w:r w:rsidR="00B152A3" w:rsidRPr="00FB00FE">
        <w:t>39 Konwencji w zakresie, w jakim odnosi się do wyżej wymienionego zarzutu.</w:t>
      </w:r>
    </w:p>
    <w:p w14:paraId="704F997A" w14:textId="17477A21" w:rsidR="00E77CB3" w:rsidRPr="00FB00FE" w:rsidRDefault="00E77CB3" w:rsidP="00B4318F">
      <w:pPr>
        <w:pStyle w:val="JuHIRoman"/>
      </w:pPr>
      <w:r w:rsidRPr="00FB00FE">
        <w:t>ZARZUCANE NARUSZENIE ART.</w:t>
      </w:r>
      <w:r w:rsidR="004C433C">
        <w:t> </w:t>
      </w:r>
      <w:r w:rsidRPr="00FB00FE">
        <w:t>3 KONWENCJI</w:t>
      </w:r>
    </w:p>
    <w:p w14:paraId="38BFE34B" w14:textId="3BD1E6B6" w:rsidR="00E77CB3" w:rsidRPr="00FB00FE" w:rsidRDefault="00124942" w:rsidP="00B4318F">
      <w:pPr>
        <w:pStyle w:val="JuPara"/>
      </w:pPr>
      <w:fldSimple w:instr=" SEQ level0 \*arabic ">
        <w:r w:rsidR="00FB00FE" w:rsidRPr="00FB00FE">
          <w:rPr>
            <w:noProof/>
          </w:rPr>
          <w:t>42</w:t>
        </w:r>
      </w:fldSimple>
      <w:r w:rsidR="00D772BD" w:rsidRPr="00FB00FE">
        <w:t>.</w:t>
      </w:r>
      <w:r w:rsidR="00EB56A9">
        <w:t xml:space="preserve"> </w:t>
      </w:r>
      <w:r w:rsidR="00D772BD" w:rsidRPr="00FB00FE">
        <w:t>Skarżący zarzucali, że umieszczenie</w:t>
      </w:r>
      <w:r w:rsidR="004C433C">
        <w:t xml:space="preserve"> ich</w:t>
      </w:r>
      <w:r w:rsidR="00D772BD" w:rsidRPr="00FB00FE">
        <w:t xml:space="preserve"> w strzeżonym ośrodku dla cudzoziemców i przedłużenie okresu pobytu w nim było sprzeczne z</w:t>
      </w:r>
      <w:r w:rsidR="004C433C">
        <w:t> </w:t>
      </w:r>
      <w:r w:rsidR="00D772BD" w:rsidRPr="00FB00FE">
        <w:t>art.</w:t>
      </w:r>
      <w:r w:rsidR="004C433C">
        <w:t> </w:t>
      </w:r>
      <w:r w:rsidR="00D772BD" w:rsidRPr="00FB00FE">
        <w:t>3 Konwencji ze względu na zły stan psychiczny skarżącej, który ich zdaniem wynikał z przemocy domowej, której była poddawana. Postanowienie, na które powołali się skarżący, stanowi:</w:t>
      </w:r>
    </w:p>
    <w:p w14:paraId="347F8565" w14:textId="33E31393" w:rsidR="000E5C02" w:rsidRPr="00FB00FE" w:rsidRDefault="000E5C02" w:rsidP="00B4318F">
      <w:pPr>
        <w:pStyle w:val="JuQuot"/>
      </w:pPr>
      <w:r w:rsidRPr="00FB00FE">
        <w:t>„Nikt nie może być poddany torturom ani nieludzkiemu lub poniżającemu traktowaniu albo karaniu.” </w:t>
      </w:r>
    </w:p>
    <w:p w14:paraId="1B2D42AB" w14:textId="77AC6E25" w:rsidR="00626381" w:rsidRPr="00FB00FE" w:rsidRDefault="00124942" w:rsidP="00B4318F">
      <w:pPr>
        <w:pStyle w:val="JuPara"/>
      </w:pPr>
      <w:fldSimple w:instr=" SEQ level0 \*arabic ">
        <w:r w:rsidR="00FB00FE" w:rsidRPr="00FB00FE">
          <w:rPr>
            <w:noProof/>
          </w:rPr>
          <w:t>43</w:t>
        </w:r>
      </w:fldSimple>
      <w:r w:rsidR="00D772BD" w:rsidRPr="00FB00FE">
        <w:t>.</w:t>
      </w:r>
      <w:r w:rsidR="00EB56A9">
        <w:t xml:space="preserve"> </w:t>
      </w:r>
      <w:r w:rsidR="00D772BD" w:rsidRPr="00FB00FE">
        <w:t>Rząd twierdzi, że krajowe środki odwoławcze nie zostały wyczerpane, bowiem skarżący nie wystąpili z roszczeniem o</w:t>
      </w:r>
      <w:r w:rsidR="00AF05B2">
        <w:t> </w:t>
      </w:r>
      <w:r w:rsidR="00D772BD" w:rsidRPr="00FB00FE">
        <w:t>zadośćuczynienie na podstawie art.</w:t>
      </w:r>
      <w:r w:rsidR="00AF05B2">
        <w:t> </w:t>
      </w:r>
      <w:r w:rsidR="00D772BD" w:rsidRPr="00FB00FE">
        <w:t>23 i 24 Kodeksu cywilnego.</w:t>
      </w:r>
    </w:p>
    <w:p w14:paraId="32635ED5" w14:textId="05C937F4" w:rsidR="00626381" w:rsidRPr="00FB00FE" w:rsidRDefault="00124942" w:rsidP="00B4318F">
      <w:pPr>
        <w:pStyle w:val="JuPara"/>
      </w:pPr>
      <w:fldSimple w:instr=" SEQ level0 \*arabic ">
        <w:r w:rsidR="00FB00FE" w:rsidRPr="00FB00FE">
          <w:rPr>
            <w:noProof/>
          </w:rPr>
          <w:t>44</w:t>
        </w:r>
      </w:fldSimple>
      <w:r w:rsidR="00D916EB" w:rsidRPr="00FB00FE">
        <w:t>.</w:t>
      </w:r>
      <w:r w:rsidR="00EB56A9">
        <w:t xml:space="preserve"> </w:t>
      </w:r>
      <w:r w:rsidR="00D916EB" w:rsidRPr="00FB00FE">
        <w:t>Co się tyczy przedmiotu zarzutu, Rząd stwierdza, że nie chce przedstawiać stanowiska w tym zakresie.</w:t>
      </w:r>
    </w:p>
    <w:p w14:paraId="2939DA83" w14:textId="6CC31DC9" w:rsidR="00626381" w:rsidRPr="00FB00FE" w:rsidRDefault="00124942" w:rsidP="00B4318F">
      <w:pPr>
        <w:pStyle w:val="JuPara"/>
      </w:pPr>
      <w:fldSimple w:instr=" SEQ level0 \*arabic ">
        <w:r w:rsidR="00FB00FE" w:rsidRPr="00FB00FE">
          <w:rPr>
            <w:noProof/>
          </w:rPr>
          <w:t>45</w:t>
        </w:r>
      </w:fldSimple>
      <w:r w:rsidR="008A2290" w:rsidRPr="00FB00FE">
        <w:t>.</w:t>
      </w:r>
      <w:r w:rsidR="00EB56A9">
        <w:t xml:space="preserve"> </w:t>
      </w:r>
      <w:r w:rsidR="008A2290" w:rsidRPr="00FB00FE">
        <w:t>Skarżący twierdzili, że zaproponowany przez Rząd środek zaradczy nie byłby skuteczny w niniejszej sprawie.</w:t>
      </w:r>
    </w:p>
    <w:p w14:paraId="2B8091DB" w14:textId="7FB6A756" w:rsidR="00626381" w:rsidRPr="00FB00FE" w:rsidRDefault="00124942" w:rsidP="00B4318F">
      <w:pPr>
        <w:pStyle w:val="JuPara"/>
      </w:pPr>
      <w:fldSimple w:instr=" SEQ level0 \*arabic ">
        <w:r w:rsidR="00FB00FE" w:rsidRPr="00FB00FE">
          <w:rPr>
            <w:noProof/>
          </w:rPr>
          <w:t>46</w:t>
        </w:r>
      </w:fldSimple>
      <w:r w:rsidR="00243532" w:rsidRPr="00FB00FE">
        <w:t>.</w:t>
      </w:r>
      <w:r w:rsidR="00EB56A9">
        <w:t xml:space="preserve"> </w:t>
      </w:r>
      <w:r w:rsidR="00243532" w:rsidRPr="00FB00FE">
        <w:t xml:space="preserve">Co się tyczy zasadności zarzutu, skarżący twierdzą, że decyzja o ich umieszczeniu w ośrodku zapadła pomimo rzekomego cierpienia </w:t>
      </w:r>
      <w:r w:rsidR="00243532" w:rsidRPr="00FB00FE">
        <w:lastRenderedPageBreak/>
        <w:t>psychicznego, które skarżąca przedstawiła. Według skarżących, mimo że skarżąca zwróciła uwagę władz na tę kwestię w zażaleniu na postanowienie w przedmiocie przedłużenia stosowania środka detencyjnego, jej zarzuty w</w:t>
      </w:r>
      <w:r w:rsidR="00B6245D">
        <w:t> </w:t>
      </w:r>
      <w:r w:rsidR="00243532" w:rsidRPr="00FB00FE">
        <w:t>tym zakresie nie zostały poddane ocenie.</w:t>
      </w:r>
    </w:p>
    <w:p w14:paraId="7E685639" w14:textId="01285CFB" w:rsidR="00626381" w:rsidRPr="00FB00FE" w:rsidRDefault="00124942" w:rsidP="00B4318F">
      <w:pPr>
        <w:pStyle w:val="JuPara"/>
        <w:rPr>
          <w:b/>
        </w:rPr>
      </w:pPr>
      <w:fldSimple w:instr=" SEQ level0 \*arabic ">
        <w:r w:rsidR="00FB00FE" w:rsidRPr="00FB00FE">
          <w:rPr>
            <w:noProof/>
          </w:rPr>
          <w:t>47</w:t>
        </w:r>
      </w:fldSimple>
      <w:r w:rsidR="007509BC" w:rsidRPr="00FB00FE">
        <w:t>.</w:t>
      </w:r>
      <w:r w:rsidR="00EB56A9">
        <w:t xml:space="preserve"> </w:t>
      </w:r>
      <w:r w:rsidR="007509BC" w:rsidRPr="00FB00FE">
        <w:t>Skarżący zauważyli, że władze, które były zobowiązane do rozstrzygnięcia w przedmiocie zastosowania wobec nich środka detencyjnego, nie wzięły pod uwagę ani przemocy, jakiej dopuścił się mąż wobec skarżącej, przez co skarżąca znajdowała się w trudnej sytuacji, ani pogorszenia się stanu zdrowia skarżącej, co zostało stwierdzone przez psychologów i psychiatrów. W swoich uwagach odpowiednio z dnia 26</w:t>
      </w:r>
      <w:r w:rsidR="00B6245D">
        <w:t> </w:t>
      </w:r>
      <w:r w:rsidR="007509BC" w:rsidRPr="00FB00FE">
        <w:t>marca 2015</w:t>
      </w:r>
      <w:r w:rsidR="00AF05B2">
        <w:t> </w:t>
      </w:r>
      <w:r w:rsidR="007509BC" w:rsidRPr="00FB00FE">
        <w:t>r. i 3 października 2018</w:t>
      </w:r>
      <w:r w:rsidR="00AF05B2">
        <w:t> </w:t>
      </w:r>
      <w:r w:rsidR="007509BC" w:rsidRPr="00FB00FE">
        <w:t>r., stwierdzają oni, że skarżące dzieci nie otrzymały odpowiedniej pomocy w ośrodku detencyjnym, pomimo zalecenia psychologa, oraz że doświadczyły stresu z powodu długotrwałego kontaktu z umundurowanym personelem ośrodka.</w:t>
      </w:r>
    </w:p>
    <w:p w14:paraId="03C0B67B" w14:textId="6EEEA254" w:rsidR="00E77CB3" w:rsidRPr="00FB00FE" w:rsidRDefault="00124942" w:rsidP="00B4318F">
      <w:pPr>
        <w:pStyle w:val="JuPara"/>
      </w:pPr>
      <w:fldSimple w:instr=" SEQ level0 \*arabic ">
        <w:r w:rsidR="00FB00FE" w:rsidRPr="00FB00FE">
          <w:rPr>
            <w:noProof/>
          </w:rPr>
          <w:t>48</w:t>
        </w:r>
      </w:fldSimple>
      <w:r w:rsidR="00D772BD" w:rsidRPr="00FB00FE">
        <w:t>.</w:t>
      </w:r>
      <w:r w:rsidR="00EB56A9">
        <w:t xml:space="preserve"> </w:t>
      </w:r>
      <w:r w:rsidR="00D772BD" w:rsidRPr="00FB00FE">
        <w:t>W tych okolicznościach Trybunał uważa, że nie jest konieczne orzekanie w sprawie wniesionego przez Rząd zastrzeżenia, które w żadnym razie nie zasługuje na uwzględnienie z niżej przedstawionych względów.</w:t>
      </w:r>
    </w:p>
    <w:p w14:paraId="13254435" w14:textId="64085C17" w:rsidR="00626381" w:rsidRPr="00FB00FE" w:rsidRDefault="00124942" w:rsidP="00B4318F">
      <w:pPr>
        <w:pStyle w:val="JuPara"/>
      </w:pPr>
      <w:fldSimple w:instr=" SEQ level0 \*arabic ">
        <w:r w:rsidR="00FB00FE" w:rsidRPr="00FB00FE">
          <w:rPr>
            <w:noProof/>
          </w:rPr>
          <w:t>49</w:t>
        </w:r>
      </w:fldSimple>
      <w:r w:rsidR="00D772BD" w:rsidRPr="00FB00FE">
        <w:t>.</w:t>
      </w:r>
      <w:r w:rsidR="00EB56A9">
        <w:t xml:space="preserve"> </w:t>
      </w:r>
      <w:r w:rsidR="00D772BD" w:rsidRPr="00FB00FE">
        <w:t>Ponownie przytacza swoje ugruntowane orzecznictwo, zgodnie z</w:t>
      </w:r>
      <w:r w:rsidR="0026629F">
        <w:t> </w:t>
      </w:r>
      <w:r w:rsidR="00D772BD" w:rsidRPr="00FB00FE">
        <w:t>którym objęcie danego traktowania zakresem art.</w:t>
      </w:r>
      <w:r w:rsidR="0026629F">
        <w:t> </w:t>
      </w:r>
      <w:r w:rsidR="00D772BD" w:rsidRPr="00FB00FE">
        <w:t>3 Konwencji wymaga osiągnięcia minimalnego poziomu dotkliwości (</w:t>
      </w:r>
      <w:r w:rsidR="00D772BD" w:rsidRPr="00FB00FE">
        <w:rPr>
          <w:i/>
          <w:iCs/>
        </w:rPr>
        <w:t>McGlinchey i Inni przeciwko Zjednoczonemu Królestwu</w:t>
      </w:r>
      <w:r w:rsidR="00D772BD" w:rsidRPr="00FB00FE">
        <w:t>, skarga nr</w:t>
      </w:r>
      <w:r w:rsidR="0026629F">
        <w:t> </w:t>
      </w:r>
      <w:r w:rsidR="00D772BD" w:rsidRPr="00FB00FE">
        <w:t>50390/00, §</w:t>
      </w:r>
      <w:r w:rsidR="0026629F">
        <w:t> </w:t>
      </w:r>
      <w:r w:rsidR="00D772BD" w:rsidRPr="00FB00FE">
        <w:t>45, ETPCz 2003</w:t>
      </w:r>
      <w:r w:rsidR="0026629F">
        <w:rPr>
          <w:rFonts w:cstheme="minorHAnsi"/>
        </w:rPr>
        <w:t>‒</w:t>
      </w:r>
      <w:r w:rsidR="00D772BD" w:rsidRPr="00FB00FE">
        <w:t xml:space="preserve">V). Ocena tego minimum zależy od wszystkich okoliczności faktycznych sprawy, a w szczególności od charakteru i zakresu traktowania, sposobu, czasu trwania, skutków fizycznych lub psychicznych, a niekiedy również od płci, wieku i stanu zdrowia ofiary (zob. m.in. </w:t>
      </w:r>
      <w:r w:rsidR="00D772BD" w:rsidRPr="00FB00FE">
        <w:rPr>
          <w:i/>
          <w:iCs/>
        </w:rPr>
        <w:t>Peers przeciwko Grecji</w:t>
      </w:r>
      <w:r w:rsidR="00D772BD" w:rsidRPr="00FB00FE">
        <w:t>, skarga</w:t>
      </w:r>
      <w:r w:rsidR="0026629F">
        <w:t> </w:t>
      </w:r>
      <w:r w:rsidR="00D772BD" w:rsidRPr="00FB00FE">
        <w:t>nr 28524/95, §</w:t>
      </w:r>
      <w:r w:rsidR="0026629F">
        <w:t> </w:t>
      </w:r>
      <w:r w:rsidR="00D772BD" w:rsidRPr="00FB00FE">
        <w:t>67, ETPCz 2001</w:t>
      </w:r>
      <w:r w:rsidR="0026629F">
        <w:rPr>
          <w:rFonts w:cstheme="minorHAnsi"/>
        </w:rPr>
        <w:t>‒</w:t>
      </w:r>
      <w:r w:rsidR="00D772BD" w:rsidRPr="00FB00FE">
        <w:t xml:space="preserve">III, </w:t>
      </w:r>
      <w:r w:rsidR="00D772BD" w:rsidRPr="00FB00FE">
        <w:rPr>
          <w:i/>
          <w:iCs/>
        </w:rPr>
        <w:t>Assenov i Inni przeciwko Bułgarii</w:t>
      </w:r>
      <w:r w:rsidR="00D772BD" w:rsidRPr="00FB00FE">
        <w:t xml:space="preserve">, </w:t>
      </w:r>
      <w:r w:rsidR="0026629F">
        <w:t xml:space="preserve">z dnia </w:t>
      </w:r>
      <w:r w:rsidR="00D772BD" w:rsidRPr="00FB00FE">
        <w:t>28 października 1998</w:t>
      </w:r>
      <w:r w:rsidR="0026629F">
        <w:t> </w:t>
      </w:r>
      <w:r w:rsidR="00D772BD" w:rsidRPr="00FB00FE">
        <w:t xml:space="preserve">r., </w:t>
      </w:r>
      <w:r w:rsidR="00D772BD" w:rsidRPr="00FB00FE">
        <w:rPr>
          <w:i/>
          <w:iCs/>
        </w:rPr>
        <w:t>Zbiór wyroków i decyzji</w:t>
      </w:r>
      <w:r w:rsidR="00D772BD" w:rsidRPr="00FB00FE">
        <w:t xml:space="preserve"> 1998</w:t>
      </w:r>
      <w:r w:rsidR="0026629F">
        <w:rPr>
          <w:rFonts w:cstheme="minorHAnsi"/>
        </w:rPr>
        <w:t>‒</w:t>
      </w:r>
      <w:r w:rsidR="00D772BD" w:rsidRPr="00FB00FE">
        <w:t xml:space="preserve">VIII, § 94, oraz </w:t>
      </w:r>
      <w:r w:rsidR="00D772BD" w:rsidRPr="00FB00FE">
        <w:rPr>
          <w:i/>
          <w:iCs/>
        </w:rPr>
        <w:t>Kudła przeciwko Polsce</w:t>
      </w:r>
      <w:r w:rsidR="00D772BD" w:rsidRPr="00FB00FE">
        <w:t xml:space="preserve"> [WI], skarga nr</w:t>
      </w:r>
      <w:r w:rsidR="0026629F">
        <w:t> </w:t>
      </w:r>
      <w:r w:rsidR="00D772BD" w:rsidRPr="00FB00FE">
        <w:t>30210/96, §</w:t>
      </w:r>
      <w:r w:rsidR="0026629F">
        <w:t> </w:t>
      </w:r>
      <w:r w:rsidR="00D772BD" w:rsidRPr="00FB00FE">
        <w:t>91, ETPCz 2000</w:t>
      </w:r>
      <w:r w:rsidR="0026629F">
        <w:rPr>
          <w:rFonts w:cstheme="minorHAnsi"/>
        </w:rPr>
        <w:t>‒</w:t>
      </w:r>
      <w:r w:rsidR="00D772BD" w:rsidRPr="00FB00FE">
        <w:t>XI).</w:t>
      </w:r>
      <w:r w:rsidR="00D772BD" w:rsidRPr="00FB00FE">
        <w:br/>
      </w:r>
    </w:p>
    <w:p w14:paraId="17B66F96" w14:textId="608894FF" w:rsidR="00626381" w:rsidRPr="00FB00FE" w:rsidRDefault="00124942" w:rsidP="00B4318F">
      <w:pPr>
        <w:pStyle w:val="JuPara"/>
      </w:pPr>
      <w:fldSimple w:instr=" SEQ level0 \*arabic ">
        <w:r w:rsidR="00FB00FE" w:rsidRPr="00FB00FE">
          <w:rPr>
            <w:noProof/>
          </w:rPr>
          <w:t>50</w:t>
        </w:r>
      </w:fldSimple>
      <w:r w:rsidR="00D772BD" w:rsidRPr="00FB00FE">
        <w:t>.</w:t>
      </w:r>
      <w:r w:rsidR="00EB56A9">
        <w:t xml:space="preserve"> </w:t>
      </w:r>
      <w:r w:rsidR="00D772BD" w:rsidRPr="00FB00FE">
        <w:t>W niniejszej sprawie Trybunał zauważył, że skarżący zarzucili, że umieszczono ich w strzeżonym ośrodku pomimo rzekomo złego stanu psychicznego skarżącej</w:t>
      </w:r>
      <w:r w:rsidR="001603CC">
        <w:t>,</w:t>
      </w:r>
      <w:r w:rsidR="00D772BD" w:rsidRPr="00FB00FE">
        <w:t xml:space="preserve"> </w:t>
      </w:r>
      <w:r w:rsidR="0026629F">
        <w:t>oraz</w:t>
      </w:r>
      <w:r w:rsidR="00D772BD" w:rsidRPr="00FB00FE">
        <w:t xml:space="preserve"> że tym samym poddano ich traktowaniu niezgodnemu z art.</w:t>
      </w:r>
      <w:r w:rsidR="0026629F">
        <w:t> </w:t>
      </w:r>
      <w:r w:rsidR="00D772BD" w:rsidRPr="00FB00FE">
        <w:t>3 Konwencji. Z dowodów przedstawionych w</w:t>
      </w:r>
      <w:r w:rsidR="0026629F">
        <w:t> </w:t>
      </w:r>
      <w:r w:rsidR="00D772BD" w:rsidRPr="00FB00FE">
        <w:t xml:space="preserve">postępowaniu przed Trybunałem, </w:t>
      </w:r>
      <w:r w:rsidR="001603CC">
        <w:t xml:space="preserve">domniemany </w:t>
      </w:r>
      <w:r w:rsidR="00D772BD" w:rsidRPr="00FB00FE">
        <w:t>fakt, że stan psychiczny skarżącej sprzeciwiał się zastosowaniu wobec niej środka detencyjnego</w:t>
      </w:r>
      <w:r w:rsidR="001603CC">
        <w:t xml:space="preserve"> został</w:t>
      </w:r>
      <w:r w:rsidR="00D772BD" w:rsidRPr="00FB00FE">
        <w:t xml:space="preserve"> po raz pierwszy </w:t>
      </w:r>
      <w:r w:rsidR="001603CC">
        <w:t xml:space="preserve">przedstawiony </w:t>
      </w:r>
      <w:r w:rsidR="00D772BD" w:rsidRPr="00FB00FE">
        <w:t>władz</w:t>
      </w:r>
      <w:r w:rsidR="001603CC">
        <w:t>om</w:t>
      </w:r>
      <w:r w:rsidR="00D772BD" w:rsidRPr="00FB00FE">
        <w:t xml:space="preserve"> w piśmie uzupełniającym </w:t>
      </w:r>
      <w:r w:rsidR="004503B7">
        <w:t xml:space="preserve">zażalenie </w:t>
      </w:r>
      <w:r w:rsidR="00D772BD" w:rsidRPr="00FB00FE">
        <w:t>wniesione przez skarżącą na postanowienie w przedmiocie przedłużenia okresu stosowania wobec niej środka detencyjnego (zob. par.</w:t>
      </w:r>
      <w:r w:rsidR="0026629F">
        <w:t> </w:t>
      </w:r>
      <w:r w:rsidR="00D772BD" w:rsidRPr="00FB00FE">
        <w:t>14 powyżej). O ile nie wydaje się, by argumenty skarżącej w tym zakresie zostały poddane dogłębnej ocenie przez Sąd Okręgowy w Olsztynie (zob. par.</w:t>
      </w:r>
      <w:r w:rsidR="0026629F">
        <w:t> </w:t>
      </w:r>
      <w:r w:rsidR="00D772BD" w:rsidRPr="00FB00FE">
        <w:t>15 powyżej), o</w:t>
      </w:r>
      <w:r w:rsidR="00B6245D">
        <w:t> </w:t>
      </w:r>
      <w:r w:rsidR="00D772BD" w:rsidRPr="00FB00FE">
        <w:t>tyle z wniosków zawartych w załączonym do zażalenia zaświadczeni</w:t>
      </w:r>
      <w:r w:rsidR="009A00CA">
        <w:t>u</w:t>
      </w:r>
      <w:r w:rsidR="00D772BD" w:rsidRPr="00FB00FE">
        <w:t xml:space="preserve"> nie wynika również, by stan zdrowia skarżącej był przeciwwskazaniem do umieszczenia jej w strzeżonym ośrodku lub by </w:t>
      </w:r>
      <w:r w:rsidR="00D772BD" w:rsidRPr="00FB00FE">
        <w:lastRenderedPageBreak/>
        <w:t>można go było przypisać przemocy, jakiej doznała ze strony męża. Trybunał zauważył ponadto, że z</w:t>
      </w:r>
      <w:r w:rsidR="009A00CA">
        <w:t> </w:t>
      </w:r>
      <w:r w:rsidR="00D772BD" w:rsidRPr="00FB00FE">
        <w:t>treści przedmiotowego zażalenia wynika, iż sama skarżąca zwróciła się do władz krajowych o połączenie jej z mężem (par.</w:t>
      </w:r>
      <w:r w:rsidR="009A00CA">
        <w:t> </w:t>
      </w:r>
      <w:r w:rsidR="00D772BD" w:rsidRPr="00FB00FE">
        <w:t>13). Trybunał zauważył ponadto, że wnioski zawarte w zaświadczeniu z dnia 24 marca 2014</w:t>
      </w:r>
      <w:r w:rsidR="009A00CA">
        <w:t> </w:t>
      </w:r>
      <w:r w:rsidR="00D772BD" w:rsidRPr="00FB00FE">
        <w:t>r. zostały sformułowane na podstawie samych oświadczeń skarżącej dotyczących przemocy domowej, której, jak twierdziła, była ofiarą, a które to oświadczenia nie znalazły potwierdzenia w żadnym dokumencie medycznym. W każdym razie Trybunał nie jest przekonany, czy władze krajowe miały wystarczającą możliwość zareagowania na wnioski zawarte w</w:t>
      </w:r>
      <w:r w:rsidR="009A00CA">
        <w:t> </w:t>
      </w:r>
      <w:r w:rsidR="00D772BD" w:rsidRPr="00FB00FE">
        <w:t>zaświadczeniu, które zostało sporządzone trzy dni przed wydaleniem skarżących (zob. par.</w:t>
      </w:r>
      <w:r w:rsidR="009A00CA">
        <w:t> </w:t>
      </w:r>
      <w:r w:rsidR="00D772BD" w:rsidRPr="00FB00FE">
        <w:t>17 powyżej).</w:t>
      </w:r>
    </w:p>
    <w:p w14:paraId="4CE38829" w14:textId="6A2F1E24" w:rsidR="00626381" w:rsidRPr="00FB00FE" w:rsidRDefault="00124942" w:rsidP="00B4318F">
      <w:pPr>
        <w:pStyle w:val="JuPara"/>
      </w:pPr>
      <w:fldSimple w:instr=" SEQ level0 \*arabic ">
        <w:r w:rsidR="00FB00FE" w:rsidRPr="00FB00FE">
          <w:rPr>
            <w:noProof/>
          </w:rPr>
          <w:t>51</w:t>
        </w:r>
      </w:fldSimple>
      <w:r w:rsidR="00D2300A" w:rsidRPr="00FB00FE">
        <w:t>.</w:t>
      </w:r>
      <w:r w:rsidR="00EB56A9">
        <w:t xml:space="preserve"> </w:t>
      </w:r>
      <w:r w:rsidR="00D2300A" w:rsidRPr="00FB00FE">
        <w:t>Trybunał zauważył, że nie obalono oświadczeń Rządu dotycząc</w:t>
      </w:r>
      <w:r w:rsidR="009A00CA">
        <w:t>ych</w:t>
      </w:r>
      <w:r w:rsidR="00D2300A" w:rsidRPr="00FB00FE">
        <w:t xml:space="preserve"> opieki medycznej zapewnionej skarżącym przez pracowników ośrodka detencyjnego. Nadto skarżąca nie zgłosiła żadnych zastrzeżeń co do jakości opieki świadczonej w przedmiotowym ośrodku.</w:t>
      </w:r>
    </w:p>
    <w:p w14:paraId="4FEB6F5A" w14:textId="34D7C71D" w:rsidR="00626381" w:rsidRPr="00FB00FE" w:rsidRDefault="00124942" w:rsidP="00B4318F">
      <w:pPr>
        <w:pStyle w:val="JuPara"/>
      </w:pPr>
      <w:fldSimple w:instr=" SEQ level0 \*arabic ">
        <w:r w:rsidR="00FB00FE" w:rsidRPr="00FB00FE">
          <w:rPr>
            <w:noProof/>
          </w:rPr>
          <w:t>52</w:t>
        </w:r>
      </w:fldSimple>
      <w:r w:rsidR="00A451C7" w:rsidRPr="00FB00FE">
        <w:t>.</w:t>
      </w:r>
      <w:r w:rsidR="00EB56A9">
        <w:t xml:space="preserve"> </w:t>
      </w:r>
      <w:r w:rsidR="00A451C7" w:rsidRPr="00FB00FE">
        <w:t xml:space="preserve">Trybunał zauważył, że </w:t>
      </w:r>
      <w:r w:rsidR="00EB56A9" w:rsidRPr="00FB00FE">
        <w:t>przedstawione zarzuty</w:t>
      </w:r>
      <w:r w:rsidR="00A451C7" w:rsidRPr="00FB00FE">
        <w:t xml:space="preserve"> dotyczące braku opieki psychologicznej nad skarżącymi dziećmi oraz stresu spowodowanego ich przedłużającym się kontaktem z umundurowanym personelem ośrodka detencyjnego zostały po raz pierwszy podniesione w uwagach skarżących przedstawionych odpowiednio w dni</w:t>
      </w:r>
      <w:r w:rsidR="00486881">
        <w:t>ach</w:t>
      </w:r>
      <w:r w:rsidR="00A451C7" w:rsidRPr="00FB00FE">
        <w:t xml:space="preserve"> 26 marca 2015</w:t>
      </w:r>
      <w:r w:rsidR="00486881">
        <w:t> </w:t>
      </w:r>
      <w:r w:rsidR="00A451C7" w:rsidRPr="00FB00FE">
        <w:t>r. i 3 października 2018</w:t>
      </w:r>
      <w:r w:rsidR="00486881">
        <w:t> </w:t>
      </w:r>
      <w:r w:rsidR="00A451C7" w:rsidRPr="00FB00FE">
        <w:t>r. (zob. par.</w:t>
      </w:r>
      <w:r w:rsidR="00486881">
        <w:t> </w:t>
      </w:r>
      <w:r w:rsidR="00A451C7" w:rsidRPr="00FB00FE">
        <w:t>47 powyżej), tj. po upływie sześciomiesięcznego terminu.</w:t>
      </w:r>
    </w:p>
    <w:p w14:paraId="161B9D19" w14:textId="433930BE" w:rsidR="00626381" w:rsidRPr="00FB00FE" w:rsidRDefault="00124942" w:rsidP="00B4318F">
      <w:pPr>
        <w:pStyle w:val="JuPara"/>
      </w:pPr>
      <w:fldSimple w:instr=" SEQ level0 \*arabic ">
        <w:r w:rsidR="00FB00FE" w:rsidRPr="00FB00FE">
          <w:rPr>
            <w:noProof/>
          </w:rPr>
          <w:t>53</w:t>
        </w:r>
      </w:fldSimple>
      <w:r w:rsidR="007D0BC5" w:rsidRPr="00FB00FE">
        <w:t>.</w:t>
      </w:r>
      <w:r w:rsidR="00EB56A9">
        <w:t xml:space="preserve"> </w:t>
      </w:r>
      <w:r w:rsidR="007D0BC5" w:rsidRPr="00FB00FE">
        <w:t>W konsekwencji Trybunał odrzuca tę część skargi jako wniesioną po terminie, zgodnie z art.</w:t>
      </w:r>
      <w:r w:rsidR="00486881">
        <w:t> </w:t>
      </w:r>
      <w:r w:rsidR="007D0BC5" w:rsidRPr="00FB00FE">
        <w:t>35 ust.</w:t>
      </w:r>
      <w:r w:rsidR="00486881">
        <w:t> </w:t>
      </w:r>
      <w:r w:rsidR="007D0BC5" w:rsidRPr="00FB00FE">
        <w:t>1 Konwencji.</w:t>
      </w:r>
    </w:p>
    <w:p w14:paraId="3C6693E9" w14:textId="06BC163D" w:rsidR="00626381" w:rsidRPr="00FB00FE" w:rsidRDefault="00124942" w:rsidP="00B4318F">
      <w:pPr>
        <w:pStyle w:val="JuPara"/>
      </w:pPr>
      <w:fldSimple w:instr=" SEQ level0 \*arabic ">
        <w:r w:rsidR="00FB00FE" w:rsidRPr="00FB00FE">
          <w:rPr>
            <w:noProof/>
          </w:rPr>
          <w:t>54</w:t>
        </w:r>
      </w:fldSimple>
      <w:r w:rsidR="00D118FE" w:rsidRPr="00FB00FE">
        <w:t>.</w:t>
      </w:r>
      <w:r w:rsidR="00EB56A9">
        <w:t xml:space="preserve"> </w:t>
      </w:r>
      <w:r w:rsidR="00D118FE" w:rsidRPr="00FB00FE">
        <w:t>Przyznając, że trudności, jakich skarżący doświadczyli w związku z</w:t>
      </w:r>
      <w:r w:rsidR="00486881">
        <w:t> </w:t>
      </w:r>
      <w:r w:rsidR="00D118FE" w:rsidRPr="00FB00FE">
        <w:t>ich sytuacją rodzinną i pobytem za granicą, mogły stanowić źródło stresu, Trybunał uznał, że skarżący nie wykazali, by przedstawioną przez nich sytuację można przypisać władzom krajowym</w:t>
      </w:r>
      <w:r w:rsidR="00F64886">
        <w:t>,</w:t>
      </w:r>
      <w:r w:rsidR="00D118FE" w:rsidRPr="00FB00FE">
        <w:t xml:space="preserve"> lub że spowodowała u nich cierpienie w stopniu przekraczającym próg dotkliwości wymagany w</w:t>
      </w:r>
      <w:r w:rsidR="00486881">
        <w:t> </w:t>
      </w:r>
      <w:r w:rsidR="00D118FE" w:rsidRPr="00FB00FE">
        <w:t>art.</w:t>
      </w:r>
      <w:r w:rsidR="00486881">
        <w:t> </w:t>
      </w:r>
      <w:r w:rsidR="00D118FE" w:rsidRPr="00FB00FE">
        <w:t>3</w:t>
      </w:r>
      <w:r w:rsidR="00486881">
        <w:t> </w:t>
      </w:r>
      <w:r w:rsidR="00D118FE" w:rsidRPr="00FB00FE">
        <w:t>Konwencji.</w:t>
      </w:r>
    </w:p>
    <w:p w14:paraId="46452497" w14:textId="07D466C5" w:rsidR="00626381" w:rsidRPr="00FB00FE" w:rsidRDefault="00124942" w:rsidP="00B4318F">
      <w:pPr>
        <w:pStyle w:val="JuPara"/>
      </w:pPr>
      <w:fldSimple w:instr=" SEQ level0 \*arabic ">
        <w:r w:rsidR="00FB00FE" w:rsidRPr="00FB00FE">
          <w:rPr>
            <w:noProof/>
          </w:rPr>
          <w:t>55</w:t>
        </w:r>
      </w:fldSimple>
      <w:r w:rsidR="00462964" w:rsidRPr="00FB00FE">
        <w:t>.</w:t>
      </w:r>
      <w:r w:rsidR="00EB56A9">
        <w:t xml:space="preserve"> </w:t>
      </w:r>
      <w:r w:rsidR="00462964" w:rsidRPr="00FB00FE">
        <w:t>Tym samym Trybunał odrzuca tę część skargi na podstawie art.</w:t>
      </w:r>
      <w:r w:rsidR="00486881">
        <w:t> </w:t>
      </w:r>
      <w:r w:rsidR="00462964" w:rsidRPr="00FB00FE">
        <w:t>3</w:t>
      </w:r>
      <w:r w:rsidR="00486881">
        <w:t> </w:t>
      </w:r>
      <w:r w:rsidR="00462964" w:rsidRPr="00FB00FE">
        <w:t>Konwencji jako w sposób oczywisty nieuzasadnioną zgodnie z art.</w:t>
      </w:r>
      <w:r w:rsidR="00486881">
        <w:t> </w:t>
      </w:r>
      <w:r w:rsidR="00462964" w:rsidRPr="00FB00FE">
        <w:t>35 ust.</w:t>
      </w:r>
      <w:r w:rsidR="00486881">
        <w:t> </w:t>
      </w:r>
      <w:r w:rsidR="00462964" w:rsidRPr="00FB00FE">
        <w:t>3 lit.</w:t>
      </w:r>
      <w:r w:rsidR="00486881">
        <w:t> </w:t>
      </w:r>
      <w:r w:rsidR="00462964" w:rsidRPr="00FB00FE">
        <w:t>a i art.</w:t>
      </w:r>
      <w:r w:rsidR="00486881">
        <w:t> </w:t>
      </w:r>
      <w:r w:rsidR="00462964" w:rsidRPr="00FB00FE">
        <w:t>4 Konwencji.</w:t>
      </w:r>
    </w:p>
    <w:p w14:paraId="6599919D" w14:textId="114AF339" w:rsidR="00E77CB3" w:rsidRPr="00FB00FE" w:rsidRDefault="00E77CB3" w:rsidP="00B4318F">
      <w:pPr>
        <w:pStyle w:val="JuHIRoman"/>
      </w:pPr>
      <w:r w:rsidRPr="00FB00FE">
        <w:t>ZARZUCANE NARUSZENIE ART.</w:t>
      </w:r>
      <w:r w:rsidR="00486881">
        <w:t> </w:t>
      </w:r>
      <w:r w:rsidRPr="00FB00FE">
        <w:t>5 KONWENCJI</w:t>
      </w:r>
    </w:p>
    <w:p w14:paraId="4F742F4B" w14:textId="4F1DC973" w:rsidR="00763885" w:rsidRPr="00FB00FE" w:rsidRDefault="00124942" w:rsidP="00B4318F">
      <w:pPr>
        <w:pStyle w:val="JuPara"/>
      </w:pPr>
      <w:fldSimple w:instr=" SEQ level0 \*arabic ">
        <w:r w:rsidR="00FB00FE" w:rsidRPr="00FB00FE">
          <w:rPr>
            <w:noProof/>
          </w:rPr>
          <w:t>56</w:t>
        </w:r>
      </w:fldSimple>
      <w:r w:rsidR="00D772BD" w:rsidRPr="00FB00FE">
        <w:t>.</w:t>
      </w:r>
      <w:r w:rsidR="00EB56A9">
        <w:t xml:space="preserve"> </w:t>
      </w:r>
      <w:r w:rsidR="00D772BD" w:rsidRPr="00FB00FE">
        <w:t>Skarżący zarzuca, że umieszczenie i przedłużenie okresu pobytu skarżących dzieci w strzeżonym ośrodku pozbawione było podstawy prawnej.</w:t>
      </w:r>
    </w:p>
    <w:p w14:paraId="3747225E" w14:textId="7FC0C498" w:rsidR="007A64D3" w:rsidRPr="00FB00FE" w:rsidRDefault="00447352" w:rsidP="00B4318F">
      <w:pPr>
        <w:pStyle w:val="JuPara"/>
      </w:pPr>
      <w:r w:rsidRPr="00FB00FE">
        <w:t>Trybunał zauważa, że skarga dotyczy głównie przedłużenia okresu pobytu skarżących dzieci w strzeżonym ośrodku po dniu 23 stycznia 2014</w:t>
      </w:r>
      <w:r w:rsidR="005B60AC">
        <w:t> </w:t>
      </w:r>
      <w:r w:rsidRPr="00FB00FE">
        <w:t xml:space="preserve">r. W tym zakresie Trybunał zauważa, że postanowienie o przedłużeniu okresu pobytu skarżących dzieci w strzeżonym ośrodku dla cudzoziemców w Kętrzynie została wydana dwa dni po oddaleniu ich wniosku o nadanie statusu uchodźcy, wraz z decyzją o wydaleniu, a następnie utrzymana w mocy przez </w:t>
      </w:r>
      <w:r w:rsidRPr="00FB00FE">
        <w:lastRenderedPageBreak/>
        <w:t>organ odwoławczy (zob. par.</w:t>
      </w:r>
      <w:r w:rsidR="005B60AC">
        <w:t> </w:t>
      </w:r>
      <w:r w:rsidRPr="00FB00FE">
        <w:t>7 powyżej). Uważa zatem, że sytuacja skarżących dzieci mieści się w zakresie art.</w:t>
      </w:r>
      <w:r w:rsidR="005B60AC">
        <w:t> </w:t>
      </w:r>
      <w:r w:rsidRPr="00FB00FE">
        <w:t>5 lit.</w:t>
      </w:r>
      <w:r w:rsidR="005B60AC">
        <w:t> </w:t>
      </w:r>
      <w:r w:rsidRPr="00FB00FE">
        <w:t>f Konwencji, który pozwala na „zgodne z prawem zatrzymanie lub aresztowanie osoby w celu zapobieżenia jej nielegalnemu wkroczeniu na terytorium państwa lub osoby, przeciwko której toczy się postępowanie o wydalenie (...)”. Wyżej wymienione postanowienie Konwencji w odpowiedniej części stanowi:</w:t>
      </w:r>
    </w:p>
    <w:p w14:paraId="3EFE4CFC" w14:textId="7F372E39" w:rsidR="00626381" w:rsidRPr="00FB00FE" w:rsidRDefault="007A64D3" w:rsidP="00B4318F">
      <w:pPr>
        <w:pStyle w:val="JuQuot"/>
      </w:pPr>
      <w:r w:rsidRPr="00FB00FE">
        <w:t>„1.</w:t>
      </w:r>
      <w:r w:rsidR="00EB56A9">
        <w:t xml:space="preserve"> </w:t>
      </w:r>
      <w:r w:rsidRPr="00FB00FE">
        <w:t>Każdy ma prawo do wolności i bezpieczeństwa osobistego. Nikt nie może być pozbawiony wolności, z wyjątkiem następujących przypadków i w trybie ustalonym przez prawo:</w:t>
      </w:r>
    </w:p>
    <w:p w14:paraId="3CDC3B69" w14:textId="77777777" w:rsidR="007A64D3" w:rsidRPr="00FB00FE" w:rsidRDefault="007A64D3" w:rsidP="00B4318F">
      <w:pPr>
        <w:pStyle w:val="JuQuot"/>
      </w:pPr>
      <w:r w:rsidRPr="00FB00FE">
        <w:t>(…)</w:t>
      </w:r>
    </w:p>
    <w:p w14:paraId="67DFF925" w14:textId="2142EED6" w:rsidR="007A64D3" w:rsidRPr="00FB00FE" w:rsidRDefault="007A64D3" w:rsidP="00B4318F">
      <w:pPr>
        <w:pStyle w:val="JuQuot"/>
      </w:pPr>
      <w:r w:rsidRPr="00FB00FE">
        <w:t>f)</w:t>
      </w:r>
      <w:r w:rsidR="005B60AC">
        <w:t> </w:t>
      </w:r>
      <w:r w:rsidRPr="00FB00FE">
        <w:t>zgodnego z prawem zatrzymania lub aresztowania osoby w celu zapobieżenia jej nielegalnemu wkroczeniu na terytorium państwa lub osoby, przeciwko której toczy się postępowanie o wydalenie lub ekstradycję.</w:t>
      </w:r>
    </w:p>
    <w:p w14:paraId="1665DDA8" w14:textId="5CDBA325" w:rsidR="00E82F42" w:rsidRPr="00FB00FE" w:rsidRDefault="007A64D3" w:rsidP="00B4318F">
      <w:pPr>
        <w:pStyle w:val="JuQuot"/>
      </w:pPr>
      <w:r w:rsidRPr="00FB00FE">
        <w:t>(…)</w:t>
      </w:r>
      <w:r w:rsidR="00FB00FE">
        <w:t>”</w:t>
      </w:r>
    </w:p>
    <w:p w14:paraId="5CF52802" w14:textId="77777777" w:rsidR="00763885" w:rsidRPr="00FB00FE" w:rsidRDefault="00E82F42" w:rsidP="00B4318F">
      <w:pPr>
        <w:pStyle w:val="JuHA"/>
      </w:pPr>
      <w:r w:rsidRPr="00FB00FE">
        <w:t>Dopuszczalność</w:t>
      </w:r>
    </w:p>
    <w:p w14:paraId="440CB47C" w14:textId="13A0153A" w:rsidR="007A64D3" w:rsidRPr="00FB00FE" w:rsidRDefault="00124942" w:rsidP="00B4318F">
      <w:pPr>
        <w:pStyle w:val="JuPara"/>
      </w:pPr>
      <w:fldSimple w:instr=" SEQ level0 \*arabic ">
        <w:r w:rsidR="00FB00FE" w:rsidRPr="00FB00FE">
          <w:rPr>
            <w:noProof/>
          </w:rPr>
          <w:t>57</w:t>
        </w:r>
      </w:fldSimple>
      <w:r w:rsidR="003D1AD2" w:rsidRPr="00FB00FE">
        <w:t>.</w:t>
      </w:r>
      <w:r w:rsidR="00EB56A9">
        <w:t xml:space="preserve"> </w:t>
      </w:r>
      <w:r w:rsidR="003D1AD2" w:rsidRPr="00FB00FE">
        <w:t>Rząd twierdził, że skarżący nie wyczerpali krajowych środków odwoławczych. Wyjaśnia, że powinni oni byli skorzystać z następujących środków prawnych: po pierwsze – z odwołania od decyzji o zatrzymaniu przez straż graniczną w dniu 26 listopada 2013</w:t>
      </w:r>
      <w:r w:rsidR="00603D17">
        <w:t> </w:t>
      </w:r>
      <w:r w:rsidR="003D1AD2" w:rsidRPr="00FB00FE">
        <w:t>r.; po drugie – z zażalenia na postanowienie o umieszczeniu ich w strzeżonym ośrodku; po trzecie – z</w:t>
      </w:r>
      <w:r w:rsidR="00603D17">
        <w:t> </w:t>
      </w:r>
      <w:r w:rsidR="003D1AD2" w:rsidRPr="00FB00FE">
        <w:t>roszczenia o zadośćuczynienie na podstawie art.</w:t>
      </w:r>
      <w:r w:rsidR="00603D17">
        <w:t> </w:t>
      </w:r>
      <w:r w:rsidR="003D1AD2" w:rsidRPr="00FB00FE">
        <w:t>108 ustawy o</w:t>
      </w:r>
      <w:r w:rsidR="00603D17">
        <w:t> </w:t>
      </w:r>
      <w:r w:rsidR="003D1AD2" w:rsidRPr="00FB00FE">
        <w:t>cudzoziemcach (par.</w:t>
      </w:r>
      <w:r w:rsidR="00603D17">
        <w:t> </w:t>
      </w:r>
      <w:r w:rsidR="003D1AD2" w:rsidRPr="00FB00FE">
        <w:t>32 powyżej).</w:t>
      </w:r>
    </w:p>
    <w:p w14:paraId="3674D822" w14:textId="60C2E21D" w:rsidR="005268F9" w:rsidRPr="00FB00FE" w:rsidRDefault="00124942" w:rsidP="00B4318F">
      <w:pPr>
        <w:pStyle w:val="JuPara"/>
        <w:rPr>
          <w:b/>
        </w:rPr>
      </w:pPr>
      <w:fldSimple w:instr=" SEQ level0 \*arabic ">
        <w:r w:rsidR="00FB00FE" w:rsidRPr="00FB00FE">
          <w:rPr>
            <w:noProof/>
          </w:rPr>
          <w:t>58</w:t>
        </w:r>
      </w:fldSimple>
      <w:r w:rsidR="003D1AD2" w:rsidRPr="00FB00FE">
        <w:t>.</w:t>
      </w:r>
      <w:r w:rsidR="00EB56A9">
        <w:t xml:space="preserve"> </w:t>
      </w:r>
      <w:r w:rsidR="003D1AD2" w:rsidRPr="00FB00FE">
        <w:t>Skarżący kwestionują zarzut Rządu – twierdzą bowiem, że spełnili wymóg wyczerpania krajowych środków odwoławczych poprzez zaskarżenie postanowienia w przedmiocie przedłużenia okresu stosowania wobec nich środka detencyjnego.</w:t>
      </w:r>
    </w:p>
    <w:p w14:paraId="3B945716" w14:textId="2BDDEE57" w:rsidR="00626381" w:rsidRPr="00FB00FE" w:rsidRDefault="00222A86" w:rsidP="00B4318F">
      <w:pPr>
        <w:pStyle w:val="JuPara"/>
      </w:pPr>
      <w:r w:rsidRPr="00FB00FE">
        <w:t>Twierdzą, że w niniejszej sprawie fakt, iż nie złożyli skargi w związku z</w:t>
      </w:r>
      <w:r w:rsidR="00603D17">
        <w:t> </w:t>
      </w:r>
      <w:r w:rsidRPr="00FB00FE">
        <w:t>ich zatrzymaniem i umieszczeniem w strzeżonym ośrodku, nie może działać na ich niekorzyść z tego powodu, że w chwili zastosowania tych środków dopiero przybyli do Polski, nie władali biegle językiem polskim ani nie znali obowiązujących w nim przepisów. Dodają, że po pozbawieniu wolności i ze względu na ich sytuację finansową, którą uznają za złą, mieli trudności ze znalezieniem prawnika, który mógłby im pomóc w kontaktach z</w:t>
      </w:r>
      <w:r w:rsidR="00680376">
        <w:t> </w:t>
      </w:r>
      <w:r w:rsidRPr="00FB00FE">
        <w:t>władzami polskimi. Twierdzą, że po raz pierwszy uzyskali pomoc prawną od prawnika z organizacji pozarządowej (NGO) dopiero 19 grudnia 2013</w:t>
      </w:r>
      <w:r w:rsidR="00680376">
        <w:t> </w:t>
      </w:r>
      <w:r w:rsidRPr="00FB00FE">
        <w:t>r. Wreszcie, ich zdaniem terminy zaskarżenia przedmiotowych środków były bardzo krótkie.</w:t>
      </w:r>
    </w:p>
    <w:p w14:paraId="44DDAC73" w14:textId="78ADCFB7" w:rsidR="00626381" w:rsidRPr="00FB00FE" w:rsidRDefault="00F25455" w:rsidP="00B4318F">
      <w:pPr>
        <w:pStyle w:val="JuPara"/>
      </w:pPr>
      <w:r w:rsidRPr="00FB00FE">
        <w:t>Ponadto, co się tyczy roszczenia o zadośćuczynienie na gruncie art.</w:t>
      </w:r>
      <w:r w:rsidR="00680376">
        <w:t> </w:t>
      </w:r>
      <w:r w:rsidRPr="00FB00FE">
        <w:t xml:space="preserve">108 ustawy o cudzoziemcach, skarżący podnoszą, że skorzystanie z tego środka nie mogło doprowadzić do ich zwolnienia ze strzeżonego ośrodka ani do przeniesienia w krótkim czasie do placówki bardziej dostosowanej do ich </w:t>
      </w:r>
      <w:r w:rsidRPr="00FB00FE">
        <w:lastRenderedPageBreak/>
        <w:t>szczególnej sytuacji</w:t>
      </w:r>
      <w:r w:rsidR="00F64886">
        <w:t>,</w:t>
      </w:r>
      <w:r w:rsidRPr="00FB00FE">
        <w:t xml:space="preserve"> </w:t>
      </w:r>
      <w:r w:rsidR="00680376">
        <w:t>oraz</w:t>
      </w:r>
      <w:r w:rsidRPr="00FB00FE">
        <w:t xml:space="preserve"> że w związku z tym byłby on nieskuteczny w</w:t>
      </w:r>
      <w:r w:rsidR="00680376">
        <w:t> </w:t>
      </w:r>
      <w:r w:rsidRPr="00FB00FE">
        <w:t>niniejszej sprawie.</w:t>
      </w:r>
    </w:p>
    <w:p w14:paraId="072DA03B" w14:textId="2ECBBCCC" w:rsidR="00A56DA6" w:rsidRPr="00FB00FE" w:rsidRDefault="00124942" w:rsidP="00B4318F">
      <w:pPr>
        <w:pStyle w:val="JuPara"/>
      </w:pPr>
      <w:fldSimple w:instr=" SEQ level0 \*arabic ">
        <w:r w:rsidR="00FB00FE" w:rsidRPr="00FB00FE">
          <w:rPr>
            <w:noProof/>
          </w:rPr>
          <w:t>59</w:t>
        </w:r>
      </w:fldSimple>
      <w:r w:rsidR="00A01C6A" w:rsidRPr="00FB00FE">
        <w:t>.</w:t>
      </w:r>
      <w:r w:rsidR="00EB56A9">
        <w:t xml:space="preserve"> </w:t>
      </w:r>
      <w:r w:rsidR="00A01C6A" w:rsidRPr="00FB00FE">
        <w:t>Trybunał przypomina, że zgodnie z art.</w:t>
      </w:r>
      <w:r w:rsidR="00680376">
        <w:t> </w:t>
      </w:r>
      <w:r w:rsidR="00A01C6A" w:rsidRPr="00FB00FE">
        <w:t>35 ust.</w:t>
      </w:r>
      <w:r w:rsidR="00680376">
        <w:t> </w:t>
      </w:r>
      <w:r w:rsidR="00A01C6A" w:rsidRPr="00FB00FE">
        <w:t>1 Konwencji wystąpienie do Trybunału jest możliwe dopiero po wyczerpaniu krajowych środków odwoławczych. W związku z tym podkreśla, że każdy skarżący musi dać sądom krajowym Umawiającego się Państwa możliwość zapobieżenia zarzucanym mu naruszeniom lub ich naprawienia (</w:t>
      </w:r>
      <w:r w:rsidR="00A01C6A" w:rsidRPr="00FB00FE">
        <w:rPr>
          <w:i/>
          <w:iCs/>
        </w:rPr>
        <w:t>Cardot przeciwko Francji</w:t>
      </w:r>
      <w:r w:rsidR="00A01C6A" w:rsidRPr="00FB00FE">
        <w:t xml:space="preserve">, </w:t>
      </w:r>
      <w:r w:rsidR="00680376">
        <w:t>z dnia</w:t>
      </w:r>
      <w:r w:rsidR="00A01C6A" w:rsidRPr="00FB00FE">
        <w:t>19 marca 1991</w:t>
      </w:r>
      <w:r w:rsidR="00680376">
        <w:t> </w:t>
      </w:r>
      <w:r w:rsidR="00A01C6A" w:rsidRPr="00FB00FE">
        <w:t>r., §</w:t>
      </w:r>
      <w:r w:rsidR="00680376">
        <w:t> </w:t>
      </w:r>
      <w:r w:rsidR="00A01C6A" w:rsidRPr="00FB00FE">
        <w:t xml:space="preserve">36, </w:t>
      </w:r>
      <w:r w:rsidR="00680376">
        <w:t>S</w:t>
      </w:r>
      <w:r w:rsidR="00A01C6A" w:rsidRPr="00FB00FE">
        <w:t>eria A nr</w:t>
      </w:r>
      <w:r w:rsidR="00680376">
        <w:t> </w:t>
      </w:r>
      <w:r w:rsidR="00A01C6A" w:rsidRPr="00FB00FE">
        <w:t xml:space="preserve">200). Zasada ta opiera się na założeniu, że prawo krajowe przewiduje skuteczny środek odwoławczy w przypadku zarzucanego naruszenia (zob. </w:t>
      </w:r>
      <w:r w:rsidR="00680376">
        <w:t>np.</w:t>
      </w:r>
      <w:r w:rsidR="00EB56A9">
        <w:t xml:space="preserve"> </w:t>
      </w:r>
      <w:r w:rsidR="00A01C6A" w:rsidRPr="00FB00FE">
        <w:t xml:space="preserve">sprawa </w:t>
      </w:r>
      <w:r w:rsidR="00A01C6A" w:rsidRPr="00FB00FE">
        <w:rPr>
          <w:i/>
          <w:iCs/>
        </w:rPr>
        <w:t>Selmouni przeciwko Francji</w:t>
      </w:r>
      <w:r w:rsidR="00A01C6A" w:rsidRPr="00FB00FE">
        <w:t xml:space="preserve"> [WI], skarga nr</w:t>
      </w:r>
      <w:r w:rsidR="00680376">
        <w:t> </w:t>
      </w:r>
      <w:r w:rsidR="00A01C6A" w:rsidRPr="00FB00FE">
        <w:t>25803/94, §</w:t>
      </w:r>
      <w:r w:rsidR="00680376">
        <w:t> </w:t>
      </w:r>
      <w:r w:rsidR="00A01C6A" w:rsidRPr="00FB00FE">
        <w:t>74, ETPCz 1999</w:t>
      </w:r>
      <w:r w:rsidR="00680376">
        <w:rPr>
          <w:rFonts w:cstheme="minorHAnsi"/>
        </w:rPr>
        <w:t>‒</w:t>
      </w:r>
      <w:r w:rsidR="00A01C6A" w:rsidRPr="00FB00FE">
        <w:t>V).</w:t>
      </w:r>
    </w:p>
    <w:p w14:paraId="7C68B2D9" w14:textId="53D8C246" w:rsidR="00626381" w:rsidRPr="00FB00FE" w:rsidRDefault="00124942" w:rsidP="00B4318F">
      <w:pPr>
        <w:pStyle w:val="JuPara"/>
      </w:pPr>
      <w:fldSimple w:instr=" SEQ level0 \*arabic ">
        <w:r w:rsidR="00FB00FE" w:rsidRPr="00FB00FE">
          <w:rPr>
            <w:noProof/>
          </w:rPr>
          <w:t>60</w:t>
        </w:r>
      </w:fldSimple>
      <w:r w:rsidR="00A01C6A" w:rsidRPr="00FB00FE">
        <w:t>.</w:t>
      </w:r>
      <w:r w:rsidR="00EB56A9">
        <w:t xml:space="preserve"> </w:t>
      </w:r>
      <w:r w:rsidR="00A01C6A" w:rsidRPr="00FB00FE">
        <w:t xml:space="preserve">Trybunał przypomina </w:t>
      </w:r>
      <w:r w:rsidR="00680376">
        <w:t>nadto</w:t>
      </w:r>
      <w:r w:rsidR="00A01C6A" w:rsidRPr="00FB00FE">
        <w:t>, że wielokrotnie stwierdzał, że w</w:t>
      </w:r>
      <w:r w:rsidR="00680376">
        <w:t> </w:t>
      </w:r>
      <w:r w:rsidR="00A01C6A" w:rsidRPr="00FB00FE">
        <w:t>przypadku gdy w grę wchodzi legalność pozbawienia wolności, najwłaściwszym środkiem zaradczym w tym względzie jest ten, który umożliwia szybką kontrolę sądową zatrzymania, a w stosownych przypadkach – zwolnienie danej osoby.</w:t>
      </w:r>
    </w:p>
    <w:p w14:paraId="57A2309B" w14:textId="77777777" w:rsidR="008A2290" w:rsidRPr="00FB00FE" w:rsidRDefault="008A2290" w:rsidP="00B4318F">
      <w:pPr>
        <w:pStyle w:val="JuH1"/>
      </w:pPr>
      <w:r w:rsidRPr="00FB00FE">
        <w:t>Pierwotne postanowienie o umieszczeniu</w:t>
      </w:r>
    </w:p>
    <w:p w14:paraId="042F9B3B" w14:textId="03C0B76C" w:rsidR="00763885" w:rsidRPr="00FB00FE" w:rsidRDefault="00124942" w:rsidP="00B4318F">
      <w:pPr>
        <w:pStyle w:val="JuPara"/>
      </w:pPr>
      <w:fldSimple w:instr=" SEQ level0 \*arabic ">
        <w:r w:rsidR="00FB00FE" w:rsidRPr="00FB00FE">
          <w:rPr>
            <w:noProof/>
          </w:rPr>
          <w:t>61</w:t>
        </w:r>
      </w:fldSimple>
      <w:r w:rsidR="00806B12" w:rsidRPr="00FB00FE">
        <w:t>.</w:t>
      </w:r>
      <w:r w:rsidR="00EB56A9">
        <w:t xml:space="preserve"> </w:t>
      </w:r>
      <w:r w:rsidR="00806B12" w:rsidRPr="00FB00FE">
        <w:t>W niniejszej sprawie Trybunał zauważył, że skarżący nie zaskarżyli postanowienia Sądu Rejonowego w Zgorzelcu z dnia 27 listopada 2013</w:t>
      </w:r>
      <w:r w:rsidR="00680376">
        <w:t> </w:t>
      </w:r>
      <w:r w:rsidR="00806B12" w:rsidRPr="00FB00FE">
        <w:t>r. w</w:t>
      </w:r>
      <w:r w:rsidR="00680376">
        <w:t> </w:t>
      </w:r>
      <w:r w:rsidR="00806B12" w:rsidRPr="00FB00FE">
        <w:t>przedmiocie umieszczenia ich w strzeżonym ośrodku dla cudzoziemców. W jego ocenie okoliczności, o których mowa w par.</w:t>
      </w:r>
      <w:r w:rsidR="000C127E">
        <w:t> </w:t>
      </w:r>
      <w:r w:rsidR="00806B12" w:rsidRPr="00FB00FE">
        <w:t xml:space="preserve">60 powyżej, nie są wyjątkowe do tego stopnia, by zwalniały z obowiązku skorzystania z tego środka odwoławczego (zob. </w:t>
      </w:r>
      <w:r w:rsidR="00806B12" w:rsidRPr="00FB00FE">
        <w:rPr>
          <w:i/>
          <w:iCs/>
        </w:rPr>
        <w:t>a contrario</w:t>
      </w:r>
      <w:r w:rsidR="00806B12" w:rsidRPr="00FB00FE">
        <w:t xml:space="preserve">, </w:t>
      </w:r>
      <w:r w:rsidR="00806B12" w:rsidRPr="00FB00FE">
        <w:rPr>
          <w:i/>
          <w:iCs/>
        </w:rPr>
        <w:t>Conka przeciwko Belgii</w:t>
      </w:r>
      <w:r w:rsidR="00806B12" w:rsidRPr="00FB00FE">
        <w:t>, skarga nr</w:t>
      </w:r>
      <w:r w:rsidR="000C127E">
        <w:t> </w:t>
      </w:r>
      <w:r w:rsidR="00806B12" w:rsidRPr="00FB00FE">
        <w:t>51564/99, §</w:t>
      </w:r>
      <w:r w:rsidR="000C127E">
        <w:t> </w:t>
      </w:r>
      <w:r w:rsidR="00806B12" w:rsidRPr="00FB00FE">
        <w:t>44, ETPCz 2002</w:t>
      </w:r>
      <w:r w:rsidR="000C127E">
        <w:rPr>
          <w:rFonts w:cstheme="minorHAnsi"/>
        </w:rPr>
        <w:t>‒</w:t>
      </w:r>
      <w:r w:rsidR="00806B12" w:rsidRPr="00FB00FE">
        <w:t>I). Zauważa w szczególności, że skarżąca, przy udziale tłumacza ustnego, stawiła się na rozprawie, którą zakończono wydaniem przedmiotowego postanowienia, oraz że została pouczona przez sąd o trybach jego zaskarżenia (par.</w:t>
      </w:r>
      <w:r w:rsidR="000C127E">
        <w:t> </w:t>
      </w:r>
      <w:r w:rsidR="00806B12" w:rsidRPr="00FB00FE">
        <w:t>9</w:t>
      </w:r>
      <w:r w:rsidR="000C127E">
        <w:rPr>
          <w:rFonts w:cstheme="minorHAnsi"/>
        </w:rPr>
        <w:t>‒</w:t>
      </w:r>
      <w:r w:rsidR="00806B12" w:rsidRPr="00FB00FE">
        <w:t>10 powyżej). Trybunał zauważył ponadto, że z akt sprawy nie wynika, by skarżąca wnioskowała o pomoc prawną z urzędu, nawet jeżeli miała taką możliwość.</w:t>
      </w:r>
    </w:p>
    <w:p w14:paraId="3162CFA5" w14:textId="02D32751" w:rsidR="00B969B8" w:rsidRPr="00FB00FE" w:rsidRDefault="00124942" w:rsidP="00B4318F">
      <w:pPr>
        <w:pStyle w:val="JuPara"/>
      </w:pPr>
      <w:fldSimple w:instr=" SEQ level0 \*arabic ">
        <w:r w:rsidR="00FB00FE" w:rsidRPr="00FB00FE">
          <w:rPr>
            <w:noProof/>
          </w:rPr>
          <w:t>62</w:t>
        </w:r>
      </w:fldSimple>
      <w:r w:rsidR="00363E0A" w:rsidRPr="00FB00FE">
        <w:t>.</w:t>
      </w:r>
      <w:r w:rsidR="00EB56A9">
        <w:t xml:space="preserve"> </w:t>
      </w:r>
      <w:r w:rsidR="00363E0A" w:rsidRPr="00FB00FE">
        <w:t>W świetle tych okoliczności Trybunał uważa, że należy uwzględnić zastrzeżenie Rządu w zakresie, w jakim dotyczy ono części skargi odnoszącej się do umieszczenia skarżących dzieci w strzeżonym ośrodku dla cudzoziemców. Wynika z tego, że ta część skargi jest niedopuszczalna i</w:t>
      </w:r>
      <w:r w:rsidR="000C127E">
        <w:t> </w:t>
      </w:r>
      <w:r w:rsidR="00363E0A" w:rsidRPr="00FB00FE">
        <w:t>podlega odrzuceniu zgodnie z art.</w:t>
      </w:r>
      <w:r w:rsidR="000C127E">
        <w:t> </w:t>
      </w:r>
      <w:r w:rsidR="00363E0A" w:rsidRPr="00FB00FE">
        <w:t>35 ust.</w:t>
      </w:r>
      <w:r w:rsidR="000C127E">
        <w:t> </w:t>
      </w:r>
      <w:r w:rsidR="00363E0A" w:rsidRPr="00FB00FE">
        <w:t>1 i 4 Konwencji.</w:t>
      </w:r>
    </w:p>
    <w:p w14:paraId="36C4C309" w14:textId="77777777" w:rsidR="00626381" w:rsidRPr="00FB00FE" w:rsidRDefault="00B969B8" w:rsidP="00B4318F">
      <w:pPr>
        <w:pStyle w:val="JuH1"/>
      </w:pPr>
      <w:r w:rsidRPr="00FB00FE">
        <w:t>Przedłużenie okresu stosowania środka detencyjnego</w:t>
      </w:r>
    </w:p>
    <w:p w14:paraId="357AFECC" w14:textId="568DF81A" w:rsidR="00626381" w:rsidRPr="00FB00FE" w:rsidRDefault="00124942" w:rsidP="00B4318F">
      <w:pPr>
        <w:pStyle w:val="JuPara"/>
      </w:pPr>
      <w:fldSimple w:instr=" SEQ level0 \*arabic ">
        <w:r w:rsidR="00FB00FE" w:rsidRPr="00FB00FE">
          <w:rPr>
            <w:noProof/>
          </w:rPr>
          <w:t>63</w:t>
        </w:r>
      </w:fldSimple>
      <w:r w:rsidR="00363E0A" w:rsidRPr="00FB00FE">
        <w:t>.</w:t>
      </w:r>
      <w:r w:rsidR="00EB56A9">
        <w:t xml:space="preserve"> </w:t>
      </w:r>
      <w:r w:rsidR="00363E0A" w:rsidRPr="00FB00FE">
        <w:t>Kontynuując badanie części skargi dotyczącej przedłużenia okresu stosowania wobec skarżących środka detencyjnego po dniu 23 stycznia 2014</w:t>
      </w:r>
      <w:r w:rsidR="000C127E">
        <w:t> </w:t>
      </w:r>
      <w:r w:rsidR="00363E0A" w:rsidRPr="00FB00FE">
        <w:t>r. (zob. par.</w:t>
      </w:r>
      <w:r w:rsidR="000C127E">
        <w:t> </w:t>
      </w:r>
      <w:r w:rsidR="00363E0A" w:rsidRPr="00FB00FE">
        <w:t>12 powyżej), Trybunał zauważa, że w dniu 28 stycznia 2014</w:t>
      </w:r>
      <w:r w:rsidR="000C127E">
        <w:t> </w:t>
      </w:r>
      <w:r w:rsidR="00363E0A" w:rsidRPr="00FB00FE">
        <w:t>r. skarżący bezskutecznie środek ten zaskarżyli (zob. par.</w:t>
      </w:r>
      <w:r w:rsidR="000C127E">
        <w:t> </w:t>
      </w:r>
      <w:r w:rsidR="00363E0A" w:rsidRPr="00FB00FE">
        <w:t>13</w:t>
      </w:r>
      <w:r w:rsidR="000C127E">
        <w:rPr>
          <w:rFonts w:cstheme="minorHAnsi"/>
        </w:rPr>
        <w:t>‒</w:t>
      </w:r>
      <w:r w:rsidR="00363E0A" w:rsidRPr="00FB00FE">
        <w:t>14 powyżej). Tym samym Trybunał uznaje, że krajowe środki odwoławcze w</w:t>
      </w:r>
      <w:r w:rsidR="000C127E">
        <w:t> </w:t>
      </w:r>
      <w:r w:rsidR="00363E0A" w:rsidRPr="00FB00FE">
        <w:t>odniesieniu do tej części skargi zostały wyczerpane.</w:t>
      </w:r>
    </w:p>
    <w:p w14:paraId="4A8D995F" w14:textId="3548DFA3" w:rsidR="009836F4" w:rsidRPr="00FB00FE" w:rsidRDefault="00124942" w:rsidP="00B4318F">
      <w:pPr>
        <w:pStyle w:val="JuPara"/>
      </w:pPr>
      <w:fldSimple w:instr=" SEQ level0 \*arabic ">
        <w:r w:rsidR="00FB00FE" w:rsidRPr="00FB00FE">
          <w:rPr>
            <w:noProof/>
          </w:rPr>
          <w:t>64</w:t>
        </w:r>
      </w:fldSimple>
      <w:r w:rsidR="009836F4" w:rsidRPr="00FB00FE">
        <w:t>.</w:t>
      </w:r>
      <w:r w:rsidR="00EB56A9">
        <w:t xml:space="preserve"> </w:t>
      </w:r>
      <w:r w:rsidR="009836F4" w:rsidRPr="00FB00FE">
        <w:t>Następnie, w odniesieniu do roszczenia o zadośćuczynienie na gruncie art.</w:t>
      </w:r>
      <w:r w:rsidR="000C127E">
        <w:t> </w:t>
      </w:r>
      <w:r w:rsidR="009836F4" w:rsidRPr="00FB00FE">
        <w:t>108 ustawy o cudzoziemcach, Trybunał przypomina, że spoczywający na skarżącym obowiązek wyczerpania krajowych środków odwoławczych jest co do zasady oceniany na dzień złożenia skargi do Trybunału (</w:t>
      </w:r>
      <w:r w:rsidR="009836F4" w:rsidRPr="00FB00FE">
        <w:rPr>
          <w:i/>
          <w:iCs/>
        </w:rPr>
        <w:t>Baumann przeciwko Francji</w:t>
      </w:r>
      <w:r w:rsidR="009836F4" w:rsidRPr="00FB00FE">
        <w:t>, skarga nr</w:t>
      </w:r>
      <w:r w:rsidR="000C127E">
        <w:t> </w:t>
      </w:r>
      <w:r w:rsidR="009836F4" w:rsidRPr="00FB00FE">
        <w:t>33592/96, §</w:t>
      </w:r>
      <w:r w:rsidR="000C127E">
        <w:t> </w:t>
      </w:r>
      <w:r w:rsidR="009836F4" w:rsidRPr="00FB00FE">
        <w:t>47, ETPCz 2001</w:t>
      </w:r>
      <w:r w:rsidR="000C127E">
        <w:rPr>
          <w:rFonts w:cstheme="minorHAnsi"/>
        </w:rPr>
        <w:t>‒</w:t>
      </w:r>
      <w:r w:rsidR="009836F4" w:rsidRPr="00FB00FE">
        <w:t>V (fragmenty))</w:t>
      </w:r>
      <w:r w:rsidR="00F64886">
        <w:t>,</w:t>
      </w:r>
      <w:r w:rsidR="009836F4" w:rsidRPr="00FB00FE">
        <w:t xml:space="preserve"> oraz że środek dotyczący legalności stosowanego środka izolacyjnego musi, dla swej skuteczności, umożliwiać jego uchylenie (</w:t>
      </w:r>
      <w:r w:rsidR="009836F4" w:rsidRPr="00FB00FE">
        <w:rPr>
          <w:i/>
          <w:iCs/>
        </w:rPr>
        <w:t>Gavril Yossifov przeciwko Bułgarii</w:t>
      </w:r>
      <w:r w:rsidR="009836F4" w:rsidRPr="00FB00FE">
        <w:t>, skarga nr</w:t>
      </w:r>
      <w:r w:rsidR="000C127E">
        <w:t> </w:t>
      </w:r>
      <w:r w:rsidR="009836F4" w:rsidRPr="00FB00FE">
        <w:t>74012/01, §</w:t>
      </w:r>
      <w:r w:rsidR="000C127E">
        <w:t> </w:t>
      </w:r>
      <w:r w:rsidR="009836F4" w:rsidRPr="00FB00FE">
        <w:t xml:space="preserve">40, </w:t>
      </w:r>
      <w:r w:rsidR="000C127E">
        <w:t xml:space="preserve">z dnia </w:t>
      </w:r>
      <w:r w:rsidR="009836F4" w:rsidRPr="00FB00FE">
        <w:t>6</w:t>
      </w:r>
      <w:r w:rsidR="000C127E">
        <w:t> </w:t>
      </w:r>
      <w:r w:rsidR="009836F4" w:rsidRPr="00FB00FE">
        <w:t>listopada 2008</w:t>
      </w:r>
      <w:r w:rsidR="000C127E">
        <w:t> </w:t>
      </w:r>
      <w:r w:rsidR="009836F4" w:rsidRPr="00FB00FE">
        <w:t xml:space="preserve">r., oraz </w:t>
      </w:r>
      <w:r w:rsidR="009836F4" w:rsidRPr="00FB00FE">
        <w:rPr>
          <w:i/>
          <w:iCs/>
        </w:rPr>
        <w:t>Mustafa Avci przeciwko Turcji</w:t>
      </w:r>
      <w:r w:rsidR="009836F4" w:rsidRPr="00FB00FE">
        <w:t>, skarga nr</w:t>
      </w:r>
      <w:r w:rsidR="000C127E">
        <w:t> </w:t>
      </w:r>
      <w:r w:rsidR="009836F4" w:rsidRPr="00FB00FE">
        <w:t>39322/12, §</w:t>
      </w:r>
      <w:r w:rsidR="000C127E">
        <w:t> </w:t>
      </w:r>
      <w:r w:rsidR="009836F4" w:rsidRPr="00FB00FE">
        <w:t>60,</w:t>
      </w:r>
      <w:r w:rsidR="000C127E">
        <w:t xml:space="preserve"> z dnia</w:t>
      </w:r>
      <w:r w:rsidR="009836F4" w:rsidRPr="00FB00FE">
        <w:t xml:space="preserve"> 23 maja 2017</w:t>
      </w:r>
      <w:r w:rsidR="000C127E">
        <w:t> </w:t>
      </w:r>
      <w:r w:rsidR="009836F4" w:rsidRPr="00FB00FE">
        <w:t>r.). W</w:t>
      </w:r>
      <w:r w:rsidR="00B6245D">
        <w:t> </w:t>
      </w:r>
      <w:r w:rsidR="009836F4" w:rsidRPr="00FB00FE">
        <w:t>niniejszej sprawie, w dniu złożenia skargi do Trybunału, skarżący przebywali w strzeżonym ośrodku dla cudzoziemców. Ze względu na to, że przedmiotowy środek odwoławczy ma charakter czysto odszkodowawczy, nie wydaje się, aby jego zastosowanie mogło doprowadzić do zwolnienia skarżących w przypadku stwierdzenia, że ich zatrzymanie było pozbawione podstawy prawnej (</w:t>
      </w:r>
      <w:r w:rsidR="009836F4" w:rsidRPr="00FB00FE">
        <w:rPr>
          <w:i/>
          <w:iCs/>
        </w:rPr>
        <w:t>mutatis mutandis</w:t>
      </w:r>
      <w:r w:rsidR="009836F4" w:rsidRPr="00FB00FE">
        <w:t xml:space="preserve"> </w:t>
      </w:r>
      <w:r w:rsidR="009836F4" w:rsidRPr="00FB00FE">
        <w:rPr>
          <w:i/>
          <w:iCs/>
        </w:rPr>
        <w:t>G.B. i Inni</w:t>
      </w:r>
      <w:r w:rsidR="009836F4" w:rsidRPr="00FB00FE">
        <w:t xml:space="preserve">, </w:t>
      </w:r>
      <w:r w:rsidR="009836F4" w:rsidRPr="00FB00FE">
        <w:rPr>
          <w:i/>
          <w:iCs/>
        </w:rPr>
        <w:t>op. cit.</w:t>
      </w:r>
      <w:r w:rsidR="009836F4" w:rsidRPr="00FB00FE">
        <w:t>, §</w:t>
      </w:r>
      <w:r w:rsidR="0099543D">
        <w:t> </w:t>
      </w:r>
      <w:r w:rsidR="009836F4" w:rsidRPr="00FB00FE">
        <w:t>136).</w:t>
      </w:r>
    </w:p>
    <w:p w14:paraId="3541B35E" w14:textId="4B744770" w:rsidR="00626381" w:rsidRPr="00FB00FE" w:rsidRDefault="00124942" w:rsidP="00B4318F">
      <w:pPr>
        <w:pStyle w:val="JuPara"/>
      </w:pPr>
      <w:fldSimple w:instr=" SEQ level0 \*arabic ">
        <w:r w:rsidR="00FB00FE" w:rsidRPr="00FB00FE">
          <w:rPr>
            <w:noProof/>
          </w:rPr>
          <w:t>65</w:t>
        </w:r>
      </w:fldSimple>
      <w:r w:rsidR="00F216A7" w:rsidRPr="00FB00FE">
        <w:t>.</w:t>
      </w:r>
      <w:r w:rsidR="00EB56A9">
        <w:t xml:space="preserve"> </w:t>
      </w:r>
      <w:r w:rsidR="00F216A7" w:rsidRPr="00FB00FE">
        <w:t xml:space="preserve">Wreszcie, w zakresie, w jakim Rząd zarzucił, że skarżący nie skorzystali z przysługującej im możliwości zaskarżenia zatrzymania </w:t>
      </w:r>
      <w:r w:rsidR="0099543D">
        <w:t xml:space="preserve">ich </w:t>
      </w:r>
      <w:r w:rsidR="00F216A7" w:rsidRPr="00FB00FE">
        <w:t>przez Straż Graniczną, Trybunał zauważa, że skarga skarżących dotyczy umieszczenia i przedłużenia okresu pobytu skarżących dzieci w strzeżonym ośrodku dla cudzoziemców, a nie ich zatrzymania. Z powyższego wynika, że wspomniany przez Rząd środek odwoławczy nie ma zastosowania w</w:t>
      </w:r>
      <w:r w:rsidR="0099543D">
        <w:t> </w:t>
      </w:r>
      <w:r w:rsidR="00F216A7" w:rsidRPr="00FB00FE">
        <w:t>niniejszej sprawie.</w:t>
      </w:r>
    </w:p>
    <w:p w14:paraId="348AFF88" w14:textId="68ADBC79" w:rsidR="00363E0A" w:rsidRPr="00FB00FE" w:rsidRDefault="00124942" w:rsidP="00B4318F">
      <w:pPr>
        <w:pStyle w:val="JuPara"/>
      </w:pPr>
      <w:fldSimple w:instr=" SEQ level0 \*arabic ">
        <w:r w:rsidR="00FB00FE" w:rsidRPr="00FB00FE">
          <w:rPr>
            <w:noProof/>
          </w:rPr>
          <w:t>66</w:t>
        </w:r>
      </w:fldSimple>
      <w:r w:rsidR="006540CE" w:rsidRPr="00FB00FE">
        <w:t>.</w:t>
      </w:r>
      <w:r w:rsidR="00EB56A9">
        <w:t xml:space="preserve"> </w:t>
      </w:r>
      <w:r w:rsidR="006540CE" w:rsidRPr="00FB00FE">
        <w:t>W związku z powyższym Trybunał odrzuca zastrzeżenie Rządu w</w:t>
      </w:r>
      <w:r w:rsidR="002B760A">
        <w:t> </w:t>
      </w:r>
      <w:r w:rsidR="006540CE" w:rsidRPr="00FB00FE">
        <w:t>zakresie, w jakim dotyczy ono skargi w sprawie przedłużenia okresu pobytu skarżących dzieci w strzeżonym ośrodku dla cudzoziemców.</w:t>
      </w:r>
    </w:p>
    <w:p w14:paraId="5379CAD7" w14:textId="4C07B38D" w:rsidR="00EE286E" w:rsidRPr="00FB00FE" w:rsidRDefault="00124942" w:rsidP="00B4318F">
      <w:pPr>
        <w:pStyle w:val="JuPara"/>
      </w:pPr>
      <w:fldSimple w:instr=" SEQ level0 \*arabic ">
        <w:r w:rsidR="00FB00FE" w:rsidRPr="00FB00FE">
          <w:rPr>
            <w:noProof/>
          </w:rPr>
          <w:t>67</w:t>
        </w:r>
      </w:fldSimple>
      <w:r w:rsidR="001360C6" w:rsidRPr="00FB00FE">
        <w:t>.</w:t>
      </w:r>
      <w:r w:rsidR="00EB56A9">
        <w:t xml:space="preserve"> </w:t>
      </w:r>
      <w:r w:rsidR="001360C6" w:rsidRPr="00FB00FE">
        <w:t>Biorąc pod uwagę, że ta część skargi nie jest w sposób oczywisty nieuzasadniona w rozumieniu art.</w:t>
      </w:r>
      <w:r w:rsidR="009B2AF1">
        <w:t> </w:t>
      </w:r>
      <w:r w:rsidR="001360C6" w:rsidRPr="00FB00FE">
        <w:t>35 ust.</w:t>
      </w:r>
      <w:r w:rsidR="009B2AF1">
        <w:t> </w:t>
      </w:r>
      <w:r w:rsidR="001360C6" w:rsidRPr="00FB00FE">
        <w:t>3 lit.</w:t>
      </w:r>
      <w:r w:rsidR="009B2AF1">
        <w:t> </w:t>
      </w:r>
      <w:r w:rsidR="001360C6" w:rsidRPr="00FB00FE">
        <w:t>a Konwencji oraz że nie jest pod żadnym innym względem niedopuszczalna, Trybunał uznaje ją za dopuszczalną.</w:t>
      </w:r>
    </w:p>
    <w:p w14:paraId="02676A0F" w14:textId="77777777" w:rsidR="00E82F42" w:rsidRPr="00FB00FE" w:rsidRDefault="00E82F42" w:rsidP="00B4318F">
      <w:pPr>
        <w:pStyle w:val="JuHA"/>
      </w:pPr>
      <w:r w:rsidRPr="00FB00FE">
        <w:t>Przedmiot skargi</w:t>
      </w:r>
    </w:p>
    <w:p w14:paraId="545C6DA8" w14:textId="77777777" w:rsidR="00626381" w:rsidRPr="00FB00FE" w:rsidRDefault="007D6067" w:rsidP="00B4318F">
      <w:pPr>
        <w:pStyle w:val="JuH1"/>
      </w:pPr>
      <w:r w:rsidRPr="00FB00FE">
        <w:t>Stanowiska stron</w:t>
      </w:r>
    </w:p>
    <w:p w14:paraId="78E7A650" w14:textId="6EA57F73" w:rsidR="00763885" w:rsidRPr="00FB00FE" w:rsidRDefault="00124942" w:rsidP="00B4318F">
      <w:pPr>
        <w:pStyle w:val="JuPara"/>
      </w:pPr>
      <w:fldSimple w:instr=" SEQ level0 \*arabic ">
        <w:r w:rsidR="00FB00FE" w:rsidRPr="00FB00FE">
          <w:rPr>
            <w:noProof/>
          </w:rPr>
          <w:t>68</w:t>
        </w:r>
      </w:fldSimple>
      <w:r w:rsidR="00812CD2" w:rsidRPr="00FB00FE">
        <w:t>.</w:t>
      </w:r>
      <w:r w:rsidR="00EB56A9">
        <w:t xml:space="preserve"> </w:t>
      </w:r>
      <w:r w:rsidR="00812CD2" w:rsidRPr="00FB00FE">
        <w:t xml:space="preserve">Skarżący twierdzą, że przedłużenie okresu pobytu skarżących dzieci w strzeżonym ośrodku pozbawione było podstawy prawnej, bowiem władze krajowe nie rozważyły, czy środek ten miał charakter ostateczny </w:t>
      </w:r>
      <w:r w:rsidR="009B2AF1">
        <w:t>oraz</w:t>
      </w:r>
      <w:r w:rsidR="00812CD2" w:rsidRPr="00FB00FE">
        <w:t xml:space="preserve"> czy jego zastosowaniu nie sprzeciwiało się dobro dzieci, a tym samym władze dopuściły się naruszenia przepisów prawa krajowego mających znaczenie dla niniejszej sprawy.</w:t>
      </w:r>
    </w:p>
    <w:p w14:paraId="69E44B90" w14:textId="3F47F017" w:rsidR="00763885" w:rsidRPr="00FB00FE" w:rsidRDefault="00124942" w:rsidP="00B4318F">
      <w:pPr>
        <w:pStyle w:val="JuPara"/>
      </w:pPr>
      <w:fldSimple w:instr=" SEQ level0 \*arabic ">
        <w:r w:rsidR="00FB00FE" w:rsidRPr="00FB00FE">
          <w:rPr>
            <w:noProof/>
          </w:rPr>
          <w:t>69</w:t>
        </w:r>
      </w:fldSimple>
      <w:r w:rsidR="00623B87" w:rsidRPr="00FB00FE">
        <w:t>.</w:t>
      </w:r>
      <w:r w:rsidR="00EB56A9">
        <w:t xml:space="preserve"> </w:t>
      </w:r>
      <w:r w:rsidR="00623B87" w:rsidRPr="00FB00FE">
        <w:t>W szczególności skarżący zarzucają władzom krajowym brak rozważenia rozwiązań alternatywnych dla pozbawienia wolności skarżących dzieci, a także brak zbadania możliwości zastosowania tego środka przez okres krótszy niż maksymalny okres dopuszczalny przez prawo krajowe.</w:t>
      </w:r>
    </w:p>
    <w:p w14:paraId="7633C0EE" w14:textId="3563CDD0" w:rsidR="00626381" w:rsidRPr="00FB00FE" w:rsidRDefault="00124942" w:rsidP="00B4318F">
      <w:pPr>
        <w:pStyle w:val="JuPara"/>
      </w:pPr>
      <w:fldSimple w:instr=" SEQ level0 \*arabic ">
        <w:r w:rsidR="00FB00FE" w:rsidRPr="00FB00FE">
          <w:rPr>
            <w:noProof/>
          </w:rPr>
          <w:t>70</w:t>
        </w:r>
      </w:fldSimple>
      <w:r w:rsidR="00812CD2" w:rsidRPr="00FB00FE">
        <w:t>.</w:t>
      </w:r>
      <w:r w:rsidR="00EB56A9">
        <w:t xml:space="preserve"> </w:t>
      </w:r>
      <w:r w:rsidR="00812CD2" w:rsidRPr="00FB00FE">
        <w:t>Rząd nie przedstawił stanowiska w przedmiocie tego zarzutu.</w:t>
      </w:r>
    </w:p>
    <w:p w14:paraId="3A7D60B3" w14:textId="77777777" w:rsidR="00F06747" w:rsidRPr="00FB00FE" w:rsidRDefault="00CA4258" w:rsidP="00B4318F">
      <w:pPr>
        <w:pStyle w:val="JuH1"/>
      </w:pPr>
      <w:r w:rsidRPr="00FB00FE">
        <w:lastRenderedPageBreak/>
        <w:t>Uwagi interweniujących stron trzecich</w:t>
      </w:r>
    </w:p>
    <w:p w14:paraId="76F37EC7" w14:textId="0F172C65" w:rsidR="00CA4258" w:rsidRPr="00FB00FE" w:rsidRDefault="00124942" w:rsidP="00B4318F">
      <w:pPr>
        <w:pStyle w:val="JuPara"/>
        <w:rPr>
          <w:i/>
        </w:rPr>
      </w:pPr>
      <w:fldSimple w:instr=" SEQ level0 \*arabic ">
        <w:r w:rsidR="00FB00FE" w:rsidRPr="00FB00FE">
          <w:rPr>
            <w:noProof/>
          </w:rPr>
          <w:t>71</w:t>
        </w:r>
      </w:fldSimple>
      <w:r w:rsidR="00770538" w:rsidRPr="00FB00FE">
        <w:t>.</w:t>
      </w:r>
      <w:r w:rsidR="00EB56A9">
        <w:t xml:space="preserve"> </w:t>
      </w:r>
      <w:r w:rsidR="00770538" w:rsidRPr="00FB00FE">
        <w:t>Organizacje pozarządowe, tj. Centrum AIRE (Centrum Doradztwa w</w:t>
      </w:r>
      <w:r w:rsidR="009B2AF1">
        <w:t> </w:t>
      </w:r>
      <w:r w:rsidR="00770538" w:rsidRPr="00FB00FE">
        <w:t>zakresie Praw Indywidualnych w Europie), ECRE (Europejska Rada ds.</w:t>
      </w:r>
      <w:r w:rsidR="009B2AF1">
        <w:t> </w:t>
      </w:r>
      <w:r w:rsidR="00770538" w:rsidRPr="00FB00FE">
        <w:t>Uchodźców i Wypędzonych) oraz MTS (Międzynarodowa Komisja Prawników) w swoich uwagach przedstawionych jako strony trzecie zwracają uwagę, że w przypadku dzieci, ze względu na szczególną wrażliwość, pozbawienie wolności zawsze jest sprzeczne z ich dobrem, niezależnie od kontekstu, w jakim środek jest stosowany. Dodają, że dotyczy to również dzieci, które towarzyszą swoim rodzicom. Ich zdaniem stanowisko to podzielają instytucje takie jak Międzyamerykański Trybunał Praw Człowieka i Zgromadzenie Parlamentarne Rady Europy (zob. właściwe prawo międzynarodowe, par.</w:t>
      </w:r>
      <w:r w:rsidR="009B2AF1">
        <w:t> </w:t>
      </w:r>
      <w:r w:rsidR="00770538" w:rsidRPr="00FB00FE">
        <w:t>34 powyżej).</w:t>
      </w:r>
    </w:p>
    <w:p w14:paraId="76538AA1" w14:textId="60E3534C" w:rsidR="00626381" w:rsidRPr="00FB00FE" w:rsidRDefault="00124942" w:rsidP="00B4318F">
      <w:pPr>
        <w:pStyle w:val="JuPara"/>
      </w:pPr>
      <w:fldSimple w:instr=" SEQ level0 \*arabic ">
        <w:r w:rsidR="00FB00FE" w:rsidRPr="00FB00FE">
          <w:rPr>
            <w:noProof/>
          </w:rPr>
          <w:t>72</w:t>
        </w:r>
      </w:fldSimple>
      <w:r w:rsidR="00770538" w:rsidRPr="00FB00FE">
        <w:t>.</w:t>
      </w:r>
      <w:r w:rsidR="00EB56A9">
        <w:t xml:space="preserve"> </w:t>
      </w:r>
      <w:r w:rsidR="00770538" w:rsidRPr="00FB00FE">
        <w:t>Interweniujące strony trzecie pragną wyjaśnić, że zgodnie z</w:t>
      </w:r>
      <w:r w:rsidR="009B2AF1">
        <w:t> </w:t>
      </w:r>
      <w:r w:rsidR="00770538" w:rsidRPr="00FB00FE">
        <w:t>odpowiednimi w niniejszej sprawie przepisami dyrektywy 2008/115/WE Parlamentu Europejskiego i Rady (</w:t>
      </w:r>
      <w:r w:rsidR="00770538" w:rsidRPr="00FB00FE">
        <w:rPr>
          <w:i/>
          <w:iCs/>
        </w:rPr>
        <w:t>ibid.</w:t>
      </w:r>
      <w:r w:rsidR="00770538" w:rsidRPr="00FB00FE">
        <w:t>) środek izolacyjny należy stosować wyłącznie w razie braku możliwości rozważenia mniej dotkliwych rozwiązań. Ponadto stwierdzają, że jeśli chodzi o zastosowanie środka detencyjnego wobec osoby wymagającej szczególnego traktowania, to zarówno Konwencja, jak i prawo Unii Europejskiej oraz organy ONZ (</w:t>
      </w:r>
      <w:r w:rsidR="00770538" w:rsidRPr="00FB00FE">
        <w:rPr>
          <w:i/>
          <w:iCs/>
        </w:rPr>
        <w:t>ibid.</w:t>
      </w:r>
      <w:r w:rsidR="00770538" w:rsidRPr="00FB00FE">
        <w:t>) wymagają od władz krajowych dokładnego rozważenia możliwego wpływu tego środka na daną osobę oraz skutecznego poszukiwania rozwiązań alternatywnych. Dodają, że międzynarodowa konwencja o prawach dziecka (</w:t>
      </w:r>
      <w:r w:rsidR="00770538" w:rsidRPr="00FB00FE">
        <w:rPr>
          <w:i/>
          <w:iCs/>
        </w:rPr>
        <w:t>ibid</w:t>
      </w:r>
      <w:r w:rsidR="00770538" w:rsidRPr="00FB00FE">
        <w:t xml:space="preserve">.) wymaga, by przy podejmowaniu wszelkich decyzji dotyczących dziecka w pierwszej kolejności kierować się dobrem dziecka oraz by władze krajowe wykazały, że rzeczywiście się nim kierowały. Wreszcie wskazują, że zgodnie z tą samą konwencją władze krajowe są zobowiązane do zapewnienia, by zastosowanie środka detencyjnego wobec dzieci następowało na podstawie orzeczenia i zgodnie z prawem, jako </w:t>
      </w:r>
      <w:r w:rsidR="00770538" w:rsidRPr="00FB00FE">
        <w:rPr>
          <w:i/>
          <w:iCs/>
        </w:rPr>
        <w:t>ultima ratio</w:t>
      </w:r>
      <w:r w:rsidR="00770538" w:rsidRPr="00FB00FE">
        <w:t xml:space="preserve"> i przez możliwie najkrótszy okres.</w:t>
      </w:r>
    </w:p>
    <w:p w14:paraId="7DFA49E1" w14:textId="77777777" w:rsidR="00626381" w:rsidRPr="00FB00FE" w:rsidRDefault="00CA4258" w:rsidP="00B4318F">
      <w:pPr>
        <w:pStyle w:val="JuH1"/>
      </w:pPr>
      <w:r w:rsidRPr="00FB00FE">
        <w:t>Ocena Trybunału</w:t>
      </w:r>
    </w:p>
    <w:p w14:paraId="05F145A3" w14:textId="6204E732" w:rsidR="00626381" w:rsidRPr="00FB00FE" w:rsidRDefault="00124942" w:rsidP="00B4318F">
      <w:pPr>
        <w:pStyle w:val="JuPara"/>
      </w:pPr>
      <w:fldSimple w:instr=" SEQ level0 \*arabic ">
        <w:r w:rsidR="00FB00FE" w:rsidRPr="00FB00FE">
          <w:rPr>
            <w:noProof/>
          </w:rPr>
          <w:t>73</w:t>
        </w:r>
      </w:fldSimple>
      <w:r w:rsidR="00770538" w:rsidRPr="00FB00FE">
        <w:t>.</w:t>
      </w:r>
      <w:r w:rsidR="00EB56A9">
        <w:t xml:space="preserve"> </w:t>
      </w:r>
      <w:r w:rsidR="00770538" w:rsidRPr="00FB00FE">
        <w:t>Trybunał powtarza, że dla zapewnienia zgodności zastosowania środka detencyjnego z art.</w:t>
      </w:r>
      <w:r w:rsidR="00594FF2">
        <w:t> </w:t>
      </w:r>
      <w:r w:rsidR="00770538" w:rsidRPr="00FB00FE">
        <w:t>5</w:t>
      </w:r>
      <w:bookmarkStart w:id="1" w:name="HIT17"/>
      <w:bookmarkEnd w:id="1"/>
      <w:r w:rsidR="00770538" w:rsidRPr="00FB00FE">
        <w:t xml:space="preserve"> ust.</w:t>
      </w:r>
      <w:r w:rsidR="00594FF2">
        <w:t> </w:t>
      </w:r>
      <w:r w:rsidR="00770538" w:rsidRPr="00FB00FE">
        <w:t>1 lit.</w:t>
      </w:r>
      <w:r w:rsidR="00594FF2">
        <w:t> </w:t>
      </w:r>
      <w:r w:rsidR="00770538" w:rsidRPr="00FB00FE">
        <w:t xml:space="preserve">f Konwencji wystarczy, by postępowanie w sprawie wydalenia było w toku </w:t>
      </w:r>
      <w:r w:rsidR="00EB56A9" w:rsidRPr="00FB00FE">
        <w:t>i zostało</w:t>
      </w:r>
      <w:r w:rsidR="00770538" w:rsidRPr="00FB00FE">
        <w:t xml:space="preserve"> przeprowadzone w celu jego zastosowania.</w:t>
      </w:r>
    </w:p>
    <w:p w14:paraId="14092C4C" w14:textId="1AA6F873" w:rsidR="00F216A7" w:rsidRPr="00FB00FE" w:rsidRDefault="00124942" w:rsidP="00B4318F">
      <w:pPr>
        <w:pStyle w:val="JuPara"/>
      </w:pPr>
      <w:fldSimple w:instr=" SEQ level0 \*arabic ">
        <w:r w:rsidR="00FB00FE" w:rsidRPr="00FB00FE">
          <w:rPr>
            <w:noProof/>
          </w:rPr>
          <w:t>74</w:t>
        </w:r>
      </w:fldSimple>
      <w:r w:rsidR="007360A8" w:rsidRPr="00FB00FE">
        <w:t>.</w:t>
      </w:r>
      <w:r w:rsidR="00EB56A9">
        <w:t xml:space="preserve"> </w:t>
      </w:r>
      <w:r w:rsidR="007360A8" w:rsidRPr="00FB00FE">
        <w:t>Następnie zwraca uwagę, że każde pozbawienie wolności musi nie tylko wchodzić w zakres jednego z wyjątków przewidzianych w lit.</w:t>
      </w:r>
      <w:r w:rsidR="00594FF2">
        <w:t> </w:t>
      </w:r>
      <w:r w:rsidR="007360A8" w:rsidRPr="00FB00FE">
        <w:t>a</w:t>
      </w:r>
      <w:r w:rsidR="00594FF2">
        <w:rPr>
          <w:rFonts w:cstheme="minorHAnsi"/>
        </w:rPr>
        <w:t>‒</w:t>
      </w:r>
      <w:r w:rsidR="007360A8" w:rsidRPr="00FB00FE">
        <w:t xml:space="preserve">f, lecz musi również być „słuszne” (zob. m.in. </w:t>
      </w:r>
      <w:r w:rsidR="007360A8" w:rsidRPr="00FB00FE">
        <w:rPr>
          <w:i/>
          <w:iCs/>
        </w:rPr>
        <w:t>Winterwerp przeciwko Holandii</w:t>
      </w:r>
      <w:r w:rsidR="007360A8" w:rsidRPr="00FB00FE">
        <w:t xml:space="preserve">, </w:t>
      </w:r>
      <w:r w:rsidR="00594FF2">
        <w:t>z</w:t>
      </w:r>
      <w:r w:rsidR="00B6245D">
        <w:t> </w:t>
      </w:r>
      <w:r w:rsidR="00594FF2">
        <w:t xml:space="preserve">dnia </w:t>
      </w:r>
      <w:r w:rsidR="007360A8" w:rsidRPr="00FB00FE">
        <w:t>24 października 1979</w:t>
      </w:r>
      <w:r w:rsidR="00594FF2">
        <w:t> </w:t>
      </w:r>
      <w:r w:rsidR="007360A8" w:rsidRPr="00FB00FE">
        <w:t>r., §</w:t>
      </w:r>
      <w:r w:rsidR="00594FF2">
        <w:t> </w:t>
      </w:r>
      <w:r w:rsidR="007360A8" w:rsidRPr="00FB00FE">
        <w:t xml:space="preserve">37, </w:t>
      </w:r>
      <w:r w:rsidR="00594FF2">
        <w:t>S</w:t>
      </w:r>
      <w:r w:rsidR="007360A8" w:rsidRPr="00FB00FE">
        <w:t>eria A nr</w:t>
      </w:r>
      <w:r w:rsidR="00594FF2">
        <w:t> </w:t>
      </w:r>
      <w:r w:rsidR="007360A8" w:rsidRPr="00FB00FE">
        <w:t xml:space="preserve">33, </w:t>
      </w:r>
      <w:r w:rsidR="007360A8" w:rsidRPr="00FB00FE">
        <w:rPr>
          <w:i/>
          <w:iCs/>
        </w:rPr>
        <w:t>Amuur przeciwko Francji</w:t>
      </w:r>
      <w:r w:rsidR="007360A8" w:rsidRPr="00FB00FE">
        <w:t xml:space="preserve">, </w:t>
      </w:r>
      <w:r w:rsidR="00594FF2">
        <w:t xml:space="preserve">z dnia </w:t>
      </w:r>
      <w:r w:rsidR="007360A8" w:rsidRPr="00FB00FE">
        <w:t>25 czerwca 1996</w:t>
      </w:r>
      <w:r w:rsidR="00594FF2">
        <w:t> </w:t>
      </w:r>
      <w:r w:rsidR="007360A8" w:rsidRPr="00FB00FE">
        <w:t>r., §</w:t>
      </w:r>
      <w:r w:rsidR="00594FF2">
        <w:t> </w:t>
      </w:r>
      <w:r w:rsidR="007360A8" w:rsidRPr="00FB00FE">
        <w:t>50, Zbiór 1996</w:t>
      </w:r>
      <w:r w:rsidR="00594FF2">
        <w:rPr>
          <w:rFonts w:cstheme="minorHAnsi"/>
        </w:rPr>
        <w:t>‒</w:t>
      </w:r>
      <w:r w:rsidR="007360A8" w:rsidRPr="00FB00FE">
        <w:t xml:space="preserve">III, oraz </w:t>
      </w:r>
      <w:r w:rsidR="007360A8" w:rsidRPr="00FB00FE">
        <w:rPr>
          <w:i/>
          <w:iCs/>
        </w:rPr>
        <w:t>Witold Litwa przeciwko Polsce</w:t>
      </w:r>
      <w:r w:rsidR="007360A8" w:rsidRPr="00FB00FE">
        <w:t>, skarga nr</w:t>
      </w:r>
      <w:r w:rsidR="00594FF2">
        <w:t> </w:t>
      </w:r>
      <w:r w:rsidR="007360A8" w:rsidRPr="00FB00FE">
        <w:t>26629/95, §</w:t>
      </w:r>
      <w:r w:rsidR="00594FF2">
        <w:t> </w:t>
      </w:r>
      <w:r w:rsidR="007360A8" w:rsidRPr="00FB00FE">
        <w:t>78, ETPCz 2000</w:t>
      </w:r>
      <w:r w:rsidR="00594FF2">
        <w:rPr>
          <w:rFonts w:cstheme="minorHAnsi"/>
        </w:rPr>
        <w:t>‒</w:t>
      </w:r>
      <w:r w:rsidR="007360A8" w:rsidRPr="00FB00FE">
        <w:t>III). W tym zakresie Konwencja zasadniczo odsyła do prawa krajowego, przy czym wymaga przede wszystkim, by każde pozbawienie wolności było zgodne z</w:t>
      </w:r>
      <w:r w:rsidR="00594FF2">
        <w:t> </w:t>
      </w:r>
      <w:r w:rsidR="007360A8" w:rsidRPr="00FB00FE">
        <w:t xml:space="preserve">celem </w:t>
      </w:r>
      <w:r w:rsidR="007360A8" w:rsidRPr="00FB00FE">
        <w:lastRenderedPageBreak/>
        <w:t>wynikającym z art.</w:t>
      </w:r>
      <w:r w:rsidR="00594FF2">
        <w:t> </w:t>
      </w:r>
      <w:r w:rsidR="007360A8" w:rsidRPr="00FB00FE">
        <w:t>5, jakim jest ochrona jednostki przed arbitralnym działaniem (</w:t>
      </w:r>
      <w:r w:rsidR="007360A8" w:rsidRPr="00FB00FE">
        <w:rPr>
          <w:i/>
        </w:rPr>
        <w:t>Goussinski</w:t>
      </w:r>
      <w:r w:rsidR="007360A8" w:rsidRPr="00FB00FE">
        <w:t xml:space="preserve"> </w:t>
      </w:r>
      <w:r w:rsidR="007360A8" w:rsidRPr="00FB00FE">
        <w:rPr>
          <w:i/>
          <w:iCs/>
        </w:rPr>
        <w:t>przeciwko Rosji</w:t>
      </w:r>
      <w:r w:rsidR="007360A8" w:rsidRPr="00FB00FE">
        <w:t>, skarga nr</w:t>
      </w:r>
      <w:r w:rsidR="00594FF2">
        <w:t> </w:t>
      </w:r>
      <w:r w:rsidR="007360A8" w:rsidRPr="00FB00FE">
        <w:t>70276, ETPCz 2004</w:t>
      </w:r>
      <w:r w:rsidR="00594FF2">
        <w:rPr>
          <w:rFonts w:cstheme="minorHAnsi"/>
        </w:rPr>
        <w:t>‒</w:t>
      </w:r>
      <w:r w:rsidR="007360A8" w:rsidRPr="00FB00FE">
        <w:t xml:space="preserve">IV, </w:t>
      </w:r>
      <w:r w:rsidR="007360A8" w:rsidRPr="00FB00FE">
        <w:rPr>
          <w:i/>
          <w:iCs/>
        </w:rPr>
        <w:t>Hutchison Reid przeciwko Zjednoczonemu Królestwu</w:t>
      </w:r>
      <w:r w:rsidR="007360A8" w:rsidRPr="00FB00FE">
        <w:t>, skarga nr</w:t>
      </w:r>
      <w:r w:rsidR="00594FF2">
        <w:t> </w:t>
      </w:r>
      <w:r w:rsidR="007360A8" w:rsidRPr="00FB00FE">
        <w:t>50272/99, §</w:t>
      </w:r>
      <w:r w:rsidR="00594FF2">
        <w:t> </w:t>
      </w:r>
      <w:r w:rsidR="007360A8" w:rsidRPr="00FB00FE">
        <w:t>47, ETPCz 2003</w:t>
      </w:r>
      <w:r w:rsidR="00594FF2">
        <w:rPr>
          <w:rFonts w:cstheme="minorHAnsi"/>
        </w:rPr>
        <w:t>‒</w:t>
      </w:r>
      <w:r w:rsidR="007360A8" w:rsidRPr="00FB00FE">
        <w:t xml:space="preserve">IV, oraz </w:t>
      </w:r>
      <w:r w:rsidR="007360A8" w:rsidRPr="00FB00FE">
        <w:rPr>
          <w:i/>
          <w:iCs/>
        </w:rPr>
        <w:t>Wassink przeciwko Niderlandom</w:t>
      </w:r>
      <w:r w:rsidR="007360A8" w:rsidRPr="00FB00FE">
        <w:t xml:space="preserve">, </w:t>
      </w:r>
      <w:r w:rsidR="00594FF2">
        <w:t xml:space="preserve">z dnia </w:t>
      </w:r>
      <w:r w:rsidR="007360A8" w:rsidRPr="00FB00FE">
        <w:t>27</w:t>
      </w:r>
      <w:r w:rsidR="00B6245D">
        <w:t> </w:t>
      </w:r>
      <w:r w:rsidR="007360A8" w:rsidRPr="00FB00FE">
        <w:t>września 1990</w:t>
      </w:r>
      <w:r w:rsidR="00594FF2">
        <w:t> </w:t>
      </w:r>
      <w:r w:rsidR="007360A8" w:rsidRPr="00FB00FE">
        <w:t>r., §</w:t>
      </w:r>
      <w:r w:rsidR="00594FF2">
        <w:t> </w:t>
      </w:r>
      <w:r w:rsidR="007360A8" w:rsidRPr="00FB00FE">
        <w:t xml:space="preserve">24, </w:t>
      </w:r>
      <w:r w:rsidR="00594FF2">
        <w:t>S</w:t>
      </w:r>
      <w:r w:rsidR="007360A8" w:rsidRPr="00FB00FE">
        <w:t>eria A nr</w:t>
      </w:r>
      <w:r w:rsidR="00594FF2">
        <w:t> </w:t>
      </w:r>
      <w:r w:rsidR="007360A8" w:rsidRPr="00FB00FE">
        <w:t>185</w:t>
      </w:r>
      <w:r w:rsidR="00594FF2">
        <w:rPr>
          <w:rFonts w:cstheme="minorHAnsi"/>
        </w:rPr>
        <w:t>‒</w:t>
      </w:r>
      <w:r w:rsidR="007360A8" w:rsidRPr="00FB00FE">
        <w:t xml:space="preserve">A, </w:t>
      </w:r>
      <w:r w:rsidR="007360A8" w:rsidRPr="00FB00FE">
        <w:rPr>
          <w:i/>
          <w:iCs/>
        </w:rPr>
        <w:t>G.B. i</w:t>
      </w:r>
      <w:r w:rsidR="00594FF2">
        <w:rPr>
          <w:i/>
          <w:iCs/>
        </w:rPr>
        <w:t> </w:t>
      </w:r>
      <w:r w:rsidR="007360A8" w:rsidRPr="00FB00FE">
        <w:rPr>
          <w:i/>
          <w:iCs/>
        </w:rPr>
        <w:t>Inni</w:t>
      </w:r>
      <w:r w:rsidR="007360A8" w:rsidRPr="00FB00FE">
        <w:t xml:space="preserve">, </w:t>
      </w:r>
      <w:r w:rsidR="007360A8" w:rsidRPr="00FB00FE">
        <w:rPr>
          <w:i/>
          <w:iCs/>
        </w:rPr>
        <w:t>op. cit.</w:t>
      </w:r>
      <w:r w:rsidR="007360A8" w:rsidRPr="00FB00FE">
        <w:t>, §</w:t>
      </w:r>
      <w:r w:rsidR="00594FF2">
        <w:t> </w:t>
      </w:r>
      <w:r w:rsidR="007360A8" w:rsidRPr="00FB00FE">
        <w:t>146).</w:t>
      </w:r>
    </w:p>
    <w:p w14:paraId="3EF52E49" w14:textId="68D45558" w:rsidR="00626381" w:rsidRPr="00FB00FE" w:rsidRDefault="00124942" w:rsidP="00B4318F">
      <w:pPr>
        <w:pStyle w:val="JuPara"/>
        <w:rPr>
          <w:i/>
        </w:rPr>
      </w:pPr>
      <w:fldSimple w:instr=" SEQ level0 \*arabic ">
        <w:r w:rsidR="00FB00FE" w:rsidRPr="00FB00FE">
          <w:rPr>
            <w:noProof/>
          </w:rPr>
          <w:t>75</w:t>
        </w:r>
      </w:fldSimple>
      <w:r w:rsidR="00F216A7" w:rsidRPr="00FB00FE">
        <w:t>.</w:t>
      </w:r>
      <w:r w:rsidR="00EB56A9">
        <w:t xml:space="preserve"> </w:t>
      </w:r>
      <w:r w:rsidR="00F216A7" w:rsidRPr="00FB00FE">
        <w:t>Trybunał przypomina nadto, że miejsce i warunki zatrzymania muszą być odpowiednie. Musi istnieć związek pomiędzy podstawą, na którą powołano się w przypadku słusznego pozbawienia wolności, a miejscem i</w:t>
      </w:r>
      <w:r w:rsidR="00594FF2">
        <w:t> </w:t>
      </w:r>
      <w:r w:rsidR="00F216A7" w:rsidRPr="00FB00FE">
        <w:t>warunkami zastosowania środka detencyjnego (</w:t>
      </w:r>
      <w:r w:rsidR="00F216A7" w:rsidRPr="00FB00FE">
        <w:rPr>
          <w:i/>
          <w:iCs/>
        </w:rPr>
        <w:t>Muskhadzhivyeva i Inni przeciwko Belgii</w:t>
      </w:r>
      <w:r w:rsidR="00F216A7" w:rsidRPr="00FB00FE">
        <w:t>, skarga nr</w:t>
      </w:r>
      <w:r w:rsidR="00594FF2">
        <w:t> </w:t>
      </w:r>
      <w:r w:rsidR="00F216A7" w:rsidRPr="00FB00FE">
        <w:t>41442/07, §</w:t>
      </w:r>
      <w:r w:rsidR="00594FF2">
        <w:t> </w:t>
      </w:r>
      <w:r w:rsidR="00F216A7" w:rsidRPr="00FB00FE">
        <w:t xml:space="preserve">73, </w:t>
      </w:r>
      <w:r w:rsidR="00594FF2">
        <w:t xml:space="preserve">z dnia </w:t>
      </w:r>
      <w:r w:rsidR="00F216A7" w:rsidRPr="00FB00FE">
        <w:t>19 stycznia 2010</w:t>
      </w:r>
      <w:r w:rsidR="00594FF2">
        <w:t> </w:t>
      </w:r>
      <w:r w:rsidR="00F216A7" w:rsidRPr="00FB00FE">
        <w:t xml:space="preserve">r., oraz </w:t>
      </w:r>
      <w:r w:rsidR="00F216A7" w:rsidRPr="00FB00FE">
        <w:rPr>
          <w:i/>
          <w:iCs/>
        </w:rPr>
        <w:t>Kanagaratnam</w:t>
      </w:r>
      <w:r w:rsidR="00F216A7" w:rsidRPr="00FB00FE">
        <w:t xml:space="preserve">, </w:t>
      </w:r>
      <w:r w:rsidR="00F216A7" w:rsidRPr="00FB00FE">
        <w:rPr>
          <w:i/>
          <w:iCs/>
        </w:rPr>
        <w:t>op. cit.</w:t>
      </w:r>
      <w:r w:rsidR="00F216A7" w:rsidRPr="00FB00FE">
        <w:t>, §</w:t>
      </w:r>
      <w:r w:rsidR="00594FF2">
        <w:t> </w:t>
      </w:r>
      <w:r w:rsidR="00F216A7" w:rsidRPr="00FB00FE">
        <w:t xml:space="preserve">84, </w:t>
      </w:r>
      <w:r w:rsidR="00F216A7" w:rsidRPr="00FB00FE">
        <w:rPr>
          <w:i/>
          <w:iCs/>
        </w:rPr>
        <w:t>G.B. i Inni</w:t>
      </w:r>
      <w:r w:rsidR="00F216A7" w:rsidRPr="00FB00FE">
        <w:t xml:space="preserve">, </w:t>
      </w:r>
      <w:r w:rsidR="00F216A7" w:rsidRPr="00FB00FE">
        <w:rPr>
          <w:i/>
          <w:iCs/>
        </w:rPr>
        <w:t>op. cit.</w:t>
      </w:r>
      <w:r w:rsidR="00F216A7" w:rsidRPr="00FB00FE">
        <w:t>, §</w:t>
      </w:r>
      <w:r w:rsidR="00594FF2">
        <w:t> </w:t>
      </w:r>
      <w:r w:rsidR="00F216A7" w:rsidRPr="00FB00FE">
        <w:t>151). Trybunał przypomina w tym względzie, że środki detencyjne mają zastosowanie do cudzoziemców, którzy, w stosownych przypadkach, nie popełnili przestępstw innych niż przestępstwa związane z pobytem (</w:t>
      </w:r>
      <w:r w:rsidR="00F216A7" w:rsidRPr="00FB00FE">
        <w:rPr>
          <w:i/>
          <w:iCs/>
        </w:rPr>
        <w:t>Riad i Idab przeciwko Belgii</w:t>
      </w:r>
      <w:r w:rsidR="00F216A7" w:rsidRPr="00FB00FE">
        <w:t>, skargi nr</w:t>
      </w:r>
      <w:r w:rsidR="00594FF2">
        <w:t> </w:t>
      </w:r>
      <w:r w:rsidR="00F216A7" w:rsidRPr="00FB00FE">
        <w:t>29787/03 i 29810/03, §</w:t>
      </w:r>
      <w:r w:rsidR="00594FF2">
        <w:t> </w:t>
      </w:r>
      <w:r w:rsidR="00F216A7" w:rsidRPr="00FB00FE">
        <w:t xml:space="preserve">100, </w:t>
      </w:r>
      <w:r w:rsidR="00594FF2">
        <w:t xml:space="preserve">z dnia </w:t>
      </w:r>
      <w:r w:rsidR="00F216A7" w:rsidRPr="00FB00FE">
        <w:t>24 stycznia 2008</w:t>
      </w:r>
      <w:r w:rsidR="00594FF2">
        <w:t> </w:t>
      </w:r>
      <w:r w:rsidR="00F216A7" w:rsidRPr="00FB00FE">
        <w:t>r.). Ponadto czas trwania środka detencyjnego nie może przekraczać okresu rozsądnie koniecznego do osiągnięcia zamierzonego celu (</w:t>
      </w:r>
      <w:r w:rsidR="00F216A7" w:rsidRPr="00FB00FE">
        <w:rPr>
          <w:i/>
          <w:iCs/>
        </w:rPr>
        <w:t>ibid</w:t>
      </w:r>
      <w:r w:rsidR="00F216A7" w:rsidRPr="00FB00FE">
        <w:t>.).</w:t>
      </w:r>
    </w:p>
    <w:p w14:paraId="5EFD75B8" w14:textId="5323172C" w:rsidR="00626381" w:rsidRPr="00FB00FE" w:rsidRDefault="00124942" w:rsidP="00B4318F">
      <w:pPr>
        <w:pStyle w:val="JuPara"/>
      </w:pPr>
      <w:fldSimple w:instr=" SEQ level0 \*arabic ">
        <w:r w:rsidR="00FB00FE" w:rsidRPr="00FB00FE">
          <w:rPr>
            <w:noProof/>
          </w:rPr>
          <w:t>76</w:t>
        </w:r>
      </w:fldSimple>
      <w:r w:rsidR="00F216A7" w:rsidRPr="00FB00FE">
        <w:t>.</w:t>
      </w:r>
      <w:r w:rsidR="00EB56A9">
        <w:t xml:space="preserve"> </w:t>
      </w:r>
      <w:r w:rsidR="00F216A7" w:rsidRPr="00FB00FE">
        <w:t xml:space="preserve">Trybunał przypomina ponadto, że ma on na uwadze szczególną sytuację osób pozbawionych wolności. Tym samym, w drodze wyjątku, gdy obecne jest dziecko, Trybunał uważa, że pozbawienie wolności musi być konieczne do osiągnięcia zamierzonego celu, tj. do doprowadzenia do wydalenia rodziny. W tym kontekście Trybunał bada w szczególności, czy władze rzeczywiście rozważyły, czy środek detencyjny jest środkiem </w:t>
      </w:r>
      <w:r w:rsidR="00F216A7" w:rsidRPr="00FB00FE">
        <w:rPr>
          <w:i/>
          <w:iCs/>
        </w:rPr>
        <w:t>ultima ratio</w:t>
      </w:r>
      <w:r w:rsidR="00F216A7" w:rsidRPr="00FB00FE">
        <w:t>, którego nie można było zastąpić żadnym innym środkiem (</w:t>
      </w:r>
      <w:r w:rsidR="00F216A7" w:rsidRPr="00FB00FE">
        <w:rPr>
          <w:i/>
          <w:iCs/>
        </w:rPr>
        <w:t>Popov przeciwko Francji</w:t>
      </w:r>
      <w:r w:rsidR="00F216A7" w:rsidRPr="00FB00FE">
        <w:t>, skargi nr</w:t>
      </w:r>
      <w:r w:rsidR="00C43CE0">
        <w:t> </w:t>
      </w:r>
      <w:r w:rsidR="00F216A7" w:rsidRPr="00FB00FE">
        <w:t>39472/07 i 39474/07, §</w:t>
      </w:r>
      <w:r w:rsidR="00C43CE0">
        <w:t> </w:t>
      </w:r>
      <w:r w:rsidR="00F216A7" w:rsidRPr="00FB00FE">
        <w:t xml:space="preserve">119, </w:t>
      </w:r>
      <w:r w:rsidR="00C43CE0">
        <w:t xml:space="preserve">z dnia </w:t>
      </w:r>
      <w:r w:rsidR="00F216A7" w:rsidRPr="00FB00FE">
        <w:t>19 stycznia 2012</w:t>
      </w:r>
      <w:r w:rsidR="00C43CE0">
        <w:t> </w:t>
      </w:r>
      <w:r w:rsidR="00F216A7" w:rsidRPr="00FB00FE">
        <w:t xml:space="preserve">r., </w:t>
      </w:r>
      <w:r w:rsidR="00F216A7" w:rsidRPr="00FB00FE">
        <w:rPr>
          <w:i/>
          <w:iCs/>
        </w:rPr>
        <w:t>G.B. i Inni</w:t>
      </w:r>
      <w:r w:rsidR="00F216A7" w:rsidRPr="00FB00FE">
        <w:t xml:space="preserve">, </w:t>
      </w:r>
      <w:r w:rsidR="00F216A7" w:rsidRPr="00FB00FE">
        <w:rPr>
          <w:i/>
          <w:iCs/>
        </w:rPr>
        <w:t>op. cit.</w:t>
      </w:r>
      <w:r w:rsidR="00F216A7" w:rsidRPr="00FB00FE">
        <w:t>, §</w:t>
      </w:r>
      <w:r w:rsidR="00C43CE0">
        <w:t> </w:t>
      </w:r>
      <w:r w:rsidR="00F216A7" w:rsidRPr="00FB00FE">
        <w:t>151).</w:t>
      </w:r>
    </w:p>
    <w:p w14:paraId="3C99ED75" w14:textId="226A25B9" w:rsidR="0095765E" w:rsidRPr="00FB00FE" w:rsidRDefault="00124942" w:rsidP="00B4318F">
      <w:pPr>
        <w:pStyle w:val="JuPara"/>
      </w:pPr>
      <w:fldSimple w:instr=" SEQ level0 \*arabic ">
        <w:r w:rsidR="00FB00FE" w:rsidRPr="00FB00FE">
          <w:rPr>
            <w:noProof/>
          </w:rPr>
          <w:t>77</w:t>
        </w:r>
      </w:fldSimple>
      <w:r w:rsidR="00770538" w:rsidRPr="00FB00FE">
        <w:t>.</w:t>
      </w:r>
      <w:r w:rsidR="00EB56A9">
        <w:t xml:space="preserve"> </w:t>
      </w:r>
      <w:r w:rsidR="00770538" w:rsidRPr="00FB00FE">
        <w:t xml:space="preserve">W niniejszej sprawie </w:t>
      </w:r>
      <w:r w:rsidR="00C43CE0">
        <w:t>Trybunał</w:t>
      </w:r>
      <w:r w:rsidR="00770538" w:rsidRPr="00FB00FE">
        <w:t xml:space="preserve"> przypomina, że sam może zbadać jedynie okres zastosowania środka detencyjnego wobec skarżących dzieci, który trwał około dwóch miesięcy od dnia wydania orzeczenia Sądu Rejonowego w Kętrzynie z dnia 23 stycznia 2014</w:t>
      </w:r>
      <w:r w:rsidR="00C43CE0">
        <w:t> </w:t>
      </w:r>
      <w:r w:rsidR="00770538" w:rsidRPr="00FB00FE">
        <w:t>r. (par.</w:t>
      </w:r>
      <w:r w:rsidR="00C43CE0">
        <w:t> </w:t>
      </w:r>
      <w:r w:rsidR="00770538" w:rsidRPr="00FB00FE">
        <w:t>12, 20 i</w:t>
      </w:r>
      <w:r w:rsidR="00C43CE0">
        <w:t> </w:t>
      </w:r>
      <w:r w:rsidR="00770538" w:rsidRPr="00FB00FE">
        <w:t>63</w:t>
      </w:r>
      <w:r w:rsidR="00C43CE0">
        <w:t> </w:t>
      </w:r>
      <w:r w:rsidR="00770538" w:rsidRPr="00FB00FE">
        <w:t>powyżej). Zauważa, że postanawiając o przedłużeniu okresu zastosowania środka detencyjnego wobec skarżących dzieci sąd ten oparł się na przepisie art.</w:t>
      </w:r>
      <w:r w:rsidR="00C43CE0">
        <w:t> </w:t>
      </w:r>
      <w:r w:rsidR="00770538" w:rsidRPr="00FB00FE">
        <w:t>89 ust.</w:t>
      </w:r>
      <w:r w:rsidR="00C43CE0">
        <w:t> </w:t>
      </w:r>
      <w:r w:rsidR="00770538" w:rsidRPr="00FB00FE">
        <w:t>3 ustawy o ochronie cudzoziemców (zob. par.</w:t>
      </w:r>
      <w:r w:rsidR="00C43CE0">
        <w:t> </w:t>
      </w:r>
      <w:r w:rsidR="00770538" w:rsidRPr="00FB00FE">
        <w:t>12 i</w:t>
      </w:r>
      <w:r w:rsidR="00C43CE0">
        <w:t> </w:t>
      </w:r>
      <w:r w:rsidR="00770538" w:rsidRPr="00FB00FE">
        <w:t>31 powyżej). Mając na uwadze swoją tezę przedstawioną w par.</w:t>
      </w:r>
      <w:r w:rsidR="00C43CE0">
        <w:t> </w:t>
      </w:r>
      <w:r w:rsidR="00770538" w:rsidRPr="00FB00FE">
        <w:t>56 powyżej, Trybunał uznał, że zastosowanie środka detencyjnego wobec skarżących dzieci znajdowało podstawę prawną w prawie krajowym. Z</w:t>
      </w:r>
      <w:r w:rsidR="00C43CE0">
        <w:t> </w:t>
      </w:r>
      <w:r w:rsidR="00770538" w:rsidRPr="00FB00FE">
        <w:t>orzeczeń Sądu Rejonowego w Kętrzynie i Sądu Okręgowego w Olsztynie odpowiednio z</w:t>
      </w:r>
      <w:r w:rsidR="00B6245D">
        <w:t> </w:t>
      </w:r>
      <w:r w:rsidR="00770538" w:rsidRPr="00FB00FE">
        <w:t>dnia 23 stycznia 2014</w:t>
      </w:r>
      <w:r w:rsidR="00C43CE0">
        <w:t> </w:t>
      </w:r>
      <w:r w:rsidR="00770538" w:rsidRPr="00FB00FE">
        <w:t>r. i 21 lutego 2014</w:t>
      </w:r>
      <w:r w:rsidR="00C43CE0">
        <w:t> </w:t>
      </w:r>
      <w:r w:rsidR="00770538" w:rsidRPr="00FB00FE">
        <w:t>r. wynika, że przedłużenie okresu pobytu skarżących w strzeżonym ośrodku dla cudzoziemców było konieczne dla zapewnienia sprawnego przebiegu postępowania w sprawie ich wydalenia, w szczególności w świetle ich wcześniejszego wyjazdu do Niemiec. W świetle dowodów zawartych w</w:t>
      </w:r>
      <w:r w:rsidR="00C43CE0">
        <w:t> </w:t>
      </w:r>
      <w:r w:rsidR="00770538" w:rsidRPr="00FB00FE">
        <w:t xml:space="preserve">aktach sprawy Trybunał uważa, że nie dysponuje żadnymi dowodami, które mogłyby budzić wątpliwości co do oceny dokonanej przez sądy krajowe w tym zakresie. Jednocześnie </w:t>
      </w:r>
      <w:r w:rsidR="00770538" w:rsidRPr="00FB00FE">
        <w:lastRenderedPageBreak/>
        <w:t>zauważa, że mąż i ojciec skarżących, znajdujący się w sytuacji podobnej do sytuacji jego bliskich, został umieszczony w otwartej placówce dla cudzoziemców i nie został pozbawiony wolności (par.</w:t>
      </w:r>
      <w:r w:rsidR="00C43CE0">
        <w:t> </w:t>
      </w:r>
      <w:r w:rsidR="00770538" w:rsidRPr="00FB00FE">
        <w:t>13 powyżej).</w:t>
      </w:r>
    </w:p>
    <w:p w14:paraId="783784A2" w14:textId="7BBEF81B" w:rsidR="00677711" w:rsidRPr="00FB00FE" w:rsidRDefault="00124942" w:rsidP="00B4318F">
      <w:pPr>
        <w:pStyle w:val="JuPara"/>
      </w:pPr>
      <w:fldSimple w:instr=" SEQ level0 \*arabic ">
        <w:r w:rsidR="00FB00FE" w:rsidRPr="00FB00FE">
          <w:rPr>
            <w:noProof/>
          </w:rPr>
          <w:t>78</w:t>
        </w:r>
      </w:fldSimple>
      <w:r w:rsidR="00936A0B" w:rsidRPr="00FB00FE">
        <w:t>.</w:t>
      </w:r>
      <w:r w:rsidR="00EB56A9">
        <w:t xml:space="preserve"> </w:t>
      </w:r>
      <w:r w:rsidR="00936A0B" w:rsidRPr="00FB00FE">
        <w:t>Trybunał zauważył, że w czasie, gdy władze postanowiły o</w:t>
      </w:r>
      <w:r w:rsidR="00C43CE0">
        <w:t> </w:t>
      </w:r>
      <w:r w:rsidR="00936A0B" w:rsidRPr="00FB00FE">
        <w:t xml:space="preserve">przedłużeniu okresu stosowania środka detencyjnego o trzy kolejne miesiące, skarżące dzieci przebywały w ośrodku już niemal dwa miesiące. Chociaż wygląda na to, że </w:t>
      </w:r>
      <w:r w:rsidR="00C43CE0">
        <w:t xml:space="preserve">przesłanki </w:t>
      </w:r>
      <w:r w:rsidR="00EB56A9">
        <w:t xml:space="preserve">materialne </w:t>
      </w:r>
      <w:r w:rsidR="00EB56A9" w:rsidRPr="00FB00FE">
        <w:t>przyjęcia</w:t>
      </w:r>
      <w:r w:rsidR="00936A0B" w:rsidRPr="00FB00FE">
        <w:t xml:space="preserve"> skarżących były prawidłowe (par.</w:t>
      </w:r>
      <w:r w:rsidR="00C43CE0">
        <w:t> </w:t>
      </w:r>
      <w:r w:rsidR="00936A0B" w:rsidRPr="00FB00FE">
        <w:t>24-28 i 33 powyżej), ośrodek był niewątpliwie miejscem izolacji, który pod wieloma względami przypominał zakład penitencjarny (</w:t>
      </w:r>
      <w:r w:rsidR="00936A0B" w:rsidRPr="00FB00FE">
        <w:rPr>
          <w:i/>
        </w:rPr>
        <w:t>Bistieva</w:t>
      </w:r>
      <w:r w:rsidR="00936A0B" w:rsidRPr="00FB00FE">
        <w:t xml:space="preserve">, </w:t>
      </w:r>
      <w:r w:rsidR="00936A0B" w:rsidRPr="00FB00FE">
        <w:rPr>
          <w:i/>
          <w:iCs/>
        </w:rPr>
        <w:t>op. cit.</w:t>
      </w:r>
      <w:r w:rsidR="00936A0B" w:rsidRPr="00FB00FE">
        <w:t>, §</w:t>
      </w:r>
      <w:r w:rsidR="00C43CE0">
        <w:t> </w:t>
      </w:r>
      <w:r w:rsidR="00936A0B" w:rsidRPr="00FB00FE">
        <w:t>88). Trybunał przypomina w tym kontekście, że w</w:t>
      </w:r>
      <w:r w:rsidR="00B6245D">
        <w:t> </w:t>
      </w:r>
      <w:r w:rsidR="00936A0B" w:rsidRPr="00FB00FE">
        <w:t xml:space="preserve">sprawach podobnych do niniejszej sprawy, które rozpoznawał, uznawał za sprzeczne z Konwencją przypadki umieszczania w placówkach podobnych do tej, w której umieszczono skarżące dzieci – małoletnich wraz z rodzicami na okresy znacznie krótsze niż okres zarzucany w niniejszej sprawie (zob. na przykład </w:t>
      </w:r>
      <w:r w:rsidR="00936A0B" w:rsidRPr="00FB00FE">
        <w:rPr>
          <w:i/>
          <w:iCs/>
        </w:rPr>
        <w:t>A. M. i Inni</w:t>
      </w:r>
      <w:r w:rsidR="00936A0B" w:rsidRPr="00FB00FE">
        <w:t xml:space="preserve">, </w:t>
      </w:r>
      <w:r w:rsidR="00936A0B" w:rsidRPr="00FB00FE">
        <w:rPr>
          <w:i/>
          <w:iCs/>
        </w:rPr>
        <w:t>op. cit.</w:t>
      </w:r>
      <w:r w:rsidR="00936A0B" w:rsidRPr="00FB00FE">
        <w:t>, §§</w:t>
      </w:r>
      <w:r w:rsidR="00C43CE0">
        <w:t> </w:t>
      </w:r>
      <w:r w:rsidR="00936A0B" w:rsidRPr="00FB00FE">
        <w:t>48</w:t>
      </w:r>
      <w:r w:rsidR="00C43CE0">
        <w:rPr>
          <w:rFonts w:cstheme="minorHAnsi"/>
        </w:rPr>
        <w:t>‒</w:t>
      </w:r>
      <w:r w:rsidR="00936A0B" w:rsidRPr="00FB00FE">
        <w:t xml:space="preserve">49, </w:t>
      </w:r>
      <w:r w:rsidR="00936A0B" w:rsidRPr="00FB00FE">
        <w:rPr>
          <w:i/>
          <w:iCs/>
        </w:rPr>
        <w:t>R.K. i Inni</w:t>
      </w:r>
      <w:r w:rsidR="00936A0B" w:rsidRPr="00FB00FE">
        <w:t xml:space="preserve">, </w:t>
      </w:r>
      <w:r w:rsidR="00936A0B" w:rsidRPr="00FB00FE">
        <w:rPr>
          <w:i/>
          <w:iCs/>
        </w:rPr>
        <w:t>op. cit.</w:t>
      </w:r>
      <w:r w:rsidR="00936A0B" w:rsidRPr="00FB00FE">
        <w:t>, §</w:t>
      </w:r>
      <w:r w:rsidR="00C43CE0">
        <w:t> </w:t>
      </w:r>
      <w:r w:rsidR="00936A0B" w:rsidRPr="00FB00FE">
        <w:t>68</w:t>
      </w:r>
      <w:r w:rsidR="00C43CE0">
        <w:rPr>
          <w:rFonts w:cstheme="minorHAnsi"/>
        </w:rPr>
        <w:t>‒</w:t>
      </w:r>
      <w:r w:rsidR="00936A0B" w:rsidRPr="00FB00FE">
        <w:t xml:space="preserve">69, oraz </w:t>
      </w:r>
      <w:r w:rsidR="00936A0B" w:rsidRPr="00FB00FE">
        <w:rPr>
          <w:i/>
          <w:iCs/>
        </w:rPr>
        <w:t>A.B. i Inni</w:t>
      </w:r>
      <w:r w:rsidR="00936A0B" w:rsidRPr="00FB00FE">
        <w:t xml:space="preserve">, </w:t>
      </w:r>
      <w:r w:rsidR="00936A0B" w:rsidRPr="00FB00FE">
        <w:rPr>
          <w:i/>
          <w:iCs/>
        </w:rPr>
        <w:t>op. cit.</w:t>
      </w:r>
      <w:r w:rsidR="00936A0B" w:rsidRPr="00FB00FE">
        <w:t>, §§</w:t>
      </w:r>
      <w:r w:rsidR="00C43CE0">
        <w:t> </w:t>
      </w:r>
      <w:r w:rsidR="00936A0B" w:rsidRPr="00FB00FE">
        <w:t>111</w:t>
      </w:r>
      <w:r w:rsidR="00C43CE0">
        <w:rPr>
          <w:rFonts w:cstheme="minorHAnsi"/>
        </w:rPr>
        <w:t>‒</w:t>
      </w:r>
      <w:r w:rsidR="00936A0B" w:rsidRPr="00FB00FE">
        <w:t>112).</w:t>
      </w:r>
    </w:p>
    <w:p w14:paraId="04E8209C" w14:textId="2645F675" w:rsidR="00626381" w:rsidRPr="00FB00FE" w:rsidRDefault="00124942" w:rsidP="00B4318F">
      <w:pPr>
        <w:pStyle w:val="JuPara"/>
      </w:pPr>
      <w:fldSimple w:instr=" SEQ level0 \*arabic ">
        <w:r w:rsidR="00FB00FE" w:rsidRPr="00FB00FE">
          <w:rPr>
            <w:noProof/>
          </w:rPr>
          <w:t>79</w:t>
        </w:r>
      </w:fldSimple>
      <w:r w:rsidR="00936A0B" w:rsidRPr="00FB00FE">
        <w:t>.</w:t>
      </w:r>
      <w:r w:rsidR="00EB56A9">
        <w:t xml:space="preserve"> </w:t>
      </w:r>
      <w:r w:rsidR="00936A0B" w:rsidRPr="00FB00FE">
        <w:t xml:space="preserve">Trybunał zauważył, że z jego ugruntowanego dotychczas orzecznictwa w tym zakresie wynika, że co do zasady należy unikać umieszczania małych dzieci w takich placówkach </w:t>
      </w:r>
      <w:r w:rsidR="00C43CE0">
        <w:t>oraz</w:t>
      </w:r>
      <w:r w:rsidR="00936A0B" w:rsidRPr="00FB00FE">
        <w:t xml:space="preserve"> że tylko krótkotrwałe umieszczenie w</w:t>
      </w:r>
      <w:r w:rsidR="00B6245D">
        <w:t> </w:t>
      </w:r>
      <w:r w:rsidR="00936A0B" w:rsidRPr="00FB00FE">
        <w:t>odpowiednich warunkach może być zgodne z Konwencją, z</w:t>
      </w:r>
      <w:r w:rsidR="00C43CE0">
        <w:t> </w:t>
      </w:r>
      <w:r w:rsidR="00936A0B" w:rsidRPr="00FB00FE">
        <w:t>tym jednak zastrzeżeniem</w:t>
      </w:r>
      <w:r w:rsidR="00C43CE0">
        <w:t>,</w:t>
      </w:r>
      <w:r w:rsidR="00936A0B" w:rsidRPr="00FB00FE">
        <w:t xml:space="preserve"> że władze muszą wykazać, </w:t>
      </w:r>
      <w:r w:rsidR="00C43CE0">
        <w:t>i</w:t>
      </w:r>
      <w:r w:rsidR="00936A0B" w:rsidRPr="00FB00FE">
        <w:t xml:space="preserve">ż zastosowanie tego środka </w:t>
      </w:r>
      <w:r w:rsidR="00936A0B" w:rsidRPr="00FB00FE">
        <w:rPr>
          <w:i/>
          <w:iCs/>
        </w:rPr>
        <w:t>ultima ratio</w:t>
      </w:r>
      <w:r w:rsidR="00936A0B" w:rsidRPr="00FB00FE">
        <w:t xml:space="preserve"> miało miejsce dopiero po upewnieniu się w praktyce co do braku możliwości zastosowania jakiegokolwiek innego, mniej dotkliwego dla nich środka (</w:t>
      </w:r>
      <w:r w:rsidR="00936A0B" w:rsidRPr="00FB00FE">
        <w:rPr>
          <w:i/>
          <w:iCs/>
        </w:rPr>
        <w:t>A.B. i Inni</w:t>
      </w:r>
      <w:r w:rsidR="00936A0B" w:rsidRPr="00FB00FE">
        <w:t xml:space="preserve">, </w:t>
      </w:r>
      <w:r w:rsidR="00936A0B" w:rsidRPr="00FB00FE">
        <w:rPr>
          <w:i/>
          <w:iCs/>
        </w:rPr>
        <w:t>op. cit.</w:t>
      </w:r>
      <w:r w:rsidR="00936A0B" w:rsidRPr="00FB00FE">
        <w:t>, §</w:t>
      </w:r>
      <w:r w:rsidR="00C43CE0">
        <w:t> </w:t>
      </w:r>
      <w:r w:rsidR="00936A0B" w:rsidRPr="00FB00FE">
        <w:t>123).</w:t>
      </w:r>
    </w:p>
    <w:p w14:paraId="5837A78F" w14:textId="31450F4B" w:rsidR="00626381" w:rsidRPr="00FB00FE" w:rsidRDefault="00124942" w:rsidP="00B4318F">
      <w:pPr>
        <w:pStyle w:val="JuPara"/>
      </w:pPr>
      <w:fldSimple w:instr=" SEQ level0 \*arabic ">
        <w:r w:rsidR="00FB00FE" w:rsidRPr="00FB00FE">
          <w:rPr>
            <w:noProof/>
          </w:rPr>
          <w:t>80</w:t>
        </w:r>
      </w:fldSimple>
      <w:r w:rsidR="00936A0B" w:rsidRPr="00FB00FE">
        <w:t>.</w:t>
      </w:r>
      <w:r w:rsidR="00EB56A9">
        <w:t xml:space="preserve"> </w:t>
      </w:r>
      <w:r w:rsidR="00936A0B" w:rsidRPr="00FB00FE">
        <w:t>W niniejszej sprawie, mając na uwadze podstawy, na które powołują się władze krajowe na uzasadnienie zastosowania spornego środka, Trybunał uznał, że nie dysponuje wystarczającymi dowodami, by nabrać przekonania, że władze krajowe rzeczywiście upewniły się</w:t>
      </w:r>
      <w:r w:rsidR="00C43CE0">
        <w:t xml:space="preserve"> co do tego</w:t>
      </w:r>
      <w:r w:rsidR="00936A0B" w:rsidRPr="00FB00FE">
        <w:t xml:space="preserve">, czy w szczególnych okolicznościach sprawy zastosowanie środka detencyjnego wobec skarżących dzieci było rozwiązaniem ostatecznym, którego nie można było zastąpić żadnym innym środkiem (zob., </w:t>
      </w:r>
      <w:r w:rsidR="00936A0B" w:rsidRPr="00FB00FE">
        <w:rPr>
          <w:i/>
          <w:iCs/>
        </w:rPr>
        <w:t>mutatis mutandis, R. K. i Inni, op.</w:t>
      </w:r>
      <w:r w:rsidR="00B6245D">
        <w:rPr>
          <w:i/>
          <w:iCs/>
        </w:rPr>
        <w:t> </w:t>
      </w:r>
      <w:r w:rsidR="00936A0B" w:rsidRPr="00FB00FE">
        <w:rPr>
          <w:i/>
          <w:iCs/>
        </w:rPr>
        <w:t>cit</w:t>
      </w:r>
      <w:r w:rsidR="00936A0B" w:rsidRPr="00FB00FE">
        <w:t>., §</w:t>
      </w:r>
      <w:r w:rsidR="00C43CE0">
        <w:t> </w:t>
      </w:r>
      <w:r w:rsidR="00936A0B" w:rsidRPr="00FB00FE">
        <w:t xml:space="preserve">86, </w:t>
      </w:r>
      <w:r w:rsidR="00936A0B" w:rsidRPr="00FB00FE">
        <w:rPr>
          <w:i/>
          <w:iCs/>
        </w:rPr>
        <w:t>Popov, op. cit.</w:t>
      </w:r>
      <w:r w:rsidR="00936A0B" w:rsidRPr="00FB00FE">
        <w:t>, §</w:t>
      </w:r>
      <w:r w:rsidR="00C43CE0">
        <w:t> </w:t>
      </w:r>
      <w:r w:rsidR="00936A0B" w:rsidRPr="00FB00FE">
        <w:t xml:space="preserve">119 oraz, </w:t>
      </w:r>
      <w:r w:rsidR="00936A0B" w:rsidRPr="00FB00FE">
        <w:rPr>
          <w:i/>
          <w:iCs/>
        </w:rPr>
        <w:t>a contrario, A.M. i Inni, op. cit.</w:t>
      </w:r>
      <w:r w:rsidR="00936A0B" w:rsidRPr="00FB00FE">
        <w:t>, §</w:t>
      </w:r>
      <w:r w:rsidR="00C43CE0">
        <w:t> </w:t>
      </w:r>
      <w:r w:rsidR="00936A0B" w:rsidRPr="00FB00FE">
        <w:t xml:space="preserve">68, </w:t>
      </w:r>
      <w:r w:rsidR="00936A0B" w:rsidRPr="00FB00FE">
        <w:rPr>
          <w:i/>
          <w:iCs/>
        </w:rPr>
        <w:t>G.B. i Inni, op. cit.</w:t>
      </w:r>
      <w:r w:rsidR="00936A0B" w:rsidRPr="00FB00FE">
        <w:t>, §</w:t>
      </w:r>
      <w:r w:rsidR="00C43CE0">
        <w:t> </w:t>
      </w:r>
      <w:r w:rsidR="00936A0B" w:rsidRPr="00FB00FE">
        <w:t>151).</w:t>
      </w:r>
    </w:p>
    <w:p w14:paraId="6A23FD33" w14:textId="397F4D2F" w:rsidR="00626381" w:rsidRPr="00FB00FE" w:rsidRDefault="00124942" w:rsidP="00B4318F">
      <w:pPr>
        <w:pStyle w:val="JuPara"/>
      </w:pPr>
      <w:fldSimple w:instr=" SEQ level0 \*arabic ">
        <w:r w:rsidR="00FB00FE" w:rsidRPr="00FB00FE">
          <w:rPr>
            <w:noProof/>
          </w:rPr>
          <w:t>81</w:t>
        </w:r>
      </w:fldSimple>
      <w:r w:rsidR="009B4FEC" w:rsidRPr="00FB00FE">
        <w:t>.</w:t>
      </w:r>
      <w:r w:rsidR="00EB56A9">
        <w:t xml:space="preserve"> </w:t>
      </w:r>
      <w:r w:rsidR="009B4FEC" w:rsidRPr="00FB00FE">
        <w:t>Trybunał zauważył, że w chwili wydania postanowienia o</w:t>
      </w:r>
      <w:r w:rsidR="00C43CE0">
        <w:t> </w:t>
      </w:r>
      <w:r w:rsidR="009B4FEC" w:rsidRPr="00FB00FE">
        <w:t>przedłużeniu okresu pobytu skarżących w ośrodku</w:t>
      </w:r>
      <w:r w:rsidR="00C43CE0">
        <w:t>,</w:t>
      </w:r>
      <w:r w:rsidR="009B4FEC" w:rsidRPr="00FB00FE">
        <w:t xml:space="preserve"> postępowanie w</w:t>
      </w:r>
      <w:r w:rsidR="00C43CE0">
        <w:t> </w:t>
      </w:r>
      <w:r w:rsidR="009B4FEC" w:rsidRPr="00FB00FE">
        <w:t>sprawie wniosku o nadanie statusu uchodźcy trwało ponad sześć miesięcy, a następnie zostało przedłużone o dwa kolejne miesiące (par.</w:t>
      </w:r>
      <w:r w:rsidR="00C43CE0">
        <w:t> </w:t>
      </w:r>
      <w:r w:rsidR="009B4FEC" w:rsidRPr="00FB00FE">
        <w:t>6</w:t>
      </w:r>
      <w:r w:rsidR="00C43CE0">
        <w:rPr>
          <w:rFonts w:cstheme="minorHAnsi"/>
        </w:rPr>
        <w:t>‒</w:t>
      </w:r>
      <w:r w:rsidR="009B4FEC" w:rsidRPr="00FB00FE">
        <w:t>7 powyżej). Biorąc pod uwagę długość tych okresów, Trybunał nie jest przekonany o tym, że władze krajowe, które prowadziły przedmiotowe postępowanie, podjęły niezbędne kroki w celu ograniczenia okresu stosowania środka detencyjnego wobec skarżących dzieci do niezbędnego minimum.</w:t>
      </w:r>
    </w:p>
    <w:p w14:paraId="01B58F15" w14:textId="77310125" w:rsidR="00626381" w:rsidRPr="00FB00FE" w:rsidRDefault="00124942" w:rsidP="00B4318F">
      <w:pPr>
        <w:pStyle w:val="JuPara"/>
      </w:pPr>
      <w:fldSimple w:instr=" SEQ level0 \*arabic ">
        <w:r w:rsidR="00FB00FE" w:rsidRPr="00FB00FE">
          <w:rPr>
            <w:noProof/>
          </w:rPr>
          <w:t>82</w:t>
        </w:r>
      </w:fldSimple>
      <w:r w:rsidR="00D8716A" w:rsidRPr="00FB00FE">
        <w:t>.</w:t>
      </w:r>
      <w:r w:rsidR="00EB56A9">
        <w:t xml:space="preserve"> </w:t>
      </w:r>
      <w:r w:rsidR="00D8716A" w:rsidRPr="00FB00FE">
        <w:t>Tym samym Trybunał uznaje, że doszło do naruszenia art.</w:t>
      </w:r>
      <w:r w:rsidR="00C43CE0">
        <w:t> </w:t>
      </w:r>
      <w:r w:rsidR="00D8716A" w:rsidRPr="00FB00FE">
        <w:t>5 ust.</w:t>
      </w:r>
      <w:r w:rsidR="00C43CE0">
        <w:t> </w:t>
      </w:r>
      <w:r w:rsidR="00D8716A" w:rsidRPr="00FB00FE">
        <w:t>1 Konwencji w odniesieniu do skarżących dzieci.</w:t>
      </w:r>
    </w:p>
    <w:p w14:paraId="2D3ECE47" w14:textId="77777777" w:rsidR="00FF38ED" w:rsidRPr="00FB00FE" w:rsidRDefault="000F09E7" w:rsidP="00B4318F">
      <w:pPr>
        <w:pStyle w:val="JuHIRoman"/>
      </w:pPr>
      <w:r w:rsidRPr="00FB00FE">
        <w:lastRenderedPageBreak/>
        <w:t>ZASTOSOWANIE ART. 41 KONWENCJI</w:t>
      </w:r>
    </w:p>
    <w:p w14:paraId="5D7C55BB" w14:textId="32B25F96" w:rsidR="000F09E7" w:rsidRPr="00FB00FE" w:rsidRDefault="00124942" w:rsidP="00B4318F">
      <w:pPr>
        <w:pStyle w:val="JuPara"/>
      </w:pPr>
      <w:fldSimple w:instr=" SEQ level0 \*arabic ">
        <w:r w:rsidR="00FB00FE" w:rsidRPr="00FB00FE">
          <w:rPr>
            <w:noProof/>
          </w:rPr>
          <w:t>83</w:t>
        </w:r>
      </w:fldSimple>
      <w:r w:rsidR="000F09E7" w:rsidRPr="00FB00FE">
        <w:t>.</w:t>
      </w:r>
      <w:r w:rsidR="00EB56A9">
        <w:t xml:space="preserve"> </w:t>
      </w:r>
      <w:r w:rsidR="000F09E7" w:rsidRPr="00FB00FE">
        <w:t>Zgodnie z art. 41 Konwencji:</w:t>
      </w:r>
    </w:p>
    <w:p w14:paraId="05F1D2E9" w14:textId="4F00EAD0" w:rsidR="00FF38ED" w:rsidRPr="00FB00FE" w:rsidRDefault="000F09E7" w:rsidP="00B4318F">
      <w:pPr>
        <w:pStyle w:val="JuQuot"/>
      </w:pPr>
      <w:r w:rsidRPr="00FB00FE">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 </w:t>
      </w:r>
    </w:p>
    <w:p w14:paraId="2934DE4E" w14:textId="77777777" w:rsidR="00FF38ED" w:rsidRPr="00FB00FE" w:rsidRDefault="000F09E7" w:rsidP="00B4318F">
      <w:pPr>
        <w:pStyle w:val="JuHA"/>
      </w:pPr>
      <w:r w:rsidRPr="00FB00FE">
        <w:t>Szkoda</w:t>
      </w:r>
    </w:p>
    <w:p w14:paraId="6C412FDF" w14:textId="14E44610" w:rsidR="000F09E7" w:rsidRPr="00FB00FE" w:rsidRDefault="00124942" w:rsidP="00B4318F">
      <w:pPr>
        <w:pStyle w:val="JuPara"/>
      </w:pPr>
      <w:fldSimple w:instr=" SEQ level0 \*arabic ">
        <w:r w:rsidR="00FB00FE" w:rsidRPr="00FB00FE">
          <w:rPr>
            <w:noProof/>
          </w:rPr>
          <w:t>84</w:t>
        </w:r>
      </w:fldSimple>
      <w:r w:rsidR="00FF38ED" w:rsidRPr="00FB00FE">
        <w:t>.</w:t>
      </w:r>
      <w:r w:rsidR="00EB56A9">
        <w:t xml:space="preserve"> </w:t>
      </w:r>
      <w:r w:rsidR="00FF38ED" w:rsidRPr="00FB00FE">
        <w:t>Tytułem zadośćuczynienia poniesionej przez nich szkody niemajątkowej skarżący domagają się łącznej kwoty 20</w:t>
      </w:r>
      <w:r w:rsidR="00605550">
        <w:t> </w:t>
      </w:r>
      <w:r w:rsidR="00FF38ED" w:rsidRPr="00FB00FE">
        <w:t>000 EUR.</w:t>
      </w:r>
    </w:p>
    <w:p w14:paraId="1BD6808A" w14:textId="56B45B64" w:rsidR="000F09E7" w:rsidRPr="00FB00FE" w:rsidRDefault="00124942" w:rsidP="00B4318F">
      <w:pPr>
        <w:pStyle w:val="JuPara"/>
      </w:pPr>
      <w:fldSimple w:instr=" SEQ level0 \*arabic ">
        <w:r w:rsidR="00FB00FE" w:rsidRPr="00FB00FE">
          <w:rPr>
            <w:noProof/>
          </w:rPr>
          <w:t>85</w:t>
        </w:r>
      </w:fldSimple>
      <w:r w:rsidR="000F09E7" w:rsidRPr="00FB00FE">
        <w:t>.</w:t>
      </w:r>
      <w:r w:rsidR="00EB56A9">
        <w:t xml:space="preserve"> </w:t>
      </w:r>
      <w:r w:rsidR="000F09E7" w:rsidRPr="00FB00FE">
        <w:t>Zdaniem Rządu dochodzona kwota jest wygórowana.</w:t>
      </w:r>
    </w:p>
    <w:p w14:paraId="0F0DF1CC" w14:textId="61FF25BE" w:rsidR="00763885" w:rsidRPr="00FB00FE" w:rsidRDefault="00124942" w:rsidP="00B4318F">
      <w:pPr>
        <w:pStyle w:val="JuPara"/>
      </w:pPr>
      <w:fldSimple w:instr=" SEQ level0 \*arabic ">
        <w:r w:rsidR="00FB00FE" w:rsidRPr="00FB00FE">
          <w:rPr>
            <w:noProof/>
          </w:rPr>
          <w:t>86</w:t>
        </w:r>
      </w:fldSimple>
      <w:r w:rsidR="000F09E7" w:rsidRPr="00FB00FE">
        <w:t>.</w:t>
      </w:r>
      <w:r w:rsidR="00EB56A9">
        <w:t xml:space="preserve"> </w:t>
      </w:r>
      <w:r w:rsidR="000F09E7" w:rsidRPr="00FB00FE">
        <w:t xml:space="preserve">Mając na </w:t>
      </w:r>
      <w:r w:rsidR="00605550">
        <w:t>względzie</w:t>
      </w:r>
      <w:r w:rsidR="000F09E7" w:rsidRPr="00FB00FE">
        <w:t xml:space="preserve"> kwotę zaproponowaną przez Rząd w</w:t>
      </w:r>
      <w:r w:rsidR="00B6245D">
        <w:t> </w:t>
      </w:r>
      <w:r w:rsidR="00605550">
        <w:t>przedstawionej przezeń</w:t>
      </w:r>
      <w:r w:rsidR="000F09E7" w:rsidRPr="00FB00FE">
        <w:t xml:space="preserve"> jednostronnej deklaracji dotyczącej art.</w:t>
      </w:r>
      <w:r w:rsidR="00605550">
        <w:t> </w:t>
      </w:r>
      <w:r w:rsidR="000F09E7" w:rsidRPr="00FB00FE">
        <w:t>8 Konwencji (zob. par.</w:t>
      </w:r>
      <w:r w:rsidR="00605550">
        <w:t> </w:t>
      </w:r>
      <w:r w:rsidR="000F09E7" w:rsidRPr="00FB00FE">
        <w:t xml:space="preserve">37 powyżej) oraz zasadę </w:t>
      </w:r>
      <w:r w:rsidR="000F09E7" w:rsidRPr="00FB00FE">
        <w:rPr>
          <w:i/>
          <w:iCs/>
        </w:rPr>
        <w:t>non ultra petita</w:t>
      </w:r>
      <w:r w:rsidR="000F09E7" w:rsidRPr="00FB00FE">
        <w:t>, Trybunał uważa, że w związku ze stwierdzeniem naruszenia oraz stosowaną w tym zakresie praktyką, skarżącym dzieciom należy przyznać łączną kwotę w</w:t>
      </w:r>
      <w:r w:rsidR="00605550">
        <w:t> </w:t>
      </w:r>
      <w:r w:rsidR="000F09E7" w:rsidRPr="00FB00FE">
        <w:t>wysokości 10</w:t>
      </w:r>
      <w:r w:rsidR="00605550">
        <w:t> </w:t>
      </w:r>
      <w:r w:rsidR="000F09E7" w:rsidRPr="00FB00FE">
        <w:t>700 EUR tytułem zadośćuczynienia za szkodę niemajątkową poniesioną wskutek naruszenia art.</w:t>
      </w:r>
      <w:r w:rsidR="00605550">
        <w:t> </w:t>
      </w:r>
      <w:r w:rsidR="000F09E7" w:rsidRPr="00FB00FE">
        <w:t>5 ust.</w:t>
      </w:r>
      <w:r w:rsidR="00605550">
        <w:t> </w:t>
      </w:r>
      <w:r w:rsidR="000F09E7" w:rsidRPr="00FB00FE">
        <w:t>1 Konwencji.</w:t>
      </w:r>
    </w:p>
    <w:p w14:paraId="2501D369" w14:textId="77777777" w:rsidR="00FF38ED" w:rsidRPr="00FB00FE" w:rsidRDefault="000F09E7" w:rsidP="00B4318F">
      <w:pPr>
        <w:pStyle w:val="JuHA"/>
      </w:pPr>
      <w:r w:rsidRPr="00FB00FE">
        <w:t>Koszty i wydatki</w:t>
      </w:r>
    </w:p>
    <w:p w14:paraId="521834BE" w14:textId="72C907D4" w:rsidR="00626381" w:rsidRPr="00FB00FE" w:rsidRDefault="00124942" w:rsidP="00B4318F">
      <w:pPr>
        <w:pStyle w:val="JuPara"/>
      </w:pPr>
      <w:fldSimple w:instr=" SEQ level0 \*arabic ">
        <w:r w:rsidR="00FB00FE" w:rsidRPr="00FB00FE">
          <w:rPr>
            <w:noProof/>
          </w:rPr>
          <w:t>87</w:t>
        </w:r>
      </w:fldSimple>
      <w:r w:rsidR="000F09E7" w:rsidRPr="00FB00FE">
        <w:t>.</w:t>
      </w:r>
      <w:r w:rsidR="00EB56A9">
        <w:t xml:space="preserve"> </w:t>
      </w:r>
      <w:r w:rsidR="000F09E7" w:rsidRPr="00FB00FE">
        <w:t>Skarżący nie dochodzą żadnej kwoty tytułem zwrotu kosztów i</w:t>
      </w:r>
      <w:r w:rsidR="00605550">
        <w:t> </w:t>
      </w:r>
      <w:r w:rsidR="000F09E7" w:rsidRPr="00FB00FE">
        <w:t>wydatków.</w:t>
      </w:r>
    </w:p>
    <w:p w14:paraId="05AC2F73" w14:textId="77777777" w:rsidR="00FF38ED" w:rsidRPr="00FB00FE" w:rsidRDefault="000F09E7" w:rsidP="00B4318F">
      <w:pPr>
        <w:pStyle w:val="JuHA"/>
      </w:pPr>
      <w:r w:rsidRPr="00FB00FE">
        <w:t>Odsetki za zwłokę</w:t>
      </w:r>
    </w:p>
    <w:p w14:paraId="39A4FAC3" w14:textId="5E3A1879" w:rsidR="00FF38ED" w:rsidRPr="00FB00FE" w:rsidRDefault="00124942" w:rsidP="00B4318F">
      <w:pPr>
        <w:pStyle w:val="JuPara"/>
      </w:pPr>
      <w:fldSimple w:instr=" SEQ level0 \*arabic ">
        <w:r w:rsidR="00FB00FE" w:rsidRPr="00FB00FE">
          <w:rPr>
            <w:noProof/>
          </w:rPr>
          <w:t>88</w:t>
        </w:r>
      </w:fldSimple>
      <w:r w:rsidR="000F09E7" w:rsidRPr="00FB00FE">
        <w:t>.</w:t>
      </w:r>
      <w:r w:rsidR="00EB56A9">
        <w:t xml:space="preserve"> </w:t>
      </w:r>
      <w:r w:rsidR="000F09E7" w:rsidRPr="00FB00FE">
        <w:t>Trybunał za słuszne uznaje wyznaczenie wysokości odsetek za zwłokę na podstawie marginalnej stopy procentowej Europejskiego Banku Centralnego powiększonej o trzy punkty procentowe.</w:t>
      </w:r>
    </w:p>
    <w:p w14:paraId="0934D639" w14:textId="77777777" w:rsidR="000F09E7" w:rsidRPr="00FB00FE" w:rsidRDefault="000F09E7" w:rsidP="00B4318F">
      <w:pPr>
        <w:pStyle w:val="JuHHead"/>
      </w:pPr>
      <w:r w:rsidRPr="00FB00FE">
        <w:t>Z TYCH WZGLĘDÓW TRYBUNAŁ JEDNOGŁOŚNIE</w:t>
      </w:r>
    </w:p>
    <w:p w14:paraId="4B0AF1D8" w14:textId="40D6EBC4" w:rsidR="00B72015" w:rsidRPr="00FB00FE" w:rsidRDefault="00B72015" w:rsidP="00B4318F">
      <w:pPr>
        <w:pStyle w:val="JuList"/>
      </w:pPr>
      <w:r w:rsidRPr="00FB00FE">
        <w:rPr>
          <w:i/>
          <w:iCs/>
        </w:rPr>
        <w:t xml:space="preserve">postanawia </w:t>
      </w:r>
      <w:r w:rsidRPr="00FB00FE">
        <w:t>wykreślić skargę z listy spraw w zakresie zarzutu na podstawie art.</w:t>
      </w:r>
      <w:r w:rsidR="00605550">
        <w:t> </w:t>
      </w:r>
      <w:r w:rsidRPr="00FB00FE">
        <w:t>8 Konwencji;</w:t>
      </w:r>
    </w:p>
    <w:p w14:paraId="7DECBA97" w14:textId="1844C9E9" w:rsidR="000F09E7" w:rsidRPr="00FB00FE" w:rsidRDefault="006C7952" w:rsidP="00B4318F">
      <w:pPr>
        <w:pStyle w:val="JuList"/>
      </w:pPr>
      <w:r w:rsidRPr="00FB00FE">
        <w:rPr>
          <w:i/>
          <w:iCs/>
        </w:rPr>
        <w:t>uznaje</w:t>
      </w:r>
      <w:r w:rsidRPr="00FB00FE">
        <w:t xml:space="preserve"> skargę za dopuszczalną w zakresie zarzutu na podstawie art.</w:t>
      </w:r>
      <w:r w:rsidR="00605550">
        <w:t> </w:t>
      </w:r>
      <w:r w:rsidRPr="00FB00FE">
        <w:t>5 ust.</w:t>
      </w:r>
      <w:r w:rsidR="00605550">
        <w:t> </w:t>
      </w:r>
      <w:r w:rsidRPr="00FB00FE">
        <w:t>1 lit.</w:t>
      </w:r>
      <w:r w:rsidR="00605550">
        <w:t> </w:t>
      </w:r>
      <w:r w:rsidRPr="00FB00FE">
        <w:t>f Konwencji dotyczącego przedłużenia okresu pobytu skarżących dzieci w strzeżonym ośrodku oraz za niedopuszczalną w</w:t>
      </w:r>
      <w:r w:rsidR="00605550">
        <w:t> </w:t>
      </w:r>
      <w:r w:rsidRPr="00FB00FE">
        <w:t>zakresie zarzutu na podstawie art.</w:t>
      </w:r>
      <w:r w:rsidR="00605550">
        <w:t> </w:t>
      </w:r>
      <w:r w:rsidRPr="00FB00FE">
        <w:t>3 i 5 ust.</w:t>
      </w:r>
      <w:r w:rsidR="00605550">
        <w:t> </w:t>
      </w:r>
      <w:r w:rsidRPr="00FB00FE">
        <w:t>1 lit.</w:t>
      </w:r>
      <w:r w:rsidR="00605550">
        <w:t> </w:t>
      </w:r>
      <w:r w:rsidRPr="00FB00FE">
        <w:t>f Konwencji dotyczącego pierwotnego postanowienia o umieszczeniu skarżących dzieci w strzeżonym ośrodku;</w:t>
      </w:r>
    </w:p>
    <w:p w14:paraId="7DBF2BDC" w14:textId="40D2680E" w:rsidR="000F09E7" w:rsidRPr="00FB00FE" w:rsidRDefault="000F09E7" w:rsidP="00B4318F">
      <w:pPr>
        <w:pStyle w:val="JuList"/>
      </w:pPr>
      <w:r w:rsidRPr="00FB00FE">
        <w:rPr>
          <w:i/>
          <w:iCs/>
        </w:rPr>
        <w:lastRenderedPageBreak/>
        <w:t>uznaje</w:t>
      </w:r>
      <w:r w:rsidRPr="00FB00FE">
        <w:t>, że doszło do naruszenia art.</w:t>
      </w:r>
      <w:r w:rsidR="00605550">
        <w:t> </w:t>
      </w:r>
      <w:r w:rsidRPr="00FB00FE">
        <w:t>5 ust.</w:t>
      </w:r>
      <w:r w:rsidR="00605550">
        <w:t> </w:t>
      </w:r>
      <w:r w:rsidRPr="00FB00FE">
        <w:t>1 lit.</w:t>
      </w:r>
      <w:r w:rsidR="00605550">
        <w:t> </w:t>
      </w:r>
      <w:r w:rsidRPr="00FB00FE">
        <w:t>f Konwencji w</w:t>
      </w:r>
      <w:r w:rsidR="00605550">
        <w:t> </w:t>
      </w:r>
      <w:r w:rsidRPr="00FB00FE">
        <w:t>odniesieniu do skarżących dzieci;</w:t>
      </w:r>
    </w:p>
    <w:p w14:paraId="2A02A49D" w14:textId="77777777" w:rsidR="00626381" w:rsidRPr="00FB00FE" w:rsidRDefault="000F09E7" w:rsidP="00B4318F">
      <w:pPr>
        <w:pStyle w:val="JuList"/>
        <w:rPr>
          <w:i/>
        </w:rPr>
      </w:pPr>
      <w:r w:rsidRPr="00FB00FE">
        <w:rPr>
          <w:i/>
          <w:iCs/>
        </w:rPr>
        <w:t>uznaje</w:t>
      </w:r>
    </w:p>
    <w:p w14:paraId="4271E118" w14:textId="06386481" w:rsidR="00EE3BF1" w:rsidRPr="00FB00FE" w:rsidRDefault="00EE3BF1" w:rsidP="00B4318F">
      <w:pPr>
        <w:pStyle w:val="JuLista"/>
      </w:pPr>
      <w:r w:rsidRPr="00FB00FE">
        <w:t>że pozwane państwo winno, w terminie trzech miesięcy od daty, w</w:t>
      </w:r>
      <w:r w:rsidR="00605550">
        <w:t> </w:t>
      </w:r>
      <w:r w:rsidRPr="00FB00FE">
        <w:t>której niniejszy wyrok stanie się ostateczny zgodnie z art.</w:t>
      </w:r>
      <w:r w:rsidR="00605550">
        <w:t> </w:t>
      </w:r>
      <w:r w:rsidRPr="00FB00FE">
        <w:t>44 ust.</w:t>
      </w:r>
      <w:r w:rsidR="00605550">
        <w:t> </w:t>
      </w:r>
      <w:r w:rsidRPr="00FB00FE">
        <w:t xml:space="preserve">2 Konwencji, uiścić na rzecz skarżących dzieci łączną kwotę </w:t>
      </w:r>
      <w:r w:rsidR="00605550">
        <w:t>w</w:t>
      </w:r>
      <w:r w:rsidR="00B6245D">
        <w:t> </w:t>
      </w:r>
      <w:r w:rsidR="00605550">
        <w:t xml:space="preserve">wysokości </w:t>
      </w:r>
      <w:r w:rsidRPr="00FB00FE">
        <w:t>10 700 EUR (dziesięć tysięcy siedemset euro) tytułem zadośćuczynienia za szkodę niemajątkową, przeliczoną na walutę pozwanego państwa według kursu obowiązującego w dniu płatności;</w:t>
      </w:r>
    </w:p>
    <w:p w14:paraId="25D52931" w14:textId="77777777" w:rsidR="00763885" w:rsidRPr="00FB00FE" w:rsidRDefault="000F09E7" w:rsidP="00B4318F">
      <w:pPr>
        <w:pStyle w:val="JuLista"/>
      </w:pPr>
      <w:r w:rsidRPr="00FB00FE">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7D99FD9C" w14:textId="56B9AAC5" w:rsidR="000F09E7" w:rsidRPr="00FB00FE" w:rsidRDefault="000F09E7" w:rsidP="00B4318F">
      <w:pPr>
        <w:pStyle w:val="JuParaLast"/>
      </w:pPr>
      <w:r w:rsidRPr="00FB00FE">
        <w:t xml:space="preserve">Sporządzono w języku francuskim i obwieszczono pisemnie </w:t>
      </w:r>
      <w:r w:rsidR="005B60AC">
        <w:t xml:space="preserve">w dniu </w:t>
      </w:r>
      <w:r w:rsidRPr="00FB00FE">
        <w:t>26</w:t>
      </w:r>
      <w:r w:rsidR="00B6245D">
        <w:t> </w:t>
      </w:r>
      <w:r w:rsidRPr="00FB00FE">
        <w:t>marca 2020</w:t>
      </w:r>
      <w:r w:rsidR="005B60AC">
        <w:t> </w:t>
      </w:r>
      <w:r w:rsidRPr="00FB00FE">
        <w:t xml:space="preserve">r., zgodnie z </w:t>
      </w:r>
      <w:r w:rsidR="005B60AC">
        <w:t>R</w:t>
      </w:r>
      <w:r w:rsidRPr="00FB00FE">
        <w:t>egułą 77 §§</w:t>
      </w:r>
      <w:r w:rsidR="005B60AC">
        <w:t> </w:t>
      </w:r>
      <w:r w:rsidRPr="00FB00FE">
        <w:t>2 i 3 Regulaminu Trybunału.</w:t>
      </w:r>
    </w:p>
    <w:p w14:paraId="17A34E73" w14:textId="77777777" w:rsidR="00AD61DB" w:rsidRPr="00FB00FE" w:rsidRDefault="009D4FDA" w:rsidP="00B4318F">
      <w:pPr>
        <w:pStyle w:val="JuSigned"/>
      </w:pPr>
      <w:r w:rsidRPr="00FB00FE">
        <w:tab/>
        <w:t>Renata Degener</w:t>
      </w:r>
      <w:r w:rsidRPr="00FB00FE">
        <w:tab/>
        <w:t>Ksenija Turković</w:t>
      </w:r>
      <w:r w:rsidRPr="00FB00FE">
        <w:br/>
      </w:r>
      <w:r w:rsidRPr="00FB00FE">
        <w:tab/>
        <w:t>Zastępca Kanclerza</w:t>
      </w:r>
      <w:r w:rsidRPr="00FB00FE">
        <w:tab/>
        <w:t>Przewodnicząca</w:t>
      </w:r>
    </w:p>
    <w:p w14:paraId="6F054028" w14:textId="77777777" w:rsidR="00AD61DB" w:rsidRPr="00FB00FE" w:rsidRDefault="00AD61DB" w:rsidP="00B4318F">
      <w:pPr>
        <w:pStyle w:val="JuSigned"/>
      </w:pPr>
    </w:p>
    <w:p w14:paraId="377B2915" w14:textId="77777777" w:rsidR="00737922" w:rsidRPr="00FB00FE" w:rsidRDefault="00DE7E97" w:rsidP="00B4318F">
      <w:pPr>
        <w:pStyle w:val="JuPara"/>
        <w:keepNext/>
        <w:keepLines/>
        <w:jc w:val="center"/>
      </w:pPr>
      <w:r w:rsidRPr="00FB00FE">
        <w:t>ZAŁĄCZNIK</w:t>
      </w:r>
    </w:p>
    <w:p w14:paraId="0AE3C97F" w14:textId="77777777" w:rsidR="00DE7E97" w:rsidRPr="00FB00FE" w:rsidRDefault="00DE7E97" w:rsidP="00B4318F">
      <w:pPr>
        <w:pStyle w:val="JuPara"/>
        <w:keepNext/>
        <w:keepLines/>
      </w:pPr>
    </w:p>
    <w:p w14:paraId="5FB5CFD2" w14:textId="77777777" w:rsidR="00DE7E97" w:rsidRPr="00FB00FE" w:rsidRDefault="00DE7E97" w:rsidP="00B4318F">
      <w:pPr>
        <w:pStyle w:val="JuPara"/>
        <w:keepNext/>
        <w:keepLines/>
      </w:pPr>
    </w:p>
    <w:tbl>
      <w:tblPr>
        <w:tblStyle w:val="ECHRListTable"/>
        <w:tblW w:w="4750" w:type="pct"/>
        <w:tblLook w:val="05E0" w:firstRow="1" w:lastRow="1" w:firstColumn="1" w:lastColumn="1" w:noHBand="0" w:noVBand="1"/>
      </w:tblPr>
      <w:tblGrid>
        <w:gridCol w:w="570"/>
        <w:gridCol w:w="2490"/>
        <w:gridCol w:w="1618"/>
        <w:gridCol w:w="2303"/>
      </w:tblGrid>
      <w:tr w:rsidR="005B3F3F" w:rsidRPr="00FB00FE" w14:paraId="22DFA083" w14:textId="77777777" w:rsidTr="0057520F">
        <w:trPr>
          <w:cnfStyle w:val="100000000000" w:firstRow="1" w:lastRow="0" w:firstColumn="0" w:lastColumn="0" w:oddVBand="0" w:evenVBand="0" w:oddHBand="0" w:evenHBand="0" w:firstRowFirstColumn="0" w:firstRowLastColumn="0" w:lastRowFirstColumn="0" w:lastRowLastColumn="0"/>
        </w:trPr>
        <w:tc>
          <w:tcPr>
            <w:tcW w:w="335" w:type="pct"/>
          </w:tcPr>
          <w:p w14:paraId="5CF29E74" w14:textId="77777777" w:rsidR="005B3F3F" w:rsidRPr="00FB00FE" w:rsidRDefault="005B3F3F" w:rsidP="00B4318F">
            <w:pPr>
              <w:pStyle w:val="JuPara"/>
              <w:keepNext/>
              <w:keepLines/>
              <w:ind w:firstLine="0"/>
              <w:jc w:val="left"/>
            </w:pPr>
            <w:r w:rsidRPr="00FB00FE">
              <w:t>Lp.</w:t>
            </w:r>
          </w:p>
        </w:tc>
        <w:tc>
          <w:tcPr>
            <w:tcW w:w="1808" w:type="pct"/>
          </w:tcPr>
          <w:p w14:paraId="62B5A8F2" w14:textId="798293F6" w:rsidR="005B3F3F" w:rsidRPr="00FB00FE" w:rsidRDefault="005B3F3F" w:rsidP="00B4318F">
            <w:pPr>
              <w:pStyle w:val="JuPara"/>
              <w:keepNext/>
              <w:keepLines/>
              <w:ind w:firstLine="0"/>
              <w:jc w:val="left"/>
            </w:pPr>
            <w:r w:rsidRPr="00FB00FE">
              <w:t>Imię</w:t>
            </w:r>
            <w:r w:rsidR="00FB00FE">
              <w:t>,</w:t>
            </w:r>
            <w:r w:rsidRPr="00FB00FE">
              <w:t xml:space="preserve"> NAZWISKO</w:t>
            </w:r>
          </w:p>
        </w:tc>
        <w:tc>
          <w:tcPr>
            <w:tcW w:w="1183" w:type="pct"/>
          </w:tcPr>
          <w:p w14:paraId="6E1F3FD3" w14:textId="77777777" w:rsidR="005B3F3F" w:rsidRPr="00FB00FE" w:rsidRDefault="005B3F3F" w:rsidP="00B4318F">
            <w:pPr>
              <w:pStyle w:val="JuPara"/>
              <w:keepNext/>
              <w:keepLines/>
              <w:ind w:firstLine="0"/>
              <w:jc w:val="left"/>
            </w:pPr>
            <w:r w:rsidRPr="00FB00FE">
              <w:t>Rok urodzenia</w:t>
            </w:r>
          </w:p>
        </w:tc>
        <w:tc>
          <w:tcPr>
            <w:tcW w:w="1674" w:type="pct"/>
          </w:tcPr>
          <w:p w14:paraId="3FE081C8" w14:textId="77777777" w:rsidR="005B3F3F" w:rsidRPr="00FB00FE" w:rsidRDefault="005B3F3F" w:rsidP="00B4318F">
            <w:pPr>
              <w:pStyle w:val="JuPara"/>
              <w:keepNext/>
              <w:keepLines/>
              <w:ind w:firstLine="0"/>
              <w:jc w:val="left"/>
            </w:pPr>
            <w:r w:rsidRPr="00FB00FE">
              <w:t>Obywatelstwo</w:t>
            </w:r>
          </w:p>
        </w:tc>
      </w:tr>
      <w:tr w:rsidR="00350EF2" w:rsidRPr="00FB00FE" w14:paraId="5106D62E" w14:textId="77777777" w:rsidTr="0057520F">
        <w:tc>
          <w:tcPr>
            <w:tcW w:w="335" w:type="pct"/>
          </w:tcPr>
          <w:p w14:paraId="781D86AC" w14:textId="77777777" w:rsidR="00350EF2" w:rsidRPr="00FB00FE" w:rsidRDefault="00350EF2" w:rsidP="00B4318F">
            <w:pPr>
              <w:pStyle w:val="JuPara"/>
              <w:keepNext/>
              <w:keepLines/>
              <w:numPr>
                <w:ilvl w:val="0"/>
                <w:numId w:val="1"/>
              </w:numPr>
              <w:jc w:val="left"/>
              <w:rPr>
                <w:b/>
              </w:rPr>
            </w:pPr>
          </w:p>
        </w:tc>
        <w:tc>
          <w:tcPr>
            <w:tcW w:w="1808" w:type="pct"/>
          </w:tcPr>
          <w:p w14:paraId="1FC46075" w14:textId="77777777" w:rsidR="00350EF2" w:rsidRPr="00FB00FE" w:rsidRDefault="00350EF2" w:rsidP="00B4318F">
            <w:pPr>
              <w:pStyle w:val="JuPara"/>
              <w:keepNext/>
              <w:keepLines/>
              <w:ind w:firstLine="0"/>
              <w:jc w:val="left"/>
            </w:pPr>
            <w:r w:rsidRPr="00FB00FE">
              <w:t>Dagmara Bilalova</w:t>
            </w:r>
          </w:p>
        </w:tc>
        <w:tc>
          <w:tcPr>
            <w:tcW w:w="1183" w:type="pct"/>
          </w:tcPr>
          <w:p w14:paraId="4BB5389A" w14:textId="77777777" w:rsidR="00350EF2" w:rsidRPr="00FB00FE" w:rsidRDefault="00350EF2" w:rsidP="00B4318F">
            <w:pPr>
              <w:pStyle w:val="JuPara"/>
              <w:keepNext/>
              <w:keepLines/>
              <w:ind w:firstLine="0"/>
              <w:jc w:val="left"/>
            </w:pPr>
            <w:r w:rsidRPr="00FB00FE">
              <w:t>19.03.1982 r.</w:t>
            </w:r>
          </w:p>
        </w:tc>
        <w:tc>
          <w:tcPr>
            <w:tcW w:w="1674" w:type="pct"/>
          </w:tcPr>
          <w:p w14:paraId="02494C75" w14:textId="77777777" w:rsidR="00350EF2" w:rsidRPr="00FB00FE" w:rsidRDefault="00350EF2" w:rsidP="00B4318F">
            <w:pPr>
              <w:pStyle w:val="JuPara"/>
              <w:keepNext/>
              <w:keepLines/>
              <w:ind w:firstLine="0"/>
              <w:jc w:val="left"/>
            </w:pPr>
            <w:r w:rsidRPr="00FB00FE">
              <w:t>rosyjskie</w:t>
            </w:r>
          </w:p>
        </w:tc>
      </w:tr>
      <w:tr w:rsidR="005B3F3F" w:rsidRPr="00FB00FE" w14:paraId="19D624E0" w14:textId="77777777" w:rsidTr="0057520F">
        <w:tc>
          <w:tcPr>
            <w:tcW w:w="335" w:type="pct"/>
          </w:tcPr>
          <w:p w14:paraId="0E538CF7" w14:textId="77777777" w:rsidR="005B3F3F" w:rsidRPr="00FB00FE" w:rsidRDefault="005B3F3F" w:rsidP="00B4318F">
            <w:pPr>
              <w:pStyle w:val="JuPara"/>
              <w:keepNext/>
              <w:keepLines/>
              <w:numPr>
                <w:ilvl w:val="0"/>
                <w:numId w:val="1"/>
              </w:numPr>
              <w:jc w:val="left"/>
              <w:rPr>
                <w:b/>
              </w:rPr>
            </w:pPr>
          </w:p>
        </w:tc>
        <w:tc>
          <w:tcPr>
            <w:tcW w:w="1808" w:type="pct"/>
          </w:tcPr>
          <w:p w14:paraId="36539993" w14:textId="77777777" w:rsidR="005B3F3F" w:rsidRPr="00FB00FE" w:rsidRDefault="005B3F3F" w:rsidP="00B4318F">
            <w:pPr>
              <w:pStyle w:val="JuPara"/>
              <w:keepNext/>
              <w:keepLines/>
              <w:ind w:firstLine="0"/>
              <w:jc w:val="left"/>
            </w:pPr>
            <w:r w:rsidRPr="00FB00FE">
              <w:t>Zalina Bilalova</w:t>
            </w:r>
          </w:p>
        </w:tc>
        <w:tc>
          <w:tcPr>
            <w:tcW w:w="1183" w:type="pct"/>
          </w:tcPr>
          <w:p w14:paraId="40377EEF" w14:textId="77777777" w:rsidR="005B3F3F" w:rsidRPr="00FB00FE" w:rsidRDefault="005B3F3F" w:rsidP="00B4318F">
            <w:pPr>
              <w:pStyle w:val="JuPara"/>
              <w:keepNext/>
              <w:keepLines/>
              <w:ind w:firstLine="0"/>
              <w:jc w:val="left"/>
            </w:pPr>
            <w:r w:rsidRPr="00FB00FE">
              <w:t>03.02.2010 r.</w:t>
            </w:r>
          </w:p>
        </w:tc>
        <w:tc>
          <w:tcPr>
            <w:tcW w:w="1674" w:type="pct"/>
          </w:tcPr>
          <w:p w14:paraId="2C0D6B32" w14:textId="77777777" w:rsidR="005B3F3F" w:rsidRPr="00FB00FE" w:rsidRDefault="005B3F3F" w:rsidP="00B4318F">
            <w:pPr>
              <w:pStyle w:val="JuPara"/>
              <w:keepNext/>
              <w:keepLines/>
              <w:ind w:right="-674" w:firstLine="0"/>
              <w:jc w:val="left"/>
            </w:pPr>
            <w:r w:rsidRPr="00FB00FE">
              <w:t>rosyjskie</w:t>
            </w:r>
          </w:p>
        </w:tc>
      </w:tr>
      <w:tr w:rsidR="005B3F3F" w:rsidRPr="00FB00FE" w14:paraId="4C145DA5" w14:textId="77777777" w:rsidTr="0057520F">
        <w:tc>
          <w:tcPr>
            <w:tcW w:w="335" w:type="pct"/>
          </w:tcPr>
          <w:p w14:paraId="47515255" w14:textId="77777777" w:rsidR="005B3F3F" w:rsidRPr="00FB00FE" w:rsidRDefault="005B3F3F" w:rsidP="00B4318F">
            <w:pPr>
              <w:pStyle w:val="JuPara"/>
              <w:keepNext/>
              <w:keepLines/>
              <w:numPr>
                <w:ilvl w:val="0"/>
                <w:numId w:val="1"/>
              </w:numPr>
              <w:jc w:val="left"/>
              <w:rPr>
                <w:b/>
              </w:rPr>
            </w:pPr>
          </w:p>
        </w:tc>
        <w:tc>
          <w:tcPr>
            <w:tcW w:w="1808" w:type="pct"/>
          </w:tcPr>
          <w:p w14:paraId="15D0601F" w14:textId="77777777" w:rsidR="005B3F3F" w:rsidRPr="00FB00FE" w:rsidRDefault="005B3F3F" w:rsidP="00B4318F">
            <w:pPr>
              <w:pStyle w:val="JuPara"/>
              <w:keepNext/>
              <w:keepLines/>
              <w:ind w:firstLine="0"/>
              <w:jc w:val="left"/>
            </w:pPr>
            <w:r w:rsidRPr="00FB00FE">
              <w:t>Zukhra Bilalova</w:t>
            </w:r>
          </w:p>
        </w:tc>
        <w:tc>
          <w:tcPr>
            <w:tcW w:w="1183" w:type="pct"/>
          </w:tcPr>
          <w:p w14:paraId="7604458C" w14:textId="77777777" w:rsidR="005B3F3F" w:rsidRPr="00FB00FE" w:rsidRDefault="005B3F3F" w:rsidP="00B4318F">
            <w:pPr>
              <w:pStyle w:val="JuPara"/>
              <w:keepNext/>
              <w:keepLines/>
              <w:ind w:firstLine="0"/>
              <w:jc w:val="left"/>
            </w:pPr>
            <w:r w:rsidRPr="00FB00FE">
              <w:t>10.01.2009 r.</w:t>
            </w:r>
          </w:p>
        </w:tc>
        <w:tc>
          <w:tcPr>
            <w:tcW w:w="1674" w:type="pct"/>
          </w:tcPr>
          <w:p w14:paraId="1CED0638" w14:textId="77777777" w:rsidR="005B3F3F" w:rsidRPr="00FB00FE" w:rsidRDefault="005B3F3F" w:rsidP="00B4318F">
            <w:pPr>
              <w:pStyle w:val="JuPara"/>
              <w:keepNext/>
              <w:keepLines/>
              <w:ind w:firstLine="0"/>
              <w:jc w:val="left"/>
            </w:pPr>
            <w:r w:rsidRPr="00FB00FE">
              <w:t>rosyjskie</w:t>
            </w:r>
          </w:p>
        </w:tc>
      </w:tr>
      <w:tr w:rsidR="005B3F3F" w:rsidRPr="00FB00FE" w14:paraId="6529ECAA" w14:textId="77777777" w:rsidTr="0057520F">
        <w:tc>
          <w:tcPr>
            <w:tcW w:w="335" w:type="pct"/>
          </w:tcPr>
          <w:p w14:paraId="445971D6" w14:textId="77777777" w:rsidR="005B3F3F" w:rsidRPr="00FB00FE" w:rsidRDefault="005B3F3F" w:rsidP="00B4318F">
            <w:pPr>
              <w:pStyle w:val="JuPara"/>
              <w:keepNext/>
              <w:keepLines/>
              <w:numPr>
                <w:ilvl w:val="0"/>
                <w:numId w:val="1"/>
              </w:numPr>
              <w:jc w:val="left"/>
              <w:rPr>
                <w:b/>
              </w:rPr>
            </w:pPr>
          </w:p>
        </w:tc>
        <w:tc>
          <w:tcPr>
            <w:tcW w:w="1808" w:type="pct"/>
          </w:tcPr>
          <w:p w14:paraId="3670F1FD" w14:textId="77777777" w:rsidR="005B3F3F" w:rsidRPr="00FB00FE" w:rsidRDefault="005B3F3F" w:rsidP="00B4318F">
            <w:pPr>
              <w:pStyle w:val="JuPara"/>
              <w:keepNext/>
              <w:keepLines/>
              <w:ind w:firstLine="0"/>
              <w:jc w:val="left"/>
            </w:pPr>
            <w:r w:rsidRPr="00FB00FE">
              <w:t>Akhiad Bilalov</w:t>
            </w:r>
          </w:p>
        </w:tc>
        <w:tc>
          <w:tcPr>
            <w:tcW w:w="1183" w:type="pct"/>
          </w:tcPr>
          <w:p w14:paraId="2600492F" w14:textId="77777777" w:rsidR="005B3F3F" w:rsidRPr="00FB00FE" w:rsidRDefault="005B3F3F" w:rsidP="00B4318F">
            <w:pPr>
              <w:pStyle w:val="JuPara"/>
              <w:keepNext/>
              <w:keepLines/>
              <w:ind w:firstLine="0"/>
              <w:jc w:val="left"/>
            </w:pPr>
            <w:r w:rsidRPr="00FB00FE">
              <w:t>15.01.2008 r.</w:t>
            </w:r>
          </w:p>
        </w:tc>
        <w:tc>
          <w:tcPr>
            <w:tcW w:w="1674" w:type="pct"/>
          </w:tcPr>
          <w:p w14:paraId="7404547B" w14:textId="77777777" w:rsidR="005B3F3F" w:rsidRPr="00FB00FE" w:rsidRDefault="005B3F3F" w:rsidP="00B4318F">
            <w:pPr>
              <w:pStyle w:val="JuPara"/>
              <w:keepNext/>
              <w:keepLines/>
              <w:ind w:firstLine="0"/>
              <w:jc w:val="left"/>
            </w:pPr>
            <w:r w:rsidRPr="00FB00FE">
              <w:t>rosyjskie</w:t>
            </w:r>
          </w:p>
        </w:tc>
      </w:tr>
      <w:tr w:rsidR="005B3F3F" w:rsidRPr="00FB00FE" w14:paraId="13B2D3ED" w14:textId="77777777" w:rsidTr="0057520F">
        <w:tc>
          <w:tcPr>
            <w:tcW w:w="335" w:type="pct"/>
          </w:tcPr>
          <w:p w14:paraId="14692AE0" w14:textId="77777777" w:rsidR="005B3F3F" w:rsidRPr="00FB00FE" w:rsidRDefault="005B3F3F" w:rsidP="00B4318F">
            <w:pPr>
              <w:pStyle w:val="JuPara"/>
              <w:keepNext/>
              <w:keepLines/>
              <w:numPr>
                <w:ilvl w:val="0"/>
                <w:numId w:val="1"/>
              </w:numPr>
              <w:jc w:val="left"/>
              <w:rPr>
                <w:b/>
              </w:rPr>
            </w:pPr>
          </w:p>
        </w:tc>
        <w:tc>
          <w:tcPr>
            <w:tcW w:w="1808" w:type="pct"/>
          </w:tcPr>
          <w:p w14:paraId="219E832E" w14:textId="77777777" w:rsidR="005B3F3F" w:rsidRPr="00FB00FE" w:rsidRDefault="005B3F3F" w:rsidP="00B4318F">
            <w:pPr>
              <w:pStyle w:val="JuPara"/>
              <w:keepNext/>
              <w:keepLines/>
              <w:ind w:firstLine="0"/>
              <w:jc w:val="left"/>
            </w:pPr>
            <w:r w:rsidRPr="00FB00FE">
              <w:t>Akhmed Bilalov</w:t>
            </w:r>
          </w:p>
        </w:tc>
        <w:tc>
          <w:tcPr>
            <w:tcW w:w="1183" w:type="pct"/>
          </w:tcPr>
          <w:p w14:paraId="591B5134" w14:textId="77777777" w:rsidR="005B3F3F" w:rsidRPr="00FB00FE" w:rsidRDefault="005B3F3F" w:rsidP="00B4318F">
            <w:pPr>
              <w:pStyle w:val="JuPara"/>
              <w:keepNext/>
              <w:keepLines/>
              <w:ind w:firstLine="0"/>
              <w:jc w:val="left"/>
            </w:pPr>
            <w:r w:rsidRPr="00FB00FE">
              <w:t>26.06.2006 r.</w:t>
            </w:r>
          </w:p>
        </w:tc>
        <w:tc>
          <w:tcPr>
            <w:tcW w:w="1674" w:type="pct"/>
          </w:tcPr>
          <w:p w14:paraId="08071B66" w14:textId="77777777" w:rsidR="005B3F3F" w:rsidRPr="00FB00FE" w:rsidRDefault="005B3F3F" w:rsidP="00B4318F">
            <w:pPr>
              <w:pStyle w:val="JuPara"/>
              <w:keepNext/>
              <w:keepLines/>
              <w:ind w:firstLine="0"/>
              <w:jc w:val="left"/>
            </w:pPr>
            <w:r w:rsidRPr="00FB00FE">
              <w:t>rosyjskie</w:t>
            </w:r>
          </w:p>
        </w:tc>
      </w:tr>
      <w:tr w:rsidR="005B3F3F" w:rsidRPr="00FB00FE" w14:paraId="72878781" w14:textId="77777777" w:rsidTr="0057520F">
        <w:tc>
          <w:tcPr>
            <w:tcW w:w="335" w:type="pct"/>
          </w:tcPr>
          <w:p w14:paraId="4E78E398" w14:textId="77777777" w:rsidR="005B3F3F" w:rsidRPr="00FB00FE" w:rsidRDefault="005B3F3F" w:rsidP="00B4318F">
            <w:pPr>
              <w:pStyle w:val="JuPara"/>
              <w:keepNext/>
              <w:keepLines/>
              <w:numPr>
                <w:ilvl w:val="0"/>
                <w:numId w:val="1"/>
              </w:numPr>
              <w:jc w:val="left"/>
              <w:rPr>
                <w:b/>
              </w:rPr>
            </w:pPr>
          </w:p>
        </w:tc>
        <w:tc>
          <w:tcPr>
            <w:tcW w:w="1808" w:type="pct"/>
          </w:tcPr>
          <w:p w14:paraId="0EC0166A" w14:textId="77777777" w:rsidR="005B3F3F" w:rsidRPr="00FB00FE" w:rsidRDefault="005B3F3F" w:rsidP="00B4318F">
            <w:pPr>
              <w:pStyle w:val="JuPara"/>
              <w:keepNext/>
              <w:keepLines/>
              <w:ind w:firstLine="0"/>
              <w:jc w:val="left"/>
            </w:pPr>
            <w:r w:rsidRPr="00FB00FE">
              <w:t>Liana Bilalova</w:t>
            </w:r>
          </w:p>
        </w:tc>
        <w:tc>
          <w:tcPr>
            <w:tcW w:w="1183" w:type="pct"/>
          </w:tcPr>
          <w:p w14:paraId="7A288BF7" w14:textId="77777777" w:rsidR="005B3F3F" w:rsidRPr="00FB00FE" w:rsidRDefault="005B3F3F" w:rsidP="00B4318F">
            <w:pPr>
              <w:pStyle w:val="JuPara"/>
              <w:keepNext/>
              <w:keepLines/>
              <w:ind w:firstLine="0"/>
              <w:jc w:val="left"/>
            </w:pPr>
            <w:r w:rsidRPr="00FB00FE">
              <w:t>02.12.2004 r.</w:t>
            </w:r>
          </w:p>
        </w:tc>
        <w:tc>
          <w:tcPr>
            <w:tcW w:w="1674" w:type="pct"/>
          </w:tcPr>
          <w:p w14:paraId="008E6A10" w14:textId="77777777" w:rsidR="005B3F3F" w:rsidRPr="00FB00FE" w:rsidRDefault="005B3F3F" w:rsidP="00B4318F">
            <w:pPr>
              <w:pStyle w:val="JuPara"/>
              <w:keepNext/>
              <w:keepLines/>
              <w:ind w:firstLine="0"/>
              <w:jc w:val="left"/>
            </w:pPr>
            <w:r w:rsidRPr="00FB00FE">
              <w:t>rosyjskie</w:t>
            </w:r>
          </w:p>
        </w:tc>
      </w:tr>
    </w:tbl>
    <w:p w14:paraId="546659B2" w14:textId="77777777" w:rsidR="005B3F3F" w:rsidRPr="00FB00FE" w:rsidRDefault="005B3F3F" w:rsidP="00B4318F">
      <w:pPr>
        <w:pStyle w:val="JuPara"/>
        <w:keepNext/>
        <w:keepLines/>
      </w:pPr>
    </w:p>
    <w:sectPr w:rsidR="005B3F3F" w:rsidRPr="00FB00FE" w:rsidSect="008E57EC">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31CDC1" w14:textId="77777777" w:rsidR="00B5743F" w:rsidRPr="001C3AE1" w:rsidRDefault="00B5743F" w:rsidP="00E77CB3">
      <w:r w:rsidRPr="001C3AE1">
        <w:separator/>
      </w:r>
    </w:p>
  </w:endnote>
  <w:endnote w:type="continuationSeparator" w:id="0">
    <w:p w14:paraId="7F4DCE72" w14:textId="77777777" w:rsidR="00B5743F" w:rsidRPr="001C3AE1" w:rsidRDefault="00B5743F" w:rsidP="00E77CB3">
      <w:r w:rsidRPr="001C3A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7284670"/>
      <w:docPartObj>
        <w:docPartGallery w:val="Page Numbers (Bottom of Page)"/>
        <w:docPartUnique/>
      </w:docPartObj>
    </w:sdtPr>
    <w:sdtEndPr/>
    <w:sdtContent>
      <w:p w14:paraId="6747DF40" w14:textId="6784602D" w:rsidR="00C43CE0" w:rsidRDefault="00C43CE0" w:rsidP="002518DE">
        <w:pPr>
          <w:pStyle w:val="Stopka"/>
        </w:pPr>
        <w:r>
          <w:tab/>
        </w:r>
        <w:r w:rsidRPr="00426D64">
          <w:rPr>
            <w:sz w:val="18"/>
            <w:szCs w:val="18"/>
          </w:rPr>
          <w:fldChar w:fldCharType="begin"/>
        </w:r>
        <w:r w:rsidRPr="00426D64">
          <w:rPr>
            <w:sz w:val="18"/>
            <w:szCs w:val="18"/>
          </w:rPr>
          <w:instrText xml:space="preserve"> PAGE </w:instrText>
        </w:r>
        <w:r w:rsidRPr="00426D64">
          <w:rPr>
            <w:sz w:val="18"/>
            <w:szCs w:val="18"/>
          </w:rPr>
          <w:fldChar w:fldCharType="separate"/>
        </w:r>
        <w:r w:rsidR="00605550">
          <w:rPr>
            <w:noProof/>
            <w:sz w:val="18"/>
            <w:szCs w:val="18"/>
          </w:rPr>
          <w:t>18</w:t>
        </w:r>
        <w:r w:rsidRPr="00426D64">
          <w:rPr>
            <w:sz w:val="18"/>
            <w:szCs w:val="18"/>
          </w:rPr>
          <w:fldChar w:fldCharType="end"/>
        </w:r>
      </w:p>
    </w:sdtContent>
  </w:sdt>
  <w:p w14:paraId="4B4C882B" w14:textId="77777777" w:rsidR="00C43CE0" w:rsidRDefault="00C43CE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6710962"/>
      <w:docPartObj>
        <w:docPartGallery w:val="Page Numbers (Bottom of Page)"/>
        <w:docPartUnique/>
      </w:docPartObj>
    </w:sdtPr>
    <w:sdtEndPr/>
    <w:sdtContent>
      <w:p w14:paraId="687088A1" w14:textId="05C42B60" w:rsidR="00C43CE0" w:rsidRDefault="00C43CE0" w:rsidP="002518DE">
        <w:pPr>
          <w:pStyle w:val="Stopka"/>
        </w:pPr>
        <w:r>
          <w:tab/>
        </w:r>
        <w:r w:rsidRPr="00426D64">
          <w:rPr>
            <w:sz w:val="18"/>
            <w:szCs w:val="18"/>
          </w:rPr>
          <w:fldChar w:fldCharType="begin"/>
        </w:r>
        <w:r w:rsidRPr="00426D64">
          <w:rPr>
            <w:sz w:val="18"/>
            <w:szCs w:val="18"/>
          </w:rPr>
          <w:instrText xml:space="preserve"> PAGE </w:instrText>
        </w:r>
        <w:r w:rsidRPr="00426D64">
          <w:rPr>
            <w:sz w:val="18"/>
            <w:szCs w:val="18"/>
          </w:rPr>
          <w:fldChar w:fldCharType="separate"/>
        </w:r>
        <w:r w:rsidR="00605550">
          <w:rPr>
            <w:noProof/>
            <w:sz w:val="18"/>
            <w:szCs w:val="18"/>
          </w:rPr>
          <w:t>17</w:t>
        </w:r>
        <w:r w:rsidRPr="00426D64">
          <w:rPr>
            <w:sz w:val="18"/>
            <w:szCs w:val="18"/>
          </w:rPr>
          <w:fldChar w:fldCharType="end"/>
        </w:r>
      </w:p>
    </w:sdtContent>
  </w:sdt>
  <w:p w14:paraId="40366E64" w14:textId="77777777" w:rsidR="00C43CE0" w:rsidRDefault="00C43CE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53900" w14:textId="77777777" w:rsidR="00C43CE0" w:rsidRPr="00150BFA" w:rsidRDefault="00C43CE0" w:rsidP="00763885">
    <w:pPr>
      <w:jc w:val="center"/>
    </w:pPr>
    <w:r>
      <w:rPr>
        <w:noProof/>
        <w:lang w:eastAsia="pl-PL"/>
      </w:rPr>
      <w:drawing>
        <wp:inline distT="0" distB="0" distL="0" distR="0" wp14:anchorId="6E1A35D9" wp14:editId="7E90B3C0">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D28B7E6" w14:textId="77777777" w:rsidR="00C43CE0" w:rsidRDefault="00C43C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05BE3B" w14:textId="77777777" w:rsidR="00B5743F" w:rsidRPr="001C3AE1" w:rsidRDefault="00B5743F" w:rsidP="00E77CB3">
      <w:r w:rsidRPr="001C3AE1">
        <w:separator/>
      </w:r>
    </w:p>
  </w:footnote>
  <w:footnote w:type="continuationSeparator" w:id="0">
    <w:p w14:paraId="1FCA414F" w14:textId="77777777" w:rsidR="00B5743F" w:rsidRPr="001C3AE1" w:rsidRDefault="00B5743F" w:rsidP="00E77CB3">
      <w:r w:rsidRPr="001C3AE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12DBD" w14:textId="77777777" w:rsidR="00C43CE0" w:rsidRPr="00763885" w:rsidRDefault="00C43CE0" w:rsidP="00763885">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45D39" w14:textId="77777777" w:rsidR="00C43CE0" w:rsidRPr="00A45145" w:rsidRDefault="00C43CE0" w:rsidP="00763885">
    <w:pPr>
      <w:jc w:val="center"/>
    </w:pPr>
    <w:r>
      <w:rPr>
        <w:noProof/>
        <w:lang w:eastAsia="pl-PL"/>
      </w:rPr>
      <w:drawing>
        <wp:inline distT="0" distB="0" distL="0" distR="0" wp14:anchorId="357B280F" wp14:editId="50BC97D9">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24937E4" w14:textId="77777777" w:rsidR="00C43CE0" w:rsidRDefault="00C43CE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7FAA3" w14:textId="77777777" w:rsidR="00C43CE0" w:rsidRPr="00626381" w:rsidRDefault="00C43CE0" w:rsidP="00C611D8">
    <w:pPr>
      <w:pStyle w:val="JuHeader"/>
    </w:pPr>
    <w:r>
      <w:t>WYROK W SPRAWIE BILALOVA I INNI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2C3A4" w14:textId="77777777" w:rsidR="00C43CE0" w:rsidRPr="001C3AE1" w:rsidRDefault="00C43CE0" w:rsidP="00C63990">
    <w:pPr>
      <w:pStyle w:val="JuHeader"/>
    </w:pPr>
    <w:r>
      <w:t>WYROK W SPRAWIE BILALOVA I INNI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6A131985"/>
    <w:multiLevelType w:val="hybridMultilevel"/>
    <w:tmpl w:val="5A34ED7C"/>
    <w:lvl w:ilvl="0" w:tplc="12887050">
      <w:start w:val="1"/>
      <w:numFmt w:val="decimal"/>
      <w:lvlRestart w:val="0"/>
      <w:lvlText w:val="%1."/>
      <w:lvlJc w:val="left"/>
      <w:pPr>
        <w:tabs>
          <w:tab w:val="num" w:pos="0"/>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AwMLI0MLOwtLA0sLRQ0lEKTi0uzszPAykwrAUAQZgpxCwAAAA="/>
    <w:docVar w:name="EMM" w:val="0"/>
    <w:docVar w:name="NBEMMDOC" w:val="0"/>
  </w:docVars>
  <w:rsids>
    <w:rsidRoot w:val="00D772BD"/>
    <w:rsid w:val="00003975"/>
    <w:rsid w:val="000041F8"/>
    <w:rsid w:val="000042A8"/>
    <w:rsid w:val="00004308"/>
    <w:rsid w:val="00005BF0"/>
    <w:rsid w:val="000067C2"/>
    <w:rsid w:val="00007154"/>
    <w:rsid w:val="00007A81"/>
    <w:rsid w:val="00010071"/>
    <w:rsid w:val="000103AE"/>
    <w:rsid w:val="00010874"/>
    <w:rsid w:val="00011D69"/>
    <w:rsid w:val="00012AD3"/>
    <w:rsid w:val="000139FE"/>
    <w:rsid w:val="00013BF7"/>
    <w:rsid w:val="000145A7"/>
    <w:rsid w:val="00015C2D"/>
    <w:rsid w:val="00015DB9"/>
    <w:rsid w:val="00015F00"/>
    <w:rsid w:val="00015F4C"/>
    <w:rsid w:val="00016811"/>
    <w:rsid w:val="00017509"/>
    <w:rsid w:val="00022C1D"/>
    <w:rsid w:val="0002351A"/>
    <w:rsid w:val="00023909"/>
    <w:rsid w:val="00025879"/>
    <w:rsid w:val="00026B0E"/>
    <w:rsid w:val="000303EA"/>
    <w:rsid w:val="00031347"/>
    <w:rsid w:val="0003208E"/>
    <w:rsid w:val="00034987"/>
    <w:rsid w:val="00035334"/>
    <w:rsid w:val="000404FA"/>
    <w:rsid w:val="000417A1"/>
    <w:rsid w:val="0004219E"/>
    <w:rsid w:val="00043A74"/>
    <w:rsid w:val="00044730"/>
    <w:rsid w:val="00045270"/>
    <w:rsid w:val="000532E1"/>
    <w:rsid w:val="00053707"/>
    <w:rsid w:val="000575B2"/>
    <w:rsid w:val="000602DF"/>
    <w:rsid w:val="00060790"/>
    <w:rsid w:val="00061135"/>
    <w:rsid w:val="00061B05"/>
    <w:rsid w:val="000620F0"/>
    <w:rsid w:val="000629BA"/>
    <w:rsid w:val="000632D5"/>
    <w:rsid w:val="000644EE"/>
    <w:rsid w:val="00065BED"/>
    <w:rsid w:val="00066A71"/>
    <w:rsid w:val="00066B79"/>
    <w:rsid w:val="0006777D"/>
    <w:rsid w:val="00075F76"/>
    <w:rsid w:val="00081A53"/>
    <w:rsid w:val="00081EA4"/>
    <w:rsid w:val="00084EC4"/>
    <w:rsid w:val="000863B7"/>
    <w:rsid w:val="000870E4"/>
    <w:rsid w:val="000900AA"/>
    <w:rsid w:val="0009177F"/>
    <w:rsid w:val="0009189B"/>
    <w:rsid w:val="00091E77"/>
    <w:rsid w:val="000925AD"/>
    <w:rsid w:val="0009271E"/>
    <w:rsid w:val="0009360F"/>
    <w:rsid w:val="000951D1"/>
    <w:rsid w:val="00096C77"/>
    <w:rsid w:val="00096ECA"/>
    <w:rsid w:val="000A2276"/>
    <w:rsid w:val="000A23C9"/>
    <w:rsid w:val="000A24EB"/>
    <w:rsid w:val="000A3343"/>
    <w:rsid w:val="000A3783"/>
    <w:rsid w:val="000A3E8F"/>
    <w:rsid w:val="000A42B2"/>
    <w:rsid w:val="000A6190"/>
    <w:rsid w:val="000B03C8"/>
    <w:rsid w:val="000B05D8"/>
    <w:rsid w:val="000B29A6"/>
    <w:rsid w:val="000B2C34"/>
    <w:rsid w:val="000B50F5"/>
    <w:rsid w:val="000B6923"/>
    <w:rsid w:val="000B69CD"/>
    <w:rsid w:val="000B701C"/>
    <w:rsid w:val="000B72EF"/>
    <w:rsid w:val="000B7AD0"/>
    <w:rsid w:val="000C127E"/>
    <w:rsid w:val="000C5F3C"/>
    <w:rsid w:val="000C6284"/>
    <w:rsid w:val="000C6628"/>
    <w:rsid w:val="000C6DCC"/>
    <w:rsid w:val="000C70E7"/>
    <w:rsid w:val="000C71D9"/>
    <w:rsid w:val="000C7694"/>
    <w:rsid w:val="000D1AE6"/>
    <w:rsid w:val="000D47AA"/>
    <w:rsid w:val="000D55CA"/>
    <w:rsid w:val="000D56DB"/>
    <w:rsid w:val="000D721F"/>
    <w:rsid w:val="000E069B"/>
    <w:rsid w:val="000E0E82"/>
    <w:rsid w:val="000E0E97"/>
    <w:rsid w:val="000E1DC5"/>
    <w:rsid w:val="000E223F"/>
    <w:rsid w:val="000E466A"/>
    <w:rsid w:val="000E4AEE"/>
    <w:rsid w:val="000E5A6B"/>
    <w:rsid w:val="000E5C02"/>
    <w:rsid w:val="000E5C21"/>
    <w:rsid w:val="000E6F93"/>
    <w:rsid w:val="000E7D45"/>
    <w:rsid w:val="000F00EF"/>
    <w:rsid w:val="000F09E7"/>
    <w:rsid w:val="000F3DAF"/>
    <w:rsid w:val="000F6197"/>
    <w:rsid w:val="000F6F37"/>
    <w:rsid w:val="000F74DF"/>
    <w:rsid w:val="000F7851"/>
    <w:rsid w:val="00104E23"/>
    <w:rsid w:val="00106F7A"/>
    <w:rsid w:val="00111B0C"/>
    <w:rsid w:val="00114CD7"/>
    <w:rsid w:val="00116619"/>
    <w:rsid w:val="00116DC2"/>
    <w:rsid w:val="001172AA"/>
    <w:rsid w:val="001179B0"/>
    <w:rsid w:val="00120D6C"/>
    <w:rsid w:val="00124942"/>
    <w:rsid w:val="001257EC"/>
    <w:rsid w:val="00126005"/>
    <w:rsid w:val="0012600A"/>
    <w:rsid w:val="00126838"/>
    <w:rsid w:val="00126905"/>
    <w:rsid w:val="00127109"/>
    <w:rsid w:val="0012755B"/>
    <w:rsid w:val="00127EF0"/>
    <w:rsid w:val="0013042B"/>
    <w:rsid w:val="001312B1"/>
    <w:rsid w:val="00132695"/>
    <w:rsid w:val="00132B4F"/>
    <w:rsid w:val="00132C82"/>
    <w:rsid w:val="00133141"/>
    <w:rsid w:val="00133D33"/>
    <w:rsid w:val="00134D0B"/>
    <w:rsid w:val="00134D64"/>
    <w:rsid w:val="0013593D"/>
    <w:rsid w:val="00135A30"/>
    <w:rsid w:val="001360C6"/>
    <w:rsid w:val="0013612C"/>
    <w:rsid w:val="001362B8"/>
    <w:rsid w:val="00137FF6"/>
    <w:rsid w:val="00141650"/>
    <w:rsid w:val="00141CFC"/>
    <w:rsid w:val="001441F4"/>
    <w:rsid w:val="00150D43"/>
    <w:rsid w:val="00150EF4"/>
    <w:rsid w:val="001516A3"/>
    <w:rsid w:val="001521E3"/>
    <w:rsid w:val="00154090"/>
    <w:rsid w:val="001603CC"/>
    <w:rsid w:val="0016174F"/>
    <w:rsid w:val="001617A5"/>
    <w:rsid w:val="001619D7"/>
    <w:rsid w:val="00162A12"/>
    <w:rsid w:val="00162E18"/>
    <w:rsid w:val="00163CB4"/>
    <w:rsid w:val="00166530"/>
    <w:rsid w:val="0016788A"/>
    <w:rsid w:val="00173AD0"/>
    <w:rsid w:val="00173F34"/>
    <w:rsid w:val="001832BD"/>
    <w:rsid w:val="00185240"/>
    <w:rsid w:val="00190D66"/>
    <w:rsid w:val="00193B78"/>
    <w:rsid w:val="001943B5"/>
    <w:rsid w:val="00195134"/>
    <w:rsid w:val="0019607A"/>
    <w:rsid w:val="001A057D"/>
    <w:rsid w:val="001A13DF"/>
    <w:rsid w:val="001A145B"/>
    <w:rsid w:val="001A1885"/>
    <w:rsid w:val="001A3EF2"/>
    <w:rsid w:val="001A4527"/>
    <w:rsid w:val="001A4B93"/>
    <w:rsid w:val="001A611E"/>
    <w:rsid w:val="001A674C"/>
    <w:rsid w:val="001B0EAC"/>
    <w:rsid w:val="001B1027"/>
    <w:rsid w:val="001B16C9"/>
    <w:rsid w:val="001B3B24"/>
    <w:rsid w:val="001B475C"/>
    <w:rsid w:val="001B4D65"/>
    <w:rsid w:val="001B7851"/>
    <w:rsid w:val="001C03F7"/>
    <w:rsid w:val="001C0F98"/>
    <w:rsid w:val="001C2A42"/>
    <w:rsid w:val="001C3531"/>
    <w:rsid w:val="001C3AE1"/>
    <w:rsid w:val="001C41FA"/>
    <w:rsid w:val="001C5C41"/>
    <w:rsid w:val="001C6EDC"/>
    <w:rsid w:val="001D1C7C"/>
    <w:rsid w:val="001D373A"/>
    <w:rsid w:val="001D63ED"/>
    <w:rsid w:val="001D7348"/>
    <w:rsid w:val="001E035B"/>
    <w:rsid w:val="001E0961"/>
    <w:rsid w:val="001E0B6D"/>
    <w:rsid w:val="001E2BDE"/>
    <w:rsid w:val="001E3EAE"/>
    <w:rsid w:val="001E3F50"/>
    <w:rsid w:val="001E47C4"/>
    <w:rsid w:val="001E6F32"/>
    <w:rsid w:val="001E7360"/>
    <w:rsid w:val="001F0975"/>
    <w:rsid w:val="001F2145"/>
    <w:rsid w:val="001F30FC"/>
    <w:rsid w:val="001F4E43"/>
    <w:rsid w:val="001F6262"/>
    <w:rsid w:val="001F67B0"/>
    <w:rsid w:val="001F6F11"/>
    <w:rsid w:val="001F74F3"/>
    <w:rsid w:val="001F7B3D"/>
    <w:rsid w:val="001F7C5C"/>
    <w:rsid w:val="00201477"/>
    <w:rsid w:val="0020350F"/>
    <w:rsid w:val="0020443F"/>
    <w:rsid w:val="00205BDF"/>
    <w:rsid w:val="00205F9F"/>
    <w:rsid w:val="00210284"/>
    <w:rsid w:val="00210326"/>
    <w:rsid w:val="00210338"/>
    <w:rsid w:val="002115FC"/>
    <w:rsid w:val="00213A89"/>
    <w:rsid w:val="0021423C"/>
    <w:rsid w:val="00214CAE"/>
    <w:rsid w:val="00217754"/>
    <w:rsid w:val="002217E0"/>
    <w:rsid w:val="0022213E"/>
    <w:rsid w:val="00222655"/>
    <w:rsid w:val="00222A86"/>
    <w:rsid w:val="00225F50"/>
    <w:rsid w:val="00227C66"/>
    <w:rsid w:val="00230D00"/>
    <w:rsid w:val="00231178"/>
    <w:rsid w:val="00231DF7"/>
    <w:rsid w:val="00231FD1"/>
    <w:rsid w:val="002339E0"/>
    <w:rsid w:val="00233CF8"/>
    <w:rsid w:val="0023575D"/>
    <w:rsid w:val="00237148"/>
    <w:rsid w:val="00241017"/>
    <w:rsid w:val="0024222D"/>
    <w:rsid w:val="00242914"/>
    <w:rsid w:val="00243432"/>
    <w:rsid w:val="00243532"/>
    <w:rsid w:val="00244B0E"/>
    <w:rsid w:val="00244F6C"/>
    <w:rsid w:val="00246ABB"/>
    <w:rsid w:val="0024768E"/>
    <w:rsid w:val="00247B24"/>
    <w:rsid w:val="00251111"/>
    <w:rsid w:val="002518DE"/>
    <w:rsid w:val="002532C5"/>
    <w:rsid w:val="002546E6"/>
    <w:rsid w:val="002573A2"/>
    <w:rsid w:val="00260823"/>
    <w:rsid w:val="00260C03"/>
    <w:rsid w:val="00263D1D"/>
    <w:rsid w:val="0026540E"/>
    <w:rsid w:val="0026629F"/>
    <w:rsid w:val="00266E3B"/>
    <w:rsid w:val="00267E95"/>
    <w:rsid w:val="0027041F"/>
    <w:rsid w:val="00273EFD"/>
    <w:rsid w:val="00275123"/>
    <w:rsid w:val="002817EE"/>
    <w:rsid w:val="00282240"/>
    <w:rsid w:val="00285E2C"/>
    <w:rsid w:val="00287E3C"/>
    <w:rsid w:val="00291379"/>
    <w:rsid w:val="002918E7"/>
    <w:rsid w:val="002934AC"/>
    <w:rsid w:val="002948AD"/>
    <w:rsid w:val="002A01CC"/>
    <w:rsid w:val="002A14F9"/>
    <w:rsid w:val="002A5315"/>
    <w:rsid w:val="002A61B1"/>
    <w:rsid w:val="002A663C"/>
    <w:rsid w:val="002B035D"/>
    <w:rsid w:val="002B3AA4"/>
    <w:rsid w:val="002B444B"/>
    <w:rsid w:val="002B5887"/>
    <w:rsid w:val="002B7521"/>
    <w:rsid w:val="002B760A"/>
    <w:rsid w:val="002B7945"/>
    <w:rsid w:val="002C0E27"/>
    <w:rsid w:val="002C15C1"/>
    <w:rsid w:val="002C19DC"/>
    <w:rsid w:val="002C22D0"/>
    <w:rsid w:val="002C3040"/>
    <w:rsid w:val="002C36BB"/>
    <w:rsid w:val="002C41E7"/>
    <w:rsid w:val="002C5244"/>
    <w:rsid w:val="002C6A0E"/>
    <w:rsid w:val="002D022D"/>
    <w:rsid w:val="002D23B6"/>
    <w:rsid w:val="002D24BB"/>
    <w:rsid w:val="002D353D"/>
    <w:rsid w:val="002D60FF"/>
    <w:rsid w:val="002D71C0"/>
    <w:rsid w:val="002E02CB"/>
    <w:rsid w:val="002E0C87"/>
    <w:rsid w:val="002E2397"/>
    <w:rsid w:val="002E251A"/>
    <w:rsid w:val="002E3276"/>
    <w:rsid w:val="002E4246"/>
    <w:rsid w:val="002E521C"/>
    <w:rsid w:val="002E5ACE"/>
    <w:rsid w:val="002E7D35"/>
    <w:rsid w:val="002F2AF7"/>
    <w:rsid w:val="002F4A7C"/>
    <w:rsid w:val="002F7E1C"/>
    <w:rsid w:val="00301A75"/>
    <w:rsid w:val="0030266C"/>
    <w:rsid w:val="00302B57"/>
    <w:rsid w:val="00302F70"/>
    <w:rsid w:val="0030336F"/>
    <w:rsid w:val="0030375E"/>
    <w:rsid w:val="0030384E"/>
    <w:rsid w:val="00303E64"/>
    <w:rsid w:val="003046EB"/>
    <w:rsid w:val="003049A7"/>
    <w:rsid w:val="00304C1D"/>
    <w:rsid w:val="00304CEE"/>
    <w:rsid w:val="00305E4D"/>
    <w:rsid w:val="00312A30"/>
    <w:rsid w:val="00316E7E"/>
    <w:rsid w:val="003175BA"/>
    <w:rsid w:val="00320BBA"/>
    <w:rsid w:val="00320F72"/>
    <w:rsid w:val="00321C65"/>
    <w:rsid w:val="0032334C"/>
    <w:rsid w:val="0032447E"/>
    <w:rsid w:val="003244F6"/>
    <w:rsid w:val="0032463E"/>
    <w:rsid w:val="003252F0"/>
    <w:rsid w:val="003257C8"/>
    <w:rsid w:val="00326224"/>
    <w:rsid w:val="00331C32"/>
    <w:rsid w:val="00332831"/>
    <w:rsid w:val="00336501"/>
    <w:rsid w:val="00337EE4"/>
    <w:rsid w:val="00340FFD"/>
    <w:rsid w:val="003436F8"/>
    <w:rsid w:val="003440BC"/>
    <w:rsid w:val="00345379"/>
    <w:rsid w:val="00346531"/>
    <w:rsid w:val="0034689B"/>
    <w:rsid w:val="00347339"/>
    <w:rsid w:val="003506B1"/>
    <w:rsid w:val="00350EF2"/>
    <w:rsid w:val="003518B8"/>
    <w:rsid w:val="0035277F"/>
    <w:rsid w:val="00354F8C"/>
    <w:rsid w:val="00356080"/>
    <w:rsid w:val="00356AC7"/>
    <w:rsid w:val="003572B5"/>
    <w:rsid w:val="00360177"/>
    <w:rsid w:val="00360179"/>
    <w:rsid w:val="003609FA"/>
    <w:rsid w:val="00360E4C"/>
    <w:rsid w:val="00360EAE"/>
    <w:rsid w:val="0036122B"/>
    <w:rsid w:val="00363D36"/>
    <w:rsid w:val="00363E0A"/>
    <w:rsid w:val="003640B8"/>
    <w:rsid w:val="003710C8"/>
    <w:rsid w:val="00371482"/>
    <w:rsid w:val="00372B37"/>
    <w:rsid w:val="003750BE"/>
    <w:rsid w:val="003801DE"/>
    <w:rsid w:val="003809E6"/>
    <w:rsid w:val="00380F79"/>
    <w:rsid w:val="00382AA2"/>
    <w:rsid w:val="00383D37"/>
    <w:rsid w:val="00383FB5"/>
    <w:rsid w:val="00384B70"/>
    <w:rsid w:val="00384D70"/>
    <w:rsid w:val="0038625B"/>
    <w:rsid w:val="00386AA5"/>
    <w:rsid w:val="00387222"/>
    <w:rsid w:val="00387B9D"/>
    <w:rsid w:val="00390208"/>
    <w:rsid w:val="0039364F"/>
    <w:rsid w:val="00393817"/>
    <w:rsid w:val="003947F5"/>
    <w:rsid w:val="00396686"/>
    <w:rsid w:val="0039778E"/>
    <w:rsid w:val="003A1BD5"/>
    <w:rsid w:val="003A2DCB"/>
    <w:rsid w:val="003A78FC"/>
    <w:rsid w:val="003B0CCA"/>
    <w:rsid w:val="003B257F"/>
    <w:rsid w:val="003B2814"/>
    <w:rsid w:val="003B329E"/>
    <w:rsid w:val="003B4941"/>
    <w:rsid w:val="003B5217"/>
    <w:rsid w:val="003B525A"/>
    <w:rsid w:val="003C27FE"/>
    <w:rsid w:val="003C42B1"/>
    <w:rsid w:val="003C5714"/>
    <w:rsid w:val="003C6B9F"/>
    <w:rsid w:val="003C6E2A"/>
    <w:rsid w:val="003D0299"/>
    <w:rsid w:val="003D1AD2"/>
    <w:rsid w:val="003D2C7F"/>
    <w:rsid w:val="003D4EFE"/>
    <w:rsid w:val="003D5E60"/>
    <w:rsid w:val="003D693C"/>
    <w:rsid w:val="003D7BA7"/>
    <w:rsid w:val="003E1BBE"/>
    <w:rsid w:val="003E2F65"/>
    <w:rsid w:val="003E6D80"/>
    <w:rsid w:val="003F05FA"/>
    <w:rsid w:val="003F244A"/>
    <w:rsid w:val="003F30A7"/>
    <w:rsid w:val="003F30B8"/>
    <w:rsid w:val="003F4C45"/>
    <w:rsid w:val="003F5F7B"/>
    <w:rsid w:val="003F7B8B"/>
    <w:rsid w:val="003F7D64"/>
    <w:rsid w:val="00400FCF"/>
    <w:rsid w:val="00401D2F"/>
    <w:rsid w:val="00407986"/>
    <w:rsid w:val="0041066E"/>
    <w:rsid w:val="00410E33"/>
    <w:rsid w:val="004137F3"/>
    <w:rsid w:val="00414300"/>
    <w:rsid w:val="004143A4"/>
    <w:rsid w:val="004147EA"/>
    <w:rsid w:val="00414D20"/>
    <w:rsid w:val="00414F14"/>
    <w:rsid w:val="004153FD"/>
    <w:rsid w:val="00416536"/>
    <w:rsid w:val="004204BB"/>
    <w:rsid w:val="004205FE"/>
    <w:rsid w:val="0042285F"/>
    <w:rsid w:val="004244E1"/>
    <w:rsid w:val="004247AD"/>
    <w:rsid w:val="00425C67"/>
    <w:rsid w:val="00426D64"/>
    <w:rsid w:val="00427E7A"/>
    <w:rsid w:val="00430E3B"/>
    <w:rsid w:val="0043362F"/>
    <w:rsid w:val="00434EC4"/>
    <w:rsid w:val="00436C49"/>
    <w:rsid w:val="00436F18"/>
    <w:rsid w:val="0043708D"/>
    <w:rsid w:val="004409D0"/>
    <w:rsid w:val="00440D6D"/>
    <w:rsid w:val="00444619"/>
    <w:rsid w:val="0044507F"/>
    <w:rsid w:val="00445366"/>
    <w:rsid w:val="00447352"/>
    <w:rsid w:val="00447F5B"/>
    <w:rsid w:val="004503B7"/>
    <w:rsid w:val="0045067D"/>
    <w:rsid w:val="004532A6"/>
    <w:rsid w:val="004545F3"/>
    <w:rsid w:val="00457858"/>
    <w:rsid w:val="0046164D"/>
    <w:rsid w:val="00461DB0"/>
    <w:rsid w:val="00462964"/>
    <w:rsid w:val="00463926"/>
    <w:rsid w:val="00463BAF"/>
    <w:rsid w:val="00463DD4"/>
    <w:rsid w:val="00464048"/>
    <w:rsid w:val="00464C9A"/>
    <w:rsid w:val="004651D2"/>
    <w:rsid w:val="004713E2"/>
    <w:rsid w:val="004719AE"/>
    <w:rsid w:val="004741F5"/>
    <w:rsid w:val="00474239"/>
    <w:rsid w:val="00474F3D"/>
    <w:rsid w:val="00475F01"/>
    <w:rsid w:val="004763E8"/>
    <w:rsid w:val="00477E3A"/>
    <w:rsid w:val="00483E5F"/>
    <w:rsid w:val="00484A8C"/>
    <w:rsid w:val="00485BC6"/>
    <w:rsid w:val="00485FF9"/>
    <w:rsid w:val="00486881"/>
    <w:rsid w:val="004907F0"/>
    <w:rsid w:val="0049140B"/>
    <w:rsid w:val="004923A5"/>
    <w:rsid w:val="00494118"/>
    <w:rsid w:val="004941C2"/>
    <w:rsid w:val="004962CC"/>
    <w:rsid w:val="00496BED"/>
    <w:rsid w:val="00496BFB"/>
    <w:rsid w:val="004A066F"/>
    <w:rsid w:val="004A15C7"/>
    <w:rsid w:val="004A3CFC"/>
    <w:rsid w:val="004A5F92"/>
    <w:rsid w:val="004A638C"/>
    <w:rsid w:val="004A63FE"/>
    <w:rsid w:val="004A6FCE"/>
    <w:rsid w:val="004B013B"/>
    <w:rsid w:val="004B0704"/>
    <w:rsid w:val="004B112B"/>
    <w:rsid w:val="004C01E4"/>
    <w:rsid w:val="004C086C"/>
    <w:rsid w:val="004C1F56"/>
    <w:rsid w:val="004C27BC"/>
    <w:rsid w:val="004C433C"/>
    <w:rsid w:val="004C636D"/>
    <w:rsid w:val="004C64AC"/>
    <w:rsid w:val="004C6869"/>
    <w:rsid w:val="004C7A72"/>
    <w:rsid w:val="004D15F3"/>
    <w:rsid w:val="004D42F4"/>
    <w:rsid w:val="004D5311"/>
    <w:rsid w:val="004D5DCC"/>
    <w:rsid w:val="004E29B3"/>
    <w:rsid w:val="004E3402"/>
    <w:rsid w:val="004E39AD"/>
    <w:rsid w:val="004E3AED"/>
    <w:rsid w:val="004E3BCE"/>
    <w:rsid w:val="004E4A3F"/>
    <w:rsid w:val="004E6B96"/>
    <w:rsid w:val="004E74D2"/>
    <w:rsid w:val="004F10AF"/>
    <w:rsid w:val="004F11A4"/>
    <w:rsid w:val="004F154D"/>
    <w:rsid w:val="004F2389"/>
    <w:rsid w:val="004F2979"/>
    <w:rsid w:val="004F304D"/>
    <w:rsid w:val="004F57AA"/>
    <w:rsid w:val="004F580E"/>
    <w:rsid w:val="004F5D17"/>
    <w:rsid w:val="004F61BE"/>
    <w:rsid w:val="004F66B1"/>
    <w:rsid w:val="004F67B0"/>
    <w:rsid w:val="004F709E"/>
    <w:rsid w:val="00501B77"/>
    <w:rsid w:val="005029CE"/>
    <w:rsid w:val="0050527A"/>
    <w:rsid w:val="005119BE"/>
    <w:rsid w:val="00511C07"/>
    <w:rsid w:val="00512CF2"/>
    <w:rsid w:val="00513F20"/>
    <w:rsid w:val="005144B2"/>
    <w:rsid w:val="00514EBE"/>
    <w:rsid w:val="005173A6"/>
    <w:rsid w:val="00520BAA"/>
    <w:rsid w:val="00520E54"/>
    <w:rsid w:val="005214E0"/>
    <w:rsid w:val="00525208"/>
    <w:rsid w:val="005257A5"/>
    <w:rsid w:val="00525ADF"/>
    <w:rsid w:val="00526022"/>
    <w:rsid w:val="005264C0"/>
    <w:rsid w:val="005268F9"/>
    <w:rsid w:val="00526A8A"/>
    <w:rsid w:val="00531DF2"/>
    <w:rsid w:val="00534853"/>
    <w:rsid w:val="00536213"/>
    <w:rsid w:val="00537574"/>
    <w:rsid w:val="00540BCF"/>
    <w:rsid w:val="0054253C"/>
    <w:rsid w:val="005442EE"/>
    <w:rsid w:val="00544B97"/>
    <w:rsid w:val="005471DC"/>
    <w:rsid w:val="00547353"/>
    <w:rsid w:val="005474E7"/>
    <w:rsid w:val="005512A3"/>
    <w:rsid w:val="0055281C"/>
    <w:rsid w:val="0055329A"/>
    <w:rsid w:val="00553890"/>
    <w:rsid w:val="00553E3F"/>
    <w:rsid w:val="00554485"/>
    <w:rsid w:val="00554866"/>
    <w:rsid w:val="005574EE"/>
    <w:rsid w:val="005578CE"/>
    <w:rsid w:val="00557BDB"/>
    <w:rsid w:val="005602B3"/>
    <w:rsid w:val="00561A73"/>
    <w:rsid w:val="00562781"/>
    <w:rsid w:val="00562DA8"/>
    <w:rsid w:val="00566E67"/>
    <w:rsid w:val="0057271C"/>
    <w:rsid w:val="00572845"/>
    <w:rsid w:val="00572874"/>
    <w:rsid w:val="00574C83"/>
    <w:rsid w:val="0057520F"/>
    <w:rsid w:val="005766B5"/>
    <w:rsid w:val="00581A26"/>
    <w:rsid w:val="00582E79"/>
    <w:rsid w:val="00584E06"/>
    <w:rsid w:val="00584F6F"/>
    <w:rsid w:val="005926F4"/>
    <w:rsid w:val="00592772"/>
    <w:rsid w:val="0059402A"/>
    <w:rsid w:val="00594FF2"/>
    <w:rsid w:val="0059574A"/>
    <w:rsid w:val="0059598F"/>
    <w:rsid w:val="00596468"/>
    <w:rsid w:val="005A0036"/>
    <w:rsid w:val="005A02CB"/>
    <w:rsid w:val="005A1B9B"/>
    <w:rsid w:val="005A23BF"/>
    <w:rsid w:val="005A2AF4"/>
    <w:rsid w:val="005A3A46"/>
    <w:rsid w:val="005A50C7"/>
    <w:rsid w:val="005A52AC"/>
    <w:rsid w:val="005A5B90"/>
    <w:rsid w:val="005A5EA5"/>
    <w:rsid w:val="005A6751"/>
    <w:rsid w:val="005B092E"/>
    <w:rsid w:val="005B152C"/>
    <w:rsid w:val="005B1EE0"/>
    <w:rsid w:val="005B2B24"/>
    <w:rsid w:val="005B3F3F"/>
    <w:rsid w:val="005B4425"/>
    <w:rsid w:val="005B4B94"/>
    <w:rsid w:val="005B56C5"/>
    <w:rsid w:val="005B60AC"/>
    <w:rsid w:val="005C3EE8"/>
    <w:rsid w:val="005C4AE6"/>
    <w:rsid w:val="005C59BF"/>
    <w:rsid w:val="005D2C07"/>
    <w:rsid w:val="005D34F9"/>
    <w:rsid w:val="005D4190"/>
    <w:rsid w:val="005D59B0"/>
    <w:rsid w:val="005D67A3"/>
    <w:rsid w:val="005E15FD"/>
    <w:rsid w:val="005E2302"/>
    <w:rsid w:val="005E2988"/>
    <w:rsid w:val="005E2CE0"/>
    <w:rsid w:val="005E3085"/>
    <w:rsid w:val="005E3331"/>
    <w:rsid w:val="005E3412"/>
    <w:rsid w:val="005E37C6"/>
    <w:rsid w:val="005F3A58"/>
    <w:rsid w:val="005F3AE1"/>
    <w:rsid w:val="005F51E1"/>
    <w:rsid w:val="005F52EB"/>
    <w:rsid w:val="005F666F"/>
    <w:rsid w:val="0060148F"/>
    <w:rsid w:val="006020A9"/>
    <w:rsid w:val="00603D17"/>
    <w:rsid w:val="00604A48"/>
    <w:rsid w:val="00605550"/>
    <w:rsid w:val="00611C80"/>
    <w:rsid w:val="00613306"/>
    <w:rsid w:val="00613723"/>
    <w:rsid w:val="00614FAB"/>
    <w:rsid w:val="00614FB9"/>
    <w:rsid w:val="00615E19"/>
    <w:rsid w:val="00617E0D"/>
    <w:rsid w:val="00620692"/>
    <w:rsid w:val="00623B87"/>
    <w:rsid w:val="006242CA"/>
    <w:rsid w:val="00624A96"/>
    <w:rsid w:val="00626381"/>
    <w:rsid w:val="0062688A"/>
    <w:rsid w:val="00627507"/>
    <w:rsid w:val="00632987"/>
    <w:rsid w:val="00633717"/>
    <w:rsid w:val="006340A4"/>
    <w:rsid w:val="006344E1"/>
    <w:rsid w:val="00636001"/>
    <w:rsid w:val="00642DC8"/>
    <w:rsid w:val="00642F36"/>
    <w:rsid w:val="006446E7"/>
    <w:rsid w:val="00646454"/>
    <w:rsid w:val="0065298D"/>
    <w:rsid w:val="00652BF3"/>
    <w:rsid w:val="00653AA3"/>
    <w:rsid w:val="006540CE"/>
    <w:rsid w:val="006545C4"/>
    <w:rsid w:val="006547B0"/>
    <w:rsid w:val="006554FD"/>
    <w:rsid w:val="006558F4"/>
    <w:rsid w:val="006562BA"/>
    <w:rsid w:val="0065660B"/>
    <w:rsid w:val="00657AE6"/>
    <w:rsid w:val="0066106A"/>
    <w:rsid w:val="0066157F"/>
    <w:rsid w:val="00661971"/>
    <w:rsid w:val="00661CE8"/>
    <w:rsid w:val="006623D9"/>
    <w:rsid w:val="0066293A"/>
    <w:rsid w:val="0066550C"/>
    <w:rsid w:val="0066604A"/>
    <w:rsid w:val="00667B26"/>
    <w:rsid w:val="00667EFE"/>
    <w:rsid w:val="00670C83"/>
    <w:rsid w:val="006716F2"/>
    <w:rsid w:val="00672F37"/>
    <w:rsid w:val="006767A9"/>
    <w:rsid w:val="00677711"/>
    <w:rsid w:val="00680376"/>
    <w:rsid w:val="00682BF2"/>
    <w:rsid w:val="00683B03"/>
    <w:rsid w:val="006844E7"/>
    <w:rsid w:val="006859CE"/>
    <w:rsid w:val="00686318"/>
    <w:rsid w:val="00687B02"/>
    <w:rsid w:val="00691270"/>
    <w:rsid w:val="00691AC5"/>
    <w:rsid w:val="006940F6"/>
    <w:rsid w:val="00694A2E"/>
    <w:rsid w:val="00694BA8"/>
    <w:rsid w:val="006952CF"/>
    <w:rsid w:val="0069675D"/>
    <w:rsid w:val="0069742D"/>
    <w:rsid w:val="006A037C"/>
    <w:rsid w:val="006A0E9D"/>
    <w:rsid w:val="006A25D9"/>
    <w:rsid w:val="006A34A7"/>
    <w:rsid w:val="006A36F4"/>
    <w:rsid w:val="006A3AA5"/>
    <w:rsid w:val="006A406F"/>
    <w:rsid w:val="006A43B6"/>
    <w:rsid w:val="006A4B1E"/>
    <w:rsid w:val="006A5D3A"/>
    <w:rsid w:val="006A7739"/>
    <w:rsid w:val="006B1A1A"/>
    <w:rsid w:val="006B2247"/>
    <w:rsid w:val="006B23DE"/>
    <w:rsid w:val="006B2DE4"/>
    <w:rsid w:val="006B5303"/>
    <w:rsid w:val="006B631D"/>
    <w:rsid w:val="006C0E4B"/>
    <w:rsid w:val="006C1BCB"/>
    <w:rsid w:val="006C1C5C"/>
    <w:rsid w:val="006C23D4"/>
    <w:rsid w:val="006C2EDA"/>
    <w:rsid w:val="006C528E"/>
    <w:rsid w:val="006C64BE"/>
    <w:rsid w:val="006C7952"/>
    <w:rsid w:val="006C7BB0"/>
    <w:rsid w:val="006D04EB"/>
    <w:rsid w:val="006D0FC6"/>
    <w:rsid w:val="006D1854"/>
    <w:rsid w:val="006D2E25"/>
    <w:rsid w:val="006D3237"/>
    <w:rsid w:val="006D426F"/>
    <w:rsid w:val="006D5DF5"/>
    <w:rsid w:val="006E247F"/>
    <w:rsid w:val="006E2E37"/>
    <w:rsid w:val="006E3CF1"/>
    <w:rsid w:val="006E7E80"/>
    <w:rsid w:val="006F26B1"/>
    <w:rsid w:val="006F3ACF"/>
    <w:rsid w:val="006F48CA"/>
    <w:rsid w:val="006F4B48"/>
    <w:rsid w:val="006F4DCF"/>
    <w:rsid w:val="006F572C"/>
    <w:rsid w:val="006F64DD"/>
    <w:rsid w:val="007023C2"/>
    <w:rsid w:val="007027E1"/>
    <w:rsid w:val="00704E8A"/>
    <w:rsid w:val="00711B9F"/>
    <w:rsid w:val="00713577"/>
    <w:rsid w:val="00715127"/>
    <w:rsid w:val="00715E8E"/>
    <w:rsid w:val="0072161E"/>
    <w:rsid w:val="007224B1"/>
    <w:rsid w:val="00723580"/>
    <w:rsid w:val="00723755"/>
    <w:rsid w:val="007248DE"/>
    <w:rsid w:val="00725F3E"/>
    <w:rsid w:val="00726D88"/>
    <w:rsid w:val="0073136C"/>
    <w:rsid w:val="00731F0F"/>
    <w:rsid w:val="00733250"/>
    <w:rsid w:val="007334FC"/>
    <w:rsid w:val="007339BA"/>
    <w:rsid w:val="0073417B"/>
    <w:rsid w:val="007360A8"/>
    <w:rsid w:val="00736C9D"/>
    <w:rsid w:val="00737871"/>
    <w:rsid w:val="00737922"/>
    <w:rsid w:val="00741404"/>
    <w:rsid w:val="007416CB"/>
    <w:rsid w:val="007428C8"/>
    <w:rsid w:val="007442B2"/>
    <w:rsid w:val="007449E5"/>
    <w:rsid w:val="00745363"/>
    <w:rsid w:val="00747196"/>
    <w:rsid w:val="00747FF0"/>
    <w:rsid w:val="007509BC"/>
    <w:rsid w:val="00750A90"/>
    <w:rsid w:val="007513B3"/>
    <w:rsid w:val="00753351"/>
    <w:rsid w:val="00755518"/>
    <w:rsid w:val="00757548"/>
    <w:rsid w:val="00757A9C"/>
    <w:rsid w:val="00763885"/>
    <w:rsid w:val="00763A3A"/>
    <w:rsid w:val="00764001"/>
    <w:rsid w:val="00764263"/>
    <w:rsid w:val="00764D4E"/>
    <w:rsid w:val="00765A1F"/>
    <w:rsid w:val="00767744"/>
    <w:rsid w:val="00770538"/>
    <w:rsid w:val="00770881"/>
    <w:rsid w:val="0077408E"/>
    <w:rsid w:val="00775B6D"/>
    <w:rsid w:val="00776D68"/>
    <w:rsid w:val="00777E37"/>
    <w:rsid w:val="007804E9"/>
    <w:rsid w:val="00780C3C"/>
    <w:rsid w:val="00781AD6"/>
    <w:rsid w:val="00782FCD"/>
    <w:rsid w:val="0078311E"/>
    <w:rsid w:val="007850EE"/>
    <w:rsid w:val="00785B95"/>
    <w:rsid w:val="00785FE1"/>
    <w:rsid w:val="00787E8C"/>
    <w:rsid w:val="00790E96"/>
    <w:rsid w:val="0079328A"/>
    <w:rsid w:val="00793366"/>
    <w:rsid w:val="00793556"/>
    <w:rsid w:val="007952DA"/>
    <w:rsid w:val="007966E1"/>
    <w:rsid w:val="007A0570"/>
    <w:rsid w:val="007A0725"/>
    <w:rsid w:val="007A2CE2"/>
    <w:rsid w:val="007A3B7A"/>
    <w:rsid w:val="007A4DC2"/>
    <w:rsid w:val="007A64D3"/>
    <w:rsid w:val="007A716F"/>
    <w:rsid w:val="007A7841"/>
    <w:rsid w:val="007A7E1C"/>
    <w:rsid w:val="007B0A7E"/>
    <w:rsid w:val="007B270A"/>
    <w:rsid w:val="007B387C"/>
    <w:rsid w:val="007B415A"/>
    <w:rsid w:val="007B4B56"/>
    <w:rsid w:val="007B5A53"/>
    <w:rsid w:val="007B6676"/>
    <w:rsid w:val="007C0695"/>
    <w:rsid w:val="007C1C7F"/>
    <w:rsid w:val="007C375E"/>
    <w:rsid w:val="007C3BF1"/>
    <w:rsid w:val="007C416D"/>
    <w:rsid w:val="007C419A"/>
    <w:rsid w:val="007C483F"/>
    <w:rsid w:val="007C4CC8"/>
    <w:rsid w:val="007C5187"/>
    <w:rsid w:val="007C5300"/>
    <w:rsid w:val="007C5426"/>
    <w:rsid w:val="007C5798"/>
    <w:rsid w:val="007C638A"/>
    <w:rsid w:val="007C773A"/>
    <w:rsid w:val="007D0BC5"/>
    <w:rsid w:val="007D1D87"/>
    <w:rsid w:val="007D4832"/>
    <w:rsid w:val="007D6067"/>
    <w:rsid w:val="007D70F4"/>
    <w:rsid w:val="007E0932"/>
    <w:rsid w:val="007E21B2"/>
    <w:rsid w:val="007E2C25"/>
    <w:rsid w:val="007E2C4E"/>
    <w:rsid w:val="007E3ED4"/>
    <w:rsid w:val="007E48C2"/>
    <w:rsid w:val="007E5FBE"/>
    <w:rsid w:val="007E7501"/>
    <w:rsid w:val="007F1905"/>
    <w:rsid w:val="007F4F51"/>
    <w:rsid w:val="007F4F87"/>
    <w:rsid w:val="007F4FEE"/>
    <w:rsid w:val="007F5AC9"/>
    <w:rsid w:val="007F7F36"/>
    <w:rsid w:val="008001CC"/>
    <w:rsid w:val="00801300"/>
    <w:rsid w:val="008024C2"/>
    <w:rsid w:val="00802C64"/>
    <w:rsid w:val="00803AAE"/>
    <w:rsid w:val="00805759"/>
    <w:rsid w:val="00805B68"/>
    <w:rsid w:val="00805E52"/>
    <w:rsid w:val="008061D0"/>
    <w:rsid w:val="00806B12"/>
    <w:rsid w:val="00810B38"/>
    <w:rsid w:val="00810DFD"/>
    <w:rsid w:val="00810F2A"/>
    <w:rsid w:val="00811E34"/>
    <w:rsid w:val="00812CD2"/>
    <w:rsid w:val="00816C03"/>
    <w:rsid w:val="008202FE"/>
    <w:rsid w:val="008204C7"/>
    <w:rsid w:val="00820992"/>
    <w:rsid w:val="008225D5"/>
    <w:rsid w:val="00822AF8"/>
    <w:rsid w:val="00823602"/>
    <w:rsid w:val="00823F39"/>
    <w:rsid w:val="0082457B"/>
    <w:rsid w:val="008255F5"/>
    <w:rsid w:val="00830134"/>
    <w:rsid w:val="0083014E"/>
    <w:rsid w:val="0083214A"/>
    <w:rsid w:val="008323C4"/>
    <w:rsid w:val="00834220"/>
    <w:rsid w:val="008357B1"/>
    <w:rsid w:val="0083614A"/>
    <w:rsid w:val="00836BB1"/>
    <w:rsid w:val="0083758F"/>
    <w:rsid w:val="00837FF3"/>
    <w:rsid w:val="00843275"/>
    <w:rsid w:val="0084351A"/>
    <w:rsid w:val="00844C8F"/>
    <w:rsid w:val="00845723"/>
    <w:rsid w:val="00846140"/>
    <w:rsid w:val="00851EF9"/>
    <w:rsid w:val="00852B5E"/>
    <w:rsid w:val="00854147"/>
    <w:rsid w:val="008577FD"/>
    <w:rsid w:val="008609AD"/>
    <w:rsid w:val="00860B03"/>
    <w:rsid w:val="0086290C"/>
    <w:rsid w:val="00863378"/>
    <w:rsid w:val="0086497A"/>
    <w:rsid w:val="0086498A"/>
    <w:rsid w:val="00866682"/>
    <w:rsid w:val="0087097C"/>
    <w:rsid w:val="00870ED6"/>
    <w:rsid w:val="008712F0"/>
    <w:rsid w:val="008713A1"/>
    <w:rsid w:val="0087400B"/>
    <w:rsid w:val="008754AB"/>
    <w:rsid w:val="00875AB3"/>
    <w:rsid w:val="008766C0"/>
    <w:rsid w:val="00877A14"/>
    <w:rsid w:val="0088060C"/>
    <w:rsid w:val="00881188"/>
    <w:rsid w:val="008816B4"/>
    <w:rsid w:val="00884F8F"/>
    <w:rsid w:val="008851E6"/>
    <w:rsid w:val="00886168"/>
    <w:rsid w:val="00887459"/>
    <w:rsid w:val="008903E0"/>
    <w:rsid w:val="008906F1"/>
    <w:rsid w:val="00892936"/>
    <w:rsid w:val="00892D8A"/>
    <w:rsid w:val="00893576"/>
    <w:rsid w:val="00893DB0"/>
    <w:rsid w:val="00893E73"/>
    <w:rsid w:val="008949FF"/>
    <w:rsid w:val="00895D10"/>
    <w:rsid w:val="0089604F"/>
    <w:rsid w:val="00897120"/>
    <w:rsid w:val="00897220"/>
    <w:rsid w:val="008A0897"/>
    <w:rsid w:val="008A1ED1"/>
    <w:rsid w:val="008A2290"/>
    <w:rsid w:val="008A4340"/>
    <w:rsid w:val="008A4799"/>
    <w:rsid w:val="008A63FE"/>
    <w:rsid w:val="008A7134"/>
    <w:rsid w:val="008A76A8"/>
    <w:rsid w:val="008B02DC"/>
    <w:rsid w:val="008B0B6C"/>
    <w:rsid w:val="008B0D1E"/>
    <w:rsid w:val="008B1320"/>
    <w:rsid w:val="008B57CE"/>
    <w:rsid w:val="008B7ACC"/>
    <w:rsid w:val="008C0278"/>
    <w:rsid w:val="008C03C7"/>
    <w:rsid w:val="008C26DE"/>
    <w:rsid w:val="008C6CA6"/>
    <w:rsid w:val="008D0337"/>
    <w:rsid w:val="008D1AA5"/>
    <w:rsid w:val="008D2225"/>
    <w:rsid w:val="008D4752"/>
    <w:rsid w:val="008D497F"/>
    <w:rsid w:val="008D7298"/>
    <w:rsid w:val="008E271C"/>
    <w:rsid w:val="008E2C54"/>
    <w:rsid w:val="008E418E"/>
    <w:rsid w:val="008E47C0"/>
    <w:rsid w:val="008E57EC"/>
    <w:rsid w:val="008E5BC6"/>
    <w:rsid w:val="008E6A25"/>
    <w:rsid w:val="008F0947"/>
    <w:rsid w:val="008F0EC4"/>
    <w:rsid w:val="008F1DEA"/>
    <w:rsid w:val="008F363F"/>
    <w:rsid w:val="008F3CE2"/>
    <w:rsid w:val="008F5193"/>
    <w:rsid w:val="008F5BAF"/>
    <w:rsid w:val="008F64E9"/>
    <w:rsid w:val="008F72C2"/>
    <w:rsid w:val="0090025C"/>
    <w:rsid w:val="0090056D"/>
    <w:rsid w:val="00900698"/>
    <w:rsid w:val="009013A7"/>
    <w:rsid w:val="0090178E"/>
    <w:rsid w:val="009017FB"/>
    <w:rsid w:val="009017FC"/>
    <w:rsid w:val="00903E4E"/>
    <w:rsid w:val="0090506B"/>
    <w:rsid w:val="009050C9"/>
    <w:rsid w:val="00905FBF"/>
    <w:rsid w:val="009066FC"/>
    <w:rsid w:val="00910266"/>
    <w:rsid w:val="0091039B"/>
    <w:rsid w:val="00913158"/>
    <w:rsid w:val="009140A3"/>
    <w:rsid w:val="009144A2"/>
    <w:rsid w:val="00914965"/>
    <w:rsid w:val="0091510C"/>
    <w:rsid w:val="00915286"/>
    <w:rsid w:val="009259AC"/>
    <w:rsid w:val="0092657B"/>
    <w:rsid w:val="00926708"/>
    <w:rsid w:val="00926A74"/>
    <w:rsid w:val="00926AD5"/>
    <w:rsid w:val="00926F38"/>
    <w:rsid w:val="009273CD"/>
    <w:rsid w:val="009318EF"/>
    <w:rsid w:val="00933688"/>
    <w:rsid w:val="00934301"/>
    <w:rsid w:val="0093680D"/>
    <w:rsid w:val="00936A0B"/>
    <w:rsid w:val="00936C2D"/>
    <w:rsid w:val="00936CD1"/>
    <w:rsid w:val="00940838"/>
    <w:rsid w:val="00941747"/>
    <w:rsid w:val="00941EFB"/>
    <w:rsid w:val="009422D2"/>
    <w:rsid w:val="00943342"/>
    <w:rsid w:val="009444DC"/>
    <w:rsid w:val="009478C0"/>
    <w:rsid w:val="00947AFB"/>
    <w:rsid w:val="009515CE"/>
    <w:rsid w:val="00951D7D"/>
    <w:rsid w:val="0095337E"/>
    <w:rsid w:val="00953D15"/>
    <w:rsid w:val="00954503"/>
    <w:rsid w:val="00955880"/>
    <w:rsid w:val="0095765E"/>
    <w:rsid w:val="009601F8"/>
    <w:rsid w:val="00960F12"/>
    <w:rsid w:val="0096287D"/>
    <w:rsid w:val="00962C82"/>
    <w:rsid w:val="009630C7"/>
    <w:rsid w:val="0096560F"/>
    <w:rsid w:val="00965C3A"/>
    <w:rsid w:val="009671E4"/>
    <w:rsid w:val="009677B6"/>
    <w:rsid w:val="009678D5"/>
    <w:rsid w:val="009705D7"/>
    <w:rsid w:val="0097203C"/>
    <w:rsid w:val="00972B55"/>
    <w:rsid w:val="009743B7"/>
    <w:rsid w:val="009758CD"/>
    <w:rsid w:val="00976585"/>
    <w:rsid w:val="009770CC"/>
    <w:rsid w:val="009776A2"/>
    <w:rsid w:val="00980003"/>
    <w:rsid w:val="00981190"/>
    <w:rsid w:val="0098228B"/>
    <w:rsid w:val="00982614"/>
    <w:rsid w:val="00982652"/>
    <w:rsid w:val="009828DA"/>
    <w:rsid w:val="009836F4"/>
    <w:rsid w:val="0098504E"/>
    <w:rsid w:val="00985BAB"/>
    <w:rsid w:val="009870F8"/>
    <w:rsid w:val="0099013E"/>
    <w:rsid w:val="00993C1B"/>
    <w:rsid w:val="009940FB"/>
    <w:rsid w:val="00994753"/>
    <w:rsid w:val="0099543D"/>
    <w:rsid w:val="00996118"/>
    <w:rsid w:val="0099626E"/>
    <w:rsid w:val="00996DF1"/>
    <w:rsid w:val="009A0040"/>
    <w:rsid w:val="009A00CA"/>
    <w:rsid w:val="009A565E"/>
    <w:rsid w:val="009A6055"/>
    <w:rsid w:val="009B0C78"/>
    <w:rsid w:val="009B0EEF"/>
    <w:rsid w:val="009B1B5F"/>
    <w:rsid w:val="009B2AF1"/>
    <w:rsid w:val="009B3D34"/>
    <w:rsid w:val="009B4FEC"/>
    <w:rsid w:val="009B6673"/>
    <w:rsid w:val="009C1658"/>
    <w:rsid w:val="009C191B"/>
    <w:rsid w:val="009C1F1B"/>
    <w:rsid w:val="009C2BD6"/>
    <w:rsid w:val="009C3916"/>
    <w:rsid w:val="009C435B"/>
    <w:rsid w:val="009C5881"/>
    <w:rsid w:val="009C78BB"/>
    <w:rsid w:val="009D0817"/>
    <w:rsid w:val="009D16B0"/>
    <w:rsid w:val="009D1B26"/>
    <w:rsid w:val="009D1CFD"/>
    <w:rsid w:val="009D2031"/>
    <w:rsid w:val="009D2EEB"/>
    <w:rsid w:val="009D4335"/>
    <w:rsid w:val="009D49E9"/>
    <w:rsid w:val="009D4FDA"/>
    <w:rsid w:val="009D5169"/>
    <w:rsid w:val="009D78C5"/>
    <w:rsid w:val="009E18D0"/>
    <w:rsid w:val="009E1CC9"/>
    <w:rsid w:val="009E1F32"/>
    <w:rsid w:val="009E263B"/>
    <w:rsid w:val="009E3A7E"/>
    <w:rsid w:val="009E5845"/>
    <w:rsid w:val="009E61D0"/>
    <w:rsid w:val="009E72A0"/>
    <w:rsid w:val="009E776C"/>
    <w:rsid w:val="009F0801"/>
    <w:rsid w:val="009F0DF6"/>
    <w:rsid w:val="009F20E3"/>
    <w:rsid w:val="009F39AF"/>
    <w:rsid w:val="009F54AF"/>
    <w:rsid w:val="009F555E"/>
    <w:rsid w:val="009F6CAC"/>
    <w:rsid w:val="00A00144"/>
    <w:rsid w:val="00A00549"/>
    <w:rsid w:val="00A01550"/>
    <w:rsid w:val="00A0187D"/>
    <w:rsid w:val="00A01C6A"/>
    <w:rsid w:val="00A04584"/>
    <w:rsid w:val="00A069C5"/>
    <w:rsid w:val="00A10EBC"/>
    <w:rsid w:val="00A11BA1"/>
    <w:rsid w:val="00A157CE"/>
    <w:rsid w:val="00A15CA4"/>
    <w:rsid w:val="00A15E84"/>
    <w:rsid w:val="00A1726E"/>
    <w:rsid w:val="00A204CF"/>
    <w:rsid w:val="00A2291E"/>
    <w:rsid w:val="00A23D49"/>
    <w:rsid w:val="00A24CC6"/>
    <w:rsid w:val="00A25D01"/>
    <w:rsid w:val="00A27004"/>
    <w:rsid w:val="00A305AE"/>
    <w:rsid w:val="00A30C29"/>
    <w:rsid w:val="00A317E2"/>
    <w:rsid w:val="00A31D27"/>
    <w:rsid w:val="00A33742"/>
    <w:rsid w:val="00A34710"/>
    <w:rsid w:val="00A34DD6"/>
    <w:rsid w:val="00A36819"/>
    <w:rsid w:val="00A36989"/>
    <w:rsid w:val="00A376BB"/>
    <w:rsid w:val="00A41021"/>
    <w:rsid w:val="00A41E96"/>
    <w:rsid w:val="00A43308"/>
    <w:rsid w:val="00A433D3"/>
    <w:rsid w:val="00A43628"/>
    <w:rsid w:val="00A451C7"/>
    <w:rsid w:val="00A45332"/>
    <w:rsid w:val="00A52386"/>
    <w:rsid w:val="00A52408"/>
    <w:rsid w:val="00A52E3D"/>
    <w:rsid w:val="00A54192"/>
    <w:rsid w:val="00A56032"/>
    <w:rsid w:val="00A56DA6"/>
    <w:rsid w:val="00A6035E"/>
    <w:rsid w:val="00A6144C"/>
    <w:rsid w:val="00A61F0A"/>
    <w:rsid w:val="00A62962"/>
    <w:rsid w:val="00A64BCF"/>
    <w:rsid w:val="00A64DCE"/>
    <w:rsid w:val="00A66617"/>
    <w:rsid w:val="00A66931"/>
    <w:rsid w:val="00A671F8"/>
    <w:rsid w:val="00A673A4"/>
    <w:rsid w:val="00A67531"/>
    <w:rsid w:val="00A70A76"/>
    <w:rsid w:val="00A724AE"/>
    <w:rsid w:val="00A73329"/>
    <w:rsid w:val="00A74BC1"/>
    <w:rsid w:val="00A7640C"/>
    <w:rsid w:val="00A82359"/>
    <w:rsid w:val="00A82B02"/>
    <w:rsid w:val="00A83D39"/>
    <w:rsid w:val="00A8486D"/>
    <w:rsid w:val="00A865D2"/>
    <w:rsid w:val="00A90A6B"/>
    <w:rsid w:val="00A93609"/>
    <w:rsid w:val="00A93763"/>
    <w:rsid w:val="00A94C20"/>
    <w:rsid w:val="00A95BC7"/>
    <w:rsid w:val="00AA227F"/>
    <w:rsid w:val="00AA3BC7"/>
    <w:rsid w:val="00AA51BF"/>
    <w:rsid w:val="00AA550C"/>
    <w:rsid w:val="00AA74B7"/>
    <w:rsid w:val="00AA754A"/>
    <w:rsid w:val="00AA755B"/>
    <w:rsid w:val="00AB099E"/>
    <w:rsid w:val="00AB0B5B"/>
    <w:rsid w:val="00AB330D"/>
    <w:rsid w:val="00AB3378"/>
    <w:rsid w:val="00AB4328"/>
    <w:rsid w:val="00AB45FC"/>
    <w:rsid w:val="00AB6028"/>
    <w:rsid w:val="00AB605B"/>
    <w:rsid w:val="00AB6A62"/>
    <w:rsid w:val="00AB6AB8"/>
    <w:rsid w:val="00AB6D03"/>
    <w:rsid w:val="00AB71BE"/>
    <w:rsid w:val="00AC0824"/>
    <w:rsid w:val="00AC152A"/>
    <w:rsid w:val="00AC1E39"/>
    <w:rsid w:val="00AC3820"/>
    <w:rsid w:val="00AC3C87"/>
    <w:rsid w:val="00AC3CA1"/>
    <w:rsid w:val="00AC4EBF"/>
    <w:rsid w:val="00AC57D7"/>
    <w:rsid w:val="00AC5821"/>
    <w:rsid w:val="00AD06D6"/>
    <w:rsid w:val="00AD412E"/>
    <w:rsid w:val="00AD61DB"/>
    <w:rsid w:val="00AD64B0"/>
    <w:rsid w:val="00AE0A2E"/>
    <w:rsid w:val="00AE279B"/>
    <w:rsid w:val="00AE354C"/>
    <w:rsid w:val="00AE4D07"/>
    <w:rsid w:val="00AE5EBD"/>
    <w:rsid w:val="00AE64C4"/>
    <w:rsid w:val="00AE6E64"/>
    <w:rsid w:val="00AE71DF"/>
    <w:rsid w:val="00AF05B2"/>
    <w:rsid w:val="00AF3EE9"/>
    <w:rsid w:val="00AF4B07"/>
    <w:rsid w:val="00AF5CC8"/>
    <w:rsid w:val="00AF6186"/>
    <w:rsid w:val="00AF7A3A"/>
    <w:rsid w:val="00B006E0"/>
    <w:rsid w:val="00B00B99"/>
    <w:rsid w:val="00B074B8"/>
    <w:rsid w:val="00B07D29"/>
    <w:rsid w:val="00B11A18"/>
    <w:rsid w:val="00B1504C"/>
    <w:rsid w:val="00B15070"/>
    <w:rsid w:val="00B152A3"/>
    <w:rsid w:val="00B152B9"/>
    <w:rsid w:val="00B160DB"/>
    <w:rsid w:val="00B17A5C"/>
    <w:rsid w:val="00B20663"/>
    <w:rsid w:val="00B20836"/>
    <w:rsid w:val="00B235BB"/>
    <w:rsid w:val="00B240B5"/>
    <w:rsid w:val="00B25C79"/>
    <w:rsid w:val="00B27320"/>
    <w:rsid w:val="00B27929"/>
    <w:rsid w:val="00B27A44"/>
    <w:rsid w:val="00B304AB"/>
    <w:rsid w:val="00B30BBF"/>
    <w:rsid w:val="00B311B3"/>
    <w:rsid w:val="00B3215E"/>
    <w:rsid w:val="00B33C03"/>
    <w:rsid w:val="00B340CF"/>
    <w:rsid w:val="00B418F6"/>
    <w:rsid w:val="00B4318F"/>
    <w:rsid w:val="00B44E56"/>
    <w:rsid w:val="00B46543"/>
    <w:rsid w:val="00B47D33"/>
    <w:rsid w:val="00B50469"/>
    <w:rsid w:val="00B5130D"/>
    <w:rsid w:val="00B52BE0"/>
    <w:rsid w:val="00B54133"/>
    <w:rsid w:val="00B54CE0"/>
    <w:rsid w:val="00B54DB3"/>
    <w:rsid w:val="00B554ED"/>
    <w:rsid w:val="00B5628F"/>
    <w:rsid w:val="00B56648"/>
    <w:rsid w:val="00B5743F"/>
    <w:rsid w:val="00B618F6"/>
    <w:rsid w:val="00B6245D"/>
    <w:rsid w:val="00B63B38"/>
    <w:rsid w:val="00B651CB"/>
    <w:rsid w:val="00B66399"/>
    <w:rsid w:val="00B66A96"/>
    <w:rsid w:val="00B66FD9"/>
    <w:rsid w:val="00B67FD5"/>
    <w:rsid w:val="00B701ED"/>
    <w:rsid w:val="00B705A9"/>
    <w:rsid w:val="00B70F0E"/>
    <w:rsid w:val="00B72015"/>
    <w:rsid w:val="00B72674"/>
    <w:rsid w:val="00B72A44"/>
    <w:rsid w:val="00B73232"/>
    <w:rsid w:val="00B73992"/>
    <w:rsid w:val="00B73D36"/>
    <w:rsid w:val="00B75713"/>
    <w:rsid w:val="00B757BA"/>
    <w:rsid w:val="00B8086C"/>
    <w:rsid w:val="00B80E74"/>
    <w:rsid w:val="00B8169E"/>
    <w:rsid w:val="00B83B89"/>
    <w:rsid w:val="00B83E24"/>
    <w:rsid w:val="00B85089"/>
    <w:rsid w:val="00B85A04"/>
    <w:rsid w:val="00B85A9D"/>
    <w:rsid w:val="00B861B4"/>
    <w:rsid w:val="00B863D0"/>
    <w:rsid w:val="00B86DFE"/>
    <w:rsid w:val="00B87780"/>
    <w:rsid w:val="00B87B4F"/>
    <w:rsid w:val="00B90903"/>
    <w:rsid w:val="00B90990"/>
    <w:rsid w:val="00B91583"/>
    <w:rsid w:val="00B922FF"/>
    <w:rsid w:val="00B9281E"/>
    <w:rsid w:val="00B93376"/>
    <w:rsid w:val="00B93925"/>
    <w:rsid w:val="00B93ECF"/>
    <w:rsid w:val="00B94BB8"/>
    <w:rsid w:val="00B95187"/>
    <w:rsid w:val="00B95A95"/>
    <w:rsid w:val="00B96298"/>
    <w:rsid w:val="00B96573"/>
    <w:rsid w:val="00B969B8"/>
    <w:rsid w:val="00B96C6F"/>
    <w:rsid w:val="00B9776F"/>
    <w:rsid w:val="00B97956"/>
    <w:rsid w:val="00B97C7B"/>
    <w:rsid w:val="00BA003B"/>
    <w:rsid w:val="00BA105D"/>
    <w:rsid w:val="00BA2968"/>
    <w:rsid w:val="00BA2D55"/>
    <w:rsid w:val="00BA3B31"/>
    <w:rsid w:val="00BA452B"/>
    <w:rsid w:val="00BA62D2"/>
    <w:rsid w:val="00BA71B1"/>
    <w:rsid w:val="00BA73C4"/>
    <w:rsid w:val="00BA7400"/>
    <w:rsid w:val="00BB0499"/>
    <w:rsid w:val="00BB0637"/>
    <w:rsid w:val="00BB13FE"/>
    <w:rsid w:val="00BB1B24"/>
    <w:rsid w:val="00BB345F"/>
    <w:rsid w:val="00BB39B2"/>
    <w:rsid w:val="00BB68EA"/>
    <w:rsid w:val="00BC1C27"/>
    <w:rsid w:val="00BC1E34"/>
    <w:rsid w:val="00BC23F6"/>
    <w:rsid w:val="00BC3003"/>
    <w:rsid w:val="00BC47F6"/>
    <w:rsid w:val="00BC4A8F"/>
    <w:rsid w:val="00BC52DB"/>
    <w:rsid w:val="00BC5B80"/>
    <w:rsid w:val="00BC5E5F"/>
    <w:rsid w:val="00BC6074"/>
    <w:rsid w:val="00BC6BBF"/>
    <w:rsid w:val="00BD0653"/>
    <w:rsid w:val="00BD1572"/>
    <w:rsid w:val="00BD2739"/>
    <w:rsid w:val="00BD41A2"/>
    <w:rsid w:val="00BD5987"/>
    <w:rsid w:val="00BD6267"/>
    <w:rsid w:val="00BD691E"/>
    <w:rsid w:val="00BD7834"/>
    <w:rsid w:val="00BD7CEB"/>
    <w:rsid w:val="00BE14E3"/>
    <w:rsid w:val="00BE1A3E"/>
    <w:rsid w:val="00BE2C61"/>
    <w:rsid w:val="00BE3222"/>
    <w:rsid w:val="00BE3774"/>
    <w:rsid w:val="00BE41E5"/>
    <w:rsid w:val="00BE45F9"/>
    <w:rsid w:val="00BE5BCF"/>
    <w:rsid w:val="00BE768D"/>
    <w:rsid w:val="00BE77F0"/>
    <w:rsid w:val="00BE7C44"/>
    <w:rsid w:val="00BF01D0"/>
    <w:rsid w:val="00BF0F8D"/>
    <w:rsid w:val="00BF19F1"/>
    <w:rsid w:val="00BF3340"/>
    <w:rsid w:val="00BF37AD"/>
    <w:rsid w:val="00BF4109"/>
    <w:rsid w:val="00BF4CC3"/>
    <w:rsid w:val="00BF5C09"/>
    <w:rsid w:val="00BF6D35"/>
    <w:rsid w:val="00C03B8B"/>
    <w:rsid w:val="00C04A00"/>
    <w:rsid w:val="00C054A7"/>
    <w:rsid w:val="00C054C7"/>
    <w:rsid w:val="00C057B5"/>
    <w:rsid w:val="00C06E15"/>
    <w:rsid w:val="00C11523"/>
    <w:rsid w:val="00C1188E"/>
    <w:rsid w:val="00C1262B"/>
    <w:rsid w:val="00C147BE"/>
    <w:rsid w:val="00C167B8"/>
    <w:rsid w:val="00C17B02"/>
    <w:rsid w:val="00C20A4F"/>
    <w:rsid w:val="00C21067"/>
    <w:rsid w:val="00C222AC"/>
    <w:rsid w:val="00C22687"/>
    <w:rsid w:val="00C22E6A"/>
    <w:rsid w:val="00C23028"/>
    <w:rsid w:val="00C239F6"/>
    <w:rsid w:val="00C24185"/>
    <w:rsid w:val="00C25E04"/>
    <w:rsid w:val="00C26A64"/>
    <w:rsid w:val="00C30590"/>
    <w:rsid w:val="00C31CF3"/>
    <w:rsid w:val="00C31F67"/>
    <w:rsid w:val="00C32E4D"/>
    <w:rsid w:val="00C3301F"/>
    <w:rsid w:val="00C333A0"/>
    <w:rsid w:val="00C36408"/>
    <w:rsid w:val="00C36A81"/>
    <w:rsid w:val="00C37849"/>
    <w:rsid w:val="00C40630"/>
    <w:rsid w:val="00C41974"/>
    <w:rsid w:val="00C43CE0"/>
    <w:rsid w:val="00C44FC7"/>
    <w:rsid w:val="00C45E06"/>
    <w:rsid w:val="00C51E16"/>
    <w:rsid w:val="00C52E85"/>
    <w:rsid w:val="00C5308E"/>
    <w:rsid w:val="00C53425"/>
    <w:rsid w:val="00C53F4A"/>
    <w:rsid w:val="00C54125"/>
    <w:rsid w:val="00C55B54"/>
    <w:rsid w:val="00C57B85"/>
    <w:rsid w:val="00C57DFF"/>
    <w:rsid w:val="00C607D0"/>
    <w:rsid w:val="00C607F2"/>
    <w:rsid w:val="00C6098E"/>
    <w:rsid w:val="00C60E74"/>
    <w:rsid w:val="00C611D8"/>
    <w:rsid w:val="00C6152C"/>
    <w:rsid w:val="00C6316B"/>
    <w:rsid w:val="00C63990"/>
    <w:rsid w:val="00C64EF6"/>
    <w:rsid w:val="00C65050"/>
    <w:rsid w:val="00C70EC0"/>
    <w:rsid w:val="00C73CF2"/>
    <w:rsid w:val="00C746C0"/>
    <w:rsid w:val="00C74810"/>
    <w:rsid w:val="00C7788A"/>
    <w:rsid w:val="00C80902"/>
    <w:rsid w:val="00C81014"/>
    <w:rsid w:val="00C82821"/>
    <w:rsid w:val="00C82B04"/>
    <w:rsid w:val="00C830BD"/>
    <w:rsid w:val="00C837A8"/>
    <w:rsid w:val="00C878A6"/>
    <w:rsid w:val="00C87B16"/>
    <w:rsid w:val="00C90D68"/>
    <w:rsid w:val="00C91601"/>
    <w:rsid w:val="00C939FE"/>
    <w:rsid w:val="00CA04C3"/>
    <w:rsid w:val="00CA1795"/>
    <w:rsid w:val="00CA2041"/>
    <w:rsid w:val="00CA4258"/>
    <w:rsid w:val="00CA4BDA"/>
    <w:rsid w:val="00CA5E83"/>
    <w:rsid w:val="00CA615D"/>
    <w:rsid w:val="00CA6548"/>
    <w:rsid w:val="00CB1F66"/>
    <w:rsid w:val="00CB2951"/>
    <w:rsid w:val="00CB5041"/>
    <w:rsid w:val="00CB6997"/>
    <w:rsid w:val="00CC07BF"/>
    <w:rsid w:val="00CC2D33"/>
    <w:rsid w:val="00CC3FE5"/>
    <w:rsid w:val="00CC4ECE"/>
    <w:rsid w:val="00CC61B6"/>
    <w:rsid w:val="00CC71E6"/>
    <w:rsid w:val="00CD16F8"/>
    <w:rsid w:val="00CD1A54"/>
    <w:rsid w:val="00CD282B"/>
    <w:rsid w:val="00CD4C35"/>
    <w:rsid w:val="00CD5BEE"/>
    <w:rsid w:val="00CD7369"/>
    <w:rsid w:val="00CE0B0E"/>
    <w:rsid w:val="00CE1AE9"/>
    <w:rsid w:val="00CE1B4D"/>
    <w:rsid w:val="00CE3134"/>
    <w:rsid w:val="00CE3831"/>
    <w:rsid w:val="00CE7C30"/>
    <w:rsid w:val="00CF18F6"/>
    <w:rsid w:val="00CF2503"/>
    <w:rsid w:val="00CF2565"/>
    <w:rsid w:val="00CF4DB9"/>
    <w:rsid w:val="00CF76E3"/>
    <w:rsid w:val="00D00ABB"/>
    <w:rsid w:val="00D02EEC"/>
    <w:rsid w:val="00D03551"/>
    <w:rsid w:val="00D056B6"/>
    <w:rsid w:val="00D066FC"/>
    <w:rsid w:val="00D06A63"/>
    <w:rsid w:val="00D074CB"/>
    <w:rsid w:val="00D0798B"/>
    <w:rsid w:val="00D07E0E"/>
    <w:rsid w:val="00D10643"/>
    <w:rsid w:val="00D11478"/>
    <w:rsid w:val="00D118FE"/>
    <w:rsid w:val="00D1466E"/>
    <w:rsid w:val="00D14B22"/>
    <w:rsid w:val="00D15253"/>
    <w:rsid w:val="00D15ED0"/>
    <w:rsid w:val="00D17735"/>
    <w:rsid w:val="00D17D56"/>
    <w:rsid w:val="00D20EC5"/>
    <w:rsid w:val="00D2173A"/>
    <w:rsid w:val="00D21B3E"/>
    <w:rsid w:val="00D21FED"/>
    <w:rsid w:val="00D22DC9"/>
    <w:rsid w:val="00D2300A"/>
    <w:rsid w:val="00D24251"/>
    <w:rsid w:val="00D250D7"/>
    <w:rsid w:val="00D2534B"/>
    <w:rsid w:val="00D30CFE"/>
    <w:rsid w:val="00D32662"/>
    <w:rsid w:val="00D343E2"/>
    <w:rsid w:val="00D3461A"/>
    <w:rsid w:val="00D361A2"/>
    <w:rsid w:val="00D37C1F"/>
    <w:rsid w:val="00D4047E"/>
    <w:rsid w:val="00D42528"/>
    <w:rsid w:val="00D42AFF"/>
    <w:rsid w:val="00D433DF"/>
    <w:rsid w:val="00D446FF"/>
    <w:rsid w:val="00D44C2E"/>
    <w:rsid w:val="00D44E42"/>
    <w:rsid w:val="00D45252"/>
    <w:rsid w:val="00D45414"/>
    <w:rsid w:val="00D46B80"/>
    <w:rsid w:val="00D51605"/>
    <w:rsid w:val="00D54229"/>
    <w:rsid w:val="00D55CB2"/>
    <w:rsid w:val="00D566BD"/>
    <w:rsid w:val="00D576CF"/>
    <w:rsid w:val="00D57A4D"/>
    <w:rsid w:val="00D60AA7"/>
    <w:rsid w:val="00D631C5"/>
    <w:rsid w:val="00D63AF2"/>
    <w:rsid w:val="00D6435F"/>
    <w:rsid w:val="00D6480C"/>
    <w:rsid w:val="00D64C1F"/>
    <w:rsid w:val="00D65166"/>
    <w:rsid w:val="00D65C2A"/>
    <w:rsid w:val="00D67C39"/>
    <w:rsid w:val="00D71759"/>
    <w:rsid w:val="00D7187A"/>
    <w:rsid w:val="00D71AA2"/>
    <w:rsid w:val="00D75E28"/>
    <w:rsid w:val="00D772BD"/>
    <w:rsid w:val="00D772C2"/>
    <w:rsid w:val="00D8008E"/>
    <w:rsid w:val="00D82C45"/>
    <w:rsid w:val="00D8561E"/>
    <w:rsid w:val="00D8716A"/>
    <w:rsid w:val="00D90120"/>
    <w:rsid w:val="00D908A8"/>
    <w:rsid w:val="00D916EB"/>
    <w:rsid w:val="00D92079"/>
    <w:rsid w:val="00D977B6"/>
    <w:rsid w:val="00DA260F"/>
    <w:rsid w:val="00DA34B0"/>
    <w:rsid w:val="00DA3DBB"/>
    <w:rsid w:val="00DA4A31"/>
    <w:rsid w:val="00DA5139"/>
    <w:rsid w:val="00DA5A07"/>
    <w:rsid w:val="00DA6790"/>
    <w:rsid w:val="00DA7B04"/>
    <w:rsid w:val="00DB0FB8"/>
    <w:rsid w:val="00DB324A"/>
    <w:rsid w:val="00DB36C2"/>
    <w:rsid w:val="00DB4BF0"/>
    <w:rsid w:val="00DB5055"/>
    <w:rsid w:val="00DB5A29"/>
    <w:rsid w:val="00DB6377"/>
    <w:rsid w:val="00DB7694"/>
    <w:rsid w:val="00DC169B"/>
    <w:rsid w:val="00DC1D03"/>
    <w:rsid w:val="00DC2AB9"/>
    <w:rsid w:val="00DC5791"/>
    <w:rsid w:val="00DC63F0"/>
    <w:rsid w:val="00DD04C3"/>
    <w:rsid w:val="00DD1C93"/>
    <w:rsid w:val="00DD23BD"/>
    <w:rsid w:val="00DD26C2"/>
    <w:rsid w:val="00DD362B"/>
    <w:rsid w:val="00DD4AAB"/>
    <w:rsid w:val="00DD5146"/>
    <w:rsid w:val="00DD5A80"/>
    <w:rsid w:val="00DD6AB4"/>
    <w:rsid w:val="00DD6C95"/>
    <w:rsid w:val="00DD6D07"/>
    <w:rsid w:val="00DD6EE5"/>
    <w:rsid w:val="00DE095A"/>
    <w:rsid w:val="00DE0CDA"/>
    <w:rsid w:val="00DE0F0F"/>
    <w:rsid w:val="00DE3066"/>
    <w:rsid w:val="00DE386C"/>
    <w:rsid w:val="00DE4AB5"/>
    <w:rsid w:val="00DE4D35"/>
    <w:rsid w:val="00DE572F"/>
    <w:rsid w:val="00DE5ECA"/>
    <w:rsid w:val="00DE7434"/>
    <w:rsid w:val="00DE7440"/>
    <w:rsid w:val="00DE768C"/>
    <w:rsid w:val="00DE7813"/>
    <w:rsid w:val="00DE7DA0"/>
    <w:rsid w:val="00DE7E97"/>
    <w:rsid w:val="00DF098B"/>
    <w:rsid w:val="00DF0C50"/>
    <w:rsid w:val="00DF11C4"/>
    <w:rsid w:val="00DF210C"/>
    <w:rsid w:val="00DF2DB5"/>
    <w:rsid w:val="00DF4B6A"/>
    <w:rsid w:val="00DF6EE9"/>
    <w:rsid w:val="00E010A6"/>
    <w:rsid w:val="00E01E65"/>
    <w:rsid w:val="00E02C09"/>
    <w:rsid w:val="00E0341D"/>
    <w:rsid w:val="00E04D59"/>
    <w:rsid w:val="00E05231"/>
    <w:rsid w:val="00E05C2E"/>
    <w:rsid w:val="00E07DA1"/>
    <w:rsid w:val="00E10438"/>
    <w:rsid w:val="00E1082F"/>
    <w:rsid w:val="00E119EB"/>
    <w:rsid w:val="00E11EBC"/>
    <w:rsid w:val="00E123CB"/>
    <w:rsid w:val="00E12A01"/>
    <w:rsid w:val="00E13AC9"/>
    <w:rsid w:val="00E159FE"/>
    <w:rsid w:val="00E16CE2"/>
    <w:rsid w:val="00E177B5"/>
    <w:rsid w:val="00E20E13"/>
    <w:rsid w:val="00E21DBC"/>
    <w:rsid w:val="00E22B9B"/>
    <w:rsid w:val="00E243E7"/>
    <w:rsid w:val="00E25425"/>
    <w:rsid w:val="00E26AD6"/>
    <w:rsid w:val="00E2723E"/>
    <w:rsid w:val="00E275D7"/>
    <w:rsid w:val="00E277B7"/>
    <w:rsid w:val="00E27DBE"/>
    <w:rsid w:val="00E31471"/>
    <w:rsid w:val="00E32248"/>
    <w:rsid w:val="00E32AB1"/>
    <w:rsid w:val="00E33EEB"/>
    <w:rsid w:val="00E35C52"/>
    <w:rsid w:val="00E36C71"/>
    <w:rsid w:val="00E373F5"/>
    <w:rsid w:val="00E37C32"/>
    <w:rsid w:val="00E40404"/>
    <w:rsid w:val="00E40595"/>
    <w:rsid w:val="00E42527"/>
    <w:rsid w:val="00E4438A"/>
    <w:rsid w:val="00E4529A"/>
    <w:rsid w:val="00E459C6"/>
    <w:rsid w:val="00E45CAA"/>
    <w:rsid w:val="00E45CB2"/>
    <w:rsid w:val="00E47589"/>
    <w:rsid w:val="00E53E3E"/>
    <w:rsid w:val="00E54623"/>
    <w:rsid w:val="00E5763F"/>
    <w:rsid w:val="00E60764"/>
    <w:rsid w:val="00E61905"/>
    <w:rsid w:val="00E62DAF"/>
    <w:rsid w:val="00E62FAF"/>
    <w:rsid w:val="00E64915"/>
    <w:rsid w:val="00E661D4"/>
    <w:rsid w:val="00E66A7A"/>
    <w:rsid w:val="00E66EA1"/>
    <w:rsid w:val="00E70091"/>
    <w:rsid w:val="00E70643"/>
    <w:rsid w:val="00E70B6D"/>
    <w:rsid w:val="00E70BEF"/>
    <w:rsid w:val="00E720F5"/>
    <w:rsid w:val="00E76D47"/>
    <w:rsid w:val="00E77CB3"/>
    <w:rsid w:val="00E82F42"/>
    <w:rsid w:val="00E84651"/>
    <w:rsid w:val="00E849F7"/>
    <w:rsid w:val="00E85EF7"/>
    <w:rsid w:val="00E864D2"/>
    <w:rsid w:val="00E90302"/>
    <w:rsid w:val="00E914BF"/>
    <w:rsid w:val="00E93D01"/>
    <w:rsid w:val="00E956A9"/>
    <w:rsid w:val="00E96544"/>
    <w:rsid w:val="00E96A3C"/>
    <w:rsid w:val="00E97396"/>
    <w:rsid w:val="00E97E13"/>
    <w:rsid w:val="00E97E51"/>
    <w:rsid w:val="00EA0960"/>
    <w:rsid w:val="00EA185E"/>
    <w:rsid w:val="00EA26E7"/>
    <w:rsid w:val="00EA2A86"/>
    <w:rsid w:val="00EA2F2E"/>
    <w:rsid w:val="00EA592A"/>
    <w:rsid w:val="00EA69A3"/>
    <w:rsid w:val="00EA7044"/>
    <w:rsid w:val="00EA7426"/>
    <w:rsid w:val="00EB14E4"/>
    <w:rsid w:val="00EB1585"/>
    <w:rsid w:val="00EB1A57"/>
    <w:rsid w:val="00EB32A5"/>
    <w:rsid w:val="00EB34ED"/>
    <w:rsid w:val="00EB358E"/>
    <w:rsid w:val="00EB5139"/>
    <w:rsid w:val="00EB5493"/>
    <w:rsid w:val="00EB56A9"/>
    <w:rsid w:val="00EB5D21"/>
    <w:rsid w:val="00EB6281"/>
    <w:rsid w:val="00EB62EE"/>
    <w:rsid w:val="00EB6E14"/>
    <w:rsid w:val="00EB7967"/>
    <w:rsid w:val="00EB7BE0"/>
    <w:rsid w:val="00EB7E63"/>
    <w:rsid w:val="00EC0128"/>
    <w:rsid w:val="00EC315E"/>
    <w:rsid w:val="00EC5028"/>
    <w:rsid w:val="00EC6609"/>
    <w:rsid w:val="00EC7902"/>
    <w:rsid w:val="00ED0132"/>
    <w:rsid w:val="00ED077C"/>
    <w:rsid w:val="00ED098A"/>
    <w:rsid w:val="00ED1190"/>
    <w:rsid w:val="00ED131E"/>
    <w:rsid w:val="00ED1839"/>
    <w:rsid w:val="00ED482A"/>
    <w:rsid w:val="00ED57DB"/>
    <w:rsid w:val="00ED6544"/>
    <w:rsid w:val="00ED72CA"/>
    <w:rsid w:val="00ED7394"/>
    <w:rsid w:val="00EE0277"/>
    <w:rsid w:val="00EE1998"/>
    <w:rsid w:val="00EE286E"/>
    <w:rsid w:val="00EE2F21"/>
    <w:rsid w:val="00EE3BF1"/>
    <w:rsid w:val="00EE3E00"/>
    <w:rsid w:val="00EE4B59"/>
    <w:rsid w:val="00EE5DD2"/>
    <w:rsid w:val="00EE6134"/>
    <w:rsid w:val="00EE6D32"/>
    <w:rsid w:val="00EE76FA"/>
    <w:rsid w:val="00EE7A4C"/>
    <w:rsid w:val="00EF0482"/>
    <w:rsid w:val="00EF0A2E"/>
    <w:rsid w:val="00EF253F"/>
    <w:rsid w:val="00EF63C2"/>
    <w:rsid w:val="00EF7B74"/>
    <w:rsid w:val="00EF7C53"/>
    <w:rsid w:val="00F00A79"/>
    <w:rsid w:val="00F00E86"/>
    <w:rsid w:val="00F03772"/>
    <w:rsid w:val="00F0392F"/>
    <w:rsid w:val="00F04CDE"/>
    <w:rsid w:val="00F06747"/>
    <w:rsid w:val="00F07C1E"/>
    <w:rsid w:val="00F105DB"/>
    <w:rsid w:val="00F132BC"/>
    <w:rsid w:val="00F13D80"/>
    <w:rsid w:val="00F16AAA"/>
    <w:rsid w:val="00F1702F"/>
    <w:rsid w:val="00F20EDF"/>
    <w:rsid w:val="00F21161"/>
    <w:rsid w:val="00F216A7"/>
    <w:rsid w:val="00F218EF"/>
    <w:rsid w:val="00F21BC7"/>
    <w:rsid w:val="00F25455"/>
    <w:rsid w:val="00F266A2"/>
    <w:rsid w:val="00F26B7C"/>
    <w:rsid w:val="00F317A5"/>
    <w:rsid w:val="00F32269"/>
    <w:rsid w:val="00F348CE"/>
    <w:rsid w:val="00F37DD5"/>
    <w:rsid w:val="00F4189F"/>
    <w:rsid w:val="00F41CF4"/>
    <w:rsid w:val="00F42100"/>
    <w:rsid w:val="00F43397"/>
    <w:rsid w:val="00F4594C"/>
    <w:rsid w:val="00F45BB3"/>
    <w:rsid w:val="00F51626"/>
    <w:rsid w:val="00F5259A"/>
    <w:rsid w:val="00F55C1A"/>
    <w:rsid w:val="00F567B6"/>
    <w:rsid w:val="00F56A6F"/>
    <w:rsid w:val="00F5709C"/>
    <w:rsid w:val="00F57B9A"/>
    <w:rsid w:val="00F62AD1"/>
    <w:rsid w:val="00F6378D"/>
    <w:rsid w:val="00F64886"/>
    <w:rsid w:val="00F64EF1"/>
    <w:rsid w:val="00F652B5"/>
    <w:rsid w:val="00F66DAC"/>
    <w:rsid w:val="00F6748B"/>
    <w:rsid w:val="00F67738"/>
    <w:rsid w:val="00F7062A"/>
    <w:rsid w:val="00F7117B"/>
    <w:rsid w:val="00F73C13"/>
    <w:rsid w:val="00F73DFF"/>
    <w:rsid w:val="00F76C5D"/>
    <w:rsid w:val="00F815F0"/>
    <w:rsid w:val="00F8765F"/>
    <w:rsid w:val="00F8794E"/>
    <w:rsid w:val="00F87C49"/>
    <w:rsid w:val="00F90767"/>
    <w:rsid w:val="00F95D54"/>
    <w:rsid w:val="00F96C40"/>
    <w:rsid w:val="00FA244F"/>
    <w:rsid w:val="00FA2F18"/>
    <w:rsid w:val="00FA3667"/>
    <w:rsid w:val="00FA3C96"/>
    <w:rsid w:val="00FA3E87"/>
    <w:rsid w:val="00FA3F72"/>
    <w:rsid w:val="00FA4714"/>
    <w:rsid w:val="00FA4A28"/>
    <w:rsid w:val="00FA4A97"/>
    <w:rsid w:val="00FA570C"/>
    <w:rsid w:val="00FA648A"/>
    <w:rsid w:val="00FA67CA"/>
    <w:rsid w:val="00FA685B"/>
    <w:rsid w:val="00FB00FE"/>
    <w:rsid w:val="00FB0B84"/>
    <w:rsid w:val="00FB0C01"/>
    <w:rsid w:val="00FB1D8E"/>
    <w:rsid w:val="00FB24EC"/>
    <w:rsid w:val="00FB2B45"/>
    <w:rsid w:val="00FB2F91"/>
    <w:rsid w:val="00FB5ABB"/>
    <w:rsid w:val="00FB5BFF"/>
    <w:rsid w:val="00FB73AE"/>
    <w:rsid w:val="00FB7C30"/>
    <w:rsid w:val="00FC0346"/>
    <w:rsid w:val="00FC18F2"/>
    <w:rsid w:val="00FC39E5"/>
    <w:rsid w:val="00FC3A78"/>
    <w:rsid w:val="00FC6685"/>
    <w:rsid w:val="00FD0A85"/>
    <w:rsid w:val="00FD1005"/>
    <w:rsid w:val="00FD1575"/>
    <w:rsid w:val="00FD2B99"/>
    <w:rsid w:val="00FD41DD"/>
    <w:rsid w:val="00FD4672"/>
    <w:rsid w:val="00FD6C75"/>
    <w:rsid w:val="00FE00A6"/>
    <w:rsid w:val="00FE556D"/>
    <w:rsid w:val="00FE5908"/>
    <w:rsid w:val="00FE5D6B"/>
    <w:rsid w:val="00FE6C67"/>
    <w:rsid w:val="00FE71B3"/>
    <w:rsid w:val="00FF22F7"/>
    <w:rsid w:val="00FF245F"/>
    <w:rsid w:val="00FF2CAF"/>
    <w:rsid w:val="00FF38ED"/>
    <w:rsid w:val="00FF4267"/>
    <w:rsid w:val="00FF42C5"/>
    <w:rsid w:val="00FF51B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1A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4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426D64"/>
    <w:rPr>
      <w:sz w:val="24"/>
      <w:szCs w:val="24"/>
    </w:rPr>
  </w:style>
  <w:style w:type="paragraph" w:styleId="Nagwek1">
    <w:name w:val="heading 1"/>
    <w:basedOn w:val="Normalny"/>
    <w:next w:val="Normalny"/>
    <w:link w:val="Nagwek1Znak"/>
    <w:uiPriority w:val="98"/>
    <w:semiHidden/>
    <w:rsid w:val="00426D6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426D6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426D64"/>
    <w:pPr>
      <w:spacing w:before="200" w:line="271" w:lineRule="auto"/>
      <w:outlineLvl w:val="2"/>
    </w:pPr>
    <w:rPr>
      <w:rFonts w:asciiTheme="majorHAnsi" w:eastAsiaTheme="majorEastAsia" w:hAnsiTheme="majorHAnsi" w:cstheme="majorBidi"/>
      <w:b/>
      <w:bCs/>
      <w:color w:val="5F5F5F"/>
      <w:sz w:val="22"/>
    </w:rPr>
  </w:style>
  <w:style w:type="paragraph" w:styleId="Nagwek4">
    <w:name w:val="heading 4"/>
    <w:basedOn w:val="Normalny"/>
    <w:next w:val="Normalny"/>
    <w:link w:val="Nagwek4Znak"/>
    <w:uiPriority w:val="98"/>
    <w:semiHidden/>
    <w:rsid w:val="00426D64"/>
    <w:pPr>
      <w:spacing w:before="200"/>
      <w:outlineLvl w:val="3"/>
    </w:pPr>
    <w:rPr>
      <w:rFonts w:asciiTheme="majorHAnsi" w:eastAsiaTheme="majorEastAsia" w:hAnsiTheme="majorHAnsi" w:cstheme="majorBidi"/>
      <w:b/>
      <w:bCs/>
      <w:i/>
      <w:iCs/>
      <w:color w:val="777777"/>
      <w:sz w:val="22"/>
    </w:rPr>
  </w:style>
  <w:style w:type="paragraph" w:styleId="Nagwek5">
    <w:name w:val="heading 5"/>
    <w:basedOn w:val="Normalny"/>
    <w:next w:val="Normalny"/>
    <w:link w:val="Nagwek5Znak"/>
    <w:uiPriority w:val="98"/>
    <w:semiHidden/>
    <w:qFormat/>
    <w:rsid w:val="00426D6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8"/>
    <w:semiHidden/>
    <w:rsid w:val="00426D64"/>
    <w:pPr>
      <w:spacing w:line="271" w:lineRule="auto"/>
      <w:outlineLvl w:val="5"/>
    </w:pPr>
    <w:rPr>
      <w:rFonts w:asciiTheme="majorHAnsi" w:eastAsiaTheme="majorEastAsia" w:hAnsiTheme="majorHAnsi" w:cstheme="majorBidi"/>
      <w:b/>
      <w:bCs/>
      <w:i/>
      <w:iCs/>
      <w:color w:val="7F7F7F" w:themeColor="text1" w:themeTint="80"/>
      <w:sz w:val="22"/>
      <w:lang w:bidi="en-US"/>
    </w:rPr>
  </w:style>
  <w:style w:type="paragraph" w:styleId="Nagwek7">
    <w:name w:val="heading 7"/>
    <w:basedOn w:val="Normalny"/>
    <w:next w:val="Normalny"/>
    <w:link w:val="Nagwek7Znak"/>
    <w:uiPriority w:val="98"/>
    <w:semiHidden/>
    <w:qFormat/>
    <w:rsid w:val="00426D6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8"/>
    <w:semiHidden/>
    <w:qFormat/>
    <w:rsid w:val="00426D6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426D6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426D64"/>
    <w:rPr>
      <w:rFonts w:ascii="Tahoma" w:hAnsi="Tahoma" w:cs="Tahoma"/>
      <w:sz w:val="16"/>
      <w:szCs w:val="16"/>
    </w:rPr>
  </w:style>
  <w:style w:type="character" w:customStyle="1" w:styleId="TekstdymkaZnak">
    <w:name w:val="Tekst dymka Znak"/>
    <w:basedOn w:val="Domylnaczcionkaakapitu"/>
    <w:link w:val="Tekstdymka"/>
    <w:uiPriority w:val="98"/>
    <w:semiHidden/>
    <w:rsid w:val="00426D64"/>
    <w:rPr>
      <w:rFonts w:ascii="Tahoma" w:hAnsi="Tahoma" w:cs="Tahoma"/>
      <w:sz w:val="16"/>
      <w:szCs w:val="16"/>
      <w:lang w:val="pl-PL"/>
    </w:rPr>
  </w:style>
  <w:style w:type="character" w:styleId="Tytuksiki">
    <w:name w:val="Book Title"/>
    <w:uiPriority w:val="98"/>
    <w:semiHidden/>
    <w:qFormat/>
    <w:rsid w:val="00426D64"/>
    <w:rPr>
      <w:i/>
      <w:iCs/>
      <w:smallCaps/>
      <w:spacing w:val="5"/>
    </w:rPr>
  </w:style>
  <w:style w:type="paragraph" w:customStyle="1" w:styleId="JuHeader">
    <w:name w:val="Ju_Header"/>
    <w:aliases w:val="_Header"/>
    <w:basedOn w:val="Nagwek"/>
    <w:uiPriority w:val="29"/>
    <w:qFormat/>
    <w:rsid w:val="00426D64"/>
    <w:pPr>
      <w:tabs>
        <w:tab w:val="clear" w:pos="4536"/>
        <w:tab w:val="clear" w:pos="9072"/>
      </w:tabs>
      <w:jc w:val="center"/>
    </w:pPr>
    <w:rPr>
      <w:sz w:val="18"/>
    </w:rPr>
  </w:style>
  <w:style w:type="paragraph" w:customStyle="1" w:styleId="ECHRFooter">
    <w:name w:val="ECHR_Footer"/>
    <w:aliases w:val="Footer_ECHR"/>
    <w:basedOn w:val="Stopka"/>
    <w:uiPriority w:val="57"/>
    <w:semiHidden/>
    <w:rsid w:val="00BD6267"/>
    <w:rPr>
      <w:sz w:val="8"/>
    </w:rPr>
  </w:style>
  <w:style w:type="character" w:styleId="Pogrubienie">
    <w:name w:val="Strong"/>
    <w:uiPriority w:val="98"/>
    <w:semiHidden/>
    <w:qFormat/>
    <w:rsid w:val="00426D64"/>
    <w:rPr>
      <w:b/>
      <w:bCs/>
    </w:rPr>
  </w:style>
  <w:style w:type="paragraph" w:styleId="Bezodstpw">
    <w:name w:val="No Spacing"/>
    <w:basedOn w:val="Normalny"/>
    <w:link w:val="BezodstpwZnak"/>
    <w:uiPriority w:val="98"/>
    <w:semiHidden/>
    <w:qFormat/>
    <w:rsid w:val="00426D64"/>
  </w:style>
  <w:style w:type="character" w:customStyle="1" w:styleId="BezodstpwZnak">
    <w:name w:val="Bez odstępów Znak"/>
    <w:basedOn w:val="Domylnaczcionkaakapitu"/>
    <w:link w:val="Bezodstpw"/>
    <w:uiPriority w:val="98"/>
    <w:semiHidden/>
    <w:rsid w:val="00426D64"/>
    <w:rPr>
      <w:sz w:val="24"/>
      <w:szCs w:val="24"/>
      <w:lang w:val="pl-PL"/>
    </w:rPr>
  </w:style>
  <w:style w:type="paragraph" w:customStyle="1" w:styleId="FooterLine">
    <w:name w:val="_Footer_Line"/>
    <w:aliases w:val="Footer_Line"/>
    <w:basedOn w:val="Normalny"/>
    <w:next w:val="Footer"/>
    <w:uiPriority w:val="57"/>
    <w:semiHidden/>
    <w:rsid w:val="00426D64"/>
    <w:pPr>
      <w:pBdr>
        <w:top w:val="single" w:sz="6" w:space="1" w:color="5F5F5F"/>
      </w:pBdr>
      <w:tabs>
        <w:tab w:val="center" w:pos="3686"/>
        <w:tab w:val="right" w:pos="7371"/>
      </w:tabs>
      <w:ind w:left="-1474" w:right="-1474"/>
    </w:pPr>
    <w:rPr>
      <w:color w:val="5F5F5F"/>
    </w:rPr>
  </w:style>
  <w:style w:type="paragraph" w:customStyle="1" w:styleId="DecHTitle">
    <w:name w:val="Dec_H_Title"/>
    <w:aliases w:val="_Title_1"/>
    <w:basedOn w:val="JuPara"/>
    <w:next w:val="JuPara"/>
    <w:uiPriority w:val="38"/>
    <w:qFormat/>
    <w:rsid w:val="00426D64"/>
    <w:pPr>
      <w:keepNext/>
      <w:keepLines/>
      <w:spacing w:after="240"/>
      <w:ind w:firstLine="0"/>
      <w:jc w:val="center"/>
      <w:outlineLvl w:val="0"/>
    </w:pPr>
    <w:rPr>
      <w:rFonts w:asciiTheme="majorHAnsi" w:hAnsiTheme="majorHAnsi"/>
      <w:sz w:val="28"/>
    </w:rPr>
  </w:style>
  <w:style w:type="paragraph" w:customStyle="1" w:styleId="ECHRBullet1">
    <w:name w:val="ECHR_Bullet_1"/>
    <w:aliases w:val="_Bul_1"/>
    <w:basedOn w:val="NormalJustified"/>
    <w:uiPriority w:val="23"/>
    <w:semiHidden/>
    <w:qFormat/>
    <w:rsid w:val="00426D64"/>
    <w:pPr>
      <w:numPr>
        <w:numId w:val="6"/>
      </w:numPr>
      <w:spacing w:before="60" w:after="60"/>
    </w:pPr>
  </w:style>
  <w:style w:type="paragraph" w:customStyle="1" w:styleId="NormalJustified">
    <w:name w:val="Normal_Justified"/>
    <w:basedOn w:val="Normalny"/>
    <w:semiHidden/>
    <w:rsid w:val="00426D64"/>
    <w:pPr>
      <w:jc w:val="both"/>
    </w:pPr>
  </w:style>
  <w:style w:type="paragraph" w:customStyle="1" w:styleId="JuHArticle">
    <w:name w:val="Ju_H_Article"/>
    <w:aliases w:val="_Title_Quote"/>
    <w:basedOn w:val="Normalny"/>
    <w:next w:val="JuQuot"/>
    <w:uiPriority w:val="19"/>
    <w:qFormat/>
    <w:rsid w:val="00426D64"/>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426D64"/>
    <w:pPr>
      <w:keepNext/>
      <w:keepLines/>
      <w:tabs>
        <w:tab w:val="right" w:pos="7938"/>
      </w:tabs>
      <w:ind w:firstLine="0"/>
      <w:jc w:val="center"/>
    </w:pPr>
    <w:rPr>
      <w:i/>
    </w:rPr>
  </w:style>
  <w:style w:type="numbering" w:customStyle="1" w:styleId="ECHRA1StyleBulletedSquare">
    <w:name w:val="ECHR_A1_Style_Bulleted_Square"/>
    <w:basedOn w:val="Bezlisty"/>
    <w:rsid w:val="00426D64"/>
    <w:pPr>
      <w:numPr>
        <w:numId w:val="6"/>
      </w:numPr>
    </w:pPr>
  </w:style>
  <w:style w:type="paragraph" w:customStyle="1" w:styleId="JuCourt">
    <w:name w:val="Ju_Court"/>
    <w:aliases w:val="_Court_Names"/>
    <w:basedOn w:val="Normalny"/>
    <w:next w:val="Normalny"/>
    <w:uiPriority w:val="32"/>
    <w:qFormat/>
    <w:rsid w:val="00426D64"/>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426D64"/>
    <w:pPr>
      <w:tabs>
        <w:tab w:val="center" w:pos="6407"/>
      </w:tabs>
      <w:spacing w:before="720"/>
      <w:jc w:val="right"/>
    </w:pPr>
  </w:style>
  <w:style w:type="paragraph" w:customStyle="1" w:styleId="DecHCase">
    <w:name w:val="Dec_H_Case"/>
    <w:aliases w:val="_Title_3"/>
    <w:basedOn w:val="JuPara"/>
    <w:next w:val="JuPara"/>
    <w:uiPriority w:val="38"/>
    <w:qFormat/>
    <w:rsid w:val="00426D64"/>
    <w:pPr>
      <w:keepNext/>
      <w:keepLines/>
      <w:spacing w:after="280"/>
      <w:ind w:firstLine="0"/>
      <w:jc w:val="center"/>
    </w:pPr>
    <w:rPr>
      <w:rFonts w:asciiTheme="majorHAnsi" w:hAnsiTheme="majorHAnsi"/>
    </w:rPr>
  </w:style>
  <w:style w:type="paragraph" w:customStyle="1" w:styleId="JuList">
    <w:name w:val="Ju_List"/>
    <w:aliases w:val="_List_1"/>
    <w:basedOn w:val="NormalJustified"/>
    <w:uiPriority w:val="23"/>
    <w:qFormat/>
    <w:rsid w:val="00426D64"/>
    <w:pPr>
      <w:numPr>
        <w:numId w:val="7"/>
      </w:numPr>
      <w:spacing w:before="280" w:after="60"/>
    </w:pPr>
  </w:style>
  <w:style w:type="paragraph" w:styleId="Tytu">
    <w:name w:val="Title"/>
    <w:basedOn w:val="Normalny"/>
    <w:next w:val="Normalny"/>
    <w:link w:val="TytuZnak"/>
    <w:uiPriority w:val="98"/>
    <w:semiHidden/>
    <w:qFormat/>
    <w:rsid w:val="00426D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426D64"/>
    <w:rPr>
      <w:rFonts w:asciiTheme="majorHAnsi" w:eastAsiaTheme="majorEastAsia" w:hAnsiTheme="majorHAnsi" w:cstheme="majorBidi"/>
      <w:spacing w:val="5"/>
      <w:sz w:val="52"/>
      <w:szCs w:val="52"/>
      <w:lang w:val="pl-PL" w:bidi="en-US"/>
    </w:rPr>
  </w:style>
  <w:style w:type="paragraph" w:customStyle="1" w:styleId="JuH1">
    <w:name w:val="Ju_H_1."/>
    <w:aliases w:val="_Head_4"/>
    <w:basedOn w:val="Nagwek4"/>
    <w:next w:val="JuPara"/>
    <w:uiPriority w:val="17"/>
    <w:rsid w:val="00426D64"/>
    <w:pPr>
      <w:keepNext/>
      <w:keepLines/>
      <w:numPr>
        <w:ilvl w:val="3"/>
        <w:numId w:val="2"/>
      </w:numPr>
      <w:spacing w:before="100" w:beforeAutospacing="1" w:after="120"/>
      <w:jc w:val="both"/>
    </w:pPr>
    <w:rPr>
      <w:b w:val="0"/>
      <w:color w:val="auto"/>
    </w:rPr>
  </w:style>
  <w:style w:type="paragraph" w:customStyle="1" w:styleId="JuHa0">
    <w:name w:val="Ju_H_a"/>
    <w:aliases w:val="_Head_5"/>
    <w:basedOn w:val="Nagwek5"/>
    <w:next w:val="JuPara"/>
    <w:uiPriority w:val="17"/>
    <w:rsid w:val="00426D64"/>
    <w:pPr>
      <w:keepNext/>
      <w:keepLines/>
      <w:numPr>
        <w:ilvl w:val="4"/>
        <w:numId w:val="2"/>
      </w:numPr>
      <w:spacing w:before="100" w:beforeAutospacing="1" w:after="120"/>
      <w:jc w:val="both"/>
    </w:pPr>
    <w:rPr>
      <w:color w:val="auto"/>
      <w:sz w:val="20"/>
    </w:rPr>
  </w:style>
  <w:style w:type="paragraph" w:customStyle="1" w:styleId="JuHi">
    <w:name w:val="Ju_H_i"/>
    <w:aliases w:val="_Head_6"/>
    <w:basedOn w:val="Nagwek6"/>
    <w:next w:val="JuPara"/>
    <w:uiPriority w:val="17"/>
    <w:rsid w:val="00426D64"/>
    <w:pPr>
      <w:keepNext/>
      <w:keepLines/>
      <w:numPr>
        <w:ilvl w:val="5"/>
        <w:numId w:val="2"/>
      </w:numPr>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426D64"/>
    <w:pPr>
      <w:keepNext/>
      <w:keepLines/>
      <w:numPr>
        <w:ilvl w:val="6"/>
        <w:numId w:val="2"/>
      </w:numPr>
      <w:spacing w:before="100" w:beforeAutospacing="1" w:after="120"/>
      <w:jc w:val="both"/>
    </w:pPr>
    <w:rPr>
      <w:i w:val="0"/>
      <w:sz w:val="20"/>
    </w:rPr>
  </w:style>
  <w:style w:type="paragraph" w:customStyle="1" w:styleId="JuH">
    <w:name w:val="Ju_H_–"/>
    <w:aliases w:val="_Head_8"/>
    <w:basedOn w:val="Nagwek8"/>
    <w:next w:val="JuPara"/>
    <w:uiPriority w:val="17"/>
    <w:rsid w:val="00426D64"/>
    <w:pPr>
      <w:keepNext/>
      <w:keepLines/>
      <w:numPr>
        <w:ilvl w:val="7"/>
        <w:numId w:val="2"/>
      </w:numPr>
      <w:spacing w:before="100" w:beforeAutospacing="1" w:after="120"/>
    </w:pPr>
    <w:rPr>
      <w:i/>
    </w:rPr>
  </w:style>
  <w:style w:type="paragraph" w:customStyle="1" w:styleId="JuLista">
    <w:name w:val="Ju_List_a"/>
    <w:aliases w:val="_List_2"/>
    <w:basedOn w:val="NormalJustified"/>
    <w:uiPriority w:val="23"/>
    <w:rsid w:val="00426D64"/>
    <w:pPr>
      <w:numPr>
        <w:ilvl w:val="1"/>
        <w:numId w:val="7"/>
      </w:numPr>
    </w:pPr>
  </w:style>
  <w:style w:type="paragraph" w:customStyle="1" w:styleId="JuListi">
    <w:name w:val="Ju_List_i"/>
    <w:aliases w:val="_List_3"/>
    <w:basedOn w:val="NormalJustified"/>
    <w:uiPriority w:val="23"/>
    <w:rsid w:val="00426D64"/>
    <w:pPr>
      <w:numPr>
        <w:ilvl w:val="2"/>
        <w:numId w:val="7"/>
      </w:numPr>
    </w:pPr>
  </w:style>
  <w:style w:type="character" w:customStyle="1" w:styleId="JUNAMES">
    <w:name w:val="JU_NAMES"/>
    <w:aliases w:val="_Ju_Names"/>
    <w:uiPriority w:val="33"/>
    <w:qFormat/>
    <w:rsid w:val="00426D64"/>
    <w:rPr>
      <w:caps w:val="0"/>
      <w:smallCaps/>
    </w:rPr>
  </w:style>
  <w:style w:type="paragraph" w:styleId="Nagwek">
    <w:name w:val="header"/>
    <w:basedOn w:val="Normalny"/>
    <w:link w:val="NagwekZnak"/>
    <w:uiPriority w:val="98"/>
    <w:semiHidden/>
    <w:rsid w:val="00426D64"/>
    <w:pPr>
      <w:tabs>
        <w:tab w:val="center" w:pos="4536"/>
        <w:tab w:val="right" w:pos="9072"/>
      </w:tabs>
    </w:pPr>
  </w:style>
  <w:style w:type="character" w:customStyle="1" w:styleId="NagwekZnak">
    <w:name w:val="Nagłówek Znak"/>
    <w:basedOn w:val="Domylnaczcionkaakapitu"/>
    <w:link w:val="Nagwek"/>
    <w:uiPriority w:val="98"/>
    <w:semiHidden/>
    <w:rsid w:val="00426D64"/>
    <w:rPr>
      <w:sz w:val="24"/>
      <w:szCs w:val="24"/>
      <w:lang w:val="pl-PL"/>
    </w:rPr>
  </w:style>
  <w:style w:type="character" w:customStyle="1" w:styleId="Nagwek1Znak">
    <w:name w:val="Nagłówek 1 Znak"/>
    <w:basedOn w:val="Domylnaczcionkaakapitu"/>
    <w:link w:val="Nagwek1"/>
    <w:uiPriority w:val="98"/>
    <w:semiHidden/>
    <w:rsid w:val="00426D64"/>
    <w:rPr>
      <w:rFonts w:asciiTheme="majorHAnsi" w:eastAsiaTheme="majorEastAsia" w:hAnsiTheme="majorHAnsi" w:cstheme="majorBidi"/>
      <w:b/>
      <w:bCs/>
      <w:color w:val="333333"/>
      <w:sz w:val="28"/>
      <w:szCs w:val="28"/>
      <w:lang w:val="pl-PL"/>
    </w:rPr>
  </w:style>
  <w:style w:type="paragraph" w:customStyle="1" w:styleId="JuHIRoman">
    <w:name w:val="Ju_H_I_Roman"/>
    <w:aliases w:val="_Head_2"/>
    <w:basedOn w:val="Nagwek2"/>
    <w:next w:val="JuPara"/>
    <w:uiPriority w:val="17"/>
    <w:rsid w:val="00426D64"/>
    <w:pPr>
      <w:keepNext/>
      <w:keepLines/>
      <w:numPr>
        <w:ilvl w:val="1"/>
        <w:numId w:val="2"/>
      </w:numPr>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426D64"/>
    <w:pPr>
      <w:keepNext/>
      <w:keepLines/>
      <w:numPr>
        <w:ilvl w:val="2"/>
        <w:numId w:val="2"/>
      </w:numPr>
      <w:spacing w:before="100" w:beforeAutospacing="1" w:after="240" w:line="240" w:lineRule="auto"/>
      <w:jc w:val="both"/>
    </w:pPr>
    <w:rPr>
      <w:color w:val="auto"/>
    </w:rPr>
  </w:style>
  <w:style w:type="character" w:customStyle="1" w:styleId="Nagwek2Znak">
    <w:name w:val="Nagłówek 2 Znak"/>
    <w:basedOn w:val="Domylnaczcionkaakapitu"/>
    <w:link w:val="Nagwek2"/>
    <w:uiPriority w:val="98"/>
    <w:semiHidden/>
    <w:rsid w:val="00426D64"/>
    <w:rPr>
      <w:rFonts w:asciiTheme="majorHAnsi" w:eastAsiaTheme="majorEastAsia" w:hAnsiTheme="majorHAnsi" w:cstheme="majorBidi"/>
      <w:b/>
      <w:bCs/>
      <w:color w:val="4D4D4D"/>
      <w:sz w:val="26"/>
      <w:szCs w:val="26"/>
      <w:lang w:val="pl-PL"/>
    </w:rPr>
  </w:style>
  <w:style w:type="paragraph" w:customStyle="1" w:styleId="JuParaLast">
    <w:name w:val="Ju_Para_Last"/>
    <w:aliases w:val="_Para_Spaced"/>
    <w:basedOn w:val="NormalJustified"/>
    <w:uiPriority w:val="5"/>
    <w:qFormat/>
    <w:rsid w:val="00426D64"/>
    <w:pPr>
      <w:keepNext/>
      <w:keepLines/>
      <w:spacing w:before="240" w:after="240"/>
      <w:ind w:firstLine="284"/>
    </w:pPr>
  </w:style>
  <w:style w:type="paragraph" w:customStyle="1" w:styleId="JuJudges">
    <w:name w:val="Ju_Judges"/>
    <w:aliases w:val="_Judges"/>
    <w:basedOn w:val="Normalny"/>
    <w:uiPriority w:val="32"/>
    <w:qFormat/>
    <w:rsid w:val="00426D64"/>
    <w:pPr>
      <w:tabs>
        <w:tab w:val="left" w:pos="567"/>
        <w:tab w:val="left" w:pos="1134"/>
      </w:tabs>
    </w:pPr>
  </w:style>
  <w:style w:type="character" w:customStyle="1" w:styleId="Nagwek3Znak">
    <w:name w:val="Nagłówek 3 Znak"/>
    <w:basedOn w:val="Domylnaczcionkaakapitu"/>
    <w:link w:val="Nagwek3"/>
    <w:uiPriority w:val="98"/>
    <w:semiHidden/>
    <w:rsid w:val="00426D64"/>
    <w:rPr>
      <w:rFonts w:asciiTheme="majorHAnsi" w:eastAsiaTheme="majorEastAsia" w:hAnsiTheme="majorHAnsi" w:cstheme="majorBidi"/>
      <w:b/>
      <w:bCs/>
      <w:color w:val="5F5F5F"/>
      <w:lang w:val="pl-PL"/>
    </w:rPr>
  </w:style>
  <w:style w:type="paragraph" w:customStyle="1" w:styleId="JuPara">
    <w:name w:val="Ju_Para"/>
    <w:aliases w:val="_Para"/>
    <w:basedOn w:val="NormalJustified"/>
    <w:uiPriority w:val="4"/>
    <w:qFormat/>
    <w:rsid w:val="00426D64"/>
    <w:pPr>
      <w:ind w:firstLine="284"/>
    </w:pPr>
  </w:style>
  <w:style w:type="character" w:customStyle="1" w:styleId="Nagwek4Znak">
    <w:name w:val="Nagłówek 4 Znak"/>
    <w:basedOn w:val="Domylnaczcionkaakapitu"/>
    <w:link w:val="Nagwek4"/>
    <w:uiPriority w:val="98"/>
    <w:semiHidden/>
    <w:rsid w:val="00426D64"/>
    <w:rPr>
      <w:rFonts w:asciiTheme="majorHAnsi" w:eastAsiaTheme="majorEastAsia" w:hAnsiTheme="majorHAnsi" w:cstheme="majorBidi"/>
      <w:b/>
      <w:bCs/>
      <w:i/>
      <w:iCs/>
      <w:color w:val="777777"/>
      <w:lang w:val="pl-PL"/>
    </w:rPr>
  </w:style>
  <w:style w:type="character" w:customStyle="1" w:styleId="Nagwek5Znak">
    <w:name w:val="Nagłówek 5 Znak"/>
    <w:basedOn w:val="Domylnaczcionkaakapitu"/>
    <w:link w:val="Nagwek5"/>
    <w:uiPriority w:val="98"/>
    <w:semiHidden/>
    <w:rsid w:val="00426D64"/>
    <w:rPr>
      <w:rFonts w:asciiTheme="majorHAnsi" w:eastAsiaTheme="majorEastAsia" w:hAnsiTheme="majorHAnsi" w:cstheme="majorBidi"/>
      <w:b/>
      <w:bCs/>
      <w:color w:val="808080"/>
      <w:lang w:val="pl-PL"/>
    </w:rPr>
  </w:style>
  <w:style w:type="character" w:styleId="Wyrnieniedelikatne">
    <w:name w:val="Subtle Emphasis"/>
    <w:uiPriority w:val="98"/>
    <w:semiHidden/>
    <w:qFormat/>
    <w:rsid w:val="00426D64"/>
    <w:rPr>
      <w:i/>
      <w:iCs/>
    </w:rPr>
  </w:style>
  <w:style w:type="table" w:customStyle="1" w:styleId="ECHRTable">
    <w:name w:val="ECHR_Table"/>
    <w:basedOn w:val="Standardowy"/>
    <w:rsid w:val="00426D64"/>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26D6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agwek1"/>
    <w:next w:val="JuPara"/>
    <w:uiPriority w:val="17"/>
    <w:qFormat/>
    <w:rsid w:val="00426D64"/>
    <w:pPr>
      <w:keepNext/>
      <w:keepLines/>
      <w:numPr>
        <w:numId w:val="2"/>
      </w:numPr>
      <w:spacing w:before="100" w:beforeAutospacing="1" w:after="240"/>
      <w:contextualSpacing w:val="0"/>
      <w:jc w:val="both"/>
    </w:pPr>
    <w:rPr>
      <w:b w:val="0"/>
      <w:caps/>
      <w:color w:val="auto"/>
    </w:rPr>
  </w:style>
  <w:style w:type="character" w:styleId="Uwydatnienie">
    <w:name w:val="Emphasis"/>
    <w:uiPriority w:val="98"/>
    <w:semiHidden/>
    <w:qFormat/>
    <w:rsid w:val="00426D64"/>
    <w:rPr>
      <w:b/>
      <w:bCs/>
      <w:i/>
      <w:iCs/>
      <w:spacing w:val="10"/>
      <w:bdr w:val="none" w:sz="0" w:space="0" w:color="auto"/>
      <w:shd w:val="clear" w:color="auto" w:fill="auto"/>
    </w:rPr>
  </w:style>
  <w:style w:type="paragraph" w:styleId="Stopka">
    <w:name w:val="footer"/>
    <w:basedOn w:val="Normalny"/>
    <w:link w:val="StopkaZnak"/>
    <w:uiPriority w:val="49"/>
    <w:semiHidden/>
    <w:rsid w:val="00426D64"/>
    <w:pPr>
      <w:tabs>
        <w:tab w:val="center" w:pos="3686"/>
        <w:tab w:val="right" w:pos="7371"/>
      </w:tabs>
    </w:pPr>
  </w:style>
  <w:style w:type="character" w:customStyle="1" w:styleId="StopkaZnak">
    <w:name w:val="Stopka Znak"/>
    <w:basedOn w:val="Domylnaczcionkaakapitu"/>
    <w:link w:val="Stopka"/>
    <w:uiPriority w:val="49"/>
    <w:rsid w:val="00426D64"/>
    <w:rPr>
      <w:sz w:val="24"/>
      <w:szCs w:val="24"/>
      <w:lang w:val="pl-PL"/>
    </w:rPr>
  </w:style>
  <w:style w:type="character" w:styleId="Odwoanieprzypisudolnego">
    <w:name w:val="footnote reference"/>
    <w:basedOn w:val="Domylnaczcionkaakapitu"/>
    <w:uiPriority w:val="98"/>
    <w:semiHidden/>
    <w:rsid w:val="00426D64"/>
    <w:rPr>
      <w:vertAlign w:val="superscript"/>
    </w:rPr>
  </w:style>
  <w:style w:type="paragraph" w:styleId="Tekstprzypisudolnego">
    <w:name w:val="footnote text"/>
    <w:basedOn w:val="Normalny"/>
    <w:link w:val="TekstprzypisudolnegoZnak"/>
    <w:uiPriority w:val="98"/>
    <w:semiHidden/>
    <w:rsid w:val="00426D64"/>
    <w:rPr>
      <w:sz w:val="20"/>
      <w:szCs w:val="20"/>
    </w:rPr>
  </w:style>
  <w:style w:type="character" w:customStyle="1" w:styleId="TekstprzypisudolnegoZnak">
    <w:name w:val="Tekst przypisu dolnego Znak"/>
    <w:basedOn w:val="Domylnaczcionkaakapitu"/>
    <w:link w:val="Tekstprzypisudolnego"/>
    <w:uiPriority w:val="98"/>
    <w:semiHidden/>
    <w:rsid w:val="00426D64"/>
    <w:rPr>
      <w:sz w:val="20"/>
      <w:szCs w:val="20"/>
      <w:lang w:val="pl-PL"/>
    </w:rPr>
  </w:style>
  <w:style w:type="character" w:customStyle="1" w:styleId="Nagwek6Znak">
    <w:name w:val="Nagłówek 6 Znak"/>
    <w:basedOn w:val="Domylnaczcionkaakapitu"/>
    <w:link w:val="Nagwek6"/>
    <w:uiPriority w:val="98"/>
    <w:semiHidden/>
    <w:rsid w:val="00426D6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426D6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426D6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426D64"/>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426D64"/>
    <w:rPr>
      <w:color w:val="0072BC" w:themeColor="hyperlink"/>
      <w:u w:val="single"/>
    </w:rPr>
  </w:style>
  <w:style w:type="character" w:styleId="Wyrnienieintensywne">
    <w:name w:val="Intense Emphasis"/>
    <w:uiPriority w:val="98"/>
    <w:semiHidden/>
    <w:qFormat/>
    <w:rsid w:val="00426D64"/>
    <w:rPr>
      <w:b/>
      <w:bCs/>
    </w:rPr>
  </w:style>
  <w:style w:type="paragraph" w:styleId="Cytatintensywny">
    <w:name w:val="Intense Quote"/>
    <w:basedOn w:val="Normalny"/>
    <w:next w:val="Normalny"/>
    <w:link w:val="CytatintensywnyZnak"/>
    <w:uiPriority w:val="98"/>
    <w:semiHidden/>
    <w:qFormat/>
    <w:rsid w:val="00426D6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426D64"/>
    <w:rPr>
      <w:b/>
      <w:bCs/>
      <w:i/>
      <w:iCs/>
      <w:sz w:val="24"/>
      <w:szCs w:val="24"/>
      <w:lang w:val="pl-PL" w:bidi="en-US"/>
    </w:rPr>
  </w:style>
  <w:style w:type="character" w:styleId="Odwoanieintensywne">
    <w:name w:val="Intense Reference"/>
    <w:uiPriority w:val="98"/>
    <w:semiHidden/>
    <w:qFormat/>
    <w:rsid w:val="00426D64"/>
    <w:rPr>
      <w:smallCaps/>
      <w:spacing w:val="5"/>
      <w:u w:val="single"/>
    </w:rPr>
  </w:style>
  <w:style w:type="paragraph" w:styleId="Akapitzlist">
    <w:name w:val="List Paragraph"/>
    <w:basedOn w:val="Normalny"/>
    <w:uiPriority w:val="98"/>
    <w:semiHidden/>
    <w:qFormat/>
    <w:rsid w:val="00426D64"/>
    <w:pPr>
      <w:ind w:left="720"/>
      <w:contextualSpacing/>
    </w:pPr>
  </w:style>
  <w:style w:type="table" w:customStyle="1" w:styleId="LtrTableAddress">
    <w:name w:val="Ltr_Table_Address"/>
    <w:aliases w:val="ECHR_Ltr_Table_Address"/>
    <w:basedOn w:val="Standardowy"/>
    <w:uiPriority w:val="99"/>
    <w:rsid w:val="00426D64"/>
    <w:rPr>
      <w:sz w:val="24"/>
      <w:szCs w:val="24"/>
    </w:rPr>
    <w:tblPr>
      <w:tblInd w:w="5103" w:type="dxa"/>
    </w:tblPr>
  </w:style>
  <w:style w:type="paragraph" w:styleId="Cytat">
    <w:name w:val="Quote"/>
    <w:basedOn w:val="Normalny"/>
    <w:next w:val="Normalny"/>
    <w:link w:val="CytatZnak"/>
    <w:uiPriority w:val="98"/>
    <w:semiHidden/>
    <w:qFormat/>
    <w:rsid w:val="00426D64"/>
    <w:pPr>
      <w:spacing w:before="200"/>
      <w:ind w:left="360" w:right="360"/>
    </w:pPr>
    <w:rPr>
      <w:i/>
      <w:iCs/>
      <w:lang w:bidi="en-US"/>
    </w:rPr>
  </w:style>
  <w:style w:type="character" w:customStyle="1" w:styleId="CytatZnak">
    <w:name w:val="Cytat Znak"/>
    <w:basedOn w:val="Domylnaczcionkaakapitu"/>
    <w:link w:val="Cytat"/>
    <w:uiPriority w:val="98"/>
    <w:semiHidden/>
    <w:rsid w:val="00426D64"/>
    <w:rPr>
      <w:i/>
      <w:iCs/>
      <w:sz w:val="24"/>
      <w:szCs w:val="24"/>
      <w:lang w:val="pl-PL" w:bidi="en-US"/>
    </w:rPr>
  </w:style>
  <w:style w:type="character" w:styleId="Odwoaniedelikatne">
    <w:name w:val="Subtle Reference"/>
    <w:uiPriority w:val="98"/>
    <w:semiHidden/>
    <w:qFormat/>
    <w:rsid w:val="00426D64"/>
    <w:rPr>
      <w:smallCaps/>
    </w:rPr>
  </w:style>
  <w:style w:type="table" w:styleId="Tabela-Siatka">
    <w:name w:val="Table Grid"/>
    <w:basedOn w:val="Standardowy"/>
    <w:uiPriority w:val="59"/>
    <w:semiHidden/>
    <w:rsid w:val="00426D6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426D6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426D6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426D6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426D6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426D6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426D6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426D6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426D6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426D6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426D6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426D6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426D6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426D6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426D64"/>
    <w:pPr>
      <w:spacing w:before="120" w:after="120"/>
      <w:ind w:left="425" w:firstLine="142"/>
    </w:pPr>
    <w:rPr>
      <w:sz w:val="20"/>
    </w:rPr>
  </w:style>
  <w:style w:type="table" w:customStyle="1" w:styleId="ECHRTableSimpleBox">
    <w:name w:val="ECHR_Table_Simple_Box"/>
    <w:basedOn w:val="Standardowy"/>
    <w:uiPriority w:val="99"/>
    <w:rsid w:val="00426D6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426D6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426D6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26D6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426D6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426D6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numbering" w:customStyle="1" w:styleId="ECHRA1StyleList">
    <w:name w:val="ECHR_A1_Style_List"/>
    <w:basedOn w:val="Bezlisty"/>
    <w:uiPriority w:val="99"/>
    <w:rsid w:val="00426D64"/>
    <w:pPr>
      <w:numPr>
        <w:numId w:val="7"/>
      </w:numPr>
    </w:pPr>
  </w:style>
  <w:style w:type="numbering" w:customStyle="1" w:styleId="ECHRA1StyleNumberedList">
    <w:name w:val="ECHR_A1_Style_Numbered_List"/>
    <w:basedOn w:val="Bezlisty"/>
    <w:rsid w:val="00426D64"/>
    <w:pPr>
      <w:numPr>
        <w:numId w:val="8"/>
      </w:numPr>
    </w:pPr>
  </w:style>
  <w:style w:type="paragraph" w:customStyle="1" w:styleId="JuCase">
    <w:name w:val="Ju_Case"/>
    <w:aliases w:val="_Case_Name"/>
    <w:basedOn w:val="Normalny"/>
    <w:next w:val="JuPara"/>
    <w:uiPriority w:val="32"/>
    <w:rsid w:val="00426D64"/>
    <w:pPr>
      <w:ind w:firstLine="284"/>
    </w:pPr>
    <w:rPr>
      <w:b/>
    </w:rPr>
  </w:style>
  <w:style w:type="paragraph" w:customStyle="1" w:styleId="JuSigned">
    <w:name w:val="Ju_Signed"/>
    <w:aliases w:val="_Signature"/>
    <w:basedOn w:val="Normalny"/>
    <w:next w:val="JuPara"/>
    <w:uiPriority w:val="31"/>
    <w:qFormat/>
    <w:rsid w:val="00426D64"/>
    <w:pPr>
      <w:tabs>
        <w:tab w:val="center" w:pos="851"/>
        <w:tab w:val="center" w:pos="6407"/>
      </w:tabs>
      <w:spacing w:before="720"/>
    </w:pPr>
  </w:style>
  <w:style w:type="paragraph" w:customStyle="1" w:styleId="JuTitle">
    <w:name w:val="Ju_Title"/>
    <w:aliases w:val="_Title_2"/>
    <w:basedOn w:val="Normalny"/>
    <w:next w:val="JuPara"/>
    <w:uiPriority w:val="38"/>
    <w:qFormat/>
    <w:rsid w:val="00426D64"/>
    <w:pPr>
      <w:keepNext/>
      <w:keepLines/>
      <w:spacing w:before="1320" w:after="280"/>
      <w:contextualSpacing/>
      <w:jc w:val="center"/>
    </w:pPr>
    <w:rPr>
      <w:b/>
    </w:rPr>
  </w:style>
  <w:style w:type="character" w:styleId="Numerstrony">
    <w:name w:val="page number"/>
    <w:uiPriority w:val="98"/>
    <w:semiHidden/>
    <w:rsid w:val="00426D64"/>
    <w:rPr>
      <w:sz w:val="18"/>
    </w:rPr>
  </w:style>
  <w:style w:type="table" w:customStyle="1" w:styleId="ECHRTable2019">
    <w:name w:val="ECHR_Table_2019"/>
    <w:basedOn w:val="Standardowy"/>
    <w:uiPriority w:val="99"/>
    <w:rsid w:val="00426D6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426D64"/>
    <w:rPr>
      <w:sz w:val="8"/>
    </w:rPr>
  </w:style>
  <w:style w:type="character" w:styleId="Odwoaniedokomentarza">
    <w:name w:val="annotation reference"/>
    <w:basedOn w:val="Domylnaczcionkaakapitu"/>
    <w:uiPriority w:val="98"/>
    <w:semiHidden/>
    <w:rsid w:val="00426D64"/>
    <w:rPr>
      <w:sz w:val="16"/>
      <w:szCs w:val="16"/>
    </w:rPr>
  </w:style>
  <w:style w:type="paragraph" w:styleId="Tekstkomentarza">
    <w:name w:val="annotation text"/>
    <w:basedOn w:val="Normalny"/>
    <w:link w:val="TekstkomentarzaZnak"/>
    <w:uiPriority w:val="98"/>
    <w:semiHidden/>
    <w:rsid w:val="00426D64"/>
    <w:rPr>
      <w:sz w:val="20"/>
      <w:szCs w:val="20"/>
    </w:rPr>
  </w:style>
  <w:style w:type="character" w:customStyle="1" w:styleId="TekstkomentarzaZnak">
    <w:name w:val="Tekst komentarza Znak"/>
    <w:basedOn w:val="Domylnaczcionkaakapitu"/>
    <w:link w:val="Tekstkomentarza"/>
    <w:uiPriority w:val="98"/>
    <w:semiHidden/>
    <w:rsid w:val="00426D64"/>
    <w:rPr>
      <w:sz w:val="20"/>
      <w:szCs w:val="20"/>
      <w:lang w:val="pl-PL"/>
    </w:rPr>
  </w:style>
  <w:style w:type="character" w:styleId="Odwoanieprzypisukocowego">
    <w:name w:val="endnote reference"/>
    <w:basedOn w:val="Domylnaczcionkaakapitu"/>
    <w:uiPriority w:val="98"/>
    <w:semiHidden/>
    <w:rsid w:val="00426D64"/>
    <w:rPr>
      <w:vertAlign w:val="superscript"/>
    </w:rPr>
  </w:style>
  <w:style w:type="paragraph" w:styleId="Tekstprzypisukocowego">
    <w:name w:val="endnote text"/>
    <w:basedOn w:val="Normalny"/>
    <w:link w:val="TekstprzypisukocowegoZnak"/>
    <w:uiPriority w:val="98"/>
    <w:semiHidden/>
    <w:rsid w:val="00426D64"/>
    <w:rPr>
      <w:sz w:val="20"/>
      <w:szCs w:val="20"/>
    </w:rPr>
  </w:style>
  <w:style w:type="character" w:customStyle="1" w:styleId="TekstprzypisukocowegoZnak">
    <w:name w:val="Tekst przypisu końcowego Znak"/>
    <w:basedOn w:val="Domylnaczcionkaakapitu"/>
    <w:link w:val="Tekstprzypisukocowego"/>
    <w:uiPriority w:val="98"/>
    <w:semiHidden/>
    <w:rsid w:val="00426D64"/>
    <w:rPr>
      <w:sz w:val="20"/>
      <w:szCs w:val="20"/>
      <w:lang w:val="pl-PL"/>
    </w:rPr>
  </w:style>
  <w:style w:type="character" w:styleId="UyteHipercze">
    <w:name w:val="FollowedHyperlink"/>
    <w:basedOn w:val="Domylnaczcionkaakapitu"/>
    <w:uiPriority w:val="98"/>
    <w:semiHidden/>
    <w:rsid w:val="00426D64"/>
    <w:rPr>
      <w:color w:val="7030A0" w:themeColor="followedHyperlink"/>
      <w:u w:val="single"/>
    </w:rPr>
  </w:style>
  <w:style w:type="paragraph" w:styleId="Listapunktowana">
    <w:name w:val="List Bullet"/>
    <w:basedOn w:val="Normalny"/>
    <w:uiPriority w:val="98"/>
    <w:semiHidden/>
    <w:rsid w:val="00426D64"/>
    <w:pPr>
      <w:numPr>
        <w:numId w:val="9"/>
      </w:numPr>
    </w:pPr>
  </w:style>
  <w:style w:type="paragraph" w:styleId="Tematkomentarza">
    <w:name w:val="annotation subject"/>
    <w:basedOn w:val="Tekstkomentarza"/>
    <w:next w:val="Tekstkomentarza"/>
    <w:link w:val="TematkomentarzaZnak"/>
    <w:uiPriority w:val="98"/>
    <w:semiHidden/>
    <w:rsid w:val="00426D64"/>
    <w:rPr>
      <w:b/>
      <w:bCs/>
    </w:rPr>
  </w:style>
  <w:style w:type="character" w:customStyle="1" w:styleId="TematkomentarzaZnak">
    <w:name w:val="Temat komentarza Znak"/>
    <w:basedOn w:val="TekstkomentarzaZnak"/>
    <w:link w:val="Tematkomentarza"/>
    <w:uiPriority w:val="98"/>
    <w:semiHidden/>
    <w:rsid w:val="00426D64"/>
    <w:rPr>
      <w:b/>
      <w:bCs/>
      <w:sz w:val="20"/>
      <w:szCs w:val="20"/>
      <w:lang w:val="pl-PL"/>
    </w:rPr>
  </w:style>
  <w:style w:type="paragraph" w:styleId="Mapadokumentu">
    <w:name w:val="Document Map"/>
    <w:basedOn w:val="Normalny"/>
    <w:link w:val="MapadokumentuZnak"/>
    <w:uiPriority w:val="98"/>
    <w:semiHidden/>
    <w:rsid w:val="00426D6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426D64"/>
    <w:rPr>
      <w:rFonts w:ascii="Tahoma" w:hAnsi="Tahoma" w:cs="Tahoma"/>
      <w:sz w:val="16"/>
      <w:szCs w:val="16"/>
      <w:lang w:val="pl-PL"/>
    </w:rPr>
  </w:style>
  <w:style w:type="character" w:customStyle="1" w:styleId="JuITMark">
    <w:name w:val="Ju_ITMark"/>
    <w:aliases w:val="_ITMark"/>
    <w:basedOn w:val="Domylnaczcionkaakapitu"/>
    <w:uiPriority w:val="43"/>
    <w:qFormat/>
    <w:rsid w:val="00426D64"/>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8"/>
    <w:semiHidden/>
    <w:qFormat/>
    <w:rsid w:val="00426D6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426D64"/>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426D64"/>
    <w:pPr>
      <w:numPr>
        <w:numId w:val="3"/>
      </w:numPr>
    </w:pPr>
  </w:style>
  <w:style w:type="numbering" w:styleId="1ai">
    <w:name w:val="Outline List 1"/>
    <w:basedOn w:val="Bezlisty"/>
    <w:uiPriority w:val="99"/>
    <w:semiHidden/>
    <w:unhideWhenUsed/>
    <w:rsid w:val="00426D64"/>
    <w:pPr>
      <w:numPr>
        <w:numId w:val="4"/>
      </w:numPr>
    </w:pPr>
  </w:style>
  <w:style w:type="numbering" w:styleId="Artykusekcja">
    <w:name w:val="Outline List 3"/>
    <w:basedOn w:val="Bezlisty"/>
    <w:uiPriority w:val="99"/>
    <w:semiHidden/>
    <w:unhideWhenUsed/>
    <w:rsid w:val="00426D64"/>
    <w:pPr>
      <w:numPr>
        <w:numId w:val="5"/>
      </w:numPr>
    </w:pPr>
  </w:style>
  <w:style w:type="paragraph" w:styleId="Bibliografia">
    <w:name w:val="Bibliography"/>
    <w:basedOn w:val="Normalny"/>
    <w:next w:val="Normalny"/>
    <w:uiPriority w:val="98"/>
    <w:semiHidden/>
    <w:rsid w:val="00426D64"/>
  </w:style>
  <w:style w:type="paragraph" w:styleId="Tekstblokowy">
    <w:name w:val="Block Text"/>
    <w:basedOn w:val="Normalny"/>
    <w:uiPriority w:val="98"/>
    <w:semiHidden/>
    <w:rsid w:val="00426D6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426D64"/>
    <w:pPr>
      <w:spacing w:after="120"/>
    </w:pPr>
  </w:style>
  <w:style w:type="character" w:customStyle="1" w:styleId="TekstpodstawowyZnak">
    <w:name w:val="Tekst podstawowy Znak"/>
    <w:basedOn w:val="Domylnaczcionkaakapitu"/>
    <w:link w:val="Tekstpodstawowy"/>
    <w:uiPriority w:val="98"/>
    <w:semiHidden/>
    <w:rsid w:val="00426D64"/>
    <w:rPr>
      <w:sz w:val="24"/>
      <w:szCs w:val="24"/>
      <w:lang w:val="pl-PL"/>
    </w:rPr>
  </w:style>
  <w:style w:type="paragraph" w:styleId="Tekstpodstawowy2">
    <w:name w:val="Body Text 2"/>
    <w:basedOn w:val="Normalny"/>
    <w:link w:val="Tekstpodstawowy2Znak"/>
    <w:uiPriority w:val="98"/>
    <w:semiHidden/>
    <w:rsid w:val="00426D64"/>
    <w:pPr>
      <w:spacing w:after="120" w:line="480" w:lineRule="auto"/>
    </w:pPr>
  </w:style>
  <w:style w:type="character" w:customStyle="1" w:styleId="Tekstpodstawowy2Znak">
    <w:name w:val="Tekst podstawowy 2 Znak"/>
    <w:basedOn w:val="Domylnaczcionkaakapitu"/>
    <w:link w:val="Tekstpodstawowy2"/>
    <w:uiPriority w:val="98"/>
    <w:semiHidden/>
    <w:rsid w:val="00426D64"/>
    <w:rPr>
      <w:sz w:val="24"/>
      <w:szCs w:val="24"/>
      <w:lang w:val="pl-PL"/>
    </w:rPr>
  </w:style>
  <w:style w:type="paragraph" w:styleId="Tekstpodstawowy3">
    <w:name w:val="Body Text 3"/>
    <w:basedOn w:val="Normalny"/>
    <w:link w:val="Tekstpodstawowy3Znak"/>
    <w:uiPriority w:val="98"/>
    <w:semiHidden/>
    <w:rsid w:val="00426D64"/>
    <w:pPr>
      <w:spacing w:after="120"/>
    </w:pPr>
    <w:rPr>
      <w:sz w:val="16"/>
      <w:szCs w:val="16"/>
    </w:rPr>
  </w:style>
  <w:style w:type="character" w:customStyle="1" w:styleId="Tekstpodstawowy3Znak">
    <w:name w:val="Tekst podstawowy 3 Znak"/>
    <w:basedOn w:val="Domylnaczcionkaakapitu"/>
    <w:link w:val="Tekstpodstawowy3"/>
    <w:uiPriority w:val="98"/>
    <w:semiHidden/>
    <w:rsid w:val="00426D64"/>
    <w:rPr>
      <w:sz w:val="16"/>
      <w:szCs w:val="16"/>
      <w:lang w:val="pl-PL"/>
    </w:rPr>
  </w:style>
  <w:style w:type="paragraph" w:styleId="Tekstpodstawowyzwciciem">
    <w:name w:val="Body Text First Indent"/>
    <w:basedOn w:val="Tekstpodstawowy"/>
    <w:link w:val="TekstpodstawowyzwciciemZnak"/>
    <w:uiPriority w:val="98"/>
    <w:semiHidden/>
    <w:rsid w:val="00426D6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426D64"/>
    <w:rPr>
      <w:sz w:val="24"/>
      <w:szCs w:val="24"/>
      <w:lang w:val="pl-PL"/>
    </w:rPr>
  </w:style>
  <w:style w:type="paragraph" w:styleId="Tekstpodstawowywcity">
    <w:name w:val="Body Text Indent"/>
    <w:basedOn w:val="Normalny"/>
    <w:link w:val="TekstpodstawowywcityZnak"/>
    <w:uiPriority w:val="98"/>
    <w:semiHidden/>
    <w:rsid w:val="00426D64"/>
    <w:pPr>
      <w:spacing w:after="120"/>
      <w:ind w:left="283"/>
    </w:pPr>
  </w:style>
  <w:style w:type="character" w:customStyle="1" w:styleId="TekstpodstawowywcityZnak">
    <w:name w:val="Tekst podstawowy wcięty Znak"/>
    <w:basedOn w:val="Domylnaczcionkaakapitu"/>
    <w:link w:val="Tekstpodstawowywcity"/>
    <w:uiPriority w:val="98"/>
    <w:semiHidden/>
    <w:rsid w:val="00426D64"/>
    <w:rPr>
      <w:sz w:val="24"/>
      <w:szCs w:val="24"/>
      <w:lang w:val="pl-PL"/>
    </w:rPr>
  </w:style>
  <w:style w:type="paragraph" w:styleId="Tekstpodstawowyzwciciem2">
    <w:name w:val="Body Text First Indent 2"/>
    <w:basedOn w:val="Tekstpodstawowywcity"/>
    <w:link w:val="Tekstpodstawowyzwciciem2Znak"/>
    <w:uiPriority w:val="98"/>
    <w:semiHidden/>
    <w:rsid w:val="00426D6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426D64"/>
    <w:rPr>
      <w:sz w:val="24"/>
      <w:szCs w:val="24"/>
      <w:lang w:val="pl-PL"/>
    </w:rPr>
  </w:style>
  <w:style w:type="paragraph" w:styleId="Tekstpodstawowywcity2">
    <w:name w:val="Body Text Indent 2"/>
    <w:basedOn w:val="Normalny"/>
    <w:link w:val="Tekstpodstawowywcity2Znak"/>
    <w:uiPriority w:val="98"/>
    <w:semiHidden/>
    <w:rsid w:val="00426D6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426D64"/>
    <w:rPr>
      <w:sz w:val="24"/>
      <w:szCs w:val="24"/>
      <w:lang w:val="pl-PL"/>
    </w:rPr>
  </w:style>
  <w:style w:type="paragraph" w:styleId="Tekstpodstawowywcity3">
    <w:name w:val="Body Text Indent 3"/>
    <w:basedOn w:val="Normalny"/>
    <w:link w:val="Tekstpodstawowywcity3Znak"/>
    <w:uiPriority w:val="98"/>
    <w:semiHidden/>
    <w:rsid w:val="00426D6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426D64"/>
    <w:rPr>
      <w:sz w:val="16"/>
      <w:szCs w:val="16"/>
      <w:lang w:val="pl-PL"/>
    </w:rPr>
  </w:style>
  <w:style w:type="paragraph" w:styleId="Legenda">
    <w:name w:val="caption"/>
    <w:basedOn w:val="Normalny"/>
    <w:next w:val="Normalny"/>
    <w:uiPriority w:val="98"/>
    <w:semiHidden/>
    <w:qFormat/>
    <w:rsid w:val="00426D64"/>
    <w:pPr>
      <w:spacing w:after="200"/>
    </w:pPr>
    <w:rPr>
      <w:b/>
      <w:bCs/>
      <w:color w:val="0072BC" w:themeColor="accent1"/>
      <w:sz w:val="18"/>
      <w:szCs w:val="18"/>
    </w:rPr>
  </w:style>
  <w:style w:type="paragraph" w:styleId="Zwrotpoegnalny">
    <w:name w:val="Closing"/>
    <w:basedOn w:val="Normalny"/>
    <w:link w:val="ZwrotpoegnalnyZnak"/>
    <w:uiPriority w:val="98"/>
    <w:semiHidden/>
    <w:rsid w:val="00426D64"/>
    <w:pPr>
      <w:ind w:left="4252"/>
    </w:pPr>
  </w:style>
  <w:style w:type="character" w:customStyle="1" w:styleId="ZwrotpoegnalnyZnak">
    <w:name w:val="Zwrot pożegnalny Znak"/>
    <w:basedOn w:val="Domylnaczcionkaakapitu"/>
    <w:link w:val="Zwrotpoegnalny"/>
    <w:uiPriority w:val="98"/>
    <w:semiHidden/>
    <w:rsid w:val="00426D64"/>
    <w:rPr>
      <w:sz w:val="24"/>
      <w:szCs w:val="24"/>
      <w:lang w:val="pl-PL"/>
    </w:rPr>
  </w:style>
  <w:style w:type="table" w:styleId="Kolorowasiatka">
    <w:name w:val="Colorful Grid"/>
    <w:basedOn w:val="Standardowy"/>
    <w:uiPriority w:val="73"/>
    <w:semiHidden/>
    <w:rsid w:val="00426D6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426D6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426D6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426D6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426D6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426D6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426D6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426D6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426D6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426D6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426D6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426D6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426D6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426D6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426D6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426D6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426D6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426D6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426D6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426D6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426D6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426D6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426D6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426D6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426D6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426D6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426D6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426D6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426D64"/>
  </w:style>
  <w:style w:type="character" w:customStyle="1" w:styleId="DataZnak">
    <w:name w:val="Data Znak"/>
    <w:basedOn w:val="Domylnaczcionkaakapitu"/>
    <w:link w:val="Data"/>
    <w:uiPriority w:val="98"/>
    <w:semiHidden/>
    <w:rsid w:val="00426D64"/>
    <w:rPr>
      <w:sz w:val="24"/>
      <w:szCs w:val="24"/>
      <w:lang w:val="pl-PL"/>
    </w:rPr>
  </w:style>
  <w:style w:type="paragraph" w:styleId="Podpise-mail">
    <w:name w:val="E-mail Signature"/>
    <w:basedOn w:val="Normalny"/>
    <w:link w:val="Podpise-mailZnak"/>
    <w:uiPriority w:val="98"/>
    <w:semiHidden/>
    <w:rsid w:val="00426D64"/>
  </w:style>
  <w:style w:type="character" w:customStyle="1" w:styleId="Podpise-mailZnak">
    <w:name w:val="Podpis e-mail Znak"/>
    <w:basedOn w:val="Domylnaczcionkaakapitu"/>
    <w:link w:val="Podpise-mail"/>
    <w:uiPriority w:val="98"/>
    <w:semiHidden/>
    <w:rsid w:val="00426D64"/>
    <w:rPr>
      <w:sz w:val="24"/>
      <w:szCs w:val="24"/>
      <w:lang w:val="pl-PL"/>
    </w:rPr>
  </w:style>
  <w:style w:type="paragraph" w:styleId="Adresnakopercie">
    <w:name w:val="envelope address"/>
    <w:basedOn w:val="Normalny"/>
    <w:uiPriority w:val="98"/>
    <w:semiHidden/>
    <w:rsid w:val="00426D6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426D64"/>
    <w:rPr>
      <w:rFonts w:asciiTheme="majorHAnsi" w:eastAsiaTheme="majorEastAsia" w:hAnsiTheme="majorHAnsi" w:cstheme="majorBidi"/>
      <w:sz w:val="20"/>
      <w:szCs w:val="20"/>
    </w:rPr>
  </w:style>
  <w:style w:type="character" w:styleId="HTML-akronim">
    <w:name w:val="HTML Acronym"/>
    <w:basedOn w:val="Domylnaczcionkaakapitu"/>
    <w:uiPriority w:val="98"/>
    <w:semiHidden/>
    <w:rsid w:val="00426D64"/>
  </w:style>
  <w:style w:type="paragraph" w:styleId="HTML-adres">
    <w:name w:val="HTML Address"/>
    <w:basedOn w:val="Normalny"/>
    <w:link w:val="HTML-adresZnak"/>
    <w:uiPriority w:val="98"/>
    <w:semiHidden/>
    <w:rsid w:val="00426D64"/>
    <w:rPr>
      <w:i/>
      <w:iCs/>
    </w:rPr>
  </w:style>
  <w:style w:type="character" w:customStyle="1" w:styleId="HTML-adresZnak">
    <w:name w:val="HTML - adres Znak"/>
    <w:basedOn w:val="Domylnaczcionkaakapitu"/>
    <w:link w:val="HTML-adres"/>
    <w:uiPriority w:val="98"/>
    <w:semiHidden/>
    <w:rsid w:val="00426D64"/>
    <w:rPr>
      <w:i/>
      <w:iCs/>
      <w:sz w:val="24"/>
      <w:szCs w:val="24"/>
      <w:lang w:val="pl-PL"/>
    </w:rPr>
  </w:style>
  <w:style w:type="character" w:styleId="HTML-cytat">
    <w:name w:val="HTML Cite"/>
    <w:basedOn w:val="Domylnaczcionkaakapitu"/>
    <w:uiPriority w:val="98"/>
    <w:semiHidden/>
    <w:rsid w:val="00426D64"/>
    <w:rPr>
      <w:i/>
      <w:iCs/>
    </w:rPr>
  </w:style>
  <w:style w:type="character" w:styleId="HTML-kod">
    <w:name w:val="HTML Code"/>
    <w:basedOn w:val="Domylnaczcionkaakapitu"/>
    <w:uiPriority w:val="98"/>
    <w:semiHidden/>
    <w:rsid w:val="00426D64"/>
    <w:rPr>
      <w:rFonts w:ascii="Consolas" w:hAnsi="Consolas" w:cs="Consolas"/>
      <w:sz w:val="20"/>
      <w:szCs w:val="20"/>
    </w:rPr>
  </w:style>
  <w:style w:type="character" w:styleId="HTML-definicja">
    <w:name w:val="HTML Definition"/>
    <w:basedOn w:val="Domylnaczcionkaakapitu"/>
    <w:uiPriority w:val="98"/>
    <w:semiHidden/>
    <w:rsid w:val="00426D64"/>
    <w:rPr>
      <w:i/>
      <w:iCs/>
    </w:rPr>
  </w:style>
  <w:style w:type="character" w:styleId="HTML-klawiatura">
    <w:name w:val="HTML Keyboard"/>
    <w:basedOn w:val="Domylnaczcionkaakapitu"/>
    <w:uiPriority w:val="98"/>
    <w:semiHidden/>
    <w:rsid w:val="00426D64"/>
    <w:rPr>
      <w:rFonts w:ascii="Consolas" w:hAnsi="Consolas" w:cs="Consolas"/>
      <w:sz w:val="20"/>
      <w:szCs w:val="20"/>
    </w:rPr>
  </w:style>
  <w:style w:type="paragraph" w:styleId="HTML-wstpniesformatowany">
    <w:name w:val="HTML Preformatted"/>
    <w:basedOn w:val="Normalny"/>
    <w:link w:val="HTML-wstpniesformatowanyZnak"/>
    <w:uiPriority w:val="98"/>
    <w:semiHidden/>
    <w:rsid w:val="00426D6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426D64"/>
    <w:rPr>
      <w:rFonts w:ascii="Consolas" w:hAnsi="Consolas" w:cs="Consolas"/>
      <w:sz w:val="20"/>
      <w:szCs w:val="20"/>
      <w:lang w:val="pl-PL"/>
    </w:rPr>
  </w:style>
  <w:style w:type="character" w:styleId="HTML-przykad">
    <w:name w:val="HTML Sample"/>
    <w:basedOn w:val="Domylnaczcionkaakapitu"/>
    <w:uiPriority w:val="98"/>
    <w:semiHidden/>
    <w:rsid w:val="00426D64"/>
    <w:rPr>
      <w:rFonts w:ascii="Consolas" w:hAnsi="Consolas" w:cs="Consolas"/>
      <w:sz w:val="24"/>
      <w:szCs w:val="24"/>
    </w:rPr>
  </w:style>
  <w:style w:type="character" w:styleId="HTML-staaszeroko">
    <w:name w:val="HTML Typewriter"/>
    <w:basedOn w:val="Domylnaczcionkaakapitu"/>
    <w:uiPriority w:val="98"/>
    <w:semiHidden/>
    <w:rsid w:val="00426D64"/>
    <w:rPr>
      <w:rFonts w:ascii="Consolas" w:hAnsi="Consolas" w:cs="Consolas"/>
      <w:sz w:val="20"/>
      <w:szCs w:val="20"/>
    </w:rPr>
  </w:style>
  <w:style w:type="character" w:styleId="HTML-zmienna">
    <w:name w:val="HTML Variable"/>
    <w:basedOn w:val="Domylnaczcionkaakapitu"/>
    <w:uiPriority w:val="98"/>
    <w:semiHidden/>
    <w:rsid w:val="00426D64"/>
    <w:rPr>
      <w:i/>
      <w:iCs/>
    </w:rPr>
  </w:style>
  <w:style w:type="paragraph" w:styleId="Indeks1">
    <w:name w:val="index 1"/>
    <w:basedOn w:val="Normalny"/>
    <w:next w:val="Normalny"/>
    <w:autoRedefine/>
    <w:uiPriority w:val="98"/>
    <w:semiHidden/>
    <w:rsid w:val="00426D64"/>
    <w:pPr>
      <w:ind w:left="240" w:hanging="240"/>
    </w:pPr>
  </w:style>
  <w:style w:type="paragraph" w:styleId="Indeks2">
    <w:name w:val="index 2"/>
    <w:basedOn w:val="Normalny"/>
    <w:next w:val="Normalny"/>
    <w:autoRedefine/>
    <w:uiPriority w:val="98"/>
    <w:semiHidden/>
    <w:rsid w:val="00426D64"/>
    <w:pPr>
      <w:ind w:left="480" w:hanging="240"/>
    </w:pPr>
  </w:style>
  <w:style w:type="paragraph" w:styleId="Indeks3">
    <w:name w:val="index 3"/>
    <w:basedOn w:val="Normalny"/>
    <w:next w:val="Normalny"/>
    <w:autoRedefine/>
    <w:uiPriority w:val="98"/>
    <w:semiHidden/>
    <w:rsid w:val="00426D64"/>
    <w:pPr>
      <w:ind w:left="720" w:hanging="240"/>
    </w:pPr>
  </w:style>
  <w:style w:type="paragraph" w:styleId="Indeks4">
    <w:name w:val="index 4"/>
    <w:basedOn w:val="Normalny"/>
    <w:next w:val="Normalny"/>
    <w:autoRedefine/>
    <w:uiPriority w:val="98"/>
    <w:semiHidden/>
    <w:rsid w:val="00426D64"/>
    <w:pPr>
      <w:ind w:left="960" w:hanging="240"/>
    </w:pPr>
  </w:style>
  <w:style w:type="paragraph" w:styleId="Indeks5">
    <w:name w:val="index 5"/>
    <w:basedOn w:val="Normalny"/>
    <w:next w:val="Normalny"/>
    <w:autoRedefine/>
    <w:uiPriority w:val="98"/>
    <w:semiHidden/>
    <w:rsid w:val="00426D64"/>
    <w:pPr>
      <w:ind w:left="1200" w:hanging="240"/>
    </w:pPr>
  </w:style>
  <w:style w:type="paragraph" w:styleId="Indeks6">
    <w:name w:val="index 6"/>
    <w:basedOn w:val="Normalny"/>
    <w:next w:val="Normalny"/>
    <w:autoRedefine/>
    <w:uiPriority w:val="98"/>
    <w:semiHidden/>
    <w:rsid w:val="00426D64"/>
    <w:pPr>
      <w:ind w:left="1440" w:hanging="240"/>
    </w:pPr>
  </w:style>
  <w:style w:type="paragraph" w:styleId="Indeks7">
    <w:name w:val="index 7"/>
    <w:basedOn w:val="Normalny"/>
    <w:next w:val="Normalny"/>
    <w:autoRedefine/>
    <w:uiPriority w:val="98"/>
    <w:semiHidden/>
    <w:rsid w:val="00426D64"/>
    <w:pPr>
      <w:ind w:left="1680" w:hanging="240"/>
    </w:pPr>
  </w:style>
  <w:style w:type="paragraph" w:styleId="Indeks8">
    <w:name w:val="index 8"/>
    <w:basedOn w:val="Normalny"/>
    <w:next w:val="Normalny"/>
    <w:autoRedefine/>
    <w:uiPriority w:val="98"/>
    <w:semiHidden/>
    <w:rsid w:val="00426D64"/>
    <w:pPr>
      <w:ind w:left="1920" w:hanging="240"/>
    </w:pPr>
  </w:style>
  <w:style w:type="paragraph" w:styleId="Indeks9">
    <w:name w:val="index 9"/>
    <w:basedOn w:val="Normalny"/>
    <w:next w:val="Normalny"/>
    <w:autoRedefine/>
    <w:uiPriority w:val="98"/>
    <w:semiHidden/>
    <w:rsid w:val="00426D64"/>
    <w:pPr>
      <w:ind w:left="2160" w:hanging="240"/>
    </w:pPr>
  </w:style>
  <w:style w:type="paragraph" w:styleId="Nagwekindeksu">
    <w:name w:val="index heading"/>
    <w:basedOn w:val="Normalny"/>
    <w:next w:val="Indeks1"/>
    <w:uiPriority w:val="98"/>
    <w:semiHidden/>
    <w:rsid w:val="00426D64"/>
    <w:rPr>
      <w:rFonts w:asciiTheme="majorHAnsi" w:eastAsiaTheme="majorEastAsia" w:hAnsiTheme="majorHAnsi" w:cstheme="majorBidi"/>
      <w:b/>
      <w:bCs/>
    </w:rPr>
  </w:style>
  <w:style w:type="table" w:styleId="Jasnasiatka">
    <w:name w:val="Light Grid"/>
    <w:basedOn w:val="Standardowy"/>
    <w:uiPriority w:val="62"/>
    <w:semiHidden/>
    <w:rsid w:val="00426D6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426D6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426D6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426D6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426D6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426D6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426D6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426D6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426D6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426D6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426D6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426D6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426D6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426D6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426D6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426D6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426D6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426D6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426D6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426D6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426D6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426D64"/>
  </w:style>
  <w:style w:type="paragraph" w:styleId="Lista">
    <w:name w:val="List"/>
    <w:basedOn w:val="Normalny"/>
    <w:uiPriority w:val="98"/>
    <w:semiHidden/>
    <w:rsid w:val="00426D64"/>
    <w:pPr>
      <w:ind w:left="283" w:hanging="283"/>
      <w:contextualSpacing/>
    </w:pPr>
  </w:style>
  <w:style w:type="paragraph" w:styleId="Lista2">
    <w:name w:val="List 2"/>
    <w:basedOn w:val="Normalny"/>
    <w:uiPriority w:val="98"/>
    <w:semiHidden/>
    <w:rsid w:val="00426D64"/>
    <w:pPr>
      <w:ind w:left="566" w:hanging="283"/>
      <w:contextualSpacing/>
    </w:pPr>
  </w:style>
  <w:style w:type="paragraph" w:styleId="Lista3">
    <w:name w:val="List 3"/>
    <w:basedOn w:val="Normalny"/>
    <w:uiPriority w:val="98"/>
    <w:semiHidden/>
    <w:rsid w:val="00426D64"/>
    <w:pPr>
      <w:ind w:left="849" w:hanging="283"/>
      <w:contextualSpacing/>
    </w:pPr>
  </w:style>
  <w:style w:type="paragraph" w:styleId="Lista4">
    <w:name w:val="List 4"/>
    <w:basedOn w:val="Normalny"/>
    <w:uiPriority w:val="98"/>
    <w:semiHidden/>
    <w:rsid w:val="00426D64"/>
    <w:pPr>
      <w:ind w:left="1132" w:hanging="283"/>
      <w:contextualSpacing/>
    </w:pPr>
  </w:style>
  <w:style w:type="paragraph" w:styleId="Lista5">
    <w:name w:val="List 5"/>
    <w:basedOn w:val="Normalny"/>
    <w:uiPriority w:val="98"/>
    <w:semiHidden/>
    <w:rsid w:val="00426D64"/>
    <w:pPr>
      <w:ind w:left="1415" w:hanging="283"/>
      <w:contextualSpacing/>
    </w:pPr>
  </w:style>
  <w:style w:type="paragraph" w:styleId="Listapunktowana2">
    <w:name w:val="List Bullet 2"/>
    <w:basedOn w:val="Normalny"/>
    <w:uiPriority w:val="98"/>
    <w:semiHidden/>
    <w:rsid w:val="00426D64"/>
    <w:pPr>
      <w:numPr>
        <w:numId w:val="10"/>
      </w:numPr>
      <w:contextualSpacing/>
    </w:pPr>
  </w:style>
  <w:style w:type="paragraph" w:styleId="Listapunktowana3">
    <w:name w:val="List Bullet 3"/>
    <w:basedOn w:val="Normalny"/>
    <w:uiPriority w:val="98"/>
    <w:semiHidden/>
    <w:rsid w:val="00426D64"/>
    <w:pPr>
      <w:numPr>
        <w:numId w:val="11"/>
      </w:numPr>
      <w:contextualSpacing/>
    </w:pPr>
  </w:style>
  <w:style w:type="paragraph" w:styleId="Listapunktowana4">
    <w:name w:val="List Bullet 4"/>
    <w:basedOn w:val="Normalny"/>
    <w:uiPriority w:val="98"/>
    <w:semiHidden/>
    <w:rsid w:val="00426D64"/>
    <w:pPr>
      <w:numPr>
        <w:numId w:val="12"/>
      </w:numPr>
      <w:contextualSpacing/>
    </w:pPr>
  </w:style>
  <w:style w:type="paragraph" w:styleId="Listapunktowana5">
    <w:name w:val="List Bullet 5"/>
    <w:basedOn w:val="Normalny"/>
    <w:uiPriority w:val="98"/>
    <w:semiHidden/>
    <w:rsid w:val="00426D64"/>
    <w:pPr>
      <w:numPr>
        <w:numId w:val="13"/>
      </w:numPr>
      <w:contextualSpacing/>
    </w:pPr>
  </w:style>
  <w:style w:type="paragraph" w:styleId="Lista-kontynuacja">
    <w:name w:val="List Continue"/>
    <w:basedOn w:val="Normalny"/>
    <w:uiPriority w:val="98"/>
    <w:semiHidden/>
    <w:rsid w:val="00426D64"/>
    <w:pPr>
      <w:spacing w:after="120"/>
      <w:ind w:left="283"/>
      <w:contextualSpacing/>
    </w:pPr>
  </w:style>
  <w:style w:type="paragraph" w:styleId="Lista-kontynuacja2">
    <w:name w:val="List Continue 2"/>
    <w:basedOn w:val="Normalny"/>
    <w:uiPriority w:val="98"/>
    <w:semiHidden/>
    <w:rsid w:val="00426D64"/>
    <w:pPr>
      <w:spacing w:after="120"/>
      <w:ind w:left="566"/>
      <w:contextualSpacing/>
    </w:pPr>
  </w:style>
  <w:style w:type="paragraph" w:styleId="Lista-kontynuacja3">
    <w:name w:val="List Continue 3"/>
    <w:basedOn w:val="Normalny"/>
    <w:uiPriority w:val="98"/>
    <w:semiHidden/>
    <w:rsid w:val="00426D64"/>
    <w:pPr>
      <w:spacing w:after="120"/>
      <w:ind w:left="849"/>
      <w:contextualSpacing/>
    </w:pPr>
  </w:style>
  <w:style w:type="paragraph" w:styleId="Lista-kontynuacja4">
    <w:name w:val="List Continue 4"/>
    <w:basedOn w:val="Normalny"/>
    <w:uiPriority w:val="98"/>
    <w:semiHidden/>
    <w:rsid w:val="00426D64"/>
    <w:pPr>
      <w:spacing w:after="120"/>
      <w:ind w:left="1132"/>
      <w:contextualSpacing/>
    </w:pPr>
  </w:style>
  <w:style w:type="paragraph" w:styleId="Lista-kontynuacja5">
    <w:name w:val="List Continue 5"/>
    <w:basedOn w:val="Normalny"/>
    <w:uiPriority w:val="98"/>
    <w:semiHidden/>
    <w:rsid w:val="00426D64"/>
    <w:pPr>
      <w:spacing w:after="120"/>
      <w:ind w:left="1415"/>
      <w:contextualSpacing/>
    </w:pPr>
  </w:style>
  <w:style w:type="paragraph" w:styleId="Listanumerowana">
    <w:name w:val="List Number"/>
    <w:basedOn w:val="Normalny"/>
    <w:uiPriority w:val="98"/>
    <w:semiHidden/>
    <w:rsid w:val="00426D64"/>
    <w:pPr>
      <w:numPr>
        <w:numId w:val="14"/>
      </w:numPr>
      <w:contextualSpacing/>
    </w:pPr>
  </w:style>
  <w:style w:type="paragraph" w:styleId="Listanumerowana2">
    <w:name w:val="List Number 2"/>
    <w:basedOn w:val="Normalny"/>
    <w:uiPriority w:val="98"/>
    <w:semiHidden/>
    <w:rsid w:val="00426D64"/>
    <w:pPr>
      <w:numPr>
        <w:numId w:val="15"/>
      </w:numPr>
      <w:contextualSpacing/>
    </w:pPr>
  </w:style>
  <w:style w:type="paragraph" w:styleId="Listanumerowana3">
    <w:name w:val="List Number 3"/>
    <w:basedOn w:val="Normalny"/>
    <w:uiPriority w:val="98"/>
    <w:semiHidden/>
    <w:rsid w:val="00426D64"/>
    <w:pPr>
      <w:numPr>
        <w:numId w:val="16"/>
      </w:numPr>
      <w:contextualSpacing/>
    </w:pPr>
  </w:style>
  <w:style w:type="paragraph" w:styleId="Listanumerowana4">
    <w:name w:val="List Number 4"/>
    <w:basedOn w:val="Normalny"/>
    <w:uiPriority w:val="98"/>
    <w:semiHidden/>
    <w:rsid w:val="00426D64"/>
    <w:pPr>
      <w:numPr>
        <w:numId w:val="17"/>
      </w:numPr>
      <w:contextualSpacing/>
    </w:pPr>
  </w:style>
  <w:style w:type="paragraph" w:styleId="Listanumerowana5">
    <w:name w:val="List Number 5"/>
    <w:basedOn w:val="Normalny"/>
    <w:uiPriority w:val="98"/>
    <w:semiHidden/>
    <w:rsid w:val="00426D64"/>
    <w:pPr>
      <w:numPr>
        <w:numId w:val="18"/>
      </w:numPr>
      <w:contextualSpacing/>
    </w:pPr>
  </w:style>
  <w:style w:type="paragraph" w:styleId="Tekstmakra">
    <w:name w:val="macro"/>
    <w:link w:val="TekstmakraZnak"/>
    <w:uiPriority w:val="98"/>
    <w:semiHidden/>
    <w:rsid w:val="00426D6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426D64"/>
    <w:rPr>
      <w:rFonts w:ascii="Consolas" w:eastAsiaTheme="minorEastAsia" w:hAnsi="Consolas" w:cs="Consolas"/>
      <w:sz w:val="20"/>
      <w:szCs w:val="20"/>
    </w:rPr>
  </w:style>
  <w:style w:type="table" w:styleId="redniasiatka1">
    <w:name w:val="Medium Grid 1"/>
    <w:basedOn w:val="Standardowy"/>
    <w:uiPriority w:val="67"/>
    <w:semiHidden/>
    <w:rsid w:val="00426D6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426D6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426D6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426D6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426D6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426D6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426D6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426D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426D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426D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426D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426D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426D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426D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426D6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426D6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426D6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426D6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426D6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426D6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426D6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426D6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426D6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426D6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426D6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426D6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426D6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426D6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426D6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426D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426D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426D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426D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426D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426D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426D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426D6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426D6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426D64"/>
    <w:rPr>
      <w:rFonts w:ascii="Times New Roman" w:hAnsi="Times New Roman" w:cs="Times New Roman"/>
    </w:rPr>
  </w:style>
  <w:style w:type="paragraph" w:styleId="Wcicienormalne">
    <w:name w:val="Normal Indent"/>
    <w:basedOn w:val="Normalny"/>
    <w:uiPriority w:val="98"/>
    <w:semiHidden/>
    <w:rsid w:val="00426D64"/>
    <w:pPr>
      <w:ind w:left="720"/>
    </w:pPr>
  </w:style>
  <w:style w:type="paragraph" w:styleId="Nagweknotatki">
    <w:name w:val="Note Heading"/>
    <w:basedOn w:val="Normalny"/>
    <w:next w:val="Normalny"/>
    <w:link w:val="NagweknotatkiZnak"/>
    <w:uiPriority w:val="98"/>
    <w:semiHidden/>
    <w:rsid w:val="00426D64"/>
  </w:style>
  <w:style w:type="character" w:customStyle="1" w:styleId="NagweknotatkiZnak">
    <w:name w:val="Nagłówek notatki Znak"/>
    <w:basedOn w:val="Domylnaczcionkaakapitu"/>
    <w:link w:val="Nagweknotatki"/>
    <w:uiPriority w:val="98"/>
    <w:semiHidden/>
    <w:rsid w:val="00426D64"/>
    <w:rPr>
      <w:sz w:val="24"/>
      <w:szCs w:val="24"/>
      <w:lang w:val="pl-PL"/>
    </w:rPr>
  </w:style>
  <w:style w:type="character" w:styleId="Tekstzastpczy">
    <w:name w:val="Placeholder Text"/>
    <w:basedOn w:val="Domylnaczcionkaakapitu"/>
    <w:uiPriority w:val="98"/>
    <w:semiHidden/>
    <w:rsid w:val="00426D6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426D6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426D6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426D64"/>
  </w:style>
  <w:style w:type="character" w:customStyle="1" w:styleId="ZwrotgrzecznociowyZnak">
    <w:name w:val="Zwrot grzecznościowy Znak"/>
    <w:basedOn w:val="Domylnaczcionkaakapitu"/>
    <w:link w:val="Zwrotgrzecznociowy"/>
    <w:uiPriority w:val="98"/>
    <w:semiHidden/>
    <w:rsid w:val="00426D64"/>
    <w:rPr>
      <w:sz w:val="24"/>
      <w:szCs w:val="24"/>
      <w:lang w:val="pl-PL"/>
    </w:rPr>
  </w:style>
  <w:style w:type="paragraph" w:styleId="Podpis">
    <w:name w:val="Signature"/>
    <w:basedOn w:val="Normalny"/>
    <w:link w:val="PodpisZnak"/>
    <w:uiPriority w:val="98"/>
    <w:semiHidden/>
    <w:rsid w:val="00426D64"/>
    <w:pPr>
      <w:ind w:left="4252"/>
    </w:pPr>
  </w:style>
  <w:style w:type="character" w:customStyle="1" w:styleId="PodpisZnak">
    <w:name w:val="Podpis Znak"/>
    <w:basedOn w:val="Domylnaczcionkaakapitu"/>
    <w:link w:val="Podpis"/>
    <w:uiPriority w:val="98"/>
    <w:semiHidden/>
    <w:rsid w:val="00426D64"/>
    <w:rPr>
      <w:sz w:val="24"/>
      <w:szCs w:val="24"/>
      <w:lang w:val="pl-PL"/>
    </w:rPr>
  </w:style>
  <w:style w:type="table" w:styleId="Tabela-Efekty3D1">
    <w:name w:val="Table 3D effects 1"/>
    <w:basedOn w:val="Standardowy"/>
    <w:uiPriority w:val="99"/>
    <w:semiHidden/>
    <w:unhideWhenUsed/>
    <w:rsid w:val="00426D6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426D6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426D6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426D6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426D6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426D6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426D6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426D6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426D6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426D6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426D6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426D6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426D6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426D6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426D6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426D6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426D6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426D6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426D6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426D6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426D6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426D6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426D6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426D6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426D6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426D6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426D6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426D6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426D6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426D6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426D6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426D6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426D6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426D64"/>
    <w:pPr>
      <w:ind w:left="240" w:hanging="240"/>
    </w:pPr>
  </w:style>
  <w:style w:type="paragraph" w:styleId="Spisilustracji">
    <w:name w:val="table of figures"/>
    <w:basedOn w:val="Normalny"/>
    <w:next w:val="Normalny"/>
    <w:uiPriority w:val="98"/>
    <w:semiHidden/>
    <w:rsid w:val="00426D64"/>
  </w:style>
  <w:style w:type="table" w:styleId="Tabela-Profesjonalny">
    <w:name w:val="Table Professional"/>
    <w:basedOn w:val="Standardowy"/>
    <w:uiPriority w:val="99"/>
    <w:semiHidden/>
    <w:unhideWhenUsed/>
    <w:rsid w:val="00426D6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426D6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426D6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426D6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426D6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426D6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426D6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426D6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426D6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426D6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426D6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426D6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426D64"/>
    <w:pPr>
      <w:spacing w:after="100"/>
      <w:ind w:left="1680"/>
    </w:pPr>
  </w:style>
  <w:style w:type="paragraph" w:styleId="Spistreci9">
    <w:name w:val="toc 9"/>
    <w:basedOn w:val="Normalny"/>
    <w:next w:val="Normalny"/>
    <w:autoRedefine/>
    <w:uiPriority w:val="98"/>
    <w:semiHidden/>
    <w:rsid w:val="00426D64"/>
    <w:pPr>
      <w:spacing w:after="100"/>
      <w:ind w:left="1920"/>
    </w:pPr>
  </w:style>
  <w:style w:type="paragraph" w:customStyle="1" w:styleId="JuHeaderLandscape">
    <w:name w:val="Ju_Header_Landscape"/>
    <w:aliases w:val="_Header_Landscape"/>
    <w:basedOn w:val="JuHeader"/>
    <w:uiPriority w:val="29"/>
    <w:qFormat/>
    <w:rsid w:val="00626381"/>
    <w:pPr>
      <w:tabs>
        <w:tab w:val="center" w:pos="6146"/>
        <w:tab w:val="right" w:pos="12293"/>
      </w:tabs>
    </w:pPr>
  </w:style>
  <w:style w:type="paragraph" w:customStyle="1" w:styleId="ECHRBullet2">
    <w:name w:val="ECHR_Bullet_2"/>
    <w:aliases w:val="_Bul_2"/>
    <w:basedOn w:val="ECHRBullet1"/>
    <w:uiPriority w:val="23"/>
    <w:semiHidden/>
    <w:rsid w:val="00426D64"/>
    <w:pPr>
      <w:numPr>
        <w:ilvl w:val="1"/>
      </w:numPr>
    </w:pPr>
  </w:style>
  <w:style w:type="paragraph" w:customStyle="1" w:styleId="ECHRBullet3">
    <w:name w:val="ECHR_Bullet_3"/>
    <w:aliases w:val="_Bul_3"/>
    <w:basedOn w:val="ECHRBullet2"/>
    <w:uiPriority w:val="23"/>
    <w:semiHidden/>
    <w:rsid w:val="00426D64"/>
    <w:pPr>
      <w:numPr>
        <w:ilvl w:val="2"/>
      </w:numPr>
    </w:pPr>
  </w:style>
  <w:style w:type="paragraph" w:customStyle="1" w:styleId="ECHRBullet4">
    <w:name w:val="ECHR_Bullet_4"/>
    <w:aliases w:val="_Bul_4"/>
    <w:basedOn w:val="ECHRBullet3"/>
    <w:uiPriority w:val="23"/>
    <w:semiHidden/>
    <w:rsid w:val="00426D64"/>
    <w:pPr>
      <w:numPr>
        <w:ilvl w:val="3"/>
      </w:numPr>
    </w:pPr>
  </w:style>
  <w:style w:type="paragraph" w:customStyle="1" w:styleId="ECHRConfidential">
    <w:name w:val="ECHR_Confidential"/>
    <w:aliases w:val="_Confidential"/>
    <w:basedOn w:val="Normalny"/>
    <w:next w:val="Normalny"/>
    <w:uiPriority w:val="42"/>
    <w:semiHidden/>
    <w:qFormat/>
    <w:rsid w:val="00426D64"/>
    <w:pPr>
      <w:jc w:val="right"/>
    </w:pPr>
    <w:rPr>
      <w:color w:val="C00000"/>
      <w:sz w:val="20"/>
    </w:rPr>
  </w:style>
  <w:style w:type="paragraph" w:customStyle="1" w:styleId="ECHRDecisionBody">
    <w:name w:val="ECHR_Decision_Body"/>
    <w:aliases w:val="_Decision_Body"/>
    <w:basedOn w:val="NormalJustified"/>
    <w:uiPriority w:val="54"/>
    <w:semiHidden/>
    <w:rsid w:val="00426D6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426D6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426D6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426D6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426D64"/>
    <w:pPr>
      <w:ind w:left="567" w:hanging="567"/>
      <w:jc w:val="both"/>
    </w:pPr>
  </w:style>
  <w:style w:type="paragraph" w:customStyle="1" w:styleId="ECHRHeading9">
    <w:name w:val="ECHR_Heading_9"/>
    <w:aliases w:val="_Head_9"/>
    <w:basedOn w:val="Nagwek9"/>
    <w:uiPriority w:val="17"/>
    <w:semiHidden/>
    <w:rsid w:val="00426D64"/>
    <w:pPr>
      <w:keepNext/>
      <w:keepLines/>
      <w:numPr>
        <w:ilvl w:val="8"/>
        <w:numId w:val="2"/>
      </w:numPr>
      <w:spacing w:before="100" w:beforeAutospacing="1"/>
      <w:contextualSpacing/>
    </w:pPr>
    <w:rPr>
      <w:i w:val="0"/>
      <w:sz w:val="18"/>
    </w:rPr>
  </w:style>
  <w:style w:type="paragraph" w:customStyle="1" w:styleId="ECHRParaIndent">
    <w:name w:val="ECHR_Para_Indent"/>
    <w:aliases w:val="_Indent"/>
    <w:basedOn w:val="Normalny"/>
    <w:uiPriority w:val="7"/>
    <w:semiHidden/>
    <w:qFormat/>
    <w:rsid w:val="00426D64"/>
    <w:pPr>
      <w:spacing w:before="120" w:after="120"/>
      <w:ind w:left="567"/>
      <w:jc w:val="both"/>
    </w:pPr>
  </w:style>
  <w:style w:type="paragraph" w:customStyle="1" w:styleId="ECHRLine">
    <w:name w:val="ECHR_Line"/>
    <w:aliases w:val="_Line"/>
    <w:basedOn w:val="NormalJustified"/>
    <w:next w:val="Normalny"/>
    <w:uiPriority w:val="46"/>
    <w:semiHidden/>
    <w:rsid w:val="00426D6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426D64"/>
    <w:pPr>
      <w:numPr>
        <w:numId w:val="8"/>
      </w:numPr>
      <w:spacing w:before="60" w:after="60"/>
    </w:pPr>
  </w:style>
  <w:style w:type="paragraph" w:customStyle="1" w:styleId="ECHRNumberedList2">
    <w:name w:val="ECHR_Numbered_List_2"/>
    <w:aliases w:val="_Num_2"/>
    <w:basedOn w:val="ECHRNumberedList1"/>
    <w:uiPriority w:val="23"/>
    <w:semiHidden/>
    <w:rsid w:val="00426D64"/>
    <w:pPr>
      <w:numPr>
        <w:ilvl w:val="1"/>
      </w:numPr>
    </w:pPr>
  </w:style>
  <w:style w:type="paragraph" w:customStyle="1" w:styleId="ECHRNumberedList3">
    <w:name w:val="ECHR_Numbered_List_3"/>
    <w:aliases w:val="_Num_3"/>
    <w:basedOn w:val="ECHRNumberedList2"/>
    <w:uiPriority w:val="23"/>
    <w:semiHidden/>
    <w:rsid w:val="00426D64"/>
    <w:pPr>
      <w:numPr>
        <w:ilvl w:val="2"/>
      </w:numPr>
    </w:pPr>
  </w:style>
  <w:style w:type="character" w:customStyle="1" w:styleId="ECHRRed">
    <w:name w:val="ECHR_Red"/>
    <w:aliases w:val="_Red"/>
    <w:basedOn w:val="Domylnaczcionkaakapitu"/>
    <w:uiPriority w:val="15"/>
    <w:semiHidden/>
    <w:qFormat/>
    <w:rsid w:val="00426D64"/>
    <w:rPr>
      <w:color w:val="C00000" w:themeColor="accent2"/>
    </w:rPr>
  </w:style>
  <w:style w:type="paragraph" w:customStyle="1" w:styleId="ECHRHeaderDate">
    <w:name w:val="ECHR_Header_Date"/>
    <w:aliases w:val="_Ref_Date"/>
    <w:basedOn w:val="Normalny"/>
    <w:uiPriority w:val="44"/>
    <w:semiHidden/>
    <w:qFormat/>
    <w:rsid w:val="00426D64"/>
    <w:pPr>
      <w:jc w:val="right"/>
    </w:pPr>
    <w:rPr>
      <w:sz w:val="20"/>
    </w:rPr>
  </w:style>
  <w:style w:type="paragraph" w:customStyle="1" w:styleId="ECHRHeaderRefIt">
    <w:name w:val="ECHR_Header_Ref_It"/>
    <w:aliases w:val="_Ref_Ital"/>
    <w:basedOn w:val="Normalny"/>
    <w:next w:val="ECHRHeaderDate"/>
    <w:uiPriority w:val="43"/>
    <w:semiHidden/>
    <w:qFormat/>
    <w:rsid w:val="00426D64"/>
    <w:pPr>
      <w:jc w:val="right"/>
    </w:pPr>
    <w:rPr>
      <w:i/>
      <w:sz w:val="20"/>
    </w:rPr>
  </w:style>
  <w:style w:type="paragraph" w:customStyle="1" w:styleId="DecList">
    <w:name w:val="Dec_List"/>
    <w:aliases w:val="_List"/>
    <w:basedOn w:val="JuList"/>
    <w:uiPriority w:val="22"/>
    <w:rsid w:val="00426D64"/>
    <w:pPr>
      <w:numPr>
        <w:numId w:val="0"/>
      </w:numPr>
      <w:ind w:left="284"/>
    </w:pPr>
  </w:style>
  <w:style w:type="paragraph" w:customStyle="1" w:styleId="ECHRTitleCentre1">
    <w:name w:val="ECHR_Title_Centre_1"/>
    <w:aliases w:val="_Title_C_1"/>
    <w:basedOn w:val="Normalny"/>
    <w:next w:val="Normalny"/>
    <w:uiPriority w:val="26"/>
    <w:semiHidden/>
    <w:qFormat/>
    <w:rsid w:val="00426D6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426D6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426D6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426D64"/>
    <w:pPr>
      <w:outlineLvl w:val="0"/>
    </w:pPr>
  </w:style>
  <w:style w:type="paragraph" w:customStyle="1" w:styleId="ECHRTitle1">
    <w:name w:val="ECHR_Title_1"/>
    <w:aliases w:val="_Title_L_1"/>
    <w:basedOn w:val="Normalny"/>
    <w:next w:val="Normalny"/>
    <w:uiPriority w:val="28"/>
    <w:semiHidden/>
    <w:qFormat/>
    <w:rsid w:val="00426D6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426D6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426D64"/>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426D64"/>
    <w:pPr>
      <w:outlineLvl w:val="0"/>
    </w:pPr>
  </w:style>
  <w:style w:type="table" w:customStyle="1" w:styleId="ECHRTable2">
    <w:name w:val="ECHR_Table_2"/>
    <w:basedOn w:val="Standardowy"/>
    <w:uiPriority w:val="99"/>
    <w:rsid w:val="00426D6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426D6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Spacer">
    <w:name w:val="ECHR_Spacer"/>
    <w:aliases w:val="_Spacer"/>
    <w:basedOn w:val="Normalny"/>
    <w:uiPriority w:val="45"/>
    <w:semiHidden/>
    <w:rsid w:val="00426D64"/>
    <w:rPr>
      <w:sz w:val="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047727941">
      <w:bodyDiv w:val="1"/>
      <w:marLeft w:val="0"/>
      <w:marRight w:val="0"/>
      <w:marTop w:val="0"/>
      <w:marBottom w:val="0"/>
      <w:divBdr>
        <w:top w:val="none" w:sz="0" w:space="0" w:color="auto"/>
        <w:left w:val="none" w:sz="0" w:space="0" w:color="auto"/>
        <w:bottom w:val="none" w:sz="0" w:space="0" w:color="auto"/>
        <w:right w:val="none" w:sz="0" w:space="0" w:color="auto"/>
      </w:divBdr>
      <w:divsChild>
        <w:div w:id="1574585761">
          <w:marLeft w:val="0"/>
          <w:marRight w:val="0"/>
          <w:marTop w:val="0"/>
          <w:marBottom w:val="0"/>
          <w:divBdr>
            <w:top w:val="none" w:sz="0" w:space="0" w:color="auto"/>
            <w:left w:val="none" w:sz="0" w:space="0" w:color="auto"/>
            <w:bottom w:val="none" w:sz="0" w:space="0" w:color="auto"/>
            <w:right w:val="none" w:sz="0" w:space="0" w:color="auto"/>
          </w:divBdr>
          <w:divsChild>
            <w:div w:id="1384714751">
              <w:marLeft w:val="0"/>
              <w:marRight w:val="0"/>
              <w:marTop w:val="0"/>
              <w:marBottom w:val="0"/>
              <w:divBdr>
                <w:top w:val="none" w:sz="0" w:space="0" w:color="auto"/>
                <w:left w:val="none" w:sz="0" w:space="0" w:color="auto"/>
                <w:bottom w:val="none" w:sz="0" w:space="0" w:color="auto"/>
                <w:right w:val="none" w:sz="0" w:space="0" w:color="auto"/>
              </w:divBdr>
              <w:divsChild>
                <w:div w:id="678503392">
                  <w:marLeft w:val="0"/>
                  <w:marRight w:val="0"/>
                  <w:marTop w:val="0"/>
                  <w:marBottom w:val="0"/>
                  <w:divBdr>
                    <w:top w:val="none" w:sz="0" w:space="0" w:color="auto"/>
                    <w:left w:val="none" w:sz="0" w:space="0" w:color="auto"/>
                    <w:bottom w:val="none" w:sz="0" w:space="0" w:color="auto"/>
                    <w:right w:val="none" w:sz="0" w:space="0" w:color="auto"/>
                  </w:divBdr>
                  <w:divsChild>
                    <w:div w:id="1761103014">
                      <w:marLeft w:val="0"/>
                      <w:marRight w:val="0"/>
                      <w:marTop w:val="0"/>
                      <w:marBottom w:val="0"/>
                      <w:divBdr>
                        <w:top w:val="none" w:sz="0" w:space="0" w:color="auto"/>
                        <w:left w:val="none" w:sz="0" w:space="0" w:color="auto"/>
                        <w:bottom w:val="none" w:sz="0" w:space="0" w:color="auto"/>
                        <w:right w:val="none" w:sz="0" w:space="0" w:color="auto"/>
                      </w:divBdr>
                      <w:divsChild>
                        <w:div w:id="95296006">
                          <w:marLeft w:val="0"/>
                          <w:marRight w:val="0"/>
                          <w:marTop w:val="0"/>
                          <w:marBottom w:val="0"/>
                          <w:divBdr>
                            <w:top w:val="none" w:sz="0" w:space="0" w:color="auto"/>
                            <w:left w:val="none" w:sz="0" w:space="0" w:color="auto"/>
                            <w:bottom w:val="none" w:sz="0" w:space="0" w:color="auto"/>
                            <w:right w:val="none" w:sz="0" w:space="0" w:color="auto"/>
                          </w:divBdr>
                          <w:divsChild>
                            <w:div w:id="1763985346">
                              <w:marLeft w:val="0"/>
                              <w:marRight w:val="0"/>
                              <w:marTop w:val="0"/>
                              <w:marBottom w:val="0"/>
                              <w:divBdr>
                                <w:top w:val="none" w:sz="0" w:space="0" w:color="auto"/>
                                <w:left w:val="none" w:sz="0" w:space="0" w:color="auto"/>
                                <w:bottom w:val="none" w:sz="0" w:space="0" w:color="auto"/>
                                <w:right w:val="none" w:sz="0" w:space="0" w:color="auto"/>
                              </w:divBdr>
                              <w:divsChild>
                                <w:div w:id="1412046549">
                                  <w:marLeft w:val="0"/>
                                  <w:marRight w:val="0"/>
                                  <w:marTop w:val="0"/>
                                  <w:marBottom w:val="0"/>
                                  <w:divBdr>
                                    <w:top w:val="none" w:sz="0" w:space="0" w:color="auto"/>
                                    <w:left w:val="none" w:sz="0" w:space="0" w:color="auto"/>
                                    <w:bottom w:val="none" w:sz="0" w:space="0" w:color="auto"/>
                                    <w:right w:val="none" w:sz="0" w:space="0" w:color="auto"/>
                                  </w:divBdr>
                                  <w:divsChild>
                                    <w:div w:id="1686781151">
                                      <w:marLeft w:val="0"/>
                                      <w:marRight w:val="0"/>
                                      <w:marTop w:val="0"/>
                                      <w:marBottom w:val="0"/>
                                      <w:divBdr>
                                        <w:top w:val="none" w:sz="0" w:space="0" w:color="auto"/>
                                        <w:left w:val="none" w:sz="0" w:space="0" w:color="auto"/>
                                        <w:bottom w:val="none" w:sz="0" w:space="0" w:color="auto"/>
                                        <w:right w:val="none" w:sz="0" w:space="0" w:color="auto"/>
                                      </w:divBdr>
                                      <w:divsChild>
                                        <w:div w:id="1075860505">
                                          <w:marLeft w:val="0"/>
                                          <w:marRight w:val="0"/>
                                          <w:marTop w:val="0"/>
                                          <w:marBottom w:val="0"/>
                                          <w:divBdr>
                                            <w:top w:val="none" w:sz="0" w:space="0" w:color="auto"/>
                                            <w:left w:val="none" w:sz="0" w:space="0" w:color="auto"/>
                                            <w:bottom w:val="none" w:sz="0" w:space="0" w:color="auto"/>
                                            <w:right w:val="none" w:sz="0" w:space="0" w:color="auto"/>
                                          </w:divBdr>
                                          <w:divsChild>
                                            <w:div w:id="993223755">
                                              <w:marLeft w:val="0"/>
                                              <w:marRight w:val="0"/>
                                              <w:marTop w:val="0"/>
                                              <w:marBottom w:val="0"/>
                                              <w:divBdr>
                                                <w:top w:val="none" w:sz="0" w:space="0" w:color="auto"/>
                                                <w:left w:val="none" w:sz="0" w:space="0" w:color="auto"/>
                                                <w:bottom w:val="none" w:sz="0" w:space="0" w:color="auto"/>
                                                <w:right w:val="none" w:sz="0" w:space="0" w:color="auto"/>
                                              </w:divBdr>
                                              <w:divsChild>
                                                <w:div w:id="1730109622">
                                                  <w:marLeft w:val="0"/>
                                                  <w:marRight w:val="0"/>
                                                  <w:marTop w:val="0"/>
                                                  <w:marBottom w:val="0"/>
                                                  <w:divBdr>
                                                    <w:top w:val="none" w:sz="0" w:space="0" w:color="auto"/>
                                                    <w:left w:val="none" w:sz="0" w:space="0" w:color="auto"/>
                                                    <w:bottom w:val="none" w:sz="0" w:space="0" w:color="auto"/>
                                                    <w:right w:val="none" w:sz="0" w:space="0" w:color="auto"/>
                                                  </w:divBdr>
                                                  <w:divsChild>
                                                    <w:div w:id="680741732">
                                                      <w:marLeft w:val="0"/>
                                                      <w:marRight w:val="0"/>
                                                      <w:marTop w:val="0"/>
                                                      <w:marBottom w:val="0"/>
                                                      <w:divBdr>
                                                        <w:top w:val="none" w:sz="0" w:space="0" w:color="auto"/>
                                                        <w:left w:val="none" w:sz="0" w:space="0" w:color="auto"/>
                                                        <w:bottom w:val="none" w:sz="0" w:space="0" w:color="auto"/>
                                                        <w:right w:val="none" w:sz="0" w:space="0" w:color="auto"/>
                                                      </w:divBdr>
                                                      <w:divsChild>
                                                        <w:div w:id="1001276288">
                                                          <w:marLeft w:val="0"/>
                                                          <w:marRight w:val="0"/>
                                                          <w:marTop w:val="0"/>
                                                          <w:marBottom w:val="0"/>
                                                          <w:divBdr>
                                                            <w:top w:val="none" w:sz="0" w:space="0" w:color="auto"/>
                                                            <w:left w:val="none" w:sz="0" w:space="0" w:color="auto"/>
                                                            <w:bottom w:val="none" w:sz="0" w:space="0" w:color="auto"/>
                                                            <w:right w:val="none" w:sz="0" w:space="0" w:color="auto"/>
                                                          </w:divBdr>
                                                          <w:divsChild>
                                                            <w:div w:id="462230417">
                                                              <w:marLeft w:val="0"/>
                                                              <w:marRight w:val="0"/>
                                                              <w:marTop w:val="0"/>
                                                              <w:marBottom w:val="0"/>
                                                              <w:divBdr>
                                                                <w:top w:val="none" w:sz="0" w:space="0" w:color="auto"/>
                                                                <w:left w:val="none" w:sz="0" w:space="0" w:color="auto"/>
                                                                <w:bottom w:val="none" w:sz="0" w:space="0" w:color="auto"/>
                                                                <w:right w:val="none" w:sz="0" w:space="0" w:color="auto"/>
                                                              </w:divBdr>
                                                              <w:divsChild>
                                                                <w:div w:id="1974285590">
                                                                  <w:marLeft w:val="0"/>
                                                                  <w:marRight w:val="0"/>
                                                                  <w:marTop w:val="0"/>
                                                                  <w:marBottom w:val="0"/>
                                                                  <w:divBdr>
                                                                    <w:top w:val="none" w:sz="0" w:space="0" w:color="auto"/>
                                                                    <w:left w:val="none" w:sz="0" w:space="0" w:color="auto"/>
                                                                    <w:bottom w:val="none" w:sz="0" w:space="0" w:color="auto"/>
                                                                    <w:right w:val="none" w:sz="0" w:space="0" w:color="auto"/>
                                                                  </w:divBdr>
                                                                  <w:divsChild>
                                                                    <w:div w:id="1452238154">
                                                                      <w:marLeft w:val="0"/>
                                                                      <w:marRight w:val="0"/>
                                                                      <w:marTop w:val="0"/>
                                                                      <w:marBottom w:val="0"/>
                                                                      <w:divBdr>
                                                                        <w:top w:val="none" w:sz="0" w:space="0" w:color="auto"/>
                                                                        <w:left w:val="none" w:sz="0" w:space="0" w:color="auto"/>
                                                                        <w:bottom w:val="none" w:sz="0" w:space="0" w:color="auto"/>
                                                                        <w:right w:val="none" w:sz="0" w:space="0" w:color="auto"/>
                                                                      </w:divBdr>
                                                                      <w:divsChild>
                                                                        <w:div w:id="1145469179">
                                                                          <w:marLeft w:val="0"/>
                                                                          <w:marRight w:val="0"/>
                                                                          <w:marTop w:val="0"/>
                                                                          <w:marBottom w:val="0"/>
                                                                          <w:divBdr>
                                                                            <w:top w:val="none" w:sz="0" w:space="0" w:color="auto"/>
                                                                            <w:left w:val="none" w:sz="0" w:space="0" w:color="auto"/>
                                                                            <w:bottom w:val="none" w:sz="0" w:space="0" w:color="auto"/>
                                                                            <w:right w:val="none" w:sz="0" w:space="0" w:color="auto"/>
                                                                          </w:divBdr>
                                                                          <w:divsChild>
                                                                            <w:div w:id="173954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4175495">
      <w:bodyDiv w:val="1"/>
      <w:marLeft w:val="0"/>
      <w:marRight w:val="0"/>
      <w:marTop w:val="0"/>
      <w:marBottom w:val="0"/>
      <w:divBdr>
        <w:top w:val="none" w:sz="0" w:space="0" w:color="auto"/>
        <w:left w:val="none" w:sz="0" w:space="0" w:color="auto"/>
        <w:bottom w:val="none" w:sz="0" w:space="0" w:color="auto"/>
        <w:right w:val="none" w:sz="0" w:space="0" w:color="auto"/>
      </w:divBdr>
      <w:divsChild>
        <w:div w:id="2009942813">
          <w:marLeft w:val="0"/>
          <w:marRight w:val="0"/>
          <w:marTop w:val="0"/>
          <w:marBottom w:val="0"/>
          <w:divBdr>
            <w:top w:val="none" w:sz="0" w:space="0" w:color="auto"/>
            <w:left w:val="none" w:sz="0" w:space="0" w:color="auto"/>
            <w:bottom w:val="none" w:sz="0" w:space="0" w:color="auto"/>
            <w:right w:val="none" w:sz="0" w:space="0" w:color="auto"/>
          </w:divBdr>
          <w:divsChild>
            <w:div w:id="1923490808">
              <w:marLeft w:val="0"/>
              <w:marRight w:val="0"/>
              <w:marTop w:val="0"/>
              <w:marBottom w:val="0"/>
              <w:divBdr>
                <w:top w:val="none" w:sz="0" w:space="0" w:color="auto"/>
                <w:left w:val="none" w:sz="0" w:space="0" w:color="auto"/>
                <w:bottom w:val="none" w:sz="0" w:space="0" w:color="auto"/>
                <w:right w:val="none" w:sz="0" w:space="0" w:color="auto"/>
              </w:divBdr>
              <w:divsChild>
                <w:div w:id="291445968">
                  <w:marLeft w:val="0"/>
                  <w:marRight w:val="0"/>
                  <w:marTop w:val="0"/>
                  <w:marBottom w:val="0"/>
                  <w:divBdr>
                    <w:top w:val="none" w:sz="0" w:space="0" w:color="auto"/>
                    <w:left w:val="none" w:sz="0" w:space="0" w:color="auto"/>
                    <w:bottom w:val="none" w:sz="0" w:space="0" w:color="auto"/>
                    <w:right w:val="none" w:sz="0" w:space="0" w:color="auto"/>
                  </w:divBdr>
                  <w:divsChild>
                    <w:div w:id="1577086157">
                      <w:marLeft w:val="0"/>
                      <w:marRight w:val="0"/>
                      <w:marTop w:val="0"/>
                      <w:marBottom w:val="0"/>
                      <w:divBdr>
                        <w:top w:val="none" w:sz="0" w:space="0" w:color="auto"/>
                        <w:left w:val="none" w:sz="0" w:space="0" w:color="auto"/>
                        <w:bottom w:val="none" w:sz="0" w:space="0" w:color="auto"/>
                        <w:right w:val="none" w:sz="0" w:space="0" w:color="auto"/>
                      </w:divBdr>
                      <w:divsChild>
                        <w:div w:id="1123958507">
                          <w:marLeft w:val="0"/>
                          <w:marRight w:val="0"/>
                          <w:marTop w:val="0"/>
                          <w:marBottom w:val="0"/>
                          <w:divBdr>
                            <w:top w:val="none" w:sz="0" w:space="0" w:color="auto"/>
                            <w:left w:val="none" w:sz="0" w:space="0" w:color="auto"/>
                            <w:bottom w:val="none" w:sz="0" w:space="0" w:color="auto"/>
                            <w:right w:val="none" w:sz="0" w:space="0" w:color="auto"/>
                          </w:divBdr>
                          <w:divsChild>
                            <w:div w:id="154958038">
                              <w:marLeft w:val="0"/>
                              <w:marRight w:val="0"/>
                              <w:marTop w:val="0"/>
                              <w:marBottom w:val="0"/>
                              <w:divBdr>
                                <w:top w:val="none" w:sz="0" w:space="0" w:color="auto"/>
                                <w:left w:val="none" w:sz="0" w:space="0" w:color="auto"/>
                                <w:bottom w:val="none" w:sz="0" w:space="0" w:color="auto"/>
                                <w:right w:val="none" w:sz="0" w:space="0" w:color="auto"/>
                              </w:divBdr>
                              <w:divsChild>
                                <w:div w:id="153886102">
                                  <w:marLeft w:val="0"/>
                                  <w:marRight w:val="0"/>
                                  <w:marTop w:val="0"/>
                                  <w:marBottom w:val="0"/>
                                  <w:divBdr>
                                    <w:top w:val="none" w:sz="0" w:space="0" w:color="auto"/>
                                    <w:left w:val="none" w:sz="0" w:space="0" w:color="auto"/>
                                    <w:bottom w:val="none" w:sz="0" w:space="0" w:color="auto"/>
                                    <w:right w:val="none" w:sz="0" w:space="0" w:color="auto"/>
                                  </w:divBdr>
                                  <w:divsChild>
                                    <w:div w:id="736323858">
                                      <w:marLeft w:val="0"/>
                                      <w:marRight w:val="0"/>
                                      <w:marTop w:val="0"/>
                                      <w:marBottom w:val="0"/>
                                      <w:divBdr>
                                        <w:top w:val="none" w:sz="0" w:space="0" w:color="auto"/>
                                        <w:left w:val="none" w:sz="0" w:space="0" w:color="auto"/>
                                        <w:bottom w:val="none" w:sz="0" w:space="0" w:color="auto"/>
                                        <w:right w:val="none" w:sz="0" w:space="0" w:color="auto"/>
                                      </w:divBdr>
                                      <w:divsChild>
                                        <w:div w:id="1780295694">
                                          <w:marLeft w:val="0"/>
                                          <w:marRight w:val="0"/>
                                          <w:marTop w:val="0"/>
                                          <w:marBottom w:val="0"/>
                                          <w:divBdr>
                                            <w:top w:val="none" w:sz="0" w:space="0" w:color="auto"/>
                                            <w:left w:val="none" w:sz="0" w:space="0" w:color="auto"/>
                                            <w:bottom w:val="none" w:sz="0" w:space="0" w:color="auto"/>
                                            <w:right w:val="none" w:sz="0" w:space="0" w:color="auto"/>
                                          </w:divBdr>
                                          <w:divsChild>
                                            <w:div w:id="1204830605">
                                              <w:marLeft w:val="0"/>
                                              <w:marRight w:val="0"/>
                                              <w:marTop w:val="0"/>
                                              <w:marBottom w:val="0"/>
                                              <w:divBdr>
                                                <w:top w:val="none" w:sz="0" w:space="0" w:color="auto"/>
                                                <w:left w:val="none" w:sz="0" w:space="0" w:color="auto"/>
                                                <w:bottom w:val="none" w:sz="0" w:space="0" w:color="auto"/>
                                                <w:right w:val="none" w:sz="0" w:space="0" w:color="auto"/>
                                              </w:divBdr>
                                              <w:divsChild>
                                                <w:div w:id="41371658">
                                                  <w:marLeft w:val="0"/>
                                                  <w:marRight w:val="0"/>
                                                  <w:marTop w:val="0"/>
                                                  <w:marBottom w:val="0"/>
                                                  <w:divBdr>
                                                    <w:top w:val="none" w:sz="0" w:space="0" w:color="auto"/>
                                                    <w:left w:val="none" w:sz="0" w:space="0" w:color="auto"/>
                                                    <w:bottom w:val="none" w:sz="0" w:space="0" w:color="auto"/>
                                                    <w:right w:val="none" w:sz="0" w:space="0" w:color="auto"/>
                                                  </w:divBdr>
                                                  <w:divsChild>
                                                    <w:div w:id="1722513233">
                                                      <w:marLeft w:val="0"/>
                                                      <w:marRight w:val="0"/>
                                                      <w:marTop w:val="0"/>
                                                      <w:marBottom w:val="0"/>
                                                      <w:divBdr>
                                                        <w:top w:val="none" w:sz="0" w:space="0" w:color="auto"/>
                                                        <w:left w:val="none" w:sz="0" w:space="0" w:color="auto"/>
                                                        <w:bottom w:val="none" w:sz="0" w:space="0" w:color="auto"/>
                                                        <w:right w:val="none" w:sz="0" w:space="0" w:color="auto"/>
                                                      </w:divBdr>
                                                      <w:divsChild>
                                                        <w:div w:id="1315329239">
                                                          <w:marLeft w:val="0"/>
                                                          <w:marRight w:val="0"/>
                                                          <w:marTop w:val="0"/>
                                                          <w:marBottom w:val="0"/>
                                                          <w:divBdr>
                                                            <w:top w:val="none" w:sz="0" w:space="0" w:color="auto"/>
                                                            <w:left w:val="none" w:sz="0" w:space="0" w:color="auto"/>
                                                            <w:bottom w:val="none" w:sz="0" w:space="0" w:color="auto"/>
                                                            <w:right w:val="none" w:sz="0" w:space="0" w:color="auto"/>
                                                          </w:divBdr>
                                                          <w:divsChild>
                                                            <w:div w:id="405955233">
                                                              <w:marLeft w:val="0"/>
                                                              <w:marRight w:val="0"/>
                                                              <w:marTop w:val="0"/>
                                                              <w:marBottom w:val="0"/>
                                                              <w:divBdr>
                                                                <w:top w:val="none" w:sz="0" w:space="0" w:color="auto"/>
                                                                <w:left w:val="none" w:sz="0" w:space="0" w:color="auto"/>
                                                                <w:bottom w:val="none" w:sz="0" w:space="0" w:color="auto"/>
                                                                <w:right w:val="none" w:sz="0" w:space="0" w:color="auto"/>
                                                              </w:divBdr>
                                                              <w:divsChild>
                                                                <w:div w:id="907807118">
                                                                  <w:marLeft w:val="0"/>
                                                                  <w:marRight w:val="0"/>
                                                                  <w:marTop w:val="0"/>
                                                                  <w:marBottom w:val="0"/>
                                                                  <w:divBdr>
                                                                    <w:top w:val="none" w:sz="0" w:space="0" w:color="auto"/>
                                                                    <w:left w:val="none" w:sz="0" w:space="0" w:color="auto"/>
                                                                    <w:bottom w:val="none" w:sz="0" w:space="0" w:color="auto"/>
                                                                    <w:right w:val="none" w:sz="0" w:space="0" w:color="auto"/>
                                                                  </w:divBdr>
                                                                  <w:divsChild>
                                                                    <w:div w:id="1358314592">
                                                                      <w:marLeft w:val="0"/>
                                                                      <w:marRight w:val="0"/>
                                                                      <w:marTop w:val="0"/>
                                                                      <w:marBottom w:val="0"/>
                                                                      <w:divBdr>
                                                                        <w:top w:val="none" w:sz="0" w:space="0" w:color="auto"/>
                                                                        <w:left w:val="none" w:sz="0" w:space="0" w:color="auto"/>
                                                                        <w:bottom w:val="none" w:sz="0" w:space="0" w:color="auto"/>
                                                                        <w:right w:val="none" w:sz="0" w:space="0" w:color="auto"/>
                                                                      </w:divBdr>
                                                                      <w:divsChild>
                                                                        <w:div w:id="66463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5739797">
      <w:bodyDiv w:val="1"/>
      <w:marLeft w:val="0"/>
      <w:marRight w:val="0"/>
      <w:marTop w:val="0"/>
      <w:marBottom w:val="0"/>
      <w:divBdr>
        <w:top w:val="none" w:sz="0" w:space="0" w:color="auto"/>
        <w:left w:val="none" w:sz="0" w:space="0" w:color="auto"/>
        <w:bottom w:val="none" w:sz="0" w:space="0" w:color="auto"/>
        <w:right w:val="none" w:sz="0" w:space="0" w:color="auto"/>
      </w:divBdr>
      <w:divsChild>
        <w:div w:id="118962222">
          <w:marLeft w:val="0"/>
          <w:marRight w:val="0"/>
          <w:marTop w:val="0"/>
          <w:marBottom w:val="0"/>
          <w:divBdr>
            <w:top w:val="none" w:sz="0" w:space="0" w:color="auto"/>
            <w:left w:val="none" w:sz="0" w:space="0" w:color="auto"/>
            <w:bottom w:val="none" w:sz="0" w:space="0" w:color="auto"/>
            <w:right w:val="none" w:sz="0" w:space="0" w:color="auto"/>
          </w:divBdr>
          <w:divsChild>
            <w:div w:id="1606228020">
              <w:marLeft w:val="0"/>
              <w:marRight w:val="0"/>
              <w:marTop w:val="0"/>
              <w:marBottom w:val="0"/>
              <w:divBdr>
                <w:top w:val="none" w:sz="0" w:space="0" w:color="auto"/>
                <w:left w:val="none" w:sz="0" w:space="0" w:color="auto"/>
                <w:bottom w:val="none" w:sz="0" w:space="0" w:color="auto"/>
                <w:right w:val="none" w:sz="0" w:space="0" w:color="auto"/>
              </w:divBdr>
              <w:divsChild>
                <w:div w:id="1379473242">
                  <w:marLeft w:val="0"/>
                  <w:marRight w:val="0"/>
                  <w:marTop w:val="0"/>
                  <w:marBottom w:val="0"/>
                  <w:divBdr>
                    <w:top w:val="none" w:sz="0" w:space="0" w:color="auto"/>
                    <w:left w:val="none" w:sz="0" w:space="0" w:color="auto"/>
                    <w:bottom w:val="none" w:sz="0" w:space="0" w:color="auto"/>
                    <w:right w:val="none" w:sz="0" w:space="0" w:color="auto"/>
                  </w:divBdr>
                  <w:divsChild>
                    <w:div w:id="1150486434">
                      <w:marLeft w:val="0"/>
                      <w:marRight w:val="0"/>
                      <w:marTop w:val="0"/>
                      <w:marBottom w:val="0"/>
                      <w:divBdr>
                        <w:top w:val="none" w:sz="0" w:space="0" w:color="auto"/>
                        <w:left w:val="none" w:sz="0" w:space="0" w:color="auto"/>
                        <w:bottom w:val="none" w:sz="0" w:space="0" w:color="auto"/>
                        <w:right w:val="none" w:sz="0" w:space="0" w:color="auto"/>
                      </w:divBdr>
                      <w:divsChild>
                        <w:div w:id="230434720">
                          <w:marLeft w:val="0"/>
                          <w:marRight w:val="0"/>
                          <w:marTop w:val="0"/>
                          <w:marBottom w:val="0"/>
                          <w:divBdr>
                            <w:top w:val="none" w:sz="0" w:space="0" w:color="auto"/>
                            <w:left w:val="none" w:sz="0" w:space="0" w:color="auto"/>
                            <w:bottom w:val="none" w:sz="0" w:space="0" w:color="auto"/>
                            <w:right w:val="none" w:sz="0" w:space="0" w:color="auto"/>
                          </w:divBdr>
                          <w:divsChild>
                            <w:div w:id="276177085">
                              <w:marLeft w:val="0"/>
                              <w:marRight w:val="0"/>
                              <w:marTop w:val="0"/>
                              <w:marBottom w:val="0"/>
                              <w:divBdr>
                                <w:top w:val="none" w:sz="0" w:space="0" w:color="auto"/>
                                <w:left w:val="none" w:sz="0" w:space="0" w:color="auto"/>
                                <w:bottom w:val="none" w:sz="0" w:space="0" w:color="auto"/>
                                <w:right w:val="none" w:sz="0" w:space="0" w:color="auto"/>
                              </w:divBdr>
                              <w:divsChild>
                                <w:div w:id="594168254">
                                  <w:marLeft w:val="0"/>
                                  <w:marRight w:val="0"/>
                                  <w:marTop w:val="0"/>
                                  <w:marBottom w:val="0"/>
                                  <w:divBdr>
                                    <w:top w:val="none" w:sz="0" w:space="0" w:color="auto"/>
                                    <w:left w:val="none" w:sz="0" w:space="0" w:color="auto"/>
                                    <w:bottom w:val="none" w:sz="0" w:space="0" w:color="auto"/>
                                    <w:right w:val="none" w:sz="0" w:space="0" w:color="auto"/>
                                  </w:divBdr>
                                  <w:divsChild>
                                    <w:div w:id="141586404">
                                      <w:marLeft w:val="0"/>
                                      <w:marRight w:val="0"/>
                                      <w:marTop w:val="0"/>
                                      <w:marBottom w:val="0"/>
                                      <w:divBdr>
                                        <w:top w:val="none" w:sz="0" w:space="0" w:color="auto"/>
                                        <w:left w:val="none" w:sz="0" w:space="0" w:color="auto"/>
                                        <w:bottom w:val="none" w:sz="0" w:space="0" w:color="auto"/>
                                        <w:right w:val="none" w:sz="0" w:space="0" w:color="auto"/>
                                      </w:divBdr>
                                      <w:divsChild>
                                        <w:div w:id="89856532">
                                          <w:marLeft w:val="0"/>
                                          <w:marRight w:val="0"/>
                                          <w:marTop w:val="0"/>
                                          <w:marBottom w:val="0"/>
                                          <w:divBdr>
                                            <w:top w:val="none" w:sz="0" w:space="0" w:color="auto"/>
                                            <w:left w:val="none" w:sz="0" w:space="0" w:color="auto"/>
                                            <w:bottom w:val="none" w:sz="0" w:space="0" w:color="auto"/>
                                            <w:right w:val="none" w:sz="0" w:space="0" w:color="auto"/>
                                          </w:divBdr>
                                          <w:divsChild>
                                            <w:div w:id="1441950427">
                                              <w:marLeft w:val="0"/>
                                              <w:marRight w:val="0"/>
                                              <w:marTop w:val="0"/>
                                              <w:marBottom w:val="0"/>
                                              <w:divBdr>
                                                <w:top w:val="none" w:sz="0" w:space="0" w:color="auto"/>
                                                <w:left w:val="none" w:sz="0" w:space="0" w:color="auto"/>
                                                <w:bottom w:val="none" w:sz="0" w:space="0" w:color="auto"/>
                                                <w:right w:val="none" w:sz="0" w:space="0" w:color="auto"/>
                                              </w:divBdr>
                                              <w:divsChild>
                                                <w:div w:id="732896847">
                                                  <w:marLeft w:val="0"/>
                                                  <w:marRight w:val="0"/>
                                                  <w:marTop w:val="0"/>
                                                  <w:marBottom w:val="0"/>
                                                  <w:divBdr>
                                                    <w:top w:val="none" w:sz="0" w:space="0" w:color="auto"/>
                                                    <w:left w:val="none" w:sz="0" w:space="0" w:color="auto"/>
                                                    <w:bottom w:val="none" w:sz="0" w:space="0" w:color="auto"/>
                                                    <w:right w:val="none" w:sz="0" w:space="0" w:color="auto"/>
                                                  </w:divBdr>
                                                  <w:divsChild>
                                                    <w:div w:id="1510483518">
                                                      <w:marLeft w:val="0"/>
                                                      <w:marRight w:val="0"/>
                                                      <w:marTop w:val="0"/>
                                                      <w:marBottom w:val="0"/>
                                                      <w:divBdr>
                                                        <w:top w:val="none" w:sz="0" w:space="0" w:color="auto"/>
                                                        <w:left w:val="none" w:sz="0" w:space="0" w:color="auto"/>
                                                        <w:bottom w:val="none" w:sz="0" w:space="0" w:color="auto"/>
                                                        <w:right w:val="none" w:sz="0" w:space="0" w:color="auto"/>
                                                      </w:divBdr>
                                                      <w:divsChild>
                                                        <w:div w:id="1554006149">
                                                          <w:marLeft w:val="0"/>
                                                          <w:marRight w:val="0"/>
                                                          <w:marTop w:val="0"/>
                                                          <w:marBottom w:val="0"/>
                                                          <w:divBdr>
                                                            <w:top w:val="none" w:sz="0" w:space="0" w:color="auto"/>
                                                            <w:left w:val="none" w:sz="0" w:space="0" w:color="auto"/>
                                                            <w:bottom w:val="none" w:sz="0" w:space="0" w:color="auto"/>
                                                            <w:right w:val="none" w:sz="0" w:space="0" w:color="auto"/>
                                                          </w:divBdr>
                                                          <w:divsChild>
                                                            <w:div w:id="660693992">
                                                              <w:marLeft w:val="0"/>
                                                              <w:marRight w:val="0"/>
                                                              <w:marTop w:val="0"/>
                                                              <w:marBottom w:val="0"/>
                                                              <w:divBdr>
                                                                <w:top w:val="none" w:sz="0" w:space="0" w:color="auto"/>
                                                                <w:left w:val="none" w:sz="0" w:space="0" w:color="auto"/>
                                                                <w:bottom w:val="none" w:sz="0" w:space="0" w:color="auto"/>
                                                                <w:right w:val="none" w:sz="0" w:space="0" w:color="auto"/>
                                                              </w:divBdr>
                                                              <w:divsChild>
                                                                <w:div w:id="739600135">
                                                                  <w:marLeft w:val="0"/>
                                                                  <w:marRight w:val="0"/>
                                                                  <w:marTop w:val="0"/>
                                                                  <w:marBottom w:val="0"/>
                                                                  <w:divBdr>
                                                                    <w:top w:val="none" w:sz="0" w:space="0" w:color="auto"/>
                                                                    <w:left w:val="none" w:sz="0" w:space="0" w:color="auto"/>
                                                                    <w:bottom w:val="none" w:sz="0" w:space="0" w:color="auto"/>
                                                                    <w:right w:val="none" w:sz="0" w:space="0" w:color="auto"/>
                                                                  </w:divBdr>
                                                                  <w:divsChild>
                                                                    <w:div w:id="161553634">
                                                                      <w:marLeft w:val="0"/>
                                                                      <w:marRight w:val="0"/>
                                                                      <w:marTop w:val="0"/>
                                                                      <w:marBottom w:val="0"/>
                                                                      <w:divBdr>
                                                                        <w:top w:val="none" w:sz="0" w:space="0" w:color="auto"/>
                                                                        <w:left w:val="none" w:sz="0" w:space="0" w:color="auto"/>
                                                                        <w:bottom w:val="none" w:sz="0" w:space="0" w:color="auto"/>
                                                                        <w:right w:val="none" w:sz="0" w:space="0" w:color="auto"/>
                                                                      </w:divBdr>
                                                                      <w:divsChild>
                                                                        <w:div w:id="55050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61679734">
      <w:bodyDiv w:val="1"/>
      <w:marLeft w:val="0"/>
      <w:marRight w:val="0"/>
      <w:marTop w:val="0"/>
      <w:marBottom w:val="0"/>
      <w:divBdr>
        <w:top w:val="none" w:sz="0" w:space="0" w:color="auto"/>
        <w:left w:val="none" w:sz="0" w:space="0" w:color="auto"/>
        <w:bottom w:val="none" w:sz="0" w:space="0" w:color="auto"/>
        <w:right w:val="none" w:sz="0" w:space="0" w:color="auto"/>
      </w:divBdr>
      <w:divsChild>
        <w:div w:id="1584602704">
          <w:marLeft w:val="0"/>
          <w:marRight w:val="0"/>
          <w:marTop w:val="0"/>
          <w:marBottom w:val="0"/>
          <w:divBdr>
            <w:top w:val="none" w:sz="0" w:space="0" w:color="auto"/>
            <w:left w:val="none" w:sz="0" w:space="0" w:color="auto"/>
            <w:bottom w:val="none" w:sz="0" w:space="0" w:color="auto"/>
            <w:right w:val="none" w:sz="0" w:space="0" w:color="auto"/>
          </w:divBdr>
          <w:divsChild>
            <w:div w:id="83763882">
              <w:marLeft w:val="0"/>
              <w:marRight w:val="0"/>
              <w:marTop w:val="0"/>
              <w:marBottom w:val="0"/>
              <w:divBdr>
                <w:top w:val="none" w:sz="0" w:space="0" w:color="auto"/>
                <w:left w:val="none" w:sz="0" w:space="0" w:color="auto"/>
                <w:bottom w:val="none" w:sz="0" w:space="0" w:color="auto"/>
                <w:right w:val="none" w:sz="0" w:space="0" w:color="auto"/>
              </w:divBdr>
              <w:divsChild>
                <w:div w:id="1737892129">
                  <w:marLeft w:val="0"/>
                  <w:marRight w:val="0"/>
                  <w:marTop w:val="0"/>
                  <w:marBottom w:val="0"/>
                  <w:divBdr>
                    <w:top w:val="none" w:sz="0" w:space="0" w:color="auto"/>
                    <w:left w:val="none" w:sz="0" w:space="0" w:color="auto"/>
                    <w:bottom w:val="none" w:sz="0" w:space="0" w:color="auto"/>
                    <w:right w:val="none" w:sz="0" w:space="0" w:color="auto"/>
                  </w:divBdr>
                  <w:divsChild>
                    <w:div w:id="460811434">
                      <w:marLeft w:val="0"/>
                      <w:marRight w:val="0"/>
                      <w:marTop w:val="0"/>
                      <w:marBottom w:val="0"/>
                      <w:divBdr>
                        <w:top w:val="none" w:sz="0" w:space="0" w:color="auto"/>
                        <w:left w:val="none" w:sz="0" w:space="0" w:color="auto"/>
                        <w:bottom w:val="none" w:sz="0" w:space="0" w:color="auto"/>
                        <w:right w:val="none" w:sz="0" w:space="0" w:color="auto"/>
                      </w:divBdr>
                      <w:divsChild>
                        <w:div w:id="200093420">
                          <w:marLeft w:val="0"/>
                          <w:marRight w:val="0"/>
                          <w:marTop w:val="0"/>
                          <w:marBottom w:val="0"/>
                          <w:divBdr>
                            <w:top w:val="none" w:sz="0" w:space="0" w:color="auto"/>
                            <w:left w:val="none" w:sz="0" w:space="0" w:color="auto"/>
                            <w:bottom w:val="none" w:sz="0" w:space="0" w:color="auto"/>
                            <w:right w:val="none" w:sz="0" w:space="0" w:color="auto"/>
                          </w:divBdr>
                          <w:divsChild>
                            <w:div w:id="1944458432">
                              <w:marLeft w:val="0"/>
                              <w:marRight w:val="0"/>
                              <w:marTop w:val="0"/>
                              <w:marBottom w:val="0"/>
                              <w:divBdr>
                                <w:top w:val="none" w:sz="0" w:space="0" w:color="auto"/>
                                <w:left w:val="none" w:sz="0" w:space="0" w:color="auto"/>
                                <w:bottom w:val="none" w:sz="0" w:space="0" w:color="auto"/>
                                <w:right w:val="none" w:sz="0" w:space="0" w:color="auto"/>
                              </w:divBdr>
                              <w:divsChild>
                                <w:div w:id="2131783627">
                                  <w:marLeft w:val="0"/>
                                  <w:marRight w:val="0"/>
                                  <w:marTop w:val="0"/>
                                  <w:marBottom w:val="0"/>
                                  <w:divBdr>
                                    <w:top w:val="none" w:sz="0" w:space="0" w:color="auto"/>
                                    <w:left w:val="none" w:sz="0" w:space="0" w:color="auto"/>
                                    <w:bottom w:val="none" w:sz="0" w:space="0" w:color="auto"/>
                                    <w:right w:val="none" w:sz="0" w:space="0" w:color="auto"/>
                                  </w:divBdr>
                                  <w:divsChild>
                                    <w:div w:id="443884553">
                                      <w:marLeft w:val="0"/>
                                      <w:marRight w:val="0"/>
                                      <w:marTop w:val="0"/>
                                      <w:marBottom w:val="0"/>
                                      <w:divBdr>
                                        <w:top w:val="none" w:sz="0" w:space="0" w:color="auto"/>
                                        <w:left w:val="none" w:sz="0" w:space="0" w:color="auto"/>
                                        <w:bottom w:val="none" w:sz="0" w:space="0" w:color="auto"/>
                                        <w:right w:val="none" w:sz="0" w:space="0" w:color="auto"/>
                                      </w:divBdr>
                                      <w:divsChild>
                                        <w:div w:id="1799684660">
                                          <w:marLeft w:val="0"/>
                                          <w:marRight w:val="0"/>
                                          <w:marTop w:val="0"/>
                                          <w:marBottom w:val="0"/>
                                          <w:divBdr>
                                            <w:top w:val="none" w:sz="0" w:space="0" w:color="auto"/>
                                            <w:left w:val="none" w:sz="0" w:space="0" w:color="auto"/>
                                            <w:bottom w:val="none" w:sz="0" w:space="0" w:color="auto"/>
                                            <w:right w:val="none" w:sz="0" w:space="0" w:color="auto"/>
                                          </w:divBdr>
                                          <w:divsChild>
                                            <w:div w:id="1451583535">
                                              <w:marLeft w:val="0"/>
                                              <w:marRight w:val="0"/>
                                              <w:marTop w:val="0"/>
                                              <w:marBottom w:val="0"/>
                                              <w:divBdr>
                                                <w:top w:val="none" w:sz="0" w:space="0" w:color="auto"/>
                                                <w:left w:val="none" w:sz="0" w:space="0" w:color="auto"/>
                                                <w:bottom w:val="none" w:sz="0" w:space="0" w:color="auto"/>
                                                <w:right w:val="none" w:sz="0" w:space="0" w:color="auto"/>
                                              </w:divBdr>
                                              <w:divsChild>
                                                <w:div w:id="1619532771">
                                                  <w:marLeft w:val="0"/>
                                                  <w:marRight w:val="0"/>
                                                  <w:marTop w:val="0"/>
                                                  <w:marBottom w:val="0"/>
                                                  <w:divBdr>
                                                    <w:top w:val="none" w:sz="0" w:space="0" w:color="auto"/>
                                                    <w:left w:val="none" w:sz="0" w:space="0" w:color="auto"/>
                                                    <w:bottom w:val="none" w:sz="0" w:space="0" w:color="auto"/>
                                                    <w:right w:val="none" w:sz="0" w:space="0" w:color="auto"/>
                                                  </w:divBdr>
                                                  <w:divsChild>
                                                    <w:div w:id="1306466862">
                                                      <w:marLeft w:val="0"/>
                                                      <w:marRight w:val="0"/>
                                                      <w:marTop w:val="0"/>
                                                      <w:marBottom w:val="0"/>
                                                      <w:divBdr>
                                                        <w:top w:val="none" w:sz="0" w:space="0" w:color="auto"/>
                                                        <w:left w:val="none" w:sz="0" w:space="0" w:color="auto"/>
                                                        <w:bottom w:val="none" w:sz="0" w:space="0" w:color="auto"/>
                                                        <w:right w:val="none" w:sz="0" w:space="0" w:color="auto"/>
                                                      </w:divBdr>
                                                      <w:divsChild>
                                                        <w:div w:id="1024013638">
                                                          <w:marLeft w:val="0"/>
                                                          <w:marRight w:val="0"/>
                                                          <w:marTop w:val="0"/>
                                                          <w:marBottom w:val="0"/>
                                                          <w:divBdr>
                                                            <w:top w:val="none" w:sz="0" w:space="0" w:color="auto"/>
                                                            <w:left w:val="none" w:sz="0" w:space="0" w:color="auto"/>
                                                            <w:bottom w:val="none" w:sz="0" w:space="0" w:color="auto"/>
                                                            <w:right w:val="none" w:sz="0" w:space="0" w:color="auto"/>
                                                          </w:divBdr>
                                                          <w:divsChild>
                                                            <w:div w:id="762261632">
                                                              <w:marLeft w:val="0"/>
                                                              <w:marRight w:val="0"/>
                                                              <w:marTop w:val="0"/>
                                                              <w:marBottom w:val="0"/>
                                                              <w:divBdr>
                                                                <w:top w:val="none" w:sz="0" w:space="0" w:color="auto"/>
                                                                <w:left w:val="none" w:sz="0" w:space="0" w:color="auto"/>
                                                                <w:bottom w:val="none" w:sz="0" w:space="0" w:color="auto"/>
                                                                <w:right w:val="none" w:sz="0" w:space="0" w:color="auto"/>
                                                              </w:divBdr>
                                                              <w:divsChild>
                                                                <w:div w:id="139677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64774844">
      <w:bodyDiv w:val="1"/>
      <w:marLeft w:val="0"/>
      <w:marRight w:val="0"/>
      <w:marTop w:val="0"/>
      <w:marBottom w:val="0"/>
      <w:divBdr>
        <w:top w:val="none" w:sz="0" w:space="0" w:color="auto"/>
        <w:left w:val="none" w:sz="0" w:space="0" w:color="auto"/>
        <w:bottom w:val="none" w:sz="0" w:space="0" w:color="auto"/>
        <w:right w:val="none" w:sz="0" w:space="0" w:color="auto"/>
      </w:divBdr>
      <w:divsChild>
        <w:div w:id="44375745">
          <w:marLeft w:val="0"/>
          <w:marRight w:val="0"/>
          <w:marTop w:val="0"/>
          <w:marBottom w:val="0"/>
          <w:divBdr>
            <w:top w:val="none" w:sz="0" w:space="0" w:color="auto"/>
            <w:left w:val="none" w:sz="0" w:space="0" w:color="auto"/>
            <w:bottom w:val="none" w:sz="0" w:space="0" w:color="auto"/>
            <w:right w:val="none" w:sz="0" w:space="0" w:color="auto"/>
          </w:divBdr>
          <w:divsChild>
            <w:div w:id="656110673">
              <w:marLeft w:val="0"/>
              <w:marRight w:val="0"/>
              <w:marTop w:val="0"/>
              <w:marBottom w:val="0"/>
              <w:divBdr>
                <w:top w:val="none" w:sz="0" w:space="0" w:color="auto"/>
                <w:left w:val="none" w:sz="0" w:space="0" w:color="auto"/>
                <w:bottom w:val="none" w:sz="0" w:space="0" w:color="auto"/>
                <w:right w:val="none" w:sz="0" w:space="0" w:color="auto"/>
              </w:divBdr>
              <w:divsChild>
                <w:div w:id="939027831">
                  <w:marLeft w:val="0"/>
                  <w:marRight w:val="0"/>
                  <w:marTop w:val="0"/>
                  <w:marBottom w:val="0"/>
                  <w:divBdr>
                    <w:top w:val="none" w:sz="0" w:space="0" w:color="auto"/>
                    <w:left w:val="none" w:sz="0" w:space="0" w:color="auto"/>
                    <w:bottom w:val="none" w:sz="0" w:space="0" w:color="auto"/>
                    <w:right w:val="none" w:sz="0" w:space="0" w:color="auto"/>
                  </w:divBdr>
                  <w:divsChild>
                    <w:div w:id="1185823793">
                      <w:marLeft w:val="0"/>
                      <w:marRight w:val="0"/>
                      <w:marTop w:val="0"/>
                      <w:marBottom w:val="0"/>
                      <w:divBdr>
                        <w:top w:val="none" w:sz="0" w:space="0" w:color="auto"/>
                        <w:left w:val="none" w:sz="0" w:space="0" w:color="auto"/>
                        <w:bottom w:val="none" w:sz="0" w:space="0" w:color="auto"/>
                        <w:right w:val="none" w:sz="0" w:space="0" w:color="auto"/>
                      </w:divBdr>
                      <w:divsChild>
                        <w:div w:id="1535574268">
                          <w:marLeft w:val="0"/>
                          <w:marRight w:val="0"/>
                          <w:marTop w:val="0"/>
                          <w:marBottom w:val="0"/>
                          <w:divBdr>
                            <w:top w:val="none" w:sz="0" w:space="0" w:color="auto"/>
                            <w:left w:val="none" w:sz="0" w:space="0" w:color="auto"/>
                            <w:bottom w:val="none" w:sz="0" w:space="0" w:color="auto"/>
                            <w:right w:val="none" w:sz="0" w:space="0" w:color="auto"/>
                          </w:divBdr>
                          <w:divsChild>
                            <w:div w:id="270095625">
                              <w:marLeft w:val="0"/>
                              <w:marRight w:val="0"/>
                              <w:marTop w:val="0"/>
                              <w:marBottom w:val="0"/>
                              <w:divBdr>
                                <w:top w:val="none" w:sz="0" w:space="0" w:color="auto"/>
                                <w:left w:val="none" w:sz="0" w:space="0" w:color="auto"/>
                                <w:bottom w:val="none" w:sz="0" w:space="0" w:color="auto"/>
                                <w:right w:val="none" w:sz="0" w:space="0" w:color="auto"/>
                              </w:divBdr>
                              <w:divsChild>
                                <w:div w:id="1229654424">
                                  <w:marLeft w:val="0"/>
                                  <w:marRight w:val="0"/>
                                  <w:marTop w:val="0"/>
                                  <w:marBottom w:val="0"/>
                                  <w:divBdr>
                                    <w:top w:val="none" w:sz="0" w:space="0" w:color="auto"/>
                                    <w:left w:val="none" w:sz="0" w:space="0" w:color="auto"/>
                                    <w:bottom w:val="none" w:sz="0" w:space="0" w:color="auto"/>
                                    <w:right w:val="none" w:sz="0" w:space="0" w:color="auto"/>
                                  </w:divBdr>
                                  <w:divsChild>
                                    <w:div w:id="1006205332">
                                      <w:marLeft w:val="0"/>
                                      <w:marRight w:val="0"/>
                                      <w:marTop w:val="0"/>
                                      <w:marBottom w:val="0"/>
                                      <w:divBdr>
                                        <w:top w:val="none" w:sz="0" w:space="0" w:color="auto"/>
                                        <w:left w:val="none" w:sz="0" w:space="0" w:color="auto"/>
                                        <w:bottom w:val="none" w:sz="0" w:space="0" w:color="auto"/>
                                        <w:right w:val="none" w:sz="0" w:space="0" w:color="auto"/>
                                      </w:divBdr>
                                      <w:divsChild>
                                        <w:div w:id="124199046">
                                          <w:marLeft w:val="0"/>
                                          <w:marRight w:val="0"/>
                                          <w:marTop w:val="0"/>
                                          <w:marBottom w:val="0"/>
                                          <w:divBdr>
                                            <w:top w:val="none" w:sz="0" w:space="0" w:color="auto"/>
                                            <w:left w:val="none" w:sz="0" w:space="0" w:color="auto"/>
                                            <w:bottom w:val="none" w:sz="0" w:space="0" w:color="auto"/>
                                            <w:right w:val="none" w:sz="0" w:space="0" w:color="auto"/>
                                          </w:divBdr>
                                          <w:divsChild>
                                            <w:div w:id="639186771">
                                              <w:marLeft w:val="0"/>
                                              <w:marRight w:val="0"/>
                                              <w:marTop w:val="0"/>
                                              <w:marBottom w:val="0"/>
                                              <w:divBdr>
                                                <w:top w:val="none" w:sz="0" w:space="0" w:color="auto"/>
                                                <w:left w:val="none" w:sz="0" w:space="0" w:color="auto"/>
                                                <w:bottom w:val="none" w:sz="0" w:space="0" w:color="auto"/>
                                                <w:right w:val="none" w:sz="0" w:space="0" w:color="auto"/>
                                              </w:divBdr>
                                              <w:divsChild>
                                                <w:div w:id="434447677">
                                                  <w:marLeft w:val="0"/>
                                                  <w:marRight w:val="0"/>
                                                  <w:marTop w:val="0"/>
                                                  <w:marBottom w:val="0"/>
                                                  <w:divBdr>
                                                    <w:top w:val="none" w:sz="0" w:space="0" w:color="auto"/>
                                                    <w:left w:val="none" w:sz="0" w:space="0" w:color="auto"/>
                                                    <w:bottom w:val="none" w:sz="0" w:space="0" w:color="auto"/>
                                                    <w:right w:val="none" w:sz="0" w:space="0" w:color="auto"/>
                                                  </w:divBdr>
                                                  <w:divsChild>
                                                    <w:div w:id="1909536702">
                                                      <w:marLeft w:val="0"/>
                                                      <w:marRight w:val="0"/>
                                                      <w:marTop w:val="0"/>
                                                      <w:marBottom w:val="0"/>
                                                      <w:divBdr>
                                                        <w:top w:val="none" w:sz="0" w:space="0" w:color="auto"/>
                                                        <w:left w:val="none" w:sz="0" w:space="0" w:color="auto"/>
                                                        <w:bottom w:val="none" w:sz="0" w:space="0" w:color="auto"/>
                                                        <w:right w:val="none" w:sz="0" w:space="0" w:color="auto"/>
                                                      </w:divBdr>
                                                      <w:divsChild>
                                                        <w:div w:id="1128814417">
                                                          <w:marLeft w:val="0"/>
                                                          <w:marRight w:val="0"/>
                                                          <w:marTop w:val="0"/>
                                                          <w:marBottom w:val="0"/>
                                                          <w:divBdr>
                                                            <w:top w:val="none" w:sz="0" w:space="0" w:color="auto"/>
                                                            <w:left w:val="none" w:sz="0" w:space="0" w:color="auto"/>
                                                            <w:bottom w:val="none" w:sz="0" w:space="0" w:color="auto"/>
                                                            <w:right w:val="none" w:sz="0" w:space="0" w:color="auto"/>
                                                          </w:divBdr>
                                                          <w:divsChild>
                                                            <w:div w:id="1041638861">
                                                              <w:marLeft w:val="0"/>
                                                              <w:marRight w:val="0"/>
                                                              <w:marTop w:val="0"/>
                                                              <w:marBottom w:val="0"/>
                                                              <w:divBdr>
                                                                <w:top w:val="none" w:sz="0" w:space="0" w:color="auto"/>
                                                                <w:left w:val="none" w:sz="0" w:space="0" w:color="auto"/>
                                                                <w:bottom w:val="none" w:sz="0" w:space="0" w:color="auto"/>
                                                                <w:right w:val="none" w:sz="0" w:space="0" w:color="auto"/>
                                                              </w:divBdr>
                                                              <w:divsChild>
                                                                <w:div w:id="1473669673">
                                                                  <w:marLeft w:val="0"/>
                                                                  <w:marRight w:val="0"/>
                                                                  <w:marTop w:val="0"/>
                                                                  <w:marBottom w:val="0"/>
                                                                  <w:divBdr>
                                                                    <w:top w:val="none" w:sz="0" w:space="0" w:color="auto"/>
                                                                    <w:left w:val="none" w:sz="0" w:space="0" w:color="auto"/>
                                                                    <w:bottom w:val="none" w:sz="0" w:space="0" w:color="auto"/>
                                                                    <w:right w:val="none" w:sz="0" w:space="0" w:color="auto"/>
                                                                  </w:divBdr>
                                                                  <w:divsChild>
                                                                    <w:div w:id="1928031632">
                                                                      <w:marLeft w:val="0"/>
                                                                      <w:marRight w:val="0"/>
                                                                      <w:marTop w:val="0"/>
                                                                      <w:marBottom w:val="0"/>
                                                                      <w:divBdr>
                                                                        <w:top w:val="none" w:sz="0" w:space="0" w:color="auto"/>
                                                                        <w:left w:val="none" w:sz="0" w:space="0" w:color="auto"/>
                                                                        <w:bottom w:val="none" w:sz="0" w:space="0" w:color="auto"/>
                                                                        <w:right w:val="none" w:sz="0" w:space="0" w:color="auto"/>
                                                                      </w:divBdr>
                                                                      <w:divsChild>
                                                                        <w:div w:id="112060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E904F-7F37-406D-AB98-8992DA73E4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2D11A70-94F1-4728-89A3-68932B913B2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B95D24-E356-4EFE-8B0D-8867283A5CE9}">
  <ds:schemaRefs>
    <ds:schemaRef ds:uri="http://schemas.microsoft.com/sharepoint/v3/contenttype/forms"/>
  </ds:schemaRefs>
</ds:datastoreItem>
</file>

<file path=customXml/itemProps4.xml><?xml version="1.0" encoding="utf-8"?>
<ds:datastoreItem xmlns:ds="http://schemas.openxmlformats.org/officeDocument/2006/customXml" ds:itemID="{EFC689B7-CCB5-459F-93E7-35068BFEA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6413</Words>
  <Characters>38478</Characters>
  <Application>Microsoft Office Word</Application>
  <DocSecurity>0</DocSecurity>
  <Lines>320</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2019-11-18T09:36:00Z</cp:lastPrinted>
  <dcterms:created xsi:type="dcterms:W3CDTF">2020-05-18T08:30:00Z</dcterms:created>
  <dcterms:modified xsi:type="dcterms:W3CDTF">2020-05-18T08:30:00Z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23685/14</vt:lpwstr>
  </property>
  <property fmtid="{D5CDD505-2E9C-101B-9397-08002B2CF9AE}" pid="4" name="CASEID">
    <vt:lpwstr>995420</vt:lpwstr>
  </property>
  <property fmtid="{D5CDD505-2E9C-101B-9397-08002B2CF9AE}" pid="5" name="ContentTypeId">
    <vt:lpwstr>0x010100558EB02BDB9E204AB350EDD385B68E10</vt:lpwstr>
  </property>
</Properties>
</file>